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Workers’ Compensation and Injury Management Act 1981</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and Injury Management Act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_Toc131514250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_Toc131514251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Purposes</w:t>
      </w:r>
      <w:r>
        <w:tab/>
      </w:r>
      <w:r>
        <w:fldChar w:fldCharType="begin"/>
      </w:r>
      <w:r>
        <w:instrText xml:space="preserve"> PAGEREF _Toc131514252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Act generally</w:t>
      </w:r>
      <w:r>
        <w:tab/>
      </w:r>
      <w:r>
        <w:fldChar w:fldCharType="begin"/>
      </w:r>
      <w:r>
        <w:instrText xml:space="preserve"> PAGEREF _Toc131514253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_Toc131514254 \h </w:instrText>
      </w:r>
      <w:r>
        <w:fldChar w:fldCharType="separate"/>
      </w:r>
      <w:r>
        <w:t>5</w:t>
      </w:r>
      <w:r>
        <w:fldChar w:fldCharType="end"/>
      </w:r>
    </w:p>
    <w:p>
      <w:pPr>
        <w:pStyle w:val="TOC8"/>
        <w:rPr>
          <w:rFonts w:asciiTheme="minorHAnsi" w:eastAsiaTheme="minorEastAsia" w:hAnsiTheme="minorHAnsi" w:cstheme="minorBidi"/>
          <w:szCs w:val="22"/>
        </w:rPr>
      </w:pPr>
      <w:r>
        <w:t>5A.</w:t>
      </w:r>
      <w:r>
        <w:tab/>
        <w:t>Prescribed amount and variation of certain amounts</w:t>
      </w:r>
      <w:r>
        <w:tab/>
      </w:r>
      <w:r>
        <w:fldChar w:fldCharType="begin"/>
      </w:r>
      <w:r>
        <w:instrText xml:space="preserve"> PAGEREF _Toc131514255 \h </w:instrText>
      </w:r>
      <w:r>
        <w:fldChar w:fldCharType="separate"/>
      </w:r>
      <w:r>
        <w:t>15</w:t>
      </w:r>
      <w:r>
        <w:fldChar w:fldCharType="end"/>
      </w:r>
    </w:p>
    <w:p>
      <w:pPr>
        <w:pStyle w:val="TOC8"/>
        <w:rPr>
          <w:rFonts w:asciiTheme="minorHAnsi" w:eastAsiaTheme="minorEastAsia" w:hAnsiTheme="minorHAnsi" w:cstheme="minorBidi"/>
          <w:szCs w:val="22"/>
        </w:rPr>
      </w:pPr>
      <w:r>
        <w:t>5B.</w:t>
      </w:r>
      <w:r>
        <w:tab/>
        <w:t>Meaning of prohibited person</w:t>
      </w:r>
      <w:r>
        <w:tab/>
      </w:r>
      <w:r>
        <w:fldChar w:fldCharType="begin"/>
      </w:r>
      <w:r>
        <w:instrText xml:space="preserve"> PAGEREF _Toc131514256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II — Application of this Act in respect of certain persons and bodies</w:t>
      </w:r>
    </w:p>
    <w:p>
      <w:pPr>
        <w:pStyle w:val="TOC8"/>
        <w:rPr>
          <w:rFonts w:asciiTheme="minorHAnsi" w:eastAsiaTheme="minorEastAsia" w:hAnsiTheme="minorHAnsi" w:cstheme="minorBidi"/>
          <w:szCs w:val="22"/>
        </w:rPr>
      </w:pPr>
      <w:r>
        <w:t>6</w:t>
      </w:r>
      <w:r>
        <w:rPr>
          <w:snapToGrid w:val="0"/>
        </w:rPr>
        <w:t>.</w:t>
      </w:r>
      <w:r>
        <w:rPr>
          <w:snapToGrid w:val="0"/>
        </w:rPr>
        <w:tab/>
        <w:t>Local governments and other authorities</w:t>
      </w:r>
      <w:r>
        <w:tab/>
      </w:r>
      <w:r>
        <w:fldChar w:fldCharType="begin"/>
      </w:r>
      <w:r>
        <w:instrText xml:space="preserve"> PAGEREF _Toc131514258 \h </w:instrText>
      </w:r>
      <w:r>
        <w:fldChar w:fldCharType="separate"/>
      </w:r>
      <w:r>
        <w:t>19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Tributers</w:t>
      </w:r>
      <w:r>
        <w:tab/>
      </w:r>
      <w:r>
        <w:fldChar w:fldCharType="begin"/>
      </w:r>
      <w:r>
        <w:instrText xml:space="preserve"> PAGEREF _Toc131514259 \h </w:instrText>
      </w:r>
      <w:r>
        <w:fldChar w:fldCharType="separate"/>
      </w:r>
      <w:r>
        <w:t>19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Baptist clergymen</w:t>
      </w:r>
      <w:r>
        <w:tab/>
      </w:r>
      <w:r>
        <w:fldChar w:fldCharType="begin"/>
      </w:r>
      <w:r>
        <w:instrText xml:space="preserve"> PAGEREF _Toc131514260 \h </w:instrText>
      </w:r>
      <w:r>
        <w:fldChar w:fldCharType="separate"/>
      </w:r>
      <w:r>
        <w:t>19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Anglican clergy</w:t>
      </w:r>
      <w:r>
        <w:tab/>
      </w:r>
      <w:r>
        <w:fldChar w:fldCharType="begin"/>
      </w:r>
      <w:r>
        <w:instrText xml:space="preserve"> PAGEREF _Toc131514261 \h </w:instrText>
      </w:r>
      <w:r>
        <w:fldChar w:fldCharType="separate"/>
      </w:r>
      <w:r>
        <w:t>19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Other clergymen</w:t>
      </w:r>
      <w:r>
        <w:tab/>
      </w:r>
      <w:r>
        <w:fldChar w:fldCharType="begin"/>
      </w:r>
      <w:r>
        <w:instrText xml:space="preserve"> PAGEREF _Toc131514262 \h </w:instrText>
      </w:r>
      <w:r>
        <w:fldChar w:fldCharType="separate"/>
      </w:r>
      <w:r>
        <w:t>20</w:t>
      </w:r>
      <w:r>
        <w:fldChar w:fldCharType="end"/>
      </w:r>
    </w:p>
    <w:p>
      <w:pPr>
        <w:pStyle w:val="TOC8"/>
        <w:rPr>
          <w:rFonts w:asciiTheme="minorHAnsi" w:eastAsiaTheme="minorEastAsia" w:hAnsiTheme="minorHAnsi" w:cstheme="minorBidi"/>
          <w:szCs w:val="22"/>
        </w:rPr>
      </w:pPr>
      <w:r>
        <w:t>10A.</w:t>
      </w:r>
      <w:r>
        <w:tab/>
        <w:t>Working directors</w:t>
      </w:r>
      <w:r>
        <w:tab/>
      </w:r>
      <w:r>
        <w:fldChar w:fldCharType="begin"/>
      </w:r>
      <w:r>
        <w:instrText xml:space="preserve"> PAGEREF _Toc131514263 \h </w:instrText>
      </w:r>
      <w:r>
        <w:fldChar w:fldCharType="separate"/>
      </w:r>
      <w:r>
        <w:t>20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Contracted sporting contestants are not workers</w:t>
      </w:r>
      <w:r>
        <w:tab/>
      </w:r>
      <w:r>
        <w:fldChar w:fldCharType="begin"/>
      </w:r>
      <w:r>
        <w:instrText xml:space="preserve"> PAGEREF _Toc131514264 \h </w:instrText>
      </w:r>
      <w:r>
        <w:fldChar w:fldCharType="separate"/>
      </w:r>
      <w:r>
        <w:t>22</w:t>
      </w:r>
      <w:r>
        <w:fldChar w:fldCharType="end"/>
      </w:r>
    </w:p>
    <w:p>
      <w:pPr>
        <w:pStyle w:val="TOC8"/>
        <w:rPr>
          <w:rFonts w:asciiTheme="minorHAnsi" w:eastAsiaTheme="minorEastAsia" w:hAnsiTheme="minorHAnsi" w:cstheme="minorBidi"/>
          <w:szCs w:val="22"/>
        </w:rPr>
      </w:pPr>
      <w:r>
        <w:t>11A.</w:t>
      </w:r>
      <w:r>
        <w:tab/>
        <w:t>Jockeys</w:t>
      </w:r>
      <w:r>
        <w:tab/>
      </w:r>
      <w:r>
        <w:fldChar w:fldCharType="begin"/>
      </w:r>
      <w:r>
        <w:instrText xml:space="preserve"> PAGEREF _Toc131514265 \h </w:instrText>
      </w:r>
      <w:r>
        <w:fldChar w:fldCharType="separate"/>
      </w:r>
      <w:r>
        <w:t>22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Compensation not payable in some cases for injury or death before 28 Nov 1977</w:t>
      </w:r>
      <w:r>
        <w:tab/>
      </w:r>
      <w:r>
        <w:fldChar w:fldCharType="begin"/>
      </w:r>
      <w:r>
        <w:instrText xml:space="preserve"> PAGEREF _Toc131514266 \h </w:instrText>
      </w:r>
      <w:r>
        <w:fldChar w:fldCharType="separate"/>
      </w:r>
      <w:r>
        <w:t>24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Act s. 11 and 12 do not affect case where compensation paid before 28 Nov 1977</w:t>
      </w:r>
      <w:r>
        <w:tab/>
      </w:r>
      <w:r>
        <w:fldChar w:fldCharType="begin"/>
      </w:r>
      <w:r>
        <w:instrText xml:space="preserve"> PAGEREF _Toc131514267 \h </w:instrText>
      </w:r>
      <w:r>
        <w:fldChar w:fldCharType="separate"/>
      </w:r>
      <w:r>
        <w:t>24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Workers employed by Crown</w:t>
      </w:r>
      <w:r>
        <w:tab/>
      </w:r>
      <w:r>
        <w:fldChar w:fldCharType="begin"/>
      </w:r>
      <w:r>
        <w:instrText xml:space="preserve"> PAGEREF _Toc131514268 \h </w:instrText>
      </w:r>
      <w:r>
        <w:fldChar w:fldCharType="separate"/>
      </w:r>
      <w:r>
        <w:t>24</w:t>
      </w:r>
      <w:r>
        <w:fldChar w:fldCharType="end"/>
      </w:r>
    </w:p>
    <w:p>
      <w:pPr>
        <w:pStyle w:val="TOC8"/>
        <w:rPr>
          <w:rFonts w:asciiTheme="minorHAnsi" w:eastAsiaTheme="minorEastAsia" w:hAnsiTheme="minorHAnsi" w:cstheme="minorBidi"/>
          <w:szCs w:val="22"/>
        </w:rPr>
      </w:pPr>
      <w:r>
        <w:lastRenderedPageBreak/>
        <w:t>16</w:t>
      </w:r>
      <w:r>
        <w:rPr>
          <w:snapToGrid w:val="0"/>
        </w:rPr>
        <w:t>.</w:t>
      </w:r>
      <w:r>
        <w:rPr>
          <w:snapToGrid w:val="0"/>
        </w:rPr>
        <w:tab/>
        <w:t>Workers employed on some ships</w:t>
      </w:r>
      <w:r>
        <w:tab/>
      </w:r>
      <w:r>
        <w:fldChar w:fldCharType="begin"/>
      </w:r>
      <w:r>
        <w:instrText xml:space="preserve"> PAGEREF _Toc131514269 \h </w:instrText>
      </w:r>
      <w:r>
        <w:fldChar w:fldCharType="separate"/>
      </w:r>
      <w:r>
        <w:t>25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Crew of fishing vessel</w:t>
      </w:r>
      <w:r>
        <w:tab/>
      </w:r>
      <w:r>
        <w:fldChar w:fldCharType="begin"/>
      </w:r>
      <w:r>
        <w:instrText xml:space="preserve"> PAGEREF _Toc131514270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III — Compensation</w:t>
      </w:r>
    </w:p>
    <w:p>
      <w:pPr>
        <w:pStyle w:val="TOC4"/>
        <w:tabs>
          <w:tab w:val="right" w:leader="dot" w:pos="7077"/>
        </w:tabs>
        <w:rPr>
          <w:rFonts w:asciiTheme="minorHAnsi" w:eastAsiaTheme="minorEastAsia" w:hAnsiTheme="minorHAnsi" w:cstheme="minorBidi"/>
          <w:b w:val="0"/>
          <w:szCs w:val="22"/>
        </w:rPr>
      </w:pPr>
      <w:r>
        <w:t>Division 1 — Injury: general</w:t>
      </w:r>
    </w:p>
    <w:p>
      <w:pPr>
        <w:pStyle w:val="TOC8"/>
        <w:rPr>
          <w:rFonts w:asciiTheme="minorHAnsi" w:eastAsiaTheme="minorEastAsia" w:hAnsiTheme="minorHAnsi" w:cstheme="minorBidi"/>
          <w:szCs w:val="22"/>
        </w:rPr>
      </w:pPr>
      <w:r>
        <w:t>18</w:t>
      </w:r>
      <w:r>
        <w:rPr>
          <w:snapToGrid w:val="0"/>
        </w:rPr>
        <w:t>.</w:t>
      </w:r>
      <w:r>
        <w:rPr>
          <w:snapToGrid w:val="0"/>
        </w:rPr>
        <w:tab/>
        <w:t>Employers liable to pay compensation for injuries to workers</w:t>
      </w:r>
      <w:r>
        <w:tab/>
      </w:r>
      <w:r>
        <w:fldChar w:fldCharType="begin"/>
      </w:r>
      <w:r>
        <w:instrText xml:space="preserve"> PAGEREF _Toc131514273 \h </w:instrText>
      </w:r>
      <w:r>
        <w:fldChar w:fldCharType="separate"/>
      </w:r>
      <w:r>
        <w:t>28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Personal injury by accident arising out of or in course of employment, meaning of</w:t>
      </w:r>
      <w:r>
        <w:tab/>
      </w:r>
      <w:r>
        <w:fldChar w:fldCharType="begin"/>
      </w:r>
      <w:r>
        <w:instrText xml:space="preserve"> PAGEREF _Toc131514274 \h </w:instrText>
      </w:r>
      <w:r>
        <w:fldChar w:fldCharType="separate"/>
      </w:r>
      <w:r>
        <w:t>28</w:t>
      </w:r>
      <w:r>
        <w:fldChar w:fldCharType="end"/>
      </w:r>
    </w:p>
    <w:p>
      <w:pPr>
        <w:pStyle w:val="TOC8"/>
        <w:rPr>
          <w:rFonts w:asciiTheme="minorHAnsi" w:eastAsiaTheme="minorEastAsia" w:hAnsiTheme="minorHAnsi" w:cstheme="minorBidi"/>
          <w:szCs w:val="22"/>
        </w:rPr>
      </w:pPr>
      <w:r>
        <w:t>20.</w:t>
      </w:r>
      <w:r>
        <w:tab/>
        <w:t>Compensation not payable unless worker’s employment connected with WA</w:t>
      </w:r>
      <w:r>
        <w:tab/>
      </w:r>
      <w:r>
        <w:fldChar w:fldCharType="begin"/>
      </w:r>
      <w:r>
        <w:instrText xml:space="preserve"> PAGEREF _Toc131514275 \h </w:instrText>
      </w:r>
      <w:r>
        <w:fldChar w:fldCharType="separate"/>
      </w:r>
      <w:r>
        <w:t>30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Compensation payable from date of incapacity</w:t>
      </w:r>
      <w:r>
        <w:tab/>
      </w:r>
      <w:r>
        <w:fldChar w:fldCharType="begin"/>
      </w:r>
      <w:r>
        <w:instrText xml:space="preserve"> PAGEREF _Toc131514276 \h </w:instrText>
      </w:r>
      <w:r>
        <w:fldChar w:fldCharType="separate"/>
      </w:r>
      <w:r>
        <w:t>31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Serious and wilful misconduct by worker, effect of</w:t>
      </w:r>
      <w:r>
        <w:tab/>
      </w:r>
      <w:r>
        <w:fldChar w:fldCharType="begin"/>
      </w:r>
      <w:r>
        <w:instrText xml:space="preserve"> PAGEREF _Toc131514277 \h </w:instrText>
      </w:r>
      <w:r>
        <w:fldChar w:fldCharType="separate"/>
      </w:r>
      <w:r>
        <w:t>31</w:t>
      </w:r>
      <w:r>
        <w:fldChar w:fldCharType="end"/>
      </w:r>
    </w:p>
    <w:p>
      <w:pPr>
        <w:pStyle w:val="TOC8"/>
        <w:rPr>
          <w:rFonts w:asciiTheme="minorHAnsi" w:eastAsiaTheme="minorEastAsia" w:hAnsiTheme="minorHAnsi" w:cstheme="minorBidi"/>
          <w:szCs w:val="22"/>
        </w:rPr>
      </w:pPr>
      <w:r>
        <w:t>23.</w:t>
      </w:r>
      <w:r>
        <w:tab/>
        <w:t>Person not to be compensated twice</w:t>
      </w:r>
      <w:r>
        <w:tab/>
      </w:r>
      <w:r>
        <w:fldChar w:fldCharType="begin"/>
      </w:r>
      <w:r>
        <w:instrText xml:space="preserve"> PAGEREF _Toc131514278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1a — Determination by courts and recognition of determination</w:t>
      </w:r>
    </w:p>
    <w:p>
      <w:pPr>
        <w:pStyle w:val="TOC8"/>
        <w:rPr>
          <w:rFonts w:asciiTheme="minorHAnsi" w:eastAsiaTheme="minorEastAsia" w:hAnsiTheme="minorHAnsi" w:cstheme="minorBidi"/>
          <w:szCs w:val="22"/>
        </w:rPr>
      </w:pPr>
      <w:r>
        <w:t>23A.</w:t>
      </w:r>
      <w:r>
        <w:tab/>
        <w:t>Term used: court</w:t>
      </w:r>
      <w:r>
        <w:tab/>
      </w:r>
      <w:r>
        <w:fldChar w:fldCharType="begin"/>
      </w:r>
      <w:r>
        <w:instrText xml:space="preserve"> PAGEREF _Toc131514280 \h </w:instrText>
      </w:r>
      <w:r>
        <w:fldChar w:fldCharType="separate"/>
      </w:r>
      <w:r>
        <w:t>33</w:t>
      </w:r>
      <w:r>
        <w:fldChar w:fldCharType="end"/>
      </w:r>
    </w:p>
    <w:p>
      <w:pPr>
        <w:pStyle w:val="TOC8"/>
        <w:rPr>
          <w:rFonts w:asciiTheme="minorHAnsi" w:eastAsiaTheme="minorEastAsia" w:hAnsiTheme="minorHAnsi" w:cstheme="minorBidi"/>
          <w:szCs w:val="22"/>
        </w:rPr>
      </w:pPr>
      <w:r>
        <w:t>23B.</w:t>
      </w:r>
      <w:r>
        <w:tab/>
        <w:t>Determining if WA is connected with worker’s employment</w:t>
      </w:r>
      <w:r>
        <w:tab/>
      </w:r>
      <w:r>
        <w:fldChar w:fldCharType="begin"/>
      </w:r>
      <w:r>
        <w:instrText xml:space="preserve"> PAGEREF _Toc131514281 \h </w:instrText>
      </w:r>
      <w:r>
        <w:fldChar w:fldCharType="separate"/>
      </w:r>
      <w:r>
        <w:t>33</w:t>
      </w:r>
      <w:r>
        <w:fldChar w:fldCharType="end"/>
      </w:r>
    </w:p>
    <w:p>
      <w:pPr>
        <w:pStyle w:val="TOC8"/>
        <w:rPr>
          <w:rFonts w:asciiTheme="minorHAnsi" w:eastAsiaTheme="minorEastAsia" w:hAnsiTheme="minorHAnsi" w:cstheme="minorBidi"/>
          <w:szCs w:val="22"/>
        </w:rPr>
      </w:pPr>
      <w:r>
        <w:t>23C.</w:t>
      </w:r>
      <w:r>
        <w:tab/>
        <w:t>Application to District Court to determine which State is connected with worker’s employment</w:t>
      </w:r>
      <w:r>
        <w:tab/>
      </w:r>
      <w:r>
        <w:fldChar w:fldCharType="begin"/>
      </w:r>
      <w:r>
        <w:instrText xml:space="preserve"> PAGEREF _Toc131514282 \h </w:instrText>
      </w:r>
      <w:r>
        <w:fldChar w:fldCharType="separate"/>
      </w:r>
      <w:r>
        <w:t>33</w:t>
      </w:r>
      <w:r>
        <w:fldChar w:fldCharType="end"/>
      </w:r>
    </w:p>
    <w:p>
      <w:pPr>
        <w:pStyle w:val="TOC8"/>
        <w:rPr>
          <w:rFonts w:asciiTheme="minorHAnsi" w:eastAsiaTheme="minorEastAsia" w:hAnsiTheme="minorHAnsi" w:cstheme="minorBidi"/>
          <w:szCs w:val="22"/>
        </w:rPr>
      </w:pPr>
      <w:r>
        <w:t>23D.</w:t>
      </w:r>
      <w:r>
        <w:tab/>
        <w:t>Recognition of previous determinations</w:t>
      </w:r>
      <w:r>
        <w:tab/>
      </w:r>
      <w:r>
        <w:fldChar w:fldCharType="begin"/>
      </w:r>
      <w:r>
        <w:instrText xml:space="preserve"> PAGEREF _Toc131514283 \h </w:instrText>
      </w:r>
      <w:r>
        <w:fldChar w:fldCharType="separate"/>
      </w:r>
      <w:r>
        <w:t>34</w:t>
      </w:r>
      <w:r>
        <w:fldChar w:fldCharType="end"/>
      </w:r>
    </w:p>
    <w:p>
      <w:pPr>
        <w:pStyle w:val="TOC8"/>
        <w:rPr>
          <w:rFonts w:asciiTheme="minorHAnsi" w:eastAsiaTheme="minorEastAsia" w:hAnsiTheme="minorHAnsi" w:cstheme="minorBidi"/>
          <w:szCs w:val="22"/>
        </w:rPr>
      </w:pPr>
      <w:r>
        <w:t>23E.</w:t>
      </w:r>
      <w:r>
        <w:tab/>
        <w:t>Determination may be made by consent</w:t>
      </w:r>
      <w:r>
        <w:tab/>
      </w:r>
      <w:r>
        <w:fldChar w:fldCharType="begin"/>
      </w:r>
      <w:r>
        <w:instrText xml:space="preserve"> PAGEREF _Toc131514284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Discontinued regime for lump sum payments for specified injuries</w:t>
      </w:r>
    </w:p>
    <w:p>
      <w:pPr>
        <w:pStyle w:val="TOC8"/>
        <w:rPr>
          <w:rFonts w:asciiTheme="minorHAnsi" w:eastAsiaTheme="minorEastAsia" w:hAnsiTheme="minorHAnsi" w:cstheme="minorBidi"/>
          <w:szCs w:val="22"/>
        </w:rPr>
      </w:pPr>
      <w:r>
        <w:t>24</w:t>
      </w:r>
      <w:r>
        <w:rPr>
          <w:snapToGrid w:val="0"/>
        </w:rPr>
        <w:t>.</w:t>
      </w:r>
      <w:r>
        <w:rPr>
          <w:snapToGrid w:val="0"/>
        </w:rPr>
        <w:tab/>
        <w:t>Injuries in Sch. 2 occurring before 14 Nov 2005, worker may elect to get lump sum for</w:t>
      </w:r>
      <w:r>
        <w:tab/>
      </w:r>
      <w:r>
        <w:fldChar w:fldCharType="begin"/>
      </w:r>
      <w:r>
        <w:instrText xml:space="preserve"> PAGEREF _Toc131514286 \h </w:instrText>
      </w:r>
      <w:r>
        <w:fldChar w:fldCharType="separate"/>
      </w:r>
      <w:r>
        <w:t>35</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Noise induced hearing loss, worker may elect to get lump sum for in some cases</w:t>
      </w:r>
      <w:r>
        <w:tab/>
      </w:r>
      <w:r>
        <w:fldChar w:fldCharType="begin"/>
      </w:r>
      <w:r>
        <w:instrText xml:space="preserve"> PAGEREF _Toc131514287 \h </w:instrText>
      </w:r>
      <w:r>
        <w:fldChar w:fldCharType="separate"/>
      </w:r>
      <w:r>
        <w:t>35</w:t>
      </w:r>
      <w:r>
        <w:fldChar w:fldCharType="end"/>
      </w:r>
    </w:p>
    <w:p>
      <w:pPr>
        <w:pStyle w:val="TOC8"/>
        <w:rPr>
          <w:rFonts w:asciiTheme="minorHAnsi" w:eastAsiaTheme="minorEastAsia" w:hAnsiTheme="minorHAnsi" w:cstheme="minorBidi"/>
          <w:szCs w:val="22"/>
        </w:rPr>
      </w:pPr>
      <w:r>
        <w:t>24B</w:t>
      </w:r>
      <w:r>
        <w:rPr>
          <w:snapToGrid w:val="0"/>
        </w:rPr>
        <w:t>.</w:t>
      </w:r>
      <w:r>
        <w:rPr>
          <w:snapToGrid w:val="0"/>
        </w:rPr>
        <w:tab/>
        <w:t>Election under s. 24 or 24A</w:t>
      </w:r>
      <w:r>
        <w:tab/>
      </w:r>
      <w:r>
        <w:fldChar w:fldCharType="begin"/>
      </w:r>
      <w:r>
        <w:instrText xml:space="preserve"> PAGEREF _Toc131514288 \h </w:instrText>
      </w:r>
      <w:r>
        <w:fldChar w:fldCharType="separate"/>
      </w:r>
      <w:r>
        <w:t>37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Term used: loss of</w:t>
      </w:r>
      <w:r>
        <w:tab/>
      </w:r>
      <w:r>
        <w:fldChar w:fldCharType="begin"/>
      </w:r>
      <w:r>
        <w:instrText xml:space="preserve"> PAGEREF _Toc131514289 \h </w:instrText>
      </w:r>
      <w:r>
        <w:fldChar w:fldCharType="separate"/>
      </w:r>
      <w:r>
        <w:t>38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Further loss of use of part or faculty of body due to subsequent injury, compensation for</w:t>
      </w:r>
      <w:r>
        <w:tab/>
      </w:r>
      <w:r>
        <w:fldChar w:fldCharType="begin"/>
      </w:r>
      <w:r>
        <w:instrText xml:space="preserve"> PAGEREF _Toc131514290 \h </w:instrText>
      </w:r>
      <w:r>
        <w:fldChar w:fldCharType="separate"/>
      </w:r>
      <w:r>
        <w:t>39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Compensation decisions etc. made before 18 May 1978, on basis of Sch. 2, effect of</w:t>
      </w:r>
      <w:r>
        <w:tab/>
      </w:r>
      <w:r>
        <w:fldChar w:fldCharType="begin"/>
      </w:r>
      <w:r>
        <w:instrText xml:space="preserve"> PAGEREF _Toc131514291 \h </w:instrText>
      </w:r>
      <w:r>
        <w:fldChar w:fldCharType="separate"/>
      </w:r>
      <w:r>
        <w:t>40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Limit on compensation for worker electing under s. 24B</w:t>
      </w:r>
      <w:r>
        <w:tab/>
      </w:r>
      <w:r>
        <w:fldChar w:fldCharType="begin"/>
      </w:r>
      <w:r>
        <w:instrText xml:space="preserve"> PAGEREF _Toc131514292 \h </w:instrText>
      </w:r>
      <w:r>
        <w:fldChar w:fldCharType="separate"/>
      </w:r>
      <w:r>
        <w:t>40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Effect of s. 24 and 24A on compensation for incapacity</w:t>
      </w:r>
      <w:r>
        <w:tab/>
      </w:r>
      <w:r>
        <w:fldChar w:fldCharType="begin"/>
      </w:r>
      <w:r>
        <w:instrText xml:space="preserve"> PAGEREF _Toc131514293 \h </w:instrText>
      </w:r>
      <w:r>
        <w:fldChar w:fldCharType="separate"/>
      </w:r>
      <w:r>
        <w:t>40</w:t>
      </w:r>
      <w:r>
        <w:fldChar w:fldCharType="end"/>
      </w:r>
    </w:p>
    <w:p>
      <w:pPr>
        <w:pStyle w:val="TOC8"/>
        <w:rPr>
          <w:rFonts w:asciiTheme="minorHAnsi" w:eastAsiaTheme="minorEastAsia" w:hAnsiTheme="minorHAnsi" w:cstheme="minorBidi"/>
          <w:szCs w:val="22"/>
        </w:rPr>
      </w:pPr>
      <w:r>
        <w:lastRenderedPageBreak/>
        <w:t>30</w:t>
      </w:r>
      <w:r>
        <w:rPr>
          <w:snapToGrid w:val="0"/>
        </w:rPr>
        <w:t>.</w:t>
      </w:r>
      <w:r>
        <w:rPr>
          <w:snapToGrid w:val="0"/>
        </w:rPr>
        <w:tab/>
        <w:t>Compensation payable before election under s. 24B</w:t>
      </w:r>
      <w:r>
        <w:tab/>
      </w:r>
      <w:r>
        <w:fldChar w:fldCharType="begin"/>
      </w:r>
      <w:r>
        <w:instrText xml:space="preserve"> PAGEREF _Toc131514294 \h </w:instrText>
      </w:r>
      <w:r>
        <w:fldChar w:fldCharType="separate"/>
      </w:r>
      <w:r>
        <w:t>41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Sch. 2 Part 1, interpretation of</w:t>
      </w:r>
      <w:r>
        <w:tab/>
      </w:r>
      <w:r>
        <w:fldChar w:fldCharType="begin"/>
      </w:r>
      <w:r>
        <w:instrText xml:space="preserve"> PAGEREF _Toc131514295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2A — New regime for lump sum payments for specified injuries</w:t>
      </w:r>
    </w:p>
    <w:p>
      <w:pPr>
        <w:pStyle w:val="TOC8"/>
        <w:rPr>
          <w:rFonts w:asciiTheme="minorHAnsi" w:eastAsiaTheme="minorEastAsia" w:hAnsiTheme="minorHAnsi" w:cstheme="minorBidi"/>
          <w:szCs w:val="22"/>
        </w:rPr>
      </w:pPr>
      <w:r>
        <w:t>31A.</w:t>
      </w:r>
      <w:r>
        <w:tab/>
        <w:t>Application of Division</w:t>
      </w:r>
      <w:r>
        <w:tab/>
      </w:r>
      <w:r>
        <w:fldChar w:fldCharType="begin"/>
      </w:r>
      <w:r>
        <w:instrText xml:space="preserve"> PAGEREF _Toc131514297 \h </w:instrText>
      </w:r>
      <w:r>
        <w:fldChar w:fldCharType="separate"/>
      </w:r>
      <w:r>
        <w:t>42</w:t>
      </w:r>
      <w:r>
        <w:fldChar w:fldCharType="end"/>
      </w:r>
    </w:p>
    <w:p>
      <w:pPr>
        <w:pStyle w:val="TOC8"/>
        <w:rPr>
          <w:rFonts w:asciiTheme="minorHAnsi" w:eastAsiaTheme="minorEastAsia" w:hAnsiTheme="minorHAnsi" w:cstheme="minorBidi"/>
          <w:szCs w:val="22"/>
        </w:rPr>
      </w:pPr>
      <w:r>
        <w:t>31B.</w:t>
      </w:r>
      <w:r>
        <w:tab/>
        <w:t>Term used: degree of permanent impairment</w:t>
      </w:r>
      <w:r>
        <w:tab/>
      </w:r>
      <w:r>
        <w:fldChar w:fldCharType="begin"/>
      </w:r>
      <w:r>
        <w:instrText xml:space="preserve"> PAGEREF _Toc131514298 \h </w:instrText>
      </w:r>
      <w:r>
        <w:fldChar w:fldCharType="separate"/>
      </w:r>
      <w:r>
        <w:t>42</w:t>
      </w:r>
      <w:r>
        <w:fldChar w:fldCharType="end"/>
      </w:r>
    </w:p>
    <w:p>
      <w:pPr>
        <w:pStyle w:val="TOC8"/>
        <w:rPr>
          <w:rFonts w:asciiTheme="minorHAnsi" w:eastAsiaTheme="minorEastAsia" w:hAnsiTheme="minorHAnsi" w:cstheme="minorBidi"/>
          <w:szCs w:val="22"/>
        </w:rPr>
      </w:pPr>
      <w:r>
        <w:t>31C.</w:t>
      </w:r>
      <w:r>
        <w:tab/>
        <w:t>Permanent impairments in Sch. 2, worker may elect to get lump sum for</w:t>
      </w:r>
      <w:r>
        <w:tab/>
      </w:r>
      <w:r>
        <w:fldChar w:fldCharType="begin"/>
      </w:r>
      <w:r>
        <w:instrText xml:space="preserve"> PAGEREF _Toc131514299 \h </w:instrText>
      </w:r>
      <w:r>
        <w:fldChar w:fldCharType="separate"/>
      </w:r>
      <w:r>
        <w:t>43</w:t>
      </w:r>
      <w:r>
        <w:fldChar w:fldCharType="end"/>
      </w:r>
    </w:p>
    <w:p>
      <w:pPr>
        <w:pStyle w:val="TOC8"/>
        <w:rPr>
          <w:rFonts w:asciiTheme="minorHAnsi" w:eastAsiaTheme="minorEastAsia" w:hAnsiTheme="minorHAnsi" w:cstheme="minorBidi"/>
          <w:szCs w:val="22"/>
        </w:rPr>
      </w:pPr>
      <w:r>
        <w:t>31D.</w:t>
      </w:r>
      <w:r>
        <w:tab/>
        <w:t>Permanent impairments in Sch. 2, assessment of degree of</w:t>
      </w:r>
      <w:r>
        <w:tab/>
      </w:r>
      <w:r>
        <w:fldChar w:fldCharType="begin"/>
      </w:r>
      <w:r>
        <w:instrText xml:space="preserve"> PAGEREF _Toc131514300 \h </w:instrText>
      </w:r>
      <w:r>
        <w:fldChar w:fldCharType="separate"/>
      </w:r>
      <w:r>
        <w:t>43</w:t>
      </w:r>
      <w:r>
        <w:fldChar w:fldCharType="end"/>
      </w:r>
    </w:p>
    <w:p>
      <w:pPr>
        <w:pStyle w:val="TOC8"/>
        <w:rPr>
          <w:rFonts w:asciiTheme="minorHAnsi" w:eastAsiaTheme="minorEastAsia" w:hAnsiTheme="minorHAnsi" w:cstheme="minorBidi"/>
          <w:szCs w:val="22"/>
        </w:rPr>
      </w:pPr>
      <w:r>
        <w:t>31E.</w:t>
      </w:r>
      <w:r>
        <w:tab/>
        <w:t>Noise induced hearing loss, worker may elect to get lump sum for in some cases</w:t>
      </w:r>
      <w:r>
        <w:tab/>
      </w:r>
      <w:r>
        <w:fldChar w:fldCharType="begin"/>
      </w:r>
      <w:r>
        <w:instrText xml:space="preserve"> PAGEREF _Toc131514301 \h </w:instrText>
      </w:r>
      <w:r>
        <w:fldChar w:fldCharType="separate"/>
      </w:r>
      <w:r>
        <w:t>44</w:t>
      </w:r>
      <w:r>
        <w:fldChar w:fldCharType="end"/>
      </w:r>
    </w:p>
    <w:p>
      <w:pPr>
        <w:pStyle w:val="TOC8"/>
        <w:rPr>
          <w:rFonts w:asciiTheme="minorHAnsi" w:eastAsiaTheme="minorEastAsia" w:hAnsiTheme="minorHAnsi" w:cstheme="minorBidi"/>
          <w:szCs w:val="22"/>
        </w:rPr>
      </w:pPr>
      <w:r>
        <w:t>31F.</w:t>
      </w:r>
      <w:r>
        <w:tab/>
        <w:t>AIDS, compensation for</w:t>
      </w:r>
      <w:r>
        <w:tab/>
      </w:r>
      <w:r>
        <w:fldChar w:fldCharType="begin"/>
      </w:r>
      <w:r>
        <w:instrText xml:space="preserve"> PAGEREF _Toc131514302 \h </w:instrText>
      </w:r>
      <w:r>
        <w:fldChar w:fldCharType="separate"/>
      </w:r>
      <w:r>
        <w:t>46</w:t>
      </w:r>
      <w:r>
        <w:fldChar w:fldCharType="end"/>
      </w:r>
    </w:p>
    <w:p>
      <w:pPr>
        <w:pStyle w:val="TOC8"/>
        <w:rPr>
          <w:rFonts w:asciiTheme="minorHAnsi" w:eastAsiaTheme="minorEastAsia" w:hAnsiTheme="minorHAnsi" w:cstheme="minorBidi"/>
          <w:szCs w:val="22"/>
        </w:rPr>
      </w:pPr>
      <w:r>
        <w:t>31G.</w:t>
      </w:r>
      <w:r>
        <w:tab/>
      </w:r>
      <w:r>
        <w:rPr>
          <w:snapToGrid w:val="0"/>
        </w:rPr>
        <w:t>Further loss of use of part or faculty of body due to subsequent injury, compensation for</w:t>
      </w:r>
      <w:r>
        <w:tab/>
      </w:r>
      <w:r>
        <w:fldChar w:fldCharType="begin"/>
      </w:r>
      <w:r>
        <w:instrText xml:space="preserve"> PAGEREF _Toc131514303 \h </w:instrText>
      </w:r>
      <w:r>
        <w:fldChar w:fldCharType="separate"/>
      </w:r>
      <w:r>
        <w:t>47</w:t>
      </w:r>
      <w:r>
        <w:fldChar w:fldCharType="end"/>
      </w:r>
    </w:p>
    <w:p>
      <w:pPr>
        <w:pStyle w:val="TOC8"/>
        <w:rPr>
          <w:rFonts w:asciiTheme="minorHAnsi" w:eastAsiaTheme="minorEastAsia" w:hAnsiTheme="minorHAnsi" w:cstheme="minorBidi"/>
          <w:szCs w:val="22"/>
        </w:rPr>
      </w:pPr>
      <w:r>
        <w:t>31H.</w:t>
      </w:r>
      <w:r>
        <w:tab/>
        <w:t>Election under s. 31C or 31E</w:t>
      </w:r>
      <w:r>
        <w:tab/>
      </w:r>
      <w:r>
        <w:fldChar w:fldCharType="begin"/>
      </w:r>
      <w:r>
        <w:instrText xml:space="preserve"> PAGEREF _Toc131514304 \h </w:instrText>
      </w:r>
      <w:r>
        <w:fldChar w:fldCharType="separate"/>
      </w:r>
      <w:r>
        <w:t>48</w:t>
      </w:r>
      <w:r>
        <w:fldChar w:fldCharType="end"/>
      </w:r>
    </w:p>
    <w:p>
      <w:pPr>
        <w:pStyle w:val="TOC8"/>
        <w:rPr>
          <w:rFonts w:asciiTheme="minorHAnsi" w:eastAsiaTheme="minorEastAsia" w:hAnsiTheme="minorHAnsi" w:cstheme="minorBidi"/>
          <w:szCs w:val="22"/>
        </w:rPr>
      </w:pPr>
      <w:r>
        <w:t>31I.</w:t>
      </w:r>
      <w:r>
        <w:tab/>
        <w:t>Effect of election under s. 31H</w:t>
      </w:r>
      <w:r>
        <w:tab/>
      </w:r>
      <w:r>
        <w:fldChar w:fldCharType="begin"/>
      </w:r>
      <w:r>
        <w:instrText xml:space="preserve"> PAGEREF _Toc131514305 \h </w:instrText>
      </w:r>
      <w:r>
        <w:fldChar w:fldCharType="separate"/>
      </w:r>
      <w:r>
        <w:t>49</w:t>
      </w:r>
      <w:r>
        <w:fldChar w:fldCharType="end"/>
      </w:r>
    </w:p>
    <w:p>
      <w:pPr>
        <w:pStyle w:val="TOC8"/>
        <w:rPr>
          <w:rFonts w:asciiTheme="minorHAnsi" w:eastAsiaTheme="minorEastAsia" w:hAnsiTheme="minorHAnsi" w:cstheme="minorBidi"/>
          <w:szCs w:val="22"/>
        </w:rPr>
      </w:pPr>
      <w:r>
        <w:t>31J.</w:t>
      </w:r>
      <w:r>
        <w:tab/>
        <w:t>Limit on compensation for worker electing under s. 31H</w:t>
      </w:r>
      <w:r>
        <w:tab/>
      </w:r>
      <w:r>
        <w:fldChar w:fldCharType="begin"/>
      </w:r>
      <w:r>
        <w:instrText xml:space="preserve"> PAGEREF _Toc131514306 \h </w:instrText>
      </w:r>
      <w:r>
        <w:fldChar w:fldCharType="separate"/>
      </w:r>
      <w:r>
        <w:t>50</w:t>
      </w:r>
      <w:r>
        <w:fldChar w:fldCharType="end"/>
      </w:r>
    </w:p>
    <w:p>
      <w:pPr>
        <w:pStyle w:val="TOC8"/>
        <w:rPr>
          <w:rFonts w:asciiTheme="minorHAnsi" w:eastAsiaTheme="minorEastAsia" w:hAnsiTheme="minorHAnsi" w:cstheme="minorBidi"/>
          <w:szCs w:val="22"/>
        </w:rPr>
      </w:pPr>
      <w:r>
        <w:t>31K.</w:t>
      </w:r>
      <w:r>
        <w:tab/>
        <w:t>Compensation payable before election under s. 31H</w:t>
      </w:r>
      <w:r>
        <w:tab/>
      </w:r>
      <w:r>
        <w:fldChar w:fldCharType="begin"/>
      </w:r>
      <w:r>
        <w:instrText xml:space="preserve"> PAGEREF _Toc131514307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3 — Injury: specified industrial diseases</w:t>
      </w:r>
    </w:p>
    <w:p>
      <w:pPr>
        <w:pStyle w:val="TOC8"/>
        <w:rPr>
          <w:rFonts w:asciiTheme="minorHAnsi" w:eastAsiaTheme="minorEastAsia" w:hAnsiTheme="minorHAnsi" w:cstheme="minorBidi"/>
          <w:szCs w:val="22"/>
        </w:rPr>
      </w:pPr>
      <w:r>
        <w:t>32</w:t>
      </w:r>
      <w:r>
        <w:rPr>
          <w:snapToGrid w:val="0"/>
        </w:rPr>
        <w:t>.</w:t>
      </w:r>
      <w:r>
        <w:rPr>
          <w:snapToGrid w:val="0"/>
        </w:rPr>
        <w:tab/>
        <w:t>Some industrial diseases in Sch. 3, compensation for</w:t>
      </w:r>
      <w:r>
        <w:tab/>
      </w:r>
      <w:r>
        <w:fldChar w:fldCharType="begin"/>
      </w:r>
      <w:r>
        <w:instrText xml:space="preserve"> PAGEREF _Toc131514309 \h </w:instrText>
      </w:r>
      <w:r>
        <w:fldChar w:fldCharType="separate"/>
      </w:r>
      <w:r>
        <w:t>51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r>
      <w:r>
        <w:rPr>
          <w:bCs/>
        </w:rPr>
        <w:t>Pneumoconiosis, mesothelioma, lung cancer or diffuse pleural fibrosis</w:t>
      </w:r>
      <w:r>
        <w:tab/>
      </w:r>
      <w:r>
        <w:fldChar w:fldCharType="begin"/>
      </w:r>
      <w:r>
        <w:instrText xml:space="preserve"> PAGEREF _Toc131514310 \h </w:instrText>
      </w:r>
      <w:r>
        <w:fldChar w:fldCharType="separate"/>
      </w:r>
      <w:r>
        <w:t>52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Chronic bronchitis and pneumoconiosis, limit on compensation for</w:t>
      </w:r>
      <w:r>
        <w:tab/>
      </w:r>
      <w:r>
        <w:fldChar w:fldCharType="begin"/>
      </w:r>
      <w:r>
        <w:instrText xml:space="preserve"> PAGEREF _Toc131514311 \h </w:instrText>
      </w:r>
      <w:r>
        <w:fldChar w:fldCharType="separate"/>
      </w:r>
      <w:r>
        <w:t>52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Lung cancer and asbestosis, limit on compensation for</w:t>
      </w:r>
      <w:r>
        <w:tab/>
      </w:r>
      <w:r>
        <w:fldChar w:fldCharType="begin"/>
      </w:r>
      <w:r>
        <w:instrText xml:space="preserve"> PAGEREF _Toc131514312 \h </w:instrText>
      </w:r>
      <w:r>
        <w:fldChar w:fldCharType="separate"/>
      </w:r>
      <w:r>
        <w:t>53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Claim under s. 33 or 34, referring worker to medical panel</w:t>
      </w:r>
      <w:r>
        <w:tab/>
      </w:r>
      <w:r>
        <w:fldChar w:fldCharType="begin"/>
      </w:r>
      <w:r>
        <w:instrText xml:space="preserve"> PAGEREF _Toc131514313 \h </w:instrText>
      </w:r>
      <w:r>
        <w:fldChar w:fldCharType="separate"/>
      </w:r>
      <w:r>
        <w:t>53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Oral submission to medical panel by medical practitioner</w:t>
      </w:r>
      <w:r>
        <w:tab/>
      </w:r>
      <w:r>
        <w:fldChar w:fldCharType="begin"/>
      </w:r>
      <w:r>
        <w:instrText xml:space="preserve"> PAGEREF _Toc131514314 \h </w:instrText>
      </w:r>
      <w:r>
        <w:fldChar w:fldCharType="separate"/>
      </w:r>
      <w:r>
        <w:t>54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Questions to be determined by medical panel</w:t>
      </w:r>
      <w:r>
        <w:tab/>
      </w:r>
      <w:r>
        <w:fldChar w:fldCharType="begin"/>
      </w:r>
      <w:r>
        <w:instrText xml:space="preserve"> PAGEREF _Toc131514315 \h </w:instrText>
      </w:r>
      <w:r>
        <w:fldChar w:fldCharType="separate"/>
      </w:r>
      <w:r>
        <w:t>54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Tuberculosis and pneumoconiosis, compensation for</w:t>
      </w:r>
      <w:r>
        <w:tab/>
      </w:r>
      <w:r>
        <w:fldChar w:fldCharType="begin"/>
      </w:r>
      <w:r>
        <w:instrText xml:space="preserve"> PAGEREF _Toc131514316 \h </w:instrText>
      </w:r>
      <w:r>
        <w:fldChar w:fldCharType="separate"/>
      </w:r>
      <w:r>
        <w:t>56</w:t>
      </w:r>
      <w:r>
        <w:fldChar w:fldCharType="end"/>
      </w:r>
    </w:p>
    <w:p>
      <w:pPr>
        <w:pStyle w:val="TOC8"/>
        <w:rPr>
          <w:rFonts w:asciiTheme="minorHAnsi" w:eastAsiaTheme="minorEastAsia" w:hAnsiTheme="minorHAnsi" w:cstheme="minorBidi"/>
          <w:szCs w:val="22"/>
        </w:rPr>
      </w:pPr>
      <w:r>
        <w:lastRenderedPageBreak/>
        <w:t>40.</w:t>
      </w:r>
      <w:r>
        <w:tab/>
        <w:t>Death without prior incapacity, effect of for this Division</w:t>
      </w:r>
      <w:r>
        <w:tab/>
      </w:r>
      <w:r>
        <w:fldChar w:fldCharType="begin"/>
      </w:r>
      <w:r>
        <w:instrText xml:space="preserve"> PAGEREF _Toc131514317 \h </w:instrText>
      </w:r>
      <w:r>
        <w:fldChar w:fldCharType="separate"/>
      </w:r>
      <w:r>
        <w:t>56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Last employer liable but may join others</w:t>
      </w:r>
      <w:r>
        <w:tab/>
      </w:r>
      <w:r>
        <w:fldChar w:fldCharType="begin"/>
      </w:r>
      <w:r>
        <w:instrText xml:space="preserve"> PAGEREF _Toc131514318 \h </w:instrText>
      </w:r>
      <w:r>
        <w:fldChar w:fldCharType="separate"/>
      </w:r>
      <w:r>
        <w:t>56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How compensation calculated</w:t>
      </w:r>
      <w:r>
        <w:tab/>
      </w:r>
      <w:r>
        <w:fldChar w:fldCharType="begin"/>
      </w:r>
      <w:r>
        <w:instrText xml:space="preserve"> PAGEREF _Toc131514319 \h </w:instrText>
      </w:r>
      <w:r>
        <w:fldChar w:fldCharType="separate"/>
      </w:r>
      <w:r>
        <w:t>58</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Employer to whom notice to be given</w:t>
      </w:r>
      <w:r>
        <w:tab/>
      </w:r>
      <w:r>
        <w:fldChar w:fldCharType="begin"/>
      </w:r>
      <w:r>
        <w:instrText xml:space="preserve"> PAGEREF _Toc131514320 \h </w:instrText>
      </w:r>
      <w:r>
        <w:fldChar w:fldCharType="separate"/>
      </w:r>
      <w:r>
        <w:t>58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Diseases in Sch. 3 deemed due to employment in process in Sch. 3</w:t>
      </w:r>
      <w:r>
        <w:tab/>
      </w:r>
      <w:r>
        <w:fldChar w:fldCharType="begin"/>
      </w:r>
      <w:r>
        <w:instrText xml:space="preserve"> PAGEREF _Toc131514321 \h </w:instrText>
      </w:r>
      <w:r>
        <w:fldChar w:fldCharType="separate"/>
      </w:r>
      <w:r>
        <w:t>58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Additions to Sch. 3</w:t>
      </w:r>
      <w:r>
        <w:tab/>
      </w:r>
      <w:r>
        <w:fldChar w:fldCharType="begin"/>
      </w:r>
      <w:r>
        <w:instrText xml:space="preserve"> PAGEREF _Toc131514322 \h </w:instrText>
      </w:r>
      <w:r>
        <w:fldChar w:fldCharType="separate"/>
      </w:r>
      <w:r>
        <w:t>58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Compensation limited to prescribed amount</w:t>
      </w:r>
      <w:r>
        <w:tab/>
      </w:r>
      <w:r>
        <w:fldChar w:fldCharType="begin"/>
      </w:r>
      <w:r>
        <w:instrText xml:space="preserve"> PAGEREF _Toc131514323 \h </w:instrText>
      </w:r>
      <w:r>
        <w:fldChar w:fldCharType="separate"/>
      </w:r>
      <w:r>
        <w:t>59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Sch. 3 diseases to be notified by employer etc.</w:t>
      </w:r>
      <w:r>
        <w:tab/>
      </w:r>
      <w:r>
        <w:fldChar w:fldCharType="begin"/>
      </w:r>
      <w:r>
        <w:instrText xml:space="preserve"> PAGEREF _Toc131514324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4A — Injury: specified diseases contracted by firefighters</w:t>
      </w:r>
    </w:p>
    <w:p>
      <w:pPr>
        <w:pStyle w:val="TOC8"/>
        <w:rPr>
          <w:rFonts w:asciiTheme="minorHAnsi" w:eastAsiaTheme="minorEastAsia" w:hAnsiTheme="minorHAnsi" w:cstheme="minorBidi"/>
          <w:szCs w:val="22"/>
        </w:rPr>
      </w:pPr>
      <w:r>
        <w:t>49A.</w:t>
      </w:r>
      <w:r>
        <w:tab/>
        <w:t>Terms used</w:t>
      </w:r>
      <w:r>
        <w:tab/>
      </w:r>
      <w:r>
        <w:fldChar w:fldCharType="begin"/>
      </w:r>
      <w:r>
        <w:instrText xml:space="preserve"> PAGEREF _Toc131514326 \h </w:instrText>
      </w:r>
      <w:r>
        <w:fldChar w:fldCharType="separate"/>
      </w:r>
      <w:r>
        <w:t>61</w:t>
      </w:r>
      <w:r>
        <w:fldChar w:fldCharType="end"/>
      </w:r>
    </w:p>
    <w:p>
      <w:pPr>
        <w:pStyle w:val="TOC8"/>
        <w:rPr>
          <w:rFonts w:asciiTheme="minorHAnsi" w:eastAsiaTheme="minorEastAsia" w:hAnsiTheme="minorHAnsi" w:cstheme="minorBidi"/>
          <w:szCs w:val="22"/>
        </w:rPr>
      </w:pPr>
      <w:r>
        <w:t>49B.</w:t>
      </w:r>
      <w:r>
        <w:tab/>
        <w:t>Application of Division</w:t>
      </w:r>
      <w:r>
        <w:tab/>
      </w:r>
      <w:r>
        <w:fldChar w:fldCharType="begin"/>
      </w:r>
      <w:r>
        <w:instrText xml:space="preserve"> PAGEREF _Toc131514327 \h </w:instrText>
      </w:r>
      <w:r>
        <w:fldChar w:fldCharType="separate"/>
      </w:r>
      <w:r>
        <w:t>62</w:t>
      </w:r>
      <w:r>
        <w:fldChar w:fldCharType="end"/>
      </w:r>
    </w:p>
    <w:p>
      <w:pPr>
        <w:pStyle w:val="TOC8"/>
        <w:rPr>
          <w:rFonts w:asciiTheme="minorHAnsi" w:eastAsiaTheme="minorEastAsia" w:hAnsiTheme="minorHAnsi" w:cstheme="minorBidi"/>
          <w:szCs w:val="22"/>
        </w:rPr>
      </w:pPr>
      <w:r>
        <w:t>49C.</w:t>
      </w:r>
      <w:r>
        <w:tab/>
        <w:t>When firefighting employment taken to contribute to specified disease</w:t>
      </w:r>
      <w:r>
        <w:tab/>
      </w:r>
      <w:r>
        <w:fldChar w:fldCharType="begin"/>
      </w:r>
      <w:r>
        <w:instrText xml:space="preserve"> PAGEREF _Toc131514328 \h </w:instrText>
      </w:r>
      <w:r>
        <w:fldChar w:fldCharType="separate"/>
      </w:r>
      <w:r>
        <w:t>62</w:t>
      </w:r>
      <w:r>
        <w:fldChar w:fldCharType="end"/>
      </w:r>
    </w:p>
    <w:p>
      <w:pPr>
        <w:pStyle w:val="TOC8"/>
        <w:rPr>
          <w:rFonts w:asciiTheme="minorHAnsi" w:eastAsiaTheme="minorEastAsia" w:hAnsiTheme="minorHAnsi" w:cstheme="minorBidi"/>
          <w:szCs w:val="22"/>
        </w:rPr>
      </w:pPr>
      <w:r>
        <w:t>49D.</w:t>
      </w:r>
      <w:r>
        <w:tab/>
        <w:t>Date of injury</w:t>
      </w:r>
      <w:r>
        <w:tab/>
      </w:r>
      <w:r>
        <w:fldChar w:fldCharType="begin"/>
      </w:r>
      <w:r>
        <w:instrText xml:space="preserve"> PAGEREF _Toc131514329 \h </w:instrText>
      </w:r>
      <w:r>
        <w:fldChar w:fldCharType="separate"/>
      </w:r>
      <w:r>
        <w:t>63</w:t>
      </w:r>
      <w:r>
        <w:fldChar w:fldCharType="end"/>
      </w:r>
    </w:p>
    <w:p>
      <w:pPr>
        <w:pStyle w:val="TOC8"/>
        <w:rPr>
          <w:rFonts w:asciiTheme="minorHAnsi" w:eastAsiaTheme="minorEastAsia" w:hAnsiTheme="minorHAnsi" w:cstheme="minorBidi"/>
          <w:szCs w:val="22"/>
        </w:rPr>
      </w:pPr>
      <w:r>
        <w:t>49E.</w:t>
      </w:r>
      <w:r>
        <w:tab/>
        <w:t>Review of Division</w:t>
      </w:r>
      <w:r>
        <w:tab/>
      </w:r>
      <w:r>
        <w:fldChar w:fldCharType="begin"/>
      </w:r>
      <w:r>
        <w:instrText xml:space="preserve"> PAGEREF _Toc131514330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4B — Injury: prescribed diseases</w:t>
      </w:r>
    </w:p>
    <w:p>
      <w:pPr>
        <w:pStyle w:val="TOC8"/>
        <w:rPr>
          <w:rFonts w:asciiTheme="minorHAnsi" w:eastAsiaTheme="minorEastAsia" w:hAnsiTheme="minorHAnsi" w:cstheme="minorBidi"/>
          <w:szCs w:val="22"/>
        </w:rPr>
      </w:pPr>
      <w:r>
        <w:t>49F.</w:t>
      </w:r>
      <w:r>
        <w:tab/>
        <w:t>Prescribed diseases taken to be from certain employment</w:t>
      </w:r>
      <w:r>
        <w:tab/>
      </w:r>
      <w:r>
        <w:fldChar w:fldCharType="begin"/>
      </w:r>
      <w:r>
        <w:instrText xml:space="preserve"> PAGEREF _Toc131514332 \h </w:instrText>
      </w:r>
      <w:r>
        <w:fldChar w:fldCharType="separate"/>
      </w:r>
      <w:r>
        <w:t>64</w:t>
      </w:r>
      <w:r>
        <w:fldChar w:fldCharType="end"/>
      </w:r>
    </w:p>
    <w:p>
      <w:pPr>
        <w:pStyle w:val="TOC8"/>
        <w:rPr>
          <w:rFonts w:asciiTheme="minorHAnsi" w:eastAsiaTheme="minorEastAsia" w:hAnsiTheme="minorHAnsi" w:cstheme="minorBidi"/>
          <w:szCs w:val="22"/>
        </w:rPr>
      </w:pPr>
      <w:r>
        <w:t>49G.</w:t>
      </w:r>
      <w:r>
        <w:tab/>
        <w:t>Division 3 does not apply if s. 49F(3) applies</w:t>
      </w:r>
      <w:r>
        <w:tab/>
      </w:r>
      <w:r>
        <w:fldChar w:fldCharType="begin"/>
      </w:r>
      <w:r>
        <w:instrText xml:space="preserve"> PAGEREF _Toc131514333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4 — Injury: specified losses of functions</w:t>
      </w:r>
    </w:p>
    <w:p>
      <w:pPr>
        <w:pStyle w:val="TOC8"/>
        <w:rPr>
          <w:rFonts w:asciiTheme="minorHAnsi" w:eastAsiaTheme="minorEastAsia" w:hAnsiTheme="minorHAnsi" w:cstheme="minorBidi"/>
          <w:szCs w:val="22"/>
        </w:rPr>
      </w:pPr>
      <w:r>
        <w:t>49.</w:t>
      </w:r>
      <w:r>
        <w:tab/>
        <w:t>Loss of function in Sch. 4, when injury occurs as a result of</w:t>
      </w:r>
      <w:r>
        <w:tab/>
      </w:r>
      <w:r>
        <w:fldChar w:fldCharType="begin"/>
      </w:r>
      <w:r>
        <w:instrText xml:space="preserve"> PAGEREF _Toc131514335 \h </w:instrText>
      </w:r>
      <w:r>
        <w:fldChar w:fldCharType="separate"/>
      </w:r>
      <w:r>
        <w:t>66</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Last employer liable but may join others</w:t>
      </w:r>
      <w:r>
        <w:tab/>
      </w:r>
      <w:r>
        <w:fldChar w:fldCharType="begin"/>
      </w:r>
      <w:r>
        <w:instrText xml:space="preserve"> PAGEREF _Toc131514336 \h </w:instrText>
      </w:r>
      <w:r>
        <w:fldChar w:fldCharType="separate"/>
      </w:r>
      <w:r>
        <w:t>66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How compensation calculated</w:t>
      </w:r>
      <w:r>
        <w:tab/>
      </w:r>
      <w:r>
        <w:fldChar w:fldCharType="begin"/>
      </w:r>
      <w:r>
        <w:instrText xml:space="preserve"> PAGEREF _Toc131514337 \h </w:instrText>
      </w:r>
      <w:r>
        <w:fldChar w:fldCharType="separate"/>
      </w:r>
      <w:r>
        <w:t>67</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Employer to whom notice given</w:t>
      </w:r>
      <w:r>
        <w:tab/>
      </w:r>
      <w:r>
        <w:fldChar w:fldCharType="begin"/>
      </w:r>
      <w:r>
        <w:instrText xml:space="preserve"> PAGEREF _Toc131514338 \h </w:instrText>
      </w:r>
      <w:r>
        <w:fldChar w:fldCharType="separate"/>
      </w:r>
      <w:r>
        <w:t>67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Loss of function in Sch. 4 deemed due to employment in process in Sch. 4</w:t>
      </w:r>
      <w:r>
        <w:tab/>
      </w:r>
      <w:r>
        <w:fldChar w:fldCharType="begin"/>
      </w:r>
      <w:r>
        <w:instrText xml:space="preserve"> PAGEREF _Toc131514339 \h </w:instrText>
      </w:r>
      <w:r>
        <w:fldChar w:fldCharType="separate"/>
      </w:r>
      <w:r>
        <w:t>67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Additions to Sch. 4</w:t>
      </w:r>
      <w:r>
        <w:tab/>
      </w:r>
      <w:r>
        <w:fldChar w:fldCharType="begin"/>
      </w:r>
      <w:r>
        <w:instrText xml:space="preserve"> PAGEREF _Toc131514340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Commencement, review, suspension, and cessation of payments</w:t>
      </w:r>
    </w:p>
    <w:p>
      <w:pPr>
        <w:pStyle w:val="TOC8"/>
        <w:rPr>
          <w:rFonts w:asciiTheme="minorHAnsi" w:eastAsiaTheme="minorEastAsia" w:hAnsiTheme="minorHAnsi" w:cstheme="minorBidi"/>
          <w:szCs w:val="22"/>
        </w:rPr>
      </w:pPr>
      <w:r>
        <w:t>56</w:t>
      </w:r>
      <w:r>
        <w:rPr>
          <w:snapToGrid w:val="0"/>
        </w:rPr>
        <w:t>.</w:t>
      </w:r>
      <w:r>
        <w:rPr>
          <w:snapToGrid w:val="0"/>
        </w:rPr>
        <w:tab/>
        <w:t>When entitlement to weekly payments ceases due to age</w:t>
      </w:r>
      <w:r>
        <w:tab/>
      </w:r>
      <w:r>
        <w:fldChar w:fldCharType="begin"/>
      </w:r>
      <w:r>
        <w:instrText xml:space="preserve"> PAGEREF _Toc131514342 \h </w:instrText>
      </w:r>
      <w:r>
        <w:fldChar w:fldCharType="separate"/>
      </w:r>
      <w:r>
        <w:t>68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Effect of s. 56 on Sch. 2 and expenses</w:t>
      </w:r>
      <w:r>
        <w:tab/>
      </w:r>
      <w:r>
        <w:fldChar w:fldCharType="begin"/>
      </w:r>
      <w:r>
        <w:instrText xml:space="preserve"> PAGEREF _Toc131514343 \h </w:instrText>
      </w:r>
      <w:r>
        <w:fldChar w:fldCharType="separate"/>
      </w:r>
      <w:r>
        <w:t>69</w:t>
      </w:r>
      <w:r>
        <w:fldChar w:fldCharType="end"/>
      </w:r>
    </w:p>
    <w:p>
      <w:pPr>
        <w:pStyle w:val="TOC8"/>
        <w:rPr>
          <w:rFonts w:asciiTheme="minorHAnsi" w:eastAsiaTheme="minorEastAsia" w:hAnsiTheme="minorHAnsi" w:cstheme="minorBidi"/>
          <w:szCs w:val="22"/>
        </w:rPr>
      </w:pPr>
      <w:r>
        <w:t>57A</w:t>
      </w:r>
      <w:r>
        <w:rPr>
          <w:snapToGrid w:val="0"/>
        </w:rPr>
        <w:t>.</w:t>
      </w:r>
      <w:r>
        <w:rPr>
          <w:snapToGrid w:val="0"/>
        </w:rPr>
        <w:tab/>
        <w:t>Claims procedure where employer insured</w:t>
      </w:r>
      <w:r>
        <w:tab/>
      </w:r>
      <w:r>
        <w:fldChar w:fldCharType="begin"/>
      </w:r>
      <w:r>
        <w:instrText xml:space="preserve"> PAGEREF _Toc131514344 \h </w:instrText>
      </w:r>
      <w:r>
        <w:fldChar w:fldCharType="separate"/>
      </w:r>
      <w:r>
        <w:t>69</w:t>
      </w:r>
      <w:r>
        <w:fldChar w:fldCharType="end"/>
      </w:r>
    </w:p>
    <w:p>
      <w:pPr>
        <w:pStyle w:val="TOC8"/>
        <w:rPr>
          <w:rFonts w:asciiTheme="minorHAnsi" w:eastAsiaTheme="minorEastAsia" w:hAnsiTheme="minorHAnsi" w:cstheme="minorBidi"/>
          <w:szCs w:val="22"/>
        </w:rPr>
      </w:pPr>
      <w:r>
        <w:lastRenderedPageBreak/>
        <w:t>57B</w:t>
      </w:r>
      <w:r>
        <w:rPr>
          <w:snapToGrid w:val="0"/>
        </w:rPr>
        <w:t>.</w:t>
      </w:r>
      <w:r>
        <w:rPr>
          <w:snapToGrid w:val="0"/>
        </w:rPr>
        <w:tab/>
        <w:t>Claims procedure where employer is self</w:t>
      </w:r>
      <w:r>
        <w:rPr>
          <w:snapToGrid w:val="0"/>
        </w:rPr>
        <w:noBreakHyphen/>
        <w:t>insured or uninsured</w:t>
      </w:r>
      <w:r>
        <w:tab/>
      </w:r>
      <w:r>
        <w:fldChar w:fldCharType="begin"/>
      </w:r>
      <w:r>
        <w:instrText xml:space="preserve"> PAGEREF _Toc131514345 \h </w:instrText>
      </w:r>
      <w:r>
        <w:fldChar w:fldCharType="separate"/>
      </w:r>
      <w:r>
        <w:t>72</w:t>
      </w:r>
      <w:r>
        <w:fldChar w:fldCharType="end"/>
      </w:r>
    </w:p>
    <w:p>
      <w:pPr>
        <w:pStyle w:val="TOC8"/>
        <w:rPr>
          <w:rFonts w:asciiTheme="minorHAnsi" w:eastAsiaTheme="minorEastAsia" w:hAnsiTheme="minorHAnsi" w:cstheme="minorBidi"/>
          <w:szCs w:val="22"/>
        </w:rPr>
      </w:pPr>
      <w:r>
        <w:t>57BA.</w:t>
      </w:r>
      <w:r>
        <w:tab/>
        <w:t>Notices under s. 57A and 57B, form and content of</w:t>
      </w:r>
      <w:r>
        <w:tab/>
      </w:r>
      <w:r>
        <w:fldChar w:fldCharType="begin"/>
      </w:r>
      <w:r>
        <w:instrText xml:space="preserve"> PAGEREF _Toc131514346 \h </w:instrText>
      </w:r>
      <w:r>
        <w:fldChar w:fldCharType="separate"/>
      </w:r>
      <w:r>
        <w:t>75</w:t>
      </w:r>
      <w:r>
        <w:fldChar w:fldCharType="end"/>
      </w:r>
    </w:p>
    <w:p>
      <w:pPr>
        <w:pStyle w:val="TOC8"/>
        <w:rPr>
          <w:rFonts w:asciiTheme="minorHAnsi" w:eastAsiaTheme="minorEastAsia" w:hAnsiTheme="minorHAnsi" w:cstheme="minorBidi"/>
          <w:szCs w:val="22"/>
        </w:rPr>
      </w:pPr>
      <w:r>
        <w:t>57C</w:t>
      </w:r>
      <w:r>
        <w:rPr>
          <w:snapToGrid w:val="0"/>
        </w:rPr>
        <w:t>.</w:t>
      </w:r>
      <w:r>
        <w:rPr>
          <w:snapToGrid w:val="0"/>
        </w:rPr>
        <w:tab/>
        <w:t>Weekly payments, WorkCover WA to be notified about</w:t>
      </w:r>
      <w:r>
        <w:tab/>
      </w:r>
      <w:r>
        <w:fldChar w:fldCharType="begin"/>
      </w:r>
      <w:r>
        <w:instrText xml:space="preserve"> PAGEREF _Toc131514347 \h </w:instrText>
      </w:r>
      <w:r>
        <w:fldChar w:fldCharType="separate"/>
      </w:r>
      <w:r>
        <w:t>77</w:t>
      </w:r>
      <w:r>
        <w:fldChar w:fldCharType="end"/>
      </w:r>
    </w:p>
    <w:p>
      <w:pPr>
        <w:pStyle w:val="TOC8"/>
        <w:rPr>
          <w:rFonts w:asciiTheme="minorHAnsi" w:eastAsiaTheme="minorEastAsia" w:hAnsiTheme="minorHAnsi" w:cstheme="minorBidi"/>
          <w:szCs w:val="22"/>
        </w:rPr>
      </w:pPr>
      <w:r>
        <w:t>57D</w:t>
      </w:r>
      <w:r>
        <w:rPr>
          <w:snapToGrid w:val="0"/>
        </w:rPr>
        <w:t>.</w:t>
      </w:r>
      <w:r>
        <w:rPr>
          <w:snapToGrid w:val="0"/>
        </w:rPr>
        <w:tab/>
        <w:t>Confidentiality of information given under s. 57C</w:t>
      </w:r>
      <w:r>
        <w:tab/>
      </w:r>
      <w:r>
        <w:fldChar w:fldCharType="begin"/>
      </w:r>
      <w:r>
        <w:instrText xml:space="preserve"> PAGEREF _Toc131514348 \h </w:instrText>
      </w:r>
      <w:r>
        <w:fldChar w:fldCharType="separate"/>
      </w:r>
      <w:r>
        <w:t>78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Liability for weekly payments, arbitrator may determine</w:t>
      </w:r>
      <w:r>
        <w:tab/>
      </w:r>
      <w:r>
        <w:fldChar w:fldCharType="begin"/>
      </w:r>
      <w:r>
        <w:instrText xml:space="preserve"> PAGEREF _Toc131514349 \h </w:instrText>
      </w:r>
      <w:r>
        <w:fldChar w:fldCharType="separate"/>
      </w:r>
      <w:r>
        <w:t>79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Workers who claim compensation to notify employers as to remunerated work</w:t>
      </w:r>
      <w:r>
        <w:tab/>
      </w:r>
      <w:r>
        <w:fldChar w:fldCharType="begin"/>
      </w:r>
      <w:r>
        <w:instrText xml:space="preserve"> PAGEREF _Toc131514350 \h </w:instrText>
      </w:r>
      <w:r>
        <w:fldChar w:fldCharType="separate"/>
      </w:r>
      <w:r>
        <w:t>81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Discontinuing or reducing weekly payments, order as to</w:t>
      </w:r>
      <w:r>
        <w:tab/>
      </w:r>
      <w:r>
        <w:fldChar w:fldCharType="begin"/>
      </w:r>
      <w:r>
        <w:instrText xml:space="preserve"> PAGEREF _Toc131514351 \h </w:instrText>
      </w:r>
      <w:r>
        <w:fldChar w:fldCharType="separate"/>
      </w:r>
      <w:r>
        <w:t>83</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Discontinuing or reducing weekly payments without order</w:t>
      </w:r>
      <w:r>
        <w:tab/>
      </w:r>
      <w:r>
        <w:fldChar w:fldCharType="begin"/>
      </w:r>
      <w:r>
        <w:instrText xml:space="preserve"> PAGEREF _Toc131514352 \h </w:instrText>
      </w:r>
      <w:r>
        <w:fldChar w:fldCharType="separate"/>
      </w:r>
      <w:r>
        <w:t>83</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Reviewing and discontinuing, suspending or changing weekly payments</w:t>
      </w:r>
      <w:r>
        <w:tab/>
      </w:r>
      <w:r>
        <w:fldChar w:fldCharType="begin"/>
      </w:r>
      <w:r>
        <w:instrText xml:space="preserve"> PAGEREF _Toc131514353 \h </w:instrText>
      </w:r>
      <w:r>
        <w:fldChar w:fldCharType="separate"/>
      </w:r>
      <w:r>
        <w:t>86</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No compensation if right to compensation suspended</w:t>
      </w:r>
      <w:r>
        <w:tab/>
      </w:r>
      <w:r>
        <w:fldChar w:fldCharType="begin"/>
      </w:r>
      <w:r>
        <w:instrText xml:space="preserve"> PAGEREF _Toc131514354 \h </w:instrText>
      </w:r>
      <w:r>
        <w:fldChar w:fldCharType="separate"/>
      </w:r>
      <w:r>
        <w:t>87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Medical examination, worker claiming injury may be required to attend</w:t>
      </w:r>
      <w:r>
        <w:tab/>
      </w:r>
      <w:r>
        <w:fldChar w:fldCharType="begin"/>
      </w:r>
      <w:r>
        <w:instrText xml:space="preserve"> PAGEREF _Toc131514355 \h </w:instrText>
      </w:r>
      <w:r>
        <w:fldChar w:fldCharType="separate"/>
      </w:r>
      <w:r>
        <w:t>87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Periodical medical examination, workers on weekly payments may be required to attend</w:t>
      </w:r>
      <w:r>
        <w:tab/>
      </w:r>
      <w:r>
        <w:fldChar w:fldCharType="begin"/>
      </w:r>
      <w:r>
        <w:instrText xml:space="preserve"> PAGEREF _Toc131514356 \h </w:instrText>
      </w:r>
      <w:r>
        <w:fldChar w:fldCharType="separate"/>
      </w:r>
      <w:r>
        <w:t>87</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Regulations as to medical examinations</w:t>
      </w:r>
      <w:r>
        <w:tab/>
      </w:r>
      <w:r>
        <w:fldChar w:fldCharType="begin"/>
      </w:r>
      <w:r>
        <w:instrText xml:space="preserve"> PAGEREF _Toc131514357 \h </w:instrText>
      </w:r>
      <w:r>
        <w:fldChar w:fldCharType="separate"/>
      </w:r>
      <w:r>
        <w:t>88</w:t>
      </w:r>
      <w:r>
        <w:fldChar w:fldCharType="end"/>
      </w:r>
    </w:p>
    <w:p>
      <w:pPr>
        <w:pStyle w:val="TOC8"/>
        <w:rPr>
          <w:rFonts w:asciiTheme="minorHAnsi" w:eastAsiaTheme="minorEastAsia" w:hAnsiTheme="minorHAnsi" w:cstheme="minorBidi"/>
          <w:szCs w:val="22"/>
        </w:rPr>
      </w:pPr>
      <w:r>
        <w:t>66A.</w:t>
      </w:r>
      <w:r>
        <w:tab/>
        <w:t>Additional medical examinations</w:t>
      </w:r>
      <w:r>
        <w:tab/>
      </w:r>
      <w:r>
        <w:fldChar w:fldCharType="begin"/>
      </w:r>
      <w:r>
        <w:instrText xml:space="preserve"> PAGEREF _Toc131514358 \h </w:instrText>
      </w:r>
      <w:r>
        <w:fldChar w:fldCharType="separate"/>
      </w:r>
      <w:r>
        <w:t>88</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Lump sum in redemption of weekly payments</w:t>
      </w:r>
      <w:r>
        <w:tab/>
      </w:r>
      <w:r>
        <w:fldChar w:fldCharType="begin"/>
      </w:r>
      <w:r>
        <w:instrText xml:space="preserve"> PAGEREF _Toc131514359 \h </w:instrText>
      </w:r>
      <w:r>
        <w:fldChar w:fldCharType="separate"/>
      </w:r>
      <w:r>
        <w:t>89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Calculation of lump sum for s. 67(4)</w:t>
      </w:r>
      <w:r>
        <w:tab/>
      </w:r>
      <w:r>
        <w:fldChar w:fldCharType="begin"/>
      </w:r>
      <w:r>
        <w:instrText xml:space="preserve"> PAGEREF _Toc131514360 \h </w:instrText>
      </w:r>
      <w:r>
        <w:fldChar w:fldCharType="separate"/>
      </w:r>
      <w:r>
        <w:t>90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Worker not residing in WA, continuance of weekly payments to</w:t>
      </w:r>
      <w:r>
        <w:tab/>
      </w:r>
      <w:r>
        <w:fldChar w:fldCharType="begin"/>
      </w:r>
      <w:r>
        <w:instrText xml:space="preserve"> PAGEREF _Toc131514361 \h </w:instrText>
      </w:r>
      <w:r>
        <w:fldChar w:fldCharType="separate"/>
      </w:r>
      <w:r>
        <w:t>91</w:t>
      </w:r>
      <w:r>
        <w:fldChar w:fldCharType="end"/>
      </w:r>
    </w:p>
    <w:p>
      <w:pPr>
        <w:pStyle w:val="TOC8"/>
        <w:rPr>
          <w:rFonts w:asciiTheme="minorHAnsi" w:eastAsiaTheme="minorEastAsia" w:hAnsiTheme="minorHAnsi" w:cstheme="minorBidi"/>
          <w:szCs w:val="22"/>
        </w:rPr>
      </w:pPr>
      <w:r>
        <w:t>70.</w:t>
      </w:r>
      <w:r>
        <w:tab/>
        <w:t>Medical reports, provision of to worker or employer</w:t>
      </w:r>
      <w:r>
        <w:tab/>
      </w:r>
      <w:r>
        <w:fldChar w:fldCharType="begin"/>
      </w:r>
      <w:r>
        <w:instrText xml:space="preserve"> PAGEREF _Toc131514362 \h </w:instrText>
      </w:r>
      <w:r>
        <w:fldChar w:fldCharType="separate"/>
      </w:r>
      <w:r>
        <w:t>91</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Payments to unentitled person, recovery of</w:t>
      </w:r>
      <w:r>
        <w:tab/>
      </w:r>
      <w:r>
        <w:fldChar w:fldCharType="begin"/>
      </w:r>
      <w:r>
        <w:instrText xml:space="preserve"> PAGEREF _Toc131514363 \h </w:instrText>
      </w:r>
      <w:r>
        <w:fldChar w:fldCharType="separate"/>
      </w:r>
      <w:r>
        <w:t>92</w:t>
      </w:r>
      <w:r>
        <w:fldChar w:fldCharType="end"/>
      </w:r>
    </w:p>
    <w:p>
      <w:pPr>
        <w:pStyle w:val="TOC8"/>
        <w:rPr>
          <w:rFonts w:asciiTheme="minorHAnsi" w:eastAsiaTheme="minorEastAsia" w:hAnsiTheme="minorHAnsi" w:cstheme="minorBidi"/>
          <w:szCs w:val="22"/>
        </w:rPr>
      </w:pPr>
      <w:r>
        <w:t>72.</w:t>
      </w:r>
      <w:r>
        <w:tab/>
        <w:t>Suspending entitlement while worker in prison</w:t>
      </w:r>
      <w:r>
        <w:tab/>
      </w:r>
      <w:r>
        <w:fldChar w:fldCharType="begin"/>
      </w:r>
      <w:r>
        <w:instrText xml:space="preserve"> PAGEREF _Toc131514364 \h </w:instrText>
      </w:r>
      <w:r>
        <w:fldChar w:fldCharType="separate"/>
      </w:r>
      <w:r>
        <w:t>93</w:t>
      </w:r>
      <w:r>
        <w:fldChar w:fldCharType="end"/>
      </w:r>
    </w:p>
    <w:p>
      <w:pPr>
        <w:pStyle w:val="TOC8"/>
        <w:rPr>
          <w:rFonts w:asciiTheme="minorHAnsi" w:eastAsiaTheme="minorEastAsia" w:hAnsiTheme="minorHAnsi" w:cstheme="minorBidi"/>
          <w:szCs w:val="22"/>
        </w:rPr>
      </w:pPr>
      <w:r>
        <w:t>72A.</w:t>
      </w:r>
      <w:r>
        <w:tab/>
        <w:t>Suspending etc. entitlement for not undergoing medical examination</w:t>
      </w:r>
      <w:r>
        <w:tab/>
      </w:r>
      <w:r>
        <w:fldChar w:fldCharType="begin"/>
      </w:r>
      <w:r>
        <w:instrText xml:space="preserve"> PAGEREF _Toc131514365 \h </w:instrText>
      </w:r>
      <w:r>
        <w:fldChar w:fldCharType="separate"/>
      </w:r>
      <w:r>
        <w:t>94</w:t>
      </w:r>
      <w:r>
        <w:fldChar w:fldCharType="end"/>
      </w:r>
    </w:p>
    <w:p>
      <w:pPr>
        <w:pStyle w:val="TOC8"/>
        <w:rPr>
          <w:rFonts w:asciiTheme="minorHAnsi" w:eastAsiaTheme="minorEastAsia" w:hAnsiTheme="minorHAnsi" w:cstheme="minorBidi"/>
          <w:szCs w:val="22"/>
        </w:rPr>
      </w:pPr>
      <w:r>
        <w:t>72B.</w:t>
      </w:r>
      <w:r>
        <w:tab/>
        <w:t>Suspending etc. entitlement for not participating in return to work program</w:t>
      </w:r>
      <w:r>
        <w:tab/>
      </w:r>
      <w:r>
        <w:fldChar w:fldCharType="begin"/>
      </w:r>
      <w:r>
        <w:instrText xml:space="preserve"> PAGEREF _Toc131514366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5A — Claims by dependants and others for compensation</w:t>
      </w:r>
    </w:p>
    <w:p>
      <w:pPr>
        <w:pStyle w:val="TOC8"/>
        <w:rPr>
          <w:rFonts w:asciiTheme="minorHAnsi" w:eastAsiaTheme="minorEastAsia" w:hAnsiTheme="minorHAnsi" w:cstheme="minorBidi"/>
          <w:szCs w:val="22"/>
        </w:rPr>
      </w:pPr>
      <w:r>
        <w:t>72C.</w:t>
      </w:r>
      <w:r>
        <w:tab/>
        <w:t>Terms used</w:t>
      </w:r>
      <w:r>
        <w:tab/>
      </w:r>
      <w:r>
        <w:fldChar w:fldCharType="begin"/>
      </w:r>
      <w:r>
        <w:instrText xml:space="preserve"> PAGEREF _Toc131514368 \h </w:instrText>
      </w:r>
      <w:r>
        <w:fldChar w:fldCharType="separate"/>
      </w:r>
      <w:r>
        <w:t>96</w:t>
      </w:r>
      <w:r>
        <w:fldChar w:fldCharType="end"/>
      </w:r>
    </w:p>
    <w:p>
      <w:pPr>
        <w:pStyle w:val="TOC8"/>
        <w:rPr>
          <w:rFonts w:asciiTheme="minorHAnsi" w:eastAsiaTheme="minorEastAsia" w:hAnsiTheme="minorHAnsi" w:cstheme="minorBidi"/>
          <w:szCs w:val="22"/>
        </w:rPr>
      </w:pPr>
      <w:r>
        <w:t>72D.</w:t>
      </w:r>
      <w:r>
        <w:tab/>
        <w:t>Application of this Division</w:t>
      </w:r>
      <w:r>
        <w:tab/>
      </w:r>
      <w:r>
        <w:fldChar w:fldCharType="begin"/>
      </w:r>
      <w:r>
        <w:instrText xml:space="preserve"> PAGEREF _Toc131514369 \h </w:instrText>
      </w:r>
      <w:r>
        <w:fldChar w:fldCharType="separate"/>
      </w:r>
      <w:r>
        <w:t>97</w:t>
      </w:r>
      <w:r>
        <w:fldChar w:fldCharType="end"/>
      </w:r>
    </w:p>
    <w:p>
      <w:pPr>
        <w:pStyle w:val="TOC8"/>
        <w:rPr>
          <w:rFonts w:asciiTheme="minorHAnsi" w:eastAsiaTheme="minorEastAsia" w:hAnsiTheme="minorHAnsi" w:cstheme="minorBidi"/>
          <w:szCs w:val="22"/>
        </w:rPr>
      </w:pPr>
      <w:r>
        <w:lastRenderedPageBreak/>
        <w:t>72E.</w:t>
      </w:r>
      <w:r>
        <w:tab/>
        <w:t>Claims for compensation for dependants and others</w:t>
      </w:r>
      <w:r>
        <w:tab/>
      </w:r>
      <w:r>
        <w:fldChar w:fldCharType="begin"/>
      </w:r>
      <w:r>
        <w:instrText xml:space="preserve"> PAGEREF _Toc131514370 \h </w:instrText>
      </w:r>
      <w:r>
        <w:fldChar w:fldCharType="separate"/>
      </w:r>
      <w:r>
        <w:t>97</w:t>
      </w:r>
      <w:r>
        <w:fldChar w:fldCharType="end"/>
      </w:r>
    </w:p>
    <w:p>
      <w:pPr>
        <w:pStyle w:val="TOC8"/>
        <w:rPr>
          <w:rFonts w:asciiTheme="minorHAnsi" w:eastAsiaTheme="minorEastAsia" w:hAnsiTheme="minorHAnsi" w:cstheme="minorBidi"/>
          <w:szCs w:val="22"/>
        </w:rPr>
      </w:pPr>
      <w:r>
        <w:t>72F.</w:t>
      </w:r>
      <w:r>
        <w:tab/>
        <w:t>Claims procedure where employer insured</w:t>
      </w:r>
      <w:r>
        <w:tab/>
      </w:r>
      <w:r>
        <w:fldChar w:fldCharType="begin"/>
      </w:r>
      <w:r>
        <w:instrText xml:space="preserve"> PAGEREF _Toc131514371 \h </w:instrText>
      </w:r>
      <w:r>
        <w:fldChar w:fldCharType="separate"/>
      </w:r>
      <w:r>
        <w:t>97</w:t>
      </w:r>
      <w:r>
        <w:fldChar w:fldCharType="end"/>
      </w:r>
    </w:p>
    <w:p>
      <w:pPr>
        <w:pStyle w:val="TOC8"/>
        <w:rPr>
          <w:rFonts w:asciiTheme="minorHAnsi" w:eastAsiaTheme="minorEastAsia" w:hAnsiTheme="minorHAnsi" w:cstheme="minorBidi"/>
          <w:szCs w:val="22"/>
        </w:rPr>
      </w:pPr>
      <w:r>
        <w:t>72G.</w:t>
      </w:r>
      <w:r>
        <w:tab/>
        <w:t>Claims procedure where employer is self</w:t>
      </w:r>
      <w:r>
        <w:noBreakHyphen/>
        <w:t>insured or uninsured</w:t>
      </w:r>
      <w:r>
        <w:tab/>
      </w:r>
      <w:r>
        <w:fldChar w:fldCharType="begin"/>
      </w:r>
      <w:r>
        <w:instrText xml:space="preserve"> PAGEREF _Toc131514372 \h </w:instrText>
      </w:r>
      <w:r>
        <w:fldChar w:fldCharType="separate"/>
      </w:r>
      <w:r>
        <w:t>98</w:t>
      </w:r>
      <w:r>
        <w:fldChar w:fldCharType="end"/>
      </w:r>
    </w:p>
    <w:p>
      <w:pPr>
        <w:pStyle w:val="TOC8"/>
        <w:rPr>
          <w:rFonts w:asciiTheme="minorHAnsi" w:eastAsiaTheme="minorEastAsia" w:hAnsiTheme="minorHAnsi" w:cstheme="minorBidi"/>
          <w:szCs w:val="22"/>
        </w:rPr>
      </w:pPr>
      <w:r>
        <w:t>72H.</w:t>
      </w:r>
      <w:r>
        <w:tab/>
        <w:t>Resolution of claim</w:t>
      </w:r>
      <w:r>
        <w:tab/>
      </w:r>
      <w:r>
        <w:fldChar w:fldCharType="begin"/>
      </w:r>
      <w:r>
        <w:instrText xml:space="preserve"> PAGEREF _Toc131514373 \h </w:instrText>
      </w:r>
      <w:r>
        <w:fldChar w:fldCharType="separate"/>
      </w:r>
      <w:r>
        <w:t>99</w:t>
      </w:r>
      <w:r>
        <w:fldChar w:fldCharType="end"/>
      </w:r>
    </w:p>
    <w:p>
      <w:pPr>
        <w:pStyle w:val="TOC8"/>
        <w:rPr>
          <w:rFonts w:asciiTheme="minorHAnsi" w:eastAsiaTheme="minorEastAsia" w:hAnsiTheme="minorHAnsi" w:cstheme="minorBidi"/>
          <w:szCs w:val="22"/>
        </w:rPr>
      </w:pPr>
      <w:r>
        <w:t>72I.</w:t>
      </w:r>
      <w:r>
        <w:tab/>
        <w:t>Manner of payment of lump sum compensation</w:t>
      </w:r>
      <w:r>
        <w:tab/>
      </w:r>
      <w:r>
        <w:fldChar w:fldCharType="begin"/>
      </w:r>
      <w:r>
        <w:instrText xml:space="preserve"> PAGEREF _Toc131514374 \h </w:instrText>
      </w:r>
      <w:r>
        <w:fldChar w:fldCharType="separate"/>
      </w:r>
      <w:r>
        <w:t>100</w:t>
      </w:r>
      <w:r>
        <w:fldChar w:fldCharType="end"/>
      </w:r>
    </w:p>
    <w:p>
      <w:pPr>
        <w:pStyle w:val="TOC8"/>
        <w:rPr>
          <w:rFonts w:asciiTheme="minorHAnsi" w:eastAsiaTheme="minorEastAsia" w:hAnsiTheme="minorHAnsi" w:cstheme="minorBidi"/>
          <w:szCs w:val="22"/>
        </w:rPr>
      </w:pPr>
      <w:r>
        <w:t>72J.</w:t>
      </w:r>
      <w:r>
        <w:tab/>
        <w:t>Manner of payment of child’s allowance</w:t>
      </w:r>
      <w:r>
        <w:tab/>
      </w:r>
      <w:r>
        <w:fldChar w:fldCharType="begin"/>
      </w:r>
      <w:r>
        <w:instrText xml:space="preserve"> PAGEREF _Toc131514375 \h </w:instrText>
      </w:r>
      <w:r>
        <w:fldChar w:fldCharType="separate"/>
      </w:r>
      <w:r>
        <w:t>101</w:t>
      </w:r>
      <w:r>
        <w:fldChar w:fldCharType="end"/>
      </w:r>
    </w:p>
    <w:p>
      <w:pPr>
        <w:pStyle w:val="TOC8"/>
        <w:rPr>
          <w:rFonts w:asciiTheme="minorHAnsi" w:eastAsiaTheme="minorEastAsia" w:hAnsiTheme="minorHAnsi" w:cstheme="minorBidi"/>
          <w:szCs w:val="22"/>
        </w:rPr>
      </w:pPr>
      <w:r>
        <w:t>72K.</w:t>
      </w:r>
      <w:r>
        <w:tab/>
        <w:t>Effect of recovery of damages on moneys held in Trust Account</w:t>
      </w:r>
      <w:r>
        <w:tab/>
      </w:r>
      <w:r>
        <w:fldChar w:fldCharType="begin"/>
      </w:r>
      <w:r>
        <w:instrText xml:space="preserve"> PAGEREF _Toc131514376 \h </w:instrText>
      </w:r>
      <w:r>
        <w:fldChar w:fldCharType="separate"/>
      </w:r>
      <w:r>
        <w:t>102</w:t>
      </w:r>
      <w:r>
        <w:fldChar w:fldCharType="end"/>
      </w:r>
    </w:p>
    <w:p>
      <w:pPr>
        <w:pStyle w:val="TOC8"/>
        <w:rPr>
          <w:rFonts w:asciiTheme="minorHAnsi" w:eastAsiaTheme="minorEastAsia" w:hAnsiTheme="minorHAnsi" w:cstheme="minorBidi"/>
          <w:szCs w:val="22"/>
        </w:rPr>
      </w:pPr>
      <w:r>
        <w:t>72L.</w:t>
      </w:r>
      <w:r>
        <w:tab/>
        <w:t>Application of Part XI to matters under this Division</w:t>
      </w:r>
      <w:r>
        <w:tab/>
      </w:r>
      <w:r>
        <w:fldChar w:fldCharType="begin"/>
      </w:r>
      <w:r>
        <w:instrText xml:space="preserve"> PAGEREF _Toc131514377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Disputes between employers</w:t>
      </w:r>
    </w:p>
    <w:p>
      <w:pPr>
        <w:pStyle w:val="TOC8"/>
        <w:rPr>
          <w:rFonts w:asciiTheme="minorHAnsi" w:eastAsiaTheme="minorEastAsia" w:hAnsiTheme="minorHAnsi" w:cstheme="minorBidi"/>
          <w:szCs w:val="22"/>
        </w:rPr>
      </w:pPr>
      <w:r>
        <w:t>73</w:t>
      </w:r>
      <w:r>
        <w:rPr>
          <w:snapToGrid w:val="0"/>
        </w:rPr>
        <w:t>.</w:t>
      </w:r>
      <w:r>
        <w:rPr>
          <w:snapToGrid w:val="0"/>
        </w:rPr>
        <w:tab/>
        <w:t>Worker entitled but dispute between employers</w:t>
      </w:r>
      <w:r>
        <w:tab/>
      </w:r>
      <w:r>
        <w:fldChar w:fldCharType="begin"/>
      </w:r>
      <w:r>
        <w:instrText xml:space="preserve"> PAGEREF _Toc131514379 \h </w:instrText>
      </w:r>
      <w:r>
        <w:fldChar w:fldCharType="separate"/>
      </w:r>
      <w:r>
        <w:t>104</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Worker entitled but dispute between insurers</w:t>
      </w:r>
      <w:r>
        <w:tab/>
      </w:r>
      <w:r>
        <w:fldChar w:fldCharType="begin"/>
      </w:r>
      <w:r>
        <w:instrText xml:space="preserve"> PAGEREF _Toc131514380 \h </w:instrText>
      </w:r>
      <w:r>
        <w:fldChar w:fldCharType="separate"/>
      </w:r>
      <w:r>
        <w:t>105</w:t>
      </w:r>
      <w:r>
        <w:fldChar w:fldCharType="end"/>
      </w:r>
    </w:p>
    <w:p>
      <w:pPr>
        <w:pStyle w:val="TOC8"/>
        <w:rPr>
          <w:rFonts w:asciiTheme="minorHAnsi" w:eastAsiaTheme="minorEastAsia" w:hAnsiTheme="minorHAnsi" w:cstheme="minorBidi"/>
          <w:szCs w:val="22"/>
        </w:rPr>
      </w:pPr>
      <w:r>
        <w:t>74A</w:t>
      </w:r>
      <w:r>
        <w:rPr>
          <w:snapToGrid w:val="0"/>
        </w:rPr>
        <w:t>.</w:t>
      </w:r>
      <w:r>
        <w:rPr>
          <w:snapToGrid w:val="0"/>
        </w:rPr>
        <w:tab/>
        <w:t>No apportionment under s. 73 or 74 for injuries before 8 Mar 1991</w:t>
      </w:r>
      <w:r>
        <w:tab/>
      </w:r>
      <w:r>
        <w:fldChar w:fldCharType="begin"/>
      </w:r>
      <w:r>
        <w:instrText xml:space="preserve"> PAGEREF _Toc131514381 \h </w:instrText>
      </w:r>
      <w:r>
        <w:fldChar w:fldCharType="separate"/>
      </w:r>
      <w:r>
        <w:t>106</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Obligation to make weekly payments preserved</w:t>
      </w:r>
      <w:r>
        <w:tab/>
      </w:r>
      <w:r>
        <w:fldChar w:fldCharType="begin"/>
      </w:r>
      <w:r>
        <w:instrText xml:space="preserve"> PAGEREF _Toc131514382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Agreements</w:t>
      </w:r>
    </w:p>
    <w:p>
      <w:pPr>
        <w:pStyle w:val="TOC8"/>
        <w:rPr>
          <w:rFonts w:asciiTheme="minorHAnsi" w:eastAsiaTheme="minorEastAsia" w:hAnsiTheme="minorHAnsi" w:cstheme="minorBidi"/>
          <w:szCs w:val="22"/>
        </w:rPr>
      </w:pPr>
      <w:r>
        <w:t>76</w:t>
      </w:r>
      <w:r>
        <w:rPr>
          <w:snapToGrid w:val="0"/>
        </w:rPr>
        <w:t>.</w:t>
      </w:r>
      <w:r>
        <w:rPr>
          <w:snapToGrid w:val="0"/>
        </w:rPr>
        <w:tab/>
        <w:t>Agreement as to compensation etc., registration and effect of memorandum of</w:t>
      </w:r>
      <w:r>
        <w:tab/>
      </w:r>
      <w:r>
        <w:fldChar w:fldCharType="begin"/>
      </w:r>
      <w:r>
        <w:instrText xml:space="preserve"> PAGEREF _Toc131514384 \h </w:instrText>
      </w:r>
      <w:r>
        <w:fldChar w:fldCharType="separate"/>
      </w:r>
      <w:r>
        <w:t>107</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Agreements unenforceable unless registered under s. 76</w:t>
      </w:r>
      <w:r>
        <w:tab/>
      </w:r>
      <w:r>
        <w:fldChar w:fldCharType="begin"/>
      </w:r>
      <w:r>
        <w:instrText xml:space="preserve"> PAGEREF _Toc131514385 \h </w:instrText>
      </w:r>
      <w:r>
        <w:fldChar w:fldCharType="separate"/>
      </w:r>
      <w:r>
        <w:t>110</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Effect of non</w:t>
      </w:r>
      <w:r>
        <w:rPr>
          <w:snapToGrid w:val="0"/>
        </w:rPr>
        <w:noBreakHyphen/>
        <w:t>registration of agreement</w:t>
      </w:r>
      <w:r>
        <w:tab/>
      </w:r>
      <w:r>
        <w:fldChar w:fldCharType="begin"/>
      </w:r>
      <w:r>
        <w:instrText xml:space="preserve"> PAGEREF _Toc131514386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Other matters affecting compensation</w:t>
      </w:r>
    </w:p>
    <w:p>
      <w:pPr>
        <w:pStyle w:val="TOC8"/>
        <w:rPr>
          <w:rFonts w:asciiTheme="minorHAnsi" w:eastAsiaTheme="minorEastAsia" w:hAnsiTheme="minorHAnsi" w:cstheme="minorBidi"/>
          <w:szCs w:val="22"/>
        </w:rPr>
      </w:pPr>
      <w:r>
        <w:t>79</w:t>
      </w:r>
      <w:r>
        <w:rPr>
          <w:snapToGrid w:val="0"/>
        </w:rPr>
        <w:t>.</w:t>
      </w:r>
      <w:r>
        <w:rPr>
          <w:snapToGrid w:val="0"/>
        </w:rPr>
        <w:tab/>
        <w:t>Wilful and false representation by worker</w:t>
      </w:r>
      <w:r>
        <w:tab/>
      </w:r>
      <w:r>
        <w:fldChar w:fldCharType="begin"/>
      </w:r>
      <w:r>
        <w:instrText xml:space="preserve"> PAGEREF _Toc131514388 \h </w:instrText>
      </w:r>
      <w:r>
        <w:fldChar w:fldCharType="separate"/>
      </w:r>
      <w:r>
        <w:t>111</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Effect of leave entitlements; effect on sick leave</w:t>
      </w:r>
      <w:r>
        <w:tab/>
      </w:r>
      <w:r>
        <w:fldChar w:fldCharType="begin"/>
      </w:r>
      <w:r>
        <w:instrText xml:space="preserve"> PAGEREF _Toc131514389 \h </w:instrText>
      </w:r>
      <w:r>
        <w:fldChar w:fldCharType="separate"/>
      </w:r>
      <w:r>
        <w:t>111</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Effect on public holidays pay</w:t>
      </w:r>
      <w:r>
        <w:tab/>
      </w:r>
      <w:r>
        <w:fldChar w:fldCharType="begin"/>
      </w:r>
      <w:r>
        <w:instrText xml:space="preserve"> PAGEREF _Toc131514390 \h </w:instrText>
      </w:r>
      <w:r>
        <w:fldChar w:fldCharType="separate"/>
      </w:r>
      <w:r>
        <w:t>112</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Services rendered to worker for which employer liable, payment for</w:t>
      </w:r>
      <w:r>
        <w:tab/>
      </w:r>
      <w:r>
        <w:fldChar w:fldCharType="begin"/>
      </w:r>
      <w:r>
        <w:instrText xml:space="preserve"> PAGEREF _Toc131514391 \h </w:instrText>
      </w:r>
      <w:r>
        <w:fldChar w:fldCharType="separate"/>
      </w:r>
      <w:r>
        <w:t>112</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Partially incapacitated workers, employment of</w:t>
      </w:r>
      <w:r>
        <w:tab/>
      </w:r>
      <w:r>
        <w:fldChar w:fldCharType="begin"/>
      </w:r>
      <w:r>
        <w:instrText xml:space="preserve"> PAGEREF _Toc131514392 \h </w:instrText>
      </w:r>
      <w:r>
        <w:fldChar w:fldCharType="separate"/>
      </w:r>
      <w:r>
        <w:t>112</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Worker not to be prejudiced by resuming work</w:t>
      </w:r>
      <w:r>
        <w:tab/>
      </w:r>
      <w:r>
        <w:fldChar w:fldCharType="begin"/>
      </w:r>
      <w:r>
        <w:instrText xml:space="preserve"> PAGEREF _Toc131514393 \h </w:instrText>
      </w:r>
      <w:r>
        <w:fldChar w:fldCharType="separate"/>
      </w:r>
      <w:r>
        <w:t>113</w:t>
      </w:r>
      <w:r>
        <w:fldChar w:fldCharType="end"/>
      </w:r>
    </w:p>
    <w:p>
      <w:pPr>
        <w:pStyle w:val="TOC8"/>
        <w:rPr>
          <w:rFonts w:asciiTheme="minorHAnsi" w:eastAsiaTheme="minorEastAsia" w:hAnsiTheme="minorHAnsi" w:cstheme="minorBidi"/>
          <w:szCs w:val="22"/>
        </w:rPr>
      </w:pPr>
      <w:r>
        <w:t>84AA</w:t>
      </w:r>
      <w:r>
        <w:rPr>
          <w:snapToGrid w:val="0"/>
        </w:rPr>
        <w:t>.</w:t>
      </w:r>
      <w:r>
        <w:rPr>
          <w:snapToGrid w:val="0"/>
        </w:rPr>
        <w:tab/>
        <w:t>Employer to keep position available during worker’s incapacity</w:t>
      </w:r>
      <w:r>
        <w:tab/>
      </w:r>
      <w:r>
        <w:fldChar w:fldCharType="begin"/>
      </w:r>
      <w:r>
        <w:instrText xml:space="preserve"> PAGEREF _Toc131514394 \h </w:instrText>
      </w:r>
      <w:r>
        <w:fldChar w:fldCharType="separate"/>
      </w:r>
      <w:r>
        <w:t>113</w:t>
      </w:r>
      <w:r>
        <w:fldChar w:fldCharType="end"/>
      </w:r>
    </w:p>
    <w:p>
      <w:pPr>
        <w:pStyle w:val="TOC8"/>
        <w:rPr>
          <w:rFonts w:asciiTheme="minorHAnsi" w:eastAsiaTheme="minorEastAsia" w:hAnsiTheme="minorHAnsi" w:cstheme="minorBidi"/>
          <w:szCs w:val="22"/>
        </w:rPr>
      </w:pPr>
      <w:r>
        <w:t>84AB.</w:t>
      </w:r>
      <w:r>
        <w:tab/>
        <w:t>Employer to notify worker and WorkCover WA of intention to dismiss worker</w:t>
      </w:r>
      <w:r>
        <w:tab/>
      </w:r>
      <w:r>
        <w:fldChar w:fldCharType="begin"/>
      </w:r>
      <w:r>
        <w:instrText xml:space="preserve"> PAGEREF _Toc131514395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IV — Civil proceedings in addition to or independent of this Act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85</w:t>
      </w:r>
      <w:r>
        <w:rPr>
          <w:snapToGrid w:val="0"/>
        </w:rPr>
        <w:t>.</w:t>
      </w:r>
      <w:r>
        <w:rPr>
          <w:snapToGrid w:val="0"/>
        </w:rPr>
        <w:tab/>
        <w:t>Motor vehicle cases not affected by this Part</w:t>
      </w:r>
      <w:r>
        <w:tab/>
      </w:r>
      <w:r>
        <w:fldChar w:fldCharType="begin"/>
      </w:r>
      <w:r>
        <w:instrText xml:space="preserve"> PAGEREF _Toc131514398 \h </w:instrText>
      </w:r>
      <w:r>
        <w:fldChar w:fldCharType="separate"/>
      </w:r>
      <w:r>
        <w:t>116</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Liability independent of this Act not affected by this Part</w:t>
      </w:r>
      <w:r>
        <w:tab/>
      </w:r>
      <w:r>
        <w:fldChar w:fldCharType="begin"/>
      </w:r>
      <w:r>
        <w:instrText xml:space="preserve"> PAGEREF _Toc131514399 \h </w:instrText>
      </w:r>
      <w:r>
        <w:fldChar w:fldCharType="separate"/>
      </w:r>
      <w:r>
        <w:t>116</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Solicitor-client costs, limits on agreements as to</w:t>
      </w:r>
      <w:r>
        <w:tab/>
      </w:r>
      <w:r>
        <w:fldChar w:fldCharType="begin"/>
      </w:r>
      <w:r>
        <w:instrText xml:space="preserve"> PAGEREF _Toc131514400 \h </w:instrText>
      </w:r>
      <w:r>
        <w:fldChar w:fldCharType="separate"/>
      </w:r>
      <w:r>
        <w:t>116</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Court’s duties where action for damages unsuccessful but workers’ compensation is payable</w:t>
      </w:r>
      <w:r>
        <w:tab/>
      </w:r>
      <w:r>
        <w:fldChar w:fldCharType="begin"/>
      </w:r>
      <w:r>
        <w:instrText xml:space="preserve"> PAGEREF _Toc131514401 \h </w:instrText>
      </w:r>
      <w:r>
        <w:fldChar w:fldCharType="separate"/>
      </w:r>
      <w:r>
        <w:t>117</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Both damages and workers’ compensation not recoverable</w:t>
      </w:r>
      <w:r>
        <w:tab/>
      </w:r>
      <w:r>
        <w:fldChar w:fldCharType="begin"/>
      </w:r>
      <w:r>
        <w:instrText xml:space="preserve"> PAGEREF _Toc131514402 \h </w:instrText>
      </w:r>
      <w:r>
        <w:fldChar w:fldCharType="separate"/>
      </w:r>
      <w:r>
        <w:t>117</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Remedies against non-employers</w:t>
      </w:r>
      <w:r>
        <w:tab/>
      </w:r>
      <w:r>
        <w:fldChar w:fldCharType="begin"/>
      </w:r>
      <w:r>
        <w:instrText xml:space="preserve"> PAGEREF _Toc131514403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t>Division 1a — Choice of law</w:t>
      </w:r>
    </w:p>
    <w:p>
      <w:pPr>
        <w:pStyle w:val="TOC8"/>
        <w:rPr>
          <w:rFonts w:asciiTheme="minorHAnsi" w:eastAsiaTheme="minorEastAsia" w:hAnsiTheme="minorHAnsi" w:cstheme="minorBidi"/>
          <w:szCs w:val="22"/>
        </w:rPr>
      </w:pPr>
      <w:r>
        <w:t>93AA.</w:t>
      </w:r>
      <w:r>
        <w:tab/>
        <w:t>Applicable substantive law for work injury claims</w:t>
      </w:r>
      <w:r>
        <w:tab/>
      </w:r>
      <w:r>
        <w:fldChar w:fldCharType="begin"/>
      </w:r>
      <w:r>
        <w:instrText xml:space="preserve"> PAGEREF _Toc131514405 \h </w:instrText>
      </w:r>
      <w:r>
        <w:fldChar w:fldCharType="separate"/>
      </w:r>
      <w:r>
        <w:t>121</w:t>
      </w:r>
      <w:r>
        <w:fldChar w:fldCharType="end"/>
      </w:r>
    </w:p>
    <w:p>
      <w:pPr>
        <w:pStyle w:val="TOC8"/>
        <w:rPr>
          <w:rFonts w:asciiTheme="minorHAnsi" w:eastAsiaTheme="minorEastAsia" w:hAnsiTheme="minorHAnsi" w:cstheme="minorBidi"/>
          <w:szCs w:val="22"/>
        </w:rPr>
      </w:pPr>
      <w:r>
        <w:t>93AB.</w:t>
      </w:r>
      <w:r>
        <w:tab/>
        <w:t>Claims to which Division applies</w:t>
      </w:r>
      <w:r>
        <w:tab/>
      </w:r>
      <w:r>
        <w:fldChar w:fldCharType="begin"/>
      </w:r>
      <w:r>
        <w:instrText xml:space="preserve"> PAGEREF _Toc131514406 \h </w:instrText>
      </w:r>
      <w:r>
        <w:fldChar w:fldCharType="separate"/>
      </w:r>
      <w:r>
        <w:t>122</w:t>
      </w:r>
      <w:r>
        <w:fldChar w:fldCharType="end"/>
      </w:r>
    </w:p>
    <w:p>
      <w:pPr>
        <w:pStyle w:val="TOC8"/>
        <w:rPr>
          <w:rFonts w:asciiTheme="minorHAnsi" w:eastAsiaTheme="minorEastAsia" w:hAnsiTheme="minorHAnsi" w:cstheme="minorBidi"/>
          <w:szCs w:val="22"/>
        </w:rPr>
      </w:pPr>
      <w:r>
        <w:t>93AC.</w:t>
      </w:r>
      <w:r>
        <w:tab/>
        <w:t>Terms used</w:t>
      </w:r>
      <w:r>
        <w:tab/>
      </w:r>
      <w:r>
        <w:fldChar w:fldCharType="begin"/>
      </w:r>
      <w:r>
        <w:instrText xml:space="preserve"> PAGEREF _Toc131514407 \h </w:instrText>
      </w:r>
      <w:r>
        <w:fldChar w:fldCharType="separate"/>
      </w:r>
      <w:r>
        <w:t>123</w:t>
      </w:r>
      <w:r>
        <w:fldChar w:fldCharType="end"/>
      </w:r>
    </w:p>
    <w:p>
      <w:pPr>
        <w:pStyle w:val="TOC8"/>
        <w:rPr>
          <w:rFonts w:asciiTheme="minorHAnsi" w:eastAsiaTheme="minorEastAsia" w:hAnsiTheme="minorHAnsi" w:cstheme="minorBidi"/>
          <w:szCs w:val="22"/>
        </w:rPr>
      </w:pPr>
      <w:r>
        <w:t>93AD.</w:t>
      </w:r>
      <w:r>
        <w:tab/>
        <w:t>Claim in respect of death included</w:t>
      </w:r>
      <w:r>
        <w:tab/>
      </w:r>
      <w:r>
        <w:fldChar w:fldCharType="begin"/>
      </w:r>
      <w:r>
        <w:instrText xml:space="preserve"> PAGEREF _Toc131514408 \h </w:instrText>
      </w:r>
      <w:r>
        <w:fldChar w:fldCharType="separate"/>
      </w:r>
      <w:r>
        <w:t>124</w:t>
      </w:r>
      <w:r>
        <w:fldChar w:fldCharType="end"/>
      </w:r>
    </w:p>
    <w:p>
      <w:pPr>
        <w:pStyle w:val="TOC8"/>
        <w:rPr>
          <w:rFonts w:asciiTheme="minorHAnsi" w:eastAsiaTheme="minorEastAsia" w:hAnsiTheme="minorHAnsi" w:cstheme="minorBidi"/>
          <w:szCs w:val="22"/>
        </w:rPr>
      </w:pPr>
      <w:r>
        <w:t>93AE.</w:t>
      </w:r>
      <w:r>
        <w:tab/>
        <w:t>Terms used</w:t>
      </w:r>
      <w:r>
        <w:tab/>
      </w:r>
      <w:r>
        <w:fldChar w:fldCharType="begin"/>
      </w:r>
      <w:r>
        <w:instrText xml:space="preserve"> PAGEREF _Toc131514409 \h </w:instrText>
      </w:r>
      <w:r>
        <w:fldChar w:fldCharType="separate"/>
      </w:r>
      <w:r>
        <w:t>124</w:t>
      </w:r>
      <w:r>
        <w:fldChar w:fldCharType="end"/>
      </w:r>
    </w:p>
    <w:p>
      <w:pPr>
        <w:pStyle w:val="TOC8"/>
        <w:rPr>
          <w:rFonts w:asciiTheme="minorHAnsi" w:eastAsiaTheme="minorEastAsia" w:hAnsiTheme="minorHAnsi" w:cstheme="minorBidi"/>
          <w:szCs w:val="22"/>
        </w:rPr>
      </w:pPr>
      <w:r>
        <w:t>93AF.</w:t>
      </w:r>
      <w:r>
        <w:tab/>
        <w:t>Availability of action in another State not relevant</w:t>
      </w:r>
      <w:r>
        <w:tab/>
      </w:r>
      <w:r>
        <w:fldChar w:fldCharType="begin"/>
      </w:r>
      <w:r>
        <w:instrText xml:space="preserve"> PAGEREF _Toc131514410 \h </w:instrText>
      </w:r>
      <w:r>
        <w:fldChar w:fldCharType="separate"/>
      </w:r>
      <w:r>
        <w:t>125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Constraints on awards of common law damages</w:t>
      </w:r>
    </w:p>
    <w:p>
      <w:pPr>
        <w:pStyle w:val="TOC6"/>
        <w:tabs>
          <w:tab w:val="right" w:leader="dot" w:pos="7077"/>
        </w:tabs>
        <w:rPr>
          <w:rFonts w:asciiTheme="minorHAnsi" w:eastAsiaTheme="minorEastAsia" w:hAnsiTheme="minorHAnsi" w:cstheme="minorBidi"/>
          <w:b w:val="0"/>
          <w:sz w:val="22"/>
          <w:szCs w:val="22"/>
        </w:rPr>
      </w:pPr>
      <w:r>
        <w:t>Subdivision 1 — Preliminary provisions</w:t>
      </w:r>
    </w:p>
    <w:p>
      <w:pPr>
        <w:pStyle w:val="TOC8"/>
        <w:rPr>
          <w:rFonts w:asciiTheme="minorHAnsi" w:eastAsiaTheme="minorEastAsia" w:hAnsiTheme="minorHAnsi" w:cstheme="minorBidi"/>
          <w:szCs w:val="22"/>
        </w:rPr>
      </w:pPr>
      <w:r>
        <w:t>93A</w:t>
      </w:r>
      <w:r>
        <w:rPr>
          <w:snapToGrid w:val="0"/>
        </w:rPr>
        <w:t>.</w:t>
      </w:r>
      <w:r>
        <w:rPr>
          <w:snapToGrid w:val="0"/>
        </w:rPr>
        <w:tab/>
        <w:t>Term used: damages</w:t>
      </w:r>
      <w:r>
        <w:tab/>
      </w:r>
      <w:r>
        <w:fldChar w:fldCharType="begin"/>
      </w:r>
      <w:r>
        <w:instrText xml:space="preserve"> PAGEREF _Toc131514413 \h </w:instrText>
      </w:r>
      <w:r>
        <w:fldChar w:fldCharType="separate"/>
      </w:r>
      <w:r>
        <w:t>125</w:t>
      </w:r>
      <w:r>
        <w:fldChar w:fldCharType="end"/>
      </w:r>
    </w:p>
    <w:p>
      <w:pPr>
        <w:pStyle w:val="TOC8"/>
        <w:rPr>
          <w:rFonts w:asciiTheme="minorHAnsi" w:eastAsiaTheme="minorEastAsia" w:hAnsiTheme="minorHAnsi" w:cstheme="minorBidi"/>
          <w:szCs w:val="22"/>
        </w:rPr>
      </w:pPr>
      <w:r>
        <w:t>93B</w:t>
      </w:r>
      <w:r>
        <w:rPr>
          <w:snapToGrid w:val="0"/>
        </w:rPr>
        <w:t>.</w:t>
      </w:r>
      <w:r>
        <w:rPr>
          <w:snapToGrid w:val="0"/>
        </w:rPr>
        <w:tab/>
        <w:t>Application of this Division</w:t>
      </w:r>
      <w:r>
        <w:tab/>
      </w:r>
      <w:r>
        <w:fldChar w:fldCharType="begin"/>
      </w:r>
      <w:r>
        <w:instrText xml:space="preserve"> PAGEREF _Toc131514414 \h </w:instrText>
      </w:r>
      <w:r>
        <w:fldChar w:fldCharType="separate"/>
      </w:r>
      <w:r>
        <w:t>126</w:t>
      </w:r>
      <w:r>
        <w:fldChar w:fldCharType="end"/>
      </w:r>
    </w:p>
    <w:p>
      <w:pPr>
        <w:pStyle w:val="TOC8"/>
        <w:rPr>
          <w:rFonts w:asciiTheme="minorHAnsi" w:eastAsiaTheme="minorEastAsia" w:hAnsiTheme="minorHAnsi" w:cstheme="minorBidi"/>
          <w:szCs w:val="22"/>
        </w:rPr>
      </w:pPr>
      <w:r>
        <w:t>93C</w:t>
      </w:r>
      <w:r>
        <w:rPr>
          <w:snapToGrid w:val="0"/>
        </w:rPr>
        <w:t>.</w:t>
      </w:r>
      <w:r>
        <w:rPr>
          <w:snapToGrid w:val="0"/>
        </w:rPr>
        <w:tab/>
        <w:t>Limit on powers of courts to award damages</w:t>
      </w:r>
      <w:r>
        <w:tab/>
      </w:r>
      <w:r>
        <w:fldChar w:fldCharType="begin"/>
      </w:r>
      <w:r>
        <w:instrText xml:space="preserve"> PAGEREF _Toc131514415 \h </w:instrText>
      </w:r>
      <w:r>
        <w:fldChar w:fldCharType="separate"/>
      </w:r>
      <w:r>
        <w:t>127</w:t>
      </w:r>
      <w:r>
        <w:fldChar w:fldCharType="end"/>
      </w:r>
    </w:p>
    <w:p>
      <w:pPr>
        <w:pStyle w:val="TOC6"/>
        <w:tabs>
          <w:tab w:val="right" w:leader="dot" w:pos="7077"/>
        </w:tabs>
        <w:rPr>
          <w:rFonts w:asciiTheme="minorHAnsi" w:eastAsiaTheme="minorEastAsia" w:hAnsiTheme="minorHAnsi" w:cstheme="minorBidi"/>
          <w:b w:val="0"/>
          <w:sz w:val="22"/>
          <w:szCs w:val="22"/>
        </w:rPr>
      </w:pPr>
      <w:r>
        <w:t>Subdivision 2 — 1993 scheme</w:t>
      </w:r>
    </w:p>
    <w:p>
      <w:pPr>
        <w:pStyle w:val="TOC8"/>
        <w:rPr>
          <w:rFonts w:asciiTheme="minorHAnsi" w:eastAsiaTheme="minorEastAsia" w:hAnsiTheme="minorHAnsi" w:cstheme="minorBidi"/>
          <w:szCs w:val="22"/>
        </w:rPr>
      </w:pPr>
      <w:r>
        <w:t>93CA.</w:t>
      </w:r>
      <w:r>
        <w:tab/>
        <w:t>Term used: AMA Guides</w:t>
      </w:r>
      <w:r>
        <w:tab/>
      </w:r>
      <w:r>
        <w:fldChar w:fldCharType="begin"/>
      </w:r>
      <w:r>
        <w:instrText xml:space="preserve"> PAGEREF _Toc131514417 \h </w:instrText>
      </w:r>
      <w:r>
        <w:fldChar w:fldCharType="separate"/>
      </w:r>
      <w:r>
        <w:t>127</w:t>
      </w:r>
      <w:r>
        <w:fldChar w:fldCharType="end"/>
      </w:r>
    </w:p>
    <w:p>
      <w:pPr>
        <w:pStyle w:val="TOC8"/>
        <w:rPr>
          <w:rFonts w:asciiTheme="minorHAnsi" w:eastAsiaTheme="minorEastAsia" w:hAnsiTheme="minorHAnsi" w:cstheme="minorBidi"/>
          <w:szCs w:val="22"/>
        </w:rPr>
      </w:pPr>
      <w:r>
        <w:t>93CB.</w:t>
      </w:r>
      <w:r>
        <w:tab/>
        <w:t>Limits on application of this Subdivision</w:t>
      </w:r>
      <w:r>
        <w:tab/>
      </w:r>
      <w:r>
        <w:fldChar w:fldCharType="begin"/>
      </w:r>
      <w:r>
        <w:instrText xml:space="preserve"> PAGEREF _Toc131514418 \h </w:instrText>
      </w:r>
      <w:r>
        <w:fldChar w:fldCharType="separate"/>
      </w:r>
      <w:r>
        <w:t>127</w:t>
      </w:r>
      <w:r>
        <w:fldChar w:fldCharType="end"/>
      </w:r>
    </w:p>
    <w:p>
      <w:pPr>
        <w:pStyle w:val="TOC8"/>
        <w:rPr>
          <w:rFonts w:asciiTheme="minorHAnsi" w:eastAsiaTheme="minorEastAsia" w:hAnsiTheme="minorHAnsi" w:cstheme="minorBidi"/>
          <w:szCs w:val="22"/>
        </w:rPr>
      </w:pPr>
      <w:r>
        <w:t>93CC.</w:t>
      </w:r>
      <w:r>
        <w:tab/>
        <w:t>Application of this Subdivision</w:t>
      </w:r>
      <w:r>
        <w:tab/>
      </w:r>
      <w:r>
        <w:fldChar w:fldCharType="begin"/>
      </w:r>
      <w:r>
        <w:instrText xml:space="preserve"> PAGEREF _Toc131514419 \h </w:instrText>
      </w:r>
      <w:r>
        <w:fldChar w:fldCharType="separate"/>
      </w:r>
      <w:r>
        <w:t>128</w:t>
      </w:r>
      <w:r>
        <w:fldChar w:fldCharType="end"/>
      </w:r>
    </w:p>
    <w:p>
      <w:pPr>
        <w:pStyle w:val="TOC8"/>
        <w:rPr>
          <w:rFonts w:asciiTheme="minorHAnsi" w:eastAsiaTheme="minorEastAsia" w:hAnsiTheme="minorHAnsi" w:cstheme="minorBidi"/>
          <w:szCs w:val="22"/>
        </w:rPr>
      </w:pPr>
      <w:r>
        <w:t>93D.</w:t>
      </w:r>
      <w:r>
        <w:tab/>
        <w:t>Degree of disability, assessing</w:t>
      </w:r>
      <w:r>
        <w:tab/>
      </w:r>
      <w:r>
        <w:fldChar w:fldCharType="begin"/>
      </w:r>
      <w:r>
        <w:instrText xml:space="preserve"> PAGEREF _Toc131514420 \h </w:instrText>
      </w:r>
      <w:r>
        <w:fldChar w:fldCharType="separate"/>
      </w:r>
      <w:r>
        <w:t>128</w:t>
      </w:r>
      <w:r>
        <w:fldChar w:fldCharType="end"/>
      </w:r>
    </w:p>
    <w:p>
      <w:pPr>
        <w:pStyle w:val="TOC8"/>
        <w:rPr>
          <w:rFonts w:asciiTheme="minorHAnsi" w:eastAsiaTheme="minorEastAsia" w:hAnsiTheme="minorHAnsi" w:cstheme="minorBidi"/>
          <w:szCs w:val="22"/>
        </w:rPr>
      </w:pPr>
      <w:r>
        <w:t>93E.</w:t>
      </w:r>
      <w:r>
        <w:tab/>
        <w:t>Constraints on awards and paying compensation</w:t>
      </w:r>
      <w:r>
        <w:tab/>
      </w:r>
      <w:r>
        <w:fldChar w:fldCharType="begin"/>
      </w:r>
      <w:r>
        <w:instrText xml:space="preserve"> PAGEREF _Toc131514421 \h </w:instrText>
      </w:r>
      <w:r>
        <w:fldChar w:fldCharType="separate"/>
      </w:r>
      <w:r>
        <w:t>131</w:t>
      </w:r>
      <w:r>
        <w:fldChar w:fldCharType="end"/>
      </w:r>
    </w:p>
    <w:p>
      <w:pPr>
        <w:pStyle w:val="TOC8"/>
        <w:rPr>
          <w:rFonts w:asciiTheme="minorHAnsi" w:eastAsiaTheme="minorEastAsia" w:hAnsiTheme="minorHAnsi" w:cstheme="minorBidi"/>
          <w:szCs w:val="22"/>
        </w:rPr>
      </w:pPr>
      <w:r>
        <w:t>93EA.</w:t>
      </w:r>
      <w:r>
        <w:tab/>
        <w:t>Questions as to degree of disability, referral of to Director in some cases due to new evidence</w:t>
      </w:r>
      <w:r>
        <w:tab/>
      </w:r>
      <w:r>
        <w:fldChar w:fldCharType="begin"/>
      </w:r>
      <w:r>
        <w:instrText xml:space="preserve"> PAGEREF _Toc131514422 \h </w:instrText>
      </w:r>
      <w:r>
        <w:fldChar w:fldCharType="separate"/>
      </w:r>
      <w:r>
        <w:t>134</w:t>
      </w:r>
      <w:r>
        <w:fldChar w:fldCharType="end"/>
      </w:r>
    </w:p>
    <w:p>
      <w:pPr>
        <w:pStyle w:val="TOC8"/>
        <w:rPr>
          <w:rFonts w:asciiTheme="minorHAnsi" w:eastAsiaTheme="minorEastAsia" w:hAnsiTheme="minorHAnsi" w:cstheme="minorBidi"/>
          <w:szCs w:val="22"/>
        </w:rPr>
      </w:pPr>
      <w:r>
        <w:t>93EB.</w:t>
      </w:r>
      <w:r>
        <w:tab/>
        <w:t>Questions as to degree of disability, referral of to Director in some other cases</w:t>
      </w:r>
      <w:r>
        <w:tab/>
      </w:r>
      <w:r>
        <w:fldChar w:fldCharType="begin"/>
      </w:r>
      <w:r>
        <w:instrText xml:space="preserve"> PAGEREF _Toc131514423 \h </w:instrText>
      </w:r>
      <w:r>
        <w:fldChar w:fldCharType="separate"/>
      </w:r>
      <w:r>
        <w:t>136</w:t>
      </w:r>
      <w:r>
        <w:fldChar w:fldCharType="end"/>
      </w:r>
    </w:p>
    <w:p>
      <w:pPr>
        <w:pStyle w:val="TOC8"/>
        <w:rPr>
          <w:rFonts w:asciiTheme="minorHAnsi" w:eastAsiaTheme="minorEastAsia" w:hAnsiTheme="minorHAnsi" w:cstheme="minorBidi"/>
          <w:szCs w:val="22"/>
        </w:rPr>
      </w:pPr>
      <w:r>
        <w:t>93EC.</w:t>
      </w:r>
      <w:r>
        <w:tab/>
        <w:t>Time for commencing action for damages extended in some cases</w:t>
      </w:r>
      <w:r>
        <w:tab/>
      </w:r>
      <w:r>
        <w:fldChar w:fldCharType="begin"/>
      </w:r>
      <w:r>
        <w:instrText xml:space="preserve"> PAGEREF _Toc131514424 \h </w:instrText>
      </w:r>
      <w:r>
        <w:fldChar w:fldCharType="separate"/>
      </w:r>
      <w:r>
        <w:t>138</w:t>
      </w:r>
      <w:r>
        <w:fldChar w:fldCharType="end"/>
      </w:r>
    </w:p>
    <w:p>
      <w:pPr>
        <w:pStyle w:val="TOC8"/>
        <w:rPr>
          <w:rFonts w:asciiTheme="minorHAnsi" w:eastAsiaTheme="minorEastAsia" w:hAnsiTheme="minorHAnsi" w:cstheme="minorBidi"/>
          <w:szCs w:val="22"/>
        </w:rPr>
      </w:pPr>
      <w:r>
        <w:lastRenderedPageBreak/>
        <w:t>93F.</w:t>
      </w:r>
      <w:r>
        <w:tab/>
        <w:t>Degree of disability less than 30%, constraints on awards</w:t>
      </w:r>
      <w:r>
        <w:tab/>
      </w:r>
      <w:r>
        <w:fldChar w:fldCharType="begin"/>
      </w:r>
      <w:r>
        <w:instrText xml:space="preserve"> PAGEREF _Toc131514425 \h </w:instrText>
      </w:r>
      <w:r>
        <w:fldChar w:fldCharType="separate"/>
      </w:r>
      <w:r>
        <w:t>139</w:t>
      </w:r>
      <w:r>
        <w:fldChar w:fldCharType="end"/>
      </w:r>
    </w:p>
    <w:p>
      <w:pPr>
        <w:pStyle w:val="TOC8"/>
        <w:rPr>
          <w:rFonts w:asciiTheme="minorHAnsi" w:eastAsiaTheme="minorEastAsia" w:hAnsiTheme="minorHAnsi" w:cstheme="minorBidi"/>
          <w:szCs w:val="22"/>
        </w:rPr>
      </w:pPr>
      <w:r>
        <w:t>93G.</w:t>
      </w:r>
      <w:r>
        <w:tab/>
        <w:t>Regulations for this Subdivision</w:t>
      </w:r>
      <w:r>
        <w:tab/>
      </w:r>
      <w:r>
        <w:fldChar w:fldCharType="begin"/>
      </w:r>
      <w:r>
        <w:instrText xml:space="preserve"> PAGEREF _Toc131514426 \h </w:instrText>
      </w:r>
      <w:r>
        <w:fldChar w:fldCharType="separate"/>
      </w:r>
      <w:r>
        <w:t>141</w:t>
      </w:r>
      <w:r>
        <w:fldChar w:fldCharType="end"/>
      </w:r>
    </w:p>
    <w:p>
      <w:pPr>
        <w:pStyle w:val="TOC6"/>
        <w:tabs>
          <w:tab w:val="right" w:leader="dot" w:pos="7077"/>
        </w:tabs>
        <w:rPr>
          <w:rFonts w:asciiTheme="minorHAnsi" w:eastAsiaTheme="minorEastAsia" w:hAnsiTheme="minorHAnsi" w:cstheme="minorBidi"/>
          <w:b w:val="0"/>
          <w:sz w:val="22"/>
          <w:szCs w:val="22"/>
        </w:rPr>
      </w:pPr>
      <w:r>
        <w:t>Subdivision 3 — 2004 scheme</w:t>
      </w:r>
    </w:p>
    <w:p>
      <w:pPr>
        <w:pStyle w:val="TOC8"/>
        <w:rPr>
          <w:rFonts w:asciiTheme="minorHAnsi" w:eastAsiaTheme="minorEastAsia" w:hAnsiTheme="minorHAnsi" w:cstheme="minorBidi"/>
          <w:szCs w:val="22"/>
        </w:rPr>
      </w:pPr>
      <w:r>
        <w:t>93H.</w:t>
      </w:r>
      <w:r>
        <w:tab/>
        <w:t>Terms used</w:t>
      </w:r>
      <w:r>
        <w:tab/>
      </w:r>
      <w:r>
        <w:fldChar w:fldCharType="begin"/>
      </w:r>
      <w:r>
        <w:instrText xml:space="preserve"> PAGEREF _Toc131514428 \h </w:instrText>
      </w:r>
      <w:r>
        <w:fldChar w:fldCharType="separate"/>
      </w:r>
      <w:r>
        <w:t>142</w:t>
      </w:r>
      <w:r>
        <w:fldChar w:fldCharType="end"/>
      </w:r>
    </w:p>
    <w:p>
      <w:pPr>
        <w:pStyle w:val="TOC8"/>
        <w:rPr>
          <w:rFonts w:asciiTheme="minorHAnsi" w:eastAsiaTheme="minorEastAsia" w:hAnsiTheme="minorHAnsi" w:cstheme="minorBidi"/>
          <w:szCs w:val="22"/>
        </w:rPr>
      </w:pPr>
      <w:r>
        <w:t>93I.</w:t>
      </w:r>
      <w:r>
        <w:tab/>
        <w:t>Application of this Subdivision</w:t>
      </w:r>
      <w:r>
        <w:tab/>
      </w:r>
      <w:r>
        <w:fldChar w:fldCharType="begin"/>
      </w:r>
      <w:r>
        <w:instrText xml:space="preserve"> PAGEREF _Toc131514429 \h </w:instrText>
      </w:r>
      <w:r>
        <w:fldChar w:fldCharType="separate"/>
      </w:r>
      <w:r>
        <w:t>143</w:t>
      </w:r>
      <w:r>
        <w:fldChar w:fldCharType="end"/>
      </w:r>
    </w:p>
    <w:p>
      <w:pPr>
        <w:pStyle w:val="TOC8"/>
        <w:rPr>
          <w:rFonts w:asciiTheme="minorHAnsi" w:eastAsiaTheme="minorEastAsia" w:hAnsiTheme="minorHAnsi" w:cstheme="minorBidi"/>
          <w:szCs w:val="22"/>
        </w:rPr>
      </w:pPr>
      <w:r>
        <w:t>93J.</w:t>
      </w:r>
      <w:r>
        <w:tab/>
        <w:t>No damages for noise induced hearing loss if not an injury</w:t>
      </w:r>
      <w:r>
        <w:tab/>
      </w:r>
      <w:r>
        <w:fldChar w:fldCharType="begin"/>
      </w:r>
      <w:r>
        <w:instrText xml:space="preserve"> PAGEREF _Toc131514430 \h </w:instrText>
      </w:r>
      <w:r>
        <w:fldChar w:fldCharType="separate"/>
      </w:r>
      <w:r>
        <w:t>143</w:t>
      </w:r>
      <w:r>
        <w:fldChar w:fldCharType="end"/>
      </w:r>
    </w:p>
    <w:p>
      <w:pPr>
        <w:pStyle w:val="TOC8"/>
        <w:rPr>
          <w:rFonts w:asciiTheme="minorHAnsi" w:eastAsiaTheme="minorEastAsia" w:hAnsiTheme="minorHAnsi" w:cstheme="minorBidi"/>
          <w:szCs w:val="22"/>
        </w:rPr>
      </w:pPr>
      <w:r>
        <w:t>93K.</w:t>
      </w:r>
      <w:r>
        <w:tab/>
        <w:t>Constraints on awards</w:t>
      </w:r>
      <w:r>
        <w:tab/>
      </w:r>
      <w:r>
        <w:fldChar w:fldCharType="begin"/>
      </w:r>
      <w:r>
        <w:instrText xml:space="preserve"> PAGEREF _Toc131514431 \h </w:instrText>
      </w:r>
      <w:r>
        <w:fldChar w:fldCharType="separate"/>
      </w:r>
      <w:r>
        <w:t>143</w:t>
      </w:r>
      <w:r>
        <w:fldChar w:fldCharType="end"/>
      </w:r>
    </w:p>
    <w:p>
      <w:pPr>
        <w:pStyle w:val="TOC8"/>
        <w:rPr>
          <w:rFonts w:asciiTheme="minorHAnsi" w:eastAsiaTheme="minorEastAsia" w:hAnsiTheme="minorHAnsi" w:cstheme="minorBidi"/>
          <w:szCs w:val="22"/>
        </w:rPr>
      </w:pPr>
      <w:r>
        <w:t>93L.</w:t>
      </w:r>
      <w:r>
        <w:tab/>
        <w:t>Election under s. 93K to retain right to seek damages</w:t>
      </w:r>
      <w:r>
        <w:tab/>
      </w:r>
      <w:r>
        <w:fldChar w:fldCharType="begin"/>
      </w:r>
      <w:r>
        <w:instrText xml:space="preserve"> PAGEREF _Toc131514432 \h </w:instrText>
      </w:r>
      <w:r>
        <w:fldChar w:fldCharType="separate"/>
      </w:r>
      <w:r>
        <w:t>146</w:t>
      </w:r>
      <w:r>
        <w:fldChar w:fldCharType="end"/>
      </w:r>
    </w:p>
    <w:p>
      <w:pPr>
        <w:pStyle w:val="TOC8"/>
        <w:rPr>
          <w:rFonts w:asciiTheme="minorHAnsi" w:eastAsiaTheme="minorEastAsia" w:hAnsiTheme="minorHAnsi" w:cstheme="minorBidi"/>
          <w:szCs w:val="22"/>
        </w:rPr>
      </w:pPr>
      <w:r>
        <w:t>93N.</w:t>
      </w:r>
      <w:r>
        <w:tab/>
        <w:t>Special evaluation if worker’s condition has not stabilised sufficiently</w:t>
      </w:r>
      <w:r>
        <w:tab/>
      </w:r>
      <w:r>
        <w:fldChar w:fldCharType="begin"/>
      </w:r>
      <w:r>
        <w:instrText xml:space="preserve"> PAGEREF _Toc131514433 \h </w:instrText>
      </w:r>
      <w:r>
        <w:fldChar w:fldCharType="separate"/>
      </w:r>
      <w:r>
        <w:t>147</w:t>
      </w:r>
      <w:r>
        <w:fldChar w:fldCharType="end"/>
      </w:r>
    </w:p>
    <w:p>
      <w:pPr>
        <w:pStyle w:val="TOC8"/>
        <w:rPr>
          <w:rFonts w:asciiTheme="minorHAnsi" w:eastAsiaTheme="minorEastAsia" w:hAnsiTheme="minorHAnsi" w:cstheme="minorBidi"/>
          <w:szCs w:val="22"/>
        </w:rPr>
      </w:pPr>
      <w:r>
        <w:t>93P.</w:t>
      </w:r>
      <w:r>
        <w:tab/>
        <w:t>Election under s. 93K, effect of on compensation</w:t>
      </w:r>
      <w:r>
        <w:tab/>
      </w:r>
      <w:r>
        <w:fldChar w:fldCharType="begin"/>
      </w:r>
      <w:r>
        <w:instrText xml:space="preserve"> PAGEREF _Toc131514434 \h </w:instrText>
      </w:r>
      <w:r>
        <w:fldChar w:fldCharType="separate"/>
      </w:r>
      <w:r>
        <w:t>148</w:t>
      </w:r>
      <w:r>
        <w:fldChar w:fldCharType="end"/>
      </w:r>
    </w:p>
    <w:p>
      <w:pPr>
        <w:pStyle w:val="TOC8"/>
        <w:rPr>
          <w:rFonts w:asciiTheme="minorHAnsi" w:eastAsiaTheme="minorEastAsia" w:hAnsiTheme="minorHAnsi" w:cstheme="minorBidi"/>
          <w:szCs w:val="22"/>
        </w:rPr>
      </w:pPr>
      <w:r>
        <w:t>93Q.</w:t>
      </w:r>
      <w:r>
        <w:tab/>
        <w:t>HIV and AIDS, special provisions about</w:t>
      </w:r>
      <w:r>
        <w:tab/>
      </w:r>
      <w:r>
        <w:fldChar w:fldCharType="begin"/>
      </w:r>
      <w:r>
        <w:instrText xml:space="preserve"> PAGEREF _Toc131514435 \h </w:instrText>
      </w:r>
      <w:r>
        <w:fldChar w:fldCharType="separate"/>
      </w:r>
      <w:r>
        <w:t>150</w:t>
      </w:r>
      <w:r>
        <w:fldChar w:fldCharType="end"/>
      </w:r>
    </w:p>
    <w:p>
      <w:pPr>
        <w:pStyle w:val="TOC8"/>
        <w:rPr>
          <w:rFonts w:asciiTheme="minorHAnsi" w:eastAsiaTheme="minorEastAsia" w:hAnsiTheme="minorHAnsi" w:cstheme="minorBidi"/>
          <w:szCs w:val="22"/>
        </w:rPr>
      </w:pPr>
      <w:r>
        <w:t>93R.</w:t>
      </w:r>
      <w:r>
        <w:tab/>
        <w:t>Some lung diseases, special provisions about</w:t>
      </w:r>
      <w:r>
        <w:tab/>
      </w:r>
      <w:r>
        <w:fldChar w:fldCharType="begin"/>
      </w:r>
      <w:r>
        <w:instrText xml:space="preserve"> PAGEREF _Toc131514436 \h </w:instrText>
      </w:r>
      <w:r>
        <w:fldChar w:fldCharType="separate"/>
      </w:r>
      <w:r>
        <w:t>151</w:t>
      </w:r>
      <w:r>
        <w:fldChar w:fldCharType="end"/>
      </w:r>
    </w:p>
    <w:p>
      <w:pPr>
        <w:pStyle w:val="TOC8"/>
        <w:rPr>
          <w:rFonts w:asciiTheme="minorHAnsi" w:eastAsiaTheme="minorEastAsia" w:hAnsiTheme="minorHAnsi" w:cstheme="minorBidi"/>
          <w:szCs w:val="22"/>
        </w:rPr>
      </w:pPr>
      <w:r>
        <w:t>93S.</w:t>
      </w:r>
      <w:r>
        <w:tab/>
        <w:t>Regulations for this Subdivision</w:t>
      </w:r>
      <w:r>
        <w:tab/>
      </w:r>
      <w:r>
        <w:fldChar w:fldCharType="begin"/>
      </w:r>
      <w:r>
        <w:instrText xml:space="preserve"> PAGEREF _Toc131514437 \h </w:instrText>
      </w:r>
      <w:r>
        <w:fldChar w:fldCharType="separate"/>
      </w:r>
      <w:r>
        <w:t>152</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4 — Savings and transitional arrangements arising from </w:t>
      </w:r>
      <w:r>
        <w:rPr>
          <w:i/>
        </w:rPr>
        <w:t>Workers’ Compensation and Injury Management Amendment (COVID</w:t>
      </w:r>
      <w:r>
        <w:rPr>
          <w:i/>
        </w:rPr>
        <w:noBreakHyphen/>
        <w:t>19 Response) Act 2020</w:t>
      </w:r>
    </w:p>
    <w:p>
      <w:pPr>
        <w:pStyle w:val="TOC8"/>
        <w:rPr>
          <w:rFonts w:asciiTheme="minorHAnsi" w:eastAsiaTheme="minorEastAsia" w:hAnsiTheme="minorHAnsi" w:cstheme="minorBidi"/>
          <w:szCs w:val="22"/>
        </w:rPr>
      </w:pPr>
      <w:r>
        <w:t>93T.</w:t>
      </w:r>
      <w:r>
        <w:tab/>
        <w:t>Transitional arrangements for termination day</w:t>
      </w:r>
      <w:r>
        <w:tab/>
      </w:r>
      <w:r>
        <w:fldChar w:fldCharType="begin"/>
      </w:r>
      <w:r>
        <w:instrText xml:space="preserve"> PAGEREF _Toc131514439 \h </w:instrText>
      </w:r>
      <w:r>
        <w:fldChar w:fldCharType="separate"/>
      </w:r>
      <w:r>
        <w:t>153</w:t>
      </w:r>
      <w:r>
        <w:fldChar w:fldCharType="end"/>
      </w:r>
    </w:p>
    <w:p>
      <w:pPr>
        <w:pStyle w:val="TOC2"/>
        <w:tabs>
          <w:tab w:val="right" w:leader="dot" w:pos="7077"/>
        </w:tabs>
        <w:rPr>
          <w:rFonts w:asciiTheme="minorHAnsi" w:eastAsiaTheme="minorEastAsia" w:hAnsiTheme="minorHAnsi" w:cstheme="minorBidi"/>
          <w:b w:val="0"/>
          <w:sz w:val="22"/>
          <w:szCs w:val="22"/>
        </w:rPr>
      </w:pPr>
      <w:r>
        <w:t>Part V —</w:t>
      </w:r>
      <w:r>
        <w:rPr>
          <w:b w:val="0"/>
        </w:rPr>
        <w:t> </w:t>
      </w:r>
      <w:r>
        <w:t>WorkCover Western Australia Authority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Constitution, purposes, and powers</w:t>
      </w:r>
    </w:p>
    <w:p>
      <w:pPr>
        <w:pStyle w:val="TOC8"/>
        <w:rPr>
          <w:rFonts w:asciiTheme="minorHAnsi" w:eastAsiaTheme="minorEastAsia" w:hAnsiTheme="minorHAnsi" w:cstheme="minorBidi"/>
          <w:szCs w:val="22"/>
        </w:rPr>
      </w:pPr>
      <w:r>
        <w:t>94</w:t>
      </w:r>
      <w:r>
        <w:rPr>
          <w:snapToGrid w:val="0"/>
        </w:rPr>
        <w:t>.</w:t>
      </w:r>
      <w:r>
        <w:rPr>
          <w:snapToGrid w:val="0"/>
        </w:rPr>
        <w:tab/>
        <w:t>WorkCover Western Australia Authority, nature of etc.</w:t>
      </w:r>
      <w:r>
        <w:tab/>
      </w:r>
      <w:r>
        <w:fldChar w:fldCharType="begin"/>
      </w:r>
      <w:r>
        <w:instrText xml:space="preserve"> PAGEREF _Toc131514442 \h </w:instrText>
      </w:r>
      <w:r>
        <w:fldChar w:fldCharType="separate"/>
      </w:r>
      <w:r>
        <w:t>154</w:t>
      </w:r>
      <w:r>
        <w:fldChar w:fldCharType="end"/>
      </w:r>
    </w:p>
    <w:p>
      <w:pPr>
        <w:pStyle w:val="TOC8"/>
        <w:rPr>
          <w:rFonts w:asciiTheme="minorHAnsi" w:eastAsiaTheme="minorEastAsia" w:hAnsiTheme="minorHAnsi" w:cstheme="minorBidi"/>
          <w:szCs w:val="22"/>
        </w:rPr>
      </w:pPr>
      <w:r>
        <w:t>95.</w:t>
      </w:r>
      <w:r>
        <w:tab/>
        <w:t>Governing body of WorkCover WA</w:t>
      </w:r>
      <w:r>
        <w:tab/>
      </w:r>
      <w:r>
        <w:fldChar w:fldCharType="begin"/>
      </w:r>
      <w:r>
        <w:instrText xml:space="preserve"> PAGEREF _Toc131514443 \h </w:instrText>
      </w:r>
      <w:r>
        <w:fldChar w:fldCharType="separate"/>
      </w:r>
      <w:r>
        <w:t>155</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Term of office of governing body’s nominee members</w:t>
      </w:r>
      <w:r>
        <w:tab/>
      </w:r>
      <w:r>
        <w:fldChar w:fldCharType="begin"/>
      </w:r>
      <w:r>
        <w:instrText xml:space="preserve"> PAGEREF _Toc131514444 \h </w:instrText>
      </w:r>
      <w:r>
        <w:fldChar w:fldCharType="separate"/>
      </w:r>
      <w:r>
        <w:t>157</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Meetings</w:t>
      </w:r>
      <w:r>
        <w:tab/>
      </w:r>
      <w:r>
        <w:fldChar w:fldCharType="begin"/>
      </w:r>
      <w:r>
        <w:instrText xml:space="preserve"> PAGEREF _Toc131514445 \h </w:instrText>
      </w:r>
      <w:r>
        <w:fldChar w:fldCharType="separate"/>
      </w:r>
      <w:r>
        <w:t>158</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Vacancies etc. not to invalidate proceedings</w:t>
      </w:r>
      <w:r>
        <w:tab/>
      </w:r>
      <w:r>
        <w:fldChar w:fldCharType="begin"/>
      </w:r>
      <w:r>
        <w:instrText xml:space="preserve"> PAGEREF _Toc131514446 \h </w:instrText>
      </w:r>
      <w:r>
        <w:fldChar w:fldCharType="separate"/>
      </w:r>
      <w:r>
        <w:t>159</w:t>
      </w:r>
      <w:r>
        <w:fldChar w:fldCharType="end"/>
      </w:r>
    </w:p>
    <w:p>
      <w:pPr>
        <w:pStyle w:val="TOC8"/>
        <w:rPr>
          <w:rFonts w:asciiTheme="minorHAnsi" w:eastAsiaTheme="minorEastAsia" w:hAnsiTheme="minorHAnsi" w:cstheme="minorBidi"/>
          <w:szCs w:val="22"/>
        </w:rPr>
      </w:pPr>
      <w:r>
        <w:t>99.</w:t>
      </w:r>
      <w:r>
        <w:tab/>
      </w:r>
      <w:r>
        <w:rPr>
          <w:snapToGrid w:val="0"/>
        </w:rPr>
        <w:t>Conditions of appointment</w:t>
      </w:r>
      <w:r>
        <w:tab/>
      </w:r>
      <w:r>
        <w:fldChar w:fldCharType="begin"/>
      </w:r>
      <w:r>
        <w:instrText xml:space="preserve"> PAGEREF _Toc131514447 \h </w:instrText>
      </w:r>
      <w:r>
        <w:fldChar w:fldCharType="separate"/>
      </w:r>
      <w:r>
        <w:t>159</w:t>
      </w:r>
      <w:r>
        <w:fldChar w:fldCharType="end"/>
      </w:r>
    </w:p>
    <w:p>
      <w:pPr>
        <w:pStyle w:val="TOC8"/>
        <w:rPr>
          <w:rFonts w:asciiTheme="minorHAnsi" w:eastAsiaTheme="minorEastAsia" w:hAnsiTheme="minorHAnsi" w:cstheme="minorBidi"/>
          <w:szCs w:val="22"/>
        </w:rPr>
      </w:pPr>
      <w:r>
        <w:t>100.</w:t>
      </w:r>
      <w:r>
        <w:tab/>
        <w:t>Functions</w:t>
      </w:r>
      <w:r>
        <w:tab/>
      </w:r>
      <w:r>
        <w:fldChar w:fldCharType="begin"/>
      </w:r>
      <w:r>
        <w:instrText xml:space="preserve"> PAGEREF _Toc131514448 \h </w:instrText>
      </w:r>
      <w:r>
        <w:fldChar w:fldCharType="separate"/>
      </w:r>
      <w:r>
        <w:t>159</w:t>
      </w:r>
      <w:r>
        <w:fldChar w:fldCharType="end"/>
      </w:r>
    </w:p>
    <w:p>
      <w:pPr>
        <w:pStyle w:val="TOC8"/>
        <w:rPr>
          <w:rFonts w:asciiTheme="minorHAnsi" w:eastAsiaTheme="minorEastAsia" w:hAnsiTheme="minorHAnsi" w:cstheme="minorBidi"/>
          <w:szCs w:val="22"/>
        </w:rPr>
      </w:pPr>
      <w:r>
        <w:t>100A</w:t>
      </w:r>
      <w:r>
        <w:rPr>
          <w:snapToGrid w:val="0"/>
        </w:rPr>
        <w:t>.</w:t>
      </w:r>
      <w:r>
        <w:rPr>
          <w:snapToGrid w:val="0"/>
        </w:rPr>
        <w:tab/>
        <w:t>Advisory committees</w:t>
      </w:r>
      <w:r>
        <w:tab/>
      </w:r>
      <w:r>
        <w:fldChar w:fldCharType="begin"/>
      </w:r>
      <w:r>
        <w:instrText xml:space="preserve"> PAGEREF _Toc131514449 \h </w:instrText>
      </w:r>
      <w:r>
        <w:fldChar w:fldCharType="separate"/>
      </w:r>
      <w:r>
        <w:t>161</w:t>
      </w:r>
      <w:r>
        <w:fldChar w:fldCharType="end"/>
      </w:r>
    </w:p>
    <w:p>
      <w:pPr>
        <w:pStyle w:val="TOC8"/>
        <w:rPr>
          <w:rFonts w:asciiTheme="minorHAnsi" w:eastAsiaTheme="minorEastAsia" w:hAnsiTheme="minorHAnsi" w:cstheme="minorBidi"/>
          <w:szCs w:val="22"/>
        </w:rPr>
      </w:pPr>
      <w:r>
        <w:t>100B.</w:t>
      </w:r>
      <w:r>
        <w:tab/>
        <w:t>Disclosing information to work health and safety department</w:t>
      </w:r>
      <w:r>
        <w:tab/>
      </w:r>
      <w:r>
        <w:fldChar w:fldCharType="begin"/>
      </w:r>
      <w:r>
        <w:instrText xml:space="preserve"> PAGEREF _Toc131514450 \h </w:instrText>
      </w:r>
      <w:r>
        <w:fldChar w:fldCharType="separate"/>
      </w:r>
      <w:r>
        <w:t>162</w:t>
      </w:r>
      <w:r>
        <w:fldChar w:fldCharType="end"/>
      </w:r>
    </w:p>
    <w:p>
      <w:pPr>
        <w:pStyle w:val="TOC8"/>
        <w:rPr>
          <w:rFonts w:asciiTheme="minorHAnsi" w:eastAsiaTheme="minorEastAsia" w:hAnsiTheme="minorHAnsi" w:cstheme="minorBidi"/>
          <w:szCs w:val="22"/>
        </w:rPr>
      </w:pPr>
      <w:r>
        <w:lastRenderedPageBreak/>
        <w:t>101</w:t>
      </w:r>
      <w:r>
        <w:rPr>
          <w:snapToGrid w:val="0"/>
        </w:rPr>
        <w:t>.</w:t>
      </w:r>
      <w:r>
        <w:rPr>
          <w:snapToGrid w:val="0"/>
        </w:rPr>
        <w:tab/>
        <w:t>Powers</w:t>
      </w:r>
      <w:r>
        <w:tab/>
      </w:r>
      <w:r>
        <w:fldChar w:fldCharType="begin"/>
      </w:r>
      <w:r>
        <w:instrText xml:space="preserve"> PAGEREF _Toc131514451 \h </w:instrText>
      </w:r>
      <w:r>
        <w:fldChar w:fldCharType="separate"/>
      </w:r>
      <w:r>
        <w:t>163</w:t>
      </w:r>
      <w:r>
        <w:fldChar w:fldCharType="end"/>
      </w:r>
    </w:p>
    <w:p>
      <w:pPr>
        <w:pStyle w:val="TOC8"/>
        <w:rPr>
          <w:rFonts w:asciiTheme="minorHAnsi" w:eastAsiaTheme="minorEastAsia" w:hAnsiTheme="minorHAnsi" w:cstheme="minorBidi"/>
          <w:szCs w:val="22"/>
        </w:rPr>
      </w:pPr>
      <w:r>
        <w:t>101AA.</w:t>
      </w:r>
      <w:r>
        <w:tab/>
        <w:t>Delegation by WorkCover WA</w:t>
      </w:r>
      <w:r>
        <w:tab/>
      </w:r>
      <w:r>
        <w:fldChar w:fldCharType="begin"/>
      </w:r>
      <w:r>
        <w:instrText xml:space="preserve"> PAGEREF _Toc131514452 \h </w:instrText>
      </w:r>
      <w:r>
        <w:fldChar w:fldCharType="separate"/>
      </w:r>
      <w:r>
        <w:t>164</w:t>
      </w:r>
      <w:r>
        <w:fldChar w:fldCharType="end"/>
      </w:r>
    </w:p>
    <w:p>
      <w:pPr>
        <w:pStyle w:val="TOC8"/>
        <w:rPr>
          <w:rFonts w:asciiTheme="minorHAnsi" w:eastAsiaTheme="minorEastAsia" w:hAnsiTheme="minorHAnsi" w:cstheme="minorBidi"/>
          <w:szCs w:val="22"/>
        </w:rPr>
      </w:pPr>
      <w:r>
        <w:t>101A</w:t>
      </w:r>
      <w:r>
        <w:rPr>
          <w:snapToGrid w:val="0"/>
        </w:rPr>
        <w:t>.</w:t>
      </w:r>
      <w:r>
        <w:rPr>
          <w:snapToGrid w:val="0"/>
        </w:rPr>
        <w:tab/>
        <w:t>Borrowing powers</w:t>
      </w:r>
      <w:r>
        <w:tab/>
      </w:r>
      <w:r>
        <w:fldChar w:fldCharType="begin"/>
      </w:r>
      <w:r>
        <w:instrText xml:space="preserve"> PAGEREF _Toc131514453 \h </w:instrText>
      </w:r>
      <w:r>
        <w:fldChar w:fldCharType="separate"/>
      </w:r>
      <w:r>
        <w:t>164</w:t>
      </w:r>
      <w:r>
        <w:fldChar w:fldCharType="end"/>
      </w:r>
    </w:p>
    <w:p>
      <w:pPr>
        <w:pStyle w:val="TOC8"/>
        <w:rPr>
          <w:rFonts w:asciiTheme="minorHAnsi" w:eastAsiaTheme="minorEastAsia" w:hAnsiTheme="minorHAnsi" w:cstheme="minorBidi"/>
          <w:szCs w:val="22"/>
        </w:rPr>
      </w:pPr>
      <w:r>
        <w:t>101B</w:t>
      </w:r>
      <w:r>
        <w:rPr>
          <w:snapToGrid w:val="0"/>
        </w:rPr>
        <w:t>.</w:t>
      </w:r>
      <w:r>
        <w:rPr>
          <w:snapToGrid w:val="0"/>
        </w:rPr>
        <w:tab/>
        <w:t>Guarantees by Treasurer of borrowings</w:t>
      </w:r>
      <w:r>
        <w:tab/>
      </w:r>
      <w:r>
        <w:fldChar w:fldCharType="begin"/>
      </w:r>
      <w:r>
        <w:instrText xml:space="preserve"> PAGEREF _Toc131514454 \h </w:instrText>
      </w:r>
      <w:r>
        <w:fldChar w:fldCharType="separate"/>
      </w:r>
      <w:r>
        <w:t>165</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Limitation on powers under s. 100(e)</w:t>
      </w:r>
      <w:r>
        <w:tab/>
      </w:r>
      <w:r>
        <w:fldChar w:fldCharType="begin"/>
      </w:r>
      <w:r>
        <w:instrText xml:space="preserve"> PAGEREF _Toc131514455 \h </w:instrText>
      </w:r>
      <w:r>
        <w:fldChar w:fldCharType="separate"/>
      </w:r>
      <w:r>
        <w:t>166</w:t>
      </w:r>
      <w:r>
        <w:fldChar w:fldCharType="end"/>
      </w:r>
    </w:p>
    <w:p>
      <w:pPr>
        <w:pStyle w:val="TOC8"/>
        <w:rPr>
          <w:rFonts w:asciiTheme="minorHAnsi" w:eastAsiaTheme="minorEastAsia" w:hAnsiTheme="minorHAnsi" w:cstheme="minorBidi"/>
          <w:szCs w:val="22"/>
        </w:rPr>
      </w:pPr>
      <w:r>
        <w:t>103A</w:t>
      </w:r>
      <w:r>
        <w:rPr>
          <w:snapToGrid w:val="0"/>
        </w:rPr>
        <w:t>.</w:t>
      </w:r>
      <w:r>
        <w:rPr>
          <w:snapToGrid w:val="0"/>
        </w:rPr>
        <w:tab/>
        <w:t>Insurers etc. to give WorkCover WA information</w:t>
      </w:r>
      <w:r>
        <w:tab/>
      </w:r>
      <w:r>
        <w:fldChar w:fldCharType="begin"/>
      </w:r>
      <w:r>
        <w:instrText xml:space="preserve"> PAGEREF _Toc131514456 \h </w:instrText>
      </w:r>
      <w:r>
        <w:fldChar w:fldCharType="separate"/>
      </w:r>
      <w:r>
        <w:t>166</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Publishing and furnishing information</w:t>
      </w:r>
      <w:r>
        <w:tab/>
      </w:r>
      <w:r>
        <w:fldChar w:fldCharType="begin"/>
      </w:r>
      <w:r>
        <w:instrText xml:space="preserve"> PAGEREF _Toc131514457 \h </w:instrText>
      </w:r>
      <w:r>
        <w:fldChar w:fldCharType="separate"/>
      </w:r>
      <w:r>
        <w:t>167</w:t>
      </w:r>
      <w:r>
        <w:fldChar w:fldCharType="end"/>
      </w:r>
    </w:p>
    <w:p>
      <w:pPr>
        <w:pStyle w:val="TOC4"/>
        <w:tabs>
          <w:tab w:val="right" w:leader="dot" w:pos="7077"/>
        </w:tabs>
        <w:rPr>
          <w:rFonts w:asciiTheme="minorHAnsi" w:eastAsiaTheme="minorEastAsia" w:hAnsiTheme="minorHAnsi" w:cstheme="minorBidi"/>
          <w:b w:val="0"/>
          <w:szCs w:val="22"/>
        </w:rPr>
      </w:pPr>
      <w:r>
        <w:t>Division 1AA — Personal interest</w:t>
      </w:r>
    </w:p>
    <w:p>
      <w:pPr>
        <w:pStyle w:val="TOC8"/>
        <w:rPr>
          <w:rFonts w:asciiTheme="minorHAnsi" w:eastAsiaTheme="minorEastAsia" w:hAnsiTheme="minorHAnsi" w:cstheme="minorBidi"/>
          <w:szCs w:val="22"/>
        </w:rPr>
      </w:pPr>
      <w:r>
        <w:t>104AA.</w:t>
      </w:r>
      <w:r>
        <w:tab/>
        <w:t>D</w:t>
      </w:r>
      <w:r>
        <w:rPr>
          <w:snapToGrid w:val="0"/>
        </w:rPr>
        <w:t>isclosure of interests by governing body members</w:t>
      </w:r>
      <w:r>
        <w:tab/>
      </w:r>
      <w:r>
        <w:fldChar w:fldCharType="begin"/>
      </w:r>
      <w:r>
        <w:instrText xml:space="preserve"> PAGEREF _Toc131514459 \h </w:instrText>
      </w:r>
      <w:r>
        <w:fldChar w:fldCharType="separate"/>
      </w:r>
      <w:r>
        <w:t>167</w:t>
      </w:r>
      <w:r>
        <w:fldChar w:fldCharType="end"/>
      </w:r>
    </w:p>
    <w:p>
      <w:pPr>
        <w:pStyle w:val="TOC8"/>
        <w:rPr>
          <w:rFonts w:asciiTheme="minorHAnsi" w:eastAsiaTheme="minorEastAsia" w:hAnsiTheme="minorHAnsi" w:cstheme="minorBidi"/>
          <w:szCs w:val="22"/>
        </w:rPr>
      </w:pPr>
      <w:r>
        <w:t>104AB</w:t>
      </w:r>
      <w:r>
        <w:rPr>
          <w:snapToGrid w:val="0"/>
        </w:rPr>
        <w:t>.</w:t>
      </w:r>
      <w:r>
        <w:rPr>
          <w:snapToGrid w:val="0"/>
        </w:rPr>
        <w:tab/>
        <w:t>Exclusion of interested member</w:t>
      </w:r>
      <w:r>
        <w:tab/>
      </w:r>
      <w:r>
        <w:fldChar w:fldCharType="begin"/>
      </w:r>
      <w:r>
        <w:instrText xml:space="preserve"> PAGEREF _Toc131514460 \h </w:instrText>
      </w:r>
      <w:r>
        <w:fldChar w:fldCharType="separate"/>
      </w:r>
      <w:r>
        <w:t>167</w:t>
      </w:r>
      <w:r>
        <w:fldChar w:fldCharType="end"/>
      </w:r>
    </w:p>
    <w:p>
      <w:pPr>
        <w:pStyle w:val="TOC8"/>
        <w:rPr>
          <w:rFonts w:asciiTheme="minorHAnsi" w:eastAsiaTheme="minorEastAsia" w:hAnsiTheme="minorHAnsi" w:cstheme="minorBidi"/>
          <w:szCs w:val="22"/>
        </w:rPr>
      </w:pPr>
      <w:r>
        <w:t>104AC</w:t>
      </w:r>
      <w:r>
        <w:rPr>
          <w:snapToGrid w:val="0"/>
        </w:rPr>
        <w:t>.</w:t>
      </w:r>
      <w:r>
        <w:rPr>
          <w:snapToGrid w:val="0"/>
        </w:rPr>
        <w:tab/>
        <w:t>Resolution that s. 104AB inapplicable</w:t>
      </w:r>
      <w:r>
        <w:tab/>
      </w:r>
      <w:r>
        <w:fldChar w:fldCharType="begin"/>
      </w:r>
      <w:r>
        <w:instrText xml:space="preserve"> PAGEREF _Toc131514461 \h </w:instrText>
      </w:r>
      <w:r>
        <w:fldChar w:fldCharType="separate"/>
      </w:r>
      <w:r>
        <w:t>168</w:t>
      </w:r>
      <w:r>
        <w:fldChar w:fldCharType="end"/>
      </w:r>
    </w:p>
    <w:p>
      <w:pPr>
        <w:pStyle w:val="TOC8"/>
        <w:rPr>
          <w:rFonts w:asciiTheme="minorHAnsi" w:eastAsiaTheme="minorEastAsia" w:hAnsiTheme="minorHAnsi" w:cstheme="minorBidi"/>
          <w:szCs w:val="22"/>
        </w:rPr>
      </w:pPr>
      <w:r>
        <w:t>104AD</w:t>
      </w:r>
      <w:r>
        <w:rPr>
          <w:snapToGrid w:val="0"/>
        </w:rPr>
        <w:t>.</w:t>
      </w:r>
      <w:r>
        <w:rPr>
          <w:snapToGrid w:val="0"/>
        </w:rPr>
        <w:tab/>
        <w:t>Quorum where s. 104AB applies</w:t>
      </w:r>
      <w:r>
        <w:tab/>
      </w:r>
      <w:r>
        <w:fldChar w:fldCharType="begin"/>
      </w:r>
      <w:r>
        <w:instrText xml:space="preserve"> PAGEREF _Toc131514462 \h </w:instrText>
      </w:r>
      <w:r>
        <w:fldChar w:fldCharType="separate"/>
      </w:r>
      <w:r>
        <w:t>168</w:t>
      </w:r>
      <w:r>
        <w:fldChar w:fldCharType="end"/>
      </w:r>
    </w:p>
    <w:p>
      <w:pPr>
        <w:pStyle w:val="TOC8"/>
        <w:rPr>
          <w:rFonts w:asciiTheme="minorHAnsi" w:eastAsiaTheme="minorEastAsia" w:hAnsiTheme="minorHAnsi" w:cstheme="minorBidi"/>
          <w:szCs w:val="22"/>
        </w:rPr>
      </w:pPr>
      <w:r>
        <w:t>104AE</w:t>
      </w:r>
      <w:r>
        <w:rPr>
          <w:snapToGrid w:val="0"/>
        </w:rPr>
        <w:t>.</w:t>
      </w:r>
      <w:r>
        <w:rPr>
          <w:snapToGrid w:val="0"/>
        </w:rPr>
        <w:tab/>
        <w:t>Minister may declare s. 104AB and 104AD inapplicable</w:t>
      </w:r>
      <w:r>
        <w:tab/>
      </w:r>
      <w:r>
        <w:fldChar w:fldCharType="begin"/>
      </w:r>
      <w:r>
        <w:instrText xml:space="preserve"> PAGEREF _Toc131514463 \h </w:instrText>
      </w:r>
      <w:r>
        <w:fldChar w:fldCharType="separate"/>
      </w:r>
      <w:r>
        <w:t>168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Accounts and audit</w:t>
      </w:r>
    </w:p>
    <w:p>
      <w:pPr>
        <w:pStyle w:val="TOC8"/>
        <w:rPr>
          <w:rFonts w:asciiTheme="minorHAnsi" w:eastAsiaTheme="minorEastAsia" w:hAnsiTheme="minorHAnsi" w:cstheme="minorBidi"/>
          <w:szCs w:val="22"/>
        </w:rPr>
      </w:pPr>
      <w:r>
        <w:t>105</w:t>
      </w:r>
      <w:r>
        <w:rPr>
          <w:snapToGrid w:val="0"/>
        </w:rPr>
        <w:t>.</w:t>
      </w:r>
      <w:r>
        <w:tab/>
      </w:r>
      <w:r>
        <w:rPr>
          <w:i/>
          <w:snapToGrid w:val="0"/>
        </w:rPr>
        <w:t xml:space="preserve">Financial Management Act 2006 </w:t>
      </w:r>
      <w:r>
        <w:rPr>
          <w:snapToGrid w:val="0"/>
        </w:rPr>
        <w:t>and</w:t>
      </w:r>
      <w:r>
        <w:rPr>
          <w:i/>
          <w:snapToGrid w:val="0"/>
        </w:rPr>
        <w:t xml:space="preserve"> Auditor General Act 2006</w:t>
      </w:r>
      <w:r>
        <w:rPr>
          <w:snapToGrid w:val="0"/>
        </w:rPr>
        <w:t>, application of</w:t>
      </w:r>
      <w:r>
        <w:tab/>
      </w:r>
      <w:r>
        <w:fldChar w:fldCharType="begin"/>
      </w:r>
      <w:r>
        <w:instrText xml:space="preserve"> PAGEREF _Toc131514465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Workers’ Compensation and Injury Management General Account</w:t>
      </w:r>
    </w:p>
    <w:p>
      <w:pPr>
        <w:pStyle w:val="TOC8"/>
        <w:rPr>
          <w:rFonts w:asciiTheme="minorHAnsi" w:eastAsiaTheme="minorEastAsia" w:hAnsiTheme="minorHAnsi" w:cstheme="minorBidi"/>
          <w:szCs w:val="22"/>
        </w:rPr>
      </w:pPr>
      <w:r>
        <w:t>106</w:t>
      </w:r>
      <w:r>
        <w:rPr>
          <w:snapToGrid w:val="0"/>
        </w:rPr>
        <w:t>.</w:t>
      </w:r>
      <w:r>
        <w:rPr>
          <w:snapToGrid w:val="0"/>
        </w:rPr>
        <w:tab/>
        <w:t xml:space="preserve">General </w:t>
      </w:r>
      <w:r>
        <w:t>Account, funds and purposes of</w:t>
      </w:r>
      <w:r>
        <w:tab/>
      </w:r>
      <w:r>
        <w:fldChar w:fldCharType="begin"/>
      </w:r>
      <w:r>
        <w:instrText xml:space="preserve"> PAGEREF _Toc131514467 \h </w:instrText>
      </w:r>
      <w:r>
        <w:fldChar w:fldCharType="separate"/>
      </w:r>
      <w:r>
        <w:t>169</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Estimates of funds needed for General Account</w:t>
      </w:r>
      <w:r>
        <w:tab/>
      </w:r>
      <w:r>
        <w:fldChar w:fldCharType="begin"/>
      </w:r>
      <w:r>
        <w:instrText xml:space="preserve"> PAGEREF _Toc131514468 \h </w:instrText>
      </w:r>
      <w:r>
        <w:fldChar w:fldCharType="separate"/>
      </w:r>
      <w:r>
        <w:t>171</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Levied contributions to General Account, amount of</w:t>
      </w:r>
      <w:r>
        <w:tab/>
      </w:r>
      <w:r>
        <w:fldChar w:fldCharType="begin"/>
      </w:r>
      <w:r>
        <w:instrText xml:space="preserve"> PAGEREF _Toc131514469 \h </w:instrText>
      </w:r>
      <w:r>
        <w:fldChar w:fldCharType="separate"/>
      </w:r>
      <w:r>
        <w:t>172</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 xml:space="preserve">Insurers to contribute to General </w:t>
      </w:r>
      <w:r>
        <w:t>Account</w:t>
      </w:r>
      <w:r>
        <w:tab/>
      </w:r>
      <w:r>
        <w:fldChar w:fldCharType="begin"/>
      </w:r>
      <w:r>
        <w:instrText xml:space="preserve"> PAGEREF _Toc131514470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Workers’ Compensation and Injury Management Trust Account</w:t>
      </w:r>
    </w:p>
    <w:p>
      <w:pPr>
        <w:pStyle w:val="TOC8"/>
        <w:rPr>
          <w:rFonts w:asciiTheme="minorHAnsi" w:eastAsiaTheme="minorEastAsia" w:hAnsiTheme="minorHAnsi" w:cstheme="minorBidi"/>
          <w:szCs w:val="22"/>
        </w:rPr>
      </w:pPr>
      <w:r>
        <w:t>110</w:t>
      </w:r>
      <w:r>
        <w:rPr>
          <w:snapToGrid w:val="0"/>
        </w:rPr>
        <w:t>.</w:t>
      </w:r>
      <w:r>
        <w:rPr>
          <w:snapToGrid w:val="0"/>
        </w:rPr>
        <w:tab/>
        <w:t xml:space="preserve">Trust </w:t>
      </w:r>
      <w:r>
        <w:t>Account, funds and purposes of</w:t>
      </w:r>
      <w:r>
        <w:tab/>
      </w:r>
      <w:r>
        <w:fldChar w:fldCharType="begin"/>
      </w:r>
      <w:r>
        <w:instrText xml:space="preserve"> PAGEREF _Toc131514472 \h </w:instrText>
      </w:r>
      <w:r>
        <w:fldChar w:fldCharType="separate"/>
      </w:r>
      <w:r>
        <w:t>175</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Ministerial control</w:t>
      </w:r>
    </w:p>
    <w:p>
      <w:pPr>
        <w:pStyle w:val="TOC8"/>
        <w:rPr>
          <w:rFonts w:asciiTheme="minorHAnsi" w:eastAsiaTheme="minorEastAsia" w:hAnsiTheme="minorHAnsi" w:cstheme="minorBidi"/>
          <w:szCs w:val="22"/>
        </w:rPr>
      </w:pPr>
      <w:r>
        <w:t>111</w:t>
      </w:r>
      <w:r>
        <w:rPr>
          <w:snapToGrid w:val="0"/>
        </w:rPr>
        <w:t>.</w:t>
      </w:r>
      <w:r>
        <w:rPr>
          <w:snapToGrid w:val="0"/>
        </w:rPr>
        <w:tab/>
        <w:t>Minister may give WorkCover WA directions</w:t>
      </w:r>
      <w:r>
        <w:tab/>
      </w:r>
      <w:r>
        <w:fldChar w:fldCharType="begin"/>
      </w:r>
      <w:r>
        <w:instrText xml:space="preserve"> PAGEREF _Toc131514474 \h </w:instrText>
      </w:r>
      <w:r>
        <w:fldChar w:fldCharType="separate"/>
      </w:r>
      <w:r>
        <w:t>177</w:t>
      </w:r>
      <w:r>
        <w:fldChar w:fldCharType="end"/>
      </w:r>
    </w:p>
    <w:p>
      <w:pPr>
        <w:pStyle w:val="TOC8"/>
        <w:rPr>
          <w:rFonts w:asciiTheme="minorHAnsi" w:eastAsiaTheme="minorEastAsia" w:hAnsiTheme="minorHAnsi" w:cstheme="minorBidi"/>
          <w:szCs w:val="22"/>
        </w:rPr>
      </w:pPr>
      <w:r>
        <w:t>111A</w:t>
      </w:r>
      <w:r>
        <w:rPr>
          <w:snapToGrid w:val="0"/>
        </w:rPr>
        <w:t>.</w:t>
      </w:r>
      <w:r>
        <w:rPr>
          <w:snapToGrid w:val="0"/>
        </w:rPr>
        <w:tab/>
        <w:t>Minister to have access to information</w:t>
      </w:r>
      <w:r>
        <w:tab/>
      </w:r>
      <w:r>
        <w:fldChar w:fldCharType="begin"/>
      </w:r>
      <w:r>
        <w:instrText xml:space="preserve"> PAGEREF _Toc131514475 \h </w:instrText>
      </w:r>
      <w:r>
        <w:fldChar w:fldCharType="separate"/>
      </w:r>
      <w:r>
        <w:t>177</w:t>
      </w:r>
      <w:r>
        <w:fldChar w:fldCharType="end"/>
      </w:r>
    </w:p>
    <w:p>
      <w:pPr>
        <w:pStyle w:val="TOC2"/>
        <w:tabs>
          <w:tab w:val="right" w:leader="dot" w:pos="7077"/>
        </w:tabs>
        <w:rPr>
          <w:rFonts w:asciiTheme="minorHAnsi" w:eastAsiaTheme="minorEastAsia" w:hAnsiTheme="minorHAnsi" w:cstheme="minorBidi"/>
          <w:b w:val="0"/>
          <w:sz w:val="22"/>
          <w:szCs w:val="22"/>
        </w:rPr>
      </w:pPr>
      <w:r>
        <w:t>Part VII</w:t>
      </w:r>
      <w:r>
        <w:rPr>
          <w:b w:val="0"/>
        </w:rPr>
        <w:t> </w:t>
      </w:r>
      <w:r>
        <w:t>—</w:t>
      </w:r>
      <w:r>
        <w:rPr>
          <w:b w:val="0"/>
        </w:rPr>
        <w:t> </w:t>
      </w:r>
      <w:r>
        <w:t>Medical assessment and assessment for specialised retraining programs</w:t>
      </w:r>
    </w:p>
    <w:p>
      <w:pPr>
        <w:pStyle w:val="TOC4"/>
        <w:tabs>
          <w:tab w:val="right" w:leader="dot" w:pos="7077"/>
        </w:tabs>
        <w:rPr>
          <w:rFonts w:asciiTheme="minorHAnsi" w:eastAsiaTheme="minorEastAsia" w:hAnsiTheme="minorHAnsi" w:cstheme="minorBidi"/>
          <w:b w:val="0"/>
          <w:szCs w:val="22"/>
        </w:rPr>
      </w:pPr>
      <w:r>
        <w:t>Division 1 — Medical assessment panels</w:t>
      </w:r>
    </w:p>
    <w:p>
      <w:pPr>
        <w:pStyle w:val="TOC8"/>
        <w:rPr>
          <w:rFonts w:asciiTheme="minorHAnsi" w:eastAsiaTheme="minorEastAsia" w:hAnsiTheme="minorHAnsi" w:cstheme="minorBidi"/>
          <w:szCs w:val="22"/>
        </w:rPr>
      </w:pPr>
      <w:r>
        <w:t>144.</w:t>
      </w:r>
      <w:r>
        <w:tab/>
        <w:t>Term used: relevant authority</w:t>
      </w:r>
      <w:r>
        <w:tab/>
      </w:r>
      <w:r>
        <w:fldChar w:fldCharType="begin"/>
      </w:r>
      <w:r>
        <w:instrText xml:space="preserve"> PAGEREF _Toc131514478 \h </w:instrText>
      </w:r>
      <w:r>
        <w:fldChar w:fldCharType="separate"/>
      </w:r>
      <w:r>
        <w:t>179</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Excluded jurisdiction of panels</w:t>
      </w:r>
      <w:r>
        <w:tab/>
      </w:r>
      <w:r>
        <w:fldChar w:fldCharType="begin"/>
      </w:r>
      <w:r>
        <w:instrText xml:space="preserve"> PAGEREF _Toc131514479 \h </w:instrText>
      </w:r>
      <w:r>
        <w:fldChar w:fldCharType="separate"/>
      </w:r>
      <w:r>
        <w:t>179</w:t>
      </w:r>
      <w:r>
        <w:fldChar w:fldCharType="end"/>
      </w:r>
    </w:p>
    <w:p>
      <w:pPr>
        <w:pStyle w:val="TOC8"/>
        <w:rPr>
          <w:rFonts w:asciiTheme="minorHAnsi" w:eastAsiaTheme="minorEastAsia" w:hAnsiTheme="minorHAnsi" w:cstheme="minorBidi"/>
          <w:szCs w:val="22"/>
        </w:rPr>
      </w:pPr>
      <w:r>
        <w:lastRenderedPageBreak/>
        <w:t>145A.</w:t>
      </w:r>
      <w:r>
        <w:tab/>
        <w:t>Questions that may be referred to panels</w:t>
      </w:r>
      <w:r>
        <w:tab/>
      </w:r>
      <w:r>
        <w:fldChar w:fldCharType="begin"/>
      </w:r>
      <w:r>
        <w:instrText xml:space="preserve"> PAGEREF _Toc131514480 \h </w:instrText>
      </w:r>
      <w:r>
        <w:fldChar w:fldCharType="separate"/>
      </w:r>
      <w:r>
        <w:t>179</w:t>
      </w:r>
      <w:r>
        <w:fldChar w:fldCharType="end"/>
      </w:r>
    </w:p>
    <w:p>
      <w:pPr>
        <w:pStyle w:val="TOC8"/>
        <w:rPr>
          <w:rFonts w:asciiTheme="minorHAnsi" w:eastAsiaTheme="minorEastAsia" w:hAnsiTheme="minorHAnsi" w:cstheme="minorBidi"/>
          <w:szCs w:val="22"/>
        </w:rPr>
      </w:pPr>
      <w:r>
        <w:t>145B</w:t>
      </w:r>
      <w:r>
        <w:rPr>
          <w:snapToGrid w:val="0"/>
        </w:rPr>
        <w:t>.</w:t>
      </w:r>
      <w:r>
        <w:rPr>
          <w:snapToGrid w:val="0"/>
        </w:rPr>
        <w:tab/>
        <w:t>Register of eligible members of panels</w:t>
      </w:r>
      <w:r>
        <w:tab/>
      </w:r>
      <w:r>
        <w:fldChar w:fldCharType="begin"/>
      </w:r>
      <w:r>
        <w:instrText xml:space="preserve"> PAGEREF _Toc131514481 \h </w:instrText>
      </w:r>
      <w:r>
        <w:fldChar w:fldCharType="separate"/>
      </w:r>
      <w:r>
        <w:t>180</w:t>
      </w:r>
      <w:r>
        <w:fldChar w:fldCharType="end"/>
      </w:r>
    </w:p>
    <w:p>
      <w:pPr>
        <w:pStyle w:val="TOC8"/>
        <w:rPr>
          <w:rFonts w:asciiTheme="minorHAnsi" w:eastAsiaTheme="minorEastAsia" w:hAnsiTheme="minorHAnsi" w:cstheme="minorBidi"/>
          <w:szCs w:val="22"/>
        </w:rPr>
      </w:pPr>
      <w:r>
        <w:t>145C</w:t>
      </w:r>
      <w:r>
        <w:rPr>
          <w:snapToGrid w:val="0"/>
        </w:rPr>
        <w:t>.</w:t>
      </w:r>
      <w:r>
        <w:rPr>
          <w:snapToGrid w:val="0"/>
        </w:rPr>
        <w:tab/>
        <w:t>Constituting panels</w:t>
      </w:r>
      <w:r>
        <w:tab/>
      </w:r>
      <w:r>
        <w:fldChar w:fldCharType="begin"/>
      </w:r>
      <w:r>
        <w:instrText xml:space="preserve"> PAGEREF _Toc131514482 \h </w:instrText>
      </w:r>
      <w:r>
        <w:fldChar w:fldCharType="separate"/>
      </w:r>
      <w:r>
        <w:t>180</w:t>
      </w:r>
      <w:r>
        <w:fldChar w:fldCharType="end"/>
      </w:r>
    </w:p>
    <w:p>
      <w:pPr>
        <w:pStyle w:val="TOC8"/>
        <w:rPr>
          <w:rFonts w:asciiTheme="minorHAnsi" w:eastAsiaTheme="minorEastAsia" w:hAnsiTheme="minorHAnsi" w:cstheme="minorBidi"/>
          <w:szCs w:val="22"/>
        </w:rPr>
      </w:pPr>
      <w:r>
        <w:t>145D</w:t>
      </w:r>
      <w:r>
        <w:rPr>
          <w:snapToGrid w:val="0"/>
        </w:rPr>
        <w:t>.</w:t>
      </w:r>
      <w:r>
        <w:rPr>
          <w:snapToGrid w:val="0"/>
        </w:rPr>
        <w:tab/>
        <w:t>Procedure and powers of panels</w:t>
      </w:r>
      <w:r>
        <w:tab/>
      </w:r>
      <w:r>
        <w:fldChar w:fldCharType="begin"/>
      </w:r>
      <w:r>
        <w:instrText xml:space="preserve"> PAGEREF _Toc131514483 \h </w:instrText>
      </w:r>
      <w:r>
        <w:fldChar w:fldCharType="separate"/>
      </w:r>
      <w:r>
        <w:t>181</w:t>
      </w:r>
      <w:r>
        <w:fldChar w:fldCharType="end"/>
      </w:r>
    </w:p>
    <w:p>
      <w:pPr>
        <w:pStyle w:val="TOC8"/>
        <w:rPr>
          <w:rFonts w:asciiTheme="minorHAnsi" w:eastAsiaTheme="minorEastAsia" w:hAnsiTheme="minorHAnsi" w:cstheme="minorBidi"/>
          <w:szCs w:val="22"/>
        </w:rPr>
      </w:pPr>
      <w:r>
        <w:t>145E</w:t>
      </w:r>
      <w:r>
        <w:rPr>
          <w:snapToGrid w:val="0"/>
        </w:rPr>
        <w:t>.</w:t>
      </w:r>
      <w:r>
        <w:rPr>
          <w:snapToGrid w:val="0"/>
        </w:rPr>
        <w:tab/>
        <w:t>Determinations</w:t>
      </w:r>
      <w:r>
        <w:tab/>
      </w:r>
      <w:r>
        <w:fldChar w:fldCharType="begin"/>
      </w:r>
      <w:r>
        <w:instrText xml:space="preserve"> PAGEREF _Toc131514484 \h </w:instrText>
      </w:r>
      <w:r>
        <w:fldChar w:fldCharType="separate"/>
      </w:r>
      <w:r>
        <w:t>182</w:t>
      </w:r>
      <w:r>
        <w:fldChar w:fldCharType="end"/>
      </w:r>
    </w:p>
    <w:p>
      <w:pPr>
        <w:pStyle w:val="TOC8"/>
        <w:rPr>
          <w:rFonts w:asciiTheme="minorHAnsi" w:eastAsiaTheme="minorEastAsia" w:hAnsiTheme="minorHAnsi" w:cstheme="minorBidi"/>
          <w:szCs w:val="22"/>
        </w:rPr>
      </w:pPr>
      <w:r>
        <w:t>145F</w:t>
      </w:r>
      <w:r>
        <w:rPr>
          <w:snapToGrid w:val="0"/>
        </w:rPr>
        <w:t>.</w:t>
      </w:r>
      <w:r>
        <w:rPr>
          <w:snapToGrid w:val="0"/>
        </w:rPr>
        <w:tab/>
        <w:t>Reconsidering determinations</w:t>
      </w:r>
      <w:r>
        <w:tab/>
      </w:r>
      <w:r>
        <w:fldChar w:fldCharType="begin"/>
      </w:r>
      <w:r>
        <w:instrText xml:space="preserve"> PAGEREF _Toc131514485 \h </w:instrText>
      </w:r>
      <w:r>
        <w:fldChar w:fldCharType="separate"/>
      </w:r>
      <w:r>
        <w:t>184</w:t>
      </w:r>
      <w:r>
        <w:fldChar w:fldCharType="end"/>
      </w:r>
    </w:p>
    <w:p>
      <w:pPr>
        <w:pStyle w:val="TOC8"/>
        <w:rPr>
          <w:rFonts w:asciiTheme="minorHAnsi" w:eastAsiaTheme="minorEastAsia" w:hAnsiTheme="minorHAnsi" w:cstheme="minorBidi"/>
          <w:szCs w:val="22"/>
        </w:rPr>
      </w:pPr>
      <w:r>
        <w:t>145G</w:t>
      </w:r>
      <w:r>
        <w:rPr>
          <w:snapToGrid w:val="0"/>
        </w:rPr>
        <w:t>.</w:t>
      </w:r>
      <w:r>
        <w:rPr>
          <w:snapToGrid w:val="0"/>
        </w:rPr>
        <w:tab/>
        <w:t>Remuneration</w:t>
      </w:r>
      <w:r>
        <w:tab/>
      </w:r>
      <w:r>
        <w:fldChar w:fldCharType="begin"/>
      </w:r>
      <w:r>
        <w:instrText xml:space="preserve"> PAGEREF _Toc131514486 \h </w:instrText>
      </w:r>
      <w:r>
        <w:fldChar w:fldCharType="separate"/>
      </w:r>
      <w:r>
        <w:t>184</w:t>
      </w:r>
      <w:r>
        <w:fldChar w:fldCharType="end"/>
      </w:r>
    </w:p>
    <w:p>
      <w:pPr>
        <w:pStyle w:val="TOC4"/>
        <w:tabs>
          <w:tab w:val="right" w:leader="dot" w:pos="7077"/>
        </w:tabs>
        <w:rPr>
          <w:rFonts w:asciiTheme="minorHAnsi" w:eastAsiaTheme="minorEastAsia" w:hAnsiTheme="minorHAnsi" w:cstheme="minorBidi"/>
          <w:b w:val="0"/>
          <w:szCs w:val="22"/>
        </w:rPr>
      </w:pPr>
      <w:r>
        <w:t>Division 2 — Assessing degree of impairment</w:t>
      </w:r>
    </w:p>
    <w:p>
      <w:pPr>
        <w:pStyle w:val="TOC8"/>
        <w:rPr>
          <w:rFonts w:asciiTheme="minorHAnsi" w:eastAsiaTheme="minorEastAsia" w:hAnsiTheme="minorHAnsi" w:cstheme="minorBidi"/>
          <w:szCs w:val="22"/>
        </w:rPr>
      </w:pPr>
      <w:r>
        <w:t>146.</w:t>
      </w:r>
      <w:r>
        <w:tab/>
        <w:t>Terms used</w:t>
      </w:r>
      <w:r>
        <w:tab/>
      </w:r>
      <w:r>
        <w:fldChar w:fldCharType="begin"/>
      </w:r>
      <w:r>
        <w:instrText xml:space="preserve"> PAGEREF _Toc131514488 \h </w:instrText>
      </w:r>
      <w:r>
        <w:fldChar w:fldCharType="separate"/>
      </w:r>
      <w:r>
        <w:t>185</w:t>
      </w:r>
      <w:r>
        <w:fldChar w:fldCharType="end"/>
      </w:r>
    </w:p>
    <w:p>
      <w:pPr>
        <w:pStyle w:val="TOC8"/>
        <w:rPr>
          <w:rFonts w:asciiTheme="minorHAnsi" w:eastAsiaTheme="minorEastAsia" w:hAnsiTheme="minorHAnsi" w:cstheme="minorBidi"/>
          <w:szCs w:val="22"/>
        </w:rPr>
      </w:pPr>
      <w:r>
        <w:t>146A.</w:t>
      </w:r>
      <w:r>
        <w:tab/>
        <w:t>Evaluating degree of impairment generally</w:t>
      </w:r>
      <w:r>
        <w:tab/>
      </w:r>
      <w:r>
        <w:fldChar w:fldCharType="begin"/>
      </w:r>
      <w:r>
        <w:instrText xml:space="preserve"> PAGEREF _Toc131514489 \h </w:instrText>
      </w:r>
      <w:r>
        <w:fldChar w:fldCharType="separate"/>
      </w:r>
      <w:r>
        <w:t>185</w:t>
      </w:r>
      <w:r>
        <w:fldChar w:fldCharType="end"/>
      </w:r>
    </w:p>
    <w:p>
      <w:pPr>
        <w:pStyle w:val="TOC8"/>
        <w:rPr>
          <w:rFonts w:asciiTheme="minorHAnsi" w:eastAsiaTheme="minorEastAsia" w:hAnsiTheme="minorHAnsi" w:cstheme="minorBidi"/>
          <w:szCs w:val="22"/>
        </w:rPr>
      </w:pPr>
      <w:r>
        <w:t>146B.</w:t>
      </w:r>
      <w:r>
        <w:tab/>
        <w:t>Evaluating degree of impairment for Part III Div. 2A</w:t>
      </w:r>
      <w:r>
        <w:tab/>
      </w:r>
      <w:r>
        <w:fldChar w:fldCharType="begin"/>
      </w:r>
      <w:r>
        <w:instrText xml:space="preserve"> PAGEREF _Toc131514490 \h </w:instrText>
      </w:r>
      <w:r>
        <w:fldChar w:fldCharType="separate"/>
      </w:r>
      <w:r>
        <w:t>186</w:t>
      </w:r>
      <w:r>
        <w:fldChar w:fldCharType="end"/>
      </w:r>
    </w:p>
    <w:p>
      <w:pPr>
        <w:pStyle w:val="TOC8"/>
        <w:rPr>
          <w:rFonts w:asciiTheme="minorHAnsi" w:eastAsiaTheme="minorEastAsia" w:hAnsiTheme="minorHAnsi" w:cstheme="minorBidi"/>
          <w:szCs w:val="22"/>
        </w:rPr>
      </w:pPr>
      <w:r>
        <w:t>146C.</w:t>
      </w:r>
      <w:r>
        <w:tab/>
        <w:t>Evaluating degree of impairment for Part IV Div. 2 Subdiv. 3</w:t>
      </w:r>
      <w:r>
        <w:tab/>
      </w:r>
      <w:r>
        <w:fldChar w:fldCharType="begin"/>
      </w:r>
      <w:r>
        <w:instrText xml:space="preserve"> PAGEREF _Toc131514491 \h </w:instrText>
      </w:r>
      <w:r>
        <w:fldChar w:fldCharType="separate"/>
      </w:r>
      <w:r>
        <w:t>186</w:t>
      </w:r>
      <w:r>
        <w:fldChar w:fldCharType="end"/>
      </w:r>
    </w:p>
    <w:p>
      <w:pPr>
        <w:pStyle w:val="TOC8"/>
        <w:rPr>
          <w:rFonts w:asciiTheme="minorHAnsi" w:eastAsiaTheme="minorEastAsia" w:hAnsiTheme="minorHAnsi" w:cstheme="minorBidi"/>
          <w:szCs w:val="22"/>
        </w:rPr>
      </w:pPr>
      <w:r>
        <w:t>146D.</w:t>
      </w:r>
      <w:r>
        <w:tab/>
        <w:t>Evaluating degree of impairment for Part IXA</w:t>
      </w:r>
      <w:r>
        <w:tab/>
      </w:r>
      <w:r>
        <w:fldChar w:fldCharType="begin"/>
      </w:r>
      <w:r>
        <w:instrText xml:space="preserve"> PAGEREF _Toc131514492 \h </w:instrText>
      </w:r>
      <w:r>
        <w:fldChar w:fldCharType="separate"/>
      </w:r>
      <w:r>
        <w:t>187</w:t>
      </w:r>
      <w:r>
        <w:fldChar w:fldCharType="end"/>
      </w:r>
    </w:p>
    <w:p>
      <w:pPr>
        <w:pStyle w:val="TOC8"/>
        <w:rPr>
          <w:rFonts w:asciiTheme="minorHAnsi" w:eastAsiaTheme="minorEastAsia" w:hAnsiTheme="minorHAnsi" w:cstheme="minorBidi"/>
          <w:szCs w:val="22"/>
        </w:rPr>
      </w:pPr>
      <w:r>
        <w:t>146E.</w:t>
      </w:r>
      <w:r>
        <w:tab/>
        <w:t>Evaluating degree of impairment for cl. 18A</w:t>
      </w:r>
      <w:r>
        <w:tab/>
      </w:r>
      <w:r>
        <w:fldChar w:fldCharType="begin"/>
      </w:r>
      <w:r>
        <w:instrText xml:space="preserve"> PAGEREF _Toc131514493 \h </w:instrText>
      </w:r>
      <w:r>
        <w:fldChar w:fldCharType="separate"/>
      </w:r>
      <w:r>
        <w:t>188</w:t>
      </w:r>
      <w:r>
        <w:fldChar w:fldCharType="end"/>
      </w:r>
    </w:p>
    <w:p>
      <w:pPr>
        <w:pStyle w:val="TOC8"/>
        <w:rPr>
          <w:rFonts w:asciiTheme="minorHAnsi" w:eastAsiaTheme="minorEastAsia" w:hAnsiTheme="minorHAnsi" w:cstheme="minorBidi"/>
          <w:szCs w:val="22"/>
        </w:rPr>
      </w:pPr>
      <w:r>
        <w:t>146F.</w:t>
      </w:r>
      <w:r>
        <w:tab/>
        <w:t>Approved medical specialists, designation of</w:t>
      </w:r>
      <w:r>
        <w:tab/>
      </w:r>
      <w:r>
        <w:fldChar w:fldCharType="begin"/>
      </w:r>
      <w:r>
        <w:instrText xml:space="preserve"> PAGEREF _Toc131514494 \h </w:instrText>
      </w:r>
      <w:r>
        <w:fldChar w:fldCharType="separate"/>
      </w:r>
      <w:r>
        <w:t>188</w:t>
      </w:r>
      <w:r>
        <w:fldChar w:fldCharType="end"/>
      </w:r>
    </w:p>
    <w:p>
      <w:pPr>
        <w:pStyle w:val="TOC8"/>
        <w:rPr>
          <w:rFonts w:asciiTheme="minorHAnsi" w:eastAsiaTheme="minorEastAsia" w:hAnsiTheme="minorHAnsi" w:cstheme="minorBidi"/>
          <w:szCs w:val="22"/>
        </w:rPr>
      </w:pPr>
      <w:r>
        <w:t>146G.</w:t>
      </w:r>
      <w:r>
        <w:tab/>
        <w:t>Approved medical specialist, powers of</w:t>
      </w:r>
      <w:r>
        <w:tab/>
      </w:r>
      <w:r>
        <w:fldChar w:fldCharType="begin"/>
      </w:r>
      <w:r>
        <w:instrText xml:space="preserve"> PAGEREF _Toc131514495 \h </w:instrText>
      </w:r>
      <w:r>
        <w:fldChar w:fldCharType="separate"/>
      </w:r>
      <w:r>
        <w:t>189</w:t>
      </w:r>
      <w:r>
        <w:fldChar w:fldCharType="end"/>
      </w:r>
    </w:p>
    <w:p>
      <w:pPr>
        <w:pStyle w:val="TOC8"/>
        <w:rPr>
          <w:rFonts w:asciiTheme="minorHAnsi" w:eastAsiaTheme="minorEastAsia" w:hAnsiTheme="minorHAnsi" w:cstheme="minorBidi"/>
          <w:szCs w:val="22"/>
        </w:rPr>
      </w:pPr>
      <w:r>
        <w:t>146H.</w:t>
      </w:r>
      <w:r>
        <w:tab/>
        <w:t>Approved medical specialist, duties of after making assessment</w:t>
      </w:r>
      <w:r>
        <w:tab/>
      </w:r>
      <w:r>
        <w:fldChar w:fldCharType="begin"/>
      </w:r>
      <w:r>
        <w:instrText xml:space="preserve"> PAGEREF _Toc131514496 \h </w:instrText>
      </w:r>
      <w:r>
        <w:fldChar w:fldCharType="separate"/>
      </w:r>
      <w:r>
        <w:t>191</w:t>
      </w:r>
      <w:r>
        <w:fldChar w:fldCharType="end"/>
      </w:r>
    </w:p>
    <w:p>
      <w:pPr>
        <w:pStyle w:val="TOC8"/>
        <w:rPr>
          <w:rFonts w:asciiTheme="minorHAnsi" w:eastAsiaTheme="minorEastAsia" w:hAnsiTheme="minorHAnsi" w:cstheme="minorBidi"/>
          <w:szCs w:val="22"/>
        </w:rPr>
      </w:pPr>
      <w:r>
        <w:t>146I.</w:t>
      </w:r>
      <w:r>
        <w:tab/>
        <w:t>WorkCover WA may give approved medical specialist information about worker</w:t>
      </w:r>
      <w:r>
        <w:tab/>
      </w:r>
      <w:r>
        <w:fldChar w:fldCharType="begin"/>
      </w:r>
      <w:r>
        <w:instrText xml:space="preserve"> PAGEREF _Toc131514497 \h </w:instrText>
      </w:r>
      <w:r>
        <w:fldChar w:fldCharType="separate"/>
      </w:r>
      <w:r>
        <w:t>192</w:t>
      </w:r>
      <w:r>
        <w:fldChar w:fldCharType="end"/>
      </w:r>
    </w:p>
    <w:p>
      <w:pPr>
        <w:pStyle w:val="TOC8"/>
        <w:rPr>
          <w:rFonts w:asciiTheme="minorHAnsi" w:eastAsiaTheme="minorEastAsia" w:hAnsiTheme="minorHAnsi" w:cstheme="minorBidi"/>
          <w:szCs w:val="22"/>
        </w:rPr>
      </w:pPr>
      <w:r>
        <w:t>146J.</w:t>
      </w:r>
      <w:r>
        <w:tab/>
        <w:t>Decisions of approved medical specialist not reviewable</w:t>
      </w:r>
      <w:r>
        <w:tab/>
      </w:r>
      <w:r>
        <w:fldChar w:fldCharType="begin"/>
      </w:r>
      <w:r>
        <w:instrText xml:space="preserve"> PAGEREF _Toc131514498 \h </w:instrText>
      </w:r>
      <w:r>
        <w:fldChar w:fldCharType="separate"/>
      </w:r>
      <w:r>
        <w:t>192</w:t>
      </w:r>
      <w:r>
        <w:fldChar w:fldCharType="end"/>
      </w:r>
    </w:p>
    <w:p>
      <w:pPr>
        <w:pStyle w:val="TOC4"/>
        <w:tabs>
          <w:tab w:val="right" w:leader="dot" w:pos="7077"/>
        </w:tabs>
        <w:rPr>
          <w:rFonts w:asciiTheme="minorHAnsi" w:eastAsiaTheme="minorEastAsia" w:hAnsiTheme="minorHAnsi" w:cstheme="minorBidi"/>
          <w:b w:val="0"/>
          <w:szCs w:val="22"/>
        </w:rPr>
      </w:pPr>
      <w:r>
        <w:t>Division 3 — Approved medical specialist panels</w:t>
      </w:r>
    </w:p>
    <w:p>
      <w:pPr>
        <w:pStyle w:val="TOC8"/>
        <w:rPr>
          <w:rFonts w:asciiTheme="minorHAnsi" w:eastAsiaTheme="minorEastAsia" w:hAnsiTheme="minorHAnsi" w:cstheme="minorBidi"/>
          <w:szCs w:val="22"/>
        </w:rPr>
      </w:pPr>
      <w:r>
        <w:t>146K.</w:t>
      </w:r>
      <w:r>
        <w:tab/>
        <w:t>Constituting panels</w:t>
      </w:r>
      <w:r>
        <w:tab/>
      </w:r>
      <w:r>
        <w:fldChar w:fldCharType="begin"/>
      </w:r>
      <w:r>
        <w:instrText xml:space="preserve"> PAGEREF _Toc131514500 \h </w:instrText>
      </w:r>
      <w:r>
        <w:fldChar w:fldCharType="separate"/>
      </w:r>
      <w:r>
        <w:t>193</w:t>
      </w:r>
      <w:r>
        <w:fldChar w:fldCharType="end"/>
      </w:r>
    </w:p>
    <w:p>
      <w:pPr>
        <w:pStyle w:val="TOC8"/>
        <w:rPr>
          <w:rFonts w:asciiTheme="minorHAnsi" w:eastAsiaTheme="minorEastAsia" w:hAnsiTheme="minorHAnsi" w:cstheme="minorBidi"/>
          <w:szCs w:val="22"/>
        </w:rPr>
      </w:pPr>
      <w:r>
        <w:t>146L.</w:t>
      </w:r>
      <w:r>
        <w:tab/>
        <w:t>Procedure and powers of panels</w:t>
      </w:r>
      <w:r>
        <w:tab/>
      </w:r>
      <w:r>
        <w:fldChar w:fldCharType="begin"/>
      </w:r>
      <w:r>
        <w:instrText xml:space="preserve"> PAGEREF _Toc131514501 \h </w:instrText>
      </w:r>
      <w:r>
        <w:fldChar w:fldCharType="separate"/>
      </w:r>
      <w:r>
        <w:t>193</w:t>
      </w:r>
      <w:r>
        <w:fldChar w:fldCharType="end"/>
      </w:r>
    </w:p>
    <w:p>
      <w:pPr>
        <w:pStyle w:val="TOC8"/>
        <w:rPr>
          <w:rFonts w:asciiTheme="minorHAnsi" w:eastAsiaTheme="minorEastAsia" w:hAnsiTheme="minorHAnsi" w:cstheme="minorBidi"/>
          <w:szCs w:val="22"/>
        </w:rPr>
      </w:pPr>
      <w:r>
        <w:t>146M.</w:t>
      </w:r>
      <w:r>
        <w:tab/>
        <w:t>Failure to comply with requirement of panel</w:t>
      </w:r>
      <w:r>
        <w:tab/>
      </w:r>
      <w:r>
        <w:fldChar w:fldCharType="begin"/>
      </w:r>
      <w:r>
        <w:instrText xml:space="preserve"> PAGEREF _Toc131514502 \h </w:instrText>
      </w:r>
      <w:r>
        <w:fldChar w:fldCharType="separate"/>
      </w:r>
      <w:r>
        <w:t>195</w:t>
      </w:r>
      <w:r>
        <w:fldChar w:fldCharType="end"/>
      </w:r>
    </w:p>
    <w:p>
      <w:pPr>
        <w:pStyle w:val="TOC8"/>
        <w:rPr>
          <w:rFonts w:asciiTheme="minorHAnsi" w:eastAsiaTheme="minorEastAsia" w:hAnsiTheme="minorHAnsi" w:cstheme="minorBidi"/>
          <w:szCs w:val="22"/>
        </w:rPr>
      </w:pPr>
      <w:r>
        <w:t>146N.</w:t>
      </w:r>
      <w:r>
        <w:tab/>
        <w:t>How panel to assess degree of impairment</w:t>
      </w:r>
      <w:r>
        <w:tab/>
      </w:r>
      <w:r>
        <w:fldChar w:fldCharType="begin"/>
      </w:r>
      <w:r>
        <w:instrText xml:space="preserve"> PAGEREF _Toc131514503 \h </w:instrText>
      </w:r>
      <w:r>
        <w:fldChar w:fldCharType="separate"/>
      </w:r>
      <w:r>
        <w:t>195</w:t>
      </w:r>
      <w:r>
        <w:fldChar w:fldCharType="end"/>
      </w:r>
    </w:p>
    <w:p>
      <w:pPr>
        <w:pStyle w:val="TOC8"/>
        <w:rPr>
          <w:rFonts w:asciiTheme="minorHAnsi" w:eastAsiaTheme="minorEastAsia" w:hAnsiTheme="minorHAnsi" w:cstheme="minorBidi"/>
          <w:szCs w:val="22"/>
        </w:rPr>
      </w:pPr>
      <w:r>
        <w:t>146O.</w:t>
      </w:r>
      <w:r>
        <w:tab/>
        <w:t>Duties of panel after making assessment</w:t>
      </w:r>
      <w:r>
        <w:tab/>
      </w:r>
      <w:r>
        <w:fldChar w:fldCharType="begin"/>
      </w:r>
      <w:r>
        <w:instrText xml:space="preserve"> PAGEREF _Toc131514504 \h </w:instrText>
      </w:r>
      <w:r>
        <w:fldChar w:fldCharType="separate"/>
      </w:r>
      <w:r>
        <w:t>196</w:t>
      </w:r>
      <w:r>
        <w:fldChar w:fldCharType="end"/>
      </w:r>
    </w:p>
    <w:p>
      <w:pPr>
        <w:pStyle w:val="TOC8"/>
        <w:rPr>
          <w:rFonts w:asciiTheme="minorHAnsi" w:eastAsiaTheme="minorEastAsia" w:hAnsiTheme="minorHAnsi" w:cstheme="minorBidi"/>
          <w:szCs w:val="22"/>
        </w:rPr>
      </w:pPr>
      <w:r>
        <w:t>146P.</w:t>
      </w:r>
      <w:r>
        <w:tab/>
        <w:t>No assessment without unanimous agreement</w:t>
      </w:r>
      <w:r>
        <w:tab/>
      </w:r>
      <w:r>
        <w:fldChar w:fldCharType="begin"/>
      </w:r>
      <w:r>
        <w:instrText xml:space="preserve"> PAGEREF _Toc131514505 \h </w:instrText>
      </w:r>
      <w:r>
        <w:fldChar w:fldCharType="separate"/>
      </w:r>
      <w:r>
        <w:t>197</w:t>
      </w:r>
      <w:r>
        <w:fldChar w:fldCharType="end"/>
      </w:r>
    </w:p>
    <w:p>
      <w:pPr>
        <w:pStyle w:val="TOC8"/>
        <w:rPr>
          <w:rFonts w:asciiTheme="minorHAnsi" w:eastAsiaTheme="minorEastAsia" w:hAnsiTheme="minorHAnsi" w:cstheme="minorBidi"/>
          <w:szCs w:val="22"/>
        </w:rPr>
      </w:pPr>
      <w:r>
        <w:t>146Q.</w:t>
      </w:r>
      <w:r>
        <w:tab/>
        <w:t>Remuneration</w:t>
      </w:r>
      <w:r>
        <w:tab/>
      </w:r>
      <w:r>
        <w:fldChar w:fldCharType="begin"/>
      </w:r>
      <w:r>
        <w:instrText xml:space="preserve"> PAGEREF _Toc131514506 \h </w:instrText>
      </w:r>
      <w:r>
        <w:fldChar w:fldCharType="separate"/>
      </w:r>
      <w:r>
        <w:t>197</w:t>
      </w:r>
      <w:r>
        <w:fldChar w:fldCharType="end"/>
      </w:r>
    </w:p>
    <w:p>
      <w:pPr>
        <w:pStyle w:val="TOC4"/>
        <w:tabs>
          <w:tab w:val="right" w:leader="dot" w:pos="7077"/>
        </w:tabs>
        <w:rPr>
          <w:rFonts w:asciiTheme="minorHAnsi" w:eastAsiaTheme="minorEastAsia" w:hAnsiTheme="minorHAnsi" w:cstheme="minorBidi"/>
          <w:b w:val="0"/>
          <w:szCs w:val="22"/>
        </w:rPr>
      </w:pPr>
      <w:r>
        <w:t>Division 4 — WorkCover Guides</w:t>
      </w:r>
    </w:p>
    <w:p>
      <w:pPr>
        <w:pStyle w:val="TOC8"/>
        <w:rPr>
          <w:rFonts w:asciiTheme="minorHAnsi" w:eastAsiaTheme="minorEastAsia" w:hAnsiTheme="minorHAnsi" w:cstheme="minorBidi"/>
          <w:szCs w:val="22"/>
        </w:rPr>
      </w:pPr>
      <w:r>
        <w:t>146R.</w:t>
      </w:r>
      <w:r>
        <w:tab/>
        <w:t>WorkCover Guides, issue of</w:t>
      </w:r>
      <w:r>
        <w:tab/>
      </w:r>
      <w:r>
        <w:fldChar w:fldCharType="begin"/>
      </w:r>
      <w:r>
        <w:instrText xml:space="preserve"> PAGEREF _Toc131514508 \h </w:instrText>
      </w:r>
      <w:r>
        <w:fldChar w:fldCharType="separate"/>
      </w:r>
      <w:r>
        <w:t>198</w:t>
      </w:r>
      <w:r>
        <w:fldChar w:fldCharType="end"/>
      </w:r>
    </w:p>
    <w:p>
      <w:pPr>
        <w:pStyle w:val="TOC4"/>
        <w:tabs>
          <w:tab w:val="right" w:leader="dot" w:pos="7077"/>
        </w:tabs>
        <w:rPr>
          <w:rFonts w:asciiTheme="minorHAnsi" w:eastAsiaTheme="minorEastAsia" w:hAnsiTheme="minorHAnsi" w:cstheme="minorBidi"/>
          <w:b w:val="0"/>
          <w:szCs w:val="22"/>
        </w:rPr>
      </w:pPr>
      <w:r>
        <w:t>Division 5 — Assessment for specialised retraining programs</w:t>
      </w:r>
    </w:p>
    <w:p>
      <w:pPr>
        <w:pStyle w:val="TOC8"/>
        <w:rPr>
          <w:rFonts w:asciiTheme="minorHAnsi" w:eastAsiaTheme="minorEastAsia" w:hAnsiTheme="minorHAnsi" w:cstheme="minorBidi"/>
          <w:szCs w:val="22"/>
        </w:rPr>
      </w:pPr>
      <w:r>
        <w:t>146S.</w:t>
      </w:r>
      <w:r>
        <w:tab/>
        <w:t>Register of eligible members of specialised retraining assessment panels</w:t>
      </w:r>
      <w:r>
        <w:tab/>
      </w:r>
      <w:r>
        <w:fldChar w:fldCharType="begin"/>
      </w:r>
      <w:r>
        <w:instrText xml:space="preserve"> PAGEREF _Toc131514510 \h </w:instrText>
      </w:r>
      <w:r>
        <w:fldChar w:fldCharType="separate"/>
      </w:r>
      <w:r>
        <w:t>198</w:t>
      </w:r>
      <w:r>
        <w:fldChar w:fldCharType="end"/>
      </w:r>
    </w:p>
    <w:p>
      <w:pPr>
        <w:pStyle w:val="TOC8"/>
        <w:rPr>
          <w:rFonts w:asciiTheme="minorHAnsi" w:eastAsiaTheme="minorEastAsia" w:hAnsiTheme="minorHAnsi" w:cstheme="minorBidi"/>
          <w:szCs w:val="22"/>
        </w:rPr>
      </w:pPr>
      <w:r>
        <w:lastRenderedPageBreak/>
        <w:t>146T.</w:t>
      </w:r>
      <w:r>
        <w:tab/>
        <w:t>Specialised retraining assessment panel, constituting</w:t>
      </w:r>
      <w:r>
        <w:tab/>
      </w:r>
      <w:r>
        <w:fldChar w:fldCharType="begin"/>
      </w:r>
      <w:r>
        <w:instrText xml:space="preserve"> PAGEREF _Toc131514511 \h </w:instrText>
      </w:r>
      <w:r>
        <w:fldChar w:fldCharType="separate"/>
      </w:r>
      <w:r>
        <w:t>199</w:t>
      </w:r>
      <w:r>
        <w:fldChar w:fldCharType="end"/>
      </w:r>
    </w:p>
    <w:p>
      <w:pPr>
        <w:pStyle w:val="TOC8"/>
        <w:rPr>
          <w:rFonts w:asciiTheme="minorHAnsi" w:eastAsiaTheme="minorEastAsia" w:hAnsiTheme="minorHAnsi" w:cstheme="minorBidi"/>
          <w:szCs w:val="22"/>
        </w:rPr>
      </w:pPr>
      <w:r>
        <w:t>146U.</w:t>
      </w:r>
      <w:r>
        <w:tab/>
        <w:t>Procedure and powers of panels</w:t>
      </w:r>
      <w:r>
        <w:tab/>
      </w:r>
      <w:r>
        <w:fldChar w:fldCharType="begin"/>
      </w:r>
      <w:r>
        <w:instrText xml:space="preserve"> PAGEREF _Toc131514512 \h </w:instrText>
      </w:r>
      <w:r>
        <w:fldChar w:fldCharType="separate"/>
      </w:r>
      <w:r>
        <w:t>199</w:t>
      </w:r>
      <w:r>
        <w:fldChar w:fldCharType="end"/>
      </w:r>
    </w:p>
    <w:p>
      <w:pPr>
        <w:pStyle w:val="TOC8"/>
        <w:rPr>
          <w:rFonts w:asciiTheme="minorHAnsi" w:eastAsiaTheme="minorEastAsia" w:hAnsiTheme="minorHAnsi" w:cstheme="minorBidi"/>
          <w:szCs w:val="22"/>
        </w:rPr>
      </w:pPr>
      <w:r>
        <w:t>146V.</w:t>
      </w:r>
      <w:r>
        <w:tab/>
        <w:t>Assessments by panels</w:t>
      </w:r>
      <w:r>
        <w:tab/>
      </w:r>
      <w:r>
        <w:fldChar w:fldCharType="begin"/>
      </w:r>
      <w:r>
        <w:instrText xml:space="preserve"> PAGEREF _Toc131514513 \h </w:instrText>
      </w:r>
      <w:r>
        <w:fldChar w:fldCharType="separate"/>
      </w:r>
      <w:r>
        <w:t>200</w:t>
      </w:r>
      <w:r>
        <w:fldChar w:fldCharType="end"/>
      </w:r>
    </w:p>
    <w:p>
      <w:pPr>
        <w:pStyle w:val="TOC8"/>
        <w:rPr>
          <w:rFonts w:asciiTheme="minorHAnsi" w:eastAsiaTheme="minorEastAsia" w:hAnsiTheme="minorHAnsi" w:cstheme="minorBidi"/>
          <w:szCs w:val="22"/>
        </w:rPr>
      </w:pPr>
      <w:r>
        <w:t>146W.</w:t>
      </w:r>
      <w:r>
        <w:tab/>
        <w:t>Remuneration</w:t>
      </w:r>
      <w:r>
        <w:tab/>
      </w:r>
      <w:r>
        <w:fldChar w:fldCharType="begin"/>
      </w:r>
      <w:r>
        <w:instrText xml:space="preserve"> PAGEREF _Toc131514514 \h </w:instrText>
      </w:r>
      <w:r>
        <w:fldChar w:fldCharType="separate"/>
      </w:r>
      <w:r>
        <w:t>202</w:t>
      </w:r>
      <w:r>
        <w:fldChar w:fldCharType="end"/>
      </w:r>
    </w:p>
    <w:p>
      <w:pPr>
        <w:pStyle w:val="TOC2"/>
        <w:tabs>
          <w:tab w:val="right" w:leader="dot" w:pos="7077"/>
        </w:tabs>
        <w:rPr>
          <w:rFonts w:asciiTheme="minorHAnsi" w:eastAsiaTheme="minorEastAsia" w:hAnsiTheme="minorHAnsi" w:cstheme="minorBidi"/>
          <w:b w:val="0"/>
          <w:sz w:val="22"/>
          <w:szCs w:val="22"/>
        </w:rPr>
      </w:pPr>
      <w:r>
        <w:t>Part VIII — Premium rates</w:t>
      </w:r>
    </w:p>
    <w:p>
      <w:pPr>
        <w:pStyle w:val="TOC8"/>
        <w:rPr>
          <w:rFonts w:asciiTheme="minorHAnsi" w:eastAsiaTheme="minorEastAsia" w:hAnsiTheme="minorHAnsi" w:cstheme="minorBidi"/>
          <w:szCs w:val="22"/>
        </w:rPr>
      </w:pPr>
      <w:r>
        <w:t>151</w:t>
      </w:r>
      <w:r>
        <w:rPr>
          <w:snapToGrid w:val="0"/>
        </w:rPr>
        <w:t>.</w:t>
      </w:r>
      <w:r>
        <w:rPr>
          <w:snapToGrid w:val="0"/>
        </w:rPr>
        <w:tab/>
        <w:t>Premium rates for insurance, fixing of</w:t>
      </w:r>
      <w:r>
        <w:tab/>
      </w:r>
      <w:r>
        <w:fldChar w:fldCharType="begin"/>
      </w:r>
      <w:r>
        <w:instrText xml:space="preserve"> PAGEREF _Toc131514516 \h </w:instrText>
      </w:r>
      <w:r>
        <w:fldChar w:fldCharType="separate"/>
      </w:r>
      <w:r>
        <w:t>203</w:t>
      </w:r>
      <w:r>
        <w:fldChar w:fldCharType="end"/>
      </w:r>
    </w:p>
    <w:p>
      <w:pPr>
        <w:pStyle w:val="TOC8"/>
        <w:rPr>
          <w:rFonts w:asciiTheme="minorHAnsi" w:eastAsiaTheme="minorEastAsia" w:hAnsiTheme="minorHAnsi" w:cstheme="minorBidi"/>
          <w:szCs w:val="22"/>
        </w:rPr>
      </w:pPr>
      <w:r>
        <w:t>151A</w:t>
      </w:r>
      <w:r>
        <w:rPr>
          <w:snapToGrid w:val="0"/>
        </w:rPr>
        <w:t>.</w:t>
      </w:r>
      <w:r>
        <w:rPr>
          <w:snapToGrid w:val="0"/>
        </w:rPr>
        <w:tab/>
        <w:t>Report as to premium rates</w:t>
      </w:r>
      <w:r>
        <w:tab/>
      </w:r>
      <w:r>
        <w:fldChar w:fldCharType="begin"/>
      </w:r>
      <w:r>
        <w:instrText xml:space="preserve"> PAGEREF _Toc131514517 \h </w:instrText>
      </w:r>
      <w:r>
        <w:fldChar w:fldCharType="separate"/>
      </w:r>
      <w:r>
        <w:t>204</w:t>
      </w:r>
      <w:r>
        <w:fldChar w:fldCharType="end"/>
      </w:r>
    </w:p>
    <w:p>
      <w:pPr>
        <w:pStyle w:val="TOC8"/>
        <w:rPr>
          <w:rFonts w:asciiTheme="minorHAnsi" w:eastAsiaTheme="minorEastAsia" w:hAnsiTheme="minorHAnsi" w:cstheme="minorBidi"/>
          <w:szCs w:val="22"/>
        </w:rPr>
      </w:pPr>
      <w:r>
        <w:t>152.</w:t>
      </w:r>
      <w:r>
        <w:tab/>
        <w:t>Loading not to exceed 75% unless WorkCover WA permits</w:t>
      </w:r>
      <w:r>
        <w:tab/>
      </w:r>
      <w:r>
        <w:fldChar w:fldCharType="begin"/>
      </w:r>
      <w:r>
        <w:instrText xml:space="preserve"> PAGEREF _Toc131514518 \h </w:instrText>
      </w:r>
      <w:r>
        <w:fldChar w:fldCharType="separate"/>
      </w:r>
      <w:r>
        <w:t>204</w:t>
      </w:r>
      <w:r>
        <w:fldChar w:fldCharType="end"/>
      </w:r>
    </w:p>
    <w:p>
      <w:pPr>
        <w:pStyle w:val="TOC8"/>
        <w:rPr>
          <w:rFonts w:asciiTheme="minorHAnsi" w:eastAsiaTheme="minorEastAsia" w:hAnsiTheme="minorHAnsi" w:cstheme="minorBidi"/>
          <w:szCs w:val="22"/>
        </w:rPr>
      </w:pPr>
      <w:r>
        <w:t>153.</w:t>
      </w:r>
      <w:r>
        <w:tab/>
      </w:r>
      <w:r>
        <w:rPr>
          <w:snapToGrid w:val="0"/>
        </w:rPr>
        <w:t>Setting maximum loading or discount</w:t>
      </w:r>
      <w:r>
        <w:tab/>
      </w:r>
      <w:r>
        <w:fldChar w:fldCharType="begin"/>
      </w:r>
      <w:r>
        <w:instrText xml:space="preserve"> PAGEREF _Toc131514519 \h </w:instrText>
      </w:r>
      <w:r>
        <w:fldChar w:fldCharType="separate"/>
      </w:r>
      <w:r>
        <w:t>204</w:t>
      </w:r>
      <w:r>
        <w:fldChar w:fldCharType="end"/>
      </w:r>
    </w:p>
    <w:p>
      <w:pPr>
        <w:pStyle w:val="TOC8"/>
        <w:rPr>
          <w:rFonts w:asciiTheme="minorHAnsi" w:eastAsiaTheme="minorEastAsia" w:hAnsiTheme="minorHAnsi" w:cstheme="minorBidi"/>
          <w:szCs w:val="22"/>
        </w:rPr>
      </w:pPr>
      <w:r>
        <w:t>153A</w:t>
      </w:r>
      <w:r>
        <w:rPr>
          <w:snapToGrid w:val="0"/>
        </w:rPr>
        <w:t>.</w:t>
      </w:r>
      <w:r>
        <w:rPr>
          <w:snapToGrid w:val="0"/>
        </w:rPr>
        <w:tab/>
        <w:t>Minimum premiums</w:t>
      </w:r>
      <w:r>
        <w:tab/>
      </w:r>
      <w:r>
        <w:fldChar w:fldCharType="begin"/>
      </w:r>
      <w:r>
        <w:instrText xml:space="preserve"> PAGEREF _Toc131514520 \h </w:instrText>
      </w:r>
      <w:r>
        <w:fldChar w:fldCharType="separate"/>
      </w:r>
      <w:r>
        <w:t>205</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Appeals by employers</w:t>
      </w:r>
      <w:r>
        <w:tab/>
      </w:r>
      <w:r>
        <w:fldChar w:fldCharType="begin"/>
      </w:r>
      <w:r>
        <w:instrText xml:space="preserve"> PAGEREF _Toc131514521 \h </w:instrText>
      </w:r>
      <w:r>
        <w:fldChar w:fldCharType="separate"/>
      </w:r>
      <w:r>
        <w:t>205</w:t>
      </w:r>
      <w:r>
        <w:fldChar w:fldCharType="end"/>
      </w:r>
    </w:p>
    <w:p>
      <w:pPr>
        <w:pStyle w:val="TOC8"/>
        <w:rPr>
          <w:rFonts w:asciiTheme="minorHAnsi" w:eastAsiaTheme="minorEastAsia" w:hAnsiTheme="minorHAnsi" w:cstheme="minorBidi"/>
          <w:szCs w:val="22"/>
        </w:rPr>
      </w:pPr>
      <w:r>
        <w:t>154A.</w:t>
      </w:r>
      <w:r>
        <w:tab/>
        <w:t>Regulations as to insurers informing employers</w:t>
      </w:r>
      <w:r>
        <w:tab/>
      </w:r>
      <w:r>
        <w:fldChar w:fldCharType="begin"/>
      </w:r>
      <w:r>
        <w:instrText xml:space="preserve"> PAGEREF _Toc131514522 \h </w:instrText>
      </w:r>
      <w:r>
        <w:fldChar w:fldCharType="separate"/>
      </w:r>
      <w:r>
        <w:t>206</w:t>
      </w:r>
      <w:r>
        <w:fldChar w:fldCharType="end"/>
      </w:r>
    </w:p>
    <w:p>
      <w:pPr>
        <w:pStyle w:val="TOC8"/>
        <w:rPr>
          <w:rFonts w:asciiTheme="minorHAnsi" w:eastAsiaTheme="minorEastAsia" w:hAnsiTheme="minorHAnsi" w:cstheme="minorBidi"/>
          <w:szCs w:val="22"/>
        </w:rPr>
      </w:pPr>
      <w:r>
        <w:t>154AB.</w:t>
      </w:r>
      <w:r>
        <w:tab/>
        <w:t>Minister may give directions as to fixing premium rates</w:t>
      </w:r>
      <w:r>
        <w:tab/>
      </w:r>
      <w:r>
        <w:fldChar w:fldCharType="begin"/>
      </w:r>
      <w:r>
        <w:instrText xml:space="preserve"> PAGEREF _Toc131514523 \h </w:instrText>
      </w:r>
      <w:r>
        <w:fldChar w:fldCharType="separate"/>
      </w:r>
      <w:r>
        <w:t>207</w:t>
      </w:r>
      <w:r>
        <w:fldChar w:fldCharType="end"/>
      </w:r>
    </w:p>
    <w:p>
      <w:pPr>
        <w:pStyle w:val="TOC8"/>
        <w:rPr>
          <w:rFonts w:asciiTheme="minorHAnsi" w:eastAsiaTheme="minorEastAsia" w:hAnsiTheme="minorHAnsi" w:cstheme="minorBidi"/>
          <w:szCs w:val="22"/>
        </w:rPr>
      </w:pPr>
      <w:r>
        <w:t>154AC.</w:t>
      </w:r>
      <w:r>
        <w:tab/>
        <w:t>Regulations for subsidy from Supplementation Fund</w:t>
      </w:r>
      <w:r>
        <w:tab/>
      </w:r>
      <w:r>
        <w:fldChar w:fldCharType="begin"/>
      </w:r>
      <w:r>
        <w:instrText xml:space="preserve"> PAGEREF _Toc131514524 \h </w:instrText>
      </w:r>
      <w:r>
        <w:fldChar w:fldCharType="separate"/>
      </w:r>
      <w:r>
        <w:t>207</w:t>
      </w:r>
      <w:r>
        <w:fldChar w:fldCharType="end"/>
      </w:r>
    </w:p>
    <w:p>
      <w:pPr>
        <w:pStyle w:val="TOC2"/>
        <w:tabs>
          <w:tab w:val="right" w:leader="dot" w:pos="7077"/>
        </w:tabs>
        <w:rPr>
          <w:rFonts w:asciiTheme="minorHAnsi" w:eastAsiaTheme="minorEastAsia" w:hAnsiTheme="minorHAnsi" w:cstheme="minorBidi"/>
          <w:b w:val="0"/>
          <w:sz w:val="22"/>
          <w:szCs w:val="22"/>
        </w:rPr>
      </w:pPr>
      <w:r>
        <w:t>Part IX</w:t>
      </w:r>
      <w:r>
        <w:rPr>
          <w:b w:val="0"/>
        </w:rPr>
        <w:t> </w:t>
      </w:r>
      <w:r>
        <w:t>—</w:t>
      </w:r>
      <w:r>
        <w:rPr>
          <w:b w:val="0"/>
        </w:rPr>
        <w:t> </w:t>
      </w:r>
      <w:r>
        <w:t>Injury management</w:t>
      </w:r>
    </w:p>
    <w:p>
      <w:pPr>
        <w:pStyle w:val="TOC8"/>
        <w:rPr>
          <w:rFonts w:asciiTheme="minorHAnsi" w:eastAsiaTheme="minorEastAsia" w:hAnsiTheme="minorHAnsi" w:cstheme="minorBidi"/>
          <w:szCs w:val="22"/>
        </w:rPr>
      </w:pPr>
      <w:r>
        <w:t>155.</w:t>
      </w:r>
      <w:r>
        <w:tab/>
        <w:t>Terms used</w:t>
      </w:r>
      <w:r>
        <w:tab/>
      </w:r>
      <w:r>
        <w:fldChar w:fldCharType="begin"/>
      </w:r>
      <w:r>
        <w:instrText xml:space="preserve"> PAGEREF _Toc131514526 \h </w:instrText>
      </w:r>
      <w:r>
        <w:fldChar w:fldCharType="separate"/>
      </w:r>
      <w:r>
        <w:t>208</w:t>
      </w:r>
      <w:r>
        <w:fldChar w:fldCharType="end"/>
      </w:r>
    </w:p>
    <w:p>
      <w:pPr>
        <w:pStyle w:val="TOC8"/>
        <w:rPr>
          <w:rFonts w:asciiTheme="minorHAnsi" w:eastAsiaTheme="minorEastAsia" w:hAnsiTheme="minorHAnsi" w:cstheme="minorBidi"/>
          <w:szCs w:val="22"/>
        </w:rPr>
      </w:pPr>
      <w:r>
        <w:t>155A.</w:t>
      </w:r>
      <w:r>
        <w:tab/>
        <w:t>Code of practice (injury management)</w:t>
      </w:r>
      <w:r>
        <w:tab/>
      </w:r>
      <w:r>
        <w:fldChar w:fldCharType="begin"/>
      </w:r>
      <w:r>
        <w:instrText xml:space="preserve"> PAGEREF _Toc131514527 \h </w:instrText>
      </w:r>
      <w:r>
        <w:fldChar w:fldCharType="separate"/>
      </w:r>
      <w:r>
        <w:t>208</w:t>
      </w:r>
      <w:r>
        <w:fldChar w:fldCharType="end"/>
      </w:r>
    </w:p>
    <w:p>
      <w:pPr>
        <w:pStyle w:val="TOC8"/>
        <w:rPr>
          <w:rFonts w:asciiTheme="minorHAnsi" w:eastAsiaTheme="minorEastAsia" w:hAnsiTheme="minorHAnsi" w:cstheme="minorBidi"/>
          <w:szCs w:val="22"/>
        </w:rPr>
      </w:pPr>
      <w:r>
        <w:t>155B.</w:t>
      </w:r>
      <w:r>
        <w:tab/>
        <w:t>Injury management system, employers’ duties as to</w:t>
      </w:r>
      <w:r>
        <w:tab/>
      </w:r>
      <w:r>
        <w:fldChar w:fldCharType="begin"/>
      </w:r>
      <w:r>
        <w:instrText xml:space="preserve"> PAGEREF _Toc131514528 \h </w:instrText>
      </w:r>
      <w:r>
        <w:fldChar w:fldCharType="separate"/>
      </w:r>
      <w:r>
        <w:t>209</w:t>
      </w:r>
      <w:r>
        <w:fldChar w:fldCharType="end"/>
      </w:r>
    </w:p>
    <w:p>
      <w:pPr>
        <w:pStyle w:val="TOC8"/>
        <w:rPr>
          <w:rFonts w:asciiTheme="minorHAnsi" w:eastAsiaTheme="minorEastAsia" w:hAnsiTheme="minorHAnsi" w:cstheme="minorBidi"/>
          <w:szCs w:val="22"/>
        </w:rPr>
      </w:pPr>
      <w:r>
        <w:t>155C.</w:t>
      </w:r>
      <w:r>
        <w:tab/>
        <w:t>Return to work programs, employers’ duties as to</w:t>
      </w:r>
      <w:r>
        <w:tab/>
      </w:r>
      <w:r>
        <w:fldChar w:fldCharType="begin"/>
      </w:r>
      <w:r>
        <w:instrText xml:space="preserve"> PAGEREF _Toc131514529 \h </w:instrText>
      </w:r>
      <w:r>
        <w:fldChar w:fldCharType="separate"/>
      </w:r>
      <w:r>
        <w:t>209</w:t>
      </w:r>
      <w:r>
        <w:fldChar w:fldCharType="end"/>
      </w:r>
    </w:p>
    <w:p>
      <w:pPr>
        <w:pStyle w:val="TOC8"/>
        <w:rPr>
          <w:rFonts w:asciiTheme="minorHAnsi" w:eastAsiaTheme="minorEastAsia" w:hAnsiTheme="minorHAnsi" w:cstheme="minorBidi"/>
          <w:szCs w:val="22"/>
        </w:rPr>
      </w:pPr>
      <w:r>
        <w:t>155D.</w:t>
      </w:r>
      <w:r>
        <w:tab/>
        <w:t>Insurers’ duties</w:t>
      </w:r>
      <w:r>
        <w:tab/>
      </w:r>
      <w:r>
        <w:fldChar w:fldCharType="begin"/>
      </w:r>
      <w:r>
        <w:instrText xml:space="preserve"> PAGEREF _Toc131514530 \h </w:instrText>
      </w:r>
      <w:r>
        <w:fldChar w:fldCharType="separate"/>
      </w:r>
      <w:r>
        <w:t>210</w:t>
      </w:r>
      <w:r>
        <w:fldChar w:fldCharType="end"/>
      </w:r>
    </w:p>
    <w:p>
      <w:pPr>
        <w:pStyle w:val="TOC8"/>
        <w:rPr>
          <w:rFonts w:asciiTheme="minorHAnsi" w:eastAsiaTheme="minorEastAsia" w:hAnsiTheme="minorHAnsi" w:cstheme="minorBidi"/>
          <w:szCs w:val="22"/>
        </w:rPr>
      </w:pPr>
      <w:r>
        <w:t>155E.</w:t>
      </w:r>
      <w:r>
        <w:tab/>
        <w:t>Return to work programs, WorkCover WA’s powers as to</w:t>
      </w:r>
      <w:r>
        <w:tab/>
      </w:r>
      <w:r>
        <w:fldChar w:fldCharType="begin"/>
      </w:r>
      <w:r>
        <w:instrText xml:space="preserve"> PAGEREF _Toc131514531 \h </w:instrText>
      </w:r>
      <w:r>
        <w:fldChar w:fldCharType="separate"/>
      </w:r>
      <w:r>
        <w:t>211</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Vocational rehabilitation providers, approval of</w:t>
      </w:r>
      <w:r>
        <w:tab/>
      </w:r>
      <w:r>
        <w:fldChar w:fldCharType="begin"/>
      </w:r>
      <w:r>
        <w:instrText xml:space="preserve"> PAGEREF _Toc131514532 \h </w:instrText>
      </w:r>
      <w:r>
        <w:fldChar w:fldCharType="separate"/>
      </w:r>
      <w:r>
        <w:t>211</w:t>
      </w:r>
      <w:r>
        <w:fldChar w:fldCharType="end"/>
      </w:r>
    </w:p>
    <w:p>
      <w:pPr>
        <w:pStyle w:val="TOC8"/>
        <w:rPr>
          <w:rFonts w:asciiTheme="minorHAnsi" w:eastAsiaTheme="minorEastAsia" w:hAnsiTheme="minorHAnsi" w:cstheme="minorBidi"/>
          <w:szCs w:val="22"/>
        </w:rPr>
      </w:pPr>
      <w:r>
        <w:t>156A.</w:t>
      </w:r>
      <w:r>
        <w:tab/>
        <w:t>Vocational rehabilitation providers, information as to and fees of</w:t>
      </w:r>
      <w:r>
        <w:tab/>
      </w:r>
      <w:r>
        <w:fldChar w:fldCharType="begin"/>
      </w:r>
      <w:r>
        <w:instrText xml:space="preserve"> PAGEREF _Toc131514533 \h </w:instrText>
      </w:r>
      <w:r>
        <w:fldChar w:fldCharType="separate"/>
      </w:r>
      <w:r>
        <w:t>212</w:t>
      </w:r>
      <w:r>
        <w:fldChar w:fldCharType="end"/>
      </w:r>
    </w:p>
    <w:p>
      <w:pPr>
        <w:pStyle w:val="TOC8"/>
        <w:rPr>
          <w:rFonts w:asciiTheme="minorHAnsi" w:eastAsiaTheme="minorEastAsia" w:hAnsiTheme="minorHAnsi" w:cstheme="minorBidi"/>
          <w:szCs w:val="22"/>
        </w:rPr>
      </w:pPr>
      <w:r>
        <w:t>156B</w:t>
      </w:r>
      <w:r>
        <w:rPr>
          <w:snapToGrid w:val="0"/>
        </w:rPr>
        <w:t>.</w:t>
      </w:r>
      <w:r>
        <w:rPr>
          <w:snapToGrid w:val="0"/>
        </w:rPr>
        <w:tab/>
        <w:t>Arbitrators’ powers as to return to work programs</w:t>
      </w:r>
      <w:r>
        <w:tab/>
      </w:r>
      <w:r>
        <w:fldChar w:fldCharType="begin"/>
      </w:r>
      <w:r>
        <w:instrText xml:space="preserve"> PAGEREF _Toc131514534 \h </w:instrText>
      </w:r>
      <w:r>
        <w:fldChar w:fldCharType="separate"/>
      </w:r>
      <w:r>
        <w:t>213</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Information about injury management</w:t>
      </w:r>
      <w:r>
        <w:tab/>
      </w:r>
      <w:r>
        <w:fldChar w:fldCharType="begin"/>
      </w:r>
      <w:r>
        <w:instrText xml:space="preserve"> PAGEREF _Toc131514535 \h </w:instrText>
      </w:r>
      <w:r>
        <w:fldChar w:fldCharType="separate"/>
      </w:r>
      <w:r>
        <w:t>213</w:t>
      </w:r>
      <w:r>
        <w:fldChar w:fldCharType="end"/>
      </w:r>
    </w:p>
    <w:p>
      <w:pPr>
        <w:pStyle w:val="TOC8"/>
        <w:rPr>
          <w:rFonts w:asciiTheme="minorHAnsi" w:eastAsiaTheme="minorEastAsia" w:hAnsiTheme="minorHAnsi" w:cstheme="minorBidi"/>
          <w:szCs w:val="22"/>
        </w:rPr>
      </w:pPr>
      <w:r>
        <w:t>157B.</w:t>
      </w:r>
      <w:r>
        <w:tab/>
        <w:t>Mediation and assistance</w:t>
      </w:r>
      <w:r>
        <w:tab/>
      </w:r>
      <w:r>
        <w:fldChar w:fldCharType="begin"/>
      </w:r>
      <w:r>
        <w:instrText xml:space="preserve"> PAGEREF _Toc131514536 \h </w:instrText>
      </w:r>
      <w:r>
        <w:fldChar w:fldCharType="separate"/>
      </w:r>
      <w:r>
        <w:t>214</w:t>
      </w:r>
      <w:r>
        <w:fldChar w:fldCharType="end"/>
      </w:r>
    </w:p>
    <w:p>
      <w:pPr>
        <w:pStyle w:val="TOC2"/>
        <w:tabs>
          <w:tab w:val="right" w:leader="dot" w:pos="7077"/>
        </w:tabs>
        <w:rPr>
          <w:rFonts w:asciiTheme="minorHAnsi" w:eastAsiaTheme="minorEastAsia" w:hAnsiTheme="minorHAnsi" w:cstheme="minorBidi"/>
          <w:b w:val="0"/>
          <w:sz w:val="22"/>
          <w:szCs w:val="22"/>
        </w:rPr>
      </w:pPr>
      <w:r>
        <w:t>Part IXA</w:t>
      </w:r>
      <w:r>
        <w:rPr>
          <w:b w:val="0"/>
        </w:rPr>
        <w:t> </w:t>
      </w:r>
      <w:r>
        <w:t>—</w:t>
      </w:r>
      <w:r>
        <w:rPr>
          <w:b w:val="0"/>
        </w:rPr>
        <w:t> </w:t>
      </w:r>
      <w:r>
        <w:t>Specialised retraining programs</w:t>
      </w:r>
    </w:p>
    <w:p>
      <w:pPr>
        <w:pStyle w:val="TOC8"/>
        <w:rPr>
          <w:rFonts w:asciiTheme="minorHAnsi" w:eastAsiaTheme="minorEastAsia" w:hAnsiTheme="minorHAnsi" w:cstheme="minorBidi"/>
          <w:szCs w:val="22"/>
        </w:rPr>
      </w:pPr>
      <w:r>
        <w:t>158.</w:t>
      </w:r>
      <w:r>
        <w:tab/>
        <w:t>Terms used</w:t>
      </w:r>
      <w:r>
        <w:tab/>
      </w:r>
      <w:r>
        <w:fldChar w:fldCharType="begin"/>
      </w:r>
      <w:r>
        <w:instrText xml:space="preserve"> PAGEREF _Toc131514538 \h </w:instrText>
      </w:r>
      <w:r>
        <w:fldChar w:fldCharType="separate"/>
      </w:r>
      <w:r>
        <w:t>215</w:t>
      </w:r>
      <w:r>
        <w:fldChar w:fldCharType="end"/>
      </w:r>
    </w:p>
    <w:p>
      <w:pPr>
        <w:pStyle w:val="TOC8"/>
        <w:rPr>
          <w:rFonts w:asciiTheme="minorHAnsi" w:eastAsiaTheme="minorEastAsia" w:hAnsiTheme="minorHAnsi" w:cstheme="minorBidi"/>
          <w:szCs w:val="22"/>
        </w:rPr>
      </w:pPr>
      <w:r>
        <w:t>158A.</w:t>
      </w:r>
      <w:r>
        <w:tab/>
        <w:t>Eligibility to participate in programs</w:t>
      </w:r>
      <w:r>
        <w:tab/>
      </w:r>
      <w:r>
        <w:fldChar w:fldCharType="begin"/>
      </w:r>
      <w:r>
        <w:instrText xml:space="preserve"> PAGEREF _Toc131514539 \h </w:instrText>
      </w:r>
      <w:r>
        <w:fldChar w:fldCharType="separate"/>
      </w:r>
      <w:r>
        <w:t>216</w:t>
      </w:r>
      <w:r>
        <w:fldChar w:fldCharType="end"/>
      </w:r>
    </w:p>
    <w:p>
      <w:pPr>
        <w:pStyle w:val="TOC8"/>
        <w:rPr>
          <w:rFonts w:asciiTheme="minorHAnsi" w:eastAsiaTheme="minorEastAsia" w:hAnsiTheme="minorHAnsi" w:cstheme="minorBidi"/>
          <w:szCs w:val="22"/>
        </w:rPr>
      </w:pPr>
      <w:r>
        <w:lastRenderedPageBreak/>
        <w:t>158B.</w:t>
      </w:r>
      <w:r>
        <w:tab/>
        <w:t>Final day for recording agreed matters, referring disputed matters for determination</w:t>
      </w:r>
      <w:r>
        <w:tab/>
      </w:r>
      <w:r>
        <w:fldChar w:fldCharType="begin"/>
      </w:r>
      <w:r>
        <w:instrText xml:space="preserve"> PAGEREF _Toc131514540 \h </w:instrText>
      </w:r>
      <w:r>
        <w:fldChar w:fldCharType="separate"/>
      </w:r>
      <w:r>
        <w:t>217</w:t>
      </w:r>
      <w:r>
        <w:fldChar w:fldCharType="end"/>
      </w:r>
    </w:p>
    <w:p>
      <w:pPr>
        <w:pStyle w:val="TOC8"/>
        <w:rPr>
          <w:rFonts w:asciiTheme="minorHAnsi" w:eastAsiaTheme="minorEastAsia" w:hAnsiTheme="minorHAnsi" w:cstheme="minorBidi"/>
          <w:szCs w:val="22"/>
        </w:rPr>
      </w:pPr>
      <w:r>
        <w:t>158C.</w:t>
      </w:r>
      <w:r>
        <w:tab/>
        <w:t>Degree of permanent whole of person impairment, disputes as to</w:t>
      </w:r>
      <w:r>
        <w:tab/>
      </w:r>
      <w:r>
        <w:fldChar w:fldCharType="begin"/>
      </w:r>
      <w:r>
        <w:instrText xml:space="preserve"> PAGEREF _Toc131514541 \h </w:instrText>
      </w:r>
      <w:r>
        <w:fldChar w:fldCharType="separate"/>
      </w:r>
      <w:r>
        <w:t>219</w:t>
      </w:r>
      <w:r>
        <w:fldChar w:fldCharType="end"/>
      </w:r>
    </w:p>
    <w:p>
      <w:pPr>
        <w:pStyle w:val="TOC8"/>
        <w:rPr>
          <w:rFonts w:asciiTheme="minorHAnsi" w:eastAsiaTheme="minorEastAsia" w:hAnsiTheme="minorHAnsi" w:cstheme="minorBidi"/>
          <w:szCs w:val="22"/>
        </w:rPr>
      </w:pPr>
      <w:r>
        <w:t>158D.</w:t>
      </w:r>
      <w:r>
        <w:tab/>
        <w:t>Retraining criteria, disputes as to</w:t>
      </w:r>
      <w:r>
        <w:tab/>
      </w:r>
      <w:r>
        <w:fldChar w:fldCharType="begin"/>
      </w:r>
      <w:r>
        <w:instrText xml:space="preserve"> PAGEREF _Toc131514542 \h </w:instrText>
      </w:r>
      <w:r>
        <w:fldChar w:fldCharType="separate"/>
      </w:r>
      <w:r>
        <w:t>220</w:t>
      </w:r>
      <w:r>
        <w:fldChar w:fldCharType="end"/>
      </w:r>
    </w:p>
    <w:p>
      <w:pPr>
        <w:pStyle w:val="TOC8"/>
        <w:rPr>
          <w:rFonts w:asciiTheme="minorHAnsi" w:eastAsiaTheme="minorEastAsia" w:hAnsiTheme="minorHAnsi" w:cstheme="minorBidi"/>
          <w:szCs w:val="22"/>
        </w:rPr>
      </w:pPr>
      <w:r>
        <w:t>158E.</w:t>
      </w:r>
      <w:r>
        <w:tab/>
        <w:t>Agreements as to programs</w:t>
      </w:r>
      <w:r>
        <w:tab/>
      </w:r>
      <w:r>
        <w:fldChar w:fldCharType="begin"/>
      </w:r>
      <w:r>
        <w:instrText xml:space="preserve"> PAGEREF _Toc131514543 \h </w:instrText>
      </w:r>
      <w:r>
        <w:fldChar w:fldCharType="separate"/>
      </w:r>
      <w:r>
        <w:t>221</w:t>
      </w:r>
      <w:r>
        <w:fldChar w:fldCharType="end"/>
      </w:r>
    </w:p>
    <w:p>
      <w:pPr>
        <w:pStyle w:val="TOC8"/>
        <w:rPr>
          <w:rFonts w:asciiTheme="minorHAnsi" w:eastAsiaTheme="minorEastAsia" w:hAnsiTheme="minorHAnsi" w:cstheme="minorBidi"/>
          <w:szCs w:val="22"/>
        </w:rPr>
      </w:pPr>
      <w:r>
        <w:t>158F.</w:t>
      </w:r>
      <w:r>
        <w:tab/>
        <w:t>Programs, directions as to payments for etc.</w:t>
      </w:r>
      <w:r>
        <w:tab/>
      </w:r>
      <w:r>
        <w:fldChar w:fldCharType="begin"/>
      </w:r>
      <w:r>
        <w:instrText xml:space="preserve"> PAGEREF _Toc131514544 \h </w:instrText>
      </w:r>
      <w:r>
        <w:fldChar w:fldCharType="separate"/>
      </w:r>
      <w:r>
        <w:t>222</w:t>
      </w:r>
      <w:r>
        <w:fldChar w:fldCharType="end"/>
      </w:r>
    </w:p>
    <w:p>
      <w:pPr>
        <w:pStyle w:val="TOC8"/>
        <w:rPr>
          <w:rFonts w:asciiTheme="minorHAnsi" w:eastAsiaTheme="minorEastAsia" w:hAnsiTheme="minorHAnsi" w:cstheme="minorBidi"/>
          <w:szCs w:val="22"/>
        </w:rPr>
      </w:pPr>
      <w:r>
        <w:t>158G.</w:t>
      </w:r>
      <w:r>
        <w:tab/>
        <w:t>Directions given under s. 158F or 158I, duties of employers and insurers as to</w:t>
      </w:r>
      <w:r>
        <w:tab/>
      </w:r>
      <w:r>
        <w:fldChar w:fldCharType="begin"/>
      </w:r>
      <w:r>
        <w:instrText xml:space="preserve"> PAGEREF _Toc131514545 \h </w:instrText>
      </w:r>
      <w:r>
        <w:fldChar w:fldCharType="separate"/>
      </w:r>
      <w:r>
        <w:t>224</w:t>
      </w:r>
      <w:r>
        <w:fldChar w:fldCharType="end"/>
      </w:r>
    </w:p>
    <w:p>
      <w:pPr>
        <w:pStyle w:val="TOC8"/>
        <w:rPr>
          <w:rFonts w:asciiTheme="minorHAnsi" w:eastAsiaTheme="minorEastAsia" w:hAnsiTheme="minorHAnsi" w:cstheme="minorBidi"/>
          <w:szCs w:val="22"/>
        </w:rPr>
      </w:pPr>
      <w:r>
        <w:t>158H.</w:t>
      </w:r>
      <w:r>
        <w:tab/>
        <w:t>Reviews of programs</w:t>
      </w:r>
      <w:r>
        <w:tab/>
      </w:r>
      <w:r>
        <w:fldChar w:fldCharType="begin"/>
      </w:r>
      <w:r>
        <w:instrText xml:space="preserve"> PAGEREF _Toc131514546 \h </w:instrText>
      </w:r>
      <w:r>
        <w:fldChar w:fldCharType="separate"/>
      </w:r>
      <w:r>
        <w:t>224</w:t>
      </w:r>
      <w:r>
        <w:fldChar w:fldCharType="end"/>
      </w:r>
    </w:p>
    <w:p>
      <w:pPr>
        <w:pStyle w:val="TOC8"/>
        <w:rPr>
          <w:rFonts w:asciiTheme="minorHAnsi" w:eastAsiaTheme="minorEastAsia" w:hAnsiTheme="minorHAnsi" w:cstheme="minorBidi"/>
          <w:szCs w:val="22"/>
        </w:rPr>
      </w:pPr>
      <w:r>
        <w:t>158I.</w:t>
      </w:r>
      <w:r>
        <w:tab/>
        <w:t>WorkCover WA may direct modification etc. of programs</w:t>
      </w:r>
      <w:r>
        <w:tab/>
      </w:r>
      <w:r>
        <w:fldChar w:fldCharType="begin"/>
      </w:r>
      <w:r>
        <w:instrText xml:space="preserve"> PAGEREF _Toc131514547 \h </w:instrText>
      </w:r>
      <w:r>
        <w:fldChar w:fldCharType="separate"/>
      </w:r>
      <w:r>
        <w:t>225</w:t>
      </w:r>
      <w:r>
        <w:fldChar w:fldCharType="end"/>
      </w:r>
    </w:p>
    <w:p>
      <w:pPr>
        <w:pStyle w:val="TOC8"/>
        <w:rPr>
          <w:rFonts w:asciiTheme="minorHAnsi" w:eastAsiaTheme="minorEastAsia" w:hAnsiTheme="minorHAnsi" w:cstheme="minorBidi"/>
          <w:szCs w:val="22"/>
        </w:rPr>
      </w:pPr>
      <w:r>
        <w:t>158J.</w:t>
      </w:r>
      <w:r>
        <w:tab/>
        <w:t>When payments for programs cease</w:t>
      </w:r>
      <w:r>
        <w:tab/>
      </w:r>
      <w:r>
        <w:fldChar w:fldCharType="begin"/>
      </w:r>
      <w:r>
        <w:instrText xml:space="preserve"> PAGEREF _Toc131514548 \h </w:instrText>
      </w:r>
      <w:r>
        <w:fldChar w:fldCharType="separate"/>
      </w:r>
      <w:r>
        <w:t>225</w:t>
      </w:r>
      <w:r>
        <w:fldChar w:fldCharType="end"/>
      </w:r>
    </w:p>
    <w:p>
      <w:pPr>
        <w:pStyle w:val="TOC8"/>
        <w:rPr>
          <w:rFonts w:asciiTheme="minorHAnsi" w:eastAsiaTheme="minorEastAsia" w:hAnsiTheme="minorHAnsi" w:cstheme="minorBidi"/>
          <w:szCs w:val="22"/>
        </w:rPr>
      </w:pPr>
      <w:r>
        <w:t>158K.</w:t>
      </w:r>
      <w:r>
        <w:tab/>
        <w:t>Directions not open to challenge etc.</w:t>
      </w:r>
      <w:r>
        <w:tab/>
      </w:r>
      <w:r>
        <w:fldChar w:fldCharType="begin"/>
      </w:r>
      <w:r>
        <w:instrText xml:space="preserve"> PAGEREF _Toc131514549 \h </w:instrText>
      </w:r>
      <w:r>
        <w:fldChar w:fldCharType="separate"/>
      </w:r>
      <w:r>
        <w:t>226</w:t>
      </w:r>
      <w:r>
        <w:fldChar w:fldCharType="end"/>
      </w:r>
    </w:p>
    <w:p>
      <w:pPr>
        <w:pStyle w:val="TOC8"/>
        <w:rPr>
          <w:rFonts w:asciiTheme="minorHAnsi" w:eastAsiaTheme="minorEastAsia" w:hAnsiTheme="minorHAnsi" w:cstheme="minorBidi"/>
          <w:szCs w:val="22"/>
        </w:rPr>
      </w:pPr>
      <w:r>
        <w:t>158L.</w:t>
      </w:r>
      <w:r>
        <w:tab/>
        <w:t>Other effects of participating in program</w:t>
      </w:r>
      <w:r>
        <w:tab/>
      </w:r>
      <w:r>
        <w:fldChar w:fldCharType="begin"/>
      </w:r>
      <w:r>
        <w:instrText xml:space="preserve"> PAGEREF _Toc131514550 \h </w:instrText>
      </w:r>
      <w:r>
        <w:fldChar w:fldCharType="separate"/>
      </w:r>
      <w:r>
        <w:t>226</w:t>
      </w:r>
      <w:r>
        <w:fldChar w:fldCharType="end"/>
      </w:r>
    </w:p>
    <w:p>
      <w:pPr>
        <w:pStyle w:val="TOC2"/>
        <w:tabs>
          <w:tab w:val="right" w:leader="dot" w:pos="7077"/>
        </w:tabs>
        <w:rPr>
          <w:rFonts w:asciiTheme="minorHAnsi" w:eastAsiaTheme="minorEastAsia" w:hAnsiTheme="minorHAnsi" w:cstheme="minorBidi"/>
          <w:b w:val="0"/>
          <w:sz w:val="22"/>
          <w:szCs w:val="22"/>
        </w:rPr>
      </w:pPr>
      <w:r>
        <w:t>Part X — Insurance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Liability of employers and insurers</w:t>
      </w:r>
    </w:p>
    <w:p>
      <w:pPr>
        <w:pStyle w:val="TOC8"/>
        <w:rPr>
          <w:rFonts w:asciiTheme="minorHAnsi" w:eastAsiaTheme="minorEastAsia" w:hAnsiTheme="minorHAnsi" w:cstheme="minorBidi"/>
          <w:szCs w:val="22"/>
        </w:rPr>
      </w:pPr>
      <w:r>
        <w:t>159.</w:t>
      </w:r>
      <w:r>
        <w:tab/>
        <w:t>Terms used</w:t>
      </w:r>
      <w:r>
        <w:tab/>
      </w:r>
      <w:r>
        <w:fldChar w:fldCharType="begin"/>
      </w:r>
      <w:r>
        <w:instrText xml:space="preserve"> PAGEREF _Toc131514553 \h </w:instrText>
      </w:r>
      <w:r>
        <w:fldChar w:fldCharType="separate"/>
      </w:r>
      <w:r>
        <w:t>227</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Employers’ duty to be insured etc.; insurers’ duties</w:t>
      </w:r>
      <w:r>
        <w:tab/>
      </w:r>
      <w:r>
        <w:fldChar w:fldCharType="begin"/>
      </w:r>
      <w:r>
        <w:instrText xml:space="preserve"> PAGEREF _Toc131514554 \h </w:instrText>
      </w:r>
      <w:r>
        <w:fldChar w:fldCharType="separate"/>
      </w:r>
      <w:r>
        <w:t>229</w:t>
      </w:r>
      <w:r>
        <w:fldChar w:fldCharType="end"/>
      </w:r>
    </w:p>
    <w:p>
      <w:pPr>
        <w:pStyle w:val="TOC8"/>
        <w:rPr>
          <w:rFonts w:asciiTheme="minorHAnsi" w:eastAsiaTheme="minorEastAsia" w:hAnsiTheme="minorHAnsi" w:cstheme="minorBidi"/>
          <w:szCs w:val="22"/>
        </w:rPr>
      </w:pPr>
      <w:r>
        <w:t>160A.</w:t>
      </w:r>
      <w:r>
        <w:tab/>
        <w:t>Insurance in respect of working directors</w:t>
      </w:r>
      <w:r>
        <w:tab/>
      </w:r>
      <w:r>
        <w:fldChar w:fldCharType="begin"/>
      </w:r>
      <w:r>
        <w:instrText xml:space="preserve"> PAGEREF _Toc131514555 \h </w:instrText>
      </w:r>
      <w:r>
        <w:fldChar w:fldCharType="separate"/>
      </w:r>
      <w:r>
        <w:t>232</w:t>
      </w:r>
      <w:r>
        <w:fldChar w:fldCharType="end"/>
      </w:r>
    </w:p>
    <w:p>
      <w:pPr>
        <w:pStyle w:val="TOC8"/>
        <w:rPr>
          <w:rFonts w:asciiTheme="minorHAnsi" w:eastAsiaTheme="minorEastAsia" w:hAnsiTheme="minorHAnsi" w:cstheme="minorBidi"/>
          <w:szCs w:val="22"/>
        </w:rPr>
      </w:pPr>
      <w:r>
        <w:t>161A</w:t>
      </w:r>
      <w:r>
        <w:rPr>
          <w:snapToGrid w:val="0"/>
        </w:rPr>
        <w:t>.</w:t>
      </w:r>
      <w:r>
        <w:rPr>
          <w:snapToGrid w:val="0"/>
        </w:rPr>
        <w:tab/>
        <w:t>Incorporated insurance offices not to issue or renew policies unless approved under s. 161</w:t>
      </w:r>
      <w:r>
        <w:tab/>
      </w:r>
      <w:r>
        <w:fldChar w:fldCharType="begin"/>
      </w:r>
      <w:r>
        <w:instrText xml:space="preserve"> PAGEREF _Toc131514556 \h </w:instrText>
      </w:r>
      <w:r>
        <w:fldChar w:fldCharType="separate"/>
      </w:r>
      <w:r>
        <w:t>232</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Incorporated insurance offices, approval of</w:t>
      </w:r>
      <w:r>
        <w:tab/>
      </w:r>
      <w:r>
        <w:fldChar w:fldCharType="begin"/>
      </w:r>
      <w:r>
        <w:instrText xml:space="preserve"> PAGEREF _Toc131514557 \h </w:instrText>
      </w:r>
      <w:r>
        <w:fldChar w:fldCharType="separate"/>
      </w:r>
      <w:r>
        <w:t>233</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Insurance Commission of Western Australia sole insurer as to some industrial diseases</w:t>
      </w:r>
      <w:r>
        <w:tab/>
      </w:r>
      <w:r>
        <w:fldChar w:fldCharType="begin"/>
      </w:r>
      <w:r>
        <w:instrText xml:space="preserve"> PAGEREF _Toc131514558 \h </w:instrText>
      </w:r>
      <w:r>
        <w:fldChar w:fldCharType="separate"/>
      </w:r>
      <w:r>
        <w:t>234</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Industrial disease premiums, payment of etc.</w:t>
      </w:r>
      <w:r>
        <w:tab/>
      </w:r>
      <w:r>
        <w:fldChar w:fldCharType="begin"/>
      </w:r>
      <w:r>
        <w:instrText xml:space="preserve"> PAGEREF _Toc131514559 \h </w:instrText>
      </w:r>
      <w:r>
        <w:fldChar w:fldCharType="separate"/>
      </w:r>
      <w:r>
        <w:t>235</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Exempting employers from duty to insure</w:t>
      </w:r>
      <w:r>
        <w:tab/>
      </w:r>
      <w:r>
        <w:fldChar w:fldCharType="begin"/>
      </w:r>
      <w:r>
        <w:instrText xml:space="preserve"> PAGEREF _Toc131514560 \h </w:instrText>
      </w:r>
      <w:r>
        <w:fldChar w:fldCharType="separate"/>
      </w:r>
      <w:r>
        <w:t>235</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Review of s. 164 exemptions</w:t>
      </w:r>
      <w:r>
        <w:tab/>
      </w:r>
      <w:r>
        <w:fldChar w:fldCharType="begin"/>
      </w:r>
      <w:r>
        <w:instrText xml:space="preserve"> PAGEREF _Toc131514561 \h </w:instrText>
      </w:r>
      <w:r>
        <w:fldChar w:fldCharType="separate"/>
      </w:r>
      <w:r>
        <w:t>236</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Cancelling s. 164 exemptions due to breach of law</w:t>
      </w:r>
      <w:r>
        <w:tab/>
      </w:r>
      <w:r>
        <w:fldChar w:fldCharType="begin"/>
      </w:r>
      <w:r>
        <w:instrText xml:space="preserve"> PAGEREF _Toc131514562 \h </w:instrText>
      </w:r>
      <w:r>
        <w:fldChar w:fldCharType="separate"/>
      </w:r>
      <w:r>
        <w:t>238</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Effect of cessation of s. 164 exemption</w:t>
      </w:r>
      <w:r>
        <w:tab/>
      </w:r>
      <w:r>
        <w:fldChar w:fldCharType="begin"/>
      </w:r>
      <w:r>
        <w:instrText xml:space="preserve"> PAGEREF _Toc131514563 \h </w:instrText>
      </w:r>
      <w:r>
        <w:fldChar w:fldCharType="separate"/>
      </w:r>
      <w:r>
        <w:t>238</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Revoking s. 164 exemptions on employers’ request</w:t>
      </w:r>
      <w:r>
        <w:tab/>
      </w:r>
      <w:r>
        <w:fldChar w:fldCharType="begin"/>
      </w:r>
      <w:r>
        <w:instrText xml:space="preserve"> PAGEREF _Toc131514564 \h </w:instrText>
      </w:r>
      <w:r>
        <w:fldChar w:fldCharType="separate"/>
      </w:r>
      <w:r>
        <w:t>238</w:t>
      </w:r>
      <w:r>
        <w:fldChar w:fldCharType="end"/>
      </w:r>
    </w:p>
    <w:p>
      <w:pPr>
        <w:pStyle w:val="TOC8"/>
        <w:rPr>
          <w:rFonts w:asciiTheme="minorHAnsi" w:eastAsiaTheme="minorEastAsia" w:hAnsiTheme="minorHAnsi" w:cstheme="minorBidi"/>
          <w:szCs w:val="22"/>
        </w:rPr>
      </w:pPr>
      <w:r>
        <w:t>169.</w:t>
      </w:r>
      <w:r>
        <w:tab/>
        <w:t>Terms of insurance and form of policies</w:t>
      </w:r>
      <w:r>
        <w:tab/>
      </w:r>
      <w:r>
        <w:fldChar w:fldCharType="begin"/>
      </w:r>
      <w:r>
        <w:instrText xml:space="preserve"> PAGEREF _Toc131514565 \h </w:instrText>
      </w:r>
      <w:r>
        <w:fldChar w:fldCharType="separate"/>
      </w:r>
      <w:r>
        <w:t>239</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Failure to insure</w:t>
      </w:r>
      <w:r>
        <w:tab/>
      </w:r>
      <w:r>
        <w:fldChar w:fldCharType="begin"/>
      </w:r>
      <w:r>
        <w:instrText xml:space="preserve"> PAGEREF _Toc131514566 \h </w:instrText>
      </w:r>
      <w:r>
        <w:fldChar w:fldCharType="separate"/>
      </w:r>
      <w:r>
        <w:t>240</w:t>
      </w:r>
      <w:r>
        <w:fldChar w:fldCharType="end"/>
      </w:r>
    </w:p>
    <w:p>
      <w:pPr>
        <w:pStyle w:val="TOC8"/>
        <w:rPr>
          <w:rFonts w:asciiTheme="minorHAnsi" w:eastAsiaTheme="minorEastAsia" w:hAnsiTheme="minorHAnsi" w:cstheme="minorBidi"/>
          <w:szCs w:val="22"/>
        </w:rPr>
      </w:pPr>
      <w:r>
        <w:t>170A.</w:t>
      </w:r>
      <w:r>
        <w:tab/>
        <w:t>Liability of officers for offence by body corporate</w:t>
      </w:r>
      <w:r>
        <w:tab/>
      </w:r>
      <w:r>
        <w:fldChar w:fldCharType="begin"/>
      </w:r>
      <w:r>
        <w:instrText xml:space="preserve"> PAGEREF _Toc131514567 \h </w:instrText>
      </w:r>
      <w:r>
        <w:fldChar w:fldCharType="separate"/>
      </w:r>
      <w:r>
        <w:t>242</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Insurance offices to give information to WorkCover WA</w:t>
      </w:r>
      <w:r>
        <w:tab/>
      </w:r>
      <w:r>
        <w:fldChar w:fldCharType="begin"/>
      </w:r>
      <w:r>
        <w:instrText xml:space="preserve"> PAGEREF _Toc131514568 \h </w:instrText>
      </w:r>
      <w:r>
        <w:fldChar w:fldCharType="separate"/>
      </w:r>
      <w:r>
        <w:t>243</w:t>
      </w:r>
      <w:r>
        <w:fldChar w:fldCharType="end"/>
      </w:r>
    </w:p>
    <w:p>
      <w:pPr>
        <w:pStyle w:val="TOC8"/>
        <w:rPr>
          <w:rFonts w:asciiTheme="minorHAnsi" w:eastAsiaTheme="minorEastAsia" w:hAnsiTheme="minorHAnsi" w:cstheme="minorBidi"/>
          <w:szCs w:val="22"/>
        </w:rPr>
      </w:pPr>
      <w:r>
        <w:t>172.</w:t>
      </w:r>
      <w:r>
        <w:tab/>
        <w:t>WorkCover WA may recover underpaid premiums from employers</w:t>
      </w:r>
      <w:r>
        <w:tab/>
      </w:r>
      <w:r>
        <w:fldChar w:fldCharType="begin"/>
      </w:r>
      <w:r>
        <w:instrText xml:space="preserve"> PAGEREF _Toc131514569 \h </w:instrText>
      </w:r>
      <w:r>
        <w:fldChar w:fldCharType="separate"/>
      </w:r>
      <w:r>
        <w:t>244</w:t>
      </w:r>
      <w:r>
        <w:fldChar w:fldCharType="end"/>
      </w:r>
    </w:p>
    <w:p>
      <w:pPr>
        <w:pStyle w:val="TOC8"/>
        <w:rPr>
          <w:rFonts w:asciiTheme="minorHAnsi" w:eastAsiaTheme="minorEastAsia" w:hAnsiTheme="minorHAnsi" w:cstheme="minorBidi"/>
          <w:szCs w:val="22"/>
        </w:rPr>
      </w:pPr>
      <w:r>
        <w:lastRenderedPageBreak/>
        <w:t>173</w:t>
      </w:r>
      <w:r>
        <w:rPr>
          <w:snapToGrid w:val="0"/>
        </w:rPr>
        <w:t>.</w:t>
      </w:r>
      <w:r>
        <w:rPr>
          <w:snapToGrid w:val="0"/>
        </w:rPr>
        <w:tab/>
        <w:t>Worker’s rights against insurer when employer ceases to exist etc.</w:t>
      </w:r>
      <w:r>
        <w:tab/>
      </w:r>
      <w:r>
        <w:fldChar w:fldCharType="begin"/>
      </w:r>
      <w:r>
        <w:instrText xml:space="preserve"> PAGEREF _Toc131514570 \h </w:instrText>
      </w:r>
      <w:r>
        <w:fldChar w:fldCharType="separate"/>
      </w:r>
      <w:r>
        <w:t>245</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 xml:space="preserve">Payment to worker from General </w:t>
      </w:r>
      <w:r>
        <w:t>Account</w:t>
      </w:r>
      <w:r>
        <w:tab/>
      </w:r>
      <w:r>
        <w:fldChar w:fldCharType="begin"/>
      </w:r>
      <w:r>
        <w:instrText xml:space="preserve"> PAGEREF _Toc131514571 \h </w:instrText>
      </w:r>
      <w:r>
        <w:fldChar w:fldCharType="separate"/>
      </w:r>
      <w:r>
        <w:t>245</w:t>
      </w:r>
      <w:r>
        <w:fldChar w:fldCharType="end"/>
      </w:r>
    </w:p>
    <w:p>
      <w:pPr>
        <w:pStyle w:val="TOC8"/>
        <w:rPr>
          <w:rFonts w:asciiTheme="minorHAnsi" w:eastAsiaTheme="minorEastAsia" w:hAnsiTheme="minorHAnsi" w:cstheme="minorBidi"/>
          <w:szCs w:val="22"/>
        </w:rPr>
      </w:pPr>
      <w:r>
        <w:tab/>
        <w:t>174AAA. Setting aside certain judgments and agreements</w:t>
      </w:r>
      <w:r>
        <w:tab/>
      </w:r>
      <w:r>
        <w:fldChar w:fldCharType="begin"/>
      </w:r>
      <w:r>
        <w:instrText xml:space="preserve"> PAGEREF _Toc131514572 \h </w:instrText>
      </w:r>
      <w:r>
        <w:fldChar w:fldCharType="separate"/>
      </w:r>
      <w:r>
        <w:t>249</w:t>
      </w:r>
      <w:r>
        <w:fldChar w:fldCharType="end"/>
      </w:r>
    </w:p>
    <w:p>
      <w:pPr>
        <w:pStyle w:val="TOC8"/>
        <w:rPr>
          <w:rFonts w:asciiTheme="minorHAnsi" w:eastAsiaTheme="minorEastAsia" w:hAnsiTheme="minorHAnsi" w:cstheme="minorBidi"/>
          <w:szCs w:val="22"/>
        </w:rPr>
      </w:pPr>
      <w:r>
        <w:t>174AA.</w:t>
      </w:r>
      <w:r>
        <w:tab/>
        <w:t>Recovering s. 174 payments from officers of body corporate</w:t>
      </w:r>
      <w:r>
        <w:tab/>
      </w:r>
      <w:r>
        <w:fldChar w:fldCharType="begin"/>
      </w:r>
      <w:r>
        <w:instrText xml:space="preserve"> PAGEREF _Toc131514573 \h </w:instrText>
      </w:r>
      <w:r>
        <w:fldChar w:fldCharType="separate"/>
      </w:r>
      <w:r>
        <w:t>250</w:t>
      </w:r>
      <w:r>
        <w:fldChar w:fldCharType="end"/>
      </w:r>
    </w:p>
    <w:p>
      <w:pPr>
        <w:pStyle w:val="TOC8"/>
        <w:rPr>
          <w:rFonts w:asciiTheme="minorHAnsi" w:eastAsiaTheme="minorEastAsia" w:hAnsiTheme="minorHAnsi" w:cstheme="minorBidi"/>
          <w:szCs w:val="22"/>
        </w:rPr>
      </w:pPr>
      <w:r>
        <w:t>174AB.</w:t>
      </w:r>
      <w:r>
        <w:tab/>
        <w:t>WorkCover WA may exercise rights of employer in some cases</w:t>
      </w:r>
      <w:r>
        <w:tab/>
      </w:r>
      <w:r>
        <w:fldChar w:fldCharType="begin"/>
      </w:r>
      <w:r>
        <w:instrText xml:space="preserve"> PAGEREF _Toc131514574 \h </w:instrText>
      </w:r>
      <w:r>
        <w:fldChar w:fldCharType="separate"/>
      </w:r>
      <w:r>
        <w:t>251</w:t>
      </w:r>
      <w:r>
        <w:fldChar w:fldCharType="end"/>
      </w:r>
    </w:p>
    <w:p>
      <w:pPr>
        <w:pStyle w:val="TOC8"/>
        <w:rPr>
          <w:rFonts w:asciiTheme="minorHAnsi" w:eastAsiaTheme="minorEastAsia" w:hAnsiTheme="minorHAnsi" w:cstheme="minorBidi"/>
          <w:szCs w:val="22"/>
        </w:rPr>
      </w:pPr>
      <w:r>
        <w:t>174AC.</w:t>
      </w:r>
      <w:r>
        <w:tab/>
        <w:t>WorkCover WA’s rights of indemnity and subrogation</w:t>
      </w:r>
      <w:r>
        <w:tab/>
      </w:r>
      <w:r>
        <w:fldChar w:fldCharType="begin"/>
      </w:r>
      <w:r>
        <w:instrText xml:space="preserve"> PAGEREF _Toc131514575 \h </w:instrText>
      </w:r>
      <w:r>
        <w:fldChar w:fldCharType="separate"/>
      </w:r>
      <w:r>
        <w:t>252</w:t>
      </w:r>
      <w:r>
        <w:fldChar w:fldCharType="end"/>
      </w:r>
    </w:p>
    <w:p>
      <w:pPr>
        <w:pStyle w:val="TOC8"/>
        <w:rPr>
          <w:rFonts w:asciiTheme="minorHAnsi" w:eastAsiaTheme="minorEastAsia" w:hAnsiTheme="minorHAnsi" w:cstheme="minorBidi"/>
          <w:szCs w:val="22"/>
        </w:rPr>
      </w:pPr>
      <w:r>
        <w:t>174AD.</w:t>
      </w:r>
      <w:r>
        <w:tab/>
        <w:t>Employer’s duty to assist WorkCover WA</w:t>
      </w:r>
      <w:r>
        <w:tab/>
      </w:r>
      <w:r>
        <w:fldChar w:fldCharType="begin"/>
      </w:r>
      <w:r>
        <w:instrText xml:space="preserve"> PAGEREF _Toc131514576 \h </w:instrText>
      </w:r>
      <w:r>
        <w:fldChar w:fldCharType="separate"/>
      </w:r>
      <w:r>
        <w:t>253</w:t>
      </w:r>
      <w:r>
        <w:fldChar w:fldCharType="end"/>
      </w:r>
    </w:p>
    <w:p>
      <w:pPr>
        <w:pStyle w:val="TOC8"/>
        <w:rPr>
          <w:rFonts w:asciiTheme="minorHAnsi" w:eastAsiaTheme="minorEastAsia" w:hAnsiTheme="minorHAnsi" w:cstheme="minorBidi"/>
          <w:szCs w:val="22"/>
        </w:rPr>
      </w:pPr>
      <w:r>
        <w:t>174A</w:t>
      </w:r>
      <w:r>
        <w:rPr>
          <w:snapToGrid w:val="0"/>
        </w:rPr>
        <w:t>.</w:t>
      </w:r>
      <w:r>
        <w:rPr>
          <w:snapToGrid w:val="0"/>
        </w:rPr>
        <w:tab/>
        <w:t xml:space="preserve">Insurer may not refuse to indemnify </w:t>
      </w:r>
      <w:r>
        <w:t>in some cases</w:t>
      </w:r>
      <w:r>
        <w:tab/>
      </w:r>
      <w:r>
        <w:fldChar w:fldCharType="begin"/>
      </w:r>
      <w:r>
        <w:instrText xml:space="preserve"> PAGEREF _Toc131514577 \h </w:instrText>
      </w:r>
      <w:r>
        <w:fldChar w:fldCharType="separate"/>
      </w:r>
      <w:r>
        <w:t>253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Insurance by principals, contractors, and sub</w:t>
      </w:r>
      <w:r>
        <w:noBreakHyphen/>
        <w:t>contractors</w:t>
      </w:r>
    </w:p>
    <w:p>
      <w:pPr>
        <w:pStyle w:val="TOC8"/>
        <w:rPr>
          <w:rFonts w:asciiTheme="minorHAnsi" w:eastAsiaTheme="minorEastAsia" w:hAnsiTheme="minorHAnsi" w:cstheme="minorBidi"/>
          <w:szCs w:val="22"/>
        </w:rPr>
      </w:pPr>
      <w:r>
        <w:t>175</w:t>
      </w:r>
      <w:r>
        <w:rPr>
          <w:snapToGrid w:val="0"/>
        </w:rPr>
        <w:t>.</w:t>
      </w:r>
      <w:r>
        <w:rPr>
          <w:snapToGrid w:val="0"/>
        </w:rPr>
        <w:tab/>
        <w:t>When principal, contractor and sub</w:t>
      </w:r>
      <w:r>
        <w:rPr>
          <w:snapToGrid w:val="0"/>
        </w:rPr>
        <w:noBreakHyphen/>
        <w:t>contractor deemed employers</w:t>
      </w:r>
      <w:r>
        <w:tab/>
      </w:r>
      <w:r>
        <w:fldChar w:fldCharType="begin"/>
      </w:r>
      <w:r>
        <w:instrText xml:space="preserve"> PAGEREF _Toc131514579 \h </w:instrText>
      </w:r>
      <w:r>
        <w:fldChar w:fldCharType="separate"/>
      </w:r>
      <w:r>
        <w:t>254</w:t>
      </w:r>
      <w:r>
        <w:fldChar w:fldCharType="end"/>
      </w:r>
    </w:p>
    <w:p>
      <w:pPr>
        <w:pStyle w:val="TOC8"/>
        <w:rPr>
          <w:rFonts w:asciiTheme="minorHAnsi" w:eastAsiaTheme="minorEastAsia" w:hAnsiTheme="minorHAnsi" w:cstheme="minorBidi"/>
          <w:szCs w:val="22"/>
        </w:rPr>
      </w:pPr>
      <w:r>
        <w:t>175AA.</w:t>
      </w:r>
      <w:r>
        <w:tab/>
        <w:t>Certain persons deemed workers</w:t>
      </w:r>
      <w:r>
        <w:tab/>
      </w:r>
      <w:r>
        <w:fldChar w:fldCharType="begin"/>
      </w:r>
      <w:r>
        <w:instrText xml:space="preserve"> PAGEREF _Toc131514580 \h </w:instrText>
      </w:r>
      <w:r>
        <w:fldChar w:fldCharType="separate"/>
      </w:r>
      <w:r>
        <w:t>256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Inspectors</w:t>
      </w:r>
    </w:p>
    <w:p>
      <w:pPr>
        <w:pStyle w:val="TOC8"/>
        <w:rPr>
          <w:rFonts w:asciiTheme="minorHAnsi" w:eastAsiaTheme="minorEastAsia" w:hAnsiTheme="minorHAnsi" w:cstheme="minorBidi"/>
          <w:szCs w:val="22"/>
        </w:rPr>
      </w:pPr>
      <w:r>
        <w:t>175A</w:t>
      </w:r>
      <w:r>
        <w:rPr>
          <w:snapToGrid w:val="0"/>
        </w:rPr>
        <w:t>.</w:t>
      </w:r>
      <w:r>
        <w:rPr>
          <w:snapToGrid w:val="0"/>
        </w:rPr>
        <w:tab/>
        <w:t>Authorising etc. inspectors; oath etc. by inspectors</w:t>
      </w:r>
      <w:r>
        <w:tab/>
      </w:r>
      <w:r>
        <w:fldChar w:fldCharType="begin"/>
      </w:r>
      <w:r>
        <w:instrText xml:space="preserve"> PAGEREF _Toc131514582 \h </w:instrText>
      </w:r>
      <w:r>
        <w:fldChar w:fldCharType="separate"/>
      </w:r>
      <w:r>
        <w:t>258</w:t>
      </w:r>
      <w:r>
        <w:fldChar w:fldCharType="end"/>
      </w:r>
    </w:p>
    <w:p>
      <w:pPr>
        <w:pStyle w:val="TOC8"/>
        <w:rPr>
          <w:rFonts w:asciiTheme="minorHAnsi" w:eastAsiaTheme="minorEastAsia" w:hAnsiTheme="minorHAnsi" w:cstheme="minorBidi"/>
          <w:szCs w:val="22"/>
        </w:rPr>
      </w:pPr>
      <w:r>
        <w:t>175B</w:t>
      </w:r>
      <w:r>
        <w:rPr>
          <w:snapToGrid w:val="0"/>
        </w:rPr>
        <w:t>.</w:t>
      </w:r>
      <w:r>
        <w:rPr>
          <w:snapToGrid w:val="0"/>
        </w:rPr>
        <w:tab/>
        <w:t>Powers</w:t>
      </w:r>
      <w:r>
        <w:tab/>
      </w:r>
      <w:r>
        <w:fldChar w:fldCharType="begin"/>
      </w:r>
      <w:r>
        <w:instrText xml:space="preserve"> PAGEREF _Toc131514583 \h </w:instrText>
      </w:r>
      <w:r>
        <w:fldChar w:fldCharType="separate"/>
      </w:r>
      <w:r>
        <w:t>259</w:t>
      </w:r>
      <w:r>
        <w:fldChar w:fldCharType="end"/>
      </w:r>
    </w:p>
    <w:p>
      <w:pPr>
        <w:pStyle w:val="TOC8"/>
        <w:rPr>
          <w:rFonts w:asciiTheme="minorHAnsi" w:eastAsiaTheme="minorEastAsia" w:hAnsiTheme="minorHAnsi" w:cstheme="minorBidi"/>
          <w:szCs w:val="22"/>
        </w:rPr>
      </w:pPr>
      <w:r>
        <w:t>175C</w:t>
      </w:r>
      <w:r>
        <w:rPr>
          <w:snapToGrid w:val="0"/>
        </w:rPr>
        <w:t>.</w:t>
      </w:r>
      <w:r>
        <w:rPr>
          <w:snapToGrid w:val="0"/>
        </w:rPr>
        <w:tab/>
        <w:t>Interpreters</w:t>
      </w:r>
      <w:r>
        <w:tab/>
      </w:r>
      <w:r>
        <w:fldChar w:fldCharType="begin"/>
      </w:r>
      <w:r>
        <w:instrText xml:space="preserve"> PAGEREF _Toc131514584 \h </w:instrText>
      </w:r>
      <w:r>
        <w:fldChar w:fldCharType="separate"/>
      </w:r>
      <w:r>
        <w:t>261</w:t>
      </w:r>
      <w:r>
        <w:fldChar w:fldCharType="end"/>
      </w:r>
    </w:p>
    <w:p>
      <w:pPr>
        <w:pStyle w:val="TOC8"/>
        <w:rPr>
          <w:rFonts w:asciiTheme="minorHAnsi" w:eastAsiaTheme="minorEastAsia" w:hAnsiTheme="minorHAnsi" w:cstheme="minorBidi"/>
          <w:szCs w:val="22"/>
        </w:rPr>
      </w:pPr>
      <w:r>
        <w:t>175D</w:t>
      </w:r>
      <w:r>
        <w:rPr>
          <w:snapToGrid w:val="0"/>
        </w:rPr>
        <w:t>.</w:t>
      </w:r>
      <w:r>
        <w:rPr>
          <w:snapToGrid w:val="0"/>
        </w:rPr>
        <w:tab/>
        <w:t>Offences</w:t>
      </w:r>
      <w:r>
        <w:tab/>
      </w:r>
      <w:r>
        <w:fldChar w:fldCharType="begin"/>
      </w:r>
      <w:r>
        <w:instrText xml:space="preserve"> PAGEREF _Toc131514585 \h </w:instrText>
      </w:r>
      <w:r>
        <w:fldChar w:fldCharType="separate"/>
      </w:r>
      <w:r>
        <w:t>261</w:t>
      </w:r>
      <w:r>
        <w:fldChar w:fldCharType="end"/>
      </w:r>
    </w:p>
    <w:p>
      <w:pPr>
        <w:pStyle w:val="TOC2"/>
        <w:tabs>
          <w:tab w:val="right" w:leader="dot" w:pos="7077"/>
        </w:tabs>
        <w:rPr>
          <w:rFonts w:asciiTheme="minorHAnsi" w:eastAsiaTheme="minorEastAsia" w:hAnsiTheme="minorHAnsi" w:cstheme="minorBidi"/>
          <w:b w:val="0"/>
          <w:sz w:val="22"/>
          <w:szCs w:val="22"/>
        </w:rPr>
      </w:pPr>
      <w:r>
        <w:t>Part XA — Infringement notices and modified penalties</w:t>
      </w:r>
    </w:p>
    <w:p>
      <w:pPr>
        <w:pStyle w:val="TOC8"/>
        <w:rPr>
          <w:rFonts w:asciiTheme="minorHAnsi" w:eastAsiaTheme="minorEastAsia" w:hAnsiTheme="minorHAnsi" w:cstheme="minorBidi"/>
          <w:szCs w:val="22"/>
        </w:rPr>
      </w:pPr>
      <w:r>
        <w:t>175E.</w:t>
      </w:r>
      <w:r>
        <w:tab/>
        <w:t>Terms used</w:t>
      </w:r>
      <w:r>
        <w:tab/>
      </w:r>
      <w:r>
        <w:fldChar w:fldCharType="begin"/>
      </w:r>
      <w:r>
        <w:instrText xml:space="preserve"> PAGEREF _Toc131514587 \h </w:instrText>
      </w:r>
      <w:r>
        <w:fldChar w:fldCharType="separate"/>
      </w:r>
      <w:r>
        <w:t>263</w:t>
      </w:r>
      <w:r>
        <w:fldChar w:fldCharType="end"/>
      </w:r>
    </w:p>
    <w:p>
      <w:pPr>
        <w:pStyle w:val="TOC8"/>
        <w:rPr>
          <w:rFonts w:asciiTheme="minorHAnsi" w:eastAsiaTheme="minorEastAsia" w:hAnsiTheme="minorHAnsi" w:cstheme="minorBidi"/>
          <w:szCs w:val="22"/>
        </w:rPr>
      </w:pPr>
      <w:r>
        <w:t>175F.</w:t>
      </w:r>
      <w:r>
        <w:tab/>
        <w:t>Authorised officers, designation of etc.</w:t>
      </w:r>
      <w:r>
        <w:tab/>
      </w:r>
      <w:r>
        <w:fldChar w:fldCharType="begin"/>
      </w:r>
      <w:r>
        <w:instrText xml:space="preserve"> PAGEREF _Toc131514588 \h </w:instrText>
      </w:r>
      <w:r>
        <w:fldChar w:fldCharType="separate"/>
      </w:r>
      <w:r>
        <w:t>263</w:t>
      </w:r>
      <w:r>
        <w:fldChar w:fldCharType="end"/>
      </w:r>
    </w:p>
    <w:p>
      <w:pPr>
        <w:pStyle w:val="TOC8"/>
        <w:rPr>
          <w:rFonts w:asciiTheme="minorHAnsi" w:eastAsiaTheme="minorEastAsia" w:hAnsiTheme="minorHAnsi" w:cstheme="minorBidi"/>
          <w:szCs w:val="22"/>
        </w:rPr>
      </w:pPr>
      <w:r>
        <w:t>175G.</w:t>
      </w:r>
      <w:r>
        <w:tab/>
        <w:t>Infringement notices, giving of</w:t>
      </w:r>
      <w:r>
        <w:tab/>
      </w:r>
      <w:r>
        <w:fldChar w:fldCharType="begin"/>
      </w:r>
      <w:r>
        <w:instrText xml:space="preserve"> PAGEREF _Toc131514589 \h </w:instrText>
      </w:r>
      <w:r>
        <w:fldChar w:fldCharType="separate"/>
      </w:r>
      <w:r>
        <w:t>263</w:t>
      </w:r>
      <w:r>
        <w:fldChar w:fldCharType="end"/>
      </w:r>
    </w:p>
    <w:p>
      <w:pPr>
        <w:pStyle w:val="TOC8"/>
        <w:rPr>
          <w:rFonts w:asciiTheme="minorHAnsi" w:eastAsiaTheme="minorEastAsia" w:hAnsiTheme="minorHAnsi" w:cstheme="minorBidi"/>
          <w:szCs w:val="22"/>
        </w:rPr>
      </w:pPr>
      <w:r>
        <w:t>175H.</w:t>
      </w:r>
      <w:r>
        <w:tab/>
        <w:t>Infringement notices, content of</w:t>
      </w:r>
      <w:r>
        <w:tab/>
      </w:r>
      <w:r>
        <w:fldChar w:fldCharType="begin"/>
      </w:r>
      <w:r>
        <w:instrText xml:space="preserve"> PAGEREF _Toc131514590 \h </w:instrText>
      </w:r>
      <w:r>
        <w:fldChar w:fldCharType="separate"/>
      </w:r>
      <w:r>
        <w:t>264</w:t>
      </w:r>
      <w:r>
        <w:fldChar w:fldCharType="end"/>
      </w:r>
    </w:p>
    <w:p>
      <w:pPr>
        <w:pStyle w:val="TOC8"/>
        <w:rPr>
          <w:rFonts w:asciiTheme="minorHAnsi" w:eastAsiaTheme="minorEastAsia" w:hAnsiTheme="minorHAnsi" w:cstheme="minorBidi"/>
          <w:szCs w:val="22"/>
        </w:rPr>
      </w:pPr>
      <w:r>
        <w:t>175I.</w:t>
      </w:r>
      <w:r>
        <w:tab/>
        <w:t>Extending time for paying modified penalty</w:t>
      </w:r>
      <w:r>
        <w:tab/>
      </w:r>
      <w:r>
        <w:fldChar w:fldCharType="begin"/>
      </w:r>
      <w:r>
        <w:instrText xml:space="preserve"> PAGEREF _Toc131514591 \h </w:instrText>
      </w:r>
      <w:r>
        <w:fldChar w:fldCharType="separate"/>
      </w:r>
      <w:r>
        <w:t>264</w:t>
      </w:r>
      <w:r>
        <w:fldChar w:fldCharType="end"/>
      </w:r>
    </w:p>
    <w:p>
      <w:pPr>
        <w:pStyle w:val="TOC8"/>
        <w:rPr>
          <w:rFonts w:asciiTheme="minorHAnsi" w:eastAsiaTheme="minorEastAsia" w:hAnsiTheme="minorHAnsi" w:cstheme="minorBidi"/>
          <w:szCs w:val="22"/>
        </w:rPr>
      </w:pPr>
      <w:r>
        <w:t>175J.</w:t>
      </w:r>
      <w:r>
        <w:tab/>
        <w:t>Withdrawing infringement notices</w:t>
      </w:r>
      <w:r>
        <w:tab/>
      </w:r>
      <w:r>
        <w:fldChar w:fldCharType="begin"/>
      </w:r>
      <w:r>
        <w:instrText xml:space="preserve"> PAGEREF _Toc131514592 \h </w:instrText>
      </w:r>
      <w:r>
        <w:fldChar w:fldCharType="separate"/>
      </w:r>
      <w:r>
        <w:t>265</w:t>
      </w:r>
      <w:r>
        <w:fldChar w:fldCharType="end"/>
      </w:r>
    </w:p>
    <w:p>
      <w:pPr>
        <w:pStyle w:val="TOC8"/>
        <w:rPr>
          <w:rFonts w:asciiTheme="minorHAnsi" w:eastAsiaTheme="minorEastAsia" w:hAnsiTheme="minorHAnsi" w:cstheme="minorBidi"/>
          <w:szCs w:val="22"/>
        </w:rPr>
      </w:pPr>
      <w:r>
        <w:t>175K.</w:t>
      </w:r>
      <w:r>
        <w:tab/>
        <w:t>Benefit of paying modified penalty</w:t>
      </w:r>
      <w:r>
        <w:tab/>
      </w:r>
      <w:r>
        <w:fldChar w:fldCharType="begin"/>
      </w:r>
      <w:r>
        <w:instrText xml:space="preserve"> PAGEREF _Toc131514593 \h </w:instrText>
      </w:r>
      <w:r>
        <w:fldChar w:fldCharType="separate"/>
      </w:r>
      <w:r>
        <w:t>265</w:t>
      </w:r>
      <w:r>
        <w:fldChar w:fldCharType="end"/>
      </w:r>
    </w:p>
    <w:p>
      <w:pPr>
        <w:pStyle w:val="TOC8"/>
        <w:rPr>
          <w:rFonts w:asciiTheme="minorHAnsi" w:eastAsiaTheme="minorEastAsia" w:hAnsiTheme="minorHAnsi" w:cstheme="minorBidi"/>
          <w:szCs w:val="22"/>
        </w:rPr>
      </w:pPr>
      <w:r>
        <w:t>175L.</w:t>
      </w:r>
      <w:r>
        <w:tab/>
        <w:t>No admission implied by payment</w:t>
      </w:r>
      <w:r>
        <w:tab/>
      </w:r>
      <w:r>
        <w:fldChar w:fldCharType="begin"/>
      </w:r>
      <w:r>
        <w:instrText xml:space="preserve"> PAGEREF _Toc131514594 \h </w:instrText>
      </w:r>
      <w:r>
        <w:fldChar w:fldCharType="separate"/>
      </w:r>
      <w:r>
        <w:t>265</w:t>
      </w:r>
      <w:r>
        <w:fldChar w:fldCharType="end"/>
      </w:r>
    </w:p>
    <w:p>
      <w:pPr>
        <w:pStyle w:val="TOC8"/>
        <w:rPr>
          <w:rFonts w:asciiTheme="minorHAnsi" w:eastAsiaTheme="minorEastAsia" w:hAnsiTheme="minorHAnsi" w:cstheme="minorBidi"/>
          <w:szCs w:val="22"/>
        </w:rPr>
      </w:pPr>
      <w:r>
        <w:t>175M.</w:t>
      </w:r>
      <w:r>
        <w:tab/>
        <w:t>Application of penalties collected</w:t>
      </w:r>
      <w:r>
        <w:tab/>
      </w:r>
      <w:r>
        <w:fldChar w:fldCharType="begin"/>
      </w:r>
      <w:r>
        <w:instrText xml:space="preserve"> PAGEREF _Toc131514595 \h </w:instrText>
      </w:r>
      <w:r>
        <w:fldChar w:fldCharType="separate"/>
      </w:r>
      <w:r>
        <w:t>265</w:t>
      </w:r>
      <w:r>
        <w:fldChar w:fldCharType="end"/>
      </w:r>
    </w:p>
    <w:p>
      <w:pPr>
        <w:pStyle w:val="TOC2"/>
        <w:tabs>
          <w:tab w:val="right" w:leader="dot" w:pos="7077"/>
        </w:tabs>
        <w:rPr>
          <w:rFonts w:asciiTheme="minorHAnsi" w:eastAsiaTheme="minorEastAsia" w:hAnsiTheme="minorHAnsi" w:cstheme="minorBidi"/>
          <w:b w:val="0"/>
          <w:sz w:val="22"/>
          <w:szCs w:val="22"/>
        </w:rPr>
      </w:pPr>
      <w:r>
        <w:t>Part XI</w:t>
      </w:r>
      <w:r>
        <w:rPr>
          <w:b w:val="0"/>
        </w:rPr>
        <w:t> </w:t>
      </w:r>
      <w:r>
        <w:t>—</w:t>
      </w:r>
      <w:r>
        <w:rPr>
          <w:b w:val="0"/>
        </w:rPr>
        <w:t> </w:t>
      </w:r>
      <w:r>
        <w:t>Dispute resolution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176.</w:t>
      </w:r>
      <w:r>
        <w:tab/>
        <w:t>Exclusive jurisdiction of arbitrators</w:t>
      </w:r>
      <w:r>
        <w:tab/>
      </w:r>
      <w:r>
        <w:fldChar w:fldCharType="begin"/>
      </w:r>
      <w:r>
        <w:instrText xml:space="preserve"> PAGEREF _Toc131514598 \h </w:instrText>
      </w:r>
      <w:r>
        <w:fldChar w:fldCharType="separate"/>
      </w:r>
      <w:r>
        <w:t>266</w:t>
      </w:r>
      <w:r>
        <w:fldChar w:fldCharType="end"/>
      </w:r>
    </w:p>
    <w:p>
      <w:pPr>
        <w:pStyle w:val="TOC8"/>
        <w:rPr>
          <w:rFonts w:asciiTheme="minorHAnsi" w:eastAsiaTheme="minorEastAsia" w:hAnsiTheme="minorHAnsi" w:cstheme="minorBidi"/>
          <w:szCs w:val="22"/>
        </w:rPr>
      </w:pPr>
      <w:r>
        <w:lastRenderedPageBreak/>
        <w:t>177.</w:t>
      </w:r>
      <w:r>
        <w:tab/>
        <w:t>Object of this Part</w:t>
      </w:r>
      <w:r>
        <w:tab/>
      </w:r>
      <w:r>
        <w:fldChar w:fldCharType="begin"/>
      </w:r>
      <w:r>
        <w:instrText xml:space="preserve"> PAGEREF _Toc131514599 \h </w:instrText>
      </w:r>
      <w:r>
        <w:fldChar w:fldCharType="separate"/>
      </w:r>
      <w:r>
        <w:t>266</w:t>
      </w:r>
      <w:r>
        <w:fldChar w:fldCharType="end"/>
      </w:r>
    </w:p>
    <w:p>
      <w:pPr>
        <w:pStyle w:val="TOC4"/>
        <w:tabs>
          <w:tab w:val="right" w:leader="dot" w:pos="7077"/>
        </w:tabs>
        <w:rPr>
          <w:rFonts w:asciiTheme="minorHAnsi" w:eastAsiaTheme="minorEastAsia" w:hAnsiTheme="minorHAnsi" w:cstheme="minorBidi"/>
          <w:b w:val="0"/>
          <w:szCs w:val="22"/>
        </w:rPr>
      </w:pPr>
      <w:r>
        <w:t>Division 2 — Requirements before commencing proceeding</w:t>
      </w:r>
    </w:p>
    <w:p>
      <w:pPr>
        <w:pStyle w:val="TOC8"/>
        <w:rPr>
          <w:rFonts w:asciiTheme="minorHAnsi" w:eastAsiaTheme="minorEastAsia" w:hAnsiTheme="minorHAnsi" w:cstheme="minorBidi"/>
          <w:szCs w:val="22"/>
        </w:rPr>
      </w:pPr>
      <w:r>
        <w:t>178.</w:t>
      </w:r>
      <w:r>
        <w:tab/>
        <w:t>Notice of injury, and claim for compensation, requirements for</w:t>
      </w:r>
      <w:r>
        <w:tab/>
      </w:r>
      <w:r>
        <w:fldChar w:fldCharType="begin"/>
      </w:r>
      <w:r>
        <w:instrText xml:space="preserve"> PAGEREF _Toc131514601 \h </w:instrText>
      </w:r>
      <w:r>
        <w:fldChar w:fldCharType="separate"/>
      </w:r>
      <w:r>
        <w:t>267</w:t>
      </w:r>
      <w:r>
        <w:fldChar w:fldCharType="end"/>
      </w:r>
    </w:p>
    <w:p>
      <w:pPr>
        <w:pStyle w:val="TOC8"/>
        <w:rPr>
          <w:rFonts w:asciiTheme="minorHAnsi" w:eastAsiaTheme="minorEastAsia" w:hAnsiTheme="minorHAnsi" w:cstheme="minorBidi"/>
          <w:szCs w:val="22"/>
        </w:rPr>
      </w:pPr>
      <w:r>
        <w:t>179.</w:t>
      </w:r>
      <w:r>
        <w:tab/>
        <w:t>Notice of injury, service of</w:t>
      </w:r>
      <w:r>
        <w:tab/>
      </w:r>
      <w:r>
        <w:fldChar w:fldCharType="begin"/>
      </w:r>
      <w:r>
        <w:instrText xml:space="preserve"> PAGEREF _Toc131514602 \h </w:instrText>
      </w:r>
      <w:r>
        <w:fldChar w:fldCharType="separate"/>
      </w:r>
      <w:r>
        <w:t>268</w:t>
      </w:r>
      <w:r>
        <w:fldChar w:fldCharType="end"/>
      </w:r>
    </w:p>
    <w:p>
      <w:pPr>
        <w:pStyle w:val="TOC8"/>
        <w:rPr>
          <w:rFonts w:asciiTheme="minorHAnsi" w:eastAsiaTheme="minorEastAsia" w:hAnsiTheme="minorHAnsi" w:cstheme="minorBidi"/>
          <w:szCs w:val="22"/>
        </w:rPr>
      </w:pPr>
      <w:r>
        <w:t>180.</w:t>
      </w:r>
      <w:r>
        <w:tab/>
        <w:t>Relevant documents to be provided by parties</w:t>
      </w:r>
      <w:r>
        <w:tab/>
      </w:r>
      <w:r>
        <w:fldChar w:fldCharType="begin"/>
      </w:r>
      <w:r>
        <w:instrText xml:space="preserve"> PAGEREF _Toc131514603 \h </w:instrText>
      </w:r>
      <w:r>
        <w:fldChar w:fldCharType="separate"/>
      </w:r>
      <w:r>
        <w:t>270</w:t>
      </w:r>
      <w:r>
        <w:fldChar w:fldCharType="end"/>
      </w:r>
    </w:p>
    <w:p>
      <w:pPr>
        <w:pStyle w:val="TOC4"/>
        <w:tabs>
          <w:tab w:val="right" w:leader="dot" w:pos="7077"/>
        </w:tabs>
        <w:rPr>
          <w:rFonts w:asciiTheme="minorHAnsi" w:eastAsiaTheme="minorEastAsia" w:hAnsiTheme="minorHAnsi" w:cstheme="minorBidi"/>
          <w:b w:val="0"/>
          <w:szCs w:val="22"/>
        </w:rPr>
      </w:pPr>
      <w:r>
        <w:t>Division 3 — Conciliation</w:t>
      </w:r>
    </w:p>
    <w:p>
      <w:pPr>
        <w:pStyle w:val="TOC6"/>
        <w:tabs>
          <w:tab w:val="right" w:leader="dot" w:pos="7077"/>
        </w:tabs>
        <w:rPr>
          <w:rFonts w:asciiTheme="minorHAnsi" w:eastAsiaTheme="minorEastAsia" w:hAnsiTheme="minorHAnsi" w:cstheme="minorBidi"/>
          <w:b w:val="0"/>
          <w:sz w:val="22"/>
          <w:szCs w:val="22"/>
        </w:rPr>
      </w:pPr>
      <w:r>
        <w:t>Subdivision 1 — Workers’ Compensation Conciliation Service</w:t>
      </w:r>
    </w:p>
    <w:p>
      <w:pPr>
        <w:pStyle w:val="TOC8"/>
        <w:rPr>
          <w:rFonts w:asciiTheme="minorHAnsi" w:eastAsiaTheme="minorEastAsia" w:hAnsiTheme="minorHAnsi" w:cstheme="minorBidi"/>
          <w:szCs w:val="22"/>
        </w:rPr>
      </w:pPr>
      <w:r>
        <w:t>181.</w:t>
      </w:r>
      <w:r>
        <w:tab/>
        <w:t>Workers’ Compensation Conciliation Service established</w:t>
      </w:r>
      <w:r>
        <w:tab/>
      </w:r>
      <w:r>
        <w:fldChar w:fldCharType="begin"/>
      </w:r>
      <w:r>
        <w:instrText xml:space="preserve"> PAGEREF _Toc131514606 \h </w:instrText>
      </w:r>
      <w:r>
        <w:fldChar w:fldCharType="separate"/>
      </w:r>
      <w:r>
        <w:t>272</w:t>
      </w:r>
      <w:r>
        <w:fldChar w:fldCharType="end"/>
      </w:r>
    </w:p>
    <w:p>
      <w:pPr>
        <w:pStyle w:val="TOC8"/>
        <w:rPr>
          <w:rFonts w:asciiTheme="minorHAnsi" w:eastAsiaTheme="minorEastAsia" w:hAnsiTheme="minorHAnsi" w:cstheme="minorBidi"/>
          <w:szCs w:val="22"/>
        </w:rPr>
      </w:pPr>
      <w:r>
        <w:t>182A.</w:t>
      </w:r>
      <w:r>
        <w:tab/>
        <w:t>Director, Conciliation, designation and functions of</w:t>
      </w:r>
      <w:r>
        <w:tab/>
      </w:r>
      <w:r>
        <w:fldChar w:fldCharType="begin"/>
      </w:r>
      <w:r>
        <w:instrText xml:space="preserve"> PAGEREF _Toc131514607 \h </w:instrText>
      </w:r>
      <w:r>
        <w:fldChar w:fldCharType="separate"/>
      </w:r>
      <w:r>
        <w:t>272</w:t>
      </w:r>
      <w:r>
        <w:fldChar w:fldCharType="end"/>
      </w:r>
    </w:p>
    <w:p>
      <w:pPr>
        <w:pStyle w:val="TOC8"/>
        <w:rPr>
          <w:rFonts w:asciiTheme="minorHAnsi" w:eastAsiaTheme="minorEastAsia" w:hAnsiTheme="minorHAnsi" w:cstheme="minorBidi"/>
          <w:szCs w:val="22"/>
        </w:rPr>
      </w:pPr>
      <w:r>
        <w:t>182B.</w:t>
      </w:r>
      <w:r>
        <w:tab/>
        <w:t>Conciliation officers, designation of etc.</w:t>
      </w:r>
      <w:r>
        <w:tab/>
      </w:r>
      <w:r>
        <w:fldChar w:fldCharType="begin"/>
      </w:r>
      <w:r>
        <w:instrText xml:space="preserve"> PAGEREF _Toc131514608 \h </w:instrText>
      </w:r>
      <w:r>
        <w:fldChar w:fldCharType="separate"/>
      </w:r>
      <w:r>
        <w:t>273</w:t>
      </w:r>
      <w:r>
        <w:fldChar w:fldCharType="end"/>
      </w:r>
    </w:p>
    <w:p>
      <w:pPr>
        <w:pStyle w:val="TOC8"/>
        <w:rPr>
          <w:rFonts w:asciiTheme="minorHAnsi" w:eastAsiaTheme="minorEastAsia" w:hAnsiTheme="minorHAnsi" w:cstheme="minorBidi"/>
          <w:szCs w:val="22"/>
        </w:rPr>
      </w:pPr>
      <w:r>
        <w:t>182C.</w:t>
      </w:r>
      <w:r>
        <w:tab/>
        <w:t>Provisions about designations</w:t>
      </w:r>
      <w:r>
        <w:tab/>
      </w:r>
      <w:r>
        <w:fldChar w:fldCharType="begin"/>
      </w:r>
      <w:r>
        <w:instrText xml:space="preserve"> PAGEREF _Toc131514609 \h </w:instrText>
      </w:r>
      <w:r>
        <w:fldChar w:fldCharType="separate"/>
      </w:r>
      <w:r>
        <w:t>273</w:t>
      </w:r>
      <w:r>
        <w:fldChar w:fldCharType="end"/>
      </w:r>
    </w:p>
    <w:p>
      <w:pPr>
        <w:pStyle w:val="TOC8"/>
        <w:rPr>
          <w:rFonts w:asciiTheme="minorHAnsi" w:eastAsiaTheme="minorEastAsia" w:hAnsiTheme="minorHAnsi" w:cstheme="minorBidi"/>
          <w:szCs w:val="22"/>
        </w:rPr>
      </w:pPr>
      <w:r>
        <w:t>182D.</w:t>
      </w:r>
      <w:r>
        <w:tab/>
        <w:t>Delegation by Director</w:t>
      </w:r>
      <w:r>
        <w:tab/>
      </w:r>
      <w:r>
        <w:fldChar w:fldCharType="begin"/>
      </w:r>
      <w:r>
        <w:instrText xml:space="preserve"> PAGEREF _Toc131514610 \h </w:instrText>
      </w:r>
      <w:r>
        <w:fldChar w:fldCharType="separate"/>
      </w:r>
      <w:r>
        <w:t>274</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Resolution of disputes by conciliation</w:t>
      </w:r>
    </w:p>
    <w:p>
      <w:pPr>
        <w:pStyle w:val="TOC8"/>
        <w:rPr>
          <w:rFonts w:asciiTheme="minorHAnsi" w:eastAsiaTheme="minorEastAsia" w:hAnsiTheme="minorHAnsi" w:cstheme="minorBidi"/>
          <w:szCs w:val="22"/>
        </w:rPr>
      </w:pPr>
      <w:r>
        <w:t>182E.</w:t>
      </w:r>
      <w:r>
        <w:tab/>
        <w:t>Application for conciliation</w:t>
      </w:r>
      <w:r>
        <w:tab/>
      </w:r>
      <w:r>
        <w:fldChar w:fldCharType="begin"/>
      </w:r>
      <w:r>
        <w:instrText xml:space="preserve"> PAGEREF _Toc131514612 \h </w:instrText>
      </w:r>
      <w:r>
        <w:fldChar w:fldCharType="separate"/>
      </w:r>
      <w:r>
        <w:t>274</w:t>
      </w:r>
      <w:r>
        <w:fldChar w:fldCharType="end"/>
      </w:r>
    </w:p>
    <w:p>
      <w:pPr>
        <w:pStyle w:val="TOC8"/>
        <w:rPr>
          <w:rFonts w:asciiTheme="minorHAnsi" w:eastAsiaTheme="minorEastAsia" w:hAnsiTheme="minorHAnsi" w:cstheme="minorBidi"/>
          <w:szCs w:val="22"/>
        </w:rPr>
      </w:pPr>
      <w:r>
        <w:t>182F.</w:t>
      </w:r>
      <w:r>
        <w:tab/>
        <w:t>Acceptance of application by Director</w:t>
      </w:r>
      <w:r>
        <w:tab/>
      </w:r>
      <w:r>
        <w:fldChar w:fldCharType="begin"/>
      </w:r>
      <w:r>
        <w:instrText xml:space="preserve"> PAGEREF _Toc131514613 \h </w:instrText>
      </w:r>
      <w:r>
        <w:fldChar w:fldCharType="separate"/>
      </w:r>
      <w:r>
        <w:t>275</w:t>
      </w:r>
      <w:r>
        <w:fldChar w:fldCharType="end"/>
      </w:r>
    </w:p>
    <w:p>
      <w:pPr>
        <w:pStyle w:val="TOC8"/>
        <w:rPr>
          <w:rFonts w:asciiTheme="minorHAnsi" w:eastAsiaTheme="minorEastAsia" w:hAnsiTheme="minorHAnsi" w:cstheme="minorBidi"/>
          <w:szCs w:val="22"/>
        </w:rPr>
      </w:pPr>
      <w:r>
        <w:t>182G.</w:t>
      </w:r>
      <w:r>
        <w:tab/>
        <w:t>Director to allocate dispute</w:t>
      </w:r>
      <w:r>
        <w:tab/>
      </w:r>
      <w:r>
        <w:fldChar w:fldCharType="begin"/>
      </w:r>
      <w:r>
        <w:instrText xml:space="preserve"> PAGEREF _Toc131514614 \h </w:instrText>
      </w:r>
      <w:r>
        <w:fldChar w:fldCharType="separate"/>
      </w:r>
      <w:r>
        <w:t>275</w:t>
      </w:r>
      <w:r>
        <w:fldChar w:fldCharType="end"/>
      </w:r>
    </w:p>
    <w:p>
      <w:pPr>
        <w:pStyle w:val="TOC8"/>
        <w:rPr>
          <w:rFonts w:asciiTheme="minorHAnsi" w:eastAsiaTheme="minorEastAsia" w:hAnsiTheme="minorHAnsi" w:cstheme="minorBidi"/>
          <w:szCs w:val="22"/>
        </w:rPr>
      </w:pPr>
      <w:r>
        <w:t>182H.</w:t>
      </w:r>
      <w:r>
        <w:tab/>
        <w:t>Director may certify dispute is not suitable for conciliation</w:t>
      </w:r>
      <w:r>
        <w:tab/>
      </w:r>
      <w:r>
        <w:fldChar w:fldCharType="begin"/>
      </w:r>
      <w:r>
        <w:instrText xml:space="preserve"> PAGEREF _Toc131514615 \h </w:instrText>
      </w:r>
      <w:r>
        <w:fldChar w:fldCharType="separate"/>
      </w:r>
      <w:r>
        <w:t>276</w:t>
      </w:r>
      <w:r>
        <w:fldChar w:fldCharType="end"/>
      </w:r>
    </w:p>
    <w:p>
      <w:pPr>
        <w:pStyle w:val="TOC8"/>
        <w:rPr>
          <w:rFonts w:asciiTheme="minorHAnsi" w:eastAsiaTheme="minorEastAsia" w:hAnsiTheme="minorHAnsi" w:cstheme="minorBidi"/>
          <w:szCs w:val="22"/>
        </w:rPr>
      </w:pPr>
      <w:r>
        <w:t>182I.</w:t>
      </w:r>
      <w:r>
        <w:tab/>
        <w:t>Duties of conciliation officers</w:t>
      </w:r>
      <w:r>
        <w:tab/>
      </w:r>
      <w:r>
        <w:fldChar w:fldCharType="begin"/>
      </w:r>
      <w:r>
        <w:instrText xml:space="preserve"> PAGEREF _Toc131514616 \h </w:instrText>
      </w:r>
      <w:r>
        <w:fldChar w:fldCharType="separate"/>
      </w:r>
      <w:r>
        <w:t>276</w:t>
      </w:r>
      <w:r>
        <w:fldChar w:fldCharType="end"/>
      </w:r>
    </w:p>
    <w:p>
      <w:pPr>
        <w:pStyle w:val="TOC8"/>
        <w:rPr>
          <w:rFonts w:asciiTheme="minorHAnsi" w:eastAsiaTheme="minorEastAsia" w:hAnsiTheme="minorHAnsi" w:cstheme="minorBidi"/>
          <w:szCs w:val="22"/>
        </w:rPr>
      </w:pPr>
      <w:r>
        <w:t>182J.</w:t>
      </w:r>
      <w:r>
        <w:tab/>
        <w:t>Powers of conciliation officers</w:t>
      </w:r>
      <w:r>
        <w:tab/>
      </w:r>
      <w:r>
        <w:fldChar w:fldCharType="begin"/>
      </w:r>
      <w:r>
        <w:instrText xml:space="preserve"> PAGEREF _Toc131514617 \h </w:instrText>
      </w:r>
      <w:r>
        <w:fldChar w:fldCharType="separate"/>
      </w:r>
      <w:r>
        <w:t>276</w:t>
      </w:r>
      <w:r>
        <w:fldChar w:fldCharType="end"/>
      </w:r>
    </w:p>
    <w:p>
      <w:pPr>
        <w:pStyle w:val="TOC8"/>
        <w:rPr>
          <w:rFonts w:asciiTheme="minorHAnsi" w:eastAsiaTheme="minorEastAsia" w:hAnsiTheme="minorHAnsi" w:cstheme="minorBidi"/>
          <w:szCs w:val="22"/>
        </w:rPr>
      </w:pPr>
      <w:r>
        <w:t>182K.</w:t>
      </w:r>
      <w:r>
        <w:tab/>
        <w:t>Weekly payments etc., conciliation officers may direct etc.</w:t>
      </w:r>
      <w:r>
        <w:tab/>
      </w:r>
      <w:r>
        <w:fldChar w:fldCharType="begin"/>
      </w:r>
      <w:r>
        <w:instrText xml:space="preserve"> PAGEREF _Toc131514618 \h </w:instrText>
      </w:r>
      <w:r>
        <w:fldChar w:fldCharType="separate"/>
      </w:r>
      <w:r>
        <w:t>277</w:t>
      </w:r>
      <w:r>
        <w:fldChar w:fldCharType="end"/>
      </w:r>
    </w:p>
    <w:p>
      <w:pPr>
        <w:pStyle w:val="TOC8"/>
        <w:rPr>
          <w:rFonts w:asciiTheme="minorHAnsi" w:eastAsiaTheme="minorEastAsia" w:hAnsiTheme="minorHAnsi" w:cstheme="minorBidi"/>
          <w:szCs w:val="22"/>
        </w:rPr>
      </w:pPr>
      <w:r>
        <w:t>182L.</w:t>
      </w:r>
      <w:r>
        <w:tab/>
        <w:t>Suspending and reducing weekly payments, conciliation officers’ powers for etc.</w:t>
      </w:r>
      <w:r>
        <w:tab/>
      </w:r>
      <w:r>
        <w:fldChar w:fldCharType="begin"/>
      </w:r>
      <w:r>
        <w:instrText xml:space="preserve"> PAGEREF _Toc131514619 \h </w:instrText>
      </w:r>
      <w:r>
        <w:fldChar w:fldCharType="separate"/>
      </w:r>
      <w:r>
        <w:t>278</w:t>
      </w:r>
      <w:r>
        <w:fldChar w:fldCharType="end"/>
      </w:r>
    </w:p>
    <w:p>
      <w:pPr>
        <w:pStyle w:val="TOC8"/>
        <w:rPr>
          <w:rFonts w:asciiTheme="minorHAnsi" w:eastAsiaTheme="minorEastAsia" w:hAnsiTheme="minorHAnsi" w:cstheme="minorBidi"/>
          <w:szCs w:val="22"/>
        </w:rPr>
      </w:pPr>
      <w:r>
        <w:t>182M.</w:t>
      </w:r>
      <w:r>
        <w:tab/>
        <w:t>Provisions about directions</w:t>
      </w:r>
      <w:r>
        <w:tab/>
      </w:r>
      <w:r>
        <w:fldChar w:fldCharType="begin"/>
      </w:r>
      <w:r>
        <w:instrText xml:space="preserve"> PAGEREF _Toc131514620 \h </w:instrText>
      </w:r>
      <w:r>
        <w:fldChar w:fldCharType="separate"/>
      </w:r>
      <w:r>
        <w:t>279</w:t>
      </w:r>
      <w:r>
        <w:fldChar w:fldCharType="end"/>
      </w:r>
    </w:p>
    <w:p>
      <w:pPr>
        <w:pStyle w:val="TOC8"/>
        <w:rPr>
          <w:rFonts w:asciiTheme="minorHAnsi" w:eastAsiaTheme="minorEastAsia" w:hAnsiTheme="minorHAnsi" w:cstheme="minorBidi"/>
          <w:szCs w:val="22"/>
        </w:rPr>
      </w:pPr>
      <w:r>
        <w:t>182N.</w:t>
      </w:r>
      <w:r>
        <w:tab/>
        <w:t>Finalising orders</w:t>
      </w:r>
      <w:r>
        <w:tab/>
      </w:r>
      <w:r>
        <w:fldChar w:fldCharType="begin"/>
      </w:r>
      <w:r>
        <w:instrText xml:space="preserve"> PAGEREF _Toc131514621 \h </w:instrText>
      </w:r>
      <w:r>
        <w:fldChar w:fldCharType="separate"/>
      </w:r>
      <w:r>
        <w:t>280</w:t>
      </w:r>
      <w:r>
        <w:fldChar w:fldCharType="end"/>
      </w:r>
    </w:p>
    <w:p>
      <w:pPr>
        <w:pStyle w:val="TOC8"/>
        <w:rPr>
          <w:rFonts w:asciiTheme="minorHAnsi" w:eastAsiaTheme="minorEastAsia" w:hAnsiTheme="minorHAnsi" w:cstheme="minorBidi"/>
          <w:szCs w:val="22"/>
        </w:rPr>
      </w:pPr>
      <w:r>
        <w:t>182O.</w:t>
      </w:r>
      <w:r>
        <w:tab/>
        <w:t>Conclusion of conciliation and certificate of outcome</w:t>
      </w:r>
      <w:r>
        <w:tab/>
      </w:r>
      <w:r>
        <w:fldChar w:fldCharType="begin"/>
      </w:r>
      <w:r>
        <w:instrText xml:space="preserve"> PAGEREF _Toc131514622 \h </w:instrText>
      </w:r>
      <w:r>
        <w:fldChar w:fldCharType="separate"/>
      </w:r>
      <w:r>
        <w:t>280</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Practice and procedure</w:t>
      </w:r>
    </w:p>
    <w:p>
      <w:pPr>
        <w:pStyle w:val="TOC8"/>
        <w:rPr>
          <w:rFonts w:asciiTheme="minorHAnsi" w:eastAsiaTheme="minorEastAsia" w:hAnsiTheme="minorHAnsi" w:cstheme="minorBidi"/>
          <w:szCs w:val="22"/>
        </w:rPr>
      </w:pPr>
      <w:r>
        <w:t>182P.</w:t>
      </w:r>
      <w:r>
        <w:tab/>
        <w:t>Obtaining information</w:t>
      </w:r>
      <w:r>
        <w:tab/>
      </w:r>
      <w:r>
        <w:fldChar w:fldCharType="begin"/>
      </w:r>
      <w:r>
        <w:instrText xml:space="preserve"> PAGEREF _Toc131514624 \h </w:instrText>
      </w:r>
      <w:r>
        <w:fldChar w:fldCharType="separate"/>
      </w:r>
      <w:r>
        <w:t>281</w:t>
      </w:r>
      <w:r>
        <w:fldChar w:fldCharType="end"/>
      </w:r>
    </w:p>
    <w:p>
      <w:pPr>
        <w:pStyle w:val="TOC8"/>
        <w:rPr>
          <w:rFonts w:asciiTheme="minorHAnsi" w:eastAsiaTheme="minorEastAsia" w:hAnsiTheme="minorHAnsi" w:cstheme="minorBidi"/>
          <w:szCs w:val="22"/>
        </w:rPr>
      </w:pPr>
      <w:r>
        <w:t>182Q.</w:t>
      </w:r>
      <w:r>
        <w:tab/>
        <w:t>Scope of conciliation</w:t>
      </w:r>
      <w:r>
        <w:tab/>
      </w:r>
      <w:r>
        <w:fldChar w:fldCharType="begin"/>
      </w:r>
      <w:r>
        <w:instrText xml:space="preserve"> PAGEREF _Toc131514625 \h </w:instrText>
      </w:r>
      <w:r>
        <w:fldChar w:fldCharType="separate"/>
      </w:r>
      <w:r>
        <w:t>281</w:t>
      </w:r>
      <w:r>
        <w:fldChar w:fldCharType="end"/>
      </w:r>
    </w:p>
    <w:p>
      <w:pPr>
        <w:pStyle w:val="TOC8"/>
        <w:rPr>
          <w:rFonts w:asciiTheme="minorHAnsi" w:eastAsiaTheme="minorEastAsia" w:hAnsiTheme="minorHAnsi" w:cstheme="minorBidi"/>
          <w:szCs w:val="22"/>
        </w:rPr>
      </w:pPr>
      <w:r>
        <w:t>182R.</w:t>
      </w:r>
      <w:r>
        <w:tab/>
        <w:t>Conciliation officer may provide information to another party or a medical practitioner</w:t>
      </w:r>
      <w:r>
        <w:tab/>
      </w:r>
      <w:r>
        <w:fldChar w:fldCharType="begin"/>
      </w:r>
      <w:r>
        <w:instrText xml:space="preserve"> PAGEREF _Toc131514626 \h </w:instrText>
      </w:r>
      <w:r>
        <w:fldChar w:fldCharType="separate"/>
      </w:r>
      <w:r>
        <w:t>282</w:t>
      </w:r>
      <w:r>
        <w:fldChar w:fldCharType="end"/>
      </w:r>
    </w:p>
    <w:p>
      <w:pPr>
        <w:pStyle w:val="TOC8"/>
        <w:rPr>
          <w:rFonts w:asciiTheme="minorHAnsi" w:eastAsiaTheme="minorEastAsia" w:hAnsiTheme="minorHAnsi" w:cstheme="minorBidi"/>
          <w:szCs w:val="22"/>
        </w:rPr>
      </w:pPr>
      <w:r>
        <w:lastRenderedPageBreak/>
        <w:t>182S.</w:t>
      </w:r>
      <w:r>
        <w:tab/>
        <w:t>Representation</w:t>
      </w:r>
      <w:r>
        <w:tab/>
      </w:r>
      <w:r>
        <w:fldChar w:fldCharType="begin"/>
      </w:r>
      <w:r>
        <w:instrText xml:space="preserve"> PAGEREF _Toc131514627 \h </w:instrText>
      </w:r>
      <w:r>
        <w:fldChar w:fldCharType="separate"/>
      </w:r>
      <w:r>
        <w:t>282</w:t>
      </w:r>
      <w:r>
        <w:fldChar w:fldCharType="end"/>
      </w:r>
    </w:p>
    <w:p>
      <w:pPr>
        <w:pStyle w:val="TOC8"/>
        <w:rPr>
          <w:rFonts w:asciiTheme="minorHAnsi" w:eastAsiaTheme="minorEastAsia" w:hAnsiTheme="minorHAnsi" w:cstheme="minorBidi"/>
          <w:szCs w:val="22"/>
        </w:rPr>
      </w:pPr>
      <w:r>
        <w:t>182T.</w:t>
      </w:r>
      <w:r>
        <w:tab/>
        <w:t>Litigation guardians, rules about</w:t>
      </w:r>
      <w:r>
        <w:tab/>
      </w:r>
      <w:r>
        <w:fldChar w:fldCharType="begin"/>
      </w:r>
      <w:r>
        <w:instrText xml:space="preserve"> PAGEREF _Toc131514628 \h </w:instrText>
      </w:r>
      <w:r>
        <w:fldChar w:fldCharType="separate"/>
      </w:r>
      <w:r>
        <w:t>283</w:t>
      </w:r>
      <w:r>
        <w:fldChar w:fldCharType="end"/>
      </w:r>
    </w:p>
    <w:p>
      <w:pPr>
        <w:pStyle w:val="TOC8"/>
        <w:rPr>
          <w:rFonts w:asciiTheme="minorHAnsi" w:eastAsiaTheme="minorEastAsia" w:hAnsiTheme="minorHAnsi" w:cstheme="minorBidi"/>
          <w:szCs w:val="22"/>
        </w:rPr>
      </w:pPr>
      <w:r>
        <w:t>182U.</w:t>
      </w:r>
      <w:r>
        <w:tab/>
        <w:t>Interpreters and assistants</w:t>
      </w:r>
      <w:r>
        <w:tab/>
      </w:r>
      <w:r>
        <w:fldChar w:fldCharType="begin"/>
      </w:r>
      <w:r>
        <w:instrText xml:space="preserve"> PAGEREF _Toc131514629 \h </w:instrText>
      </w:r>
      <w:r>
        <w:fldChar w:fldCharType="separate"/>
      </w:r>
      <w:r>
        <w:t>283</w:t>
      </w:r>
      <w:r>
        <w:fldChar w:fldCharType="end"/>
      </w:r>
    </w:p>
    <w:p>
      <w:pPr>
        <w:pStyle w:val="TOC8"/>
        <w:rPr>
          <w:rFonts w:asciiTheme="minorHAnsi" w:eastAsiaTheme="minorEastAsia" w:hAnsiTheme="minorHAnsi" w:cstheme="minorBidi"/>
          <w:szCs w:val="22"/>
        </w:rPr>
      </w:pPr>
      <w:r>
        <w:t>182V.</w:t>
      </w:r>
      <w:r>
        <w:tab/>
        <w:t>Ways of conducting conciliation</w:t>
      </w:r>
      <w:r>
        <w:tab/>
      </w:r>
      <w:r>
        <w:fldChar w:fldCharType="begin"/>
      </w:r>
      <w:r>
        <w:instrText xml:space="preserve"> PAGEREF _Toc131514630 \h </w:instrText>
      </w:r>
      <w:r>
        <w:fldChar w:fldCharType="separate"/>
      </w:r>
      <w:r>
        <w:t>284</w:t>
      </w:r>
      <w:r>
        <w:fldChar w:fldCharType="end"/>
      </w:r>
    </w:p>
    <w:p>
      <w:pPr>
        <w:pStyle w:val="TOC8"/>
        <w:rPr>
          <w:rFonts w:asciiTheme="minorHAnsi" w:eastAsiaTheme="minorEastAsia" w:hAnsiTheme="minorHAnsi" w:cstheme="minorBidi"/>
          <w:szCs w:val="22"/>
        </w:rPr>
      </w:pPr>
      <w:r>
        <w:t>182W.</w:t>
      </w:r>
      <w:r>
        <w:tab/>
        <w:t>Conciliation to be in private</w:t>
      </w:r>
      <w:r>
        <w:tab/>
      </w:r>
      <w:r>
        <w:fldChar w:fldCharType="begin"/>
      </w:r>
      <w:r>
        <w:instrText xml:space="preserve"> PAGEREF _Toc131514631 \h </w:instrText>
      </w:r>
      <w:r>
        <w:fldChar w:fldCharType="separate"/>
      </w:r>
      <w:r>
        <w:t>284</w:t>
      </w:r>
      <w:r>
        <w:fldChar w:fldCharType="end"/>
      </w:r>
    </w:p>
    <w:p>
      <w:pPr>
        <w:pStyle w:val="TOC8"/>
        <w:rPr>
          <w:rFonts w:asciiTheme="minorHAnsi" w:eastAsiaTheme="minorEastAsia" w:hAnsiTheme="minorHAnsi" w:cstheme="minorBidi"/>
          <w:szCs w:val="22"/>
        </w:rPr>
      </w:pPr>
      <w:r>
        <w:t>182X.</w:t>
      </w:r>
      <w:r>
        <w:tab/>
        <w:t>Meetings and conferences, notice of and failure to attend</w:t>
      </w:r>
      <w:r>
        <w:tab/>
      </w:r>
      <w:r>
        <w:fldChar w:fldCharType="begin"/>
      </w:r>
      <w:r>
        <w:instrText xml:space="preserve"> PAGEREF _Toc131514632 \h </w:instrText>
      </w:r>
      <w:r>
        <w:fldChar w:fldCharType="separate"/>
      </w:r>
      <w:r>
        <w:t>285</w:t>
      </w:r>
      <w:r>
        <w:fldChar w:fldCharType="end"/>
      </w:r>
    </w:p>
    <w:p>
      <w:pPr>
        <w:pStyle w:val="TOC8"/>
        <w:rPr>
          <w:rFonts w:asciiTheme="minorHAnsi" w:eastAsiaTheme="minorEastAsia" w:hAnsiTheme="minorHAnsi" w:cstheme="minorBidi"/>
          <w:szCs w:val="22"/>
        </w:rPr>
      </w:pPr>
      <w:r>
        <w:t>182Y.</w:t>
      </w:r>
      <w:r>
        <w:tab/>
        <w:t>Privilege against self-incrimination</w:t>
      </w:r>
      <w:r>
        <w:tab/>
      </w:r>
      <w:r>
        <w:fldChar w:fldCharType="begin"/>
      </w:r>
      <w:r>
        <w:instrText xml:space="preserve"> PAGEREF _Toc131514633 \h </w:instrText>
      </w:r>
      <w:r>
        <w:fldChar w:fldCharType="separate"/>
      </w:r>
      <w:r>
        <w:t>285</w:t>
      </w:r>
      <w:r>
        <w:fldChar w:fldCharType="end"/>
      </w:r>
    </w:p>
    <w:p>
      <w:pPr>
        <w:pStyle w:val="TOC8"/>
        <w:rPr>
          <w:rFonts w:asciiTheme="minorHAnsi" w:eastAsiaTheme="minorEastAsia" w:hAnsiTheme="minorHAnsi" w:cstheme="minorBidi"/>
          <w:szCs w:val="22"/>
        </w:rPr>
      </w:pPr>
      <w:r>
        <w:t>182ZA.</w:t>
      </w:r>
      <w:r>
        <w:tab/>
        <w:t>Legal professional privilege in relation to medical reports</w:t>
      </w:r>
      <w:r>
        <w:tab/>
      </w:r>
      <w:r>
        <w:fldChar w:fldCharType="begin"/>
      </w:r>
      <w:r>
        <w:instrText xml:space="preserve"> PAGEREF _Toc131514634 \h </w:instrText>
      </w:r>
      <w:r>
        <w:fldChar w:fldCharType="separate"/>
      </w:r>
      <w:r>
        <w:t>286</w:t>
      </w:r>
      <w:r>
        <w:fldChar w:fldCharType="end"/>
      </w:r>
    </w:p>
    <w:p>
      <w:pPr>
        <w:pStyle w:val="TOC8"/>
        <w:rPr>
          <w:rFonts w:asciiTheme="minorHAnsi" w:eastAsiaTheme="minorEastAsia" w:hAnsiTheme="minorHAnsi" w:cstheme="minorBidi"/>
          <w:szCs w:val="22"/>
        </w:rPr>
      </w:pPr>
      <w:r>
        <w:t>182ZB.</w:t>
      </w:r>
      <w:r>
        <w:tab/>
        <w:t>Other claims of privilege</w:t>
      </w:r>
      <w:r>
        <w:tab/>
      </w:r>
      <w:r>
        <w:fldChar w:fldCharType="begin"/>
      </w:r>
      <w:r>
        <w:instrText xml:space="preserve"> PAGEREF _Toc131514635 \h </w:instrText>
      </w:r>
      <w:r>
        <w:fldChar w:fldCharType="separate"/>
      </w:r>
      <w:r>
        <w:t>286</w:t>
      </w:r>
      <w:r>
        <w:fldChar w:fldCharType="end"/>
      </w:r>
    </w:p>
    <w:p>
      <w:pPr>
        <w:pStyle w:val="TOC8"/>
        <w:rPr>
          <w:rFonts w:asciiTheme="minorHAnsi" w:eastAsiaTheme="minorEastAsia" w:hAnsiTheme="minorHAnsi" w:cstheme="minorBidi"/>
          <w:szCs w:val="22"/>
        </w:rPr>
      </w:pPr>
      <w:r>
        <w:t>182ZC.</w:t>
      </w:r>
      <w:r>
        <w:tab/>
        <w:t>Documents produced, use of etc. by conciliation officer</w:t>
      </w:r>
      <w:r>
        <w:tab/>
      </w:r>
      <w:r>
        <w:fldChar w:fldCharType="begin"/>
      </w:r>
      <w:r>
        <w:instrText xml:space="preserve"> PAGEREF _Toc131514636 \h </w:instrText>
      </w:r>
      <w:r>
        <w:fldChar w:fldCharType="separate"/>
      </w:r>
      <w:r>
        <w:t>287</w:t>
      </w:r>
      <w:r>
        <w:fldChar w:fldCharType="end"/>
      </w:r>
    </w:p>
    <w:p>
      <w:pPr>
        <w:pStyle w:val="TOC8"/>
        <w:rPr>
          <w:rFonts w:asciiTheme="minorHAnsi" w:eastAsiaTheme="minorEastAsia" w:hAnsiTheme="minorHAnsi" w:cstheme="minorBidi"/>
          <w:szCs w:val="22"/>
        </w:rPr>
      </w:pPr>
      <w:r>
        <w:t>182ZD.</w:t>
      </w:r>
      <w:r>
        <w:tab/>
        <w:t>Medical dispute may be referred to medical assessment panel</w:t>
      </w:r>
      <w:r>
        <w:tab/>
      </w:r>
      <w:r>
        <w:fldChar w:fldCharType="begin"/>
      </w:r>
      <w:r>
        <w:instrText xml:space="preserve"> PAGEREF _Toc131514637 \h </w:instrText>
      </w:r>
      <w:r>
        <w:fldChar w:fldCharType="separate"/>
      </w:r>
      <w:r>
        <w:t>287</w:t>
      </w:r>
      <w:r>
        <w:fldChar w:fldCharType="end"/>
      </w:r>
    </w:p>
    <w:p>
      <w:pPr>
        <w:pStyle w:val="TOC6"/>
        <w:tabs>
          <w:tab w:val="right" w:leader="dot" w:pos="7077"/>
        </w:tabs>
        <w:rPr>
          <w:rFonts w:asciiTheme="minorHAnsi" w:eastAsiaTheme="minorEastAsia" w:hAnsiTheme="minorHAnsi" w:cstheme="minorBidi"/>
          <w:b w:val="0"/>
          <w:sz w:val="22"/>
          <w:szCs w:val="22"/>
        </w:rPr>
      </w:pPr>
      <w:r>
        <w:t>Subdivision 4 — General provisions about directions, orders and conciliation agreements</w:t>
      </w:r>
    </w:p>
    <w:p>
      <w:pPr>
        <w:pStyle w:val="TOC8"/>
        <w:rPr>
          <w:rFonts w:asciiTheme="minorHAnsi" w:eastAsiaTheme="minorEastAsia" w:hAnsiTheme="minorHAnsi" w:cstheme="minorBidi"/>
          <w:szCs w:val="22"/>
        </w:rPr>
      </w:pPr>
      <w:r>
        <w:t>182ZE.</w:t>
      </w:r>
      <w:r>
        <w:tab/>
        <w:t>Terms used</w:t>
      </w:r>
      <w:r>
        <w:tab/>
      </w:r>
      <w:r>
        <w:fldChar w:fldCharType="begin"/>
      </w:r>
      <w:r>
        <w:instrText xml:space="preserve"> PAGEREF _Toc131514639 \h </w:instrText>
      </w:r>
      <w:r>
        <w:fldChar w:fldCharType="separate"/>
      </w:r>
      <w:r>
        <w:t>288</w:t>
      </w:r>
      <w:r>
        <w:fldChar w:fldCharType="end"/>
      </w:r>
    </w:p>
    <w:p>
      <w:pPr>
        <w:pStyle w:val="TOC8"/>
        <w:rPr>
          <w:rFonts w:asciiTheme="minorHAnsi" w:eastAsiaTheme="minorEastAsia" w:hAnsiTheme="minorHAnsi" w:cstheme="minorBidi"/>
          <w:szCs w:val="22"/>
        </w:rPr>
      </w:pPr>
      <w:r>
        <w:t>182ZF.</w:t>
      </w:r>
      <w:r>
        <w:tab/>
        <w:t>When decision or conciliation agreement has effect</w:t>
      </w:r>
      <w:r>
        <w:tab/>
      </w:r>
      <w:r>
        <w:fldChar w:fldCharType="begin"/>
      </w:r>
      <w:r>
        <w:instrText xml:space="preserve"> PAGEREF _Toc131514640 \h </w:instrText>
      </w:r>
      <w:r>
        <w:fldChar w:fldCharType="separate"/>
      </w:r>
      <w:r>
        <w:t>288</w:t>
      </w:r>
      <w:r>
        <w:fldChar w:fldCharType="end"/>
      </w:r>
    </w:p>
    <w:p>
      <w:pPr>
        <w:pStyle w:val="TOC8"/>
        <w:rPr>
          <w:rFonts w:asciiTheme="minorHAnsi" w:eastAsiaTheme="minorEastAsia" w:hAnsiTheme="minorHAnsi" w:cstheme="minorBidi"/>
          <w:szCs w:val="22"/>
        </w:rPr>
      </w:pPr>
      <w:r>
        <w:t>182ZG.</w:t>
      </w:r>
      <w:r>
        <w:tab/>
        <w:t>Correcting mistakes</w:t>
      </w:r>
      <w:r>
        <w:tab/>
      </w:r>
      <w:r>
        <w:fldChar w:fldCharType="begin"/>
      </w:r>
      <w:r>
        <w:instrText xml:space="preserve"> PAGEREF _Toc131514641 \h </w:instrText>
      </w:r>
      <w:r>
        <w:fldChar w:fldCharType="separate"/>
      </w:r>
      <w:r>
        <w:t>289</w:t>
      </w:r>
      <w:r>
        <w:fldChar w:fldCharType="end"/>
      </w:r>
    </w:p>
    <w:p>
      <w:pPr>
        <w:pStyle w:val="TOC8"/>
        <w:rPr>
          <w:rFonts w:asciiTheme="minorHAnsi" w:eastAsiaTheme="minorEastAsia" w:hAnsiTheme="minorHAnsi" w:cstheme="minorBidi"/>
          <w:szCs w:val="22"/>
        </w:rPr>
      </w:pPr>
      <w:r>
        <w:t>182ZH.</w:t>
      </w:r>
      <w:r>
        <w:tab/>
        <w:t>Enforcing decisions and conciliation agreements</w:t>
      </w:r>
      <w:r>
        <w:tab/>
      </w:r>
      <w:r>
        <w:fldChar w:fldCharType="begin"/>
      </w:r>
      <w:r>
        <w:instrText xml:space="preserve"> PAGEREF _Toc131514642 \h </w:instrText>
      </w:r>
      <w:r>
        <w:fldChar w:fldCharType="separate"/>
      </w:r>
      <w:r>
        <w:t>289</w:t>
      </w:r>
      <w:r>
        <w:fldChar w:fldCharType="end"/>
      </w:r>
    </w:p>
    <w:p>
      <w:pPr>
        <w:pStyle w:val="TOC8"/>
        <w:rPr>
          <w:rFonts w:asciiTheme="minorHAnsi" w:eastAsiaTheme="minorEastAsia" w:hAnsiTheme="minorHAnsi" w:cstheme="minorBidi"/>
          <w:szCs w:val="22"/>
        </w:rPr>
      </w:pPr>
      <w:r>
        <w:t>182ZI.</w:t>
      </w:r>
      <w:r>
        <w:tab/>
        <w:t>Conciliation decisions not reviewable</w:t>
      </w:r>
      <w:r>
        <w:tab/>
      </w:r>
      <w:r>
        <w:fldChar w:fldCharType="begin"/>
      </w:r>
      <w:r>
        <w:instrText xml:space="preserve"> PAGEREF _Toc131514643 \h </w:instrText>
      </w:r>
      <w:r>
        <w:fldChar w:fldCharType="separate"/>
      </w:r>
      <w:r>
        <w:t>290</w:t>
      </w:r>
      <w:r>
        <w:fldChar w:fldCharType="end"/>
      </w:r>
    </w:p>
    <w:p>
      <w:pPr>
        <w:pStyle w:val="TOC8"/>
        <w:rPr>
          <w:rFonts w:asciiTheme="minorHAnsi" w:eastAsiaTheme="minorEastAsia" w:hAnsiTheme="minorHAnsi" w:cstheme="minorBidi"/>
          <w:szCs w:val="22"/>
        </w:rPr>
      </w:pPr>
      <w:r>
        <w:t>182ZJ.</w:t>
      </w:r>
      <w:r>
        <w:tab/>
        <w:t>Provisions about revoked directions</w:t>
      </w:r>
      <w:r>
        <w:tab/>
      </w:r>
      <w:r>
        <w:fldChar w:fldCharType="begin"/>
      </w:r>
      <w:r>
        <w:instrText xml:space="preserve"> PAGEREF _Toc131514644 \h </w:instrText>
      </w:r>
      <w:r>
        <w:fldChar w:fldCharType="separate"/>
      </w:r>
      <w:r>
        <w:t>290</w:t>
      </w:r>
      <w:r>
        <w:fldChar w:fldCharType="end"/>
      </w:r>
    </w:p>
    <w:p>
      <w:pPr>
        <w:pStyle w:val="TOC8"/>
        <w:rPr>
          <w:rFonts w:asciiTheme="minorHAnsi" w:eastAsiaTheme="minorEastAsia" w:hAnsiTheme="minorHAnsi" w:cstheme="minorBidi"/>
          <w:szCs w:val="22"/>
        </w:rPr>
      </w:pPr>
      <w:r>
        <w:t>182ZK.</w:t>
      </w:r>
      <w:r>
        <w:tab/>
        <w:t>Recovery of payments made under s. 182K direction</w:t>
      </w:r>
      <w:r>
        <w:tab/>
      </w:r>
      <w:r>
        <w:fldChar w:fldCharType="begin"/>
      </w:r>
      <w:r>
        <w:instrText xml:space="preserve"> PAGEREF _Toc131514645 \h </w:instrText>
      </w:r>
      <w:r>
        <w:fldChar w:fldCharType="separate"/>
      </w:r>
      <w:r>
        <w:t>290</w:t>
      </w:r>
      <w:r>
        <w:fldChar w:fldCharType="end"/>
      </w:r>
    </w:p>
    <w:p>
      <w:pPr>
        <w:pStyle w:val="TOC8"/>
        <w:rPr>
          <w:rFonts w:asciiTheme="minorHAnsi" w:eastAsiaTheme="minorEastAsia" w:hAnsiTheme="minorHAnsi" w:cstheme="minorBidi"/>
          <w:szCs w:val="22"/>
        </w:rPr>
      </w:pPr>
      <w:r>
        <w:t>182ZL.</w:t>
      </w:r>
      <w:r>
        <w:tab/>
        <w:t>Director may order insurer to make payment directed under s. 182K</w:t>
      </w:r>
      <w:r>
        <w:tab/>
      </w:r>
      <w:r>
        <w:fldChar w:fldCharType="begin"/>
      </w:r>
      <w:r>
        <w:instrText xml:space="preserve"> PAGEREF _Toc131514646 \h </w:instrText>
      </w:r>
      <w:r>
        <w:fldChar w:fldCharType="separate"/>
      </w:r>
      <w:r>
        <w:t>291</w:t>
      </w:r>
      <w:r>
        <w:fldChar w:fldCharType="end"/>
      </w:r>
    </w:p>
    <w:p>
      <w:pPr>
        <w:pStyle w:val="TOC6"/>
        <w:tabs>
          <w:tab w:val="right" w:leader="dot" w:pos="7077"/>
        </w:tabs>
        <w:rPr>
          <w:rFonts w:asciiTheme="minorHAnsi" w:eastAsiaTheme="minorEastAsia" w:hAnsiTheme="minorHAnsi" w:cstheme="minorBidi"/>
          <w:b w:val="0"/>
          <w:sz w:val="22"/>
          <w:szCs w:val="22"/>
        </w:rPr>
      </w:pPr>
      <w:r>
        <w:t>Subdivision 5 — Miscellaneous</w:t>
      </w:r>
    </w:p>
    <w:p>
      <w:pPr>
        <w:pStyle w:val="TOC8"/>
        <w:rPr>
          <w:rFonts w:asciiTheme="minorHAnsi" w:eastAsiaTheme="minorEastAsia" w:hAnsiTheme="minorHAnsi" w:cstheme="minorBidi"/>
          <w:szCs w:val="22"/>
        </w:rPr>
      </w:pPr>
      <w:r>
        <w:t>182ZM.</w:t>
      </w:r>
      <w:r>
        <w:tab/>
        <w:t>Statement made to conciliation officer not admissible in subsequent proceedings</w:t>
      </w:r>
      <w:r>
        <w:tab/>
      </w:r>
      <w:r>
        <w:fldChar w:fldCharType="begin"/>
      </w:r>
      <w:r>
        <w:instrText xml:space="preserve"> PAGEREF _Toc131514648 \h </w:instrText>
      </w:r>
      <w:r>
        <w:fldChar w:fldCharType="separate"/>
      </w:r>
      <w:r>
        <w:t>291</w:t>
      </w:r>
      <w:r>
        <w:fldChar w:fldCharType="end"/>
      </w:r>
    </w:p>
    <w:p>
      <w:pPr>
        <w:pStyle w:val="TOC8"/>
        <w:rPr>
          <w:rFonts w:asciiTheme="minorHAnsi" w:eastAsiaTheme="minorEastAsia" w:hAnsiTheme="minorHAnsi" w:cstheme="minorBidi"/>
          <w:szCs w:val="22"/>
        </w:rPr>
      </w:pPr>
      <w:r>
        <w:t>182ZN.</w:t>
      </w:r>
      <w:r>
        <w:tab/>
        <w:t>To whom compensation is to be paid</w:t>
      </w:r>
      <w:r>
        <w:tab/>
      </w:r>
      <w:r>
        <w:fldChar w:fldCharType="begin"/>
      </w:r>
      <w:r>
        <w:instrText xml:space="preserve"> PAGEREF _Toc131514649 \h </w:instrText>
      </w:r>
      <w:r>
        <w:fldChar w:fldCharType="separate"/>
      </w:r>
      <w:r>
        <w:t>292</w:t>
      </w:r>
      <w:r>
        <w:fldChar w:fldCharType="end"/>
      </w:r>
    </w:p>
    <w:p>
      <w:pPr>
        <w:pStyle w:val="TOC4"/>
        <w:tabs>
          <w:tab w:val="right" w:leader="dot" w:pos="7077"/>
        </w:tabs>
        <w:rPr>
          <w:rFonts w:asciiTheme="minorHAnsi" w:eastAsiaTheme="minorEastAsia" w:hAnsiTheme="minorHAnsi" w:cstheme="minorBidi"/>
          <w:b w:val="0"/>
          <w:szCs w:val="22"/>
        </w:rPr>
      </w:pPr>
      <w:r>
        <w:t>Division 4 — Arbitration</w:t>
      </w:r>
    </w:p>
    <w:p>
      <w:pPr>
        <w:pStyle w:val="TOC6"/>
        <w:tabs>
          <w:tab w:val="right" w:leader="dot" w:pos="7077"/>
        </w:tabs>
        <w:rPr>
          <w:rFonts w:asciiTheme="minorHAnsi" w:eastAsiaTheme="minorEastAsia" w:hAnsiTheme="minorHAnsi" w:cstheme="minorBidi"/>
          <w:b w:val="0"/>
          <w:sz w:val="22"/>
          <w:szCs w:val="22"/>
        </w:rPr>
      </w:pPr>
      <w:r>
        <w:t>Subdivision 1 — Workers’ Compensation Arbitration Service</w:t>
      </w:r>
    </w:p>
    <w:p>
      <w:pPr>
        <w:pStyle w:val="TOC8"/>
        <w:rPr>
          <w:rFonts w:asciiTheme="minorHAnsi" w:eastAsiaTheme="minorEastAsia" w:hAnsiTheme="minorHAnsi" w:cstheme="minorBidi"/>
          <w:szCs w:val="22"/>
        </w:rPr>
      </w:pPr>
      <w:r>
        <w:t>182ZO.</w:t>
      </w:r>
      <w:r>
        <w:tab/>
        <w:t>Workers’ Compensation Arbitration Service established</w:t>
      </w:r>
      <w:r>
        <w:tab/>
      </w:r>
      <w:r>
        <w:fldChar w:fldCharType="begin"/>
      </w:r>
      <w:r>
        <w:instrText xml:space="preserve"> PAGEREF _Toc131514652 \h </w:instrText>
      </w:r>
      <w:r>
        <w:fldChar w:fldCharType="separate"/>
      </w:r>
      <w:r>
        <w:t>292</w:t>
      </w:r>
      <w:r>
        <w:fldChar w:fldCharType="end"/>
      </w:r>
    </w:p>
    <w:p>
      <w:pPr>
        <w:pStyle w:val="TOC8"/>
        <w:rPr>
          <w:rFonts w:asciiTheme="minorHAnsi" w:eastAsiaTheme="minorEastAsia" w:hAnsiTheme="minorHAnsi" w:cstheme="minorBidi"/>
          <w:szCs w:val="22"/>
        </w:rPr>
      </w:pPr>
      <w:r>
        <w:t>182ZP.</w:t>
      </w:r>
      <w:r>
        <w:tab/>
        <w:t>Registrar, Arbitration, designation and functions of</w:t>
      </w:r>
      <w:r>
        <w:tab/>
      </w:r>
      <w:r>
        <w:fldChar w:fldCharType="begin"/>
      </w:r>
      <w:r>
        <w:instrText xml:space="preserve"> PAGEREF _Toc131514653 \h </w:instrText>
      </w:r>
      <w:r>
        <w:fldChar w:fldCharType="separate"/>
      </w:r>
      <w:r>
        <w:t>292</w:t>
      </w:r>
      <w:r>
        <w:fldChar w:fldCharType="end"/>
      </w:r>
    </w:p>
    <w:p>
      <w:pPr>
        <w:pStyle w:val="TOC8"/>
        <w:rPr>
          <w:rFonts w:asciiTheme="minorHAnsi" w:eastAsiaTheme="minorEastAsia" w:hAnsiTheme="minorHAnsi" w:cstheme="minorBidi"/>
          <w:szCs w:val="22"/>
        </w:rPr>
      </w:pPr>
      <w:r>
        <w:t>182ZQ.</w:t>
      </w:r>
      <w:r>
        <w:tab/>
        <w:t>Arbitrators, designation of etc.</w:t>
      </w:r>
      <w:r>
        <w:tab/>
      </w:r>
      <w:r>
        <w:fldChar w:fldCharType="begin"/>
      </w:r>
      <w:r>
        <w:instrText xml:space="preserve"> PAGEREF _Toc131514654 \h </w:instrText>
      </w:r>
      <w:r>
        <w:fldChar w:fldCharType="separate"/>
      </w:r>
      <w:r>
        <w:t>293</w:t>
      </w:r>
      <w:r>
        <w:fldChar w:fldCharType="end"/>
      </w:r>
    </w:p>
    <w:p>
      <w:pPr>
        <w:pStyle w:val="TOC8"/>
        <w:rPr>
          <w:rFonts w:asciiTheme="minorHAnsi" w:eastAsiaTheme="minorEastAsia" w:hAnsiTheme="minorHAnsi" w:cstheme="minorBidi"/>
          <w:szCs w:val="22"/>
        </w:rPr>
      </w:pPr>
      <w:r>
        <w:t>182ZR.</w:t>
      </w:r>
      <w:r>
        <w:tab/>
        <w:t>Provisions about designations</w:t>
      </w:r>
      <w:r>
        <w:tab/>
      </w:r>
      <w:r>
        <w:fldChar w:fldCharType="begin"/>
      </w:r>
      <w:r>
        <w:instrText xml:space="preserve"> PAGEREF _Toc131514655 \h </w:instrText>
      </w:r>
      <w:r>
        <w:fldChar w:fldCharType="separate"/>
      </w:r>
      <w:r>
        <w:t>294</w:t>
      </w:r>
      <w:r>
        <w:fldChar w:fldCharType="end"/>
      </w:r>
    </w:p>
    <w:p>
      <w:pPr>
        <w:pStyle w:val="TOC8"/>
        <w:rPr>
          <w:rFonts w:asciiTheme="minorHAnsi" w:eastAsiaTheme="minorEastAsia" w:hAnsiTheme="minorHAnsi" w:cstheme="minorBidi"/>
          <w:szCs w:val="22"/>
        </w:rPr>
      </w:pPr>
      <w:r>
        <w:lastRenderedPageBreak/>
        <w:t>182ZS.</w:t>
      </w:r>
      <w:r>
        <w:tab/>
        <w:t xml:space="preserve">Delegation by </w:t>
      </w:r>
      <w:r>
        <w:rPr>
          <w:bCs/>
          <w:iCs/>
        </w:rPr>
        <w:t>Registrar</w:t>
      </w:r>
      <w:r>
        <w:tab/>
      </w:r>
      <w:r>
        <w:fldChar w:fldCharType="begin"/>
      </w:r>
      <w:r>
        <w:instrText xml:space="preserve"> PAGEREF _Toc131514656 \h </w:instrText>
      </w:r>
      <w:r>
        <w:fldChar w:fldCharType="separate"/>
      </w:r>
      <w:r>
        <w:t>294</w:t>
      </w:r>
      <w:r>
        <w:fldChar w:fldCharType="end"/>
      </w:r>
    </w:p>
    <w:p>
      <w:pPr>
        <w:pStyle w:val="TOC6"/>
        <w:tabs>
          <w:tab w:val="right" w:leader="dot" w:pos="7077"/>
        </w:tabs>
        <w:rPr>
          <w:rFonts w:asciiTheme="minorHAnsi" w:eastAsiaTheme="minorEastAsia" w:hAnsiTheme="minorHAnsi" w:cstheme="minorBidi"/>
          <w:b w:val="0"/>
          <w:sz w:val="22"/>
          <w:szCs w:val="22"/>
        </w:rPr>
      </w:pPr>
      <w:r>
        <w:t>Subdivision 2 — Determination of disputes by arbitration</w:t>
      </w:r>
    </w:p>
    <w:p>
      <w:pPr>
        <w:pStyle w:val="TOC8"/>
        <w:rPr>
          <w:rFonts w:asciiTheme="minorHAnsi" w:eastAsiaTheme="minorEastAsia" w:hAnsiTheme="minorHAnsi" w:cstheme="minorBidi"/>
          <w:szCs w:val="22"/>
        </w:rPr>
      </w:pPr>
      <w:r>
        <w:t>182ZT.</w:t>
      </w:r>
      <w:r>
        <w:tab/>
        <w:t>Application for arbitration</w:t>
      </w:r>
      <w:r>
        <w:tab/>
      </w:r>
      <w:r>
        <w:fldChar w:fldCharType="begin"/>
      </w:r>
      <w:r>
        <w:instrText xml:space="preserve"> PAGEREF _Toc131514658 \h </w:instrText>
      </w:r>
      <w:r>
        <w:fldChar w:fldCharType="separate"/>
      </w:r>
      <w:r>
        <w:t>295</w:t>
      </w:r>
      <w:r>
        <w:fldChar w:fldCharType="end"/>
      </w:r>
    </w:p>
    <w:p>
      <w:pPr>
        <w:pStyle w:val="TOC8"/>
        <w:rPr>
          <w:rFonts w:asciiTheme="minorHAnsi" w:eastAsiaTheme="minorEastAsia" w:hAnsiTheme="minorHAnsi" w:cstheme="minorBidi"/>
          <w:szCs w:val="22"/>
        </w:rPr>
      </w:pPr>
      <w:r>
        <w:t>182ZU.</w:t>
      </w:r>
      <w:r>
        <w:tab/>
        <w:t>Acceptance of application by Registrar</w:t>
      </w:r>
      <w:r>
        <w:tab/>
      </w:r>
      <w:r>
        <w:fldChar w:fldCharType="begin"/>
      </w:r>
      <w:r>
        <w:instrText xml:space="preserve"> PAGEREF _Toc131514659 \h </w:instrText>
      </w:r>
      <w:r>
        <w:fldChar w:fldCharType="separate"/>
      </w:r>
      <w:r>
        <w:t>295</w:t>
      </w:r>
      <w:r>
        <w:fldChar w:fldCharType="end"/>
      </w:r>
    </w:p>
    <w:p>
      <w:pPr>
        <w:pStyle w:val="TOC8"/>
        <w:rPr>
          <w:rFonts w:asciiTheme="minorHAnsi" w:eastAsiaTheme="minorEastAsia" w:hAnsiTheme="minorHAnsi" w:cstheme="minorBidi"/>
          <w:szCs w:val="22"/>
        </w:rPr>
      </w:pPr>
      <w:r>
        <w:t>182ZV.</w:t>
      </w:r>
      <w:r>
        <w:tab/>
        <w:t>Registrar to allocate dispute</w:t>
      </w:r>
      <w:r>
        <w:tab/>
      </w:r>
      <w:r>
        <w:fldChar w:fldCharType="begin"/>
      </w:r>
      <w:r>
        <w:instrText xml:space="preserve"> PAGEREF _Toc131514660 \h </w:instrText>
      </w:r>
      <w:r>
        <w:fldChar w:fldCharType="separate"/>
      </w:r>
      <w:r>
        <w:t>295</w:t>
      </w:r>
      <w:r>
        <w:fldChar w:fldCharType="end"/>
      </w:r>
    </w:p>
    <w:p>
      <w:pPr>
        <w:pStyle w:val="TOC8"/>
        <w:rPr>
          <w:rFonts w:asciiTheme="minorHAnsi" w:eastAsiaTheme="minorEastAsia" w:hAnsiTheme="minorHAnsi" w:cstheme="minorBidi"/>
          <w:szCs w:val="22"/>
        </w:rPr>
      </w:pPr>
      <w:r>
        <w:t>182.</w:t>
      </w:r>
      <w:r>
        <w:tab/>
        <w:t>Who is to be given a copy of an application</w:t>
      </w:r>
      <w:r>
        <w:tab/>
      </w:r>
      <w:r>
        <w:fldChar w:fldCharType="begin"/>
      </w:r>
      <w:r>
        <w:instrText xml:space="preserve"> PAGEREF _Toc131514661 \h </w:instrText>
      </w:r>
      <w:r>
        <w:fldChar w:fldCharType="separate"/>
      </w:r>
      <w:r>
        <w:t>296</w:t>
      </w:r>
      <w:r>
        <w:fldChar w:fldCharType="end"/>
      </w:r>
    </w:p>
    <w:p>
      <w:pPr>
        <w:pStyle w:val="TOC8"/>
        <w:rPr>
          <w:rFonts w:asciiTheme="minorHAnsi" w:eastAsiaTheme="minorEastAsia" w:hAnsiTheme="minorHAnsi" w:cstheme="minorBidi"/>
          <w:szCs w:val="22"/>
        </w:rPr>
      </w:pPr>
      <w:r>
        <w:t>183.</w:t>
      </w:r>
      <w:r>
        <w:tab/>
        <w:t>Information exchange by parties</w:t>
      </w:r>
      <w:r>
        <w:tab/>
      </w:r>
      <w:r>
        <w:fldChar w:fldCharType="begin"/>
      </w:r>
      <w:r>
        <w:instrText xml:space="preserve"> PAGEREF _Toc131514662 \h </w:instrText>
      </w:r>
      <w:r>
        <w:fldChar w:fldCharType="separate"/>
      </w:r>
      <w:r>
        <w:t>296</w:t>
      </w:r>
      <w:r>
        <w:fldChar w:fldCharType="end"/>
      </w:r>
    </w:p>
    <w:p>
      <w:pPr>
        <w:pStyle w:val="TOC8"/>
        <w:rPr>
          <w:rFonts w:asciiTheme="minorHAnsi" w:eastAsiaTheme="minorEastAsia" w:hAnsiTheme="minorHAnsi" w:cstheme="minorBidi"/>
          <w:szCs w:val="22"/>
        </w:rPr>
      </w:pPr>
      <w:r>
        <w:t>185.</w:t>
      </w:r>
      <w:r>
        <w:tab/>
        <w:t>Duties of arbitrators</w:t>
      </w:r>
      <w:r>
        <w:tab/>
      </w:r>
      <w:r>
        <w:fldChar w:fldCharType="begin"/>
      </w:r>
      <w:r>
        <w:instrText xml:space="preserve"> PAGEREF _Toc131514663 \h </w:instrText>
      </w:r>
      <w:r>
        <w:fldChar w:fldCharType="separate"/>
      </w:r>
      <w:r>
        <w:t>298</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Practice and procedure</w:t>
      </w:r>
    </w:p>
    <w:p>
      <w:pPr>
        <w:pStyle w:val="TOC8"/>
        <w:rPr>
          <w:rFonts w:asciiTheme="minorHAnsi" w:eastAsiaTheme="minorEastAsia" w:hAnsiTheme="minorHAnsi" w:cstheme="minorBidi"/>
          <w:szCs w:val="22"/>
        </w:rPr>
      </w:pPr>
      <w:r>
        <w:t>188.</w:t>
      </w:r>
      <w:r>
        <w:tab/>
        <w:t>Practice and procedure, generally</w:t>
      </w:r>
      <w:r>
        <w:tab/>
      </w:r>
      <w:r>
        <w:fldChar w:fldCharType="begin"/>
      </w:r>
      <w:r>
        <w:instrText xml:space="preserve"> PAGEREF _Toc131514665 \h </w:instrText>
      </w:r>
      <w:r>
        <w:fldChar w:fldCharType="separate"/>
      </w:r>
      <w:r>
        <w:t>299</w:t>
      </w:r>
      <w:r>
        <w:fldChar w:fldCharType="end"/>
      </w:r>
    </w:p>
    <w:p>
      <w:pPr>
        <w:pStyle w:val="TOC8"/>
        <w:rPr>
          <w:rFonts w:asciiTheme="minorHAnsi" w:eastAsiaTheme="minorEastAsia" w:hAnsiTheme="minorHAnsi" w:cstheme="minorBidi"/>
          <w:szCs w:val="22"/>
        </w:rPr>
      </w:pPr>
      <w:r>
        <w:t>189.</w:t>
      </w:r>
      <w:r>
        <w:tab/>
        <w:t>Relief or redress granted need not be restricted to claim</w:t>
      </w:r>
      <w:r>
        <w:tab/>
      </w:r>
      <w:r>
        <w:fldChar w:fldCharType="begin"/>
      </w:r>
      <w:r>
        <w:instrText xml:space="preserve"> PAGEREF _Toc131514666 \h </w:instrText>
      </w:r>
      <w:r>
        <w:fldChar w:fldCharType="separate"/>
      </w:r>
      <w:r>
        <w:t>300</w:t>
      </w:r>
      <w:r>
        <w:fldChar w:fldCharType="end"/>
      </w:r>
    </w:p>
    <w:p>
      <w:pPr>
        <w:pStyle w:val="TOC8"/>
        <w:rPr>
          <w:rFonts w:asciiTheme="minorHAnsi" w:eastAsiaTheme="minorEastAsia" w:hAnsiTheme="minorHAnsi" w:cstheme="minorBidi"/>
          <w:szCs w:val="22"/>
        </w:rPr>
      </w:pPr>
      <w:r>
        <w:t>190.</w:t>
      </w:r>
      <w:r>
        <w:tab/>
        <w:t>Directions by arbitrator</w:t>
      </w:r>
      <w:r>
        <w:tab/>
      </w:r>
      <w:r>
        <w:fldChar w:fldCharType="begin"/>
      </w:r>
      <w:r>
        <w:instrText xml:space="preserve"> PAGEREF _Toc131514667 \h </w:instrText>
      </w:r>
      <w:r>
        <w:fldChar w:fldCharType="separate"/>
      </w:r>
      <w:r>
        <w:t>300</w:t>
      </w:r>
      <w:r>
        <w:fldChar w:fldCharType="end"/>
      </w:r>
    </w:p>
    <w:p>
      <w:pPr>
        <w:pStyle w:val="TOC8"/>
        <w:rPr>
          <w:rFonts w:asciiTheme="minorHAnsi" w:eastAsiaTheme="minorEastAsia" w:hAnsiTheme="minorHAnsi" w:cstheme="minorBidi"/>
          <w:szCs w:val="22"/>
        </w:rPr>
      </w:pPr>
      <w:r>
        <w:t>191.</w:t>
      </w:r>
      <w:r>
        <w:tab/>
        <w:t>Dependants of workers, proof as to</w:t>
      </w:r>
      <w:r>
        <w:tab/>
      </w:r>
      <w:r>
        <w:fldChar w:fldCharType="begin"/>
      </w:r>
      <w:r>
        <w:instrText xml:space="preserve"> PAGEREF _Toc131514668 \h </w:instrText>
      </w:r>
      <w:r>
        <w:fldChar w:fldCharType="separate"/>
      </w:r>
      <w:r>
        <w:t>300</w:t>
      </w:r>
      <w:r>
        <w:fldChar w:fldCharType="end"/>
      </w:r>
    </w:p>
    <w:p>
      <w:pPr>
        <w:pStyle w:val="TOC8"/>
        <w:rPr>
          <w:rFonts w:asciiTheme="minorHAnsi" w:eastAsiaTheme="minorEastAsia" w:hAnsiTheme="minorHAnsi" w:cstheme="minorBidi"/>
          <w:szCs w:val="22"/>
        </w:rPr>
      </w:pPr>
      <w:r>
        <w:t>192.</w:t>
      </w:r>
      <w:r>
        <w:tab/>
        <w:t>Illegal contracts of employment may be treated as valid</w:t>
      </w:r>
      <w:r>
        <w:tab/>
      </w:r>
      <w:r>
        <w:fldChar w:fldCharType="begin"/>
      </w:r>
      <w:r>
        <w:instrText xml:space="preserve"> PAGEREF _Toc131514669 \h </w:instrText>
      </w:r>
      <w:r>
        <w:fldChar w:fldCharType="separate"/>
      </w:r>
      <w:r>
        <w:t>301</w:t>
      </w:r>
      <w:r>
        <w:fldChar w:fldCharType="end"/>
      </w:r>
    </w:p>
    <w:p>
      <w:pPr>
        <w:pStyle w:val="TOC8"/>
        <w:rPr>
          <w:rFonts w:asciiTheme="minorHAnsi" w:eastAsiaTheme="minorEastAsia" w:hAnsiTheme="minorHAnsi" w:cstheme="minorBidi"/>
          <w:szCs w:val="22"/>
        </w:rPr>
      </w:pPr>
      <w:r>
        <w:t>193.</w:t>
      </w:r>
      <w:r>
        <w:tab/>
        <w:t>Arbitrator’s powers to obtain information</w:t>
      </w:r>
      <w:r>
        <w:tab/>
      </w:r>
      <w:r>
        <w:fldChar w:fldCharType="begin"/>
      </w:r>
      <w:r>
        <w:instrText xml:space="preserve"> PAGEREF _Toc131514670 \h </w:instrText>
      </w:r>
      <w:r>
        <w:fldChar w:fldCharType="separate"/>
      </w:r>
      <w:r>
        <w:t>301</w:t>
      </w:r>
      <w:r>
        <w:fldChar w:fldCharType="end"/>
      </w:r>
    </w:p>
    <w:p>
      <w:pPr>
        <w:pStyle w:val="TOC8"/>
        <w:rPr>
          <w:rFonts w:asciiTheme="minorHAnsi" w:eastAsiaTheme="minorEastAsia" w:hAnsiTheme="minorHAnsi" w:cstheme="minorBidi"/>
          <w:szCs w:val="22"/>
        </w:rPr>
      </w:pPr>
      <w:r>
        <w:t>194.</w:t>
      </w:r>
      <w:r>
        <w:tab/>
        <w:t>Arbitrator may give information etc. to and restrict disclosure by other party or medical practitioner</w:t>
      </w:r>
      <w:r>
        <w:tab/>
      </w:r>
      <w:r>
        <w:fldChar w:fldCharType="begin"/>
      </w:r>
      <w:r>
        <w:instrText xml:space="preserve"> PAGEREF _Toc131514671 \h </w:instrText>
      </w:r>
      <w:r>
        <w:fldChar w:fldCharType="separate"/>
      </w:r>
      <w:r>
        <w:t>302</w:t>
      </w:r>
      <w:r>
        <w:fldChar w:fldCharType="end"/>
      </w:r>
    </w:p>
    <w:p>
      <w:pPr>
        <w:pStyle w:val="TOC8"/>
        <w:rPr>
          <w:rFonts w:asciiTheme="minorHAnsi" w:eastAsiaTheme="minorEastAsia" w:hAnsiTheme="minorHAnsi" w:cstheme="minorBidi"/>
          <w:szCs w:val="22"/>
        </w:rPr>
      </w:pPr>
      <w:r>
        <w:t>195.</w:t>
      </w:r>
      <w:r>
        <w:tab/>
        <w:t>Representation</w:t>
      </w:r>
      <w:r>
        <w:tab/>
      </w:r>
      <w:r>
        <w:fldChar w:fldCharType="begin"/>
      </w:r>
      <w:r>
        <w:instrText xml:space="preserve"> PAGEREF _Toc131514672 \h </w:instrText>
      </w:r>
      <w:r>
        <w:fldChar w:fldCharType="separate"/>
      </w:r>
      <w:r>
        <w:t>303</w:t>
      </w:r>
      <w:r>
        <w:fldChar w:fldCharType="end"/>
      </w:r>
    </w:p>
    <w:p>
      <w:pPr>
        <w:pStyle w:val="TOC8"/>
        <w:rPr>
          <w:rFonts w:asciiTheme="minorHAnsi" w:eastAsiaTheme="minorEastAsia" w:hAnsiTheme="minorHAnsi" w:cstheme="minorBidi"/>
          <w:szCs w:val="22"/>
        </w:rPr>
      </w:pPr>
      <w:r>
        <w:t>196.</w:t>
      </w:r>
      <w:r>
        <w:tab/>
        <w:t>Litigation guardians, rules about</w:t>
      </w:r>
      <w:r>
        <w:tab/>
      </w:r>
      <w:r>
        <w:fldChar w:fldCharType="begin"/>
      </w:r>
      <w:r>
        <w:instrText xml:space="preserve"> PAGEREF _Toc131514673 \h </w:instrText>
      </w:r>
      <w:r>
        <w:fldChar w:fldCharType="separate"/>
      </w:r>
      <w:r>
        <w:t>304</w:t>
      </w:r>
      <w:r>
        <w:fldChar w:fldCharType="end"/>
      </w:r>
    </w:p>
    <w:p>
      <w:pPr>
        <w:pStyle w:val="TOC8"/>
        <w:rPr>
          <w:rFonts w:asciiTheme="minorHAnsi" w:eastAsiaTheme="minorEastAsia" w:hAnsiTheme="minorHAnsi" w:cstheme="minorBidi"/>
          <w:szCs w:val="22"/>
        </w:rPr>
      </w:pPr>
      <w:r>
        <w:t>197.</w:t>
      </w:r>
      <w:r>
        <w:tab/>
        <w:t>Interpreters and assistants</w:t>
      </w:r>
      <w:r>
        <w:tab/>
      </w:r>
      <w:r>
        <w:fldChar w:fldCharType="begin"/>
      </w:r>
      <w:r>
        <w:instrText xml:space="preserve"> PAGEREF _Toc131514674 \h </w:instrText>
      </w:r>
      <w:r>
        <w:fldChar w:fldCharType="separate"/>
      </w:r>
      <w:r>
        <w:t>304</w:t>
      </w:r>
      <w:r>
        <w:fldChar w:fldCharType="end"/>
      </w:r>
    </w:p>
    <w:p>
      <w:pPr>
        <w:pStyle w:val="TOC8"/>
        <w:rPr>
          <w:rFonts w:asciiTheme="minorHAnsi" w:eastAsiaTheme="minorEastAsia" w:hAnsiTheme="minorHAnsi" w:cstheme="minorBidi"/>
          <w:szCs w:val="22"/>
        </w:rPr>
      </w:pPr>
      <w:r>
        <w:t>198.</w:t>
      </w:r>
      <w:r>
        <w:tab/>
        <w:t>Ways of conducting arbitration proceedings</w:t>
      </w:r>
      <w:r>
        <w:tab/>
      </w:r>
      <w:r>
        <w:fldChar w:fldCharType="begin"/>
      </w:r>
      <w:r>
        <w:instrText xml:space="preserve"> PAGEREF _Toc131514675 \h </w:instrText>
      </w:r>
      <w:r>
        <w:fldChar w:fldCharType="separate"/>
      </w:r>
      <w:r>
        <w:t>304</w:t>
      </w:r>
      <w:r>
        <w:fldChar w:fldCharType="end"/>
      </w:r>
    </w:p>
    <w:p>
      <w:pPr>
        <w:pStyle w:val="TOC8"/>
        <w:rPr>
          <w:rFonts w:asciiTheme="minorHAnsi" w:eastAsiaTheme="minorEastAsia" w:hAnsiTheme="minorHAnsi" w:cstheme="minorBidi"/>
          <w:szCs w:val="22"/>
        </w:rPr>
      </w:pPr>
      <w:r>
        <w:t>199.</w:t>
      </w:r>
      <w:r>
        <w:tab/>
        <w:t>Hearings to be in private</w:t>
      </w:r>
      <w:r>
        <w:tab/>
      </w:r>
      <w:r>
        <w:fldChar w:fldCharType="begin"/>
      </w:r>
      <w:r>
        <w:instrText xml:space="preserve"> PAGEREF _Toc131514676 \h </w:instrText>
      </w:r>
      <w:r>
        <w:fldChar w:fldCharType="separate"/>
      </w:r>
      <w:r>
        <w:t>305</w:t>
      </w:r>
      <w:r>
        <w:fldChar w:fldCharType="end"/>
      </w:r>
    </w:p>
    <w:p>
      <w:pPr>
        <w:pStyle w:val="TOC8"/>
        <w:rPr>
          <w:rFonts w:asciiTheme="minorHAnsi" w:eastAsiaTheme="minorEastAsia" w:hAnsiTheme="minorHAnsi" w:cstheme="minorBidi"/>
          <w:szCs w:val="22"/>
        </w:rPr>
      </w:pPr>
      <w:r>
        <w:t>200.</w:t>
      </w:r>
      <w:r>
        <w:tab/>
        <w:t>Hearings, notice of and failure to attend</w:t>
      </w:r>
      <w:r>
        <w:tab/>
      </w:r>
      <w:r>
        <w:fldChar w:fldCharType="begin"/>
      </w:r>
      <w:r>
        <w:instrText xml:space="preserve"> PAGEREF _Toc131514677 \h </w:instrText>
      </w:r>
      <w:r>
        <w:fldChar w:fldCharType="separate"/>
      </w:r>
      <w:r>
        <w:t>306</w:t>
      </w:r>
      <w:r>
        <w:fldChar w:fldCharType="end"/>
      </w:r>
    </w:p>
    <w:p>
      <w:pPr>
        <w:pStyle w:val="TOC8"/>
        <w:rPr>
          <w:rFonts w:asciiTheme="minorHAnsi" w:eastAsiaTheme="minorEastAsia" w:hAnsiTheme="minorHAnsi" w:cstheme="minorBidi"/>
          <w:szCs w:val="22"/>
        </w:rPr>
      </w:pPr>
      <w:r>
        <w:t>201.</w:t>
      </w:r>
      <w:r>
        <w:tab/>
        <w:t>Experts, use of by arbitrators</w:t>
      </w:r>
      <w:r>
        <w:tab/>
      </w:r>
      <w:r>
        <w:fldChar w:fldCharType="begin"/>
      </w:r>
      <w:r>
        <w:instrText xml:space="preserve"> PAGEREF _Toc131514678 \h </w:instrText>
      </w:r>
      <w:r>
        <w:fldChar w:fldCharType="separate"/>
      </w:r>
      <w:r>
        <w:t>306</w:t>
      </w:r>
      <w:r>
        <w:fldChar w:fldCharType="end"/>
      </w:r>
    </w:p>
    <w:p>
      <w:pPr>
        <w:pStyle w:val="TOC8"/>
        <w:rPr>
          <w:rFonts w:asciiTheme="minorHAnsi" w:eastAsiaTheme="minorEastAsia" w:hAnsiTheme="minorHAnsi" w:cstheme="minorBidi"/>
          <w:szCs w:val="22"/>
        </w:rPr>
      </w:pPr>
      <w:r>
        <w:t>202.</w:t>
      </w:r>
      <w:r>
        <w:tab/>
        <w:t>Summoning witnesses</w:t>
      </w:r>
      <w:r>
        <w:tab/>
      </w:r>
      <w:r>
        <w:fldChar w:fldCharType="begin"/>
      </w:r>
      <w:r>
        <w:instrText xml:space="preserve"> PAGEREF _Toc131514679 \h </w:instrText>
      </w:r>
      <w:r>
        <w:fldChar w:fldCharType="separate"/>
      </w:r>
      <w:r>
        <w:t>306</w:t>
      </w:r>
      <w:r>
        <w:fldChar w:fldCharType="end"/>
      </w:r>
    </w:p>
    <w:p>
      <w:pPr>
        <w:pStyle w:val="TOC8"/>
        <w:rPr>
          <w:rFonts w:asciiTheme="minorHAnsi" w:eastAsiaTheme="minorEastAsia" w:hAnsiTheme="minorHAnsi" w:cstheme="minorBidi"/>
          <w:szCs w:val="22"/>
        </w:rPr>
      </w:pPr>
      <w:r>
        <w:t>203.</w:t>
      </w:r>
      <w:r>
        <w:tab/>
        <w:t>Arbitrator’s powers as to witnesses</w:t>
      </w:r>
      <w:r>
        <w:tab/>
      </w:r>
      <w:r>
        <w:fldChar w:fldCharType="begin"/>
      </w:r>
      <w:r>
        <w:instrText xml:space="preserve"> PAGEREF _Toc131514680 \h </w:instrText>
      </w:r>
      <w:r>
        <w:fldChar w:fldCharType="separate"/>
      </w:r>
      <w:r>
        <w:t>306</w:t>
      </w:r>
      <w:r>
        <w:fldChar w:fldCharType="end"/>
      </w:r>
    </w:p>
    <w:p>
      <w:pPr>
        <w:pStyle w:val="TOC8"/>
        <w:rPr>
          <w:rFonts w:asciiTheme="minorHAnsi" w:eastAsiaTheme="minorEastAsia" w:hAnsiTheme="minorHAnsi" w:cstheme="minorBidi"/>
          <w:szCs w:val="22"/>
        </w:rPr>
      </w:pPr>
      <w:r>
        <w:t>204A.</w:t>
      </w:r>
      <w:r>
        <w:tab/>
        <w:t>Communication between worker and WorkCover WA employee not admissible</w:t>
      </w:r>
      <w:r>
        <w:tab/>
      </w:r>
      <w:r>
        <w:fldChar w:fldCharType="begin"/>
      </w:r>
      <w:r>
        <w:instrText xml:space="preserve"> PAGEREF _Toc131514681 \h </w:instrText>
      </w:r>
      <w:r>
        <w:fldChar w:fldCharType="separate"/>
      </w:r>
      <w:r>
        <w:t>307</w:t>
      </w:r>
      <w:r>
        <w:fldChar w:fldCharType="end"/>
      </w:r>
    </w:p>
    <w:p>
      <w:pPr>
        <w:pStyle w:val="TOC8"/>
        <w:rPr>
          <w:rFonts w:asciiTheme="minorHAnsi" w:eastAsiaTheme="minorEastAsia" w:hAnsiTheme="minorHAnsi" w:cstheme="minorBidi"/>
          <w:szCs w:val="22"/>
        </w:rPr>
      </w:pPr>
      <w:r>
        <w:t>204.</w:t>
      </w:r>
      <w:r>
        <w:tab/>
        <w:t>Privilege against self</w:t>
      </w:r>
      <w:r>
        <w:noBreakHyphen/>
        <w:t>incrimination</w:t>
      </w:r>
      <w:r>
        <w:tab/>
      </w:r>
      <w:r>
        <w:fldChar w:fldCharType="begin"/>
      </w:r>
      <w:r>
        <w:instrText xml:space="preserve"> PAGEREF _Toc131514682 \h </w:instrText>
      </w:r>
      <w:r>
        <w:fldChar w:fldCharType="separate"/>
      </w:r>
      <w:r>
        <w:t>307</w:t>
      </w:r>
      <w:r>
        <w:fldChar w:fldCharType="end"/>
      </w:r>
    </w:p>
    <w:p>
      <w:pPr>
        <w:pStyle w:val="TOC8"/>
        <w:rPr>
          <w:rFonts w:asciiTheme="minorHAnsi" w:eastAsiaTheme="minorEastAsia" w:hAnsiTheme="minorHAnsi" w:cstheme="minorBidi"/>
          <w:szCs w:val="22"/>
        </w:rPr>
      </w:pPr>
      <w:r>
        <w:t>205.</w:t>
      </w:r>
      <w:r>
        <w:tab/>
        <w:t>Legal professional privilege in relation to medical reports</w:t>
      </w:r>
      <w:r>
        <w:tab/>
      </w:r>
      <w:r>
        <w:fldChar w:fldCharType="begin"/>
      </w:r>
      <w:r>
        <w:instrText xml:space="preserve"> PAGEREF _Toc131514683 \h </w:instrText>
      </w:r>
      <w:r>
        <w:fldChar w:fldCharType="separate"/>
      </w:r>
      <w:r>
        <w:t>308</w:t>
      </w:r>
      <w:r>
        <w:fldChar w:fldCharType="end"/>
      </w:r>
    </w:p>
    <w:p>
      <w:pPr>
        <w:pStyle w:val="TOC8"/>
        <w:rPr>
          <w:rFonts w:asciiTheme="minorHAnsi" w:eastAsiaTheme="minorEastAsia" w:hAnsiTheme="minorHAnsi" w:cstheme="minorBidi"/>
          <w:szCs w:val="22"/>
        </w:rPr>
      </w:pPr>
      <w:r>
        <w:t>206.</w:t>
      </w:r>
      <w:r>
        <w:tab/>
        <w:t>Other claims of privilege</w:t>
      </w:r>
      <w:r>
        <w:tab/>
      </w:r>
      <w:r>
        <w:fldChar w:fldCharType="begin"/>
      </w:r>
      <w:r>
        <w:instrText xml:space="preserve"> PAGEREF _Toc131514684 \h </w:instrText>
      </w:r>
      <w:r>
        <w:fldChar w:fldCharType="separate"/>
      </w:r>
      <w:r>
        <w:t>309</w:t>
      </w:r>
      <w:r>
        <w:fldChar w:fldCharType="end"/>
      </w:r>
    </w:p>
    <w:p>
      <w:pPr>
        <w:pStyle w:val="TOC8"/>
        <w:rPr>
          <w:rFonts w:asciiTheme="minorHAnsi" w:eastAsiaTheme="minorEastAsia" w:hAnsiTheme="minorHAnsi" w:cstheme="minorBidi"/>
          <w:szCs w:val="22"/>
        </w:rPr>
      </w:pPr>
      <w:r>
        <w:t>207.</w:t>
      </w:r>
      <w:r>
        <w:tab/>
        <w:t>Oaths and affirmations</w:t>
      </w:r>
      <w:r>
        <w:tab/>
      </w:r>
      <w:r>
        <w:fldChar w:fldCharType="begin"/>
      </w:r>
      <w:r>
        <w:instrText xml:space="preserve"> PAGEREF _Toc131514685 \h </w:instrText>
      </w:r>
      <w:r>
        <w:fldChar w:fldCharType="separate"/>
      </w:r>
      <w:r>
        <w:t>309</w:t>
      </w:r>
      <w:r>
        <w:fldChar w:fldCharType="end"/>
      </w:r>
    </w:p>
    <w:p>
      <w:pPr>
        <w:pStyle w:val="TOC8"/>
        <w:rPr>
          <w:rFonts w:asciiTheme="minorHAnsi" w:eastAsiaTheme="minorEastAsia" w:hAnsiTheme="minorHAnsi" w:cstheme="minorBidi"/>
          <w:szCs w:val="22"/>
        </w:rPr>
      </w:pPr>
      <w:r>
        <w:t>208.</w:t>
      </w:r>
      <w:r>
        <w:tab/>
        <w:t>Arbitrator may authorise another to take evidence</w:t>
      </w:r>
      <w:r>
        <w:tab/>
      </w:r>
      <w:r>
        <w:fldChar w:fldCharType="begin"/>
      </w:r>
      <w:r>
        <w:instrText xml:space="preserve"> PAGEREF _Toc131514686 \h </w:instrText>
      </w:r>
      <w:r>
        <w:fldChar w:fldCharType="separate"/>
      </w:r>
      <w:r>
        <w:t>309</w:t>
      </w:r>
      <w:r>
        <w:fldChar w:fldCharType="end"/>
      </w:r>
    </w:p>
    <w:p>
      <w:pPr>
        <w:pStyle w:val="TOC8"/>
        <w:rPr>
          <w:rFonts w:asciiTheme="minorHAnsi" w:eastAsiaTheme="minorEastAsia" w:hAnsiTheme="minorHAnsi" w:cstheme="minorBidi"/>
          <w:szCs w:val="22"/>
        </w:rPr>
      </w:pPr>
      <w:r>
        <w:t>209.</w:t>
      </w:r>
      <w:r>
        <w:tab/>
        <w:t>Things produced, use of etc. by arbitrator</w:t>
      </w:r>
      <w:r>
        <w:tab/>
      </w:r>
      <w:r>
        <w:fldChar w:fldCharType="begin"/>
      </w:r>
      <w:r>
        <w:instrText xml:space="preserve"> PAGEREF _Toc131514687 \h </w:instrText>
      </w:r>
      <w:r>
        <w:fldChar w:fldCharType="separate"/>
      </w:r>
      <w:r>
        <w:t>310</w:t>
      </w:r>
      <w:r>
        <w:fldChar w:fldCharType="end"/>
      </w:r>
    </w:p>
    <w:p>
      <w:pPr>
        <w:pStyle w:val="TOC8"/>
        <w:rPr>
          <w:rFonts w:asciiTheme="minorHAnsi" w:eastAsiaTheme="minorEastAsia" w:hAnsiTheme="minorHAnsi" w:cstheme="minorBidi"/>
          <w:szCs w:val="22"/>
        </w:rPr>
      </w:pPr>
      <w:r>
        <w:t>210.</w:t>
      </w:r>
      <w:r>
        <w:tab/>
        <w:t>Medical dispute may be referred to medical assessment panel</w:t>
      </w:r>
      <w:r>
        <w:tab/>
      </w:r>
      <w:r>
        <w:fldChar w:fldCharType="begin"/>
      </w:r>
      <w:r>
        <w:instrText xml:space="preserve"> PAGEREF _Toc131514688 \h </w:instrText>
      </w:r>
      <w:r>
        <w:fldChar w:fldCharType="separate"/>
      </w:r>
      <w:r>
        <w:t>310</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4 — Decisions</w:t>
      </w:r>
    </w:p>
    <w:p>
      <w:pPr>
        <w:pStyle w:val="TOC8"/>
        <w:rPr>
          <w:rFonts w:asciiTheme="minorHAnsi" w:eastAsiaTheme="minorEastAsia" w:hAnsiTheme="minorHAnsi" w:cstheme="minorBidi"/>
          <w:szCs w:val="22"/>
        </w:rPr>
      </w:pPr>
      <w:r>
        <w:t>211.</w:t>
      </w:r>
      <w:r>
        <w:tab/>
        <w:t>Decisions generally</w:t>
      </w:r>
      <w:r>
        <w:tab/>
      </w:r>
      <w:r>
        <w:fldChar w:fldCharType="begin"/>
      </w:r>
      <w:r>
        <w:instrText xml:space="preserve"> PAGEREF _Toc131514690 \h </w:instrText>
      </w:r>
      <w:r>
        <w:fldChar w:fldCharType="separate"/>
      </w:r>
      <w:r>
        <w:t>311</w:t>
      </w:r>
      <w:r>
        <w:fldChar w:fldCharType="end"/>
      </w:r>
    </w:p>
    <w:p>
      <w:pPr>
        <w:pStyle w:val="TOC8"/>
        <w:rPr>
          <w:rFonts w:asciiTheme="minorHAnsi" w:eastAsiaTheme="minorEastAsia" w:hAnsiTheme="minorHAnsi" w:cstheme="minorBidi"/>
          <w:szCs w:val="22"/>
        </w:rPr>
      </w:pPr>
      <w:r>
        <w:t>212.</w:t>
      </w:r>
      <w:r>
        <w:tab/>
        <w:t>Conditional and ancillary orders and directions</w:t>
      </w:r>
      <w:r>
        <w:tab/>
      </w:r>
      <w:r>
        <w:fldChar w:fldCharType="begin"/>
      </w:r>
      <w:r>
        <w:instrText xml:space="preserve"> PAGEREF _Toc131514691 \h </w:instrText>
      </w:r>
      <w:r>
        <w:fldChar w:fldCharType="separate"/>
      </w:r>
      <w:r>
        <w:t>311</w:t>
      </w:r>
      <w:r>
        <w:fldChar w:fldCharType="end"/>
      </w:r>
    </w:p>
    <w:p>
      <w:pPr>
        <w:pStyle w:val="TOC8"/>
        <w:rPr>
          <w:rFonts w:asciiTheme="minorHAnsi" w:eastAsiaTheme="minorEastAsia" w:hAnsiTheme="minorHAnsi" w:cstheme="minorBidi"/>
          <w:szCs w:val="22"/>
        </w:rPr>
      </w:pPr>
      <w:r>
        <w:t>213.</w:t>
      </w:r>
      <w:r>
        <w:tab/>
        <w:t>Decisions and reasons, form and content of</w:t>
      </w:r>
      <w:r>
        <w:tab/>
      </w:r>
      <w:r>
        <w:fldChar w:fldCharType="begin"/>
      </w:r>
      <w:r>
        <w:instrText xml:space="preserve"> PAGEREF _Toc131514692 \h </w:instrText>
      </w:r>
      <w:r>
        <w:fldChar w:fldCharType="separate"/>
      </w:r>
      <w:r>
        <w:t>312</w:t>
      </w:r>
      <w:r>
        <w:fldChar w:fldCharType="end"/>
      </w:r>
    </w:p>
    <w:p>
      <w:pPr>
        <w:pStyle w:val="TOC8"/>
        <w:rPr>
          <w:rFonts w:asciiTheme="minorHAnsi" w:eastAsiaTheme="minorEastAsia" w:hAnsiTheme="minorHAnsi" w:cstheme="minorBidi"/>
          <w:szCs w:val="22"/>
        </w:rPr>
      </w:pPr>
      <w:r>
        <w:t>214.</w:t>
      </w:r>
      <w:r>
        <w:tab/>
        <w:t>Validity of decision not affected by contravention of this Subdivision</w:t>
      </w:r>
      <w:r>
        <w:tab/>
      </w:r>
      <w:r>
        <w:fldChar w:fldCharType="begin"/>
      </w:r>
      <w:r>
        <w:instrText xml:space="preserve"> PAGEREF _Toc131514693 \h </w:instrText>
      </w:r>
      <w:r>
        <w:fldChar w:fldCharType="separate"/>
      </w:r>
      <w:r>
        <w:t>313</w:t>
      </w:r>
      <w:r>
        <w:fldChar w:fldCharType="end"/>
      </w:r>
    </w:p>
    <w:p>
      <w:pPr>
        <w:pStyle w:val="TOC8"/>
        <w:rPr>
          <w:rFonts w:asciiTheme="minorHAnsi" w:eastAsiaTheme="minorEastAsia" w:hAnsiTheme="minorHAnsi" w:cstheme="minorBidi"/>
          <w:szCs w:val="22"/>
        </w:rPr>
      </w:pPr>
      <w:r>
        <w:t>215.</w:t>
      </w:r>
      <w:r>
        <w:tab/>
        <w:t>When decision has effect</w:t>
      </w:r>
      <w:r>
        <w:tab/>
      </w:r>
      <w:r>
        <w:fldChar w:fldCharType="begin"/>
      </w:r>
      <w:r>
        <w:instrText xml:space="preserve"> PAGEREF _Toc131514694 \h </w:instrText>
      </w:r>
      <w:r>
        <w:fldChar w:fldCharType="separate"/>
      </w:r>
      <w:r>
        <w:t>313</w:t>
      </w:r>
      <w:r>
        <w:fldChar w:fldCharType="end"/>
      </w:r>
    </w:p>
    <w:p>
      <w:pPr>
        <w:pStyle w:val="TOC8"/>
        <w:rPr>
          <w:rFonts w:asciiTheme="minorHAnsi" w:eastAsiaTheme="minorEastAsia" w:hAnsiTheme="minorHAnsi" w:cstheme="minorBidi"/>
          <w:szCs w:val="22"/>
        </w:rPr>
      </w:pPr>
      <w:r>
        <w:t>216.</w:t>
      </w:r>
      <w:r>
        <w:tab/>
        <w:t>Correcting mistakes</w:t>
      </w:r>
      <w:r>
        <w:tab/>
      </w:r>
      <w:r>
        <w:fldChar w:fldCharType="begin"/>
      </w:r>
      <w:r>
        <w:instrText xml:space="preserve"> PAGEREF _Toc131514695 \h </w:instrText>
      </w:r>
      <w:r>
        <w:fldChar w:fldCharType="separate"/>
      </w:r>
      <w:r>
        <w:t>313</w:t>
      </w:r>
      <w:r>
        <w:fldChar w:fldCharType="end"/>
      </w:r>
    </w:p>
    <w:p>
      <w:pPr>
        <w:pStyle w:val="TOC8"/>
        <w:rPr>
          <w:rFonts w:asciiTheme="minorHAnsi" w:eastAsiaTheme="minorEastAsia" w:hAnsiTheme="minorHAnsi" w:cstheme="minorBidi"/>
          <w:szCs w:val="22"/>
        </w:rPr>
      </w:pPr>
      <w:r>
        <w:t>217A.</w:t>
      </w:r>
      <w:r>
        <w:tab/>
        <w:t>Arbitrator may reconsider decision if new information</w:t>
      </w:r>
      <w:r>
        <w:tab/>
      </w:r>
      <w:r>
        <w:fldChar w:fldCharType="begin"/>
      </w:r>
      <w:r>
        <w:instrText xml:space="preserve"> PAGEREF _Toc131514696 \h </w:instrText>
      </w:r>
      <w:r>
        <w:fldChar w:fldCharType="separate"/>
      </w:r>
      <w:r>
        <w:t>314</w:t>
      </w:r>
      <w:r>
        <w:fldChar w:fldCharType="end"/>
      </w:r>
    </w:p>
    <w:p>
      <w:pPr>
        <w:pStyle w:val="TOC8"/>
        <w:rPr>
          <w:rFonts w:asciiTheme="minorHAnsi" w:eastAsiaTheme="minorEastAsia" w:hAnsiTheme="minorHAnsi" w:cstheme="minorBidi"/>
          <w:szCs w:val="22"/>
        </w:rPr>
      </w:pPr>
      <w:r>
        <w:t>217B.</w:t>
      </w:r>
      <w:r>
        <w:tab/>
        <w:t>Arbitration decisions not reviewable</w:t>
      </w:r>
      <w:r>
        <w:tab/>
      </w:r>
      <w:r>
        <w:fldChar w:fldCharType="begin"/>
      </w:r>
      <w:r>
        <w:instrText xml:space="preserve"> PAGEREF _Toc131514697 \h </w:instrText>
      </w:r>
      <w:r>
        <w:fldChar w:fldCharType="separate"/>
      </w:r>
      <w:r>
        <w:t>314</w:t>
      </w:r>
      <w:r>
        <w:fldChar w:fldCharType="end"/>
      </w:r>
    </w:p>
    <w:p>
      <w:pPr>
        <w:pStyle w:val="TOC8"/>
        <w:rPr>
          <w:rFonts w:asciiTheme="minorHAnsi" w:eastAsiaTheme="minorEastAsia" w:hAnsiTheme="minorHAnsi" w:cstheme="minorBidi"/>
          <w:szCs w:val="22"/>
        </w:rPr>
      </w:pPr>
      <w:r>
        <w:t>217.</w:t>
      </w:r>
      <w:r>
        <w:tab/>
        <w:t>Order as to total liability of employer</w:t>
      </w:r>
      <w:r>
        <w:tab/>
      </w:r>
      <w:r>
        <w:fldChar w:fldCharType="begin"/>
      </w:r>
      <w:r>
        <w:instrText xml:space="preserve"> PAGEREF _Toc131514698 \h </w:instrText>
      </w:r>
      <w:r>
        <w:fldChar w:fldCharType="separate"/>
      </w:r>
      <w:r>
        <w:t>314</w:t>
      </w:r>
      <w:r>
        <w:fldChar w:fldCharType="end"/>
      </w:r>
    </w:p>
    <w:p>
      <w:pPr>
        <w:pStyle w:val="TOC8"/>
        <w:rPr>
          <w:rFonts w:asciiTheme="minorHAnsi" w:eastAsiaTheme="minorEastAsia" w:hAnsiTheme="minorHAnsi" w:cstheme="minorBidi"/>
          <w:szCs w:val="22"/>
        </w:rPr>
      </w:pPr>
      <w:r>
        <w:t>218.</w:t>
      </w:r>
      <w:r>
        <w:tab/>
        <w:t>Payment of compensation to person under legal disability</w:t>
      </w:r>
      <w:r>
        <w:tab/>
      </w:r>
      <w:r>
        <w:fldChar w:fldCharType="begin"/>
      </w:r>
      <w:r>
        <w:instrText xml:space="preserve"> PAGEREF _Toc131514699 \h </w:instrText>
      </w:r>
      <w:r>
        <w:fldChar w:fldCharType="separate"/>
      </w:r>
      <w:r>
        <w:t>316</w:t>
      </w:r>
      <w:r>
        <w:fldChar w:fldCharType="end"/>
      </w:r>
    </w:p>
    <w:p>
      <w:pPr>
        <w:pStyle w:val="TOC8"/>
        <w:rPr>
          <w:rFonts w:asciiTheme="minorHAnsi" w:eastAsiaTheme="minorEastAsia" w:hAnsiTheme="minorHAnsi" w:cstheme="minorBidi"/>
          <w:szCs w:val="22"/>
        </w:rPr>
      </w:pPr>
      <w:r>
        <w:t>219.</w:t>
      </w:r>
      <w:r>
        <w:tab/>
        <w:t>Enforcing decisions</w:t>
      </w:r>
      <w:r>
        <w:tab/>
      </w:r>
      <w:r>
        <w:fldChar w:fldCharType="begin"/>
      </w:r>
      <w:r>
        <w:instrText xml:space="preserve"> PAGEREF _Toc131514700 \h </w:instrText>
      </w:r>
      <w:r>
        <w:fldChar w:fldCharType="separate"/>
      </w:r>
      <w:r>
        <w:t>316</w:t>
      </w:r>
      <w:r>
        <w:fldChar w:fldCharType="end"/>
      </w:r>
    </w:p>
    <w:p>
      <w:pPr>
        <w:pStyle w:val="TOC6"/>
        <w:tabs>
          <w:tab w:val="right" w:leader="dot" w:pos="7077"/>
        </w:tabs>
        <w:rPr>
          <w:rFonts w:asciiTheme="minorHAnsi" w:eastAsiaTheme="minorEastAsia" w:hAnsiTheme="minorHAnsi" w:cstheme="minorBidi"/>
          <w:b w:val="0"/>
          <w:sz w:val="22"/>
          <w:szCs w:val="22"/>
        </w:rPr>
      </w:pPr>
      <w:r>
        <w:t>Subdivision 5 — Miscellaneous</w:t>
      </w:r>
    </w:p>
    <w:p>
      <w:pPr>
        <w:pStyle w:val="TOC8"/>
        <w:rPr>
          <w:rFonts w:asciiTheme="minorHAnsi" w:eastAsiaTheme="minorEastAsia" w:hAnsiTheme="minorHAnsi" w:cstheme="minorBidi"/>
          <w:szCs w:val="22"/>
        </w:rPr>
      </w:pPr>
      <w:r>
        <w:t>220.</w:t>
      </w:r>
      <w:r>
        <w:tab/>
        <w:t>Statements to arbitrators not admissible in common law proceedings</w:t>
      </w:r>
      <w:r>
        <w:tab/>
      </w:r>
      <w:r>
        <w:fldChar w:fldCharType="begin"/>
      </w:r>
      <w:r>
        <w:instrText xml:space="preserve"> PAGEREF _Toc131514702 \h </w:instrText>
      </w:r>
      <w:r>
        <w:fldChar w:fldCharType="separate"/>
      </w:r>
      <w:r>
        <w:t>317</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To whom compensation is to be paid</w:t>
      </w:r>
      <w:r>
        <w:tab/>
      </w:r>
      <w:r>
        <w:fldChar w:fldCharType="begin"/>
      </w:r>
      <w:r>
        <w:instrText xml:space="preserve"> PAGEREF _Toc131514703 \h </w:instrText>
      </w:r>
      <w:r>
        <w:fldChar w:fldCharType="separate"/>
      </w:r>
      <w:r>
        <w:t>317</w:t>
      </w:r>
      <w:r>
        <w:fldChar w:fldCharType="end"/>
      </w:r>
    </w:p>
    <w:p>
      <w:pPr>
        <w:pStyle w:val="TOC8"/>
        <w:rPr>
          <w:rFonts w:asciiTheme="minorHAnsi" w:eastAsiaTheme="minorEastAsia" w:hAnsiTheme="minorHAnsi" w:cstheme="minorBidi"/>
          <w:szCs w:val="22"/>
        </w:rPr>
      </w:pPr>
      <w:r>
        <w:t>222.</w:t>
      </w:r>
      <w:r>
        <w:tab/>
        <w:t>Interest on sums to be paid</w:t>
      </w:r>
      <w:r>
        <w:tab/>
      </w:r>
      <w:r>
        <w:fldChar w:fldCharType="begin"/>
      </w:r>
      <w:r>
        <w:instrText xml:space="preserve"> PAGEREF _Toc131514704 \h </w:instrText>
      </w:r>
      <w:r>
        <w:fldChar w:fldCharType="separate"/>
      </w:r>
      <w:r>
        <w:t>317</w:t>
      </w:r>
      <w:r>
        <w:fldChar w:fldCharType="end"/>
      </w:r>
    </w:p>
    <w:p>
      <w:pPr>
        <w:pStyle w:val="TOC8"/>
        <w:rPr>
          <w:rFonts w:asciiTheme="minorHAnsi" w:eastAsiaTheme="minorEastAsia" w:hAnsiTheme="minorHAnsi" w:cstheme="minorBidi"/>
          <w:szCs w:val="22"/>
        </w:rPr>
      </w:pPr>
      <w:r>
        <w:t>223.</w:t>
      </w:r>
      <w:r>
        <w:tab/>
        <w:t>Interest on unpaid sums</w:t>
      </w:r>
      <w:r>
        <w:tab/>
      </w:r>
      <w:r>
        <w:fldChar w:fldCharType="begin"/>
      </w:r>
      <w:r>
        <w:instrText xml:space="preserve"> PAGEREF _Toc131514705 \h </w:instrText>
      </w:r>
      <w:r>
        <w:fldChar w:fldCharType="separate"/>
      </w:r>
      <w:r>
        <w:t>318</w:t>
      </w:r>
      <w:r>
        <w:fldChar w:fldCharType="end"/>
      </w:r>
    </w:p>
    <w:p>
      <w:pPr>
        <w:pStyle w:val="TOC8"/>
        <w:rPr>
          <w:rFonts w:asciiTheme="minorHAnsi" w:eastAsiaTheme="minorEastAsia" w:hAnsiTheme="minorHAnsi" w:cstheme="minorBidi"/>
          <w:szCs w:val="22"/>
        </w:rPr>
      </w:pPr>
      <w:r>
        <w:t>224.</w:t>
      </w:r>
      <w:r>
        <w:tab/>
        <w:t>Interest on unpaid amount of agreed sum</w:t>
      </w:r>
      <w:r>
        <w:tab/>
      </w:r>
      <w:r>
        <w:fldChar w:fldCharType="begin"/>
      </w:r>
      <w:r>
        <w:instrText xml:space="preserve"> PAGEREF _Toc131514706 \h </w:instrText>
      </w:r>
      <w:r>
        <w:fldChar w:fldCharType="separate"/>
      </w:r>
      <w:r>
        <w:t>319</w:t>
      </w:r>
      <w:r>
        <w:fldChar w:fldCharType="end"/>
      </w:r>
    </w:p>
    <w:p>
      <w:pPr>
        <w:pStyle w:val="TOC8"/>
        <w:rPr>
          <w:rFonts w:asciiTheme="minorHAnsi" w:eastAsiaTheme="minorEastAsia" w:hAnsiTheme="minorHAnsi" w:cstheme="minorBidi"/>
          <w:szCs w:val="22"/>
        </w:rPr>
      </w:pPr>
      <w:r>
        <w:t>225.</w:t>
      </w:r>
      <w:r>
        <w:tab/>
        <w:t>Regulations may exclude interest</w:t>
      </w:r>
      <w:r>
        <w:tab/>
      </w:r>
      <w:r>
        <w:fldChar w:fldCharType="begin"/>
      </w:r>
      <w:r>
        <w:instrText xml:space="preserve"> PAGEREF _Toc131514707 \h </w:instrText>
      </w:r>
      <w:r>
        <w:fldChar w:fldCharType="separate"/>
      </w:r>
      <w:r>
        <w:t>319</w:t>
      </w:r>
      <w:r>
        <w:fldChar w:fldCharType="end"/>
      </w:r>
    </w:p>
    <w:p>
      <w:pPr>
        <w:pStyle w:val="TOC2"/>
        <w:tabs>
          <w:tab w:val="right" w:leader="dot" w:pos="7077"/>
        </w:tabs>
        <w:rPr>
          <w:rFonts w:asciiTheme="minorHAnsi" w:eastAsiaTheme="minorEastAsia" w:hAnsiTheme="minorHAnsi" w:cstheme="minorBidi"/>
          <w:b w:val="0"/>
          <w:sz w:val="22"/>
          <w:szCs w:val="22"/>
        </w:rPr>
      </w:pPr>
      <w:r>
        <w:t>Part XIII — Appeals to District Court</w:t>
      </w:r>
    </w:p>
    <w:p>
      <w:pPr>
        <w:pStyle w:val="TOC8"/>
        <w:rPr>
          <w:rFonts w:asciiTheme="minorHAnsi" w:eastAsiaTheme="minorEastAsia" w:hAnsiTheme="minorHAnsi" w:cstheme="minorBidi"/>
          <w:szCs w:val="22"/>
        </w:rPr>
      </w:pPr>
      <w:r>
        <w:t>247.</w:t>
      </w:r>
      <w:r>
        <w:tab/>
        <w:t>Appeal against arbitrator’s decision made under Part XI</w:t>
      </w:r>
      <w:r>
        <w:tab/>
      </w:r>
      <w:r>
        <w:fldChar w:fldCharType="begin"/>
      </w:r>
      <w:r>
        <w:instrText xml:space="preserve"> PAGEREF _Toc131514709 \h </w:instrText>
      </w:r>
      <w:r>
        <w:fldChar w:fldCharType="separate"/>
      </w:r>
      <w:r>
        <w:t>320</w:t>
      </w:r>
      <w:r>
        <w:fldChar w:fldCharType="end"/>
      </w:r>
    </w:p>
    <w:p>
      <w:pPr>
        <w:pStyle w:val="TOC8"/>
        <w:rPr>
          <w:rFonts w:asciiTheme="minorHAnsi" w:eastAsiaTheme="minorEastAsia" w:hAnsiTheme="minorHAnsi" w:cstheme="minorBidi"/>
          <w:szCs w:val="22"/>
        </w:rPr>
      </w:pPr>
      <w:r>
        <w:t>250.</w:t>
      </w:r>
      <w:r>
        <w:tab/>
        <w:t>Effect of appeal on decision under appeal</w:t>
      </w:r>
      <w:r>
        <w:tab/>
      </w:r>
      <w:r>
        <w:fldChar w:fldCharType="begin"/>
      </w:r>
      <w:r>
        <w:instrText xml:space="preserve"> PAGEREF _Toc131514710 \h </w:instrText>
      </w:r>
      <w:r>
        <w:fldChar w:fldCharType="separate"/>
      </w:r>
      <w:r>
        <w:t>321</w:t>
      </w:r>
      <w:r>
        <w:fldChar w:fldCharType="end"/>
      </w:r>
    </w:p>
    <w:p>
      <w:pPr>
        <w:pStyle w:val="TOC8"/>
        <w:rPr>
          <w:rFonts w:asciiTheme="minorHAnsi" w:eastAsiaTheme="minorEastAsia" w:hAnsiTheme="minorHAnsi" w:cstheme="minorBidi"/>
          <w:szCs w:val="22"/>
        </w:rPr>
      </w:pPr>
      <w:r>
        <w:t>254.</w:t>
      </w:r>
      <w:r>
        <w:tab/>
        <w:t>Appeal from District Court to Court of Appeal</w:t>
      </w:r>
      <w:r>
        <w:tab/>
      </w:r>
      <w:r>
        <w:fldChar w:fldCharType="begin"/>
      </w:r>
      <w:r>
        <w:instrText xml:space="preserve"> PAGEREF _Toc131514711 \h </w:instrText>
      </w:r>
      <w:r>
        <w:fldChar w:fldCharType="separate"/>
      </w:r>
      <w:r>
        <w:t>322</w:t>
      </w:r>
      <w:r>
        <w:fldChar w:fldCharType="end"/>
      </w:r>
    </w:p>
    <w:p>
      <w:pPr>
        <w:pStyle w:val="TOC2"/>
        <w:tabs>
          <w:tab w:val="right" w:leader="dot" w:pos="7077"/>
        </w:tabs>
        <w:rPr>
          <w:rFonts w:asciiTheme="minorHAnsi" w:eastAsiaTheme="minorEastAsia" w:hAnsiTheme="minorHAnsi" w:cstheme="minorBidi"/>
          <w:b w:val="0"/>
          <w:sz w:val="22"/>
          <w:szCs w:val="22"/>
        </w:rPr>
      </w:pPr>
      <w:r>
        <w:t>Part XIV</w:t>
      </w:r>
      <w:r>
        <w:rPr>
          <w:b w:val="0"/>
        </w:rPr>
        <w:t> </w:t>
      </w:r>
      <w:r>
        <w:t>—</w:t>
      </w:r>
      <w:r>
        <w:rPr>
          <w:b w:val="0"/>
        </w:rPr>
        <w:t> </w:t>
      </w:r>
      <w:r>
        <w:t>Offences</w:t>
      </w:r>
    </w:p>
    <w:p>
      <w:pPr>
        <w:pStyle w:val="TOC8"/>
        <w:rPr>
          <w:rFonts w:asciiTheme="minorHAnsi" w:eastAsiaTheme="minorEastAsia" w:hAnsiTheme="minorHAnsi" w:cstheme="minorBidi"/>
          <w:szCs w:val="22"/>
        </w:rPr>
      </w:pPr>
      <w:r>
        <w:t>255.</w:t>
      </w:r>
      <w:r>
        <w:tab/>
        <w:t>Failing to comply with decision of dispute resolution authority</w:t>
      </w:r>
      <w:r>
        <w:tab/>
      </w:r>
      <w:r>
        <w:fldChar w:fldCharType="begin"/>
      </w:r>
      <w:r>
        <w:instrText xml:space="preserve"> PAGEREF _Toc131514713 \h </w:instrText>
      </w:r>
      <w:r>
        <w:fldChar w:fldCharType="separate"/>
      </w:r>
      <w:r>
        <w:t>323</w:t>
      </w:r>
      <w:r>
        <w:fldChar w:fldCharType="end"/>
      </w:r>
    </w:p>
    <w:p>
      <w:pPr>
        <w:pStyle w:val="TOC8"/>
        <w:rPr>
          <w:rFonts w:asciiTheme="minorHAnsi" w:eastAsiaTheme="minorEastAsia" w:hAnsiTheme="minorHAnsi" w:cstheme="minorBidi"/>
          <w:szCs w:val="22"/>
        </w:rPr>
      </w:pPr>
      <w:r>
        <w:t>256.</w:t>
      </w:r>
      <w:r>
        <w:tab/>
        <w:t>Failing to comply with summons or requirement to attend</w:t>
      </w:r>
      <w:r>
        <w:tab/>
      </w:r>
      <w:r>
        <w:fldChar w:fldCharType="begin"/>
      </w:r>
      <w:r>
        <w:instrText xml:space="preserve"> PAGEREF _Toc131514714 \h </w:instrText>
      </w:r>
      <w:r>
        <w:fldChar w:fldCharType="separate"/>
      </w:r>
      <w:r>
        <w:t>324</w:t>
      </w:r>
      <w:r>
        <w:fldChar w:fldCharType="end"/>
      </w:r>
    </w:p>
    <w:p>
      <w:pPr>
        <w:pStyle w:val="TOC8"/>
        <w:rPr>
          <w:rFonts w:asciiTheme="minorHAnsi" w:eastAsiaTheme="minorEastAsia" w:hAnsiTheme="minorHAnsi" w:cstheme="minorBidi"/>
          <w:szCs w:val="22"/>
        </w:rPr>
      </w:pPr>
      <w:r>
        <w:t>257.</w:t>
      </w:r>
      <w:r>
        <w:tab/>
        <w:t>Failing to give evidence as required</w:t>
      </w:r>
      <w:r>
        <w:tab/>
      </w:r>
      <w:r>
        <w:fldChar w:fldCharType="begin"/>
      </w:r>
      <w:r>
        <w:instrText xml:space="preserve"> PAGEREF _Toc131514715 \h </w:instrText>
      </w:r>
      <w:r>
        <w:fldChar w:fldCharType="separate"/>
      </w:r>
      <w:r>
        <w:t>324</w:t>
      </w:r>
      <w:r>
        <w:fldChar w:fldCharType="end"/>
      </w:r>
    </w:p>
    <w:p>
      <w:pPr>
        <w:pStyle w:val="TOC8"/>
        <w:rPr>
          <w:rFonts w:asciiTheme="minorHAnsi" w:eastAsiaTheme="minorEastAsia" w:hAnsiTheme="minorHAnsi" w:cstheme="minorBidi"/>
          <w:szCs w:val="22"/>
        </w:rPr>
      </w:pPr>
      <w:r>
        <w:t>258.</w:t>
      </w:r>
      <w:r>
        <w:tab/>
        <w:t>Giving false or misleading information</w:t>
      </w:r>
      <w:r>
        <w:tab/>
      </w:r>
      <w:r>
        <w:fldChar w:fldCharType="begin"/>
      </w:r>
      <w:r>
        <w:instrText xml:space="preserve"> PAGEREF _Toc131514716 \h </w:instrText>
      </w:r>
      <w:r>
        <w:fldChar w:fldCharType="separate"/>
      </w:r>
      <w:r>
        <w:t>324</w:t>
      </w:r>
      <w:r>
        <w:fldChar w:fldCharType="end"/>
      </w:r>
    </w:p>
    <w:p>
      <w:pPr>
        <w:pStyle w:val="TOC8"/>
        <w:rPr>
          <w:rFonts w:asciiTheme="minorHAnsi" w:eastAsiaTheme="minorEastAsia" w:hAnsiTheme="minorHAnsi" w:cstheme="minorBidi"/>
          <w:szCs w:val="22"/>
        </w:rPr>
      </w:pPr>
      <w:r>
        <w:t>259.</w:t>
      </w:r>
      <w:r>
        <w:tab/>
        <w:t>Misbehaviour and other conduct</w:t>
      </w:r>
      <w:r>
        <w:tab/>
      </w:r>
      <w:r>
        <w:fldChar w:fldCharType="begin"/>
      </w:r>
      <w:r>
        <w:instrText xml:space="preserve"> PAGEREF _Toc131514717 \h </w:instrText>
      </w:r>
      <w:r>
        <w:fldChar w:fldCharType="separate"/>
      </w:r>
      <w:r>
        <w:t>325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XV</w:t>
      </w:r>
      <w:r>
        <w:rPr>
          <w:b w:val="0"/>
        </w:rPr>
        <w:t> </w:t>
      </w:r>
      <w:r>
        <w:t>—</w:t>
      </w:r>
      <w:r>
        <w:rPr>
          <w:b w:val="0"/>
        </w:rPr>
        <w:t> </w:t>
      </w:r>
      <w:r>
        <w:t>Costs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261.</w:t>
      </w:r>
      <w:r>
        <w:tab/>
        <w:t>Terms used</w:t>
      </w:r>
      <w:r>
        <w:tab/>
      </w:r>
      <w:r>
        <w:fldChar w:fldCharType="begin"/>
      </w:r>
      <w:r>
        <w:instrText xml:space="preserve"> PAGEREF _Toc131514720 \h </w:instrText>
      </w:r>
      <w:r>
        <w:fldChar w:fldCharType="separate"/>
      </w:r>
      <w:r>
        <w:t>326</w:t>
      </w:r>
      <w:r>
        <w:fldChar w:fldCharType="end"/>
      </w:r>
    </w:p>
    <w:p>
      <w:pPr>
        <w:pStyle w:val="TOC8"/>
        <w:rPr>
          <w:rFonts w:asciiTheme="minorHAnsi" w:eastAsiaTheme="minorEastAsia" w:hAnsiTheme="minorHAnsi" w:cstheme="minorBidi"/>
          <w:szCs w:val="22"/>
        </w:rPr>
      </w:pPr>
      <w:r>
        <w:t>262.</w:t>
      </w:r>
      <w:r>
        <w:tab/>
        <w:t>Costs to which this Part applies</w:t>
      </w:r>
      <w:r>
        <w:tab/>
      </w:r>
      <w:r>
        <w:fldChar w:fldCharType="begin"/>
      </w:r>
      <w:r>
        <w:instrText xml:space="preserve"> PAGEREF _Toc131514721 \h </w:instrText>
      </w:r>
      <w:r>
        <w:fldChar w:fldCharType="separate"/>
      </w:r>
      <w:r>
        <w:t>327</w:t>
      </w:r>
      <w:r>
        <w:fldChar w:fldCharType="end"/>
      </w:r>
    </w:p>
    <w:p>
      <w:pPr>
        <w:pStyle w:val="TOC8"/>
        <w:rPr>
          <w:rFonts w:asciiTheme="minorHAnsi" w:eastAsiaTheme="minorEastAsia" w:hAnsiTheme="minorHAnsi" w:cstheme="minorBidi"/>
          <w:szCs w:val="22"/>
        </w:rPr>
      </w:pPr>
      <w:r>
        <w:t>263.</w:t>
      </w:r>
      <w:r>
        <w:tab/>
        <w:t xml:space="preserve">This Part prevails over </w:t>
      </w:r>
      <w:r>
        <w:rPr>
          <w:i/>
        </w:rPr>
        <w:t>Legal Profession Uniform Law (WA)</w:t>
      </w:r>
      <w:r>
        <w:tab/>
      </w:r>
      <w:r>
        <w:fldChar w:fldCharType="begin"/>
      </w:r>
      <w:r>
        <w:instrText xml:space="preserve"> PAGEREF _Toc131514722 \h </w:instrText>
      </w:r>
      <w:r>
        <w:fldChar w:fldCharType="separate"/>
      </w:r>
      <w:r>
        <w:t>327</w:t>
      </w:r>
      <w:r>
        <w:fldChar w:fldCharType="end"/>
      </w:r>
    </w:p>
    <w:p>
      <w:pPr>
        <w:pStyle w:val="TOC4"/>
        <w:tabs>
          <w:tab w:val="right" w:leader="dot" w:pos="7077"/>
        </w:tabs>
        <w:rPr>
          <w:rFonts w:asciiTheme="minorHAnsi" w:eastAsiaTheme="minorEastAsia" w:hAnsiTheme="minorHAnsi" w:cstheme="minorBidi"/>
          <w:b w:val="0"/>
          <w:szCs w:val="22"/>
        </w:rPr>
      </w:pPr>
      <w:r>
        <w:t>Division 2 — Costs of parties in proceedings and costs of proceedings</w:t>
      </w:r>
    </w:p>
    <w:p>
      <w:pPr>
        <w:pStyle w:val="TOC8"/>
        <w:rPr>
          <w:rFonts w:asciiTheme="minorHAnsi" w:eastAsiaTheme="minorEastAsia" w:hAnsiTheme="minorHAnsi" w:cstheme="minorBidi"/>
          <w:szCs w:val="22"/>
        </w:rPr>
      </w:pPr>
      <w:r>
        <w:t>264.</w:t>
      </w:r>
      <w:r>
        <w:tab/>
        <w:t>Costs to be determined by dispute resolution authority</w:t>
      </w:r>
      <w:r>
        <w:tab/>
      </w:r>
      <w:r>
        <w:fldChar w:fldCharType="begin"/>
      </w:r>
      <w:r>
        <w:instrText xml:space="preserve"> PAGEREF _Toc131514724 \h </w:instrText>
      </w:r>
      <w:r>
        <w:fldChar w:fldCharType="separate"/>
      </w:r>
      <w:r>
        <w:t>327</w:t>
      </w:r>
      <w:r>
        <w:fldChar w:fldCharType="end"/>
      </w:r>
    </w:p>
    <w:p>
      <w:pPr>
        <w:pStyle w:val="TOC8"/>
        <w:rPr>
          <w:rFonts w:asciiTheme="minorHAnsi" w:eastAsiaTheme="minorEastAsia" w:hAnsiTheme="minorHAnsi" w:cstheme="minorBidi"/>
          <w:szCs w:val="22"/>
        </w:rPr>
      </w:pPr>
      <w:r>
        <w:t>265.</w:t>
      </w:r>
      <w:r>
        <w:tab/>
        <w:t>Costs unreasonably incurred by representative</w:t>
      </w:r>
      <w:r>
        <w:tab/>
      </w:r>
      <w:r>
        <w:fldChar w:fldCharType="begin"/>
      </w:r>
      <w:r>
        <w:instrText xml:space="preserve"> PAGEREF _Toc131514725 \h </w:instrText>
      </w:r>
      <w:r>
        <w:fldChar w:fldCharType="separate"/>
      </w:r>
      <w:r>
        <w:t>328</w:t>
      </w:r>
      <w:r>
        <w:fldChar w:fldCharType="end"/>
      </w:r>
    </w:p>
    <w:p>
      <w:pPr>
        <w:pStyle w:val="TOC8"/>
        <w:rPr>
          <w:rFonts w:asciiTheme="minorHAnsi" w:eastAsiaTheme="minorEastAsia" w:hAnsiTheme="minorHAnsi" w:cstheme="minorBidi"/>
          <w:szCs w:val="22"/>
        </w:rPr>
      </w:pPr>
      <w:r>
        <w:t>266.</w:t>
      </w:r>
      <w:r>
        <w:tab/>
        <w:t>Agent’s costs</w:t>
      </w:r>
      <w:r>
        <w:tab/>
      </w:r>
      <w:r>
        <w:fldChar w:fldCharType="begin"/>
      </w:r>
      <w:r>
        <w:instrText xml:space="preserve"> PAGEREF _Toc131514726 \h </w:instrText>
      </w:r>
      <w:r>
        <w:fldChar w:fldCharType="separate"/>
      </w:r>
      <w:r>
        <w:t>329</w:t>
      </w:r>
      <w:r>
        <w:fldChar w:fldCharType="end"/>
      </w:r>
    </w:p>
    <w:p>
      <w:pPr>
        <w:pStyle w:val="TOC8"/>
        <w:rPr>
          <w:rFonts w:asciiTheme="minorHAnsi" w:eastAsiaTheme="minorEastAsia" w:hAnsiTheme="minorHAnsi" w:cstheme="minorBidi"/>
          <w:szCs w:val="22"/>
        </w:rPr>
      </w:pPr>
      <w:r>
        <w:t>267.</w:t>
      </w:r>
      <w:r>
        <w:tab/>
        <w:t>Appeal costs</w:t>
      </w:r>
      <w:r>
        <w:tab/>
      </w:r>
      <w:r>
        <w:fldChar w:fldCharType="begin"/>
      </w:r>
      <w:r>
        <w:instrText xml:space="preserve"> PAGEREF _Toc131514727 \h </w:instrText>
      </w:r>
      <w:r>
        <w:fldChar w:fldCharType="separate"/>
      </w:r>
      <w:r>
        <w:t>329</w:t>
      </w:r>
      <w:r>
        <w:fldChar w:fldCharType="end"/>
      </w:r>
    </w:p>
    <w:p>
      <w:pPr>
        <w:pStyle w:val="TOC8"/>
        <w:rPr>
          <w:rFonts w:asciiTheme="minorHAnsi" w:eastAsiaTheme="minorEastAsia" w:hAnsiTheme="minorHAnsi" w:cstheme="minorBidi"/>
          <w:szCs w:val="22"/>
        </w:rPr>
      </w:pPr>
      <w:r>
        <w:t>268.</w:t>
      </w:r>
      <w:r>
        <w:tab/>
        <w:t>Regulations for assessment of costs</w:t>
      </w:r>
      <w:r>
        <w:tab/>
      </w:r>
      <w:r>
        <w:fldChar w:fldCharType="begin"/>
      </w:r>
      <w:r>
        <w:instrText xml:space="preserve"> PAGEREF _Toc131514728 \h </w:instrText>
      </w:r>
      <w:r>
        <w:fldChar w:fldCharType="separate"/>
      </w:r>
      <w:r>
        <w:t>329</w:t>
      </w:r>
      <w:r>
        <w:fldChar w:fldCharType="end"/>
      </w:r>
    </w:p>
    <w:p>
      <w:pPr>
        <w:pStyle w:val="TOC4"/>
        <w:tabs>
          <w:tab w:val="right" w:leader="dot" w:pos="7077"/>
        </w:tabs>
        <w:rPr>
          <w:rFonts w:asciiTheme="minorHAnsi" w:eastAsiaTheme="minorEastAsia" w:hAnsiTheme="minorHAnsi" w:cstheme="minorBidi"/>
          <w:b w:val="0"/>
          <w:szCs w:val="22"/>
        </w:rPr>
      </w:pPr>
      <w:r>
        <w:t>Division 3 — Maximum costs</w:t>
      </w:r>
    </w:p>
    <w:p>
      <w:pPr>
        <w:pStyle w:val="TOC8"/>
        <w:rPr>
          <w:rFonts w:asciiTheme="minorHAnsi" w:eastAsiaTheme="minorEastAsia" w:hAnsiTheme="minorHAnsi" w:cstheme="minorBidi"/>
          <w:szCs w:val="22"/>
        </w:rPr>
      </w:pPr>
      <w:r>
        <w:t>269.</w:t>
      </w:r>
      <w:r>
        <w:tab/>
        <w:t>Costs Committee, membership of</w:t>
      </w:r>
      <w:r>
        <w:tab/>
      </w:r>
      <w:r>
        <w:fldChar w:fldCharType="begin"/>
      </w:r>
      <w:r>
        <w:instrText xml:space="preserve"> PAGEREF _Toc131514730 \h </w:instrText>
      </w:r>
      <w:r>
        <w:fldChar w:fldCharType="separate"/>
      </w:r>
      <w:r>
        <w:t>330</w:t>
      </w:r>
      <w:r>
        <w:fldChar w:fldCharType="end"/>
      </w:r>
    </w:p>
    <w:p>
      <w:pPr>
        <w:pStyle w:val="TOC8"/>
        <w:rPr>
          <w:rFonts w:asciiTheme="minorHAnsi" w:eastAsiaTheme="minorEastAsia" w:hAnsiTheme="minorHAnsi" w:cstheme="minorBidi"/>
          <w:szCs w:val="22"/>
        </w:rPr>
      </w:pPr>
      <w:r>
        <w:t>270A.</w:t>
      </w:r>
      <w:r>
        <w:tab/>
        <w:t>Remuneration of Committee members</w:t>
      </w:r>
      <w:r>
        <w:tab/>
      </w:r>
      <w:r>
        <w:fldChar w:fldCharType="begin"/>
      </w:r>
      <w:r>
        <w:instrText xml:space="preserve"> PAGEREF _Toc131514731 \h </w:instrText>
      </w:r>
      <w:r>
        <w:fldChar w:fldCharType="separate"/>
      </w:r>
      <w:r>
        <w:t>331</w:t>
      </w:r>
      <w:r>
        <w:fldChar w:fldCharType="end"/>
      </w:r>
    </w:p>
    <w:p>
      <w:pPr>
        <w:pStyle w:val="TOC8"/>
        <w:rPr>
          <w:rFonts w:asciiTheme="minorHAnsi" w:eastAsiaTheme="minorEastAsia" w:hAnsiTheme="minorHAnsi" w:cstheme="minorBidi"/>
          <w:szCs w:val="22"/>
        </w:rPr>
      </w:pPr>
      <w:r>
        <w:t>270.</w:t>
      </w:r>
      <w:r>
        <w:tab/>
        <w:t>Constitution and procedure of Costs Committee</w:t>
      </w:r>
      <w:r>
        <w:tab/>
      </w:r>
      <w:r>
        <w:fldChar w:fldCharType="begin"/>
      </w:r>
      <w:r>
        <w:instrText xml:space="preserve"> PAGEREF _Toc131514732 \h </w:instrText>
      </w:r>
      <w:r>
        <w:fldChar w:fldCharType="separate"/>
      </w:r>
      <w:r>
        <w:t>331</w:t>
      </w:r>
      <w:r>
        <w:fldChar w:fldCharType="end"/>
      </w:r>
    </w:p>
    <w:p>
      <w:pPr>
        <w:pStyle w:val="TOC8"/>
        <w:rPr>
          <w:rFonts w:asciiTheme="minorHAnsi" w:eastAsiaTheme="minorEastAsia" w:hAnsiTheme="minorHAnsi" w:cstheme="minorBidi"/>
          <w:szCs w:val="22"/>
        </w:rPr>
      </w:pPr>
      <w:r>
        <w:t>271.</w:t>
      </w:r>
      <w:r>
        <w:tab/>
        <w:t>Determinations as to maximum costs</w:t>
      </w:r>
      <w:r>
        <w:tab/>
      </w:r>
      <w:r>
        <w:fldChar w:fldCharType="begin"/>
      </w:r>
      <w:r>
        <w:instrText xml:space="preserve"> PAGEREF _Toc131514733 \h </w:instrText>
      </w:r>
      <w:r>
        <w:fldChar w:fldCharType="separate"/>
      </w:r>
      <w:r>
        <w:t>331</w:t>
      </w:r>
      <w:r>
        <w:fldChar w:fldCharType="end"/>
      </w:r>
    </w:p>
    <w:p>
      <w:pPr>
        <w:pStyle w:val="TOC8"/>
        <w:rPr>
          <w:rFonts w:asciiTheme="minorHAnsi" w:eastAsiaTheme="minorEastAsia" w:hAnsiTheme="minorHAnsi" w:cstheme="minorBidi"/>
          <w:szCs w:val="22"/>
        </w:rPr>
      </w:pPr>
      <w:r>
        <w:t>272.</w:t>
      </w:r>
      <w:r>
        <w:tab/>
        <w:t>Making determinations</w:t>
      </w:r>
      <w:r>
        <w:tab/>
      </w:r>
      <w:r>
        <w:fldChar w:fldCharType="begin"/>
      </w:r>
      <w:r>
        <w:instrText xml:space="preserve"> PAGEREF _Toc131514734 \h </w:instrText>
      </w:r>
      <w:r>
        <w:fldChar w:fldCharType="separate"/>
      </w:r>
      <w:r>
        <w:t>332</w:t>
      </w:r>
      <w:r>
        <w:fldChar w:fldCharType="end"/>
      </w:r>
    </w:p>
    <w:p>
      <w:pPr>
        <w:pStyle w:val="TOC8"/>
        <w:rPr>
          <w:rFonts w:asciiTheme="minorHAnsi" w:eastAsiaTheme="minorEastAsia" w:hAnsiTheme="minorHAnsi" w:cstheme="minorBidi"/>
          <w:szCs w:val="22"/>
        </w:rPr>
      </w:pPr>
      <w:r>
        <w:t>273.</w:t>
      </w:r>
      <w:r>
        <w:tab/>
        <w:t>Approval and publication of determinations</w:t>
      </w:r>
      <w:r>
        <w:tab/>
      </w:r>
      <w:r>
        <w:fldChar w:fldCharType="begin"/>
      </w:r>
      <w:r>
        <w:instrText xml:space="preserve"> PAGEREF _Toc131514735 \h </w:instrText>
      </w:r>
      <w:r>
        <w:fldChar w:fldCharType="separate"/>
      </w:r>
      <w:r>
        <w:t>333</w:t>
      </w:r>
      <w:r>
        <w:fldChar w:fldCharType="end"/>
      </w:r>
    </w:p>
    <w:p>
      <w:pPr>
        <w:pStyle w:val="TOC8"/>
        <w:rPr>
          <w:rFonts w:asciiTheme="minorHAnsi" w:eastAsiaTheme="minorEastAsia" w:hAnsiTheme="minorHAnsi" w:cstheme="minorBidi"/>
          <w:szCs w:val="22"/>
        </w:rPr>
      </w:pPr>
      <w:r>
        <w:t>274.</w:t>
      </w:r>
      <w:r>
        <w:tab/>
        <w:t>Effect of costs determinations</w:t>
      </w:r>
      <w:r>
        <w:tab/>
      </w:r>
      <w:r>
        <w:fldChar w:fldCharType="begin"/>
      </w:r>
      <w:r>
        <w:instrText xml:space="preserve"> PAGEREF _Toc131514736 \h </w:instrText>
      </w:r>
      <w:r>
        <w:fldChar w:fldCharType="separate"/>
      </w:r>
      <w:r>
        <w:t>333</w:t>
      </w:r>
      <w:r>
        <w:fldChar w:fldCharType="end"/>
      </w:r>
    </w:p>
    <w:p>
      <w:pPr>
        <w:pStyle w:val="TOC8"/>
        <w:rPr>
          <w:rFonts w:asciiTheme="minorHAnsi" w:eastAsiaTheme="minorEastAsia" w:hAnsiTheme="minorHAnsi" w:cstheme="minorBidi"/>
          <w:szCs w:val="22"/>
        </w:rPr>
      </w:pPr>
      <w:r>
        <w:t>275.</w:t>
      </w:r>
      <w:r>
        <w:tab/>
        <w:t>Agreement as to costs, limits on</w:t>
      </w:r>
      <w:r>
        <w:tab/>
      </w:r>
      <w:r>
        <w:fldChar w:fldCharType="begin"/>
      </w:r>
      <w:r>
        <w:instrText xml:space="preserve"> PAGEREF _Toc131514737 \h </w:instrText>
      </w:r>
      <w:r>
        <w:fldChar w:fldCharType="separate"/>
      </w:r>
      <w:r>
        <w:t>334</w:t>
      </w:r>
      <w:r>
        <w:fldChar w:fldCharType="end"/>
      </w:r>
    </w:p>
    <w:p>
      <w:pPr>
        <w:pStyle w:val="TOC8"/>
        <w:rPr>
          <w:rFonts w:asciiTheme="minorHAnsi" w:eastAsiaTheme="minorEastAsia" w:hAnsiTheme="minorHAnsi" w:cstheme="minorBidi"/>
          <w:szCs w:val="22"/>
        </w:rPr>
      </w:pPr>
      <w:r>
        <w:t>276.</w:t>
      </w:r>
      <w:r>
        <w:tab/>
        <w:t>Division does not affect s. 87 in relation to Part IV actions</w:t>
      </w:r>
      <w:r>
        <w:tab/>
      </w:r>
      <w:r>
        <w:fldChar w:fldCharType="begin"/>
      </w:r>
      <w:r>
        <w:instrText xml:space="preserve"> PAGEREF _Toc131514738 \h </w:instrText>
      </w:r>
      <w:r>
        <w:fldChar w:fldCharType="separate"/>
      </w:r>
      <w:r>
        <w:t>334</w:t>
      </w:r>
      <w:r>
        <w:fldChar w:fldCharType="end"/>
      </w:r>
    </w:p>
    <w:p>
      <w:pPr>
        <w:pStyle w:val="TOC2"/>
        <w:tabs>
          <w:tab w:val="right" w:leader="dot" w:pos="7077"/>
        </w:tabs>
        <w:rPr>
          <w:rFonts w:asciiTheme="minorHAnsi" w:eastAsiaTheme="minorEastAsia" w:hAnsiTheme="minorHAnsi" w:cstheme="minorBidi"/>
          <w:b w:val="0"/>
          <w:sz w:val="22"/>
          <w:szCs w:val="22"/>
        </w:rPr>
      </w:pPr>
      <w:r>
        <w:t>Part XVI — Registered agents</w:t>
      </w:r>
    </w:p>
    <w:p>
      <w:pPr>
        <w:pStyle w:val="TOC8"/>
        <w:rPr>
          <w:rFonts w:asciiTheme="minorHAnsi" w:eastAsiaTheme="minorEastAsia" w:hAnsiTheme="minorHAnsi" w:cstheme="minorBidi"/>
          <w:szCs w:val="22"/>
        </w:rPr>
      </w:pPr>
      <w:r>
        <w:t>277.</w:t>
      </w:r>
      <w:r>
        <w:tab/>
        <w:t>Registration of agents</w:t>
      </w:r>
      <w:r>
        <w:tab/>
      </w:r>
      <w:r>
        <w:fldChar w:fldCharType="begin"/>
      </w:r>
      <w:r>
        <w:instrText xml:space="preserve"> PAGEREF _Toc131514740 \h </w:instrText>
      </w:r>
      <w:r>
        <w:fldChar w:fldCharType="separate"/>
      </w:r>
      <w:r>
        <w:t>335</w:t>
      </w:r>
      <w:r>
        <w:fldChar w:fldCharType="end"/>
      </w:r>
    </w:p>
    <w:p>
      <w:pPr>
        <w:pStyle w:val="TOC2"/>
        <w:tabs>
          <w:tab w:val="right" w:leader="dot" w:pos="7077"/>
        </w:tabs>
        <w:rPr>
          <w:rFonts w:asciiTheme="minorHAnsi" w:eastAsiaTheme="minorEastAsia" w:hAnsiTheme="minorHAnsi" w:cstheme="minorBidi"/>
          <w:b w:val="0"/>
          <w:sz w:val="22"/>
          <w:szCs w:val="22"/>
        </w:rPr>
      </w:pPr>
      <w:r>
        <w:t>Part XVIII — Regulations, rules and practice notes</w:t>
      </w:r>
    </w:p>
    <w:p>
      <w:pPr>
        <w:pStyle w:val="TOC8"/>
        <w:rPr>
          <w:rFonts w:asciiTheme="minorHAnsi" w:eastAsiaTheme="minorEastAsia" w:hAnsiTheme="minorHAnsi" w:cstheme="minorBidi"/>
          <w:szCs w:val="22"/>
        </w:rPr>
      </w:pPr>
      <w:r>
        <w:t>292.</w:t>
      </w:r>
      <w:r>
        <w:tab/>
        <w:t>Regulations</w:t>
      </w:r>
      <w:r>
        <w:tab/>
      </w:r>
      <w:r>
        <w:fldChar w:fldCharType="begin"/>
      </w:r>
      <w:r>
        <w:instrText xml:space="preserve"> PAGEREF _Toc131514742 \h </w:instrText>
      </w:r>
      <w:r>
        <w:fldChar w:fldCharType="separate"/>
      </w:r>
      <w:r>
        <w:t>337</w:t>
      </w:r>
      <w:r>
        <w:fldChar w:fldCharType="end"/>
      </w:r>
    </w:p>
    <w:p>
      <w:pPr>
        <w:pStyle w:val="TOC8"/>
        <w:rPr>
          <w:rFonts w:asciiTheme="minorHAnsi" w:eastAsiaTheme="minorEastAsia" w:hAnsiTheme="minorHAnsi" w:cstheme="minorBidi"/>
          <w:szCs w:val="22"/>
        </w:rPr>
      </w:pPr>
      <w:r>
        <w:t>293A.</w:t>
      </w:r>
      <w:r>
        <w:tab/>
        <w:t>Conciliation rules</w:t>
      </w:r>
      <w:r>
        <w:tab/>
      </w:r>
      <w:r>
        <w:fldChar w:fldCharType="begin"/>
      </w:r>
      <w:r>
        <w:instrText xml:space="preserve"> PAGEREF _Toc131514743 \h </w:instrText>
      </w:r>
      <w:r>
        <w:fldChar w:fldCharType="separate"/>
      </w:r>
      <w:r>
        <w:t>339</w:t>
      </w:r>
      <w:r>
        <w:fldChar w:fldCharType="end"/>
      </w:r>
    </w:p>
    <w:p>
      <w:pPr>
        <w:pStyle w:val="TOC8"/>
        <w:rPr>
          <w:rFonts w:asciiTheme="minorHAnsi" w:eastAsiaTheme="minorEastAsia" w:hAnsiTheme="minorHAnsi" w:cstheme="minorBidi"/>
          <w:szCs w:val="22"/>
        </w:rPr>
      </w:pPr>
      <w:r>
        <w:t>293B.</w:t>
      </w:r>
      <w:r>
        <w:tab/>
        <w:t>Arbitration rules</w:t>
      </w:r>
      <w:r>
        <w:tab/>
      </w:r>
      <w:r>
        <w:fldChar w:fldCharType="begin"/>
      </w:r>
      <w:r>
        <w:instrText xml:space="preserve"> PAGEREF _Toc131514744 \h </w:instrText>
      </w:r>
      <w:r>
        <w:fldChar w:fldCharType="separate"/>
      </w:r>
      <w:r>
        <w:t>340</w:t>
      </w:r>
      <w:r>
        <w:fldChar w:fldCharType="end"/>
      </w:r>
    </w:p>
    <w:p>
      <w:pPr>
        <w:pStyle w:val="TOC8"/>
        <w:rPr>
          <w:rFonts w:asciiTheme="minorHAnsi" w:eastAsiaTheme="minorEastAsia" w:hAnsiTheme="minorHAnsi" w:cstheme="minorBidi"/>
          <w:szCs w:val="22"/>
        </w:rPr>
      </w:pPr>
      <w:r>
        <w:t>293.</w:t>
      </w:r>
      <w:r>
        <w:tab/>
      </w:r>
      <w:r>
        <w:rPr>
          <w:bCs/>
        </w:rPr>
        <w:t>General provisions about rules</w:t>
      </w:r>
      <w:r>
        <w:tab/>
      </w:r>
      <w:r>
        <w:fldChar w:fldCharType="begin"/>
      </w:r>
      <w:r>
        <w:instrText xml:space="preserve"> PAGEREF _Toc131514745 \h </w:instrText>
      </w:r>
      <w:r>
        <w:fldChar w:fldCharType="separate"/>
      </w:r>
      <w:r>
        <w:t>341</w:t>
      </w:r>
      <w:r>
        <w:fldChar w:fldCharType="end"/>
      </w:r>
    </w:p>
    <w:p>
      <w:pPr>
        <w:pStyle w:val="TOC8"/>
        <w:rPr>
          <w:rFonts w:asciiTheme="minorHAnsi" w:eastAsiaTheme="minorEastAsia" w:hAnsiTheme="minorHAnsi" w:cstheme="minorBidi"/>
          <w:szCs w:val="22"/>
        </w:rPr>
      </w:pPr>
      <w:r>
        <w:t>294.</w:t>
      </w:r>
      <w:r>
        <w:tab/>
        <w:t>Practice notes</w:t>
      </w:r>
      <w:r>
        <w:tab/>
      </w:r>
      <w:r>
        <w:fldChar w:fldCharType="begin"/>
      </w:r>
      <w:r>
        <w:instrText xml:space="preserve"> PAGEREF _Toc131514746 \h </w:instrText>
      </w:r>
      <w:r>
        <w:fldChar w:fldCharType="separate"/>
      </w:r>
      <w:r>
        <w:t>342</w:t>
      </w:r>
      <w:r>
        <w:fldChar w:fldCharType="end"/>
      </w:r>
    </w:p>
    <w:p>
      <w:pPr>
        <w:pStyle w:val="TOC2"/>
        <w:tabs>
          <w:tab w:val="right" w:leader="dot" w:pos="7077"/>
        </w:tabs>
        <w:rPr>
          <w:rFonts w:asciiTheme="minorHAnsi" w:eastAsiaTheme="minorEastAsia" w:hAnsiTheme="minorHAnsi" w:cstheme="minorBidi"/>
          <w:b w:val="0"/>
          <w:sz w:val="22"/>
          <w:szCs w:val="22"/>
        </w:rPr>
      </w:pPr>
      <w:r>
        <w:t>Part XIX — Miscellaneous</w:t>
      </w:r>
    </w:p>
    <w:p>
      <w:pPr>
        <w:pStyle w:val="TOC8"/>
        <w:rPr>
          <w:rFonts w:asciiTheme="minorHAnsi" w:eastAsiaTheme="minorEastAsia" w:hAnsiTheme="minorHAnsi" w:cstheme="minorBidi"/>
          <w:szCs w:val="22"/>
        </w:rPr>
      </w:pPr>
      <w:r>
        <w:t>295</w:t>
      </w:r>
      <w:r>
        <w:rPr>
          <w:snapToGrid w:val="0"/>
        </w:rPr>
        <w:t>.</w:t>
      </w:r>
      <w:r>
        <w:rPr>
          <w:snapToGrid w:val="0"/>
        </w:rPr>
        <w:tab/>
        <w:t>WorkCover WA’s staff etc.</w:t>
      </w:r>
      <w:r>
        <w:tab/>
      </w:r>
      <w:r>
        <w:fldChar w:fldCharType="begin"/>
      </w:r>
      <w:r>
        <w:instrText xml:space="preserve"> PAGEREF _Toc131514748 \h </w:instrText>
      </w:r>
      <w:r>
        <w:fldChar w:fldCharType="separate"/>
      </w:r>
      <w:r>
        <w:t>343</w:t>
      </w:r>
      <w:r>
        <w:fldChar w:fldCharType="end"/>
      </w:r>
    </w:p>
    <w:p>
      <w:pPr>
        <w:pStyle w:val="TOC8"/>
        <w:rPr>
          <w:rFonts w:asciiTheme="minorHAnsi" w:eastAsiaTheme="minorEastAsia" w:hAnsiTheme="minorHAnsi" w:cstheme="minorBidi"/>
          <w:szCs w:val="22"/>
        </w:rPr>
      </w:pPr>
      <w:r>
        <w:lastRenderedPageBreak/>
        <w:t>296.</w:t>
      </w:r>
      <w:r>
        <w:tab/>
        <w:t>Delegation by chief executive officer</w:t>
      </w:r>
      <w:r>
        <w:tab/>
      </w:r>
      <w:r>
        <w:fldChar w:fldCharType="begin"/>
      </w:r>
      <w:r>
        <w:instrText xml:space="preserve"> PAGEREF _Toc131514749 \h </w:instrText>
      </w:r>
      <w:r>
        <w:fldChar w:fldCharType="separate"/>
      </w:r>
      <w:r>
        <w:t>343</w:t>
      </w:r>
      <w:r>
        <w:fldChar w:fldCharType="end"/>
      </w:r>
    </w:p>
    <w:p>
      <w:pPr>
        <w:pStyle w:val="TOC8"/>
        <w:rPr>
          <w:rFonts w:asciiTheme="minorHAnsi" w:eastAsiaTheme="minorEastAsia" w:hAnsiTheme="minorHAnsi" w:cstheme="minorBidi"/>
          <w:szCs w:val="22"/>
        </w:rPr>
      </w:pPr>
      <w:r>
        <w:t>297</w:t>
      </w:r>
      <w:r>
        <w:rPr>
          <w:snapToGrid w:val="0"/>
        </w:rPr>
        <w:t>.</w:t>
      </w:r>
      <w:r>
        <w:rPr>
          <w:snapToGrid w:val="0"/>
        </w:rPr>
        <w:tab/>
        <w:t>Agreements and receipts under this Act exempt from duty</w:t>
      </w:r>
      <w:r>
        <w:tab/>
      </w:r>
      <w:r>
        <w:fldChar w:fldCharType="begin"/>
      </w:r>
      <w:r>
        <w:instrText xml:space="preserve"> PAGEREF _Toc131514750 \h </w:instrText>
      </w:r>
      <w:r>
        <w:fldChar w:fldCharType="separate"/>
      </w:r>
      <w:r>
        <w:t>344</w:t>
      </w:r>
      <w:r>
        <w:fldChar w:fldCharType="end"/>
      </w:r>
    </w:p>
    <w:p>
      <w:pPr>
        <w:pStyle w:val="TOC8"/>
        <w:rPr>
          <w:rFonts w:asciiTheme="minorHAnsi" w:eastAsiaTheme="minorEastAsia" w:hAnsiTheme="minorHAnsi" w:cstheme="minorBidi"/>
          <w:szCs w:val="22"/>
        </w:rPr>
      </w:pPr>
      <w:r>
        <w:t>298</w:t>
      </w:r>
      <w:r>
        <w:rPr>
          <w:snapToGrid w:val="0"/>
        </w:rPr>
        <w:t>.</w:t>
      </w:r>
      <w:r>
        <w:rPr>
          <w:snapToGrid w:val="0"/>
        </w:rPr>
        <w:tab/>
        <w:t>Ships, detention of</w:t>
      </w:r>
      <w:r>
        <w:tab/>
      </w:r>
      <w:r>
        <w:fldChar w:fldCharType="begin"/>
      </w:r>
      <w:r>
        <w:instrText xml:space="preserve"> PAGEREF _Toc131514751 \h </w:instrText>
      </w:r>
      <w:r>
        <w:fldChar w:fldCharType="separate"/>
      </w:r>
      <w:r>
        <w:t>344</w:t>
      </w:r>
      <w:r>
        <w:fldChar w:fldCharType="end"/>
      </w:r>
    </w:p>
    <w:p>
      <w:pPr>
        <w:pStyle w:val="TOC8"/>
        <w:rPr>
          <w:rFonts w:asciiTheme="minorHAnsi" w:eastAsiaTheme="minorEastAsia" w:hAnsiTheme="minorHAnsi" w:cstheme="minorBidi"/>
          <w:szCs w:val="22"/>
        </w:rPr>
      </w:pPr>
      <w:r>
        <w:t>299</w:t>
      </w:r>
      <w:r>
        <w:rPr>
          <w:snapToGrid w:val="0"/>
        </w:rPr>
        <w:t>.</w:t>
      </w:r>
      <w:r>
        <w:rPr>
          <w:snapToGrid w:val="0"/>
        </w:rPr>
        <w:tab/>
        <w:t>Judicial notice</w:t>
      </w:r>
      <w:r>
        <w:tab/>
      </w:r>
      <w:r>
        <w:fldChar w:fldCharType="begin"/>
      </w:r>
      <w:r>
        <w:instrText xml:space="preserve"> PAGEREF _Toc131514752 \h </w:instrText>
      </w:r>
      <w:r>
        <w:fldChar w:fldCharType="separate"/>
      </w:r>
      <w:r>
        <w:t>345</w:t>
      </w:r>
      <w:r>
        <w:fldChar w:fldCharType="end"/>
      </w:r>
    </w:p>
    <w:p>
      <w:pPr>
        <w:pStyle w:val="TOC8"/>
        <w:rPr>
          <w:rFonts w:asciiTheme="minorHAnsi" w:eastAsiaTheme="minorEastAsia" w:hAnsiTheme="minorHAnsi" w:cstheme="minorBidi"/>
          <w:szCs w:val="22"/>
        </w:rPr>
      </w:pPr>
      <w:r>
        <w:t>300.</w:t>
      </w:r>
      <w:r>
        <w:tab/>
        <w:t>District Court to give information to WorkCover WA</w:t>
      </w:r>
      <w:r>
        <w:tab/>
      </w:r>
      <w:r>
        <w:fldChar w:fldCharType="begin"/>
      </w:r>
      <w:r>
        <w:instrText xml:space="preserve"> PAGEREF _Toc131514753 \h </w:instrText>
      </w:r>
      <w:r>
        <w:fldChar w:fldCharType="separate"/>
      </w:r>
      <w:r>
        <w:t>346</w:t>
      </w:r>
      <w:r>
        <w:fldChar w:fldCharType="end"/>
      </w:r>
    </w:p>
    <w:p>
      <w:pPr>
        <w:pStyle w:val="TOC8"/>
        <w:rPr>
          <w:rFonts w:asciiTheme="minorHAnsi" w:eastAsiaTheme="minorEastAsia" w:hAnsiTheme="minorHAnsi" w:cstheme="minorBidi"/>
          <w:szCs w:val="22"/>
        </w:rPr>
      </w:pPr>
      <w:r>
        <w:t>301</w:t>
      </w:r>
      <w:r>
        <w:rPr>
          <w:snapToGrid w:val="0"/>
        </w:rPr>
        <w:t>.</w:t>
      </w:r>
      <w:r>
        <w:rPr>
          <w:snapToGrid w:val="0"/>
        </w:rPr>
        <w:tab/>
        <w:t>Contracting out prohibited</w:t>
      </w:r>
      <w:r>
        <w:tab/>
      </w:r>
      <w:r>
        <w:fldChar w:fldCharType="begin"/>
      </w:r>
      <w:r>
        <w:instrText xml:space="preserve"> PAGEREF _Toc131514754 \h </w:instrText>
      </w:r>
      <w:r>
        <w:fldChar w:fldCharType="separate"/>
      </w:r>
      <w:r>
        <w:t>346</w:t>
      </w:r>
      <w:r>
        <w:fldChar w:fldCharType="end"/>
      </w:r>
    </w:p>
    <w:p>
      <w:pPr>
        <w:pStyle w:val="TOC8"/>
        <w:rPr>
          <w:rFonts w:asciiTheme="minorHAnsi" w:eastAsiaTheme="minorEastAsia" w:hAnsiTheme="minorHAnsi" w:cstheme="minorBidi"/>
          <w:szCs w:val="22"/>
        </w:rPr>
      </w:pPr>
      <w:r>
        <w:t>302</w:t>
      </w:r>
      <w:r>
        <w:rPr>
          <w:snapToGrid w:val="0"/>
        </w:rPr>
        <w:t>.</w:t>
      </w:r>
      <w:r>
        <w:rPr>
          <w:snapToGrid w:val="0"/>
        </w:rPr>
        <w:tab/>
        <w:t>Deductions from wages towards compensation not lawful</w:t>
      </w:r>
      <w:r>
        <w:tab/>
      </w:r>
      <w:r>
        <w:fldChar w:fldCharType="begin"/>
      </w:r>
      <w:r>
        <w:instrText xml:space="preserve"> PAGEREF _Toc131514755 \h </w:instrText>
      </w:r>
      <w:r>
        <w:fldChar w:fldCharType="separate"/>
      </w:r>
      <w:r>
        <w:t>346</w:t>
      </w:r>
      <w:r>
        <w:fldChar w:fldCharType="end"/>
      </w:r>
    </w:p>
    <w:p>
      <w:pPr>
        <w:pStyle w:val="TOC8"/>
        <w:rPr>
          <w:rFonts w:asciiTheme="minorHAnsi" w:eastAsiaTheme="minorEastAsia" w:hAnsiTheme="minorHAnsi" w:cstheme="minorBidi"/>
          <w:szCs w:val="22"/>
        </w:rPr>
      </w:pPr>
      <w:r>
        <w:t>303</w:t>
      </w:r>
      <w:r>
        <w:rPr>
          <w:snapToGrid w:val="0"/>
        </w:rPr>
        <w:t>.</w:t>
      </w:r>
      <w:r>
        <w:rPr>
          <w:snapToGrid w:val="0"/>
        </w:rPr>
        <w:tab/>
        <w:t>Compensation payments not assignable</w:t>
      </w:r>
      <w:r>
        <w:tab/>
      </w:r>
      <w:r>
        <w:fldChar w:fldCharType="begin"/>
      </w:r>
      <w:r>
        <w:instrText xml:space="preserve"> PAGEREF _Toc131514756 \h </w:instrText>
      </w:r>
      <w:r>
        <w:fldChar w:fldCharType="separate"/>
      </w:r>
      <w:r>
        <w:t>347</w:t>
      </w:r>
      <w:r>
        <w:fldChar w:fldCharType="end"/>
      </w:r>
    </w:p>
    <w:p>
      <w:pPr>
        <w:pStyle w:val="TOC8"/>
        <w:rPr>
          <w:rFonts w:asciiTheme="minorHAnsi" w:eastAsiaTheme="minorEastAsia" w:hAnsiTheme="minorHAnsi" w:cstheme="minorBidi"/>
          <w:szCs w:val="22"/>
        </w:rPr>
      </w:pPr>
      <w:r>
        <w:t>303A.</w:t>
      </w:r>
      <w:r>
        <w:tab/>
        <w:t>Making employment conditional on avoidance arrangement</w:t>
      </w:r>
      <w:r>
        <w:tab/>
      </w:r>
      <w:r>
        <w:fldChar w:fldCharType="begin"/>
      </w:r>
      <w:r>
        <w:instrText xml:space="preserve"> PAGEREF _Toc131514757 \h </w:instrText>
      </w:r>
      <w:r>
        <w:fldChar w:fldCharType="separate"/>
      </w:r>
      <w:r>
        <w:t>347</w:t>
      </w:r>
      <w:r>
        <w:fldChar w:fldCharType="end"/>
      </w:r>
    </w:p>
    <w:p>
      <w:pPr>
        <w:pStyle w:val="TOC8"/>
        <w:rPr>
          <w:rFonts w:asciiTheme="minorHAnsi" w:eastAsiaTheme="minorEastAsia" w:hAnsiTheme="minorHAnsi" w:cstheme="minorBidi"/>
          <w:szCs w:val="22"/>
        </w:rPr>
      </w:pPr>
      <w:r>
        <w:t>304.</w:t>
      </w:r>
      <w:r>
        <w:tab/>
        <w:t>Protection from personal liability</w:t>
      </w:r>
      <w:r>
        <w:tab/>
      </w:r>
      <w:r>
        <w:fldChar w:fldCharType="begin"/>
      </w:r>
      <w:r>
        <w:instrText xml:space="preserve"> PAGEREF _Toc131514758 \h </w:instrText>
      </w:r>
      <w:r>
        <w:fldChar w:fldCharType="separate"/>
      </w:r>
      <w:r>
        <w:t>348</w:t>
      </w:r>
      <w:r>
        <w:fldChar w:fldCharType="end"/>
      </w:r>
    </w:p>
    <w:p>
      <w:pPr>
        <w:pStyle w:val="TOC8"/>
        <w:rPr>
          <w:rFonts w:asciiTheme="minorHAnsi" w:eastAsiaTheme="minorEastAsia" w:hAnsiTheme="minorHAnsi" w:cstheme="minorBidi"/>
          <w:szCs w:val="22"/>
        </w:rPr>
      </w:pPr>
      <w:r>
        <w:t>305.</w:t>
      </w:r>
      <w:r>
        <w:tab/>
        <w:t>Immunity of conciliation officers, arbitrators etc.</w:t>
      </w:r>
      <w:r>
        <w:tab/>
      </w:r>
      <w:r>
        <w:fldChar w:fldCharType="begin"/>
      </w:r>
      <w:r>
        <w:instrText xml:space="preserve"> PAGEREF _Toc131514759 \h </w:instrText>
      </w:r>
      <w:r>
        <w:fldChar w:fldCharType="separate"/>
      </w:r>
      <w:r>
        <w:t>349</w:t>
      </w:r>
      <w:r>
        <w:fldChar w:fldCharType="end"/>
      </w:r>
    </w:p>
    <w:p>
      <w:pPr>
        <w:pStyle w:val="TOC8"/>
        <w:rPr>
          <w:rFonts w:asciiTheme="minorHAnsi" w:eastAsiaTheme="minorEastAsia" w:hAnsiTheme="minorHAnsi" w:cstheme="minorBidi"/>
          <w:szCs w:val="22"/>
        </w:rPr>
      </w:pPr>
      <w:r>
        <w:t>306.</w:t>
      </w:r>
      <w:r>
        <w:tab/>
        <w:t>Protection for compliance with this Act</w:t>
      </w:r>
      <w:r>
        <w:tab/>
      </w:r>
      <w:r>
        <w:fldChar w:fldCharType="begin"/>
      </w:r>
      <w:r>
        <w:instrText xml:space="preserve"> PAGEREF _Toc131514760 \h </w:instrText>
      </w:r>
      <w:r>
        <w:fldChar w:fldCharType="separate"/>
      </w:r>
      <w:r>
        <w:t>349</w:t>
      </w:r>
      <w:r>
        <w:fldChar w:fldCharType="end"/>
      </w:r>
    </w:p>
    <w:p>
      <w:pPr>
        <w:pStyle w:val="TOC8"/>
        <w:rPr>
          <w:rFonts w:asciiTheme="minorHAnsi" w:eastAsiaTheme="minorEastAsia" w:hAnsiTheme="minorHAnsi" w:cstheme="minorBidi"/>
          <w:szCs w:val="22"/>
        </w:rPr>
      </w:pPr>
      <w:r>
        <w:t>307.</w:t>
      </w:r>
      <w:r>
        <w:tab/>
        <w:t>Protection from liability for publishing decisions etc. of dispute resolution authority</w:t>
      </w:r>
      <w:r>
        <w:tab/>
      </w:r>
      <w:r>
        <w:fldChar w:fldCharType="begin"/>
      </w:r>
      <w:r>
        <w:instrText xml:space="preserve"> PAGEREF _Toc131514761 \h </w:instrText>
      </w:r>
      <w:r>
        <w:fldChar w:fldCharType="separate"/>
      </w:r>
      <w:r>
        <w:t>350</w:t>
      </w:r>
      <w:r>
        <w:fldChar w:fldCharType="end"/>
      </w:r>
    </w:p>
    <w:p>
      <w:pPr>
        <w:pStyle w:val="TOC8"/>
        <w:rPr>
          <w:rFonts w:asciiTheme="minorHAnsi" w:eastAsiaTheme="minorEastAsia" w:hAnsiTheme="minorHAnsi" w:cstheme="minorBidi"/>
          <w:szCs w:val="22"/>
        </w:rPr>
      </w:pPr>
      <w:r>
        <w:t>308</w:t>
      </w:r>
      <w:r>
        <w:rPr>
          <w:snapToGrid w:val="0"/>
        </w:rPr>
        <w:t>.</w:t>
      </w:r>
      <w:r>
        <w:rPr>
          <w:snapToGrid w:val="0"/>
        </w:rPr>
        <w:tab/>
        <w:t>Fraud</w:t>
      </w:r>
      <w:r>
        <w:tab/>
      </w:r>
      <w:r>
        <w:fldChar w:fldCharType="begin"/>
      </w:r>
      <w:r>
        <w:instrText xml:space="preserve"> PAGEREF _Toc131514762 \h </w:instrText>
      </w:r>
      <w:r>
        <w:fldChar w:fldCharType="separate"/>
      </w:r>
      <w:r>
        <w:t>350</w:t>
      </w:r>
      <w:r>
        <w:fldChar w:fldCharType="end"/>
      </w:r>
    </w:p>
    <w:p>
      <w:pPr>
        <w:pStyle w:val="TOC8"/>
        <w:rPr>
          <w:rFonts w:asciiTheme="minorHAnsi" w:eastAsiaTheme="minorEastAsia" w:hAnsiTheme="minorHAnsi" w:cstheme="minorBidi"/>
          <w:szCs w:val="22"/>
        </w:rPr>
      </w:pPr>
      <w:r>
        <w:t>309.</w:t>
      </w:r>
      <w:r>
        <w:tab/>
        <w:t>Who can prosecute offences</w:t>
      </w:r>
      <w:r>
        <w:tab/>
      </w:r>
      <w:r>
        <w:fldChar w:fldCharType="begin"/>
      </w:r>
      <w:r>
        <w:instrText xml:space="preserve"> PAGEREF _Toc131514763 \h </w:instrText>
      </w:r>
      <w:r>
        <w:fldChar w:fldCharType="separate"/>
      </w:r>
      <w:r>
        <w:t>350</w:t>
      </w:r>
      <w:r>
        <w:fldChar w:fldCharType="end"/>
      </w:r>
    </w:p>
    <w:p>
      <w:pPr>
        <w:pStyle w:val="TOC8"/>
        <w:rPr>
          <w:rFonts w:asciiTheme="minorHAnsi" w:eastAsiaTheme="minorEastAsia" w:hAnsiTheme="minorHAnsi" w:cstheme="minorBidi"/>
          <w:szCs w:val="22"/>
        </w:rPr>
      </w:pPr>
      <w:r>
        <w:t>310.</w:t>
      </w:r>
      <w:r>
        <w:tab/>
        <w:t>Time limit for prosecutions</w:t>
      </w:r>
      <w:r>
        <w:tab/>
      </w:r>
      <w:r>
        <w:fldChar w:fldCharType="begin"/>
      </w:r>
      <w:r>
        <w:instrText xml:space="preserve"> PAGEREF _Toc131514764 \h </w:instrText>
      </w:r>
      <w:r>
        <w:fldChar w:fldCharType="separate"/>
      </w:r>
      <w:r>
        <w:t>351</w:t>
      </w:r>
      <w:r>
        <w:fldChar w:fldCharType="end"/>
      </w:r>
    </w:p>
    <w:p>
      <w:pPr>
        <w:pStyle w:val="TOC8"/>
        <w:rPr>
          <w:rFonts w:asciiTheme="minorHAnsi" w:eastAsiaTheme="minorEastAsia" w:hAnsiTheme="minorHAnsi" w:cstheme="minorBidi"/>
          <w:szCs w:val="22"/>
        </w:rPr>
      </w:pPr>
      <w:r>
        <w:t>311</w:t>
      </w:r>
      <w:r>
        <w:rPr>
          <w:snapToGrid w:val="0"/>
        </w:rPr>
        <w:t>.</w:t>
      </w:r>
      <w:r>
        <w:rPr>
          <w:snapToGrid w:val="0"/>
        </w:rPr>
        <w:tab/>
        <w:t>General penalty</w:t>
      </w:r>
      <w:r>
        <w:tab/>
      </w:r>
      <w:r>
        <w:fldChar w:fldCharType="begin"/>
      </w:r>
      <w:r>
        <w:instrText xml:space="preserve"> PAGEREF _Toc131514765 \h </w:instrText>
      </w:r>
      <w:r>
        <w:fldChar w:fldCharType="separate"/>
      </w:r>
      <w:r>
        <w:t>351</w:t>
      </w:r>
      <w:r>
        <w:fldChar w:fldCharType="end"/>
      </w:r>
    </w:p>
    <w:p>
      <w:pPr>
        <w:pStyle w:val="TOC8"/>
        <w:rPr>
          <w:rFonts w:asciiTheme="minorHAnsi" w:eastAsiaTheme="minorEastAsia" w:hAnsiTheme="minorHAnsi" w:cstheme="minorBidi"/>
          <w:szCs w:val="22"/>
        </w:rPr>
      </w:pPr>
      <w:r>
        <w:t>312</w:t>
      </w:r>
      <w:r>
        <w:rPr>
          <w:snapToGrid w:val="0"/>
        </w:rPr>
        <w:t>.</w:t>
      </w:r>
      <w:r>
        <w:rPr>
          <w:snapToGrid w:val="0"/>
        </w:rPr>
        <w:tab/>
        <w:t>Fines, application of</w:t>
      </w:r>
      <w:r>
        <w:tab/>
      </w:r>
      <w:r>
        <w:fldChar w:fldCharType="begin"/>
      </w:r>
      <w:r>
        <w:instrText xml:space="preserve"> PAGEREF _Toc131514766 \h </w:instrText>
      </w:r>
      <w:r>
        <w:fldChar w:fldCharType="separate"/>
      </w:r>
      <w:r>
        <w:t>351</w:t>
      </w:r>
      <w:r>
        <w:fldChar w:fldCharType="end"/>
      </w:r>
    </w:p>
    <w:p>
      <w:pPr>
        <w:pStyle w:val="TOC8"/>
        <w:rPr>
          <w:rFonts w:asciiTheme="minorHAnsi" w:eastAsiaTheme="minorEastAsia" w:hAnsiTheme="minorHAnsi" w:cstheme="minorBidi"/>
          <w:szCs w:val="22"/>
        </w:rPr>
      </w:pPr>
      <w:r>
        <w:t>313</w:t>
      </w:r>
      <w:r>
        <w:rPr>
          <w:snapToGrid w:val="0"/>
        </w:rPr>
        <w:t>.</w:t>
      </w:r>
      <w:r>
        <w:rPr>
          <w:snapToGrid w:val="0"/>
        </w:rPr>
        <w:tab/>
        <w:t>Offences under Acts about workplace safety not affected</w:t>
      </w:r>
      <w:r>
        <w:tab/>
      </w:r>
      <w:r>
        <w:fldChar w:fldCharType="begin"/>
      </w:r>
      <w:r>
        <w:instrText xml:space="preserve"> PAGEREF _Toc131514767 \h </w:instrText>
      </w:r>
      <w:r>
        <w:fldChar w:fldCharType="separate"/>
      </w:r>
      <w:r>
        <w:t>351</w:t>
      </w:r>
      <w:r>
        <w:fldChar w:fldCharType="end"/>
      </w:r>
    </w:p>
    <w:p>
      <w:pPr>
        <w:pStyle w:val="TOC8"/>
        <w:rPr>
          <w:rFonts w:asciiTheme="minorHAnsi" w:eastAsiaTheme="minorEastAsia" w:hAnsiTheme="minorHAnsi" w:cstheme="minorBidi"/>
          <w:szCs w:val="22"/>
        </w:rPr>
      </w:pPr>
      <w:r>
        <w:t>314.</w:t>
      </w:r>
      <w:r>
        <w:tab/>
        <w:t>WorkCover WA may specify form of sending information</w:t>
      </w:r>
      <w:r>
        <w:tab/>
      </w:r>
      <w:r>
        <w:fldChar w:fldCharType="begin"/>
      </w:r>
      <w:r>
        <w:instrText xml:space="preserve"> PAGEREF _Toc131514768 \h </w:instrText>
      </w:r>
      <w:r>
        <w:fldChar w:fldCharType="separate"/>
      </w:r>
      <w:r>
        <w:t>352</w:t>
      </w:r>
      <w:r>
        <w:fldChar w:fldCharType="end"/>
      </w:r>
    </w:p>
    <w:p>
      <w:pPr>
        <w:pStyle w:val="TOC8"/>
        <w:rPr>
          <w:rFonts w:asciiTheme="minorHAnsi" w:eastAsiaTheme="minorEastAsia" w:hAnsiTheme="minorHAnsi" w:cstheme="minorBidi"/>
          <w:szCs w:val="22"/>
        </w:rPr>
      </w:pPr>
      <w:r>
        <w:t>314A.</w:t>
      </w:r>
      <w:r>
        <w:tab/>
        <w:t>Facilitating electronic processes</w:t>
      </w:r>
      <w:r>
        <w:tab/>
      </w:r>
      <w:r>
        <w:fldChar w:fldCharType="begin"/>
      </w:r>
      <w:r>
        <w:instrText xml:space="preserve"> PAGEREF _Toc131514769 \h </w:instrText>
      </w:r>
      <w:r>
        <w:fldChar w:fldCharType="separate"/>
      </w:r>
      <w:r>
        <w:t>352</w:t>
      </w:r>
      <w:r>
        <w:fldChar w:fldCharType="end"/>
      </w:r>
    </w:p>
    <w:p>
      <w:pPr>
        <w:pStyle w:val="TOC8"/>
        <w:rPr>
          <w:rFonts w:asciiTheme="minorHAnsi" w:eastAsiaTheme="minorEastAsia" w:hAnsiTheme="minorHAnsi" w:cstheme="minorBidi"/>
          <w:szCs w:val="22"/>
        </w:rPr>
      </w:pPr>
      <w:r>
        <w:t>314B.</w:t>
      </w:r>
      <w:r>
        <w:tab/>
        <w:t>Review of Act</w:t>
      </w:r>
      <w:r>
        <w:tab/>
      </w:r>
      <w:r>
        <w:fldChar w:fldCharType="begin"/>
      </w:r>
      <w:r>
        <w:instrText xml:space="preserve"> PAGEREF _Toc131514770 \h </w:instrText>
      </w:r>
      <w:r>
        <w:fldChar w:fldCharType="separate"/>
      </w:r>
      <w:r>
        <w:t>353</w:t>
      </w:r>
      <w:r>
        <w:fldChar w:fldCharType="end"/>
      </w:r>
    </w:p>
    <w:p>
      <w:pPr>
        <w:pStyle w:val="TOC2"/>
        <w:tabs>
          <w:tab w:val="right" w:leader="dot" w:pos="7077"/>
        </w:tabs>
        <w:rPr>
          <w:rFonts w:asciiTheme="minorHAnsi" w:eastAsiaTheme="minorEastAsia" w:hAnsiTheme="minorHAnsi" w:cstheme="minorBidi"/>
          <w:b w:val="0"/>
          <w:sz w:val="22"/>
          <w:szCs w:val="22"/>
        </w:rPr>
      </w:pPr>
      <w:r>
        <w:t>Part XX — Repeal, savings, and transitional</w:t>
      </w:r>
    </w:p>
    <w:p>
      <w:pPr>
        <w:pStyle w:val="TOC8"/>
        <w:rPr>
          <w:rFonts w:asciiTheme="minorHAnsi" w:eastAsiaTheme="minorEastAsia" w:hAnsiTheme="minorHAnsi" w:cstheme="minorBidi"/>
          <w:szCs w:val="22"/>
        </w:rPr>
      </w:pPr>
      <w:r>
        <w:t>316</w:t>
      </w:r>
      <w:r>
        <w:rPr>
          <w:snapToGrid w:val="0"/>
        </w:rPr>
        <w:t>.</w:t>
      </w:r>
      <w:r>
        <w:rPr>
          <w:snapToGrid w:val="0"/>
        </w:rPr>
        <w:tab/>
        <w:t>Terms used</w:t>
      </w:r>
      <w:r>
        <w:tab/>
      </w:r>
      <w:r>
        <w:fldChar w:fldCharType="begin"/>
      </w:r>
      <w:r>
        <w:instrText xml:space="preserve"> PAGEREF _Toc131514772 \h </w:instrText>
      </w:r>
      <w:r>
        <w:fldChar w:fldCharType="separate"/>
      </w:r>
      <w:r>
        <w:t>354</w:t>
      </w:r>
      <w:r>
        <w:fldChar w:fldCharType="end"/>
      </w:r>
    </w:p>
    <w:p>
      <w:pPr>
        <w:pStyle w:val="TOC8"/>
        <w:rPr>
          <w:rFonts w:asciiTheme="minorHAnsi" w:eastAsiaTheme="minorEastAsia" w:hAnsiTheme="minorHAnsi" w:cstheme="minorBidi"/>
          <w:szCs w:val="22"/>
        </w:rPr>
      </w:pPr>
      <w:r>
        <w:t>317.</w:t>
      </w:r>
      <w:r>
        <w:tab/>
        <w:t>Repeal</w:t>
      </w:r>
      <w:r>
        <w:tab/>
      </w:r>
      <w:r>
        <w:fldChar w:fldCharType="begin"/>
      </w:r>
      <w:r>
        <w:instrText xml:space="preserve"> PAGEREF _Toc131514773 \h </w:instrText>
      </w:r>
      <w:r>
        <w:fldChar w:fldCharType="separate"/>
      </w:r>
      <w:r>
        <w:t>354</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r>
      <w:r>
        <w:rPr>
          <w:i/>
          <w:snapToGrid w:val="0"/>
        </w:rPr>
        <w:t>Interpretation Act 1918</w:t>
      </w:r>
      <w:r>
        <w:rPr>
          <w:snapToGrid w:val="0"/>
        </w:rPr>
        <w:t>, application of</w:t>
      </w:r>
      <w:r>
        <w:tab/>
      </w:r>
      <w:r>
        <w:fldChar w:fldCharType="begin"/>
      </w:r>
      <w:r>
        <w:instrText xml:space="preserve"> PAGEREF _Toc131514774 \h </w:instrText>
      </w:r>
      <w:r>
        <w:fldChar w:fldCharType="separate"/>
      </w:r>
      <w:r>
        <w:t>354</w:t>
      </w:r>
      <w:r>
        <w:fldChar w:fldCharType="end"/>
      </w:r>
    </w:p>
    <w:p>
      <w:pPr>
        <w:pStyle w:val="TOC8"/>
        <w:rPr>
          <w:rFonts w:asciiTheme="minorHAnsi" w:eastAsiaTheme="minorEastAsia" w:hAnsiTheme="minorHAnsi" w:cstheme="minorBidi"/>
          <w:szCs w:val="22"/>
        </w:rPr>
      </w:pPr>
      <w:r>
        <w:t>319</w:t>
      </w:r>
      <w:r>
        <w:rPr>
          <w:snapToGrid w:val="0"/>
        </w:rPr>
        <w:t>.</w:t>
      </w:r>
      <w:r>
        <w:rPr>
          <w:snapToGrid w:val="0"/>
        </w:rPr>
        <w:tab/>
        <w:t>Act does not renew liability or entitlement</w:t>
      </w:r>
      <w:r>
        <w:tab/>
      </w:r>
      <w:r>
        <w:fldChar w:fldCharType="begin"/>
      </w:r>
      <w:r>
        <w:instrText xml:space="preserve"> PAGEREF _Toc131514775 \h </w:instrText>
      </w:r>
      <w:r>
        <w:fldChar w:fldCharType="separate"/>
      </w:r>
      <w:r>
        <w:t>355</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Moneys paid under repealed Act taken into account</w:t>
      </w:r>
      <w:r>
        <w:tab/>
      </w:r>
      <w:r>
        <w:fldChar w:fldCharType="begin"/>
      </w:r>
      <w:r>
        <w:instrText xml:space="preserve"> PAGEREF _Toc131514776 \h </w:instrText>
      </w:r>
      <w:r>
        <w:fldChar w:fldCharType="separate"/>
      </w:r>
      <w:r>
        <w:t>355</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Compensation for Sch. 2 injuries</w:t>
      </w:r>
      <w:r>
        <w:tab/>
      </w:r>
      <w:r>
        <w:fldChar w:fldCharType="begin"/>
      </w:r>
      <w:r>
        <w:instrText xml:space="preserve"> PAGEREF _Toc131514777 \h </w:instrText>
      </w:r>
      <w:r>
        <w:fldChar w:fldCharType="separate"/>
      </w:r>
      <w:r>
        <w:t>355</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Child’s allowance</w:t>
      </w:r>
      <w:r>
        <w:tab/>
      </w:r>
      <w:r>
        <w:fldChar w:fldCharType="begin"/>
      </w:r>
      <w:r>
        <w:instrText xml:space="preserve"> PAGEREF _Toc131514778 \h </w:instrText>
      </w:r>
      <w:r>
        <w:fldChar w:fldCharType="separate"/>
      </w:r>
      <w:r>
        <w:t>356</w:t>
      </w:r>
      <w:r>
        <w:fldChar w:fldCharType="end"/>
      </w:r>
    </w:p>
    <w:p>
      <w:pPr>
        <w:pStyle w:val="TOC8"/>
        <w:rPr>
          <w:rFonts w:asciiTheme="minorHAnsi" w:eastAsiaTheme="minorEastAsia" w:hAnsiTheme="minorHAnsi" w:cstheme="minorBidi"/>
          <w:szCs w:val="22"/>
        </w:rPr>
      </w:pPr>
      <w:r>
        <w:lastRenderedPageBreak/>
        <w:t>323</w:t>
      </w:r>
      <w:r>
        <w:rPr>
          <w:snapToGrid w:val="0"/>
        </w:rPr>
        <w:t>.</w:t>
      </w:r>
      <w:r>
        <w:rPr>
          <w:snapToGrid w:val="0"/>
        </w:rPr>
        <w:tab/>
        <w:t>Continuation of office holders, agreements etc.</w:t>
      </w:r>
      <w:r>
        <w:tab/>
      </w:r>
      <w:r>
        <w:fldChar w:fldCharType="begin"/>
      </w:r>
      <w:r>
        <w:instrText xml:space="preserve"> PAGEREF _Toc131514779 \h </w:instrText>
      </w:r>
      <w:r>
        <w:fldChar w:fldCharType="separate"/>
      </w:r>
      <w:r>
        <w:t>356</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References to Board, Supplementary Board or officers</w:t>
      </w:r>
      <w:r>
        <w:tab/>
      </w:r>
      <w:r>
        <w:fldChar w:fldCharType="begin"/>
      </w:r>
      <w:r>
        <w:instrText xml:space="preserve"> PAGEREF _Toc131514780 \h </w:instrText>
      </w:r>
      <w:r>
        <w:fldChar w:fldCharType="separate"/>
      </w:r>
      <w:r>
        <w:t>358</w:t>
      </w:r>
      <w:r>
        <w:fldChar w:fldCharType="end"/>
      </w:r>
    </w:p>
    <w:p>
      <w:pPr>
        <w:pStyle w:val="TOC8"/>
        <w:rPr>
          <w:rFonts w:asciiTheme="minorHAnsi" w:eastAsiaTheme="minorEastAsia" w:hAnsiTheme="minorHAnsi" w:cstheme="minorBidi"/>
          <w:szCs w:val="22"/>
        </w:rPr>
      </w:pPr>
      <w:r>
        <w:t>325.</w:t>
      </w:r>
      <w:r>
        <w:tab/>
        <w:t>Transitional provisions (Sch. 8)</w:t>
      </w:r>
      <w:r>
        <w:tab/>
      </w:r>
      <w:r>
        <w:fldChar w:fldCharType="begin"/>
      </w:r>
      <w:r>
        <w:instrText xml:space="preserve"> PAGEREF _Toc131514781 \h </w:instrText>
      </w:r>
      <w:r>
        <w:fldChar w:fldCharType="separate"/>
      </w:r>
      <w:r>
        <w:t>359</w:t>
      </w:r>
      <w:r>
        <w:fldChar w:fldCharType="end"/>
      </w:r>
    </w:p>
    <w:p>
      <w:pPr>
        <w:pStyle w:val="TOC2"/>
        <w:tabs>
          <w:tab w:val="right" w:leader="dot" w:pos="7077"/>
        </w:tabs>
        <w:rPr>
          <w:rFonts w:asciiTheme="minorHAnsi" w:eastAsiaTheme="minorEastAsia" w:hAnsiTheme="minorHAnsi" w:cstheme="minorBidi"/>
          <w:b w:val="0"/>
          <w:sz w:val="22"/>
          <w:szCs w:val="22"/>
        </w:rPr>
      </w:pPr>
      <w:r>
        <w:t>Schedule 1 — Compensation entitlements</w:t>
      </w:r>
    </w:p>
    <w:p>
      <w:pPr>
        <w:pStyle w:val="TOC8"/>
        <w:rPr>
          <w:rFonts w:asciiTheme="minorHAnsi" w:eastAsiaTheme="minorEastAsia" w:hAnsiTheme="minorHAnsi" w:cstheme="minorBidi"/>
          <w:szCs w:val="22"/>
        </w:rPr>
      </w:pPr>
      <w:r>
        <w:t>7</w:t>
      </w:r>
      <w:r>
        <w:rPr>
          <w:snapToGrid w:val="0"/>
        </w:rPr>
        <w:t>.</w:t>
      </w:r>
      <w:r>
        <w:rPr>
          <w:snapToGrid w:val="0"/>
        </w:rPr>
        <w:tab/>
        <w:t>Total or partial incapacity</w:t>
      </w:r>
      <w:r>
        <w:tab/>
      </w:r>
      <w:r>
        <w:fldChar w:fldCharType="begin"/>
      </w:r>
      <w:r>
        <w:instrText xml:space="preserve"> PAGEREF _Toc131514783 \h </w:instrText>
      </w:r>
      <w:r>
        <w:fldChar w:fldCharType="separate"/>
      </w:r>
      <w:r>
        <w:t>361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Deemed total incapacity</w:t>
      </w:r>
      <w:r>
        <w:tab/>
      </w:r>
      <w:r>
        <w:fldChar w:fldCharType="begin"/>
      </w:r>
      <w:r>
        <w:instrText xml:space="preserve"> PAGEREF _Toc131514784 \h </w:instrText>
      </w:r>
      <w:r>
        <w:fldChar w:fldCharType="separate"/>
      </w:r>
      <w:r>
        <w:t>362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No incapacity — medical expenses</w:t>
      </w:r>
      <w:r>
        <w:tab/>
      </w:r>
      <w:r>
        <w:fldChar w:fldCharType="begin"/>
      </w:r>
      <w:r>
        <w:instrText xml:space="preserve"> PAGEREF _Toc131514785 \h </w:instrText>
      </w:r>
      <w:r>
        <w:fldChar w:fldCharType="separate"/>
      </w:r>
      <w:r>
        <w:t>362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Absence from work for medical attendance</w:t>
      </w:r>
      <w:r>
        <w:tab/>
      </w:r>
      <w:r>
        <w:fldChar w:fldCharType="begin"/>
      </w:r>
      <w:r>
        <w:instrText xml:space="preserve"> PAGEREF _Toc131514786 \h </w:instrText>
      </w:r>
      <w:r>
        <w:fldChar w:fldCharType="separate"/>
      </w:r>
      <w:r>
        <w:t>362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Terms used</w:t>
      </w:r>
      <w:r>
        <w:tab/>
      </w:r>
      <w:r>
        <w:fldChar w:fldCharType="begin"/>
      </w:r>
      <w:r>
        <w:instrText xml:space="preserve"> PAGEREF _Toc131514787 \h </w:instrText>
      </w:r>
      <w:r>
        <w:fldChar w:fldCharType="separate"/>
      </w:r>
      <w:r>
        <w:t>362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Part</w:t>
      </w:r>
      <w:r>
        <w:rPr>
          <w:snapToGrid w:val="0"/>
        </w:rPr>
        <w:noBreakHyphen/>
        <w:t>time worker, deductions in respect of</w:t>
      </w:r>
      <w:r>
        <w:tab/>
      </w:r>
      <w:r>
        <w:fldChar w:fldCharType="begin"/>
      </w:r>
      <w:r>
        <w:instrText xml:space="preserve"> PAGEREF _Toc131514788 \h </w:instrText>
      </w:r>
      <w:r>
        <w:fldChar w:fldCharType="separate"/>
      </w:r>
      <w:r>
        <w:t>366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Concurrent contracts, deductions in respect of</w:t>
      </w:r>
      <w:r>
        <w:tab/>
      </w:r>
      <w:r>
        <w:fldChar w:fldCharType="begin"/>
      </w:r>
      <w:r>
        <w:instrText xml:space="preserve"> PAGEREF _Toc131514789 \h </w:instrText>
      </w:r>
      <w:r>
        <w:fldChar w:fldCharType="separate"/>
      </w:r>
      <w:r>
        <w:t>366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Casual or seasonal worker, weekly earnings of</w:t>
      </w:r>
      <w:r>
        <w:tab/>
      </w:r>
      <w:r>
        <w:fldChar w:fldCharType="begin"/>
      </w:r>
      <w:r>
        <w:instrText xml:space="preserve"> PAGEREF _Toc131514790 \h </w:instrText>
      </w:r>
      <w:r>
        <w:fldChar w:fldCharType="separate"/>
      </w:r>
      <w:r>
        <w:t>367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Paid board and lodging, effect on earnings</w:t>
      </w:r>
      <w:r>
        <w:tab/>
      </w:r>
      <w:r>
        <w:fldChar w:fldCharType="begin"/>
      </w:r>
      <w:r>
        <w:instrText xml:space="preserve"> PAGEREF _Toc131514791 \h </w:instrText>
      </w:r>
      <w:r>
        <w:fldChar w:fldCharType="separate"/>
      </w:r>
      <w:r>
        <w:t>367</w:t>
      </w:r>
      <w:r>
        <w:fldChar w:fldCharType="end"/>
      </w:r>
    </w:p>
    <w:p>
      <w:pPr>
        <w:pStyle w:val="TOC8"/>
        <w:rPr>
          <w:rFonts w:asciiTheme="minorHAnsi" w:eastAsiaTheme="minorEastAsia" w:hAnsiTheme="minorHAnsi" w:cstheme="minorBidi"/>
          <w:szCs w:val="22"/>
        </w:rPr>
      </w:pPr>
      <w:r>
        <w:t>16A.</w:t>
      </w:r>
      <w:r>
        <w:tab/>
        <w:t>Weekly earnings of jockeys</w:t>
      </w:r>
      <w:r>
        <w:tab/>
      </w:r>
      <w:r>
        <w:fldChar w:fldCharType="begin"/>
      </w:r>
      <w:r>
        <w:instrText xml:space="preserve"> PAGEREF _Toc131514792 \h </w:instrText>
      </w:r>
      <w:r>
        <w:fldChar w:fldCharType="separate"/>
      </w:r>
      <w:r>
        <w:t>368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Varying weekly payments</w:t>
      </w:r>
      <w:r>
        <w:tab/>
      </w:r>
      <w:r>
        <w:fldChar w:fldCharType="begin"/>
      </w:r>
      <w:r>
        <w:instrText xml:space="preserve"> PAGEREF _Toc131514793 \h </w:instrText>
      </w:r>
      <w:r>
        <w:fldChar w:fldCharType="separate"/>
      </w:r>
      <w:r>
        <w:t>368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Medical and other expenses</w:t>
      </w:r>
      <w:r>
        <w:tab/>
      </w:r>
      <w:r>
        <w:fldChar w:fldCharType="begin"/>
      </w:r>
      <w:r>
        <w:instrText xml:space="preserve"> PAGEREF _Toc131514794 \h </w:instrText>
      </w:r>
      <w:r>
        <w:fldChar w:fldCharType="separate"/>
      </w:r>
      <w:r>
        <w:t>369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Hospital charges, amount of</w:t>
      </w:r>
      <w:r>
        <w:tab/>
      </w:r>
      <w:r>
        <w:fldChar w:fldCharType="begin"/>
      </w:r>
      <w:r>
        <w:instrText xml:space="preserve"> PAGEREF _Toc131514795 \h </w:instrText>
      </w:r>
      <w:r>
        <w:fldChar w:fldCharType="separate"/>
      </w:r>
      <w:r>
        <w:t>370</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Expenses exceeding those provided by cl. 17(1)</w:t>
      </w:r>
      <w:r>
        <w:tab/>
      </w:r>
      <w:r>
        <w:fldChar w:fldCharType="begin"/>
      </w:r>
      <w:r>
        <w:instrText xml:space="preserve"> PAGEREF _Toc131514796 \h </w:instrText>
      </w:r>
      <w:r>
        <w:fldChar w:fldCharType="separate"/>
      </w:r>
      <w:r>
        <w:t>371</w:t>
      </w:r>
      <w:r>
        <w:fldChar w:fldCharType="end"/>
      </w:r>
    </w:p>
    <w:p>
      <w:pPr>
        <w:pStyle w:val="TOC8"/>
        <w:rPr>
          <w:rFonts w:asciiTheme="minorHAnsi" w:eastAsiaTheme="minorEastAsia" w:hAnsiTheme="minorHAnsi" w:cstheme="minorBidi"/>
          <w:szCs w:val="22"/>
        </w:rPr>
      </w:pPr>
      <w:r>
        <w:t>18B.</w:t>
      </w:r>
      <w:r>
        <w:tab/>
        <w:t>Final day for cl. 18A(1b) application</w:t>
      </w:r>
      <w:r>
        <w:tab/>
      </w:r>
      <w:r>
        <w:fldChar w:fldCharType="begin"/>
      </w:r>
      <w:r>
        <w:instrText xml:space="preserve"> PAGEREF _Toc131514797 \h </w:instrText>
      </w:r>
      <w:r>
        <w:fldChar w:fldCharType="separate"/>
      </w:r>
      <w:r>
        <w:t>374</w:t>
      </w:r>
      <w:r>
        <w:fldChar w:fldCharType="end"/>
      </w:r>
    </w:p>
    <w:p>
      <w:pPr>
        <w:pStyle w:val="TOC8"/>
        <w:rPr>
          <w:rFonts w:asciiTheme="minorHAnsi" w:eastAsiaTheme="minorEastAsia" w:hAnsiTheme="minorHAnsi" w:cstheme="minorBidi"/>
          <w:szCs w:val="22"/>
        </w:rPr>
      </w:pPr>
      <w:r>
        <w:t>18C.</w:t>
      </w:r>
      <w:r>
        <w:tab/>
        <w:t>Degree of permanent whole of person impairment, dispute as to</w:t>
      </w:r>
      <w:r>
        <w:tab/>
      </w:r>
      <w:r>
        <w:fldChar w:fldCharType="begin"/>
      </w:r>
      <w:r>
        <w:instrText xml:space="preserve"> PAGEREF _Toc131514798 \h </w:instrText>
      </w:r>
      <w:r>
        <w:fldChar w:fldCharType="separate"/>
      </w:r>
      <w:r>
        <w:t>376</w:t>
      </w:r>
      <w:r>
        <w:fldChar w:fldCharType="end"/>
      </w:r>
    </w:p>
    <w:p>
      <w:pPr>
        <w:pStyle w:val="TOC8"/>
        <w:rPr>
          <w:rFonts w:asciiTheme="minorHAnsi" w:eastAsiaTheme="minorEastAsia" w:hAnsiTheme="minorHAnsi" w:cstheme="minorBidi"/>
          <w:szCs w:val="22"/>
        </w:rPr>
      </w:pPr>
      <w:r>
        <w:t>18D.</w:t>
      </w:r>
      <w:r>
        <w:tab/>
        <w:t>Interim payment of expenses exceeding those provided by cl. 17(1)</w:t>
      </w:r>
      <w:r>
        <w:tab/>
      </w:r>
      <w:r>
        <w:fldChar w:fldCharType="begin"/>
      </w:r>
      <w:r>
        <w:instrText xml:space="preserve"> PAGEREF _Toc131514799 \h </w:instrText>
      </w:r>
      <w:r>
        <w:fldChar w:fldCharType="separate"/>
      </w:r>
      <w:r>
        <w:t>376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Travelling expenses</w:t>
      </w:r>
      <w:r>
        <w:tab/>
      </w:r>
      <w:r>
        <w:fldChar w:fldCharType="begin"/>
      </w:r>
      <w:r>
        <w:instrText xml:space="preserve"> PAGEREF _Toc131514800 \h </w:instrText>
      </w:r>
      <w:r>
        <w:fldChar w:fldCharType="separate"/>
      </w:r>
      <w:r>
        <w:t>377</w:t>
      </w:r>
      <w:r>
        <w:fldChar w:fldCharType="end"/>
      </w:r>
    </w:p>
    <w:p>
      <w:pPr>
        <w:pStyle w:val="TOC2"/>
        <w:tabs>
          <w:tab w:val="right" w:leader="dot" w:pos="7077"/>
        </w:tabs>
        <w:rPr>
          <w:rFonts w:asciiTheme="minorHAnsi" w:eastAsiaTheme="minorEastAsia" w:hAnsiTheme="minorHAnsi" w:cstheme="minorBidi"/>
          <w:b w:val="0"/>
          <w:sz w:val="22"/>
          <w:szCs w:val="22"/>
        </w:rPr>
      </w:pPr>
      <w:r>
        <w:t>Schedule 1A — Compensation entitlements when worker has died</w:t>
      </w:r>
    </w:p>
    <w:p>
      <w:pPr>
        <w:pStyle w:val="TOC4"/>
        <w:tabs>
          <w:tab w:val="right" w:leader="dot" w:pos="7077"/>
        </w:tabs>
        <w:rPr>
          <w:rFonts w:asciiTheme="minorHAnsi" w:eastAsiaTheme="minorEastAsia" w:hAnsiTheme="minorHAnsi" w:cstheme="minorBidi"/>
          <w:b w:val="0"/>
          <w:szCs w:val="22"/>
        </w:rPr>
      </w:pPr>
      <w:r>
        <w:t>Division 1 — Application and terms used</w:t>
      </w:r>
    </w:p>
    <w:p>
      <w:pPr>
        <w:pStyle w:val="TOC8"/>
        <w:rPr>
          <w:rFonts w:asciiTheme="minorHAnsi" w:eastAsiaTheme="minorEastAsia" w:hAnsiTheme="minorHAnsi" w:cstheme="minorBidi"/>
          <w:szCs w:val="22"/>
        </w:rPr>
      </w:pPr>
      <w:r>
        <w:t>1.</w:t>
      </w:r>
      <w:r>
        <w:tab/>
        <w:t>Application of Schedule</w:t>
      </w:r>
      <w:r>
        <w:tab/>
      </w:r>
      <w:r>
        <w:fldChar w:fldCharType="begin"/>
      </w:r>
      <w:r>
        <w:instrText xml:space="preserve"> PAGEREF _Toc131514803 \h </w:instrText>
      </w:r>
      <w:r>
        <w:fldChar w:fldCharType="separate"/>
      </w:r>
      <w:r>
        <w:t>379</w:t>
      </w:r>
      <w:r>
        <w:fldChar w:fldCharType="end"/>
      </w:r>
    </w:p>
    <w:p>
      <w:pPr>
        <w:pStyle w:val="TOC8"/>
        <w:rPr>
          <w:rFonts w:asciiTheme="minorHAnsi" w:eastAsiaTheme="minorEastAsia" w:hAnsiTheme="minorHAnsi" w:cstheme="minorBidi"/>
          <w:szCs w:val="22"/>
        </w:rPr>
      </w:pPr>
      <w:r>
        <w:t>2.</w:t>
      </w:r>
      <w:r>
        <w:tab/>
        <w:t>Partners, children and prescribed family members</w:t>
      </w:r>
      <w:r>
        <w:tab/>
      </w:r>
      <w:r>
        <w:fldChar w:fldCharType="begin"/>
      </w:r>
      <w:r>
        <w:instrText xml:space="preserve"> PAGEREF _Toc131514804 \h </w:instrText>
      </w:r>
      <w:r>
        <w:fldChar w:fldCharType="separate"/>
      </w:r>
      <w:r>
        <w:t>379</w:t>
      </w:r>
      <w:r>
        <w:fldChar w:fldCharType="end"/>
      </w:r>
    </w:p>
    <w:p>
      <w:pPr>
        <w:pStyle w:val="TOC8"/>
        <w:rPr>
          <w:rFonts w:asciiTheme="minorHAnsi" w:eastAsiaTheme="minorEastAsia" w:hAnsiTheme="minorHAnsi" w:cstheme="minorBidi"/>
          <w:szCs w:val="22"/>
        </w:rPr>
      </w:pPr>
      <w:r>
        <w:t>3.</w:t>
      </w:r>
      <w:r>
        <w:tab/>
        <w:t>Dependants</w:t>
      </w:r>
      <w:r>
        <w:tab/>
      </w:r>
      <w:r>
        <w:fldChar w:fldCharType="begin"/>
      </w:r>
      <w:r>
        <w:instrText xml:space="preserve"> PAGEREF _Toc131514805 \h </w:instrText>
      </w:r>
      <w:r>
        <w:fldChar w:fldCharType="separate"/>
      </w:r>
      <w:r>
        <w:t>380</w:t>
      </w:r>
      <w:r>
        <w:fldChar w:fldCharType="end"/>
      </w:r>
    </w:p>
    <w:p>
      <w:pPr>
        <w:pStyle w:val="TOC8"/>
        <w:rPr>
          <w:rFonts w:asciiTheme="minorHAnsi" w:eastAsiaTheme="minorEastAsia" w:hAnsiTheme="minorHAnsi" w:cstheme="minorBidi"/>
          <w:szCs w:val="22"/>
        </w:rPr>
      </w:pPr>
      <w:r>
        <w:t>4.</w:t>
      </w:r>
      <w:r>
        <w:tab/>
        <w:t>Lump sum entitlement</w:t>
      </w:r>
      <w:r>
        <w:tab/>
      </w:r>
      <w:r>
        <w:fldChar w:fldCharType="begin"/>
      </w:r>
      <w:r>
        <w:instrText xml:space="preserve"> PAGEREF _Toc131514806 \h </w:instrText>
      </w:r>
      <w:r>
        <w:fldChar w:fldCharType="separate"/>
      </w:r>
      <w:r>
        <w:t>380</w:t>
      </w:r>
      <w:r>
        <w:fldChar w:fldCharType="end"/>
      </w:r>
    </w:p>
    <w:p>
      <w:pPr>
        <w:pStyle w:val="TOC8"/>
        <w:rPr>
          <w:rFonts w:asciiTheme="minorHAnsi" w:eastAsiaTheme="minorEastAsia" w:hAnsiTheme="minorHAnsi" w:cstheme="minorBidi"/>
          <w:szCs w:val="22"/>
        </w:rPr>
      </w:pPr>
      <w:r>
        <w:t>5.</w:t>
      </w:r>
      <w:r>
        <w:tab/>
        <w:t>Child’s allowance</w:t>
      </w:r>
      <w:r>
        <w:tab/>
      </w:r>
      <w:r>
        <w:fldChar w:fldCharType="begin"/>
      </w:r>
      <w:r>
        <w:instrText xml:space="preserve"> PAGEREF _Toc131514807 \h </w:instrText>
      </w:r>
      <w:r>
        <w:fldChar w:fldCharType="separate"/>
      </w:r>
      <w:r>
        <w:t>380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Entitlements if the worker’s death results from the injury</w:t>
      </w:r>
    </w:p>
    <w:p>
      <w:pPr>
        <w:pStyle w:val="TOC8"/>
        <w:rPr>
          <w:rFonts w:asciiTheme="minorHAnsi" w:eastAsiaTheme="minorEastAsia" w:hAnsiTheme="minorHAnsi" w:cstheme="minorBidi"/>
          <w:szCs w:val="22"/>
        </w:rPr>
      </w:pPr>
      <w:r>
        <w:t>6.</w:t>
      </w:r>
      <w:r>
        <w:tab/>
        <w:t>Application of this Division</w:t>
      </w:r>
      <w:r>
        <w:tab/>
      </w:r>
      <w:r>
        <w:fldChar w:fldCharType="begin"/>
      </w:r>
      <w:r>
        <w:instrText xml:space="preserve"> PAGEREF _Toc131514809 \h </w:instrText>
      </w:r>
      <w:r>
        <w:fldChar w:fldCharType="separate"/>
      </w:r>
      <w:r>
        <w:t>381</w:t>
      </w:r>
      <w:r>
        <w:fldChar w:fldCharType="end"/>
      </w:r>
    </w:p>
    <w:p>
      <w:pPr>
        <w:pStyle w:val="TOC8"/>
        <w:rPr>
          <w:rFonts w:asciiTheme="minorHAnsi" w:eastAsiaTheme="minorEastAsia" w:hAnsiTheme="minorHAnsi" w:cstheme="minorBidi"/>
          <w:szCs w:val="22"/>
        </w:rPr>
      </w:pPr>
      <w:r>
        <w:t>7.</w:t>
      </w:r>
      <w:r>
        <w:tab/>
        <w:t>Lump sum compensation for partners, children and others</w:t>
      </w:r>
      <w:r>
        <w:tab/>
      </w:r>
      <w:r>
        <w:fldChar w:fldCharType="begin"/>
      </w:r>
      <w:r>
        <w:instrText xml:space="preserve"> PAGEREF _Toc131514810 \h </w:instrText>
      </w:r>
      <w:r>
        <w:fldChar w:fldCharType="separate"/>
      </w:r>
      <w:r>
        <w:t>381</w:t>
      </w:r>
      <w:r>
        <w:fldChar w:fldCharType="end"/>
      </w:r>
    </w:p>
    <w:p>
      <w:pPr>
        <w:pStyle w:val="TOC8"/>
        <w:rPr>
          <w:rFonts w:asciiTheme="minorHAnsi" w:eastAsiaTheme="minorEastAsia" w:hAnsiTheme="minorHAnsi" w:cstheme="minorBidi"/>
          <w:szCs w:val="22"/>
        </w:rPr>
      </w:pPr>
      <w:r>
        <w:t>8.</w:t>
      </w:r>
      <w:r>
        <w:tab/>
        <w:t>Allowance for children</w:t>
      </w:r>
      <w:r>
        <w:tab/>
      </w:r>
      <w:r>
        <w:fldChar w:fldCharType="begin"/>
      </w:r>
      <w:r>
        <w:instrText xml:space="preserve"> PAGEREF _Toc131514811 \h </w:instrText>
      </w:r>
      <w:r>
        <w:fldChar w:fldCharType="separate"/>
      </w:r>
      <w:r>
        <w:t>384</w:t>
      </w:r>
      <w:r>
        <w:fldChar w:fldCharType="end"/>
      </w:r>
    </w:p>
    <w:p>
      <w:pPr>
        <w:pStyle w:val="TOC8"/>
        <w:rPr>
          <w:rFonts w:asciiTheme="minorHAnsi" w:eastAsiaTheme="minorEastAsia" w:hAnsiTheme="minorHAnsi" w:cstheme="minorBidi"/>
          <w:szCs w:val="22"/>
        </w:rPr>
      </w:pPr>
      <w:r>
        <w:t>9.</w:t>
      </w:r>
      <w:r>
        <w:tab/>
        <w:t>Funeral and medical expenses</w:t>
      </w:r>
      <w:r>
        <w:tab/>
      </w:r>
      <w:r>
        <w:fldChar w:fldCharType="begin"/>
      </w:r>
      <w:r>
        <w:instrText xml:space="preserve"> PAGEREF _Toc131514812 \h </w:instrText>
      </w:r>
      <w:r>
        <w:fldChar w:fldCharType="separate"/>
      </w:r>
      <w:r>
        <w:t>385</w:t>
      </w:r>
      <w:r>
        <w:fldChar w:fldCharType="end"/>
      </w:r>
    </w:p>
    <w:p>
      <w:pPr>
        <w:pStyle w:val="TOC4"/>
        <w:tabs>
          <w:tab w:val="right" w:leader="dot" w:pos="7077"/>
        </w:tabs>
        <w:rPr>
          <w:rFonts w:asciiTheme="minorHAnsi" w:eastAsiaTheme="minorEastAsia" w:hAnsiTheme="minorHAnsi" w:cstheme="minorBidi"/>
          <w:b w:val="0"/>
          <w:szCs w:val="22"/>
        </w:rPr>
      </w:pPr>
      <w:r>
        <w:t>Division 3 — Entitlements if the worker’s death does not result from the injury</w:t>
      </w:r>
    </w:p>
    <w:p>
      <w:pPr>
        <w:pStyle w:val="TOC8"/>
        <w:rPr>
          <w:rFonts w:asciiTheme="minorHAnsi" w:eastAsiaTheme="minorEastAsia" w:hAnsiTheme="minorHAnsi" w:cstheme="minorBidi"/>
          <w:szCs w:val="22"/>
        </w:rPr>
      </w:pPr>
      <w:r>
        <w:t>10.</w:t>
      </w:r>
      <w:r>
        <w:tab/>
        <w:t>Application of this Division</w:t>
      </w:r>
      <w:r>
        <w:tab/>
      </w:r>
      <w:r>
        <w:fldChar w:fldCharType="begin"/>
      </w:r>
      <w:r>
        <w:instrText xml:space="preserve"> PAGEREF _Toc131514814 \h </w:instrText>
      </w:r>
      <w:r>
        <w:fldChar w:fldCharType="separate"/>
      </w:r>
      <w:r>
        <w:t>385</w:t>
      </w:r>
      <w:r>
        <w:fldChar w:fldCharType="end"/>
      </w:r>
    </w:p>
    <w:p>
      <w:pPr>
        <w:pStyle w:val="TOC8"/>
        <w:rPr>
          <w:rFonts w:asciiTheme="minorHAnsi" w:eastAsiaTheme="minorEastAsia" w:hAnsiTheme="minorHAnsi" w:cstheme="minorBidi"/>
          <w:szCs w:val="22"/>
        </w:rPr>
      </w:pPr>
      <w:r>
        <w:t>11.</w:t>
      </w:r>
      <w:r>
        <w:tab/>
        <w:t>Lump sum compensation for partners and children</w:t>
      </w:r>
      <w:r>
        <w:tab/>
      </w:r>
      <w:r>
        <w:fldChar w:fldCharType="begin"/>
      </w:r>
      <w:r>
        <w:instrText xml:space="preserve"> PAGEREF _Toc131514815 \h </w:instrText>
      </w:r>
      <w:r>
        <w:fldChar w:fldCharType="separate"/>
      </w:r>
      <w:r>
        <w:t>386</w:t>
      </w:r>
      <w:r>
        <w:fldChar w:fldCharType="end"/>
      </w:r>
    </w:p>
    <w:p>
      <w:pPr>
        <w:pStyle w:val="TOC2"/>
        <w:tabs>
          <w:tab w:val="right" w:leader="dot" w:pos="7077"/>
        </w:tabs>
        <w:rPr>
          <w:rFonts w:asciiTheme="minorHAnsi" w:eastAsiaTheme="minorEastAsia" w:hAnsiTheme="minorHAnsi" w:cstheme="minorBidi"/>
          <w:b w:val="0"/>
          <w:sz w:val="22"/>
          <w:szCs w:val="22"/>
        </w:rPr>
      </w:pPr>
      <w:r>
        <w:t>Schedule 2 — Table of compensation payable</w:t>
      </w:r>
    </w:p>
    <w:p>
      <w:pPr>
        <w:pStyle w:val="TOC2"/>
        <w:tabs>
          <w:tab w:val="right" w:leader="dot" w:pos="7077"/>
        </w:tabs>
        <w:rPr>
          <w:rFonts w:asciiTheme="minorHAnsi" w:eastAsiaTheme="minorEastAsia" w:hAnsiTheme="minorHAnsi" w:cstheme="minorBidi"/>
          <w:b w:val="0"/>
          <w:sz w:val="22"/>
          <w:szCs w:val="22"/>
        </w:rPr>
      </w:pPr>
      <w:r>
        <w:t>Part 1</w:t>
      </w:r>
    </w:p>
    <w:p>
      <w:pPr>
        <w:pStyle w:val="TOC2"/>
        <w:tabs>
          <w:tab w:val="right" w:leader="dot" w:pos="7077"/>
        </w:tabs>
        <w:rPr>
          <w:rFonts w:asciiTheme="minorHAnsi" w:eastAsiaTheme="minorEastAsia" w:hAnsiTheme="minorHAnsi" w:cstheme="minorBidi"/>
          <w:b w:val="0"/>
          <w:sz w:val="22"/>
          <w:szCs w:val="22"/>
        </w:rPr>
      </w:pPr>
      <w:r>
        <w:t>Part 2</w:t>
      </w:r>
    </w:p>
    <w:p>
      <w:pPr>
        <w:pStyle w:val="TOC2"/>
        <w:tabs>
          <w:tab w:val="right" w:leader="dot" w:pos="7077"/>
        </w:tabs>
        <w:rPr>
          <w:rFonts w:asciiTheme="minorHAnsi" w:eastAsiaTheme="minorEastAsia" w:hAnsiTheme="minorHAnsi" w:cstheme="minorBidi"/>
          <w:b w:val="0"/>
          <w:sz w:val="22"/>
          <w:szCs w:val="22"/>
        </w:rPr>
      </w:pPr>
      <w:r>
        <w:t>Schedule 3 — Specified industrial diseases</w:t>
      </w:r>
    </w:p>
    <w:p>
      <w:pPr>
        <w:pStyle w:val="TOC2"/>
        <w:tabs>
          <w:tab w:val="right" w:leader="dot" w:pos="7077"/>
        </w:tabs>
        <w:rPr>
          <w:rFonts w:asciiTheme="minorHAnsi" w:eastAsiaTheme="minorEastAsia" w:hAnsiTheme="minorHAnsi" w:cstheme="minorBidi"/>
          <w:b w:val="0"/>
          <w:sz w:val="22"/>
          <w:szCs w:val="22"/>
        </w:rPr>
      </w:pPr>
      <w:r>
        <w:t>Schedule 4A — Specified diseases for firefighters</w:t>
      </w:r>
    </w:p>
    <w:p>
      <w:pPr>
        <w:pStyle w:val="TOC2"/>
        <w:tabs>
          <w:tab w:val="right" w:leader="dot" w:pos="7077"/>
        </w:tabs>
        <w:rPr>
          <w:rFonts w:asciiTheme="minorHAnsi" w:eastAsiaTheme="minorEastAsia" w:hAnsiTheme="minorHAnsi" w:cstheme="minorBidi"/>
          <w:b w:val="0"/>
          <w:sz w:val="22"/>
          <w:szCs w:val="22"/>
        </w:rPr>
      </w:pPr>
      <w:r>
        <w:t>Schedule 4 — Specified losses of functions</w:t>
      </w:r>
    </w:p>
    <w:p>
      <w:pPr>
        <w:pStyle w:val="TOC2"/>
        <w:tabs>
          <w:tab w:val="right" w:leader="dot" w:pos="7077"/>
        </w:tabs>
        <w:rPr>
          <w:rFonts w:asciiTheme="minorHAnsi" w:eastAsiaTheme="minorEastAsia" w:hAnsiTheme="minorHAnsi" w:cstheme="minorBidi"/>
          <w:b w:val="0"/>
          <w:sz w:val="22"/>
          <w:szCs w:val="22"/>
        </w:rPr>
      </w:pPr>
      <w:r>
        <w:t>Schedule 5 — Exceptions to cessation of weekly payments by reason of age</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_Toc131514823 \h </w:instrText>
      </w:r>
      <w:r>
        <w:fldChar w:fldCharType="separate"/>
      </w:r>
      <w:r>
        <w:t>399</w:t>
      </w:r>
      <w:r>
        <w:fldChar w:fldCharType="end"/>
      </w:r>
    </w:p>
    <w:p>
      <w:pPr>
        <w:pStyle w:val="TOC8"/>
        <w:rPr>
          <w:rFonts w:asciiTheme="minorHAnsi" w:eastAsiaTheme="minorEastAsia" w:hAnsiTheme="minorHAnsi" w:cstheme="minorBidi"/>
          <w:szCs w:val="22"/>
        </w:rPr>
      </w:pPr>
      <w:r>
        <w:t>1A.</w:t>
      </w:r>
      <w:r>
        <w:tab/>
        <w:t>Successive lung diseases to be regarded as one</w:t>
      </w:r>
      <w:r>
        <w:tab/>
      </w:r>
      <w:r>
        <w:fldChar w:fldCharType="begin"/>
      </w:r>
      <w:r>
        <w:instrText xml:space="preserve"> PAGEREF _Toc131514824 \h </w:instrText>
      </w:r>
      <w:r>
        <w:fldChar w:fldCharType="separate"/>
      </w:r>
      <w:r>
        <w:t>400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Worker who would have worked after age 65</w:t>
      </w:r>
      <w:r>
        <w:tab/>
      </w:r>
      <w:r>
        <w:fldChar w:fldCharType="begin"/>
      </w:r>
      <w:r>
        <w:instrText xml:space="preserve"> PAGEREF _Toc131514825 \h </w:instrText>
      </w:r>
      <w:r>
        <w:fldChar w:fldCharType="separate"/>
      </w:r>
      <w:r>
        <w:t>400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Incapacity for work resulting from pneumoconiosis, mesothelioma and lung cancer, weekly payments for</w:t>
      </w:r>
      <w:r>
        <w:tab/>
      </w:r>
      <w:r>
        <w:fldChar w:fldCharType="begin"/>
      </w:r>
      <w:r>
        <w:instrText xml:space="preserve"> PAGEREF _Toc131514826 \h </w:instrText>
      </w:r>
      <w:r>
        <w:fldChar w:fldCharType="separate"/>
      </w:r>
      <w:r>
        <w:t>400</w:t>
      </w:r>
      <w:r>
        <w:fldChar w:fldCharType="end"/>
      </w:r>
    </w:p>
    <w:p>
      <w:pPr>
        <w:pStyle w:val="TOC8"/>
        <w:rPr>
          <w:rFonts w:asciiTheme="minorHAnsi" w:eastAsiaTheme="minorEastAsia" w:hAnsiTheme="minorHAnsi" w:cstheme="minorBidi"/>
          <w:szCs w:val="22"/>
        </w:rPr>
      </w:pPr>
      <w:r>
        <w:lastRenderedPageBreak/>
        <w:t>4</w:t>
      </w:r>
      <w:r>
        <w:rPr>
          <w:snapToGrid w:val="0"/>
        </w:rPr>
        <w:t>.</w:t>
      </w:r>
      <w:r>
        <w:rPr>
          <w:snapToGrid w:val="0"/>
        </w:rPr>
        <w:tab/>
        <w:t>Worker entitled under cl. 3 may elect to take redemption amount as lump sum or to get supplementary amount weekly</w:t>
      </w:r>
      <w:r>
        <w:tab/>
      </w:r>
      <w:r>
        <w:fldChar w:fldCharType="begin"/>
      </w:r>
      <w:r>
        <w:instrText xml:space="preserve"> PAGEREF _Toc131514827 \h </w:instrText>
      </w:r>
      <w:r>
        <w:fldChar w:fldCharType="separate"/>
      </w:r>
      <w:r>
        <w:t>403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Requirements for election under cl. 4</w:t>
      </w:r>
      <w:r>
        <w:tab/>
      </w:r>
      <w:r>
        <w:fldChar w:fldCharType="begin"/>
      </w:r>
      <w:r>
        <w:instrText xml:space="preserve"> PAGEREF _Toc131514828 \h </w:instrText>
      </w:r>
      <w:r>
        <w:fldChar w:fldCharType="separate"/>
      </w:r>
      <w:r>
        <w:t>404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Effect of receiving the redemption amount as a lump sum</w:t>
      </w:r>
      <w:r>
        <w:tab/>
      </w:r>
      <w:r>
        <w:fldChar w:fldCharType="begin"/>
      </w:r>
      <w:r>
        <w:instrText xml:space="preserve"> PAGEREF _Toc131514829 \h </w:instrText>
      </w:r>
      <w:r>
        <w:fldChar w:fldCharType="separate"/>
      </w:r>
      <w:r>
        <w:t>405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Effect of receiving supplementary amount weekly</w:t>
      </w:r>
      <w:r>
        <w:tab/>
      </w:r>
      <w:r>
        <w:fldChar w:fldCharType="begin"/>
      </w:r>
      <w:r>
        <w:instrText xml:space="preserve"> PAGEREF _Toc131514830 \h </w:instrText>
      </w:r>
      <w:r>
        <w:fldChar w:fldCharType="separate"/>
      </w:r>
      <w:r>
        <w:t>405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Payment of supplementary amount weekly</w:t>
      </w:r>
      <w:r>
        <w:tab/>
      </w:r>
      <w:r>
        <w:fldChar w:fldCharType="begin"/>
      </w:r>
      <w:r>
        <w:instrText xml:space="preserve"> PAGEREF _Toc131514831 \h </w:instrText>
      </w:r>
      <w:r>
        <w:fldChar w:fldCharType="separate"/>
      </w:r>
      <w:r>
        <w:t>406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Death of a worker before 8 Mar 1991 — dependent spouse’s entitlements</w:t>
      </w:r>
      <w:r>
        <w:tab/>
      </w:r>
      <w:r>
        <w:fldChar w:fldCharType="begin"/>
      </w:r>
      <w:r>
        <w:instrText xml:space="preserve"> PAGEREF _Toc131514832 \h </w:instrText>
      </w:r>
      <w:r>
        <w:fldChar w:fldCharType="separate"/>
      </w:r>
      <w:r>
        <w:t>407</w:t>
      </w:r>
      <w:r>
        <w:fldChar w:fldCharType="end"/>
      </w:r>
    </w:p>
    <w:p>
      <w:pPr>
        <w:pStyle w:val="TOC2"/>
        <w:tabs>
          <w:tab w:val="right" w:leader="dot" w:pos="7077"/>
        </w:tabs>
        <w:rPr>
          <w:rFonts w:asciiTheme="minorHAnsi" w:eastAsiaTheme="minorEastAsia" w:hAnsiTheme="minorHAnsi" w:cstheme="minorBidi"/>
          <w:b w:val="0"/>
          <w:sz w:val="22"/>
          <w:szCs w:val="22"/>
        </w:rPr>
      </w:pPr>
      <w:r>
        <w:t>Schedule 6 — Adjacent areas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_Toc131514834 \h </w:instrText>
      </w:r>
      <w:r>
        <w:fldChar w:fldCharType="separate"/>
      </w:r>
      <w:r>
        <w:t>408</w:t>
      </w:r>
      <w:r>
        <w:fldChar w:fldCharType="end"/>
      </w:r>
    </w:p>
    <w:p>
      <w:pPr>
        <w:pStyle w:val="TOC8"/>
        <w:rPr>
          <w:rFonts w:asciiTheme="minorHAnsi" w:eastAsiaTheme="minorEastAsia" w:hAnsiTheme="minorHAnsi" w:cstheme="minorBidi"/>
          <w:szCs w:val="22"/>
        </w:rPr>
      </w:pPr>
      <w:r>
        <w:t>2.</w:t>
      </w:r>
      <w:r>
        <w:tab/>
        <w:t>Adjacent areas defined</w:t>
      </w:r>
      <w:r>
        <w:tab/>
      </w:r>
      <w:r>
        <w:fldChar w:fldCharType="begin"/>
      </w:r>
      <w:r>
        <w:instrText xml:space="preserve"> PAGEREF _Toc131514835 \h </w:instrText>
      </w:r>
      <w:r>
        <w:fldChar w:fldCharType="separate"/>
      </w:r>
      <w:r>
        <w:t>408</w:t>
      </w:r>
      <w:r>
        <w:fldChar w:fldCharType="end"/>
      </w:r>
    </w:p>
    <w:p>
      <w:pPr>
        <w:pStyle w:val="TOC2"/>
        <w:tabs>
          <w:tab w:val="right" w:leader="dot" w:pos="7077"/>
        </w:tabs>
        <w:rPr>
          <w:rFonts w:asciiTheme="minorHAnsi" w:eastAsiaTheme="minorEastAsia" w:hAnsiTheme="minorHAnsi" w:cstheme="minorBidi"/>
          <w:b w:val="0"/>
          <w:sz w:val="22"/>
          <w:szCs w:val="22"/>
        </w:rPr>
      </w:pPr>
      <w:r>
        <w:t>Schedule 7 — Noise induced hearing loss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_Toc131514837 \h </w:instrText>
      </w:r>
      <w:r>
        <w:fldChar w:fldCharType="separate"/>
      </w:r>
      <w:r>
        <w:t>410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Audiometric tests, when some workers have to undergo</w:t>
      </w:r>
      <w:r>
        <w:tab/>
      </w:r>
      <w:r>
        <w:fldChar w:fldCharType="begin"/>
      </w:r>
      <w:r>
        <w:instrText xml:space="preserve"> PAGEREF _Toc131514838 \h </w:instrText>
      </w:r>
      <w:r>
        <w:fldChar w:fldCharType="separate"/>
      </w:r>
      <w:r>
        <w:t>410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Employer to arrange and pay for audiometric test</w:t>
      </w:r>
      <w:r>
        <w:tab/>
      </w:r>
      <w:r>
        <w:fldChar w:fldCharType="begin"/>
      </w:r>
      <w:r>
        <w:instrText xml:space="preserve"> PAGEREF _Toc131514839 \h </w:instrText>
      </w:r>
      <w:r>
        <w:fldChar w:fldCharType="separate"/>
      </w:r>
      <w:r>
        <w:t>411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Carrying out of audiometric tests</w:t>
      </w:r>
      <w:r>
        <w:tab/>
      </w:r>
      <w:r>
        <w:fldChar w:fldCharType="begin"/>
      </w:r>
      <w:r>
        <w:instrText xml:space="preserve"> PAGEREF _Toc131514840 \h </w:instrText>
      </w:r>
      <w:r>
        <w:fldChar w:fldCharType="separate"/>
      </w:r>
      <w:r>
        <w:t>411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Communication and storage of audiometric test results</w:t>
      </w:r>
      <w:r>
        <w:tab/>
      </w:r>
      <w:r>
        <w:fldChar w:fldCharType="begin"/>
      </w:r>
      <w:r>
        <w:instrText xml:space="preserve"> PAGEREF _Toc131514841 \h </w:instrText>
      </w:r>
      <w:r>
        <w:fldChar w:fldCharType="separate"/>
      </w:r>
      <w:r>
        <w:t>412</w:t>
      </w:r>
      <w:r>
        <w:fldChar w:fldCharType="end"/>
      </w:r>
    </w:p>
    <w:p>
      <w:pPr>
        <w:pStyle w:val="TOC8"/>
        <w:rPr>
          <w:rFonts w:asciiTheme="minorHAnsi" w:eastAsiaTheme="minorEastAsia" w:hAnsiTheme="minorHAnsi" w:cstheme="minorBidi"/>
          <w:szCs w:val="22"/>
        </w:rPr>
      </w:pPr>
      <w:r>
        <w:t>6.</w:t>
      </w:r>
      <w:r>
        <w:tab/>
        <w:t>Referring questions about hearing loss etc. to medical assessment panel</w:t>
      </w:r>
      <w:r>
        <w:tab/>
      </w:r>
      <w:r>
        <w:fldChar w:fldCharType="begin"/>
      </w:r>
      <w:r>
        <w:instrText xml:space="preserve"> PAGEREF _Toc131514842 \h </w:instrText>
      </w:r>
      <w:r>
        <w:fldChar w:fldCharType="separate"/>
      </w:r>
      <w:r>
        <w:t>412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w:t>
      </w:r>
      <w:r>
        <w:rPr>
          <w:snapToGrid w:val="0"/>
        </w:rPr>
        <w:noBreakHyphen/>
        <w:t>test of person’s hearing</w:t>
      </w:r>
      <w:r>
        <w:tab/>
      </w:r>
      <w:r>
        <w:fldChar w:fldCharType="begin"/>
      </w:r>
      <w:r>
        <w:instrText xml:space="preserve"> PAGEREF _Toc131514843 \h </w:instrText>
      </w:r>
      <w:r>
        <w:fldChar w:fldCharType="separate"/>
      </w:r>
      <w:r>
        <w:t>412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Determining extent of hearing loss</w:t>
      </w:r>
      <w:r>
        <w:tab/>
      </w:r>
      <w:r>
        <w:fldChar w:fldCharType="begin"/>
      </w:r>
      <w:r>
        <w:instrText xml:space="preserve"> PAGEREF _Toc131514844 \h </w:instrText>
      </w:r>
      <w:r>
        <w:fldChar w:fldCharType="separate"/>
      </w:r>
      <w:r>
        <w:t>413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Audiometric test not conclusive proof that hearing loss is noise induced</w:t>
      </w:r>
      <w:r>
        <w:tab/>
      </w:r>
      <w:r>
        <w:fldChar w:fldCharType="begin"/>
      </w:r>
      <w:r>
        <w:instrText xml:space="preserve"> PAGEREF _Toc131514845 \h </w:instrText>
      </w:r>
      <w:r>
        <w:fldChar w:fldCharType="separate"/>
      </w:r>
      <w:r>
        <w:t>414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Workplaces to be prescribed</w:t>
      </w:r>
      <w:r>
        <w:tab/>
      </w:r>
      <w:r>
        <w:fldChar w:fldCharType="begin"/>
      </w:r>
      <w:r>
        <w:instrText xml:space="preserve"> PAGEREF _Toc131514846 \h </w:instrText>
      </w:r>
      <w:r>
        <w:fldChar w:fldCharType="separate"/>
      </w:r>
      <w:r>
        <w:t>414</w:t>
      </w:r>
      <w:r>
        <w:fldChar w:fldCharType="end"/>
      </w:r>
    </w:p>
    <w:p>
      <w:pPr>
        <w:pStyle w:val="TOC2"/>
        <w:tabs>
          <w:tab w:val="right" w:leader="dot" w:pos="7077"/>
        </w:tabs>
        <w:rPr>
          <w:rFonts w:asciiTheme="minorHAnsi" w:eastAsiaTheme="minorEastAsia" w:hAnsiTheme="minorHAnsi" w:cstheme="minorBidi"/>
          <w:b w:val="0"/>
          <w:sz w:val="22"/>
          <w:szCs w:val="22"/>
        </w:rPr>
      </w:pPr>
      <w:r>
        <w:t>Schedule 8 — Transitional provisions</w:t>
      </w:r>
    </w:p>
    <w:p>
      <w:pPr>
        <w:pStyle w:val="TOC4"/>
        <w:tabs>
          <w:tab w:val="right" w:leader="dot" w:pos="7077"/>
        </w:tabs>
        <w:rPr>
          <w:rFonts w:asciiTheme="minorHAnsi" w:eastAsiaTheme="minorEastAsia" w:hAnsiTheme="minorHAnsi" w:cstheme="minorBidi"/>
          <w:b w:val="0"/>
          <w:szCs w:val="22"/>
        </w:rPr>
      </w:pPr>
      <w:r>
        <w:t>Division 1 — </w:t>
      </w:r>
      <w:r>
        <w:rPr>
          <w:i/>
        </w:rPr>
        <w:t>Workers’ Compensation and Injury Management Amendment Act 2011</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_Toc131514849 \h </w:instrText>
      </w:r>
      <w:r>
        <w:fldChar w:fldCharType="separate"/>
      </w:r>
      <w:r>
        <w:t>415</w:t>
      </w:r>
      <w:r>
        <w:fldChar w:fldCharType="end"/>
      </w:r>
    </w:p>
    <w:p>
      <w:pPr>
        <w:pStyle w:val="TOC8"/>
        <w:rPr>
          <w:rFonts w:asciiTheme="minorHAnsi" w:eastAsiaTheme="minorEastAsia" w:hAnsiTheme="minorHAnsi" w:cstheme="minorBidi"/>
          <w:szCs w:val="22"/>
        </w:rPr>
      </w:pPr>
      <w:r>
        <w:t>2.</w:t>
      </w:r>
      <w:r>
        <w:tab/>
        <w:t>Pending arbitration proceedings</w:t>
      </w:r>
      <w:r>
        <w:tab/>
      </w:r>
      <w:r>
        <w:fldChar w:fldCharType="begin"/>
      </w:r>
      <w:r>
        <w:instrText xml:space="preserve"> PAGEREF _Toc131514850 \h </w:instrText>
      </w:r>
      <w:r>
        <w:fldChar w:fldCharType="separate"/>
      </w:r>
      <w:r>
        <w:t>416</w:t>
      </w:r>
      <w:r>
        <w:fldChar w:fldCharType="end"/>
      </w:r>
    </w:p>
    <w:p>
      <w:pPr>
        <w:pStyle w:val="TOC8"/>
        <w:rPr>
          <w:rFonts w:asciiTheme="minorHAnsi" w:eastAsiaTheme="minorEastAsia" w:hAnsiTheme="minorHAnsi" w:cstheme="minorBidi"/>
          <w:szCs w:val="22"/>
        </w:rPr>
      </w:pPr>
      <w:r>
        <w:t>3.</w:t>
      </w:r>
      <w:r>
        <w:tab/>
        <w:t>Pending Part XII applications</w:t>
      </w:r>
      <w:r>
        <w:tab/>
      </w:r>
      <w:r>
        <w:fldChar w:fldCharType="begin"/>
      </w:r>
      <w:r>
        <w:instrText xml:space="preserve"> PAGEREF _Toc131514851 \h </w:instrText>
      </w:r>
      <w:r>
        <w:fldChar w:fldCharType="separate"/>
      </w:r>
      <w:r>
        <w:t>417</w:t>
      </w:r>
      <w:r>
        <w:fldChar w:fldCharType="end"/>
      </w:r>
    </w:p>
    <w:p>
      <w:pPr>
        <w:pStyle w:val="TOC8"/>
        <w:rPr>
          <w:rFonts w:asciiTheme="minorHAnsi" w:eastAsiaTheme="minorEastAsia" w:hAnsiTheme="minorHAnsi" w:cstheme="minorBidi"/>
          <w:szCs w:val="22"/>
        </w:rPr>
      </w:pPr>
      <w:r>
        <w:t>4.</w:t>
      </w:r>
      <w:r>
        <w:tab/>
        <w:t>DRD records</w:t>
      </w:r>
      <w:r>
        <w:tab/>
      </w:r>
      <w:r>
        <w:fldChar w:fldCharType="begin"/>
      </w:r>
      <w:r>
        <w:instrText xml:space="preserve"> PAGEREF _Toc131514852 \h </w:instrText>
      </w:r>
      <w:r>
        <w:fldChar w:fldCharType="separate"/>
      </w:r>
      <w:r>
        <w:t>417</w:t>
      </w:r>
      <w:r>
        <w:fldChar w:fldCharType="end"/>
      </w:r>
    </w:p>
    <w:p>
      <w:pPr>
        <w:pStyle w:val="TOC8"/>
        <w:rPr>
          <w:rFonts w:asciiTheme="minorHAnsi" w:eastAsiaTheme="minorEastAsia" w:hAnsiTheme="minorHAnsi" w:cstheme="minorBidi"/>
          <w:szCs w:val="22"/>
        </w:rPr>
      </w:pPr>
      <w:r>
        <w:t>5.</w:t>
      </w:r>
      <w:r>
        <w:tab/>
        <w:t>Pending Part XIII matters</w:t>
      </w:r>
      <w:r>
        <w:tab/>
      </w:r>
      <w:r>
        <w:fldChar w:fldCharType="begin"/>
      </w:r>
      <w:r>
        <w:instrText xml:space="preserve"> PAGEREF _Toc131514853 \h </w:instrText>
      </w:r>
      <w:r>
        <w:fldChar w:fldCharType="separate"/>
      </w:r>
      <w:r>
        <w:t>417</w:t>
      </w:r>
      <w:r>
        <w:fldChar w:fldCharType="end"/>
      </w:r>
    </w:p>
    <w:p>
      <w:pPr>
        <w:pStyle w:val="TOC8"/>
        <w:rPr>
          <w:rFonts w:asciiTheme="minorHAnsi" w:eastAsiaTheme="minorEastAsia" w:hAnsiTheme="minorHAnsi" w:cstheme="minorBidi"/>
          <w:szCs w:val="22"/>
        </w:rPr>
      </w:pPr>
      <w:r>
        <w:lastRenderedPageBreak/>
        <w:t>6.</w:t>
      </w:r>
      <w:r>
        <w:tab/>
        <w:t>Pending Court of Appeal matters</w:t>
      </w:r>
      <w:r>
        <w:tab/>
      </w:r>
      <w:r>
        <w:fldChar w:fldCharType="begin"/>
      </w:r>
      <w:r>
        <w:instrText xml:space="preserve"> PAGEREF _Toc131514854 \h </w:instrText>
      </w:r>
      <w:r>
        <w:fldChar w:fldCharType="separate"/>
      </w:r>
      <w:r>
        <w:t>417</w:t>
      </w:r>
      <w:r>
        <w:fldChar w:fldCharType="end"/>
      </w:r>
    </w:p>
    <w:p>
      <w:pPr>
        <w:pStyle w:val="TOC8"/>
        <w:rPr>
          <w:rFonts w:asciiTheme="minorHAnsi" w:eastAsiaTheme="minorEastAsia" w:hAnsiTheme="minorHAnsi" w:cstheme="minorBidi"/>
          <w:szCs w:val="22"/>
        </w:rPr>
      </w:pPr>
      <w:r>
        <w:t>7.</w:t>
      </w:r>
      <w:r>
        <w:tab/>
        <w:t>Further Court of Appeal matters</w:t>
      </w:r>
      <w:r>
        <w:tab/>
      </w:r>
      <w:r>
        <w:fldChar w:fldCharType="begin"/>
      </w:r>
      <w:r>
        <w:instrText xml:space="preserve"> PAGEREF _Toc131514855 \h </w:instrText>
      </w:r>
      <w:r>
        <w:fldChar w:fldCharType="separate"/>
      </w:r>
      <w:r>
        <w:t>418</w:t>
      </w:r>
      <w:r>
        <w:fldChar w:fldCharType="end"/>
      </w:r>
    </w:p>
    <w:p>
      <w:pPr>
        <w:pStyle w:val="TOC8"/>
        <w:rPr>
          <w:rFonts w:asciiTheme="minorHAnsi" w:eastAsiaTheme="minorEastAsia" w:hAnsiTheme="minorHAnsi" w:cstheme="minorBidi"/>
          <w:szCs w:val="22"/>
        </w:rPr>
      </w:pPr>
      <w:r>
        <w:t>8.</w:t>
      </w:r>
      <w:r>
        <w:tab/>
        <w:t>Continuation of Commissioner’s appointment</w:t>
      </w:r>
      <w:r>
        <w:tab/>
      </w:r>
      <w:r>
        <w:fldChar w:fldCharType="begin"/>
      </w:r>
      <w:r>
        <w:instrText xml:space="preserve"> PAGEREF _Toc131514856 \h </w:instrText>
      </w:r>
      <w:r>
        <w:fldChar w:fldCharType="separate"/>
      </w:r>
      <w:r>
        <w:t>418</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Workers’ Compensation and Injury Management Amendment Act 2018</w:t>
      </w:r>
    </w:p>
    <w:p>
      <w:pPr>
        <w:pStyle w:val="TOC8"/>
        <w:rPr>
          <w:rFonts w:asciiTheme="minorHAnsi" w:eastAsiaTheme="minorEastAsia" w:hAnsiTheme="minorHAnsi" w:cstheme="minorBidi"/>
          <w:szCs w:val="22"/>
        </w:rPr>
      </w:pPr>
      <w:r>
        <w:t>9.</w:t>
      </w:r>
      <w:r>
        <w:tab/>
        <w:t>Terms used</w:t>
      </w:r>
      <w:r>
        <w:tab/>
      </w:r>
      <w:r>
        <w:fldChar w:fldCharType="begin"/>
      </w:r>
      <w:r>
        <w:instrText xml:space="preserve"> PAGEREF _Toc131514858 \h </w:instrText>
      </w:r>
      <w:r>
        <w:fldChar w:fldCharType="separate"/>
      </w:r>
      <w:r>
        <w:t>419</w:t>
      </w:r>
      <w:r>
        <w:fldChar w:fldCharType="end"/>
      </w:r>
    </w:p>
    <w:p>
      <w:pPr>
        <w:pStyle w:val="TOC8"/>
        <w:rPr>
          <w:rFonts w:asciiTheme="minorHAnsi" w:eastAsiaTheme="minorEastAsia" w:hAnsiTheme="minorHAnsi" w:cstheme="minorBidi"/>
          <w:szCs w:val="22"/>
        </w:rPr>
      </w:pPr>
      <w:r>
        <w:t>10.</w:t>
      </w:r>
      <w:r>
        <w:tab/>
        <w:t>Former provisions apply to deaths before commencement day</w:t>
      </w:r>
      <w:r>
        <w:tab/>
      </w:r>
      <w:r>
        <w:fldChar w:fldCharType="begin"/>
      </w:r>
      <w:r>
        <w:instrText xml:space="preserve"> PAGEREF _Toc131514859 \h </w:instrText>
      </w:r>
      <w:r>
        <w:fldChar w:fldCharType="separate"/>
      </w:r>
      <w:r>
        <w:t>419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_Toc131514861 \h </w:instrText>
      </w:r>
      <w:r>
        <w:fldChar w:fldCharType="separate"/>
      </w:r>
      <w:r>
        <w:t>420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_Toc131514862 \h </w:instrText>
      </w:r>
      <w:r>
        <w:fldChar w:fldCharType="separate"/>
      </w:r>
      <w:r>
        <w:t>429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_Toc131514863 \h </w:instrText>
      </w:r>
      <w:r>
        <w:fldChar w:fldCharType="separate"/>
      </w:r>
      <w:r>
        <w:t>430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200" w:after="1120"/>
      </w:pPr>
      <w:r>
        <w:t>Workers’ Compensation and Injury Management Act 1981</w:t>
      </w:r>
    </w:p>
    <w:p>
      <w:pPr>
        <w:pStyle w:val="LongTitle"/>
      </w:pPr>
      <w:r>
        <w:t>An Act to amend and consolidate the law relating to compensation for, and the management of, employment</w:t>
      </w:r>
      <w:r>
        <w:noBreakHyphen/>
        <w:t xml:space="preserve">related injuries, to provide for the WorkCover Western Australia Authority </w:t>
      </w:r>
      <w:r>
        <w:rPr>
          <w:bCs/>
        </w:rPr>
        <w:t>to provide for the resolution of disputes,</w:t>
      </w:r>
      <w:r>
        <w:t xml:space="preserve"> and for related purposes.</w:t>
      </w:r>
    </w:p>
    <w:p>
      <w:pPr>
        <w:pStyle w:val="Footnotelongtitle"/>
      </w:pPr>
      <w:r>
        <w:tab/>
        <w:t>[Long title amended: No. 96 of 1990 s. 4; No. 48 of 1993 s. 28(1); No. 42 of 2004 s. 4; No. 31 of 2011 s. 78.]</w:t>
      </w:r>
    </w:p>
    <w:p>
      <w:pPr>
        <w:pStyle w:val="Heading2"/>
      </w:pPr>
      <w:bookmarkStart w:id="3" w:name="_Toc100238273"/>
      <w:bookmarkStart w:id="4" w:name="_Toc100238887"/>
      <w:bookmarkStart w:id="5" w:name="_Toc100562181"/>
      <w:bookmarkStart w:id="6" w:name="_Toc107309816"/>
      <w:bookmarkStart w:id="7" w:name="_Toc107479670"/>
      <w:bookmarkStart w:id="8" w:name="_Toc131501036"/>
      <w:bookmarkStart w:id="9" w:name="_Toc131501653"/>
      <w:bookmarkStart w:id="10" w:name="_Toc131514249"/>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p>
    <w:p>
      <w:pPr>
        <w:pStyle w:val="Heading5"/>
        <w:spacing w:before="260"/>
        <w:rPr>
          <w:snapToGrid w:val="0"/>
        </w:rPr>
      </w:pPr>
      <w:bookmarkStart w:id="11" w:name="_Toc131514250"/>
      <w:r>
        <w:rPr>
          <w:rStyle w:val="CharSectno"/>
        </w:rPr>
        <w:t>1</w:t>
      </w:r>
      <w:r>
        <w:rPr>
          <w:snapToGrid w:val="0"/>
        </w:rPr>
        <w:t>.</w:t>
      </w:r>
      <w:r>
        <w:rPr>
          <w:snapToGrid w:val="0"/>
        </w:rPr>
        <w:tab/>
        <w:t>Short title</w:t>
      </w:r>
      <w:bookmarkEnd w:id="11"/>
    </w:p>
    <w:p>
      <w:pPr>
        <w:pStyle w:val="Subsection"/>
        <w:spacing w:before="180"/>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w:t>
      </w:r>
      <w:r>
        <w:rPr>
          <w:snapToGrid w:val="0"/>
        </w:rPr>
        <w:t>.</w:t>
      </w:r>
    </w:p>
    <w:p>
      <w:pPr>
        <w:pStyle w:val="Footnotesection"/>
      </w:pPr>
      <w:r>
        <w:tab/>
        <w:t>[Section 1 amended: No. 96 of 1990 s. 5; No. 42 of 2004 s. 5.]</w:t>
      </w:r>
    </w:p>
    <w:p>
      <w:pPr>
        <w:pStyle w:val="Heading5"/>
        <w:spacing w:before="260"/>
        <w:rPr>
          <w:snapToGrid w:val="0"/>
        </w:rPr>
      </w:pPr>
      <w:bookmarkStart w:id="12" w:name="_Toc131514251"/>
      <w:r>
        <w:rPr>
          <w:rStyle w:val="CharSectno"/>
        </w:rPr>
        <w:t>2</w:t>
      </w:r>
      <w:r>
        <w:rPr>
          <w:snapToGrid w:val="0"/>
        </w:rPr>
        <w:t>.</w:t>
      </w:r>
      <w:r>
        <w:rPr>
          <w:snapToGrid w:val="0"/>
        </w:rPr>
        <w:tab/>
        <w:t>Commencement</w:t>
      </w:r>
      <w:bookmarkEnd w:id="12"/>
    </w:p>
    <w:p>
      <w:pPr>
        <w:pStyle w:val="Subsection"/>
        <w:spacing w:before="180"/>
        <w:rPr>
          <w:snapToGrid w:val="0"/>
        </w:rPr>
      </w:pPr>
      <w:r>
        <w:rPr>
          <w:snapToGrid w:val="0"/>
        </w:rPr>
        <w:tab/>
      </w:r>
      <w:r>
        <w:rPr>
          <w:snapToGrid w:val="0"/>
        </w:rPr>
        <w:tab/>
        <w:t>The provisions of this Act shall come into operation on such day or days as is or are, respectively, fixed by proclamation.</w:t>
      </w:r>
    </w:p>
    <w:p>
      <w:pPr>
        <w:pStyle w:val="Heading5"/>
        <w:spacing w:before="260"/>
        <w:rPr>
          <w:snapToGrid w:val="0"/>
        </w:rPr>
      </w:pPr>
      <w:bookmarkStart w:id="13" w:name="_Toc131514252"/>
      <w:r>
        <w:rPr>
          <w:rStyle w:val="CharSectno"/>
        </w:rPr>
        <w:t>3</w:t>
      </w:r>
      <w:r>
        <w:rPr>
          <w:snapToGrid w:val="0"/>
        </w:rPr>
        <w:t>.</w:t>
      </w:r>
      <w:r>
        <w:rPr>
          <w:snapToGrid w:val="0"/>
        </w:rPr>
        <w:tab/>
        <w:t>Purposes</w:t>
      </w:r>
      <w:bookmarkEnd w:id="13"/>
    </w:p>
    <w:p>
      <w:pPr>
        <w:pStyle w:val="Subsection"/>
        <w:spacing w:before="180"/>
        <w:rPr>
          <w:snapToGrid w:val="0"/>
        </w:rPr>
      </w:pPr>
      <w:r>
        <w:rPr>
          <w:snapToGrid w:val="0"/>
        </w:rPr>
        <w:tab/>
      </w:r>
      <w:r>
        <w:rPr>
          <w:snapToGrid w:val="0"/>
        </w:rPr>
        <w:tab/>
        <w:t>The purposes of this Act are —</w:t>
      </w:r>
    </w:p>
    <w:p>
      <w:pPr>
        <w:pStyle w:val="Indenta"/>
        <w:spacing w:before="100"/>
      </w:pPr>
      <w:r>
        <w:tab/>
        <w:t>(a)</w:t>
      </w:r>
      <w:r>
        <w:tab/>
        <w:t xml:space="preserve">to establish a workers’ compensation scheme for Western Australia dealing with — </w:t>
      </w:r>
    </w:p>
    <w:p>
      <w:pPr>
        <w:pStyle w:val="Indenti"/>
        <w:spacing w:before="100"/>
      </w:pPr>
      <w:r>
        <w:tab/>
        <w:t>(i)</w:t>
      </w:r>
      <w:r>
        <w:tab/>
        <w:t>compensation payable to or in respect of workers who suffer an injury; and</w:t>
      </w:r>
    </w:p>
    <w:p>
      <w:pPr>
        <w:pStyle w:val="Indenti"/>
        <w:spacing w:before="100"/>
      </w:pPr>
      <w:r>
        <w:tab/>
        <w:t>(ii)</w:t>
      </w:r>
      <w:r>
        <w:tab/>
        <w:t>the management of workers’ injuries in a manner directed at enabling injured workers to return to work; and</w:t>
      </w:r>
    </w:p>
    <w:p>
      <w:pPr>
        <w:pStyle w:val="Indenti"/>
        <w:spacing w:before="100"/>
      </w:pPr>
      <w:r>
        <w:tab/>
        <w:t>(iii)</w:t>
      </w:r>
      <w:r>
        <w:tab/>
        <w:t>specialised retraining programs for injured workers; and</w:t>
      </w:r>
    </w:p>
    <w:p>
      <w:pPr>
        <w:pStyle w:val="Indenti"/>
        <w:spacing w:before="100"/>
      </w:pPr>
      <w:r>
        <w:tab/>
        <w:t>(iv)</w:t>
      </w:r>
      <w:r>
        <w:tab/>
        <w:t>ancillary and related matters;</w:t>
      </w:r>
    </w:p>
    <w:p>
      <w:pPr>
        <w:pStyle w:val="Indenta"/>
        <w:spacing w:before="100"/>
      </w:pPr>
      <w:r>
        <w:tab/>
      </w:r>
      <w:r>
        <w:tab/>
        <w:t>and</w:t>
      </w:r>
    </w:p>
    <w:p>
      <w:pPr>
        <w:pStyle w:val="Indenta"/>
        <w:spacing w:before="100"/>
      </w:pPr>
      <w:r>
        <w:tab/>
        <w:t>(b)</w:t>
      </w:r>
      <w:r>
        <w:tab/>
        <w:t>to establish WorkCover WA to oversee the operation of the workers’ compensation scheme; and</w:t>
      </w:r>
    </w:p>
    <w:p>
      <w:pPr>
        <w:pStyle w:val="Indenta"/>
        <w:spacing w:before="100"/>
      </w:pPr>
      <w:r>
        <w:tab/>
        <w:t>(c)</w:t>
      </w:r>
      <w:r>
        <w:tab/>
        <w:t>to provide for the resolution of disputes under this Act; and</w:t>
      </w:r>
    </w:p>
    <w:p>
      <w:pPr>
        <w:pStyle w:val="Indenta"/>
        <w:spacing w:before="100"/>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w:t>
      </w:r>
      <w:r>
        <w:rPr>
          <w:snapToGrid w:val="0"/>
        </w:rPr>
        <w:lastRenderedPageBreak/>
        <w:t>parties involved in workers’ compensation matters in a manner that is fair, just, economical, informal and quick.</w:t>
      </w:r>
    </w:p>
    <w:p>
      <w:pPr>
        <w:pStyle w:val="Footnotesection"/>
      </w:pPr>
      <w:r>
        <w:tab/>
        <w:t>[Section 3 amended: No. 72 of 1992 s. 4; No. 48 of 1993 s. 28(1); No. 42 of 2004 s. 6, 146 and 148(1); No. 31 of 2011 s. 79.]</w:t>
      </w:r>
    </w:p>
    <w:p>
      <w:pPr>
        <w:pStyle w:val="Heading5"/>
        <w:rPr>
          <w:snapToGrid w:val="0"/>
        </w:rPr>
      </w:pPr>
      <w:bookmarkStart w:id="14" w:name="_Toc131514253"/>
      <w:r>
        <w:rPr>
          <w:rStyle w:val="CharSectno"/>
        </w:rPr>
        <w:t>4</w:t>
      </w:r>
      <w:r>
        <w:rPr>
          <w:snapToGrid w:val="0"/>
        </w:rPr>
        <w:t>.</w:t>
      </w:r>
      <w:r>
        <w:rPr>
          <w:snapToGrid w:val="0"/>
        </w:rPr>
        <w:tab/>
        <w:t>Application of Act generally</w:t>
      </w:r>
      <w:bookmarkEnd w:id="14"/>
    </w:p>
    <w:p>
      <w:pPr>
        <w:pStyle w:val="Subsection"/>
        <w:rPr>
          <w:snapToGrid w:val="0"/>
        </w:rPr>
      </w:pPr>
      <w:r>
        <w:rPr>
          <w:snapToGrid w:val="0"/>
        </w:rPr>
        <w:tab/>
        <w:t>(1)</w:t>
      </w:r>
      <w:r>
        <w:rPr>
          <w:snapToGrid w:val="0"/>
        </w:rPr>
        <w:tab/>
        <w:t xml:space="preserve">In this section </w:t>
      </w:r>
      <w:r>
        <w:rPr>
          <w:rStyle w:val="CharDefText"/>
        </w:rPr>
        <w:t>proclaimed date</w:t>
      </w:r>
      <w:r>
        <w:rPr>
          <w:snapToGrid w:val="0"/>
        </w:rPr>
        <w:t xml:space="preserve"> means the date on which this section comes into operation.</w:t>
      </w:r>
    </w:p>
    <w:p>
      <w:pPr>
        <w:pStyle w:val="Subsection"/>
        <w:rPr>
          <w:snapToGrid w:val="0"/>
        </w:rPr>
      </w:pPr>
      <w:r>
        <w:rPr>
          <w:snapToGrid w:val="0"/>
        </w:rPr>
        <w:tab/>
        <w:t>(2)</w:t>
      </w:r>
      <w:r>
        <w:rPr>
          <w:snapToGrid w:val="0"/>
        </w:rPr>
        <w:tab/>
        <w:t>This Act —</w:t>
      </w:r>
    </w:p>
    <w:p>
      <w:pPr>
        <w:pStyle w:val="Indenta"/>
        <w:rPr>
          <w:snapToGrid w:val="0"/>
        </w:rPr>
      </w:pPr>
      <w:r>
        <w:rPr>
          <w:snapToGrid w:val="0"/>
        </w:rPr>
        <w:tab/>
        <w:t>(a)</w:t>
      </w:r>
      <w:r>
        <w:rPr>
          <w:snapToGrid w:val="0"/>
        </w:rPr>
        <w:tab/>
        <w:t>applies to and in respect of —</w:t>
      </w:r>
    </w:p>
    <w:p>
      <w:pPr>
        <w:pStyle w:val="Indenti"/>
        <w:rPr>
          <w:snapToGrid w:val="0"/>
        </w:rPr>
      </w:pPr>
      <w:r>
        <w:rPr>
          <w:snapToGrid w:val="0"/>
        </w:rPr>
        <w:tab/>
        <w:t>(i)</w:t>
      </w:r>
      <w:r>
        <w:rPr>
          <w:snapToGrid w:val="0"/>
        </w:rPr>
        <w:tab/>
        <w:t>liability and the extent of liability to pay compensation and to pay for the provision of other benefits; and</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w:t>
      </w:r>
      <w:r>
        <w:rPr>
          <w:snapToGrid w:val="0"/>
        </w:rPr>
        <w:lastRenderedPageBreak/>
        <w:t>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lastRenderedPageBreak/>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No. 42 of 2004 s. 7, 146 and 147.]</w:t>
      </w:r>
    </w:p>
    <w:p>
      <w:pPr>
        <w:pStyle w:val="Heading5"/>
        <w:rPr>
          <w:snapToGrid w:val="0"/>
        </w:rPr>
      </w:pPr>
      <w:bookmarkStart w:id="15" w:name="_Toc131514254"/>
      <w:r>
        <w:rPr>
          <w:rStyle w:val="CharSectno"/>
        </w:rPr>
        <w:t>5</w:t>
      </w:r>
      <w:r>
        <w:rPr>
          <w:snapToGrid w:val="0"/>
        </w:rPr>
        <w:t>.</w:t>
      </w:r>
      <w:r>
        <w:rPr>
          <w:snapToGrid w:val="0"/>
        </w:rPr>
        <w:tab/>
        <w:t>Terms used</w:t>
      </w:r>
      <w:bookmarkEnd w:id="15"/>
    </w:p>
    <w:p>
      <w:pPr>
        <w:pStyle w:val="Subsection"/>
        <w:keepNext/>
        <w:rPr>
          <w:snapToGrid w:val="0"/>
        </w:rPr>
      </w:pPr>
      <w:r>
        <w:rPr>
          <w:snapToGrid w:val="0"/>
        </w:rPr>
        <w:tab/>
        <w:t>(1)</w:t>
      </w:r>
      <w:r>
        <w:rPr>
          <w:snapToGrid w:val="0"/>
        </w:rPr>
        <w:tab/>
        <w:t>In this Act, unless the contrary intention appears —</w:t>
      </w:r>
    </w:p>
    <w:p>
      <w:pPr>
        <w:pStyle w:val="Defstart"/>
      </w:pPr>
      <w:r>
        <w:tab/>
      </w:r>
      <w:r>
        <w:rPr>
          <w:rStyle w:val="CharDefText"/>
        </w:rPr>
        <w:t>application for conciliation</w:t>
      </w:r>
      <w:r>
        <w:t xml:space="preserve"> means an application under section 182E;</w:t>
      </w:r>
    </w:p>
    <w:p>
      <w:pPr>
        <w:pStyle w:val="Defstart"/>
      </w:pPr>
      <w:r>
        <w:rPr>
          <w:b/>
        </w:rPr>
        <w:tab/>
      </w:r>
      <w:r>
        <w:rPr>
          <w:rStyle w:val="CharDefText"/>
        </w:rPr>
        <w:t>approved insurance office</w:t>
      </w:r>
      <w:r>
        <w:t xml:space="preserve"> means an insurance office approved under section 161;</w:t>
      </w:r>
    </w:p>
    <w:p>
      <w:pPr>
        <w:pStyle w:val="Defstart"/>
      </w:pPr>
      <w:r>
        <w:rPr>
          <w:b/>
        </w:rPr>
        <w:tab/>
      </w:r>
      <w:r>
        <w:rPr>
          <w:rStyle w:val="CharDefText"/>
        </w:rPr>
        <w:t>approved medical specialist</w:t>
      </w:r>
      <w:r>
        <w:t xml:space="preserve"> means a person for the time being designated under section 146F as an approved medical specialist;</w:t>
      </w:r>
    </w:p>
    <w:p>
      <w:pPr>
        <w:pStyle w:val="Defstart"/>
      </w:pPr>
      <w:r>
        <w:rPr>
          <w:b/>
        </w:rPr>
        <w:tab/>
      </w:r>
      <w:r>
        <w:rPr>
          <w:rStyle w:val="CharDefText"/>
        </w:rPr>
        <w:t>approved medical specialist panel</w:t>
      </w:r>
      <w:r>
        <w:t xml:space="preserve"> means an approved medical specialist panel constituted under Part VII Division 3;</w:t>
      </w:r>
    </w:p>
    <w:p>
      <w:pPr>
        <w:pStyle w:val="Defstart"/>
      </w:pPr>
      <w:r>
        <w:rPr>
          <w:b/>
        </w:rPr>
        <w:tab/>
      </w:r>
      <w:r>
        <w:rPr>
          <w:rStyle w:val="CharDefText"/>
        </w:rPr>
        <w:t>approved treatment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r>
      <w:r>
        <w:rPr>
          <w:rStyle w:val="CharDefText"/>
        </w:rPr>
        <w:t>approved vocational rehabilitation provider</w:t>
      </w:r>
      <w:r>
        <w:t xml:space="preserve"> means a person approved under section 156 as a vocational rehabilitation provider;</w:t>
      </w:r>
    </w:p>
    <w:p>
      <w:pPr>
        <w:pStyle w:val="Defstart"/>
      </w:pPr>
      <w:r>
        <w:tab/>
      </w:r>
      <w:r>
        <w:rPr>
          <w:rStyle w:val="CharDefText"/>
        </w:rPr>
        <w:t>arbitration rules</w:t>
      </w:r>
      <w:r>
        <w:t xml:space="preserve"> means the rules made under section 293B;</w:t>
      </w:r>
    </w:p>
    <w:p>
      <w:pPr>
        <w:pStyle w:val="Defstart"/>
      </w:pPr>
      <w:r>
        <w:tab/>
      </w:r>
      <w:r>
        <w:rPr>
          <w:rStyle w:val="CharDefText"/>
        </w:rPr>
        <w:t>Arbitration Service</w:t>
      </w:r>
      <w:r>
        <w:t xml:space="preserve"> means the Workers’ Compensation Arbitration Service established under section 182ZO;</w:t>
      </w:r>
    </w:p>
    <w:p>
      <w:pPr>
        <w:pStyle w:val="Defstart"/>
      </w:pPr>
      <w:r>
        <w:tab/>
      </w:r>
      <w:r>
        <w:rPr>
          <w:rStyle w:val="CharDefText"/>
        </w:rPr>
        <w:t>arbitrator</w:t>
      </w:r>
      <w:r>
        <w:t xml:space="preserve"> means an officer of WorkCover WA designated or engaged under section 182ZQ as an arbitrator;</w:t>
      </w:r>
    </w:p>
    <w:p>
      <w:pPr>
        <w:pStyle w:val="Defstart"/>
      </w:pPr>
      <w:r>
        <w:rPr>
          <w:b/>
        </w:rPr>
        <w:tab/>
      </w:r>
      <w:r>
        <w:rPr>
          <w:rStyle w:val="CharDefText"/>
        </w:rPr>
        <w:t>Chairman of WorkCover WA</w:t>
      </w:r>
      <w:r>
        <w:t xml:space="preserve"> means the person appointed to the office of Chairman of WorkCover WA’s governing body and includes a person appointed to act in the place and during the absence of the Chairman while that person is so acting;</w:t>
      </w:r>
    </w:p>
    <w:p>
      <w:pPr>
        <w:pStyle w:val="Defstart"/>
      </w:pPr>
      <w:r>
        <w:rPr>
          <w:b/>
        </w:rPr>
        <w:lastRenderedPageBreak/>
        <w:tab/>
      </w:r>
      <w:r>
        <w:rPr>
          <w:rStyle w:val="CharDefText"/>
        </w:rPr>
        <w:t>chief executive officer</w:t>
      </w:r>
      <w:r>
        <w:t xml:space="preserve"> means the person appointed under the </w:t>
      </w:r>
      <w:r>
        <w:rPr>
          <w:i/>
        </w:rPr>
        <w:t>Public Sector Management Act 1994</w:t>
      </w:r>
      <w:r>
        <w:t xml:space="preserve"> to the office of chief executive officer of WorkCover WA and includes a person appointed to act in the place and during the absence of the chief executive officer while that person is so acting;</w:t>
      </w:r>
    </w:p>
    <w:p>
      <w:pPr>
        <w:pStyle w:val="Defstart"/>
      </w:pPr>
      <w:r>
        <w:tab/>
      </w:r>
      <w:r>
        <w:rPr>
          <w:rStyle w:val="CharDefText"/>
        </w:rPr>
        <w:t>chiropractor</w:t>
      </w:r>
      <w:r>
        <w:t xml:space="preserve"> means a person who is resident in this State and is registered under the </w:t>
      </w:r>
      <w:r>
        <w:rPr>
          <w:i/>
        </w:rPr>
        <w:t>Health Practitioner Regulation National Law (Western Australia)</w:t>
      </w:r>
      <w:r>
        <w:t xml:space="preserve"> in the chiropractic profession;</w:t>
      </w:r>
    </w:p>
    <w:p>
      <w:pPr>
        <w:pStyle w:val="Defstart"/>
      </w:pPr>
      <w:r>
        <w:rPr>
          <w:b/>
        </w:rPr>
        <w:tab/>
      </w:r>
      <w:r>
        <w:rPr>
          <w:rStyle w:val="CharDefText"/>
        </w:rPr>
        <w:t>clause</w:t>
      </w:r>
      <w:r>
        <w:t xml:space="preserve"> means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tab/>
      </w:r>
      <w:r>
        <w:rPr>
          <w:rStyle w:val="CharDefText"/>
        </w:rPr>
        <w:t>conciliation officer</w:t>
      </w:r>
      <w:r>
        <w:t xml:space="preserve"> means a person designated or engaged under section 182B as a conciliation officer;</w:t>
      </w:r>
    </w:p>
    <w:p>
      <w:pPr>
        <w:pStyle w:val="Defstart"/>
      </w:pPr>
      <w:r>
        <w:tab/>
      </w:r>
      <w:r>
        <w:rPr>
          <w:rStyle w:val="CharDefText"/>
        </w:rPr>
        <w:t>conciliation rules</w:t>
      </w:r>
      <w:r>
        <w:t xml:space="preserve"> means the rules made under section 293A;</w:t>
      </w:r>
    </w:p>
    <w:p>
      <w:pPr>
        <w:pStyle w:val="Defstart"/>
      </w:pPr>
      <w:r>
        <w:tab/>
      </w:r>
      <w:r>
        <w:rPr>
          <w:rStyle w:val="CharDefText"/>
        </w:rPr>
        <w:t>Conciliation Service</w:t>
      </w:r>
      <w:r>
        <w:t xml:space="preserve"> means the Workers’ Compensation Conciliation Service established under section 181;</w:t>
      </w:r>
    </w:p>
    <w:p>
      <w:pPr>
        <w:pStyle w:val="Defstart"/>
      </w:pPr>
      <w:r>
        <w:rPr>
          <w:b/>
        </w:rPr>
        <w:tab/>
      </w:r>
      <w:r>
        <w:rPr>
          <w:rStyle w:val="CharDefText"/>
        </w:rPr>
        <w:t>contract of insurance</w:t>
      </w:r>
      <w:r>
        <w:t xml:space="preserve"> includes a cover note;</w:t>
      </w:r>
    </w:p>
    <w:p>
      <w:pPr>
        <w:pStyle w:val="Defstart"/>
        <w:spacing w:before="70"/>
      </w:pPr>
      <w:r>
        <w:rPr>
          <w:b/>
        </w:rPr>
        <w:tab/>
      </w:r>
      <w:r>
        <w:rPr>
          <w:rStyle w:val="CharDefText"/>
        </w:rPr>
        <w:t>decision</w:t>
      </w:r>
      <w:r>
        <w:t xml:space="preserve"> includes an order, award, direction or determination;</w:t>
      </w:r>
    </w:p>
    <w:p>
      <w:pPr>
        <w:pStyle w:val="Defstart"/>
        <w:spacing w:before="70"/>
      </w:pPr>
      <w:r>
        <w:rPr>
          <w:b/>
        </w:rPr>
        <w:tab/>
      </w:r>
      <w:r>
        <w:rPr>
          <w:rStyle w:val="CharDefText"/>
        </w:rPr>
        <w:t>dentist</w:t>
      </w:r>
      <w:r>
        <w:t xml:space="preserve"> means —</w:t>
      </w:r>
    </w:p>
    <w:p>
      <w:pPr>
        <w:pStyle w:val="Defpara"/>
        <w:spacing w:before="70"/>
      </w:pPr>
      <w:r>
        <w:tab/>
        <w:t>(a)</w:t>
      </w:r>
      <w:r>
        <w:tab/>
        <w:t xml:space="preserve">a person who is resident in this State and is registered under the </w:t>
      </w:r>
      <w:r>
        <w:rPr>
          <w:i/>
          <w:iCs/>
        </w:rPr>
        <w:t xml:space="preserve">Health Practitioner Regulation National Law (Western Australia) </w:t>
      </w:r>
      <w:r>
        <w:t>in the dental profession whose name is entered on the Dentists Division of the Register of Dental Practitioners kept under that Law; or</w:t>
      </w:r>
    </w:p>
    <w:p>
      <w:pPr>
        <w:pStyle w:val="Defpara"/>
        <w:spacing w:before="70"/>
      </w:pPr>
      <w:r>
        <w:tab/>
        <w:t>(b)</w:t>
      </w:r>
      <w:r>
        <w:tab/>
        <w:t>a person who is not resident in a State or Territory of the Commonwealth but who is recognised as a dentist for the purposes of this Act by WorkCover WA;</w:t>
      </w:r>
    </w:p>
    <w:p>
      <w:pPr>
        <w:pStyle w:val="Defstart"/>
      </w:pPr>
      <w:r>
        <w:lastRenderedPageBreak/>
        <w:tab/>
      </w:r>
      <w:r>
        <w:rPr>
          <w:rStyle w:val="CharDefText"/>
        </w:rPr>
        <w:t>dependant</w:t>
      </w:r>
      <w:r>
        <w:t xml:space="preserve"> of a deceased worker has the meaning given in Schedule 1A clause 3;</w:t>
      </w:r>
    </w:p>
    <w:p>
      <w:pPr>
        <w:pStyle w:val="Defstart"/>
      </w:pPr>
      <w:r>
        <w:tab/>
      </w:r>
      <w:r>
        <w:rPr>
          <w:rStyle w:val="CharDefText"/>
        </w:rPr>
        <w:t>Director</w:t>
      </w:r>
      <w:r>
        <w:t xml:space="preserve"> means the officer of WorkCover WA designated under section 182A as the Director, Conciliation;</w:t>
      </w:r>
    </w:p>
    <w:p>
      <w:pPr>
        <w:pStyle w:val="Defstart"/>
        <w:spacing w:before="70"/>
      </w:pPr>
      <w:r>
        <w:rPr>
          <w:b/>
        </w:rPr>
        <w:tab/>
      </w:r>
      <w:r>
        <w:rPr>
          <w:rStyle w:val="CharDefText"/>
        </w:rPr>
        <w:t>disease</w:t>
      </w:r>
      <w:r>
        <w:t xml:space="preserve"> includes any physical or mental ailment, disorder, defect, or morbid condition whether of sudden or gradual development;</w:t>
      </w:r>
    </w:p>
    <w:p>
      <w:pPr>
        <w:pStyle w:val="Defstart"/>
      </w:pPr>
      <w:r>
        <w:tab/>
      </w:r>
      <w:r>
        <w:rPr>
          <w:rStyle w:val="CharDefText"/>
        </w:rPr>
        <w:t>dispute resolution authority</w:t>
      </w:r>
      <w:r>
        <w:t xml:space="preserve"> means the Director, the Registrar, a conciliation officer or an arbitrator;</w:t>
      </w:r>
    </w:p>
    <w:p>
      <w:pPr>
        <w:pStyle w:val="Defstart"/>
        <w:spacing w:before="70"/>
      </w:pPr>
      <w:r>
        <w:rPr>
          <w:b/>
        </w:rPr>
        <w:tab/>
      </w:r>
      <w:r>
        <w:rPr>
          <w:rStyle w:val="CharDefText"/>
        </w:rPr>
        <w:t>District Court</w:t>
      </w:r>
      <w:r>
        <w:t xml:space="preserve"> means The District Court of Western Australia established under the </w:t>
      </w:r>
      <w:r>
        <w:rPr>
          <w:i/>
        </w:rPr>
        <w:t>District Court of Western Australia Act 1969</w:t>
      </w:r>
      <w:r>
        <w:t>;</w:t>
      </w:r>
    </w:p>
    <w:p>
      <w:pPr>
        <w:pStyle w:val="Defstart"/>
        <w:spacing w:before="70"/>
      </w:pPr>
      <w:r>
        <w:rPr>
          <w:b/>
        </w:rPr>
        <w:tab/>
      </w:r>
      <w:r>
        <w:rPr>
          <w:rStyle w:val="CharDefText"/>
        </w:rPr>
        <w:t>Division</w:t>
      </w:r>
      <w:r>
        <w:t xml:space="preserve"> means a Division of the Part wherein the term is used;</w:t>
      </w:r>
    </w:p>
    <w:p>
      <w:pPr>
        <w:pStyle w:val="Defstart"/>
      </w:pPr>
      <w:r>
        <w:tab/>
      </w:r>
      <w:r>
        <w:rPr>
          <w:rStyle w:val="CharDefText"/>
        </w:rPr>
        <w:t>drug of addiction</w:t>
      </w:r>
      <w:r>
        <w:t xml:space="preserve"> has the meaning given in the </w:t>
      </w:r>
      <w:r>
        <w:rPr>
          <w:i/>
        </w:rPr>
        <w:t>Misuse of Drugs Act 1981</w:t>
      </w:r>
      <w:r>
        <w:t xml:space="preserve"> section 3(1);</w:t>
      </w:r>
    </w:p>
    <w:p>
      <w:pPr>
        <w:pStyle w:val="Defstart"/>
        <w:spacing w:before="70"/>
      </w:pPr>
      <w:r>
        <w:rPr>
          <w:b/>
        </w:rPr>
        <w:tab/>
      </w:r>
      <w:r>
        <w:rPr>
          <w:rStyle w:val="CharDefText"/>
        </w:rPr>
        <w:t>earnings</w:t>
      </w:r>
      <w:r>
        <w:t xml:space="preserve"> includes weekly payments of compensation under this Act;</w:t>
      </w:r>
    </w:p>
    <w:p>
      <w:pPr>
        <w:pStyle w:val="Defstart"/>
      </w:pPr>
      <w:r>
        <w:rPr>
          <w:b/>
        </w:rPr>
        <w:tab/>
      </w:r>
      <w:r>
        <w:rPr>
          <w:rStyle w:val="CharDefText"/>
        </w:rPr>
        <w:t>employer</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pPr>
      <w:r>
        <w:tab/>
        <w:t xml:space="preserve">the term </w:t>
      </w:r>
      <w:r>
        <w:rPr>
          <w:rStyle w:val="CharDefText"/>
        </w:rPr>
        <w:t>employer</w:t>
      </w:r>
      <w:r>
        <w:t xml:space="preserve"> shall extend to any person for or by whom any worker, as defined in paragraph (a) or (b) of the definition of </w:t>
      </w:r>
      <w:r>
        <w:rPr>
          <w:b/>
          <w:bCs/>
          <w:i/>
          <w:iCs/>
        </w:rPr>
        <w:t>worker</w:t>
      </w:r>
      <w:r>
        <w:t>, works or is engaged; and</w:t>
      </w:r>
    </w:p>
    <w:p>
      <w:pPr>
        <w:pStyle w:val="Defstart"/>
      </w:pPr>
      <w:r>
        <w:rPr>
          <w:b/>
        </w:rPr>
        <w:tab/>
      </w:r>
      <w:r>
        <w:rPr>
          <w:rStyle w:val="CharDefText"/>
        </w:rPr>
        <w:t>employer</w:t>
      </w:r>
      <w:r>
        <w:t xml:space="preserve"> in relation to liability to pay compensation for or in respect of an injury to a worker, means the employer in the relevant employment;</w:t>
      </w:r>
    </w:p>
    <w:p>
      <w:pPr>
        <w:pStyle w:val="Defstart"/>
      </w:pPr>
      <w:r>
        <w:rPr>
          <w:b/>
        </w:rPr>
        <w:tab/>
      </w:r>
      <w:r>
        <w:rPr>
          <w:rStyle w:val="CharDefText"/>
        </w:rPr>
        <w:t>estimate</w:t>
      </w:r>
      <w:r>
        <w:t xml:space="preserve"> means the estimate prepared and approved as provided by section 107(1);</w:t>
      </w:r>
    </w:p>
    <w:p>
      <w:pPr>
        <w:pStyle w:val="Defstart"/>
      </w:pPr>
      <w:r>
        <w:rPr>
          <w:b/>
        </w:rPr>
        <w:lastRenderedPageBreak/>
        <w:tab/>
      </w:r>
      <w:r>
        <w:rPr>
          <w:rStyle w:val="CharDefText"/>
        </w:rPr>
        <w:t>General Account</w:t>
      </w:r>
      <w:r>
        <w:t xml:space="preserve"> means the Workers’ Compensation and Injury Management General Account established under this Act;</w:t>
      </w:r>
    </w:p>
    <w:p>
      <w:pPr>
        <w:pStyle w:val="Defstart"/>
      </w:pPr>
      <w:r>
        <w:rPr>
          <w:b/>
        </w:rPr>
        <w:tab/>
      </w:r>
      <w:r>
        <w:rPr>
          <w:rStyle w:val="CharDefText"/>
        </w:rPr>
        <w:t>industrial agreement</w:t>
      </w:r>
      <w:r>
        <w:t xml:space="preserve"> means an agreement which wholly or partially regulates the terms or conditions of employment;</w:t>
      </w:r>
    </w:p>
    <w:p>
      <w:pPr>
        <w:pStyle w:val="Defstart"/>
      </w:pPr>
      <w:r>
        <w:rPr>
          <w:b/>
        </w:rPr>
        <w:tab/>
      </w:r>
      <w:r>
        <w:rPr>
          <w:rStyle w:val="CharDefText"/>
        </w:rPr>
        <w:t>industrial award</w:t>
      </w:r>
      <w:r>
        <w:t xml:space="preserve"> means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 or</w:t>
      </w:r>
    </w:p>
    <w:p>
      <w:pPr>
        <w:pStyle w:val="Defpara"/>
      </w:pPr>
      <w:r>
        <w:tab/>
        <w:t>(b)</w:t>
      </w:r>
      <w:r>
        <w:tab/>
        <w:t xml:space="preserve">an industrial agreement as defined in the </w:t>
      </w:r>
      <w:r>
        <w:rPr>
          <w:i/>
        </w:rPr>
        <w:t>Industrial Relations Act 1979</w:t>
      </w:r>
      <w:r>
        <w:t>; or</w:t>
      </w:r>
    </w:p>
    <w:p>
      <w:pPr>
        <w:pStyle w:val="Ednotedefpara"/>
      </w:pPr>
      <w:r>
        <w:tab/>
        <w:t>[(c)</w:t>
      </w:r>
      <w:r>
        <w:tab/>
        <w:t>deleted]</w:t>
      </w:r>
    </w:p>
    <w:p>
      <w:pPr>
        <w:pStyle w:val="Defpara"/>
      </w:pPr>
      <w:r>
        <w:tab/>
        <w:t>(d)</w:t>
      </w:r>
      <w:r>
        <w:tab/>
        <w:t xml:space="preserve">an award, order, agreement or other instrument — </w:t>
      </w:r>
    </w:p>
    <w:p>
      <w:pPr>
        <w:pStyle w:val="Defsubpara"/>
      </w:pPr>
      <w:r>
        <w:tab/>
        <w:t>(i)</w:t>
      </w:r>
      <w:r>
        <w:tab/>
        <w:t>of a class prescribed by the regulations; and</w:t>
      </w:r>
    </w:p>
    <w:p>
      <w:pPr>
        <w:pStyle w:val="Defsubpara"/>
      </w:pPr>
      <w:r>
        <w:tab/>
        <w:t>(ii)</w:t>
      </w:r>
      <w:r>
        <w:tab/>
        <w:t>under a law of the State or the Commonwealth prescribed by the regulations,</w:t>
      </w:r>
    </w:p>
    <w:p>
      <w:pPr>
        <w:pStyle w:val="Defstart"/>
      </w:pPr>
      <w:r>
        <w:tab/>
        <w:t>as the relevant employment requires;</w:t>
      </w:r>
    </w:p>
    <w:p>
      <w:pPr>
        <w:pStyle w:val="Defstart"/>
      </w:pPr>
      <w:r>
        <w:rPr>
          <w:b/>
        </w:rPr>
        <w:tab/>
      </w:r>
      <w:r>
        <w:rPr>
          <w:rStyle w:val="CharDefText"/>
        </w:rPr>
        <w:t>industrial disease premium</w:t>
      </w:r>
      <w:r>
        <w:t xml:space="preserve"> means the additional industrial disease premium fixed pursuant to section 151(a)(iii);</w:t>
      </w:r>
    </w:p>
    <w:p>
      <w:pPr>
        <w:pStyle w:val="Defstart"/>
      </w:pPr>
      <w:r>
        <w:rPr>
          <w:b/>
        </w:rPr>
        <w:tab/>
      </w:r>
      <w:r>
        <w:rPr>
          <w:rStyle w:val="CharDefText"/>
        </w:rPr>
        <w:t>injury</w:t>
      </w:r>
      <w:r>
        <w:t xml:space="preserve"> means —</w:t>
      </w:r>
    </w:p>
    <w:p>
      <w:pPr>
        <w:pStyle w:val="Defpara"/>
      </w:pPr>
      <w:r>
        <w:tab/>
        <w:t>(a)</w:t>
      </w:r>
      <w:r>
        <w:tab/>
        <w:t>a personal injury by accident arising out of or in the course of the employment, or whilst the worker is acting under the employer’s instructions; or</w:t>
      </w:r>
    </w:p>
    <w:p>
      <w:pPr>
        <w:pStyle w:val="Defpara"/>
      </w:pPr>
      <w:r>
        <w:tab/>
        <w:t>(b)</w:t>
      </w:r>
      <w:r>
        <w:tab/>
        <w:t>a disease because of which an injury occurs under section 32 or 33; or</w:t>
      </w:r>
    </w:p>
    <w:p>
      <w:pPr>
        <w:pStyle w:val="Defpara"/>
      </w:pPr>
      <w:r>
        <w:tab/>
        <w:t>(c)</w:t>
      </w:r>
      <w:r>
        <w:tab/>
        <w:t>a disease contracted by a worker in the course of his employment at or away from his place of employment and to which the employment was a contributing factor and contributed to a significant degree; or</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keepNext/>
      </w:pPr>
      <w:r>
        <w:lastRenderedPageBreak/>
        <w:tab/>
        <w:t>(e)</w:t>
      </w:r>
      <w:r>
        <w:tab/>
        <w:t>a loss of function that occurs in the circumstances mentioned in section 49,</w:t>
      </w:r>
    </w:p>
    <w:p>
      <w:pPr>
        <w:pStyle w:val="Defstart"/>
      </w:pP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r>
      <w:r>
        <w:rPr>
          <w:rStyle w:val="CharDefText"/>
        </w:rPr>
        <w:t>injury management</w:t>
      </w:r>
      <w:r>
        <w:t xml:space="preserve"> means the management of workers’ injuries in a manner that is directed at enabling injured workers to return to work;</w:t>
      </w:r>
    </w:p>
    <w:p>
      <w:pPr>
        <w:pStyle w:val="Defstart"/>
      </w:pPr>
      <w:r>
        <w:rPr>
          <w:b/>
        </w:rPr>
        <w:tab/>
      </w:r>
      <w:r>
        <w:rPr>
          <w:rStyle w:val="CharDefText"/>
        </w:rPr>
        <w:t>inspector</w:t>
      </w:r>
      <w:r>
        <w:t xml:space="preserve"> means a person authorised as an inspector under section 175A(1);</w:t>
      </w:r>
    </w:p>
    <w:p>
      <w:pPr>
        <w:pStyle w:val="Defstart"/>
      </w:pPr>
      <w:r>
        <w:tab/>
      </w:r>
      <w:r>
        <w:rPr>
          <w:rStyle w:val="CharDefText"/>
        </w:rPr>
        <w:t xml:space="preserve">Insurance Commission of Western Australia </w:t>
      </w:r>
      <w:r>
        <w:t xml:space="preserve">means the body continued under that name under the </w:t>
      </w:r>
      <w:r>
        <w:rPr>
          <w:i/>
        </w:rPr>
        <w:t>Insurance Commission of Western Australia Act 1986</w:t>
      </w:r>
      <w:r>
        <w:t>;</w:t>
      </w:r>
    </w:p>
    <w:p>
      <w:pPr>
        <w:pStyle w:val="Defstart"/>
      </w:pPr>
      <w:r>
        <w:rPr>
          <w:b/>
        </w:rPr>
        <w:tab/>
      </w:r>
      <w:r>
        <w:rPr>
          <w:rStyle w:val="CharDefText"/>
        </w:rPr>
        <w:t>medical assessment panel</w:t>
      </w:r>
      <w:r>
        <w:t xml:space="preserve"> means a medical assessment panel constituted under Part VII Division 1;</w:t>
      </w:r>
    </w:p>
    <w:p>
      <w:pPr>
        <w:pStyle w:val="Defstart"/>
      </w:pPr>
      <w:r>
        <w:rPr>
          <w:b/>
        </w:rPr>
        <w:tab/>
      </w:r>
      <w:r>
        <w:rPr>
          <w:rStyle w:val="CharDefText"/>
        </w:rPr>
        <w:t>medical practitioner</w:t>
      </w:r>
      <w:r>
        <w:t xml:space="preserve"> means —</w:t>
      </w:r>
    </w:p>
    <w:p>
      <w:pPr>
        <w:pStyle w:val="Defpara"/>
      </w:pPr>
      <w:r>
        <w:tab/>
        <w:t>(a)</w:t>
      </w:r>
      <w:r>
        <w:tab/>
        <w:t xml:space="preserve">a person who is resident in this State and who is registered under the </w:t>
      </w:r>
      <w:r>
        <w:rPr>
          <w:i/>
        </w:rPr>
        <w:t>Health Practitioner Regulation National Law (Western Australia)</w:t>
      </w:r>
      <w:r>
        <w:t xml:space="preserve"> in the medical profession; or</w:t>
      </w:r>
    </w:p>
    <w:p>
      <w:pPr>
        <w:pStyle w:val="Defpara"/>
      </w:pPr>
      <w:r>
        <w:tab/>
        <w:t>(b)</w:t>
      </w:r>
      <w:r>
        <w:tab/>
        <w:t>a person who is not resident in a State or Territory of the Commonwealth but who is recognised as a medical practitioner for the purposes of this Act by WorkCover WA;</w:t>
      </w:r>
    </w:p>
    <w:p>
      <w:pPr>
        <w:pStyle w:val="Defstart"/>
      </w:pPr>
      <w:r>
        <w:rPr>
          <w:b/>
        </w:rPr>
        <w:tab/>
      </w:r>
      <w:r>
        <w:rPr>
          <w:rStyle w:val="CharDefText"/>
        </w:rPr>
        <w:t>medical report</w:t>
      </w:r>
      <w:r>
        <w:t xml:space="preserve"> includes a medical opinion;</w:t>
      </w:r>
    </w:p>
    <w:p>
      <w:pPr>
        <w:pStyle w:val="Defstart"/>
      </w:pPr>
      <w:r>
        <w:rPr>
          <w:b/>
        </w:rPr>
        <w:tab/>
      </w:r>
      <w:r>
        <w:rPr>
          <w:rStyle w:val="CharDefText"/>
        </w:rPr>
        <w:t>mesothelioma</w:t>
      </w:r>
      <w:r>
        <w:t xml:space="preserve"> means primary malignant neoplasm of the mesothelium (diffuse mesothelioma) of the pleura or the peritoneum;</w:t>
      </w:r>
    </w:p>
    <w:p>
      <w:pPr>
        <w:pStyle w:val="Defstart"/>
      </w:pPr>
      <w:r>
        <w:rPr>
          <w:b/>
        </w:rPr>
        <w:tab/>
      </w:r>
      <w:r>
        <w:rPr>
          <w:rStyle w:val="CharDefText"/>
        </w:rPr>
        <w:t>mine</w:t>
      </w:r>
      <w:r>
        <w:t xml:space="preserve"> or </w:t>
      </w:r>
      <w:r>
        <w:rPr>
          <w:rStyle w:val="CharDefText"/>
        </w:rPr>
        <w:t>mining operation</w:t>
      </w:r>
      <w:r>
        <w:t xml:space="preserve"> means a mine or mining operation of a class prescribed for the purposes of this definition;</w:t>
      </w:r>
    </w:p>
    <w:p>
      <w:pPr>
        <w:pStyle w:val="Defstart"/>
      </w:pPr>
      <w:r>
        <w:rPr>
          <w:b/>
        </w:rPr>
        <w:lastRenderedPageBreak/>
        <w:tab/>
      </w:r>
      <w:r>
        <w:rPr>
          <w:rStyle w:val="CharDefText"/>
        </w:rPr>
        <w:t>minimum award rate</w:t>
      </w:r>
      <w:r>
        <w:t xml:space="preserve"> means the weighted average minimum award rate for adult males under Western Australian State Awards, as published by the Australian Statistician;</w:t>
      </w:r>
    </w:p>
    <w:p>
      <w:pPr>
        <w:pStyle w:val="Defstart"/>
      </w:pPr>
      <w:r>
        <w:rPr>
          <w:b/>
        </w:rPr>
        <w:tab/>
      </w:r>
      <w:r>
        <w:rPr>
          <w:rStyle w:val="CharDefText"/>
        </w:rPr>
        <w:t>noise induced hearing loss</w:t>
      </w:r>
      <w:r>
        <w:t xml:space="preserve"> means a noise induced loss or diminution of a worker’s hearing that is permanent and is due to the nature of any employment in which the worker was employed, other than a personal injury by accident;</w:t>
      </w:r>
    </w:p>
    <w:p>
      <w:pPr>
        <w:pStyle w:val="Defstart"/>
      </w:pPr>
      <w:r>
        <w:rPr>
          <w:b/>
        </w:rPr>
        <w:tab/>
      </w:r>
      <w:r>
        <w:rPr>
          <w:rStyle w:val="CharDefText"/>
        </w:rPr>
        <w:t>participate</w:t>
      </w:r>
      <w:r>
        <w:t>, in relation to a return to work program established under section 155C(1), means to participate in the program in a cooperative manner including attending appointments as required under the program;</w:t>
      </w:r>
    </w:p>
    <w:p>
      <w:pPr>
        <w:pStyle w:val="Defstart"/>
      </w:pPr>
      <w:r>
        <w:tab/>
      </w:r>
      <w:r>
        <w:rPr>
          <w:rStyle w:val="CharDefText"/>
        </w:rPr>
        <w:t>party</w:t>
      </w:r>
      <w:r>
        <w:t xml:space="preserve"> to a dispute means the worker, the employer or the insurer of the employer;</w:t>
      </w:r>
    </w:p>
    <w:p>
      <w:pPr>
        <w:pStyle w:val="Defstart"/>
        <w:spacing w:before="100"/>
      </w:pPr>
      <w:r>
        <w:tab/>
      </w:r>
      <w:r>
        <w:rPr>
          <w:rStyle w:val="CharDefText"/>
        </w:rPr>
        <w:t>physiotherapist</w:t>
      </w:r>
      <w:r>
        <w:t xml:space="preserve"> means a person who is resident in this State and is registered under the </w:t>
      </w:r>
      <w:r>
        <w:rPr>
          <w:i/>
        </w:rPr>
        <w:t>Health Practitioner Regulation National Law (Western Australia)</w:t>
      </w:r>
      <w:r>
        <w:t xml:space="preserve"> in the physiotherapy profession;</w:t>
      </w:r>
    </w:p>
    <w:p>
      <w:pPr>
        <w:pStyle w:val="Defstart"/>
      </w:pPr>
      <w:r>
        <w:tab/>
      </w:r>
      <w:r>
        <w:rPr>
          <w:rStyle w:val="CharDefText"/>
        </w:rPr>
        <w:t>prescribed amount</w:t>
      </w:r>
      <w:r>
        <w:t xml:space="preserve"> has the meaning given in section 5A(1A);</w:t>
      </w:r>
    </w:p>
    <w:p>
      <w:pPr>
        <w:pStyle w:val="Defstart"/>
      </w:pPr>
      <w:r>
        <w:tab/>
      </w:r>
      <w:r>
        <w:rPr>
          <w:rStyle w:val="CharDefText"/>
        </w:rPr>
        <w:t>prohibited person</w:t>
      </w:r>
      <w:r>
        <w:t xml:space="preserve"> has the meaning given in section 5B;</w:t>
      </w:r>
    </w:p>
    <w:p>
      <w:pPr>
        <w:pStyle w:val="Defstart"/>
      </w:pPr>
      <w:r>
        <w:rPr>
          <w:b/>
        </w:rPr>
        <w:tab/>
      </w:r>
      <w:r>
        <w:rPr>
          <w:rStyle w:val="CharDefText"/>
        </w:rPr>
        <w:t>registered agent</w:t>
      </w:r>
      <w:r>
        <w:t xml:space="preserve"> means a person registered under regulations made under section 277;</w:t>
      </w:r>
    </w:p>
    <w:p>
      <w:pPr>
        <w:pStyle w:val="Defstart"/>
      </w:pPr>
      <w:r>
        <w:tab/>
      </w:r>
      <w:r>
        <w:rPr>
          <w:rStyle w:val="CharDefText"/>
        </w:rPr>
        <w:t>Registrar</w:t>
      </w:r>
      <w:r>
        <w:t xml:space="preserve"> means the officer of WorkCover WA designated under section 182ZP as the Registrar, Arbitration;</w:t>
      </w:r>
    </w:p>
    <w:p>
      <w:pPr>
        <w:pStyle w:val="Defstart"/>
        <w:keepNext/>
      </w:pPr>
      <w:r>
        <w:rPr>
          <w:b/>
        </w:rPr>
        <w:tab/>
      </w:r>
      <w:r>
        <w:rPr>
          <w:rStyle w:val="CharDefText"/>
        </w:rPr>
        <w:t>relevant employment</w:t>
      </w:r>
      <w:r>
        <w:t xml:space="preserve"> means —</w:t>
      </w:r>
    </w:p>
    <w:p>
      <w:pPr>
        <w:pStyle w:val="Defpara"/>
      </w:pPr>
      <w:r>
        <w:tab/>
        <w:t>(a)</w:t>
      </w:r>
      <w:r>
        <w:tab/>
        <w:t>the employment in which the personal injury by accident occurred; or</w:t>
      </w:r>
    </w:p>
    <w:p>
      <w:pPr>
        <w:pStyle w:val="Defpara"/>
      </w:pPr>
      <w:r>
        <w:tab/>
        <w:t>(b)</w:t>
      </w:r>
      <w:r>
        <w:tab/>
        <w:t>the last employment, during the period of one year mentioned in section 32 or, in the case of pneumoconiosis, mesothelioma, lung cancer or diffuse pleural fibrosis, the last employment, to the nature of which the Schedule 3 disease is, or was, due; or</w:t>
      </w:r>
    </w:p>
    <w:p>
      <w:pPr>
        <w:pStyle w:val="Defpara"/>
      </w:pPr>
      <w:r>
        <w:tab/>
        <w:t>(c)</w:t>
      </w:r>
      <w:r>
        <w:tab/>
        <w:t>the employment in the course of which the disease was contracted and which was a contributing factor and contributed to a significant degree; or</w:t>
      </w:r>
    </w:p>
    <w:p>
      <w:pPr>
        <w:pStyle w:val="Defpara"/>
      </w:pPr>
      <w:r>
        <w:lastRenderedPageBreak/>
        <w:tab/>
        <w:t>(d)</w:t>
      </w:r>
      <w:r>
        <w:tab/>
        <w:t>the employment which contributed and contributed to a significant degree to the recurrence, aggravation, or acceleration of the pre</w:t>
      </w:r>
      <w:r>
        <w:noBreakHyphen/>
        <w:t>existing disease; or</w:t>
      </w:r>
    </w:p>
    <w:p>
      <w:pPr>
        <w:pStyle w:val="Defpara"/>
      </w:pPr>
      <w:r>
        <w:tab/>
        <w:t>(e)</w:t>
      </w:r>
      <w:r>
        <w:tab/>
        <w:t>the last employment, during the period of 3 years mentioned in section 49, to the nature of which the Schedule 4 loss of function is, or was, due,</w:t>
      </w:r>
    </w:p>
    <w:p>
      <w:pPr>
        <w:pStyle w:val="Defstart"/>
      </w:pPr>
      <w:r>
        <w:tab/>
        <w:t>as the case requires;</w:t>
      </w:r>
    </w:p>
    <w:p>
      <w:pPr>
        <w:pStyle w:val="Defstart"/>
      </w:pPr>
      <w:r>
        <w:rPr>
          <w:b/>
        </w:rPr>
        <w:tab/>
      </w:r>
      <w:r>
        <w:rPr>
          <w:rStyle w:val="CharDefText"/>
        </w:rPr>
        <w:t>repealed Act</w:t>
      </w:r>
      <w:r>
        <w:t xml:space="preserve"> means the Act repealed by section 317;</w:t>
      </w:r>
    </w:p>
    <w:p>
      <w:pPr>
        <w:pStyle w:val="Defstart"/>
      </w:pPr>
      <w:r>
        <w:rPr>
          <w:b/>
        </w:rPr>
        <w:tab/>
      </w:r>
      <w:r>
        <w:rPr>
          <w:rStyle w:val="CharDefText"/>
        </w:rPr>
        <w:t>return to work</w:t>
      </w:r>
      <w:r>
        <w:t>, in relation to a worker who has suffered an injury compensable under this Act, means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if the position is not available, or if the worker does not have the capacity to work in that position, the worker taking a position —</w:t>
      </w:r>
    </w:p>
    <w:p>
      <w:pPr>
        <w:pStyle w:val="Defsubpara"/>
      </w:pPr>
      <w:r>
        <w:tab/>
        <w:t>(i)</w:t>
      </w:r>
      <w:r>
        <w:tab/>
        <w:t>for which the worker is qualified; and</w:t>
      </w:r>
    </w:p>
    <w:p>
      <w:pPr>
        <w:pStyle w:val="Defsubpara"/>
      </w:pPr>
      <w:r>
        <w:tab/>
        <w:t>(ii)</w:t>
      </w:r>
      <w:r>
        <w:tab/>
        <w:t>that the worker is capable of performing,</w:t>
      </w:r>
    </w:p>
    <w:p>
      <w:pPr>
        <w:pStyle w:val="Defstart"/>
      </w:pPr>
      <w:r>
        <w:tab/>
        <w:t>whether with the employer who employed the worker at the time the injury occurred, or another employer;</w:t>
      </w:r>
    </w:p>
    <w:p>
      <w:pPr>
        <w:pStyle w:val="Defstart"/>
      </w:pPr>
      <w:r>
        <w:rPr>
          <w:b/>
        </w:rPr>
        <w:tab/>
      </w:r>
      <w:r>
        <w:rPr>
          <w:rStyle w:val="CharDefText"/>
        </w:rPr>
        <w:t>self</w:t>
      </w:r>
      <w:r>
        <w:rPr>
          <w:rStyle w:val="CharDefText"/>
        </w:rPr>
        <w:noBreakHyphen/>
        <w:t>insurer</w:t>
      </w:r>
      <w:r>
        <w:t xml:space="preserve"> means an employer whom, or an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r>
      <w:r>
        <w:rPr>
          <w:rStyle w:val="CharDefText"/>
        </w:rPr>
        <w:t>ship</w:t>
      </w:r>
      <w:r>
        <w:t xml:space="preserve"> means any kind of vessel used in navigation by water, however propelled or moved, and includes —</w:t>
      </w:r>
    </w:p>
    <w:p>
      <w:pPr>
        <w:pStyle w:val="Defpara"/>
      </w:pPr>
      <w:r>
        <w:tab/>
        <w:t>(a)</w:t>
      </w:r>
      <w:r>
        <w:tab/>
        <w:t>a barge, lighter, or other floating vessel; and</w:t>
      </w:r>
    </w:p>
    <w:p>
      <w:pPr>
        <w:pStyle w:val="Defpara"/>
        <w:keepLines/>
      </w:pPr>
      <w:r>
        <w:tab/>
        <w:t>(b)</w:t>
      </w:r>
      <w:r>
        <w:tab/>
        <w:t>an air</w:t>
      </w:r>
      <w:r>
        <w:noBreakHyphen/>
        <w:t>cushion vehicle, or other similar craft,</w:t>
      </w:r>
    </w:p>
    <w:p>
      <w:pPr>
        <w:pStyle w:val="Defstart"/>
        <w:keepLines/>
      </w:pPr>
      <w:r>
        <w:tab/>
        <w:t>used wholly or primarily in navigation by water;</w:t>
      </w:r>
    </w:p>
    <w:p>
      <w:pPr>
        <w:pStyle w:val="Defstart"/>
      </w:pPr>
      <w:r>
        <w:rPr>
          <w:b/>
        </w:rPr>
        <w:lastRenderedPageBreak/>
        <w:tab/>
      </w:r>
      <w:r>
        <w:rPr>
          <w:rStyle w:val="CharDefText"/>
        </w:rPr>
        <w:t>specialised retraining assessment panel</w:t>
      </w:r>
      <w:r>
        <w:t xml:space="preserve"> means a specialised retraining assessment panel constituted under Part VII Division 5;</w:t>
      </w:r>
    </w:p>
    <w:p>
      <w:pPr>
        <w:pStyle w:val="Defstart"/>
      </w:pPr>
      <w:r>
        <w:rPr>
          <w:b/>
        </w:rPr>
        <w:tab/>
      </w:r>
      <w:r>
        <w:rPr>
          <w:rStyle w:val="CharDefText"/>
        </w:rPr>
        <w:t>specialised retraining program</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keepNext/>
        <w:keepLines/>
      </w:pPr>
      <w:r>
        <w:rPr>
          <w:b/>
        </w:rPr>
        <w:tab/>
      </w:r>
      <w:r>
        <w:rPr>
          <w:rStyle w:val="CharDefText"/>
        </w:rPr>
        <w:t>specialist</w:t>
      </w:r>
      <w:r>
        <w:t xml:space="preserve"> means a medical practitioner —</w:t>
      </w:r>
    </w:p>
    <w:p>
      <w:pPr>
        <w:pStyle w:val="Defpara"/>
      </w:pPr>
      <w:r>
        <w:tab/>
        <w:t>(a)</w:t>
      </w:r>
      <w:r>
        <w:tab/>
        <w:t xml:space="preserve">who is resident in this State and whose name is contained in a register of specialists kept by the Medical Board of Australia under the </w:t>
      </w:r>
      <w:r>
        <w:rPr>
          <w:i/>
        </w:rPr>
        <w:t>Health Practitioner Regulation National Law (Western Australia)</w:t>
      </w:r>
      <w:r>
        <w:rPr>
          <w:iCs/>
        </w:rPr>
        <w:t xml:space="preserve"> </w:t>
      </w:r>
      <w:r>
        <w:t>section 223; or</w:t>
      </w:r>
    </w:p>
    <w:p>
      <w:pPr>
        <w:pStyle w:val="Defpara"/>
      </w:pPr>
      <w:r>
        <w:tab/>
        <w:t>(b)</w:t>
      </w:r>
      <w:r>
        <w:tab/>
        <w:t>who is not resident in the State, but who is recognised as a specialist for the purposes of this Act by WorkCover WA;</w:t>
      </w:r>
    </w:p>
    <w:p>
      <w:pPr>
        <w:pStyle w:val="Defstart"/>
      </w:pPr>
      <w:r>
        <w:rPr>
          <w:b/>
        </w:rPr>
        <w:tab/>
      </w:r>
      <w:r>
        <w:rPr>
          <w:rStyle w:val="CharDefText"/>
        </w:rPr>
        <w:t>State</w:t>
      </w:r>
      <w:r>
        <w:t xml:space="preserve"> includes Territory;</w:t>
      </w:r>
    </w:p>
    <w:p>
      <w:pPr>
        <w:pStyle w:val="Defstart"/>
      </w:pPr>
      <w:r>
        <w:rPr>
          <w:b/>
        </w:rPr>
        <w:tab/>
      </w:r>
      <w:r>
        <w:rPr>
          <w:rStyle w:val="CharDefText"/>
        </w:rPr>
        <w:t>tributer</w:t>
      </w:r>
      <w:r>
        <w:t xml:space="preserve"> means a person who works a mine under an agreement with the lessee or owner of the mine to pay or receive from the lessee or owner a portion of the percentage product taken from the mine;</w:t>
      </w:r>
    </w:p>
    <w:p>
      <w:pPr>
        <w:pStyle w:val="Defstart"/>
      </w:pPr>
      <w:r>
        <w:rPr>
          <w:b/>
        </w:rPr>
        <w:tab/>
      </w:r>
      <w:r>
        <w:rPr>
          <w:rStyle w:val="CharDefText"/>
        </w:rPr>
        <w:t>Trust Account</w:t>
      </w:r>
      <w:r>
        <w:t xml:space="preserve"> means the Workers’ Compensation and Injury Management Trust Account established under this Act;</w:t>
      </w:r>
    </w:p>
    <w:p>
      <w:pPr>
        <w:pStyle w:val="Defstart"/>
      </w:pPr>
      <w:r>
        <w:rPr>
          <w:b/>
        </w:rPr>
        <w:tab/>
      </w:r>
      <w:r>
        <w:rPr>
          <w:rStyle w:val="CharDefText"/>
        </w:rPr>
        <w:t>vocational rehabilitation</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pPr>
      <w:r>
        <w:rPr>
          <w:b/>
        </w:rPr>
        <w:tab/>
      </w:r>
      <w:r>
        <w:rPr>
          <w:rStyle w:val="CharDefText"/>
        </w:rPr>
        <w:t>weekly payments of compensation</w:t>
      </w:r>
      <w:r>
        <w:t>, in respect of the prescribed amount, include payments made under clause 10 and weekly payments of the supplementary amount made under Schedule 5 clause 2;</w:t>
      </w:r>
    </w:p>
    <w:p>
      <w:pPr>
        <w:pStyle w:val="Defstart"/>
      </w:pPr>
      <w:r>
        <w:rPr>
          <w:b/>
        </w:rPr>
        <w:tab/>
      </w:r>
      <w:r>
        <w:rPr>
          <w:rStyle w:val="CharDefText"/>
        </w:rPr>
        <w:t>WorkCover Guides</w:t>
      </w:r>
      <w:r>
        <w:t xml:space="preserve"> means the directions published by WorkCover WA under section 146R;</w:t>
      </w:r>
    </w:p>
    <w:p>
      <w:pPr>
        <w:pStyle w:val="Defstart"/>
      </w:pPr>
      <w:r>
        <w:rPr>
          <w:b/>
        </w:rPr>
        <w:lastRenderedPageBreak/>
        <w:tab/>
      </w:r>
      <w:r>
        <w:rPr>
          <w:rStyle w:val="CharDefText"/>
        </w:rPr>
        <w:t>WorkCover WA</w:t>
      </w:r>
      <w:r>
        <w:t xml:space="preserve"> means the WorkCover Western Australia Authority referred to in section 94;</w:t>
      </w:r>
    </w:p>
    <w:p>
      <w:pPr>
        <w:pStyle w:val="Defstart"/>
      </w:pPr>
      <w:r>
        <w:rPr>
          <w:b/>
        </w:rPr>
        <w:tab/>
      </w:r>
      <w:r>
        <w:rPr>
          <w:rStyle w:val="CharDefText"/>
        </w:rPr>
        <w:t>worker</w:t>
      </w:r>
      <w:r>
        <w:t xml:space="preserve"> does not include a person whose employment is of a casual nature and is not for the purpose of the employer’s trade or business, or except as hereinafter provided in this definition a police officer or Aboriginal police liaison officer appointed under the </w:t>
      </w:r>
      <w:r>
        <w:rPr>
          <w:i/>
        </w:rPr>
        <w:t>Police Act </w:t>
      </w:r>
      <w:r>
        <w:rPr>
          <w:i/>
          <w:iCs/>
        </w:rPr>
        <w:t>1892</w:t>
      </w:r>
      <w:r>
        <w:t>;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pPr>
      <w:r>
        <w:tab/>
        <w:t xml:space="preserve">the term </w:t>
      </w:r>
      <w:r>
        <w:rPr>
          <w:rStyle w:val="CharDefText"/>
        </w:rPr>
        <w:t>worker</w:t>
      </w:r>
      <w:r>
        <w:t xml:space="preserve">, save as hereinbefore provided in this definition, includes a police officer or Aboriginal police liaison officer appointed under the </w:t>
      </w:r>
      <w:r>
        <w:rPr>
          <w:i/>
        </w:rPr>
        <w:t>Police Act 1892</w:t>
      </w:r>
      <w:r>
        <w:t>, who suffers an injury and dies as a result of that injury;</w:t>
      </w:r>
    </w:p>
    <w:p>
      <w:pPr>
        <w:pStyle w:val="Defstart"/>
        <w:keepNext/>
      </w:pPr>
      <w:r>
        <w:tab/>
        <w:t xml:space="preserve">the term </w:t>
      </w:r>
      <w:r>
        <w:rPr>
          <w:rStyle w:val="CharDefText"/>
        </w:rPr>
        <w:t>worker</w:t>
      </w:r>
      <w:r>
        <w:t xml:space="preserve"> save as aforesaid, also includes —</w:t>
      </w:r>
    </w:p>
    <w:p>
      <w:pPr>
        <w:pStyle w:val="Defpara"/>
        <w:spacing w:before="60"/>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pP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deleted]</w:t>
      </w:r>
    </w:p>
    <w:p>
      <w:pPr>
        <w:pStyle w:val="Subsection"/>
      </w:pPr>
      <w:r>
        <w:tab/>
        <w:t>(3)</w:t>
      </w:r>
      <w:r>
        <w:tab/>
        <w:t xml:space="preserve">A reference in this Act to a </w:t>
      </w:r>
      <w:r>
        <w:rPr>
          <w:rStyle w:val="CharDefText"/>
        </w:rPr>
        <w:t>personal injury by accident</w:t>
      </w:r>
      <w:r>
        <w:t xml:space="preserve"> is a reference to an injury of a kind referred to in paragraph (a) of the definition of </w:t>
      </w:r>
      <w:r>
        <w:rPr>
          <w:b/>
          <w:bCs/>
          <w:i/>
          <w:iCs/>
        </w:rPr>
        <w:t>injury</w:t>
      </w:r>
      <w:r>
        <w:t xml:space="preserve"> in subsection (1).</w:t>
      </w:r>
    </w:p>
    <w:p>
      <w:pPr>
        <w:pStyle w:val="Subsection"/>
        <w:keepNext/>
        <w:rPr>
          <w:snapToGrid w:val="0"/>
        </w:rPr>
      </w:pPr>
      <w:r>
        <w:rPr>
          <w:snapToGrid w:val="0"/>
        </w:rPr>
        <w:lastRenderedPageBreak/>
        <w:tab/>
        <w:t>(4)</w:t>
      </w:r>
      <w:r>
        <w:rPr>
          <w:snapToGrid w:val="0"/>
        </w:rPr>
        <w:tab/>
        <w:t>For purposes of the definition of</w:t>
      </w:r>
      <w:r>
        <w:rPr>
          <w:b/>
        </w:rPr>
        <w:t xml:space="preserve"> </w:t>
      </w:r>
      <w:r>
        <w:rPr>
          <w:b/>
          <w:i/>
        </w:rPr>
        <w:t>injury</w:t>
      </w:r>
      <w:r>
        <w:rPr>
          <w:bCs/>
          <w:iCs/>
          <w:snapToGrid w:val="0"/>
        </w:rPr>
        <w:t>,</w:t>
      </w:r>
      <w:r>
        <w:rPr>
          <w:snapToGrid w:val="0"/>
        </w:rPr>
        <w:t xml:space="preserve"> the matters are as follows —</w:t>
      </w:r>
    </w:p>
    <w:p>
      <w:pPr>
        <w:pStyle w:val="Indenta"/>
        <w:rPr>
          <w:snapToGrid w:val="0"/>
        </w:rPr>
      </w:pPr>
      <w:r>
        <w:rPr>
          <w:snapToGrid w:val="0"/>
        </w:rPr>
        <w:tab/>
        <w:t>(a)</w:t>
      </w:r>
      <w:r>
        <w:rPr>
          <w:snapToGrid w:val="0"/>
        </w:rPr>
        <w:tab/>
        <w:t>the worker’s dismissal, retrenchment, demotion, discipline, transfer or redeployment; and</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 xml:space="preserve">In determining whether the employment contributed, or </w:t>
      </w:r>
      <w:r>
        <w:t xml:space="preserve">contributed to a significant degree, to the contraction, recurrence, aggravation or acceleration of a disease for purposes of the definitions of </w:t>
      </w:r>
      <w:r>
        <w:rPr>
          <w:b/>
          <w:bCs/>
          <w:i/>
          <w:iCs/>
        </w:rPr>
        <w:t>injury</w:t>
      </w:r>
      <w:r>
        <w:t xml:space="preserve"> and </w:t>
      </w:r>
      <w:r>
        <w:rPr>
          <w:b/>
          <w:bCs/>
          <w:i/>
          <w:iCs/>
        </w:rPr>
        <w:t>relevant employment</w:t>
      </w:r>
      <w:r>
        <w:t>, the</w:t>
      </w:r>
      <w:r>
        <w:rPr>
          <w:snapToGrid w:val="0"/>
        </w:rPr>
        <w:t xml:space="preserve"> following shall be taken into account —</w:t>
      </w:r>
    </w:p>
    <w:p>
      <w:pPr>
        <w:pStyle w:val="Indenta"/>
        <w:rPr>
          <w:snapToGrid w:val="0"/>
        </w:rPr>
      </w:pPr>
      <w:r>
        <w:rPr>
          <w:snapToGrid w:val="0"/>
        </w:rPr>
        <w:tab/>
        <w:t>(a)</w:t>
      </w:r>
      <w:r>
        <w:rPr>
          <w:snapToGrid w:val="0"/>
        </w:rPr>
        <w:tab/>
        <w:t>the duration of the employment; and</w:t>
      </w:r>
    </w:p>
    <w:p>
      <w:pPr>
        <w:pStyle w:val="Indenta"/>
        <w:rPr>
          <w:snapToGrid w:val="0"/>
        </w:rPr>
      </w:pPr>
      <w:r>
        <w:rPr>
          <w:snapToGrid w:val="0"/>
        </w:rPr>
        <w:tab/>
        <w:t>(b)</w:t>
      </w:r>
      <w:r>
        <w:rPr>
          <w:snapToGrid w:val="0"/>
        </w:rPr>
        <w:tab/>
        <w:t>the nature of, and particular tasks involved in, the employment; and</w:t>
      </w:r>
    </w:p>
    <w:p>
      <w:pPr>
        <w:pStyle w:val="Indenta"/>
        <w:rPr>
          <w:snapToGrid w:val="0"/>
        </w:rPr>
      </w:pPr>
      <w:r>
        <w:rPr>
          <w:snapToGrid w:val="0"/>
        </w:rPr>
        <w:tab/>
        <w:t>(c)</w:t>
      </w:r>
      <w:r>
        <w:rPr>
          <w:snapToGrid w:val="0"/>
        </w:rPr>
        <w:tab/>
        <w:t>the likelihood of the contraction, recurrence, aggravation or acceleration of the disease occurring despite the employment; and</w:t>
      </w:r>
    </w:p>
    <w:p>
      <w:pPr>
        <w:pStyle w:val="Indenta"/>
        <w:rPr>
          <w:snapToGrid w:val="0"/>
        </w:rPr>
      </w:pPr>
      <w:r>
        <w:rPr>
          <w:snapToGrid w:val="0"/>
        </w:rPr>
        <w:tab/>
        <w:t>(d)</w:t>
      </w:r>
      <w:r>
        <w:rPr>
          <w:snapToGrid w:val="0"/>
        </w:rPr>
        <w:tab/>
        <w:t>the existence of any hereditary factors in relation to the contraction, recurrence, aggravation or acceleration of the disease; and</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lastRenderedPageBreak/>
        <w:tab/>
        <w:t>[Section 5 amended: No. 79 of 1983 s. 2; No. 44 of 1985 s. 3; No. 51 of 1986 s. 46(2); No. 85 of 1986 s. 4; No. 86 of 1986 s. 5 and 6; No. 21 of 1987 s. 3; No. 36 of 1988 s. 4; No. 96 of 1990 s. 6; No. 72 of 1992 s. 16(3); No. 48 of 1993 s. 18, 21, 28(1) and 29; No. 62 of 1994 s. 109; No. 45 of 1996 Sch. 1 it. 16; No. 34 of 1999 s. 4 and 32(1); No. 10 of 2001 s. 218; No. 28 of 2003 s. 214; No. 36 of 2004 s. 4; No. 42 of 2004 s. 8, 146, 147, 150 and 154(4); No. 16 of 2005 s. 30(2); No. 31 of 2005 Sch. 3 cl. 8; No. 77 of 2006 Sch. 1 cl. 189(1); No. 22 of 2008 Sch. 3 cl. 54; No. 8 of 2009 s. 139(2) and (3); No. 42 of 2009 s. 25; No. 35 of 2010 s. 164; No. 31 of 2011 s. 25 and 80; No. 47 of 2011 s. 27; No. 13 of 2014 s. 191; No. 50 of 2016 s. 13; No. 8 of 2018 s. 4; No. 31 of 2020 s. 4; No. 9 of 2022 s. 410.]</w:t>
      </w:r>
    </w:p>
    <w:p>
      <w:pPr>
        <w:pStyle w:val="Heading5"/>
      </w:pPr>
      <w:bookmarkStart w:id="16" w:name="_Toc131514255"/>
      <w:r>
        <w:rPr>
          <w:rStyle w:val="CharSectno"/>
        </w:rPr>
        <w:t>5A</w:t>
      </w:r>
      <w:r>
        <w:t>.</w:t>
      </w:r>
      <w:r>
        <w:tab/>
        <w:t>Prescribed amount and variation of certain amounts</w:t>
      </w:r>
      <w:bookmarkEnd w:id="16"/>
    </w:p>
    <w:p>
      <w:pPr>
        <w:pStyle w:val="Subsection"/>
      </w:pPr>
      <w:r>
        <w:tab/>
        <w:t>(1A)</w:t>
      </w:r>
      <w:r>
        <w:tab/>
        <w:t xml:space="preserve">In this section — </w:t>
      </w:r>
    </w:p>
    <w:p>
      <w:pPr>
        <w:pStyle w:val="Defstart"/>
      </w:pPr>
      <w:r>
        <w:tab/>
      </w:r>
      <w:r>
        <w:rPr>
          <w:rStyle w:val="CharDefText"/>
        </w:rPr>
        <w:t>adjustable amount</w:t>
      </w:r>
      <w:r>
        <w:t xml:space="preserve"> means — </w:t>
      </w:r>
    </w:p>
    <w:p>
      <w:pPr>
        <w:pStyle w:val="Defpara"/>
      </w:pPr>
      <w:r>
        <w:tab/>
        <w:t>(a)</w:t>
      </w:r>
      <w:r>
        <w:tab/>
        <w:t>the prescribed amount; or</w:t>
      </w:r>
    </w:p>
    <w:p>
      <w:pPr>
        <w:pStyle w:val="Defpara"/>
      </w:pPr>
      <w:r>
        <w:tab/>
        <w:t>(b)</w:t>
      </w:r>
      <w:r>
        <w:tab/>
        <w:t>an amount that a provision of this Act describes as applying in accordance with this section; or</w:t>
      </w:r>
    </w:p>
    <w:p>
      <w:pPr>
        <w:pStyle w:val="Defpara"/>
      </w:pPr>
      <w:r>
        <w:tab/>
        <w:t>(c)</w:t>
      </w:r>
      <w:r>
        <w:tab/>
        <w:t>Amount C;</w:t>
      </w:r>
    </w:p>
    <w:p>
      <w:pPr>
        <w:pStyle w:val="Defstart"/>
      </w:pPr>
      <w:r>
        <w:tab/>
      </w:r>
      <w:r>
        <w:rPr>
          <w:rStyle w:val="CharDefText"/>
        </w:rPr>
        <w:t>Amount C</w:t>
      </w:r>
      <w:r>
        <w:t xml:space="preserve"> means — </w:t>
      </w:r>
    </w:p>
    <w:p>
      <w:pPr>
        <w:pStyle w:val="Defpara"/>
      </w:pPr>
      <w:r>
        <w:tab/>
        <w:t>(a)</w:t>
      </w:r>
      <w:r>
        <w:tab/>
        <w:t>for a financial year ending before 1 July 2020, the amount worked out under clause 11(2) as in force on 1 July of that year;</w:t>
      </w:r>
    </w:p>
    <w:p>
      <w:pPr>
        <w:pStyle w:val="Defpara"/>
      </w:pPr>
      <w:r>
        <w:tab/>
        <w:t>(b)</w:t>
      </w:r>
      <w:r>
        <w:tab/>
        <w:t xml:space="preserve">for the financial year ending 30 June 2021, the amount of $2 645.90; </w:t>
      </w:r>
    </w:p>
    <w:p>
      <w:pPr>
        <w:pStyle w:val="Defpara"/>
      </w:pPr>
      <w:r>
        <w:tab/>
        <w:t>(c)</w:t>
      </w:r>
      <w:r>
        <w:tab/>
        <w:t>for any subsequent financial year, the amount prescribed, or worked out, under the regulations for that financial year;</w:t>
      </w:r>
    </w:p>
    <w:p>
      <w:pPr>
        <w:pStyle w:val="Defstart"/>
      </w:pPr>
      <w:r>
        <w:tab/>
      </w:r>
      <w:r>
        <w:rPr>
          <w:rStyle w:val="CharDefText"/>
        </w:rPr>
        <w:t>prescribed amount</w:t>
      </w:r>
      <w:r>
        <w:t xml:space="preserve"> means — </w:t>
      </w:r>
    </w:p>
    <w:p>
      <w:pPr>
        <w:pStyle w:val="Defpara"/>
      </w:pPr>
      <w:r>
        <w:tab/>
        <w:t>(a)</w:t>
      </w:r>
      <w:r>
        <w:tab/>
        <w:t>for a financial year ending before 1 July 2020, the amount that was the prescribed amount for that financial year under this Act as in force on 1 July of that year;</w:t>
      </w:r>
    </w:p>
    <w:p>
      <w:pPr>
        <w:pStyle w:val="Defpara"/>
      </w:pPr>
      <w:r>
        <w:lastRenderedPageBreak/>
        <w:tab/>
        <w:t>(b)</w:t>
      </w:r>
      <w:r>
        <w:tab/>
        <w:t>for the financial year ending 30 June 2021, the amount of $235 971.00;</w:t>
      </w:r>
    </w:p>
    <w:p>
      <w:pPr>
        <w:pStyle w:val="Defpara"/>
      </w:pPr>
      <w:r>
        <w:tab/>
        <w:t>(c)</w:t>
      </w:r>
      <w:r>
        <w:tab/>
        <w:t>for any subsequent financial year, the amount prescribed, or worked out, under the regulations for that financial year.</w:t>
      </w:r>
    </w:p>
    <w:p>
      <w:pPr>
        <w:pStyle w:val="Subsection"/>
        <w:keepNext/>
        <w:keepLines/>
      </w:pPr>
      <w:r>
        <w:tab/>
        <w:t>(1)</w:t>
      </w:r>
      <w:r>
        <w:tab/>
        <w:t>An amount that a provision of this Act describes as applying in accordance with this section is —</w:t>
      </w:r>
    </w:p>
    <w:p>
      <w:pPr>
        <w:pStyle w:val="Indenta"/>
      </w:pPr>
      <w:r>
        <w:tab/>
        <w:t>(a)</w:t>
      </w:r>
      <w:r>
        <w:tab/>
        <w:t>before 1 July 1997, the amount that was prescribed for the purposes of that provision;</w:t>
      </w:r>
    </w:p>
    <w:p>
      <w:pPr>
        <w:pStyle w:val="Indenta"/>
      </w:pPr>
      <w:r>
        <w:tab/>
        <w:t>(b)</w:t>
      </w:r>
      <w:r>
        <w:tab/>
        <w:t>for a financial year commencing on or after 1 July 1997 and ending before 1 July 2021,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Indenta"/>
      </w:pPr>
      <w:r>
        <w:tab/>
        <w:t>(c)</w:t>
      </w:r>
      <w:r>
        <w:tab/>
        <w:t>for any subsequent financial year, the amount prescribed for the purposes of the provision, or worked out, under the regulations for that financial year.</w:t>
      </w:r>
    </w:p>
    <w:p>
      <w:pPr>
        <w:pStyle w:val="Subsection"/>
      </w:pPr>
      <w:r>
        <w:tab/>
        <w:t>(2)</w:t>
      </w:r>
      <w:r>
        <w:tab/>
        <w:t xml:space="preserve">In this section </w:t>
      </w:r>
      <w:r>
        <w:rPr>
          <w:rStyle w:val="CharDefText"/>
        </w:rPr>
        <w:t>March CPI</w:t>
      </w:r>
      <w:r>
        <w:t xml:space="preserve">, for a financial year, means the index number for the quarter ending on the last 31 March before the financial year commences, as shown in the Consumer Price Index Numbers (All Groups Index) for Perth published by the Commonwealth Statistician under the </w:t>
      </w:r>
      <w:r>
        <w:rPr>
          <w:i/>
        </w:rPr>
        <w:t>Census and Statistics Act 1905</w:t>
      </w:r>
      <w:r>
        <w:t xml:space="preserve"> of the Commonwealth.</w:t>
      </w:r>
    </w:p>
    <w:p>
      <w:pPr>
        <w:pStyle w:val="Subsection"/>
      </w:pPr>
      <w:r>
        <w:tab/>
        <w:t>(3)</w:t>
      </w:r>
      <w:r>
        <w:tab/>
        <w:t xml:space="preserve">The regulations may vary an adjustable amount, including by providing for the periodic variation of an adjustable amount in </w:t>
      </w:r>
      <w:r>
        <w:lastRenderedPageBreak/>
        <w:t xml:space="preserve">accordance with a specified methodology (an </w:t>
      </w:r>
      <w:r>
        <w:rPr>
          <w:rStyle w:val="CharDefText"/>
        </w:rPr>
        <w:t>adjustment methodology</w:t>
      </w:r>
      <w:r>
        <w:t>).</w:t>
      </w:r>
    </w:p>
    <w:p>
      <w:pPr>
        <w:pStyle w:val="Subsection"/>
      </w:pPr>
      <w:r>
        <w:tab/>
        <w:t>(4)</w:t>
      </w:r>
      <w:r>
        <w:tab/>
        <w:t>The regulations may provide for different adjustment methodologies for different adjustable amounts.</w:t>
      </w:r>
    </w:p>
    <w:p>
      <w:pPr>
        <w:pStyle w:val="Subsection"/>
      </w:pPr>
      <w:r>
        <w:tab/>
        <w:t>(5)</w:t>
      </w:r>
      <w:r>
        <w:tab/>
        <w:t>If, for a particular period, variation under the regulations of an adjustable amount would reduce the amount, the amount is not to be varied for the period.</w:t>
      </w:r>
    </w:p>
    <w:p>
      <w:pPr>
        <w:pStyle w:val="Subsection"/>
      </w:pPr>
      <w:r>
        <w:tab/>
        <w:t>(6)</w:t>
      </w:r>
      <w:r>
        <w:tab/>
        <w:t>An adjustable amount for a financial year must be published on the WorkCover WA website.</w:t>
      </w:r>
    </w:p>
    <w:p>
      <w:pPr>
        <w:pStyle w:val="Footnotesection"/>
      </w:pPr>
      <w:r>
        <w:tab/>
        <w:t>[Section 5A inserted: No. 34 of 1999 s. 5; amended: No. 31 of 2020 s. 5.]</w:t>
      </w:r>
    </w:p>
    <w:p>
      <w:pPr>
        <w:pStyle w:val="Heading5"/>
      </w:pPr>
      <w:bookmarkStart w:id="17" w:name="_Toc100821346"/>
      <w:bookmarkStart w:id="18" w:name="_Toc131514256"/>
      <w:bookmarkStart w:id="19" w:name="_Toc100238280"/>
      <w:bookmarkStart w:id="20" w:name="_Toc100238894"/>
      <w:bookmarkStart w:id="21" w:name="_Toc100562188"/>
      <w:r>
        <w:rPr>
          <w:rStyle w:val="CharSectno"/>
        </w:rPr>
        <w:t>5B</w:t>
      </w:r>
      <w:r>
        <w:t>.</w:t>
      </w:r>
      <w:r>
        <w:tab/>
        <w:t>Meaning of prohibited person</w:t>
      </w:r>
      <w:bookmarkEnd w:id="17"/>
      <w:bookmarkEnd w:id="18"/>
    </w:p>
    <w:p>
      <w:pPr>
        <w:pStyle w:val="Subsection"/>
      </w:pPr>
      <w:r>
        <w:tab/>
        <w:t>(1)</w:t>
      </w:r>
      <w:r>
        <w:tab/>
        <w:t xml:space="preserve">In this section — </w:t>
      </w:r>
    </w:p>
    <w:p>
      <w:pPr>
        <w:pStyle w:val="Defstart"/>
      </w:pPr>
      <w:r>
        <w:tab/>
      </w:r>
      <w:r>
        <w:rPr>
          <w:rStyle w:val="CharDefText"/>
        </w:rPr>
        <w:t>Australian practising certificate</w:t>
      </w:r>
      <w:r>
        <w:t xml:space="preserve"> — </w:t>
      </w:r>
    </w:p>
    <w:p>
      <w:pPr>
        <w:pStyle w:val="Defpara"/>
      </w:pPr>
      <w:r>
        <w:tab/>
        <w:t>(a)</w:t>
      </w:r>
      <w:r>
        <w:tab/>
        <w:t xml:space="preserve">has the meaning given in the </w:t>
      </w:r>
      <w:r>
        <w:rPr>
          <w:i/>
        </w:rPr>
        <w:t>Legal Profession Uniform Law (WA)</w:t>
      </w:r>
      <w:r>
        <w:t xml:space="preserve"> section 6(1); and </w:t>
      </w:r>
    </w:p>
    <w:p>
      <w:pPr>
        <w:pStyle w:val="Defpara"/>
      </w:pPr>
      <w:r>
        <w:tab/>
        <w:t>(b)</w:t>
      </w:r>
      <w:r>
        <w:tab/>
        <w:t xml:space="preserve">includes a local practising certificate granted under the repealed </w:t>
      </w:r>
      <w:r>
        <w:rPr>
          <w:i/>
        </w:rPr>
        <w:t>Legal Profession Act 2008</w:t>
      </w:r>
      <w:r>
        <w:t xml:space="preserve"> before commencement day;</w:t>
      </w:r>
    </w:p>
    <w:p>
      <w:pPr>
        <w:pStyle w:val="Defstart"/>
      </w:pPr>
      <w:r>
        <w:tab/>
      </w:r>
      <w:r>
        <w:rPr>
          <w:rStyle w:val="CharDefText"/>
        </w:rPr>
        <w:t>commencement day</w:t>
      </w:r>
      <w:r>
        <w:t xml:space="preserve"> means the day on which the </w:t>
      </w:r>
      <w:r>
        <w:rPr>
          <w:i/>
        </w:rPr>
        <w:t>Legal Profession Uniform Law Application Act 2022</w:t>
      </w:r>
      <w:r>
        <w:t xml:space="preserve"> section 411 comes into operation;</w:t>
      </w:r>
    </w:p>
    <w:p>
      <w:pPr>
        <w:pStyle w:val="Defstart"/>
      </w:pPr>
      <w:r>
        <w:tab/>
      </w:r>
      <w:r>
        <w:rPr>
          <w:rStyle w:val="CharDefText"/>
        </w:rPr>
        <w:t>corresponding law</w:t>
      </w:r>
      <w:r>
        <w:t xml:space="preserve"> has the meaning given in the </w:t>
      </w:r>
      <w:r>
        <w:rPr>
          <w:i/>
        </w:rPr>
        <w:t>Legal Profession Uniform Law (WA)</w:t>
      </w:r>
      <w:r>
        <w:t xml:space="preserve"> section 6(1);</w:t>
      </w:r>
    </w:p>
    <w:p>
      <w:pPr>
        <w:pStyle w:val="Defstart"/>
      </w:pPr>
      <w:r>
        <w:tab/>
      </w:r>
      <w:r>
        <w:rPr>
          <w:rStyle w:val="CharDefText"/>
        </w:rPr>
        <w:t>Supreme Court roll</w:t>
      </w:r>
      <w:r>
        <w:t xml:space="preserve"> has the meaning given in the </w:t>
      </w:r>
      <w:r>
        <w:rPr>
          <w:i/>
        </w:rPr>
        <w:t>Legal Profession Uniform Law (WA)</w:t>
      </w:r>
      <w:r>
        <w:t xml:space="preserve"> section 6(1).</w:t>
      </w:r>
    </w:p>
    <w:p>
      <w:pPr>
        <w:pStyle w:val="Subsection"/>
      </w:pPr>
      <w:r>
        <w:tab/>
        <w:t>(2)</w:t>
      </w:r>
      <w:r>
        <w:tab/>
        <w:t xml:space="preserve">A person is a </w:t>
      </w:r>
      <w:r>
        <w:rPr>
          <w:rStyle w:val="CharDefText"/>
        </w:rPr>
        <w:t>prohibited person</w:t>
      </w:r>
      <w:r>
        <w:t xml:space="preserve"> — </w:t>
      </w:r>
    </w:p>
    <w:p>
      <w:pPr>
        <w:pStyle w:val="Indenta"/>
      </w:pPr>
      <w:r>
        <w:tab/>
        <w:t>(a)</w:t>
      </w:r>
      <w:r>
        <w:tab/>
        <w:t xml:space="preserve">if — </w:t>
      </w:r>
    </w:p>
    <w:p>
      <w:pPr>
        <w:pStyle w:val="Indenti"/>
      </w:pPr>
      <w:r>
        <w:tab/>
        <w:t>(i)</w:t>
      </w:r>
      <w:r>
        <w:tab/>
        <w:t>the person’s name has been removed from a Supreme Court roll; and</w:t>
      </w:r>
    </w:p>
    <w:p>
      <w:pPr>
        <w:pStyle w:val="Indenti"/>
      </w:pPr>
      <w:r>
        <w:lastRenderedPageBreak/>
        <w:tab/>
        <w:t>(ii)</w:t>
      </w:r>
      <w:r>
        <w:tab/>
        <w:t>the person’s name was not removed from a Supreme Court roll at the person’s own request; and</w:t>
      </w:r>
    </w:p>
    <w:p>
      <w:pPr>
        <w:pStyle w:val="Indenti"/>
      </w:pPr>
      <w:r>
        <w:tab/>
        <w:t>(iii)</w:t>
      </w:r>
      <w:r>
        <w:tab/>
        <w:t>the person has not subsequently been admitted or re</w:t>
      </w:r>
      <w:r>
        <w:noBreakHyphen/>
        <w:t xml:space="preserve">admitted to the legal profession under the </w:t>
      </w:r>
      <w:r>
        <w:rPr>
          <w:i/>
        </w:rPr>
        <w:t>Legal Profession Uniform Law (WA)</w:t>
      </w:r>
      <w:r>
        <w:t xml:space="preserve"> or a corresponding law;</w:t>
      </w:r>
    </w:p>
    <w:p>
      <w:pPr>
        <w:pStyle w:val="Indenta"/>
      </w:pPr>
      <w:r>
        <w:tab/>
      </w:r>
      <w:r>
        <w:tab/>
        <w:t>or</w:t>
      </w:r>
    </w:p>
    <w:p>
      <w:pPr>
        <w:pStyle w:val="Indenta"/>
      </w:pPr>
      <w:r>
        <w:tab/>
        <w:t>(b)</w:t>
      </w:r>
      <w:r>
        <w:tab/>
        <w:t>if the person’s Australian practising certificate is suspended; or</w:t>
      </w:r>
    </w:p>
    <w:p>
      <w:pPr>
        <w:pStyle w:val="Indenta"/>
      </w:pPr>
      <w:r>
        <w:tab/>
        <w:t>(c)</w:t>
      </w:r>
      <w:r>
        <w:tab/>
        <w:t xml:space="preserve">if the person is not a legal practitioner because the person’s Australian practising certificate has been cancelled under — </w:t>
      </w:r>
    </w:p>
    <w:p>
      <w:pPr>
        <w:pStyle w:val="Indenti"/>
      </w:pPr>
      <w:r>
        <w:tab/>
        <w:t>(i)</w:t>
      </w:r>
      <w:r>
        <w:tab/>
        <w:t xml:space="preserve">the repealed </w:t>
      </w:r>
      <w:r>
        <w:rPr>
          <w:i/>
        </w:rPr>
        <w:t>Legal Profession Act 2008</w:t>
      </w:r>
      <w:r>
        <w:t xml:space="preserve">; or </w:t>
      </w:r>
    </w:p>
    <w:p>
      <w:pPr>
        <w:pStyle w:val="Indenti"/>
      </w:pPr>
      <w:r>
        <w:tab/>
        <w:t>(ii)</w:t>
      </w:r>
      <w:r>
        <w:tab/>
        <w:t xml:space="preserve">the </w:t>
      </w:r>
      <w:r>
        <w:rPr>
          <w:i/>
        </w:rPr>
        <w:t>Legal Profession Uniform Law (WA)</w:t>
      </w:r>
      <w:r>
        <w:t xml:space="preserve">; or </w:t>
      </w:r>
    </w:p>
    <w:p>
      <w:pPr>
        <w:pStyle w:val="Indenti"/>
      </w:pPr>
      <w:r>
        <w:tab/>
        <w:t>(iii)</w:t>
      </w:r>
      <w:r>
        <w:tab/>
        <w:t>a corresponding law.</w:t>
      </w:r>
    </w:p>
    <w:p>
      <w:pPr>
        <w:pStyle w:val="Footnotesection"/>
      </w:pPr>
      <w:r>
        <w:tab/>
        <w:t>[Section 5B inserted: No. 9 of 2022 s. 411.]</w:t>
      </w:r>
    </w:p>
    <w:p>
      <w:pPr>
        <w:pStyle w:val="Heading2"/>
      </w:pPr>
      <w:bookmarkStart w:id="22" w:name="_Toc107309824"/>
      <w:bookmarkStart w:id="23" w:name="_Toc107479678"/>
      <w:bookmarkStart w:id="24" w:name="_Toc131501044"/>
      <w:bookmarkStart w:id="25" w:name="_Toc131501661"/>
      <w:bookmarkStart w:id="26" w:name="_Toc131514257"/>
      <w:r>
        <w:rPr>
          <w:rStyle w:val="CharPartNo"/>
        </w:rPr>
        <w:lastRenderedPageBreak/>
        <w:t>Part II</w:t>
      </w:r>
      <w:r>
        <w:rPr>
          <w:rStyle w:val="CharDivNo"/>
        </w:rPr>
        <w:t> </w:t>
      </w:r>
      <w:r>
        <w:t>—</w:t>
      </w:r>
      <w:r>
        <w:rPr>
          <w:rStyle w:val="CharDivText"/>
        </w:rPr>
        <w:t> </w:t>
      </w:r>
      <w:r>
        <w:rPr>
          <w:rStyle w:val="CharPartText"/>
        </w:rPr>
        <w:t>Application of this Act in respect of certain persons and bodies</w:t>
      </w:r>
      <w:bookmarkEnd w:id="19"/>
      <w:bookmarkEnd w:id="20"/>
      <w:bookmarkEnd w:id="21"/>
      <w:bookmarkEnd w:id="22"/>
      <w:bookmarkEnd w:id="23"/>
      <w:bookmarkEnd w:id="24"/>
      <w:bookmarkEnd w:id="25"/>
      <w:bookmarkEnd w:id="26"/>
    </w:p>
    <w:p>
      <w:pPr>
        <w:pStyle w:val="Heading5"/>
        <w:rPr>
          <w:snapToGrid w:val="0"/>
        </w:rPr>
      </w:pPr>
      <w:bookmarkStart w:id="27" w:name="_Toc131514258"/>
      <w:r>
        <w:rPr>
          <w:rStyle w:val="CharSectno"/>
        </w:rPr>
        <w:t>6</w:t>
      </w:r>
      <w:r>
        <w:rPr>
          <w:snapToGrid w:val="0"/>
        </w:rPr>
        <w:t>.</w:t>
      </w:r>
      <w:r>
        <w:rPr>
          <w:snapToGrid w:val="0"/>
        </w:rPr>
        <w:tab/>
        <w:t>Local governments and other authorities</w:t>
      </w:r>
      <w:bookmarkEnd w:id="27"/>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[Section 6 amended: No. 14 of 1996 s. 4.]</w:t>
      </w:r>
    </w:p>
    <w:p>
      <w:pPr>
        <w:pStyle w:val="Heading5"/>
        <w:spacing w:before="240"/>
        <w:rPr>
          <w:snapToGrid w:val="0"/>
        </w:rPr>
      </w:pPr>
      <w:bookmarkStart w:id="28" w:name="_Toc131514259"/>
      <w:r>
        <w:rPr>
          <w:rStyle w:val="CharSectno"/>
        </w:rPr>
        <w:t>7</w:t>
      </w:r>
      <w:r>
        <w:rPr>
          <w:snapToGrid w:val="0"/>
        </w:rPr>
        <w:t>.</w:t>
      </w:r>
      <w:r>
        <w:rPr>
          <w:snapToGrid w:val="0"/>
        </w:rPr>
        <w:tab/>
        <w:t>Tributers</w:t>
      </w:r>
      <w:bookmarkEnd w:id="28"/>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No. 42 of 2004 s. 9.]</w:t>
      </w:r>
    </w:p>
    <w:p>
      <w:pPr>
        <w:pStyle w:val="Heading5"/>
        <w:spacing w:before="240"/>
        <w:rPr>
          <w:snapToGrid w:val="0"/>
        </w:rPr>
      </w:pPr>
      <w:bookmarkStart w:id="29" w:name="_Toc131514260"/>
      <w:r>
        <w:rPr>
          <w:rStyle w:val="CharSectno"/>
        </w:rPr>
        <w:t>8</w:t>
      </w:r>
      <w:r>
        <w:rPr>
          <w:snapToGrid w:val="0"/>
        </w:rPr>
        <w:t>.</w:t>
      </w:r>
      <w:r>
        <w:rPr>
          <w:snapToGrid w:val="0"/>
        </w:rPr>
        <w:tab/>
        <w:t>Baptist clergymen</w:t>
      </w:r>
      <w:bookmarkEnd w:id="29"/>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spacing w:before="240"/>
        <w:rPr>
          <w:snapToGrid w:val="0"/>
        </w:rPr>
      </w:pPr>
      <w:bookmarkStart w:id="30" w:name="_Toc131514261"/>
      <w:r>
        <w:rPr>
          <w:rStyle w:val="CharSectno"/>
        </w:rPr>
        <w:t>9</w:t>
      </w:r>
      <w:r>
        <w:rPr>
          <w:snapToGrid w:val="0"/>
        </w:rPr>
        <w:t>.</w:t>
      </w:r>
      <w:r>
        <w:rPr>
          <w:snapToGrid w:val="0"/>
        </w:rPr>
        <w:tab/>
        <w:t>Anglican clergy</w:t>
      </w:r>
      <w:bookmarkEnd w:id="30"/>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member of the clergy of the Anglican Church of Australia being a bishop, or a member of the clergy licensed by the bishop, of a diocese of the church in </w:t>
      </w:r>
      <w:r>
        <w:rPr>
          <w:snapToGrid w:val="0"/>
        </w:rPr>
        <w:lastRenderedPageBreak/>
        <w:t>the State and, for the purpose of this Act, the Anglican Archbishop of Perth is deemed to be the employer.</w:t>
      </w:r>
    </w:p>
    <w:p>
      <w:pPr>
        <w:pStyle w:val="Footnotesection"/>
      </w:pPr>
      <w:r>
        <w:tab/>
        <w:t>[Section 9 inserted: No. 72 of 1992 s. 5.]</w:t>
      </w:r>
    </w:p>
    <w:p>
      <w:pPr>
        <w:pStyle w:val="Heading5"/>
        <w:rPr>
          <w:snapToGrid w:val="0"/>
        </w:rPr>
      </w:pPr>
      <w:bookmarkStart w:id="31" w:name="_Toc131514262"/>
      <w:r>
        <w:rPr>
          <w:rStyle w:val="CharSectno"/>
        </w:rPr>
        <w:t>10</w:t>
      </w:r>
      <w:r>
        <w:rPr>
          <w:snapToGrid w:val="0"/>
        </w:rPr>
        <w:t>.</w:t>
      </w:r>
      <w:r>
        <w:rPr>
          <w:snapToGrid w:val="0"/>
        </w:rPr>
        <w:tab/>
        <w:t>Other clergymen</w:t>
      </w:r>
      <w:bookmarkEnd w:id="31"/>
    </w:p>
    <w:p>
      <w:pPr>
        <w:pStyle w:val="Subsection"/>
        <w:rPr>
          <w:snapToGrid w:val="0"/>
        </w:rPr>
      </w:pPr>
      <w:r>
        <w:rPr>
          <w:snapToGrid w:val="0"/>
        </w:rPr>
        <w:tab/>
      </w:r>
      <w:r>
        <w:rPr>
          <w:snapToGrid w:val="0"/>
        </w:rPr>
        <w:tab/>
        <w:t>At the request of the governing body of any other church, the Minister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rStyle w:val="CharDefText"/>
        </w:rPr>
        <w:t>worker</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32" w:name="_Toc131514263"/>
      <w:r>
        <w:rPr>
          <w:rStyle w:val="CharSectno"/>
        </w:rPr>
        <w:t>10A</w:t>
      </w:r>
      <w:r>
        <w:t>.</w:t>
      </w:r>
      <w:r>
        <w:tab/>
        <w:t>Working directors</w:t>
      </w:r>
      <w:bookmarkEnd w:id="32"/>
    </w:p>
    <w:p>
      <w:pPr>
        <w:pStyle w:val="Subsection"/>
      </w:pPr>
      <w:r>
        <w:tab/>
        <w:t>(1)</w:t>
      </w:r>
      <w:r>
        <w:tab/>
        <w:t>In this section —</w:t>
      </w:r>
    </w:p>
    <w:p>
      <w:pPr>
        <w:pStyle w:val="Defstart"/>
      </w:pPr>
      <w:r>
        <w:rPr>
          <w:b/>
        </w:rPr>
        <w:tab/>
      </w:r>
      <w:r>
        <w:rPr>
          <w:rStyle w:val="CharDefText"/>
        </w:rPr>
        <w:t>company</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r>
      <w:r>
        <w:rPr>
          <w:rStyle w:val="CharDefText"/>
        </w:rPr>
        <w:t>corporate body</w:t>
      </w:r>
      <w:r>
        <w:t xml:space="preserve"> has the same meaning as </w:t>
      </w:r>
      <w:r>
        <w:rPr>
          <w:b/>
          <w:bCs/>
          <w:i/>
          <w:iCs/>
        </w:rPr>
        <w:t>company</w:t>
      </w:r>
      <w:r>
        <w:t xml:space="preserve"> in section 5(1);</w:t>
      </w:r>
    </w:p>
    <w:p>
      <w:pPr>
        <w:pStyle w:val="Defstart"/>
      </w:pPr>
      <w:r>
        <w:rPr>
          <w:b/>
        </w:rPr>
        <w:tab/>
      </w:r>
      <w:r>
        <w:rPr>
          <w:rStyle w:val="CharDefText"/>
        </w:rPr>
        <w:t>director</w:t>
      </w:r>
      <w:r>
        <w:t xml:space="preserve"> has the meaning given to that term in the </w:t>
      </w:r>
      <w:r>
        <w:rPr>
          <w:i/>
        </w:rPr>
        <w:t xml:space="preserve">Corporations Act 2001 </w:t>
      </w:r>
      <w:r>
        <w:t>of the Commonwealth;</w:t>
      </w:r>
    </w:p>
    <w:p>
      <w:pPr>
        <w:pStyle w:val="Defstart"/>
      </w:pPr>
      <w:r>
        <w:rPr>
          <w:b/>
        </w:rPr>
        <w:tab/>
      </w:r>
      <w:r>
        <w:rPr>
          <w:rStyle w:val="CharDefText"/>
        </w:rPr>
        <w:t>earnings</w:t>
      </w:r>
      <w:r>
        <w:t xml:space="preserve"> means wages, salary and other remuneration;</w:t>
      </w:r>
    </w:p>
    <w:p>
      <w:pPr>
        <w:pStyle w:val="Defstart"/>
        <w:keepNext/>
        <w:keepLines/>
      </w:pPr>
      <w:r>
        <w:rPr>
          <w:b/>
        </w:rPr>
        <w:lastRenderedPageBreak/>
        <w:tab/>
      </w:r>
      <w:r>
        <w:rPr>
          <w:rStyle w:val="CharDefText"/>
        </w:rPr>
        <w:t>working director</w:t>
      </w:r>
      <w:r>
        <w:t>, in relation to a company, means a director of the company, whether or not the director would be a worker if this section did not apply —</w:t>
      </w:r>
    </w:p>
    <w:p>
      <w:pPr>
        <w:pStyle w:val="Defpara"/>
        <w:spacing w:before="60"/>
      </w:pPr>
      <w:r>
        <w:tab/>
        <w:t>(a)</w:t>
      </w:r>
      <w:r>
        <w:tab/>
        <w:t>who executes work for or on behalf of the company; and</w:t>
      </w:r>
    </w:p>
    <w:p>
      <w:pPr>
        <w:pStyle w:val="Defpara"/>
        <w:spacing w:before="60"/>
      </w:pPr>
      <w:r>
        <w:tab/>
        <w:t>(b)</w:t>
      </w:r>
      <w:r>
        <w:tab/>
        <w:t>whose earnings as a director of the company by whatever means are in substance for personal manual labour or services.</w:t>
      </w:r>
    </w:p>
    <w:p>
      <w:pPr>
        <w:pStyle w:val="Subsection"/>
        <w:spacing w:before="140"/>
      </w:pPr>
      <w:r>
        <w:tab/>
        <w:t>(2)</w:t>
      </w:r>
      <w:r>
        <w:tab/>
        <w:t>Despite anything in section 5, a director of a corporate body is not a worker of that corporate body for the purposes of this Act unless and to the extent that this section makes the director a worker.</w:t>
      </w:r>
    </w:p>
    <w:p>
      <w:pPr>
        <w:pStyle w:val="Subsection"/>
        <w:spacing w:before="140"/>
      </w:pPr>
      <w:r>
        <w:tab/>
        <w:t>(3)</w:t>
      </w:r>
      <w:r>
        <w:tab/>
        <w:t>A company may apply to an approved insurance office under section 160(2) on the basis that a working director of the company is a worker.</w:t>
      </w:r>
    </w:p>
    <w:p>
      <w:pPr>
        <w:pStyle w:val="Subsection"/>
        <w:spacing w:before="140"/>
      </w:pPr>
      <w:r>
        <w:tab/>
        <w:t>(4)</w:t>
      </w:r>
      <w:r>
        <w:tab/>
        <w:t>If a company complies with section 160 in respect of a working director of the company on the basis that the director is a worker, then, for the purposes of this Act other than section 174(1AA) —</w:t>
      </w:r>
    </w:p>
    <w:p>
      <w:pPr>
        <w:pStyle w:val="Indenta"/>
        <w:spacing w:before="60"/>
      </w:pPr>
      <w:r>
        <w:tab/>
        <w:t>(a)</w:t>
      </w:r>
      <w:r>
        <w:tab/>
        <w:t>the director is a worker; and</w:t>
      </w:r>
    </w:p>
    <w:p>
      <w:pPr>
        <w:pStyle w:val="Indenta"/>
        <w:spacing w:before="60"/>
      </w:pPr>
      <w:r>
        <w:tab/>
        <w:t>(b)</w:t>
      </w:r>
      <w:r>
        <w:tab/>
        <w:t>the company is the employer of the director.</w:t>
      </w:r>
    </w:p>
    <w:p>
      <w:pPr>
        <w:pStyle w:val="Subsection"/>
        <w:spacing w:before="140"/>
      </w:pPr>
      <w:r>
        <w:tab/>
        <w:t>(5)</w:t>
      </w:r>
      <w:r>
        <w:tab/>
        <w:t>Subsection (4) ceases to apply if the circumstances described in subsection (7) arise.</w:t>
      </w:r>
    </w:p>
    <w:p>
      <w:pPr>
        <w:pStyle w:val="Subsection"/>
        <w:spacing w:before="140"/>
      </w:pPr>
      <w:r>
        <w:tab/>
        <w:t>(6)</w:t>
      </w:r>
      <w:r>
        <w:tab/>
        <w:t>If a company that is an employer is, or is one of a group of employers that is, exempt under section 164, then, for the purposes of this Act —</w:t>
      </w:r>
    </w:p>
    <w:p>
      <w:pPr>
        <w:pStyle w:val="Indenta"/>
        <w:spacing w:before="60"/>
      </w:pPr>
      <w:r>
        <w:tab/>
        <w:t>(a)</w:t>
      </w:r>
      <w:r>
        <w:tab/>
        <w:t>a director of the company who is a working director is a worker; and</w:t>
      </w:r>
    </w:p>
    <w:p>
      <w:pPr>
        <w:pStyle w:val="Indenta"/>
        <w:spacing w:before="60"/>
      </w:pPr>
      <w:r>
        <w:tab/>
        <w:t>(b)</w:t>
      </w:r>
      <w:r>
        <w:tab/>
        <w:t>the company is the employer of the director.</w:t>
      </w:r>
    </w:p>
    <w:p>
      <w:pPr>
        <w:pStyle w:val="Subsection"/>
        <w:spacing w:before="140"/>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lastRenderedPageBreak/>
        <w:tab/>
        <w:t>(8)</w:t>
      </w:r>
      <w:r>
        <w:tab/>
        <w:t>Subsection (7) does not prevent the company from applying as described in subsection (3), and subsection (7) ceases to apply if the circumstances described in subsection (4) arise.</w:t>
      </w:r>
    </w:p>
    <w:p>
      <w:pPr>
        <w:pStyle w:val="Footnotesection"/>
      </w:pPr>
      <w:r>
        <w:tab/>
        <w:t>[Section 10A inserted: No. 16 of 2005 s. 9(1); amended: No. 31 of 2011 s. 81.]</w:t>
      </w:r>
    </w:p>
    <w:p>
      <w:pPr>
        <w:pStyle w:val="Heading5"/>
        <w:rPr>
          <w:snapToGrid w:val="0"/>
        </w:rPr>
      </w:pPr>
      <w:bookmarkStart w:id="33" w:name="_Toc131514264"/>
      <w:r>
        <w:rPr>
          <w:rStyle w:val="CharSectno"/>
        </w:rPr>
        <w:t>11</w:t>
      </w:r>
      <w:r>
        <w:rPr>
          <w:snapToGrid w:val="0"/>
        </w:rPr>
        <w:t>.</w:t>
      </w:r>
      <w:r>
        <w:rPr>
          <w:snapToGrid w:val="0"/>
        </w:rPr>
        <w:tab/>
        <w:t>Contracted sporting contestants are not workers</w:t>
      </w:r>
      <w:bookmarkEnd w:id="33"/>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w:t>
      </w:r>
    </w:p>
    <w:p>
      <w:pPr>
        <w:pStyle w:val="Indenta"/>
        <w:rPr>
          <w:snapToGrid w:val="0"/>
        </w:rPr>
      </w:pPr>
      <w:r>
        <w:rPr>
          <w:snapToGrid w:val="0"/>
        </w:rPr>
        <w:tab/>
        <w:t>(a)</w:t>
      </w:r>
      <w:r>
        <w:rPr>
          <w:snapToGrid w:val="0"/>
        </w:rPr>
        <w:tab/>
        <w:t>participating as a contestant in any sporting or athletic activity; or</w:t>
      </w:r>
    </w:p>
    <w:p>
      <w:pPr>
        <w:pStyle w:val="Indenta"/>
        <w:rPr>
          <w:snapToGrid w:val="0"/>
        </w:rPr>
      </w:pPr>
      <w:r>
        <w:rPr>
          <w:snapToGrid w:val="0"/>
        </w:rPr>
        <w:tab/>
        <w:t>(b)</w:t>
      </w:r>
      <w:r>
        <w:rPr>
          <w:snapToGrid w:val="0"/>
        </w:rPr>
        <w:tab/>
        <w:t>engaged in training or preparing himself with a view to his so participating; or</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[Section 11 amended: No. 44 of 1985 s. 5; No. 34 of 1999 s. 7.]</w:t>
      </w:r>
    </w:p>
    <w:p>
      <w:pPr>
        <w:pStyle w:val="Heading5"/>
      </w:pPr>
      <w:bookmarkStart w:id="34" w:name="_Toc131514265"/>
      <w:r>
        <w:rPr>
          <w:rStyle w:val="CharSectno"/>
        </w:rPr>
        <w:t>11A</w:t>
      </w:r>
      <w:r>
        <w:t>.</w:t>
      </w:r>
      <w:r>
        <w:tab/>
        <w:t>Jockeys</w:t>
      </w:r>
      <w:bookmarkEnd w:id="34"/>
    </w:p>
    <w:p>
      <w:pPr>
        <w:pStyle w:val="Subsection"/>
      </w:pPr>
      <w:r>
        <w:tab/>
        <w:t>(1)</w:t>
      </w:r>
      <w:r>
        <w:tab/>
        <w:t xml:space="preserve">In this section — </w:t>
      </w:r>
    </w:p>
    <w:p>
      <w:pPr>
        <w:pStyle w:val="Defstart"/>
      </w:pPr>
      <w:r>
        <w:tab/>
      </w:r>
      <w:r>
        <w:rPr>
          <w:rStyle w:val="CharDefText"/>
        </w:rPr>
        <w:t>licensed facility</w:t>
      </w:r>
      <w:r>
        <w:t xml:space="preserve"> means a place licensed as — </w:t>
      </w:r>
    </w:p>
    <w:p>
      <w:pPr>
        <w:pStyle w:val="Defpara"/>
      </w:pPr>
      <w:r>
        <w:tab/>
        <w:t>(a)</w:t>
      </w:r>
      <w:r>
        <w:tab/>
        <w:t>a racecourse; or</w:t>
      </w:r>
    </w:p>
    <w:p>
      <w:pPr>
        <w:pStyle w:val="Defpara"/>
      </w:pPr>
      <w:r>
        <w:tab/>
        <w:t>(b)</w:t>
      </w:r>
      <w:r>
        <w:tab/>
        <w:t>a training track; or</w:t>
      </w:r>
    </w:p>
    <w:p>
      <w:pPr>
        <w:pStyle w:val="Defpara"/>
      </w:pPr>
      <w:r>
        <w:tab/>
        <w:t>(c)</w:t>
      </w:r>
      <w:r>
        <w:tab/>
        <w:t>a trial track,</w:t>
      </w:r>
    </w:p>
    <w:p>
      <w:pPr>
        <w:pStyle w:val="Defstart"/>
      </w:pPr>
      <w:r>
        <w:tab/>
        <w:t xml:space="preserve">under the </w:t>
      </w:r>
      <w:r>
        <w:rPr>
          <w:i/>
        </w:rPr>
        <w:t>Racing and Wagering Western Australia Act 2003</w:t>
      </w:r>
      <w:r>
        <w:t>;</w:t>
      </w:r>
    </w:p>
    <w:p>
      <w:pPr>
        <w:pStyle w:val="Defstart"/>
      </w:pPr>
      <w:r>
        <w:tab/>
      </w:r>
      <w:r>
        <w:rPr>
          <w:rStyle w:val="CharDefText"/>
        </w:rPr>
        <w:t>licensed jockey</w:t>
      </w:r>
      <w:r>
        <w:t xml:space="preserve"> means a person licensed as a jockey under the </w:t>
      </w:r>
      <w:r>
        <w:rPr>
          <w:i/>
        </w:rPr>
        <w:t>Racing and Wagering Western Australia Act 2003</w:t>
      </w:r>
      <w:r>
        <w:t>;</w:t>
      </w:r>
    </w:p>
    <w:p>
      <w:pPr>
        <w:pStyle w:val="Defstart"/>
      </w:pPr>
      <w:r>
        <w:lastRenderedPageBreak/>
        <w:tab/>
      </w:r>
      <w:r>
        <w:rPr>
          <w:rStyle w:val="CharDefText"/>
        </w:rPr>
        <w:t>licensed trainer</w:t>
      </w:r>
      <w:r>
        <w:t xml:space="preserve"> means a person licensed as a trainer of thoroughbred racing horses under the </w:t>
      </w:r>
      <w:r>
        <w:rPr>
          <w:i/>
        </w:rPr>
        <w:t>Racing and Wagering Western Australia Act 2003</w:t>
      </w:r>
      <w:r>
        <w:t>;</w:t>
      </w:r>
    </w:p>
    <w:p>
      <w:pPr>
        <w:pStyle w:val="Defstart"/>
      </w:pPr>
      <w:r>
        <w:tab/>
      </w:r>
      <w:r>
        <w:rPr>
          <w:rStyle w:val="CharDefText"/>
        </w:rPr>
        <w:t>registered club</w:t>
      </w:r>
      <w:r>
        <w:t xml:space="preserve"> means a racing club registered under the </w:t>
      </w:r>
      <w:r>
        <w:rPr>
          <w:i/>
        </w:rPr>
        <w:t>Racing and Wagering Western Australia Act 2003</w:t>
      </w:r>
      <w:r>
        <w:t>;</w:t>
      </w:r>
    </w:p>
    <w:p>
      <w:pPr>
        <w:pStyle w:val="Defstart"/>
      </w:pPr>
      <w:r>
        <w:tab/>
      </w:r>
      <w:r>
        <w:rPr>
          <w:rStyle w:val="CharDefText"/>
        </w:rPr>
        <w:t>relevant day</w:t>
      </w:r>
      <w:r>
        <w:t xml:space="preserve"> means the day on which the </w:t>
      </w:r>
      <w:r>
        <w:rPr>
          <w:i/>
        </w:rPr>
        <w:t xml:space="preserve">Workers’ Compensation and Injury Management Amendment (Jockeys) Act 2012 </w:t>
      </w:r>
      <w:r>
        <w:t>section 4 comes into operation.</w:t>
      </w:r>
    </w:p>
    <w:p>
      <w:pPr>
        <w:pStyle w:val="Subsection"/>
      </w:pPr>
      <w:r>
        <w:tab/>
        <w:t>(2)</w:t>
      </w:r>
      <w:r>
        <w:tab/>
        <w:t xml:space="preserve">Notwithstanding section 11, for the purposes of this Act </w:t>
      </w:r>
      <w:r>
        <w:rPr>
          <w:rStyle w:val="CharDefText"/>
        </w:rPr>
        <w:t>worker</w:t>
      </w:r>
      <w:r>
        <w:t xml:space="preserve"> includes a licensed jockey who — </w:t>
      </w:r>
    </w:p>
    <w:p>
      <w:pPr>
        <w:pStyle w:val="Indenta"/>
      </w:pPr>
      <w:r>
        <w:tab/>
        <w:t>(a)</w:t>
      </w:r>
      <w:r>
        <w:tab/>
        <w:t>is riding a horse in any race run under the management of a registered club; or</w:t>
      </w:r>
    </w:p>
    <w:p>
      <w:pPr>
        <w:pStyle w:val="Indenta"/>
      </w:pPr>
      <w:r>
        <w:tab/>
        <w:t>(b)</w:t>
      </w:r>
      <w:r>
        <w:tab/>
        <w:t xml:space="preserve">is engaged — </w:t>
      </w:r>
    </w:p>
    <w:p>
      <w:pPr>
        <w:pStyle w:val="Indenti"/>
      </w:pPr>
      <w:r>
        <w:tab/>
        <w:t>(i)</w:t>
      </w:r>
      <w:r>
        <w:tab/>
        <w:t>in riding work; or</w:t>
      </w:r>
    </w:p>
    <w:p>
      <w:pPr>
        <w:pStyle w:val="Indenti"/>
      </w:pPr>
      <w:r>
        <w:tab/>
        <w:t>(ii)</w:t>
      </w:r>
      <w:r>
        <w:tab/>
        <w:t>in carrying out the usual duties of a jockey,</w:t>
      </w:r>
    </w:p>
    <w:p>
      <w:pPr>
        <w:pStyle w:val="Indenta"/>
      </w:pPr>
      <w:r>
        <w:tab/>
      </w:r>
      <w:r>
        <w:tab/>
        <w:t>at a licensed facility for a licensed trainer; or</w:t>
      </w:r>
    </w:p>
    <w:p>
      <w:pPr>
        <w:pStyle w:val="Indenta"/>
      </w:pPr>
      <w:r>
        <w:tab/>
        <w:t>(c)</w:t>
      </w:r>
      <w:r>
        <w:tab/>
        <w:t xml:space="preserve">although not coming within paragraph (a) or (b), is engaged — </w:t>
      </w:r>
    </w:p>
    <w:p>
      <w:pPr>
        <w:pStyle w:val="Indenti"/>
      </w:pPr>
      <w:r>
        <w:tab/>
        <w:t>(i)</w:t>
      </w:r>
      <w:r>
        <w:tab/>
        <w:t>in riding work; or</w:t>
      </w:r>
    </w:p>
    <w:p>
      <w:pPr>
        <w:pStyle w:val="Indenti"/>
      </w:pPr>
      <w:r>
        <w:tab/>
        <w:t>(ii)</w:t>
      </w:r>
      <w:r>
        <w:tab/>
        <w:t>in carrying out the usual duties of a jockey,</w:t>
      </w:r>
    </w:p>
    <w:p>
      <w:pPr>
        <w:pStyle w:val="Indenta"/>
      </w:pPr>
      <w:r>
        <w:tab/>
      </w:r>
      <w:r>
        <w:tab/>
        <w:t>for a licensed trainer.</w:t>
      </w:r>
    </w:p>
    <w:p>
      <w:pPr>
        <w:pStyle w:val="Subsection"/>
      </w:pPr>
      <w:r>
        <w:tab/>
        <w:t>(3)</w:t>
      </w:r>
      <w:r>
        <w:tab/>
        <w:t xml:space="preserve">For the purposes of this Act, the employer of a worker referred to in subsection (2) is taken to be — </w:t>
      </w:r>
    </w:p>
    <w:p>
      <w:pPr>
        <w:pStyle w:val="Indenta"/>
      </w:pPr>
      <w:r>
        <w:tab/>
        <w:t>(a)</w:t>
      </w:r>
      <w:r>
        <w:tab/>
        <w:t>in the case of a worker referred to in subsection (2)(a) or (b), Racing and Wagering Western Australia; and</w:t>
      </w:r>
    </w:p>
    <w:p>
      <w:pPr>
        <w:pStyle w:val="Indenta"/>
        <w:keepNext/>
      </w:pPr>
      <w:r>
        <w:tab/>
        <w:t>(b)</w:t>
      </w:r>
      <w:r>
        <w:tab/>
        <w:t xml:space="preserve">in the case of a worker referred to in subsection (2)(c) — </w:t>
      </w:r>
    </w:p>
    <w:p>
      <w:pPr>
        <w:pStyle w:val="Indenti"/>
      </w:pPr>
      <w:r>
        <w:tab/>
        <w:t>(i)</w:t>
      </w:r>
      <w:r>
        <w:tab/>
        <w:t>with respect to injuries occurring before the relevant day, Racing and Wagering Western Australia; and</w:t>
      </w:r>
    </w:p>
    <w:p>
      <w:pPr>
        <w:pStyle w:val="Indenti"/>
        <w:keepNext/>
      </w:pPr>
      <w:r>
        <w:lastRenderedPageBreak/>
        <w:tab/>
        <w:t>(ii)</w:t>
      </w:r>
      <w:r>
        <w:tab/>
        <w:t>with respect to injuries occurring on or after the relevant day, the licensed trainer for whom the worker is engaged.</w:t>
      </w:r>
    </w:p>
    <w:p>
      <w:pPr>
        <w:pStyle w:val="Footnotesection"/>
      </w:pPr>
      <w:r>
        <w:tab/>
        <w:t>[Section 11A inserted: No. 45 of 2012 s. 4.]</w:t>
      </w:r>
    </w:p>
    <w:p>
      <w:pPr>
        <w:pStyle w:val="Heading5"/>
        <w:rPr>
          <w:snapToGrid w:val="0"/>
        </w:rPr>
      </w:pPr>
      <w:bookmarkStart w:id="35" w:name="_Toc131514266"/>
      <w:r>
        <w:rPr>
          <w:rStyle w:val="CharSectno"/>
        </w:rPr>
        <w:t>12</w:t>
      </w:r>
      <w:r>
        <w:rPr>
          <w:snapToGrid w:val="0"/>
        </w:rPr>
        <w:t>.</w:t>
      </w:r>
      <w:r>
        <w:rPr>
          <w:snapToGrid w:val="0"/>
        </w:rPr>
        <w:tab/>
        <w:t>Compensation not payable in some cases for injury or death before 28 Nov 1977</w:t>
      </w:r>
      <w:bookmarkEnd w:id="35"/>
    </w:p>
    <w:p>
      <w:pPr>
        <w:pStyle w:val="Subsection"/>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2</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No. 42 of 2004 s. 11, 146 and 147.]</w:t>
      </w:r>
    </w:p>
    <w:p>
      <w:pPr>
        <w:pStyle w:val="Heading5"/>
        <w:rPr>
          <w:snapToGrid w:val="0"/>
        </w:rPr>
      </w:pPr>
      <w:bookmarkStart w:id="36" w:name="_Toc131514267"/>
      <w:r>
        <w:rPr>
          <w:rStyle w:val="CharSectno"/>
        </w:rPr>
        <w:t>13</w:t>
      </w:r>
      <w:r>
        <w:rPr>
          <w:snapToGrid w:val="0"/>
        </w:rPr>
        <w:t>.</w:t>
      </w:r>
      <w:r>
        <w:rPr>
          <w:snapToGrid w:val="0"/>
        </w:rPr>
        <w:tab/>
        <w:t>Act s. 11 and 12 do not affect case where compensation paid before 28 Nov 1977</w:t>
      </w:r>
      <w:bookmarkEnd w:id="36"/>
    </w:p>
    <w:p>
      <w:pPr>
        <w:pStyle w:val="Subsection"/>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r>
        <w:tab/>
        <w:t>[Section 13 amended: No. 42 of 2004 s. 146 and 147.]</w:t>
      </w:r>
    </w:p>
    <w:p>
      <w:pPr>
        <w:pStyle w:val="Heading5"/>
        <w:rPr>
          <w:snapToGrid w:val="0"/>
        </w:rPr>
      </w:pPr>
      <w:bookmarkStart w:id="37" w:name="_Toc131514268"/>
      <w:r>
        <w:rPr>
          <w:rStyle w:val="CharSectno"/>
        </w:rPr>
        <w:t>14</w:t>
      </w:r>
      <w:r>
        <w:rPr>
          <w:snapToGrid w:val="0"/>
        </w:rPr>
        <w:t>.</w:t>
      </w:r>
      <w:r>
        <w:rPr>
          <w:snapToGrid w:val="0"/>
        </w:rPr>
        <w:tab/>
        <w:t>Workers employed by Crown</w:t>
      </w:r>
      <w:bookmarkEnd w:id="37"/>
    </w:p>
    <w:p>
      <w:pPr>
        <w:pStyle w:val="Subsection"/>
        <w:rPr>
          <w:snapToGrid w:val="0"/>
        </w:rPr>
      </w:pPr>
      <w:r>
        <w:rPr>
          <w:snapToGrid w:val="0"/>
        </w:rPr>
        <w:tab/>
        <w:t>(1)</w:t>
      </w:r>
      <w:r>
        <w:rPr>
          <w:snapToGrid w:val="0"/>
        </w:rPr>
        <w:tab/>
        <w:t xml:space="preserve">In this section </w:t>
      </w:r>
      <w:r>
        <w:rPr>
          <w:rStyle w:val="CharDefText"/>
        </w:rPr>
        <w:t>Crown</w:t>
      </w:r>
      <w:r>
        <w:rPr>
          <w:snapToGrid w:val="0"/>
        </w:rPr>
        <w:t xml:space="preserve"> means Crown in right of the State.</w:t>
      </w:r>
    </w:p>
    <w:p>
      <w:pPr>
        <w:pStyle w:val="Subsection"/>
        <w:rPr>
          <w:snapToGrid w:val="0"/>
        </w:rPr>
      </w:pPr>
      <w:r>
        <w:rPr>
          <w:snapToGrid w:val="0"/>
        </w:rPr>
        <w:lastRenderedPageBreak/>
        <w:tab/>
        <w:t>(2)</w:t>
      </w:r>
      <w:r>
        <w:rPr>
          <w:snapToGrid w:val="0"/>
        </w:rPr>
        <w:tab/>
        <w:t>This Act applies to workers employed by or under the Crown to whom this Act would apply if the employer were a private person.</w:t>
      </w:r>
    </w:p>
    <w:p>
      <w:pPr>
        <w:pStyle w:val="Subsection"/>
        <w:rPr>
          <w:snapToGrid w:val="0"/>
        </w:rPr>
      </w:pPr>
      <w:r>
        <w:rPr>
          <w:snapToGrid w:val="0"/>
        </w:rPr>
        <w:tab/>
        <w:t>(2a)</w:t>
      </w:r>
      <w:r>
        <w:rPr>
          <w:snapToGrid w:val="0"/>
        </w:rPr>
        <w:tab/>
        <w:t>For the purposes of this Act, a person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rPr>
          <w:snapToGrid w:val="0"/>
        </w:rPr>
      </w:pPr>
      <w:r>
        <w:rPr>
          <w:snapToGrid w:val="0"/>
        </w:rPr>
        <w:tab/>
      </w:r>
      <w:r>
        <w:rPr>
          <w:snapToGrid w:val="0"/>
        </w:rPr>
        <w:tab/>
        <w:t>is deemed to be a worker employed by or under the Crown.</w:t>
      </w:r>
    </w:p>
    <w:p>
      <w:pPr>
        <w:pStyle w:val="Subsection"/>
        <w:rPr>
          <w:snapToGrid w:val="0"/>
        </w:rPr>
      </w:pPr>
      <w:r>
        <w:rPr>
          <w:snapToGrid w:val="0"/>
        </w:rPr>
        <w:tab/>
        <w:t>(3)</w:t>
      </w:r>
      <w:r>
        <w:rPr>
          <w:snapToGrid w:val="0"/>
        </w:rPr>
        <w:tab/>
        <w:t>All moneys payable under this Act by or on behalf of the Crown shall be paid out of moneys to be provided by Parliament.</w:t>
      </w:r>
    </w:p>
    <w:p>
      <w:pPr>
        <w:pStyle w:val="Subsection"/>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[Section 14 amended: No. 44 of 1985 s. 7; No. 40 of 1992 s. 13; No. 42 of 2004 s. 148(1).]</w:t>
      </w:r>
    </w:p>
    <w:p>
      <w:pPr>
        <w:pStyle w:val="Ednotesection"/>
        <w:outlineLvl w:val="9"/>
      </w:pPr>
      <w:r>
        <w:t>[</w:t>
      </w:r>
      <w:r>
        <w:rPr>
          <w:b/>
        </w:rPr>
        <w:t>15.</w:t>
      </w:r>
      <w:r>
        <w:tab/>
        <w:t>Deleted: No. 36 of 2004 s. 5.]</w:t>
      </w:r>
    </w:p>
    <w:p>
      <w:pPr>
        <w:pStyle w:val="Heading5"/>
        <w:keepLines w:val="0"/>
        <w:rPr>
          <w:snapToGrid w:val="0"/>
        </w:rPr>
      </w:pPr>
      <w:bookmarkStart w:id="38" w:name="_Toc131514269"/>
      <w:r>
        <w:rPr>
          <w:rStyle w:val="CharSectno"/>
        </w:rPr>
        <w:t>16</w:t>
      </w:r>
      <w:r>
        <w:rPr>
          <w:snapToGrid w:val="0"/>
        </w:rPr>
        <w:t>.</w:t>
      </w:r>
      <w:r>
        <w:rPr>
          <w:snapToGrid w:val="0"/>
        </w:rPr>
        <w:tab/>
        <w:t>Workers employed on some ships</w:t>
      </w:r>
      <w:bookmarkEnd w:id="38"/>
    </w:p>
    <w:p>
      <w:pPr>
        <w:pStyle w:val="Ednotesubsection"/>
      </w:pPr>
      <w:r>
        <w:tab/>
        <w:t>[(1)</w:t>
      </w:r>
      <w:r>
        <w:tab/>
        <w:t>deleted]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t>
      </w:r>
      <w:r>
        <w:rPr>
          <w:snapToGrid w:val="0"/>
        </w:rPr>
        <w:lastRenderedPageBreak/>
        <w:t xml:space="preserve">where the </w:t>
      </w:r>
      <w:r>
        <w:t>injury</w:t>
      </w:r>
      <w:r>
        <w:rPr>
          <w:snapToGrid w:val="0"/>
        </w:rPr>
        <w:t xml:space="preserve"> occurred and incapacity commenced on board the ship it is not necessary to give notice of the</w:t>
      </w:r>
      <w:r>
        <w:t xml:space="preserve"> injury</w:t>
      </w:r>
      <w:r>
        <w:rPr>
          <w:snapToGrid w:val="0"/>
        </w:rPr>
        <w:t>; and</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United Kingdom, liable to pay the expenses of burial; and</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 and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3</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w:t>
      </w:r>
      <w:r>
        <w:rPr>
          <w:snapToGrid w:val="0"/>
        </w:rPr>
        <w:lastRenderedPageBreak/>
        <w:t>18 months of the date at which the ship is deemed to have been lost with all hands.</w:t>
      </w:r>
    </w:p>
    <w:p>
      <w:pPr>
        <w:pStyle w:val="Footnotesection"/>
      </w:pPr>
      <w:r>
        <w:tab/>
        <w:t>[Section 16 amended: No. 44 of 1985 s. 8; No. 36 of 2004 s. 6 and 16; No. 42 of 2004 s. 147 and 148(3).]</w:t>
      </w:r>
    </w:p>
    <w:p>
      <w:pPr>
        <w:pStyle w:val="Heading5"/>
        <w:rPr>
          <w:snapToGrid w:val="0"/>
        </w:rPr>
      </w:pPr>
      <w:bookmarkStart w:id="39" w:name="_Toc131514270"/>
      <w:r>
        <w:rPr>
          <w:rStyle w:val="CharSectno"/>
        </w:rPr>
        <w:t>17</w:t>
      </w:r>
      <w:r>
        <w:rPr>
          <w:snapToGrid w:val="0"/>
        </w:rPr>
        <w:t>.</w:t>
      </w:r>
      <w:r>
        <w:rPr>
          <w:snapToGrid w:val="0"/>
        </w:rPr>
        <w:tab/>
        <w:t>Crew of fishing vessel</w:t>
      </w:r>
      <w:bookmarkEnd w:id="39"/>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No. 42 of 2004 s. 148(1).]</w:t>
      </w:r>
    </w:p>
    <w:p>
      <w:pPr>
        <w:pStyle w:val="Heading2"/>
      </w:pPr>
      <w:bookmarkStart w:id="40" w:name="_Toc100238294"/>
      <w:bookmarkStart w:id="41" w:name="_Toc100238908"/>
      <w:bookmarkStart w:id="42" w:name="_Toc100562202"/>
      <w:bookmarkStart w:id="43" w:name="_Toc107309838"/>
      <w:bookmarkStart w:id="44" w:name="_Toc107479692"/>
      <w:bookmarkStart w:id="45" w:name="_Toc131501058"/>
      <w:bookmarkStart w:id="46" w:name="_Toc131501675"/>
      <w:bookmarkStart w:id="47" w:name="_Toc131514271"/>
      <w:r>
        <w:rPr>
          <w:rStyle w:val="CharPartNo"/>
        </w:rPr>
        <w:lastRenderedPageBreak/>
        <w:t>Part III</w:t>
      </w:r>
      <w:r>
        <w:t> — </w:t>
      </w:r>
      <w:r>
        <w:rPr>
          <w:rStyle w:val="CharPartText"/>
        </w:rPr>
        <w:t>Compensation</w:t>
      </w:r>
      <w:bookmarkEnd w:id="40"/>
      <w:bookmarkEnd w:id="41"/>
      <w:bookmarkEnd w:id="42"/>
      <w:bookmarkEnd w:id="43"/>
      <w:bookmarkEnd w:id="44"/>
      <w:bookmarkEnd w:id="45"/>
      <w:bookmarkEnd w:id="46"/>
      <w:bookmarkEnd w:id="47"/>
    </w:p>
    <w:p>
      <w:pPr>
        <w:pStyle w:val="Heading3"/>
      </w:pPr>
      <w:bookmarkStart w:id="48" w:name="_Toc100238295"/>
      <w:bookmarkStart w:id="49" w:name="_Toc100238909"/>
      <w:bookmarkStart w:id="50" w:name="_Toc100562203"/>
      <w:bookmarkStart w:id="51" w:name="_Toc107309839"/>
      <w:bookmarkStart w:id="52" w:name="_Toc107479693"/>
      <w:bookmarkStart w:id="53" w:name="_Toc131501059"/>
      <w:bookmarkStart w:id="54" w:name="_Toc131501676"/>
      <w:bookmarkStart w:id="55" w:name="_Toc131514272"/>
      <w:r>
        <w:rPr>
          <w:rStyle w:val="CharDivNo"/>
        </w:rPr>
        <w:t>Division 1</w:t>
      </w:r>
      <w:r>
        <w:t> — </w:t>
      </w:r>
      <w:r>
        <w:rPr>
          <w:rStyle w:val="CharDivText"/>
        </w:rPr>
        <w:t>Injury: general</w:t>
      </w:r>
      <w:bookmarkEnd w:id="48"/>
      <w:bookmarkEnd w:id="49"/>
      <w:bookmarkEnd w:id="50"/>
      <w:bookmarkEnd w:id="51"/>
      <w:bookmarkEnd w:id="52"/>
      <w:bookmarkEnd w:id="53"/>
      <w:bookmarkEnd w:id="54"/>
      <w:bookmarkEnd w:id="55"/>
    </w:p>
    <w:p>
      <w:pPr>
        <w:pStyle w:val="Footnoteheading"/>
      </w:pPr>
      <w:r>
        <w:tab/>
        <w:t>[Heading inserted: No. 42 of 2004 s. 12.]</w:t>
      </w:r>
    </w:p>
    <w:p>
      <w:pPr>
        <w:pStyle w:val="Heading5"/>
        <w:rPr>
          <w:snapToGrid w:val="0"/>
        </w:rPr>
      </w:pPr>
      <w:bookmarkStart w:id="56" w:name="_Toc131514273"/>
      <w:r>
        <w:rPr>
          <w:rStyle w:val="CharSectno"/>
        </w:rPr>
        <w:t>18</w:t>
      </w:r>
      <w:r>
        <w:rPr>
          <w:snapToGrid w:val="0"/>
        </w:rPr>
        <w:t>.</w:t>
      </w:r>
      <w:r>
        <w:rPr>
          <w:snapToGrid w:val="0"/>
        </w:rPr>
        <w:tab/>
        <w:t>Employers liable to pay compensation for injuries to workers</w:t>
      </w:r>
      <w:bookmarkEnd w:id="56"/>
    </w:p>
    <w:p>
      <w:pPr>
        <w:pStyle w:val="Subsection"/>
        <w:tabs>
          <w:tab w:val="left" w:pos="2400"/>
        </w:tabs>
        <w:rPr>
          <w:snapToGrid w:val="0"/>
        </w:rPr>
      </w:pPr>
      <w:r>
        <w:rPr>
          <w:snapToGrid w:val="0"/>
        </w:rPr>
        <w:tab/>
      </w:r>
      <w:r>
        <w:t>(1)</w:t>
      </w:r>
      <w:r>
        <w:tab/>
        <w:t>If an injury</w:t>
      </w:r>
      <w:r>
        <w:rPr>
          <w:snapToGrid w:val="0"/>
        </w:rPr>
        <w:t xml:space="preserve"> of a worker occurs, the employer shall, subject to this Act, be liable to pay compensation in accordance with Schedule 1.</w:t>
      </w:r>
    </w:p>
    <w:p>
      <w:pPr>
        <w:pStyle w:val="Subsection"/>
      </w:pPr>
      <w:r>
        <w:tab/>
        <w:t>(2)</w:t>
      </w:r>
      <w:r>
        <w:tab/>
        <w:t>If an injury of a worker occurs and the worker dies, the employer shall, subject to this Act, be liable to pay compensation in accordance with Schedule 1A.</w:t>
      </w:r>
    </w:p>
    <w:p>
      <w:pPr>
        <w:pStyle w:val="Subsection"/>
      </w:pPr>
      <w:r>
        <w:tab/>
        <w:t>(3)</w:t>
      </w:r>
      <w:r>
        <w:tab/>
        <w:t>Subsection (2) does not limit the application of Schedule 5 in relation to the death of the worker.</w:t>
      </w:r>
    </w:p>
    <w:p>
      <w:pPr>
        <w:pStyle w:val="Footnotesection"/>
      </w:pPr>
      <w:r>
        <w:tab/>
        <w:t>[Section 18 amended: No. 42 of 2004 s. 146; No. 8 of 2018 s. 5.]</w:t>
      </w:r>
    </w:p>
    <w:p>
      <w:pPr>
        <w:pStyle w:val="Heading5"/>
        <w:rPr>
          <w:snapToGrid w:val="0"/>
        </w:rPr>
      </w:pPr>
      <w:bookmarkStart w:id="57" w:name="_Toc131514274"/>
      <w:r>
        <w:rPr>
          <w:rStyle w:val="CharSectno"/>
        </w:rPr>
        <w:t>19</w:t>
      </w:r>
      <w:r>
        <w:rPr>
          <w:snapToGrid w:val="0"/>
        </w:rPr>
        <w:t>.</w:t>
      </w:r>
      <w:r>
        <w:rPr>
          <w:snapToGrid w:val="0"/>
        </w:rPr>
        <w:tab/>
        <w:t>Personal injury by accident arising out of or in course of employment, meaning of</w:t>
      </w:r>
      <w:bookmarkEnd w:id="57"/>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w:t>
      </w:r>
    </w:p>
    <w:p>
      <w:pPr>
        <w:pStyle w:val="Indenta"/>
        <w:rPr>
          <w:snapToGrid w:val="0"/>
        </w:rPr>
      </w:pPr>
      <w:r>
        <w:rPr>
          <w:snapToGrid w:val="0"/>
        </w:rPr>
        <w:tab/>
        <w:t>(a)</w:t>
      </w:r>
      <w:r>
        <w:rPr>
          <w:snapToGrid w:val="0"/>
        </w:rPr>
        <w:tab/>
        <w:t>during the worker’s attendance at a place for educational purposes if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the attendance is for the purpose of, or in connection with, the worker’s employment with the employer and the employer agrees to the attendance;</w:t>
      </w:r>
    </w:p>
    <w:p>
      <w:pPr>
        <w:pStyle w:val="Indenta"/>
        <w:rPr>
          <w:snapToGrid w:val="0"/>
        </w:rPr>
      </w:pPr>
      <w:r>
        <w:rPr>
          <w:snapToGrid w:val="0"/>
        </w:rPr>
        <w:tab/>
      </w:r>
      <w:r>
        <w:rPr>
          <w:snapToGrid w:val="0"/>
        </w:rPr>
        <w:tab/>
        <w:t>or</w:t>
      </w:r>
    </w:p>
    <w:p>
      <w:pPr>
        <w:pStyle w:val="Indenta"/>
        <w:rPr>
          <w:snapToGrid w:val="0"/>
        </w:rPr>
      </w:pPr>
      <w:r>
        <w:rPr>
          <w:snapToGrid w:val="0"/>
        </w:rPr>
        <w:lastRenderedPageBreak/>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w:t>
      </w:r>
    </w:p>
    <w:p>
      <w:pPr>
        <w:pStyle w:val="Indenta"/>
        <w:keepNext/>
        <w:rPr>
          <w:snapToGrid w:val="0"/>
        </w:rPr>
      </w:pPr>
      <w:r>
        <w:rPr>
          <w:snapToGrid w:val="0"/>
        </w:rPr>
        <w:tab/>
        <w:t>(a)</w:t>
      </w:r>
      <w:r>
        <w:rPr>
          <w:snapToGrid w:val="0"/>
        </w:rPr>
        <w:tab/>
        <w:t>during a journey —</w:t>
      </w:r>
    </w:p>
    <w:p>
      <w:pPr>
        <w:pStyle w:val="Indenti"/>
        <w:rPr>
          <w:snapToGrid w:val="0"/>
        </w:rPr>
      </w:pPr>
      <w:r>
        <w:rPr>
          <w:snapToGrid w:val="0"/>
        </w:rPr>
        <w:tab/>
        <w:t>(i)</w:t>
      </w:r>
      <w:r>
        <w:rPr>
          <w:snapToGrid w:val="0"/>
        </w:rPr>
        <w:tab/>
        <w:t>between a place of residence of the worker and the worker’s place of employment; or</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w:t>
      </w:r>
    </w:p>
    <w:p>
      <w:pPr>
        <w:pStyle w:val="Defstart"/>
      </w:pPr>
      <w:r>
        <w:rPr>
          <w:b/>
        </w:rPr>
        <w:tab/>
      </w:r>
      <w:r>
        <w:rPr>
          <w:rStyle w:val="CharDefText"/>
        </w:rPr>
        <w:t>place of residence</w:t>
      </w:r>
      <w:r>
        <w:t xml:space="preserve"> includes a place of temporary residence;</w:t>
      </w:r>
    </w:p>
    <w:p>
      <w:pPr>
        <w:pStyle w:val="Defstart"/>
      </w:pPr>
      <w:r>
        <w:rPr>
          <w:b/>
        </w:rPr>
        <w:tab/>
      </w:r>
      <w:r>
        <w:rPr>
          <w:rStyle w:val="CharDefText"/>
        </w:rPr>
        <w:t>substantial interruption</w:t>
      </w:r>
      <w:r>
        <w:t xml:space="preserve"> prima facie includes any interruption of the journey for a period of more than one hour.</w:t>
      </w:r>
    </w:p>
    <w:p>
      <w:pPr>
        <w:pStyle w:val="Footnotesection"/>
      </w:pPr>
      <w:r>
        <w:tab/>
        <w:t>[Section 19 inserted: No. 48 of 1993 s. 30.]</w:t>
      </w:r>
    </w:p>
    <w:p>
      <w:pPr>
        <w:pStyle w:val="Heading5"/>
      </w:pPr>
      <w:bookmarkStart w:id="58" w:name="_Toc131514275"/>
      <w:r>
        <w:rPr>
          <w:rStyle w:val="CharSectno"/>
        </w:rPr>
        <w:lastRenderedPageBreak/>
        <w:t>20</w:t>
      </w:r>
      <w:r>
        <w:t>.</w:t>
      </w:r>
      <w:r>
        <w:tab/>
        <w:t>Compensation not payable unless worker’s employment connected with WA</w:t>
      </w:r>
      <w:bookmarkEnd w:id="58"/>
    </w:p>
    <w:p>
      <w:pPr>
        <w:pStyle w:val="Subsection"/>
        <w:keepNext/>
      </w:pPr>
      <w:r>
        <w:tab/>
        <w:t>(1)</w:t>
      </w:r>
      <w:r>
        <w:tab/>
        <w:t>In this section —</w:t>
      </w:r>
    </w:p>
    <w:p>
      <w:pPr>
        <w:pStyle w:val="Defstart"/>
        <w:keepNext/>
      </w:pPr>
      <w:r>
        <w:rPr>
          <w:b/>
        </w:rPr>
        <w:tab/>
      </w:r>
      <w:r>
        <w:rPr>
          <w:rStyle w:val="CharDefText"/>
        </w:rPr>
        <w:t>State</w:t>
      </w:r>
      <w:r>
        <w:t>, in a geographical sense, includes a State’s relevant adjacent area as described in Schedule 6.</w:t>
      </w:r>
    </w:p>
    <w:p>
      <w:pPr>
        <w:pStyle w:val="Subsection"/>
        <w:keepNext/>
      </w:pPr>
      <w:r>
        <w:tab/>
        <w:t>(2)</w:t>
      </w:r>
      <w:r>
        <w:tab/>
        <w:t>Compensation under this Act is only payable in respect of employment that is connected with this State.</w:t>
      </w:r>
    </w:p>
    <w:p>
      <w:pPr>
        <w:pStyle w:val="Subsection"/>
        <w:spacing w:before="120"/>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A worker’s employment is connected with —</w:t>
      </w:r>
    </w:p>
    <w:p>
      <w:pPr>
        <w:pStyle w:val="Indenta"/>
      </w:pPr>
      <w:r>
        <w:tab/>
        <w:t>(a)</w:t>
      </w:r>
      <w:r>
        <w:tab/>
        <w:t>the State in which the worker usually works in that employment; or</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if no State or no one State is identified by paragraph (a) or (b), the State in which the employer’s principal place of business in Australia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If no State is identified by subsection (4) or (if applicable) (5), a worker’s employment is connected with this State if —</w:t>
      </w:r>
    </w:p>
    <w:p>
      <w:pPr>
        <w:pStyle w:val="Indenta"/>
      </w:pPr>
      <w:r>
        <w:tab/>
        <w:t>(a)</w:t>
      </w:r>
      <w:r>
        <w:tab/>
        <w:t>a worker is in this State when the injury occurs; and</w:t>
      </w:r>
    </w:p>
    <w:p>
      <w:pPr>
        <w:pStyle w:val="Indenta"/>
      </w:pPr>
      <w:r>
        <w:tab/>
        <w:t>(b)</w:t>
      </w:r>
      <w:r>
        <w:tab/>
        <w:t>there is no place outside Australia under the legislation of which the worker may be entitled to compensation for the same matter.</w:t>
      </w:r>
    </w:p>
    <w:p>
      <w:pPr>
        <w:pStyle w:val="Subsection"/>
      </w:pPr>
      <w:r>
        <w:lastRenderedPageBreak/>
        <w:tab/>
        <w:t>(7)</w:t>
      </w:r>
      <w:r>
        <w:tab/>
        <w:t>In deciding whether a worker usually works in a State, regard must be had to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pPr>
      <w:r>
        <w:tab/>
        <w:t>(8)</w:t>
      </w:r>
      <w:r>
        <w:tab/>
        <w:t>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w:t>
      </w:r>
    </w:p>
    <w:p>
      <w:pPr>
        <w:pStyle w:val="Subsection"/>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No. 36 of 2004 s. 7; amended: No. 36 of 2004 s. 17(4).]</w:t>
      </w:r>
    </w:p>
    <w:p>
      <w:pPr>
        <w:pStyle w:val="Heading5"/>
        <w:spacing w:before="180"/>
        <w:rPr>
          <w:snapToGrid w:val="0"/>
        </w:rPr>
      </w:pPr>
      <w:bookmarkStart w:id="59" w:name="_Toc131514276"/>
      <w:r>
        <w:rPr>
          <w:rStyle w:val="CharSectno"/>
        </w:rPr>
        <w:t>21</w:t>
      </w:r>
      <w:r>
        <w:rPr>
          <w:snapToGrid w:val="0"/>
        </w:rPr>
        <w:t>.</w:t>
      </w:r>
      <w:r>
        <w:rPr>
          <w:snapToGrid w:val="0"/>
        </w:rPr>
        <w:tab/>
        <w:t>Compensation payable from date of incapacity</w:t>
      </w:r>
      <w:bookmarkEnd w:id="59"/>
    </w:p>
    <w:p>
      <w:pPr>
        <w:pStyle w:val="Subsection"/>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No. 42 of 2004 s. 147.]</w:t>
      </w:r>
    </w:p>
    <w:p>
      <w:pPr>
        <w:pStyle w:val="Heading5"/>
        <w:spacing w:before="180"/>
        <w:rPr>
          <w:snapToGrid w:val="0"/>
        </w:rPr>
      </w:pPr>
      <w:bookmarkStart w:id="60" w:name="_Toc131514277"/>
      <w:r>
        <w:rPr>
          <w:rStyle w:val="CharSectno"/>
        </w:rPr>
        <w:t>22</w:t>
      </w:r>
      <w:r>
        <w:rPr>
          <w:snapToGrid w:val="0"/>
        </w:rPr>
        <w:t>.</w:t>
      </w:r>
      <w:r>
        <w:rPr>
          <w:snapToGrid w:val="0"/>
        </w:rPr>
        <w:tab/>
        <w:t>Serious and wilful misconduct by worker, effect of</w:t>
      </w:r>
      <w:bookmarkEnd w:id="60"/>
    </w:p>
    <w:p>
      <w:pPr>
        <w:pStyle w:val="Subsection"/>
        <w:rPr>
          <w:snapToGrid w:val="0"/>
        </w:rPr>
      </w:pPr>
      <w:r>
        <w:rPr>
          <w:snapToGrid w:val="0"/>
        </w:rPr>
        <w:tab/>
      </w:r>
      <w:r>
        <w:rPr>
          <w:snapToGrid w:val="0"/>
        </w:rPr>
        <w:tab/>
        <w:t xml:space="preserve">If it is proved that the </w:t>
      </w:r>
      <w:r>
        <w:t>injury</w:t>
      </w:r>
      <w:r>
        <w:rPr>
          <w:snapToGrid w:val="0"/>
        </w:rPr>
        <w:t xml:space="preserve"> of a worker is attributable to his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 or</w:t>
      </w:r>
    </w:p>
    <w:p>
      <w:pPr>
        <w:pStyle w:val="Indenta"/>
        <w:rPr>
          <w:snapToGrid w:val="0"/>
        </w:rPr>
      </w:pPr>
      <w:r>
        <w:rPr>
          <w:snapToGrid w:val="0"/>
        </w:rPr>
        <w:lastRenderedPageBreak/>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spacing w:before="80"/>
        <w:ind w:left="890" w:hanging="890"/>
      </w:pPr>
      <w:r>
        <w:tab/>
        <w:t>[Section 22 amended: No. 42 of 2004 s. 13 and 147.]</w:t>
      </w:r>
    </w:p>
    <w:p>
      <w:pPr>
        <w:pStyle w:val="Heading5"/>
      </w:pPr>
      <w:bookmarkStart w:id="61" w:name="_Toc131514278"/>
      <w:r>
        <w:rPr>
          <w:rStyle w:val="CharSectno"/>
        </w:rPr>
        <w:t>23</w:t>
      </w:r>
      <w:r>
        <w:t>.</w:t>
      </w:r>
      <w:r>
        <w:tab/>
        <w:t>Person not to be compensated twice</w:t>
      </w:r>
      <w:bookmarkEnd w:id="61"/>
    </w:p>
    <w:p>
      <w:pPr>
        <w:pStyle w:val="Subsection"/>
        <w:spacing w:before="12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2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20"/>
      </w:pPr>
      <w:r>
        <w:tab/>
      </w:r>
      <w:r>
        <w:tab/>
        <w:t>the person from whom compensation under this Act is received may, in a court of competent jurisdiction, sue and recover from the person the amount described in subsection (3).</w:t>
      </w:r>
    </w:p>
    <w:p>
      <w:pPr>
        <w:pStyle w:val="Subsection"/>
        <w:spacing w:before="12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20"/>
      </w:pPr>
      <w:r>
        <w:tab/>
      </w:r>
      <w:r>
        <w:tab/>
        <w:t>whichever is less.</w:t>
      </w:r>
    </w:p>
    <w:p>
      <w:pPr>
        <w:pStyle w:val="Footnotesection"/>
        <w:spacing w:before="100"/>
        <w:ind w:left="890" w:hanging="890"/>
      </w:pPr>
      <w:r>
        <w:lastRenderedPageBreak/>
        <w:tab/>
        <w:t>[Section 23 inserted: No. 36 of 2004 s. 8.]</w:t>
      </w:r>
    </w:p>
    <w:p>
      <w:pPr>
        <w:pStyle w:val="Heading3"/>
      </w:pPr>
      <w:bookmarkStart w:id="62" w:name="_Toc100238302"/>
      <w:bookmarkStart w:id="63" w:name="_Toc100238916"/>
      <w:bookmarkStart w:id="64" w:name="_Toc100562210"/>
      <w:bookmarkStart w:id="65" w:name="_Toc107309846"/>
      <w:bookmarkStart w:id="66" w:name="_Toc107479700"/>
      <w:bookmarkStart w:id="67" w:name="_Toc131501066"/>
      <w:bookmarkStart w:id="68" w:name="_Toc131501683"/>
      <w:bookmarkStart w:id="69" w:name="_Toc131514279"/>
      <w:r>
        <w:rPr>
          <w:rStyle w:val="CharDivNo"/>
        </w:rPr>
        <w:t>Division 1a</w:t>
      </w:r>
      <w:r>
        <w:t> — </w:t>
      </w:r>
      <w:r>
        <w:rPr>
          <w:rStyle w:val="CharDivText"/>
        </w:rPr>
        <w:t>Determination by courts and recognition of determination</w:t>
      </w:r>
      <w:bookmarkEnd w:id="62"/>
      <w:bookmarkEnd w:id="63"/>
      <w:bookmarkEnd w:id="64"/>
      <w:bookmarkEnd w:id="65"/>
      <w:bookmarkEnd w:id="66"/>
      <w:bookmarkEnd w:id="67"/>
      <w:bookmarkEnd w:id="68"/>
      <w:bookmarkEnd w:id="69"/>
    </w:p>
    <w:p>
      <w:pPr>
        <w:pStyle w:val="Footnoteheading"/>
        <w:tabs>
          <w:tab w:val="left" w:pos="851"/>
        </w:tabs>
        <w:spacing w:before="100"/>
      </w:pPr>
      <w:r>
        <w:tab/>
        <w:t>[Heading inserted: No. 36 of 2004 s. 9.]</w:t>
      </w:r>
    </w:p>
    <w:p>
      <w:pPr>
        <w:pStyle w:val="Heading5"/>
      </w:pPr>
      <w:bookmarkStart w:id="70" w:name="_Toc131514280"/>
      <w:r>
        <w:rPr>
          <w:rStyle w:val="CharSectno"/>
        </w:rPr>
        <w:t>23A</w:t>
      </w:r>
      <w:r>
        <w:t>.</w:t>
      </w:r>
      <w:r>
        <w:tab/>
        <w:t>Term used: court</w:t>
      </w:r>
      <w:bookmarkEnd w:id="70"/>
    </w:p>
    <w:p>
      <w:pPr>
        <w:pStyle w:val="Subsection"/>
        <w:spacing w:before="100"/>
      </w:pPr>
      <w:r>
        <w:tab/>
      </w:r>
      <w:r>
        <w:tab/>
        <w:t>In this Division —</w:t>
      </w:r>
    </w:p>
    <w:p>
      <w:pPr>
        <w:pStyle w:val="Defstart"/>
      </w:pPr>
      <w:r>
        <w:rPr>
          <w:b/>
        </w:rPr>
        <w:tab/>
      </w:r>
      <w:r>
        <w:rPr>
          <w:rStyle w:val="CharDefText"/>
        </w:rPr>
        <w:t>court</w:t>
      </w:r>
      <w:r>
        <w:t xml:space="preserve"> includes a tribunal constituted by a judicial officer.</w:t>
      </w:r>
    </w:p>
    <w:p>
      <w:pPr>
        <w:pStyle w:val="Footnotesection"/>
      </w:pPr>
      <w:r>
        <w:tab/>
        <w:t>[Section 23A inserted: No. 36 of 2004 s. 9.]</w:t>
      </w:r>
    </w:p>
    <w:p>
      <w:pPr>
        <w:pStyle w:val="Heading5"/>
      </w:pPr>
      <w:bookmarkStart w:id="71" w:name="_Toc131514281"/>
      <w:r>
        <w:rPr>
          <w:rStyle w:val="CharSectno"/>
        </w:rPr>
        <w:t>23B</w:t>
      </w:r>
      <w:r>
        <w:t>.</w:t>
      </w:r>
      <w:r>
        <w:tab/>
        <w:t>Determining if WA is connected with worker’s employment</w:t>
      </w:r>
      <w:bookmarkEnd w:id="71"/>
    </w:p>
    <w:p>
      <w:pPr>
        <w:pStyle w:val="Subsection"/>
      </w:pPr>
      <w:r>
        <w:tab/>
        <w:t>(1)</w:t>
      </w:r>
      <w:r>
        <w:tab/>
        <w:t>If the question of whether this State is connected with a worker’s employment arises in proceedings in a court in relation to a claim for compensation under this Act, that court must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No. 36 of 2004 s. 9.]</w:t>
      </w:r>
    </w:p>
    <w:p>
      <w:pPr>
        <w:pStyle w:val="Heading5"/>
      </w:pPr>
      <w:bookmarkStart w:id="72" w:name="_Toc131514282"/>
      <w:r>
        <w:rPr>
          <w:rStyle w:val="CharSectno"/>
        </w:rPr>
        <w:t>23C</w:t>
      </w:r>
      <w:r>
        <w:t>.</w:t>
      </w:r>
      <w:r>
        <w:tab/>
        <w:t>Application to District Court to determine which State is connected with worker’s employment</w:t>
      </w:r>
      <w:bookmarkEnd w:id="72"/>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lastRenderedPageBreak/>
        <w:tab/>
        <w:t>(3)</w:t>
      </w:r>
      <w:r>
        <w:tab/>
        <w:t>An application under subsection (1) is not to be made or heard if there is a determination that is to be recognised under section 23D.</w:t>
      </w:r>
    </w:p>
    <w:p>
      <w:pPr>
        <w:pStyle w:val="Footnotesection"/>
      </w:pPr>
      <w:r>
        <w:tab/>
        <w:t>[Section 23C inserted: No. 36 of 2004 s. 9.]</w:t>
      </w:r>
    </w:p>
    <w:p>
      <w:pPr>
        <w:pStyle w:val="Heading5"/>
      </w:pPr>
      <w:bookmarkStart w:id="73" w:name="_Toc131514283"/>
      <w:r>
        <w:rPr>
          <w:rStyle w:val="CharSectno"/>
        </w:rPr>
        <w:t>23D</w:t>
      </w:r>
      <w:r>
        <w:t>.</w:t>
      </w:r>
      <w:r>
        <w:tab/>
        <w:t>Recognition of previous determinations</w:t>
      </w:r>
      <w:bookmarkEnd w:id="73"/>
    </w:p>
    <w:p>
      <w:pPr>
        <w:pStyle w:val="Subsection"/>
      </w:pPr>
      <w:r>
        <w:tab/>
        <w:t>(1)</w:t>
      </w:r>
      <w:r>
        <w:tab/>
        <w:t>This section applies if a determination of the State with which a worker’s employment is connected has been made —</w:t>
      </w:r>
    </w:p>
    <w:p>
      <w:pPr>
        <w:pStyle w:val="Indenta"/>
      </w:pPr>
      <w:r>
        <w:tab/>
        <w:t>(a)</w:t>
      </w:r>
      <w:r>
        <w:tab/>
        <w:t>by a court of this State under section 23B or 23C; or</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spacing w:before="140"/>
      </w:pPr>
      <w:r>
        <w:tab/>
        <w:t>(2)</w:t>
      </w:r>
      <w:r>
        <w:tab/>
        <w:t>The State determined as mentioned in subsection (1) is to be recognised for the purposes of this Act as the State with which the worker’s employment is connected.</w:t>
      </w:r>
    </w:p>
    <w:p>
      <w:pPr>
        <w:pStyle w:val="Subsection"/>
        <w:spacing w:before="140"/>
      </w:pPr>
      <w:r>
        <w:tab/>
        <w:t>(3)</w:t>
      </w:r>
      <w:r>
        <w:tab/>
        <w:t>This section does not prevent any appeal relating to the determination.</w:t>
      </w:r>
    </w:p>
    <w:p>
      <w:pPr>
        <w:pStyle w:val="Subsection"/>
        <w:spacing w:before="140"/>
      </w:pPr>
      <w:r>
        <w:tab/>
        <w:t>(4)</w:t>
      </w:r>
      <w:r>
        <w:tab/>
        <w:t>If the determination is altered on appeal, the altered determination is to be recognised under subsection (2).</w:t>
      </w:r>
    </w:p>
    <w:p>
      <w:pPr>
        <w:pStyle w:val="Footnotesection"/>
      </w:pPr>
      <w:r>
        <w:tab/>
        <w:t>[Section 23D inserted: No. 36 of 2004 s. 9.]</w:t>
      </w:r>
    </w:p>
    <w:p>
      <w:pPr>
        <w:pStyle w:val="Heading5"/>
        <w:spacing w:before="180"/>
      </w:pPr>
      <w:bookmarkStart w:id="74" w:name="_Toc131514284"/>
      <w:r>
        <w:rPr>
          <w:rStyle w:val="CharSectno"/>
        </w:rPr>
        <w:t>23E</w:t>
      </w:r>
      <w:r>
        <w:t>.</w:t>
      </w:r>
      <w:r>
        <w:tab/>
        <w:t>Determination may be made by consent</w:t>
      </w:r>
      <w:bookmarkEnd w:id="74"/>
    </w:p>
    <w:p>
      <w:pPr>
        <w:pStyle w:val="Subsection"/>
        <w:spacing w:before="140"/>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No. 36 of 2004 s. 9.]</w:t>
      </w:r>
    </w:p>
    <w:p>
      <w:pPr>
        <w:pStyle w:val="Heading3"/>
      </w:pPr>
      <w:bookmarkStart w:id="75" w:name="_Toc100238308"/>
      <w:bookmarkStart w:id="76" w:name="_Toc100238922"/>
      <w:bookmarkStart w:id="77" w:name="_Toc100562216"/>
      <w:bookmarkStart w:id="78" w:name="_Toc107309852"/>
      <w:bookmarkStart w:id="79" w:name="_Toc107479706"/>
      <w:bookmarkStart w:id="80" w:name="_Toc131501072"/>
      <w:bookmarkStart w:id="81" w:name="_Toc131501689"/>
      <w:bookmarkStart w:id="82" w:name="_Toc131514285"/>
      <w:r>
        <w:rPr>
          <w:rStyle w:val="CharDivNo"/>
        </w:rPr>
        <w:lastRenderedPageBreak/>
        <w:t>Division 2</w:t>
      </w:r>
      <w:r>
        <w:t> — </w:t>
      </w:r>
      <w:r>
        <w:rPr>
          <w:rStyle w:val="CharDivText"/>
        </w:rPr>
        <w:t>Discontinued regime for lump sum payments for specified injuries</w:t>
      </w:r>
      <w:bookmarkEnd w:id="75"/>
      <w:bookmarkEnd w:id="76"/>
      <w:bookmarkEnd w:id="77"/>
      <w:bookmarkEnd w:id="78"/>
      <w:bookmarkEnd w:id="79"/>
      <w:bookmarkEnd w:id="80"/>
      <w:bookmarkEnd w:id="81"/>
      <w:bookmarkEnd w:id="82"/>
    </w:p>
    <w:p>
      <w:pPr>
        <w:pStyle w:val="Footnoteheading"/>
      </w:pPr>
      <w:r>
        <w:tab/>
        <w:t>[Heading inserted: No. 42 of 2004 s. 14.]</w:t>
      </w:r>
    </w:p>
    <w:p>
      <w:pPr>
        <w:pStyle w:val="Heading5"/>
        <w:spacing w:before="180"/>
        <w:rPr>
          <w:snapToGrid w:val="0"/>
        </w:rPr>
      </w:pPr>
      <w:bookmarkStart w:id="83" w:name="_Toc131514286"/>
      <w:r>
        <w:rPr>
          <w:rStyle w:val="CharSectno"/>
        </w:rPr>
        <w:t>24</w:t>
      </w:r>
      <w:r>
        <w:rPr>
          <w:snapToGrid w:val="0"/>
        </w:rPr>
        <w:t>.</w:t>
      </w:r>
      <w:r>
        <w:rPr>
          <w:snapToGrid w:val="0"/>
        </w:rPr>
        <w:tab/>
        <w:t>Injuries in Sch. 2 occurring before 14 Nov 2005, worker may elect to get lump sum for</w:t>
      </w:r>
      <w:bookmarkEnd w:id="83"/>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p>
    <w:p>
      <w:pPr>
        <w:pStyle w:val="Subsection"/>
        <w:keepNext/>
        <w:keepLines/>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pPr>
      <w:r>
        <w:tab/>
        <w:t>(3)</w:t>
      </w:r>
      <w:r>
        <w:tab/>
        <w:t>This Division does not apply if the compensable personal injury by accident occurs on or after the amendment day.</w:t>
      </w:r>
    </w:p>
    <w:p>
      <w:pPr>
        <w:pStyle w:val="Subsection"/>
      </w:pPr>
      <w:r>
        <w:tab/>
        <w:t>(4)</w:t>
      </w:r>
      <w:r>
        <w:tab/>
        <w:t>This Division does not apply in relation to noise induced hearing loss shown on or after the amendment day by an audiometric test under Schedule 7 clause 4.</w:t>
      </w:r>
    </w:p>
    <w:p>
      <w:pPr>
        <w:pStyle w:val="Footnotesection"/>
      </w:pPr>
      <w:r>
        <w:tab/>
        <w:t>[Section 24 amended: No. 44 of 1985 s. 9; No. 36 of 1988 s. 5; No. 42 of 2004 s. 15.]</w:t>
      </w:r>
    </w:p>
    <w:p>
      <w:pPr>
        <w:pStyle w:val="Heading5"/>
        <w:spacing w:before="180"/>
        <w:rPr>
          <w:snapToGrid w:val="0"/>
        </w:rPr>
      </w:pPr>
      <w:bookmarkStart w:id="84" w:name="_Toc131514287"/>
      <w:r>
        <w:rPr>
          <w:rStyle w:val="CharSectno"/>
        </w:rPr>
        <w:t>24A</w:t>
      </w:r>
      <w:r>
        <w:rPr>
          <w:snapToGrid w:val="0"/>
        </w:rPr>
        <w:t>.</w:t>
      </w:r>
      <w:r>
        <w:rPr>
          <w:snapToGrid w:val="0"/>
        </w:rPr>
        <w:tab/>
        <w:t>Noise induced hearing loss, worker may elect to get lump sum for in some cases</w:t>
      </w:r>
      <w:bookmarkEnd w:id="84"/>
    </w:p>
    <w:p>
      <w:pPr>
        <w:pStyle w:val="Subsection"/>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w:t>
      </w:r>
      <w:r>
        <w:rPr>
          <w:snapToGrid w:val="0"/>
        </w:rPr>
        <w:lastRenderedPageBreak/>
        <w:t xml:space="preserve">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4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 xml:space="preserve">where that noise induced hearing loss is any further percentage of loss of </w:t>
      </w:r>
      <w:r>
        <w:t>hearing and at the time of the subsequent election the worker is retired from work.</w:t>
      </w:r>
    </w:p>
    <w:p>
      <w:pPr>
        <w:pStyle w:val="Subsection"/>
        <w:spacing w:before="200"/>
        <w:rPr>
          <w:snapToGrid w:val="0"/>
        </w:rPr>
      </w:pPr>
      <w:r>
        <w:rPr>
          <w:snapToGrid w:val="0"/>
        </w:rPr>
        <w:tab/>
        <w:t>(3)</w:t>
      </w:r>
      <w:r>
        <w:rPr>
          <w:snapToGrid w:val="0"/>
        </w:rPr>
        <w:tab/>
        <w:t>Nothing in subsection (2) operates to stop a worker who —</w:t>
      </w:r>
    </w:p>
    <w:p>
      <w:pPr>
        <w:pStyle w:val="Indenta"/>
        <w:rPr>
          <w:snapToGrid w:val="0"/>
        </w:rPr>
      </w:pPr>
      <w:r>
        <w:rPr>
          <w:snapToGrid w:val="0"/>
        </w:rPr>
        <w:tab/>
        <w:t>(a)</w:t>
      </w:r>
      <w:r>
        <w:rPr>
          <w:snapToGrid w:val="0"/>
        </w:rPr>
        <w:tab/>
        <w:t xml:space="preserve">has retired from </w:t>
      </w:r>
      <w:r>
        <w:t>work; and</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spacing w:before="200"/>
        <w:rPr>
          <w:snapToGrid w:val="0"/>
        </w:rPr>
      </w:pPr>
      <w:r>
        <w:rPr>
          <w:snapToGrid w:val="0"/>
        </w:rPr>
        <w:tab/>
      </w:r>
      <w:r>
        <w:rPr>
          <w:snapToGrid w:val="0"/>
        </w:rPr>
        <w:tab/>
        <w:t>from making an election under subsection (2)(b) in respect of further loss of hearing.</w:t>
      </w:r>
    </w:p>
    <w:p>
      <w:pPr>
        <w:pStyle w:val="Subsection"/>
        <w:spacing w:before="200"/>
        <w:rPr>
          <w:snapToGrid w:val="0"/>
        </w:rPr>
      </w:pPr>
      <w:r>
        <w:rPr>
          <w:snapToGrid w:val="0"/>
        </w:rPr>
        <w:tab/>
        <w:t>(4)</w:t>
      </w:r>
      <w:r>
        <w:rPr>
          <w:snapToGrid w:val="0"/>
        </w:rPr>
        <w:tab/>
        <w:t xml:space="preserve">A worker is not entitled to compensation under this section in respect of noise induced hearing loss incurred after the worker </w:t>
      </w:r>
      <w:r>
        <w:rPr>
          <w:snapToGrid w:val="0"/>
        </w:rPr>
        <w:lastRenderedPageBreak/>
        <w:t>has attained the age of 65 </w:t>
      </w:r>
      <w:r>
        <w:t xml:space="preserve">years if the hearing loss occurred before the day on which the </w:t>
      </w:r>
      <w:r>
        <w:rPr>
          <w:i/>
        </w:rPr>
        <w:t>Workers’ Compensation and Injury Management Amendment Act 2011</w:t>
      </w:r>
      <w:r>
        <w:rPr>
          <w:i/>
          <w:iCs/>
        </w:rPr>
        <w:t xml:space="preserve"> </w:t>
      </w:r>
      <w:r>
        <w:t>section 82 comes into operation.</w:t>
      </w:r>
    </w:p>
    <w:p>
      <w:pPr>
        <w:pStyle w:val="Subsection"/>
        <w:spacing w:before="200"/>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keepNext/>
        <w:spacing w:before="200"/>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[Section 24A inserted: No. 36 of 1988 s. 6; amended: No. 42 of 2004 s. 16; No. 31 of 2011 s. 82.]</w:t>
      </w:r>
    </w:p>
    <w:p>
      <w:pPr>
        <w:pStyle w:val="Heading5"/>
        <w:spacing w:before="240"/>
        <w:rPr>
          <w:snapToGrid w:val="0"/>
        </w:rPr>
      </w:pPr>
      <w:bookmarkStart w:id="85" w:name="_Toc131514288"/>
      <w:r>
        <w:rPr>
          <w:rStyle w:val="CharSectno"/>
        </w:rPr>
        <w:t>24B</w:t>
      </w:r>
      <w:r>
        <w:rPr>
          <w:snapToGrid w:val="0"/>
        </w:rPr>
        <w:t>.</w:t>
      </w:r>
      <w:r>
        <w:rPr>
          <w:snapToGrid w:val="0"/>
        </w:rPr>
        <w:tab/>
        <w:t>Election under s. 24 or 24A</w:t>
      </w:r>
      <w:bookmarkEnd w:id="85"/>
    </w:p>
    <w:p>
      <w:pPr>
        <w:pStyle w:val="Subsection"/>
        <w:keepNext/>
        <w:keepLines/>
        <w:spacing w:before="180"/>
        <w:rPr>
          <w:snapToGrid w:val="0"/>
        </w:rPr>
      </w:pPr>
      <w:r>
        <w:rPr>
          <w:snapToGrid w:val="0"/>
        </w:rPr>
        <w:tab/>
        <w:t>(1)</w:t>
      </w:r>
      <w:r>
        <w:rPr>
          <w:snapToGrid w:val="0"/>
        </w:rPr>
        <w:tab/>
        <w:t>A worker elects for the purposes of section 24 or 24A(1) where —</w:t>
      </w:r>
    </w:p>
    <w:p>
      <w:pPr>
        <w:pStyle w:val="Indenta"/>
        <w:spacing w:before="100"/>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spacing w:before="100"/>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spacing w:before="180"/>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spacing w:before="180"/>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spacing w:before="180"/>
        <w:rPr>
          <w:snapToGrid w:val="0"/>
        </w:rPr>
      </w:pPr>
      <w:r>
        <w:rPr>
          <w:snapToGrid w:val="0"/>
        </w:rPr>
        <w:lastRenderedPageBreak/>
        <w:tab/>
        <w:t>(4)</w:t>
      </w:r>
      <w:r>
        <w:rPr>
          <w:snapToGrid w:val="0"/>
        </w:rPr>
        <w:tab/>
        <w:t>Subject to this Act, a worker who elects as provided by subsection (1) is entitled to continue to receive any weekly payments of compensation to which he or she is entitled until —</w:t>
      </w:r>
    </w:p>
    <w:p>
      <w:pPr>
        <w:pStyle w:val="Indenta"/>
        <w:spacing w:before="100"/>
        <w:rPr>
          <w:snapToGrid w:val="0"/>
        </w:rPr>
      </w:pPr>
      <w:r>
        <w:rPr>
          <w:snapToGrid w:val="0"/>
        </w:rPr>
        <w:tab/>
        <w:t>(a)</w:t>
      </w:r>
      <w:r>
        <w:rPr>
          <w:snapToGrid w:val="0"/>
        </w:rPr>
        <w:tab/>
        <w:t>an agreement with respect to the election is registered under section 76; or</w:t>
      </w:r>
    </w:p>
    <w:p>
      <w:pPr>
        <w:pStyle w:val="Indenta"/>
        <w:keepNext/>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[Section 24B inserted: No. 36 of 1988 s. 6; amended: No. 48 of 1993 s. 28(1); No. 34 of 1999 s. 8; No. 42 of 2004 s. 17 and 149.]</w:t>
      </w:r>
    </w:p>
    <w:p>
      <w:pPr>
        <w:pStyle w:val="Heading5"/>
        <w:rPr>
          <w:snapToGrid w:val="0"/>
        </w:rPr>
      </w:pPr>
      <w:bookmarkStart w:id="86" w:name="_Toc131514289"/>
      <w:r>
        <w:rPr>
          <w:rStyle w:val="CharSectno"/>
        </w:rPr>
        <w:t>25</w:t>
      </w:r>
      <w:r>
        <w:rPr>
          <w:snapToGrid w:val="0"/>
        </w:rPr>
        <w:t>.</w:t>
      </w:r>
      <w:r>
        <w:rPr>
          <w:snapToGrid w:val="0"/>
        </w:rPr>
        <w:tab/>
        <w:t>Term used: loss of</w:t>
      </w:r>
      <w:bookmarkEnd w:id="86"/>
    </w:p>
    <w:p>
      <w:pPr>
        <w:pStyle w:val="Subsection"/>
        <w:rPr>
          <w:snapToGrid w:val="0"/>
        </w:rPr>
      </w:pPr>
      <w:r>
        <w:rPr>
          <w:snapToGrid w:val="0"/>
        </w:rPr>
        <w:tab/>
      </w:r>
      <w:r>
        <w:rPr>
          <w:snapToGrid w:val="0"/>
        </w:rPr>
        <w:tab/>
        <w:t xml:space="preserve">For the purpose of the table set out in Schedule 2, </w:t>
      </w:r>
      <w:r>
        <w:rPr>
          <w:rStyle w:val="CharDefText"/>
        </w:rPr>
        <w:t>loss of</w:t>
      </w:r>
      <w:r>
        <w:t xml:space="preserve"> i</w:t>
      </w:r>
      <w:r>
        <w:rPr>
          <w:snapToGrid w:val="0"/>
        </w:rPr>
        <w:t>ncludes —</w:t>
      </w:r>
    </w:p>
    <w:p>
      <w:pPr>
        <w:pStyle w:val="Indenta"/>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rPr>
          <w:snapToGrid w:val="0"/>
        </w:rPr>
      </w:pPr>
      <w:bookmarkStart w:id="87" w:name="_Toc131514290"/>
      <w:r>
        <w:rPr>
          <w:rStyle w:val="CharSectno"/>
        </w:rPr>
        <w:lastRenderedPageBreak/>
        <w:t>26</w:t>
      </w:r>
      <w:r>
        <w:rPr>
          <w:snapToGrid w:val="0"/>
        </w:rPr>
        <w:t>.</w:t>
      </w:r>
      <w:r>
        <w:rPr>
          <w:snapToGrid w:val="0"/>
        </w:rPr>
        <w:tab/>
        <w:t>Further loss of use of part or faculty of body due to subsequent injury, compensation for</w:t>
      </w:r>
      <w:bookmarkEnd w:id="87"/>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by a compensable personal injury by accident, a worker has already suffered a permanent loss of any percentage of the full efficient use of any part or faculty of the body referred to in column 1 of</w:t>
      </w:r>
      <w:r>
        <w:t xml:space="preserve"> Part 1 of</w:t>
      </w:r>
      <w:r>
        <w:rPr>
          <w:snapToGrid w:val="0"/>
        </w:rPr>
        <w:t xml:space="preserve"> the table set out in Schedule 2; and</w:t>
      </w:r>
    </w:p>
    <w:p>
      <w:pPr>
        <w:pStyle w:val="Indenta"/>
        <w:rPr>
          <w:snapToGrid w:val="0"/>
        </w:rPr>
      </w:pPr>
      <w:r>
        <w:rPr>
          <w:snapToGrid w:val="0"/>
        </w:rPr>
        <w:tab/>
        <w:t>(b)</w:t>
      </w:r>
      <w:r>
        <w:rPr>
          <w:snapToGrid w:val="0"/>
        </w:rPr>
        <w:tab/>
      </w:r>
      <w:r>
        <w:t>by subsequent</w:t>
      </w:r>
      <w:r>
        <w:rPr>
          <w:snapToGrid w:val="0"/>
        </w:rPr>
        <w:t xml:space="preserve"> compensable personal injury by accident suffers further loss of the full efficient use of that part or faculty of the body,</w:t>
      </w:r>
    </w:p>
    <w:p>
      <w:pPr>
        <w:pStyle w:val="Subsection"/>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whether —</w:t>
      </w:r>
    </w:p>
    <w:p>
      <w:pPr>
        <w:pStyle w:val="Indenta"/>
        <w:rPr>
          <w:snapToGrid w:val="0"/>
        </w:rPr>
      </w:pPr>
      <w:r>
        <w:rPr>
          <w:snapToGrid w:val="0"/>
        </w:rPr>
        <w:tab/>
        <w:t>(a)</w:t>
      </w:r>
      <w:r>
        <w:rPr>
          <w:snapToGrid w:val="0"/>
        </w:rPr>
        <w:tab/>
        <w:t>in one payment for permanent total loss of, or permanent total loss of the efficient use of that part or faculty of the body; or</w:t>
      </w:r>
    </w:p>
    <w:p>
      <w:pPr>
        <w:pStyle w:val="Indenta"/>
        <w:rPr>
          <w:snapToGrid w:val="0"/>
        </w:rPr>
      </w:pPr>
      <w:r>
        <w:rPr>
          <w:snapToGrid w:val="0"/>
        </w:rPr>
        <w:tab/>
        <w:t>(b)</w:t>
      </w:r>
      <w:r>
        <w:rPr>
          <w:snapToGrid w:val="0"/>
        </w:rPr>
        <w:tab/>
      </w:r>
      <w:r>
        <w:t>in several</w:t>
      </w:r>
      <w:r>
        <w:rPr>
          <w:snapToGrid w:val="0"/>
        </w:rPr>
        <w:t xml:space="preserve"> payments, each of which has been made for a permanent partial loss of, or a permanent partial loss of the efficient </w:t>
      </w:r>
      <w:r>
        <w:t xml:space="preserve">use of that part or faculty of </w:t>
      </w:r>
      <w:r>
        <w:rPr>
          <w:snapToGrid w:val="0"/>
        </w:rPr>
        <w:t>the body,</w:t>
      </w:r>
    </w:p>
    <w:p>
      <w:pPr>
        <w:pStyle w:val="Subsection"/>
        <w:rPr>
          <w:snapToGrid w:val="0"/>
        </w:rPr>
      </w:pPr>
      <w:r>
        <w:tab/>
      </w:r>
      <w:r>
        <w:tab/>
        <w:t>then</w:t>
      </w:r>
      <w:r>
        <w:rPr>
          <w:snapToGrid w:val="0"/>
        </w:rPr>
        <w:t xml:space="preserve"> and in such case, the worker is not entitled to any further payment under the provisions of that table in respect of that part or faculty.</w:t>
      </w:r>
    </w:p>
    <w:p>
      <w:pPr>
        <w:pStyle w:val="Footnotesection"/>
      </w:pPr>
      <w:r>
        <w:tab/>
        <w:t>[Section 26 amended: No. 42 of 2004 s. 18; No. 19 of 2010 s. 51.]</w:t>
      </w:r>
    </w:p>
    <w:p>
      <w:pPr>
        <w:pStyle w:val="Heading5"/>
        <w:keepNext w:val="0"/>
        <w:rPr>
          <w:snapToGrid w:val="0"/>
        </w:rPr>
      </w:pPr>
      <w:bookmarkStart w:id="88" w:name="_Toc131514291"/>
      <w:r>
        <w:rPr>
          <w:rStyle w:val="CharSectno"/>
        </w:rPr>
        <w:lastRenderedPageBreak/>
        <w:t>27</w:t>
      </w:r>
      <w:r>
        <w:rPr>
          <w:snapToGrid w:val="0"/>
        </w:rPr>
        <w:t>.</w:t>
      </w:r>
      <w:r>
        <w:rPr>
          <w:snapToGrid w:val="0"/>
        </w:rPr>
        <w:tab/>
        <w:t>Compensation decisions etc. made before 18 May 1978, on basis of Sch. 2, effect of</w:t>
      </w:r>
      <w:bookmarkEnd w:id="88"/>
    </w:p>
    <w:p>
      <w:pPr>
        <w:pStyle w:val="Subsection"/>
        <w:rPr>
          <w:snapToGrid w:val="0"/>
        </w:rPr>
      </w:pPr>
      <w:r>
        <w:rPr>
          <w:snapToGrid w:val="0"/>
        </w:rPr>
        <w:tab/>
      </w:r>
      <w:r>
        <w:rPr>
          <w:snapToGrid w:val="0"/>
        </w:rPr>
        <w:tab/>
        <w:t xml:space="preserve">Notwithstanding the other provisions of this </w:t>
      </w:r>
      <w:r>
        <w:t xml:space="preserve">Act, </w:t>
      </w:r>
      <w:r>
        <w:rPr>
          <w:snapToGrid w:val="0"/>
        </w:rPr>
        <w:t>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[Section 27 amended: No. 48 of 1993 s. 28(1); No. 34 of 1999 s. 9; No. 47 of 2011 s. 27.]</w:t>
      </w:r>
    </w:p>
    <w:p>
      <w:pPr>
        <w:pStyle w:val="Heading5"/>
        <w:rPr>
          <w:snapToGrid w:val="0"/>
        </w:rPr>
      </w:pPr>
      <w:bookmarkStart w:id="89" w:name="_Toc131514292"/>
      <w:r>
        <w:rPr>
          <w:rStyle w:val="CharSectno"/>
        </w:rPr>
        <w:t>28</w:t>
      </w:r>
      <w:r>
        <w:rPr>
          <w:snapToGrid w:val="0"/>
        </w:rPr>
        <w:t>.</w:t>
      </w:r>
      <w:r>
        <w:rPr>
          <w:snapToGrid w:val="0"/>
        </w:rPr>
        <w:tab/>
        <w:t>Limit on compensation for worker electing under s. 24B</w:t>
      </w:r>
      <w:bookmarkEnd w:id="89"/>
    </w:p>
    <w:p>
      <w:pPr>
        <w:pStyle w:val="Subsection"/>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[Section 28 amended: No. 44 of 1985 s. 13; No. 36 of 1988 s. 7; No. 48 of 1993 s. 28(1); No. 42 of 2004 s. 19 and 149.]</w:t>
      </w:r>
    </w:p>
    <w:p>
      <w:pPr>
        <w:pStyle w:val="Heading5"/>
        <w:rPr>
          <w:snapToGrid w:val="0"/>
        </w:rPr>
      </w:pPr>
      <w:bookmarkStart w:id="90" w:name="_Toc131514293"/>
      <w:r>
        <w:rPr>
          <w:rStyle w:val="CharSectno"/>
        </w:rPr>
        <w:t>29</w:t>
      </w:r>
      <w:r>
        <w:rPr>
          <w:snapToGrid w:val="0"/>
        </w:rPr>
        <w:t>.</w:t>
      </w:r>
      <w:r>
        <w:rPr>
          <w:snapToGrid w:val="0"/>
        </w:rPr>
        <w:tab/>
        <w:t>Effect of s. 24 and 24A on compensation for incapacity</w:t>
      </w:r>
      <w:bookmarkEnd w:id="90"/>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w:t>
      </w:r>
      <w:r>
        <w:rPr>
          <w:snapToGrid w:val="0"/>
        </w:rPr>
        <w:lastRenderedPageBreak/>
        <w:t xml:space="preserve">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[Section 29 amended: No. 44 of 1985 s. 14; No. 36 of 1988 s. 8; No. 48 of 1993 s. 28(1); No. 42 of 2004 s. 149.]</w:t>
      </w:r>
    </w:p>
    <w:p>
      <w:pPr>
        <w:pStyle w:val="Heading5"/>
        <w:rPr>
          <w:snapToGrid w:val="0"/>
        </w:rPr>
      </w:pPr>
      <w:bookmarkStart w:id="91" w:name="_Toc131514294"/>
      <w:r>
        <w:rPr>
          <w:rStyle w:val="CharSectno"/>
        </w:rPr>
        <w:t>30</w:t>
      </w:r>
      <w:r>
        <w:rPr>
          <w:snapToGrid w:val="0"/>
        </w:rPr>
        <w:t>.</w:t>
      </w:r>
      <w:r>
        <w:rPr>
          <w:snapToGrid w:val="0"/>
        </w:rPr>
        <w:tab/>
        <w:t>Compensation payable before election under s. 24B</w:t>
      </w:r>
      <w:bookmarkEnd w:id="91"/>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spacing w:before="80"/>
        <w:ind w:left="890" w:hanging="890"/>
      </w:pPr>
      <w:r>
        <w:tab/>
        <w:t>[Section 30 amended: No. 44 of 1985 s. 15; No. 36 of 1988 s. 9; No. 48 of 1993 s. 28(1); No. 42 of 2004 s. 149.]</w:t>
      </w:r>
    </w:p>
    <w:p>
      <w:pPr>
        <w:pStyle w:val="Heading5"/>
        <w:rPr>
          <w:snapToGrid w:val="0"/>
        </w:rPr>
      </w:pPr>
      <w:bookmarkStart w:id="92" w:name="_Toc131514295"/>
      <w:r>
        <w:rPr>
          <w:rStyle w:val="CharSectno"/>
        </w:rPr>
        <w:t>31</w:t>
      </w:r>
      <w:r>
        <w:rPr>
          <w:snapToGrid w:val="0"/>
        </w:rPr>
        <w:t>.</w:t>
      </w:r>
      <w:r>
        <w:rPr>
          <w:snapToGrid w:val="0"/>
        </w:rPr>
        <w:tab/>
        <w:t>Sch. 2 Part 1, interpretation of</w:t>
      </w:r>
      <w:bookmarkEnd w:id="92"/>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 xml:space="preserve">determination of loss of sight is to be made on a corrective basis and item 5 of Schedule 2 shall not apply </w:t>
      </w:r>
      <w:r>
        <w:rPr>
          <w:snapToGrid w:val="0"/>
        </w:rPr>
        <w:lastRenderedPageBreak/>
        <w:t>where loss of binocular vision is caused solely by the total loss of sight or substantial loss of sight of one eye.</w:t>
      </w:r>
    </w:p>
    <w:p>
      <w:pPr>
        <w:pStyle w:val="Footnotesection"/>
      </w:pPr>
      <w:r>
        <w:tab/>
        <w:t>[Section 31 amended: No. 42 of 2004 s. 20.]</w:t>
      </w:r>
    </w:p>
    <w:p>
      <w:pPr>
        <w:pStyle w:val="Heading3"/>
        <w:spacing w:before="800"/>
      </w:pPr>
      <w:bookmarkStart w:id="93" w:name="_Toc100238319"/>
      <w:bookmarkStart w:id="94" w:name="_Toc100238933"/>
      <w:bookmarkStart w:id="95" w:name="_Toc100562227"/>
      <w:bookmarkStart w:id="96" w:name="_Toc107309863"/>
      <w:bookmarkStart w:id="97" w:name="_Toc107479717"/>
      <w:bookmarkStart w:id="98" w:name="_Toc131501083"/>
      <w:bookmarkStart w:id="99" w:name="_Toc131501700"/>
      <w:bookmarkStart w:id="100" w:name="_Toc131514296"/>
      <w:r>
        <w:rPr>
          <w:rStyle w:val="CharDivNo"/>
        </w:rPr>
        <w:t>Division 2A</w:t>
      </w:r>
      <w:r>
        <w:t> — </w:t>
      </w:r>
      <w:r>
        <w:rPr>
          <w:rStyle w:val="CharDivText"/>
        </w:rPr>
        <w:t>New regime for lump sum payments for specified injuries</w:t>
      </w:r>
      <w:bookmarkEnd w:id="93"/>
      <w:bookmarkEnd w:id="94"/>
      <w:bookmarkEnd w:id="95"/>
      <w:bookmarkEnd w:id="96"/>
      <w:bookmarkEnd w:id="97"/>
      <w:bookmarkEnd w:id="98"/>
      <w:bookmarkEnd w:id="99"/>
      <w:bookmarkEnd w:id="100"/>
    </w:p>
    <w:p>
      <w:pPr>
        <w:pStyle w:val="Footnoteheading"/>
      </w:pPr>
      <w:r>
        <w:tab/>
        <w:t>[Heading inserted: No. 42 of 2004 s. 21.]</w:t>
      </w:r>
    </w:p>
    <w:p>
      <w:pPr>
        <w:pStyle w:val="Heading5"/>
      </w:pPr>
      <w:bookmarkStart w:id="101" w:name="_Toc131514297"/>
      <w:r>
        <w:rPr>
          <w:rStyle w:val="CharSectno"/>
        </w:rPr>
        <w:t>31A</w:t>
      </w:r>
      <w:r>
        <w:t>.</w:t>
      </w:r>
      <w:r>
        <w:tab/>
        <w:t>Application of Division</w:t>
      </w:r>
      <w:bookmarkEnd w:id="101"/>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pPr>
      <w:r>
        <w:tab/>
        <w:t>[Section 31A inserted: No. 42 of 2004 s. 21.]</w:t>
      </w:r>
    </w:p>
    <w:p>
      <w:pPr>
        <w:pStyle w:val="Heading5"/>
      </w:pPr>
      <w:bookmarkStart w:id="102" w:name="_Toc131514298"/>
      <w:r>
        <w:rPr>
          <w:rStyle w:val="CharSectno"/>
        </w:rPr>
        <w:t>31B</w:t>
      </w:r>
      <w:r>
        <w:t>.</w:t>
      </w:r>
      <w:r>
        <w:tab/>
        <w:t>Term used: degree of permanent impairment</w:t>
      </w:r>
      <w:bookmarkEnd w:id="102"/>
    </w:p>
    <w:p>
      <w:pPr>
        <w:pStyle w:val="Subsection"/>
      </w:pPr>
      <w:r>
        <w:tab/>
      </w:r>
      <w:r>
        <w:tab/>
        <w:t>In this Division —</w:t>
      </w:r>
    </w:p>
    <w:p>
      <w:pPr>
        <w:pStyle w:val="Defstart"/>
      </w:pPr>
      <w:r>
        <w:rPr>
          <w:b/>
        </w:rPr>
        <w:tab/>
      </w:r>
      <w:r>
        <w:rPr>
          <w:rStyle w:val="CharDefText"/>
        </w:rPr>
        <w:t>degree of permanent impairment</w:t>
      </w:r>
      <w:r>
        <w:t xml:space="preserve"> means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spacing w:before="120"/>
      </w:pPr>
      <w:r>
        <w:lastRenderedPageBreak/>
        <w:tab/>
        <w:t>resulting from the injury or injuries arising from a single accident.</w:t>
      </w:r>
    </w:p>
    <w:p>
      <w:pPr>
        <w:pStyle w:val="Footnotesection"/>
      </w:pPr>
      <w:r>
        <w:tab/>
        <w:t>[Section 31B inserted: No. 42 of 2004 s. 21.]</w:t>
      </w:r>
    </w:p>
    <w:p>
      <w:pPr>
        <w:pStyle w:val="Heading5"/>
      </w:pPr>
      <w:bookmarkStart w:id="103" w:name="_Toc131514299"/>
      <w:r>
        <w:rPr>
          <w:rStyle w:val="CharSectno"/>
        </w:rPr>
        <w:t>31C</w:t>
      </w:r>
      <w:r>
        <w:t>.</w:t>
      </w:r>
      <w:r>
        <w:tab/>
        <w:t>Permanent impairments in Sch. 2, worker may elect to get lump sum for</w:t>
      </w:r>
      <w:bookmarkEnd w:id="103"/>
    </w:p>
    <w:p>
      <w:pPr>
        <w:pStyle w:val="Subsection"/>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pPr>
      <w:r>
        <w:tab/>
        <w:t>[Section 31C inserted: No. 42 of 2004 s. 21.]</w:t>
      </w:r>
    </w:p>
    <w:p>
      <w:pPr>
        <w:pStyle w:val="Heading5"/>
        <w:spacing w:before="180"/>
      </w:pPr>
      <w:bookmarkStart w:id="104" w:name="_Toc131514300"/>
      <w:r>
        <w:rPr>
          <w:rStyle w:val="CharSectno"/>
        </w:rPr>
        <w:t>31D</w:t>
      </w:r>
      <w:r>
        <w:t>.</w:t>
      </w:r>
      <w:r>
        <w:tab/>
        <w:t>Permanent impairments in Sch. 2, assessment of degree of</w:t>
      </w:r>
      <w:bookmarkEnd w:id="104"/>
    </w:p>
    <w:p>
      <w:pPr>
        <w:pStyle w:val="Subsection"/>
      </w:pPr>
      <w:r>
        <w:tab/>
        <w:t>(1)</w:t>
      </w:r>
      <w:r>
        <w:tab/>
        <w:t>In subsection (2) —</w:t>
      </w:r>
    </w:p>
    <w:p>
      <w:pPr>
        <w:pStyle w:val="Defstart"/>
      </w:pPr>
      <w:r>
        <w:rPr>
          <w:b/>
        </w:rPr>
        <w:tab/>
      </w:r>
      <w:r>
        <w:rPr>
          <w:rStyle w:val="CharDefText"/>
        </w:rPr>
        <w:t>full amount</w:t>
      </w:r>
      <w:r>
        <w:t>, in relation to an injury, means the amount payable under this Division if the degree of permanent impairment resulting from the injury is 100%.</w:t>
      </w:r>
    </w:p>
    <w:p>
      <w:pPr>
        <w:pStyle w:val="Subsection"/>
        <w:spacing w:before="120"/>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spacing w:before="120"/>
      </w:pPr>
      <w:r>
        <w:lastRenderedPageBreak/>
        <w:tab/>
        <w:t>(3)</w:t>
      </w:r>
      <w:r>
        <w:tab/>
        <w:t>If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An arbitrator to whom an application to determine a question is made under subsection (3) may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spacing w:before="120"/>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r>
        <w:tab/>
        <w:t>[Section 31D inserted: No. 42 of 2004 s. 21.]</w:t>
      </w:r>
    </w:p>
    <w:p>
      <w:pPr>
        <w:pStyle w:val="Heading5"/>
      </w:pPr>
      <w:bookmarkStart w:id="105" w:name="_Toc131514301"/>
      <w:r>
        <w:rPr>
          <w:rStyle w:val="CharSectno"/>
        </w:rPr>
        <w:t>31E</w:t>
      </w:r>
      <w:r>
        <w:t>.</w:t>
      </w:r>
      <w:r>
        <w:tab/>
        <w:t>Noise induced hearing loss, worker may elect to get lump sum for in some cases</w:t>
      </w:r>
      <w:bookmarkEnd w:id="105"/>
    </w:p>
    <w:p>
      <w:pPr>
        <w:pStyle w:val="Subsection"/>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pPr>
      <w:r>
        <w:lastRenderedPageBreak/>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pPr>
      <w:r>
        <w:tab/>
        <w:t>(3)</w:t>
      </w:r>
      <w:r>
        <w:tab/>
        <w:t>A worker is entitled to compensation under this section only in respect of noise induced hearing loss incurred after 1 March 1991 and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in respect of a subsequent election by the worker under this section after a successful first election under section 24A or paragraph (a) of this section —</w:t>
      </w:r>
    </w:p>
    <w:p>
      <w:pPr>
        <w:pStyle w:val="Indenti"/>
      </w:pPr>
      <w:r>
        <w:tab/>
        <w:t>(i)</w:t>
      </w:r>
      <w:r>
        <w:tab/>
        <w:t>where that noise induced hearing loss is at least a further 5% loss of hearing; or</w:t>
      </w:r>
    </w:p>
    <w:p>
      <w:pPr>
        <w:pStyle w:val="Indenti"/>
      </w:pPr>
      <w:r>
        <w:tab/>
        <w:t>(ii)</w:t>
      </w:r>
      <w:r>
        <w:tab/>
        <w:t>where that noise induced hearing loss is assessed under Schedule 7 as any further percentage of loss of hearing and at the time of the subsequent election the worker is retired from work.</w:t>
      </w:r>
    </w:p>
    <w:p>
      <w:pPr>
        <w:pStyle w:val="Subsection"/>
      </w:pPr>
      <w:r>
        <w:tab/>
        <w:t>(4)</w:t>
      </w:r>
      <w:r>
        <w:tab/>
        <w:t>Nothing in subsection (3) operates to stop a worker who —</w:t>
      </w:r>
    </w:p>
    <w:p>
      <w:pPr>
        <w:pStyle w:val="Indenta"/>
      </w:pPr>
      <w:r>
        <w:tab/>
        <w:t>(a)</w:t>
      </w:r>
      <w:r>
        <w:tab/>
        <w:t>has retired from work; and</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lastRenderedPageBreak/>
        <w:tab/>
        <w:t>(5)</w:t>
      </w:r>
      <w:r>
        <w:tab/>
        <w:t xml:space="preserve">A worker is not entitled to compensation under this section in respect of noise induced hearing loss incurred after the worker has attained the age of 65 years if the hearing loss occurred before the day on which the </w:t>
      </w:r>
      <w:r>
        <w:rPr>
          <w:i/>
        </w:rPr>
        <w:t>Workers’ Compensation and Injury Management Amendment Act 2011</w:t>
      </w:r>
      <w:r>
        <w:t xml:space="preserve"> section 83 comes into operation.</w:t>
      </w:r>
    </w:p>
    <w:p>
      <w:pPr>
        <w:pStyle w:val="Subsection"/>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r>
        <w:tab/>
        <w:t>[Section 31E inserted: No. 42 of 2004 s. 21; amended: No. 31 of 2011 s. 83.]</w:t>
      </w:r>
    </w:p>
    <w:p>
      <w:pPr>
        <w:pStyle w:val="Heading5"/>
      </w:pPr>
      <w:bookmarkStart w:id="106" w:name="_Toc131514302"/>
      <w:r>
        <w:rPr>
          <w:rStyle w:val="CharSectno"/>
        </w:rPr>
        <w:t>31F</w:t>
      </w:r>
      <w:r>
        <w:t>.</w:t>
      </w:r>
      <w:r>
        <w:tab/>
        <w:t>AIDS, compensation for</w:t>
      </w:r>
      <w:bookmarkEnd w:id="106"/>
    </w:p>
    <w:p>
      <w:pPr>
        <w:pStyle w:val="Subsection"/>
        <w:keepNext/>
        <w:keepLines/>
      </w:pPr>
      <w:r>
        <w:tab/>
        <w:t>(1)</w:t>
      </w:r>
      <w:r>
        <w:tab/>
        <w:t>In this section and in the table in Schedule 2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Subsection"/>
      </w:pPr>
      <w:r>
        <w:tab/>
        <w:t>(2)</w:t>
      </w:r>
      <w:r>
        <w:tab/>
        <w:t>Subject to this section, for the purposes of this Division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if that worker subsequently contracts AIDS, the contracting of AIDS —</w:t>
      </w:r>
    </w:p>
    <w:p>
      <w:pPr>
        <w:pStyle w:val="Indenti"/>
      </w:pPr>
      <w:r>
        <w:tab/>
        <w:t>(i)</w:t>
      </w:r>
      <w:r>
        <w:tab/>
        <w:t>is taken to be a compensable personal injury by accident; and</w:t>
      </w:r>
    </w:p>
    <w:p>
      <w:pPr>
        <w:pStyle w:val="Indenti"/>
      </w:pPr>
      <w:r>
        <w:tab/>
        <w:t>(ii)</w:t>
      </w:r>
      <w:r>
        <w:tab/>
        <w:t>is taken to result in a degree of permanent impairment of 100%; and</w:t>
      </w:r>
    </w:p>
    <w:p>
      <w:pPr>
        <w:pStyle w:val="Indenti"/>
      </w:pPr>
      <w:r>
        <w:lastRenderedPageBreak/>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spacing w:before="180"/>
      </w:pPr>
      <w:r>
        <w:tab/>
        <w:t>(4)</w:t>
      </w:r>
      <w:r>
        <w:tab/>
        <w:t>The regulations may make provision for methods of deciding for the purposes of this section whether a worker is HIV infected or has contracted AIDS.</w:t>
      </w:r>
    </w:p>
    <w:p>
      <w:pPr>
        <w:pStyle w:val="Subsection"/>
        <w:spacing w:before="180"/>
      </w:pPr>
      <w:r>
        <w:tab/>
        <w:t>(5)</w:t>
      </w:r>
      <w:r>
        <w:tab/>
        <w:t>Sections 31C(2) and 31D do not apply to an impairment that is AIDS.</w:t>
      </w:r>
    </w:p>
    <w:p>
      <w:pPr>
        <w:pStyle w:val="Subsection"/>
        <w:spacing w:before="180"/>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spacing w:before="180"/>
      </w:pPr>
      <w:r>
        <w:tab/>
        <w:t>(7)</w:t>
      </w:r>
      <w:r>
        <w:tab/>
        <w:t>Subsection (6) does not limit the operation of section 22.</w:t>
      </w:r>
    </w:p>
    <w:p>
      <w:pPr>
        <w:pStyle w:val="Subsection"/>
        <w:spacing w:before="180"/>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t>.</w:t>
      </w:r>
    </w:p>
    <w:p>
      <w:pPr>
        <w:pStyle w:val="Footnotesection"/>
      </w:pPr>
      <w:r>
        <w:tab/>
        <w:t>[Section 31F inserted: No. 42 of 2004 s. 21.]</w:t>
      </w:r>
    </w:p>
    <w:p>
      <w:pPr>
        <w:pStyle w:val="Heading5"/>
        <w:spacing w:before="240"/>
      </w:pPr>
      <w:bookmarkStart w:id="107" w:name="_Toc131514303"/>
      <w:r>
        <w:rPr>
          <w:rStyle w:val="CharSectno"/>
        </w:rPr>
        <w:t>31G</w:t>
      </w:r>
      <w:r>
        <w:t>.</w:t>
      </w:r>
      <w:r>
        <w:tab/>
      </w:r>
      <w:r>
        <w:rPr>
          <w:snapToGrid w:val="0"/>
        </w:rPr>
        <w:t>Further loss of use of part or faculty of body due to subsequent injury, compensation for</w:t>
      </w:r>
      <w:bookmarkEnd w:id="107"/>
    </w:p>
    <w:p>
      <w:pPr>
        <w:pStyle w:val="Subsection"/>
        <w:spacing w:before="180"/>
      </w:pPr>
      <w:r>
        <w:tab/>
        <w:t>(1)</w:t>
      </w:r>
      <w:r>
        <w:tab/>
        <w:t>In this section —</w:t>
      </w:r>
    </w:p>
    <w:p>
      <w:pPr>
        <w:pStyle w:val="Defstart"/>
      </w:pPr>
      <w:r>
        <w:rPr>
          <w:b/>
        </w:rPr>
        <w:tab/>
      </w:r>
      <w:r>
        <w:rPr>
          <w:rStyle w:val="CharDefText"/>
        </w:rPr>
        <w:t>impairment</w:t>
      </w:r>
      <w:r>
        <w:t xml:space="preserve"> includes a loss of full and efficient use of a part or faculty of the body to which the provisions of Division 2 apply.</w:t>
      </w:r>
    </w:p>
    <w:p>
      <w:pPr>
        <w:pStyle w:val="Subsection"/>
        <w:keepNext/>
        <w:spacing w:before="180"/>
      </w:pPr>
      <w:r>
        <w:lastRenderedPageBreak/>
        <w:tab/>
        <w:t>(2)</w:t>
      </w:r>
      <w:r>
        <w:tab/>
        <w:t>When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spacing w:before="120"/>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r>
        <w:tab/>
        <w:t>[Section 31G inserted: No. 42 of 2004 s. 21.]</w:t>
      </w:r>
    </w:p>
    <w:p>
      <w:pPr>
        <w:pStyle w:val="Heading5"/>
      </w:pPr>
      <w:bookmarkStart w:id="108" w:name="_Toc131514304"/>
      <w:r>
        <w:rPr>
          <w:rStyle w:val="CharSectno"/>
        </w:rPr>
        <w:t>31H</w:t>
      </w:r>
      <w:r>
        <w:t>.</w:t>
      </w:r>
      <w:r>
        <w:tab/>
        <w:t>Election under s. 31C or 31E</w:t>
      </w:r>
      <w:bookmarkEnd w:id="108"/>
    </w:p>
    <w:p>
      <w:pPr>
        <w:pStyle w:val="Subsection"/>
      </w:pPr>
      <w:r>
        <w:tab/>
        <w:t>(1)</w:t>
      </w:r>
      <w:r>
        <w:tab/>
        <w:t>A worker elects under this section for the purposes of section 31C or 31E when —</w:t>
      </w:r>
    </w:p>
    <w:p>
      <w:pPr>
        <w:pStyle w:val="Indenta"/>
      </w:pPr>
      <w:r>
        <w:tab/>
        <w:t>(a)</w:t>
      </w:r>
      <w:r>
        <w:tab/>
        <w:t>the worker signs a form of election prescribed by the regulations containing particulars prescribed by the regulations in respect of the impairment or loss; and</w:t>
      </w:r>
    </w:p>
    <w:p>
      <w:pPr>
        <w:pStyle w:val="Indenta"/>
      </w:pPr>
      <w:r>
        <w:lastRenderedPageBreak/>
        <w:tab/>
        <w:t>(b)</w:t>
      </w:r>
      <w:r>
        <w:tab/>
        <w:t>that form of election is filed with the Director, and a copy of it is served by or on behalf of the worker on the employer.</w:t>
      </w:r>
    </w:p>
    <w:p>
      <w:pPr>
        <w:pStyle w:val="Subsection"/>
      </w:pPr>
      <w:r>
        <w:tab/>
        <w:t>(2)</w:t>
      </w:r>
      <w:r>
        <w:tab/>
        <w:t>A worker can elect for the purposes of section 31C only if —</w:t>
      </w:r>
    </w:p>
    <w:p>
      <w:pPr>
        <w:pStyle w:val="Indenta"/>
      </w:pPr>
      <w:r>
        <w:tab/>
        <w:t>(a)</w:t>
      </w:r>
      <w:r>
        <w:tab/>
        <w:t>the worker and the worker’s employer agree as to the worker’s degree of permanent impairment resulting from the injury concerned; or</w:t>
      </w:r>
    </w:p>
    <w:p>
      <w:pPr>
        <w:pStyle w:val="Indenta"/>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pPr>
      <w:r>
        <w:tab/>
        <w:t>[Section 31H inserted: No. 42 of 2004 s. 21; amended: No. 16 of 2005 s. 16.]</w:t>
      </w:r>
    </w:p>
    <w:p>
      <w:pPr>
        <w:pStyle w:val="Heading5"/>
      </w:pPr>
      <w:bookmarkStart w:id="109" w:name="_Toc131514305"/>
      <w:r>
        <w:rPr>
          <w:rStyle w:val="CharSectno"/>
        </w:rPr>
        <w:t>31I</w:t>
      </w:r>
      <w:r>
        <w:t>.</w:t>
      </w:r>
      <w:r>
        <w:tab/>
        <w:t>Effect of election under s. 31H</w:t>
      </w:r>
      <w:bookmarkEnd w:id="109"/>
    </w:p>
    <w:p>
      <w:pPr>
        <w:pStyle w:val="Subsection"/>
      </w:pPr>
      <w:r>
        <w:tab/>
        <w:t>(1)</w:t>
      </w:r>
      <w:r>
        <w:tab/>
        <w:t xml:space="preserve">A form of election referred to in section 31H(1) is not binding upon a worker unless the Director is satisfied that it contains a </w:t>
      </w:r>
      <w:r>
        <w:lastRenderedPageBreak/>
        <w:t>statement in clear terms of the effect the election will have on the worker’s future entitlements to compensation under this Act.</w:t>
      </w:r>
    </w:p>
    <w:p>
      <w:pPr>
        <w:pStyle w:val="Subsection"/>
      </w:pPr>
      <w:r>
        <w:tab/>
        <w:t>(2)</w:t>
      </w:r>
      <w:r>
        <w:tab/>
        <w:t>If not satisfied in accordance with subsection (1), the Director is to, within 7 days of so determining, notify the employer and the worker accordingly.</w:t>
      </w:r>
    </w:p>
    <w:p>
      <w:pPr>
        <w:pStyle w:val="Subsection"/>
      </w:pPr>
      <w:r>
        <w:tab/>
        <w:t>(3)</w:t>
      </w:r>
      <w:r>
        <w:tab/>
        <w:t>Subject to this Act, a worker who elects as provided by section 31H(1) is entitled to continue to receive any weekly payments of compensation to which the worker is entitled until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pPr>
      <w:r>
        <w:tab/>
      </w:r>
      <w:r>
        <w:tab/>
        <w:t>whichever is the sooner.</w:t>
      </w:r>
    </w:p>
    <w:p>
      <w:pPr>
        <w:pStyle w:val="Subsection"/>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r>
        <w:tab/>
        <w:t>[Section 31I inserted: No. 42 of 2004 s. 21.]</w:t>
      </w:r>
    </w:p>
    <w:p>
      <w:pPr>
        <w:pStyle w:val="Heading5"/>
      </w:pPr>
      <w:bookmarkStart w:id="110" w:name="_Toc131514306"/>
      <w:r>
        <w:rPr>
          <w:rStyle w:val="CharSectno"/>
        </w:rPr>
        <w:t>31J</w:t>
      </w:r>
      <w:r>
        <w:t>.</w:t>
      </w:r>
      <w:r>
        <w:tab/>
        <w:t>Limit on compensation for worker electing under s. 31H</w:t>
      </w:r>
      <w:bookmarkEnd w:id="110"/>
    </w:p>
    <w:p>
      <w:pPr>
        <w:pStyle w:val="Subsection"/>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pPr>
      <w:r>
        <w:tab/>
        <w:t>(2)</w:t>
      </w:r>
      <w:r>
        <w:tab/>
        <w:t xml:space="preserve">Clauses 9, 17, 18, 18A and 19 are by this section made applicable to each worker entitled to compensation under this Division until that worker elects under section 31H and an agreement is registered or an order of an arbitrator is made with </w:t>
      </w:r>
      <w:r>
        <w:lastRenderedPageBreak/>
        <w:t>respect to the amount of compensation payable pursuant to the election.</w:t>
      </w:r>
    </w:p>
    <w:p>
      <w:pPr>
        <w:pStyle w:val="Footnotesection"/>
      </w:pPr>
      <w:r>
        <w:tab/>
        <w:t>[Section 31J inserted: No. 42 of 2004 s. 21.]</w:t>
      </w:r>
    </w:p>
    <w:p>
      <w:pPr>
        <w:pStyle w:val="Heading5"/>
      </w:pPr>
      <w:bookmarkStart w:id="111" w:name="_Toc131514307"/>
      <w:r>
        <w:rPr>
          <w:rStyle w:val="CharSectno"/>
        </w:rPr>
        <w:t>31K</w:t>
      </w:r>
      <w:r>
        <w:t>.</w:t>
      </w:r>
      <w:r>
        <w:tab/>
        <w:t>Compensation payable before election under s. 31H</w:t>
      </w:r>
      <w:bookmarkEnd w:id="111"/>
    </w:p>
    <w:p>
      <w:pPr>
        <w:pStyle w:val="Subsection"/>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No. 42 of 2004 s. 21.]</w:t>
      </w:r>
    </w:p>
    <w:p>
      <w:pPr>
        <w:pStyle w:val="Heading3"/>
        <w:keepLines/>
      </w:pPr>
      <w:bookmarkStart w:id="112" w:name="_Toc100238331"/>
      <w:bookmarkStart w:id="113" w:name="_Toc100238945"/>
      <w:bookmarkStart w:id="114" w:name="_Toc100562239"/>
      <w:bookmarkStart w:id="115" w:name="_Toc107309875"/>
      <w:bookmarkStart w:id="116" w:name="_Toc107479729"/>
      <w:bookmarkStart w:id="117" w:name="_Toc131501095"/>
      <w:bookmarkStart w:id="118" w:name="_Toc131501712"/>
      <w:bookmarkStart w:id="119" w:name="_Toc131514308"/>
      <w:r>
        <w:rPr>
          <w:rStyle w:val="CharDivNo"/>
        </w:rPr>
        <w:t>Division 3</w:t>
      </w:r>
      <w:r>
        <w:t> — </w:t>
      </w:r>
      <w:r>
        <w:rPr>
          <w:rStyle w:val="CharDivText"/>
        </w:rPr>
        <w:t>Injury: specified industrial diseases</w:t>
      </w:r>
      <w:bookmarkEnd w:id="112"/>
      <w:bookmarkEnd w:id="113"/>
      <w:bookmarkEnd w:id="114"/>
      <w:bookmarkEnd w:id="115"/>
      <w:bookmarkEnd w:id="116"/>
      <w:bookmarkEnd w:id="117"/>
      <w:bookmarkEnd w:id="118"/>
      <w:bookmarkEnd w:id="119"/>
    </w:p>
    <w:p>
      <w:pPr>
        <w:pStyle w:val="Footnoteheading"/>
        <w:keepNext/>
        <w:keepLines/>
      </w:pPr>
      <w:r>
        <w:tab/>
        <w:t>[Heading inserted: No. 42 of 2004 s. 22.]</w:t>
      </w:r>
    </w:p>
    <w:p>
      <w:pPr>
        <w:pStyle w:val="Heading5"/>
        <w:rPr>
          <w:snapToGrid w:val="0"/>
        </w:rPr>
      </w:pPr>
      <w:bookmarkStart w:id="120" w:name="_Toc131514309"/>
      <w:r>
        <w:rPr>
          <w:rStyle w:val="CharSectno"/>
        </w:rPr>
        <w:t>32</w:t>
      </w:r>
      <w:r>
        <w:rPr>
          <w:snapToGrid w:val="0"/>
        </w:rPr>
        <w:t>.</w:t>
      </w:r>
      <w:r>
        <w:rPr>
          <w:snapToGrid w:val="0"/>
        </w:rPr>
        <w:tab/>
        <w:t>Some industrial diseases in Sch. 3, compensation for</w:t>
      </w:r>
      <w:bookmarkEnd w:id="120"/>
    </w:p>
    <w:p>
      <w:pPr>
        <w:pStyle w:val="Subsection"/>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w:t>
      </w:r>
      <w:r>
        <w:t>lung cancer, or diffuse pleural fibrosis,</w:t>
      </w:r>
      <w:r>
        <w:rPr>
          <w:snapToGrid w:val="0"/>
        </w:rPr>
        <w:t xml:space="preserve">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No. 42 of 2004 s. 23, 146 and 147; No. 31 of 2011 s. 84.]</w:t>
      </w:r>
    </w:p>
    <w:p>
      <w:pPr>
        <w:pStyle w:val="Heading5"/>
        <w:rPr>
          <w:snapToGrid w:val="0"/>
        </w:rPr>
      </w:pPr>
      <w:bookmarkStart w:id="121" w:name="_Toc131514310"/>
      <w:r>
        <w:rPr>
          <w:rStyle w:val="CharSectno"/>
        </w:rPr>
        <w:lastRenderedPageBreak/>
        <w:t>33</w:t>
      </w:r>
      <w:r>
        <w:rPr>
          <w:snapToGrid w:val="0"/>
        </w:rPr>
        <w:t>.</w:t>
      </w:r>
      <w:r>
        <w:rPr>
          <w:snapToGrid w:val="0"/>
        </w:rPr>
        <w:tab/>
      </w:r>
      <w:r>
        <w:rPr>
          <w:bCs/>
        </w:rPr>
        <w:t>Pneumoconiosis, mesothelioma, lung cancer or diffuse pleural fibrosis</w:t>
      </w:r>
      <w:bookmarkEnd w:id="121"/>
    </w:p>
    <w:p>
      <w:pPr>
        <w:pStyle w:val="Subsection"/>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rPr>
          <w:snapToGrid w:val="0"/>
        </w:rPr>
      </w:pPr>
      <w:r>
        <w:rPr>
          <w:snapToGrid w:val="0"/>
        </w:rPr>
        <w:tab/>
        <w:t>(a)</w:t>
      </w:r>
      <w:r>
        <w:rPr>
          <w:snapToGrid w:val="0"/>
        </w:rPr>
        <w:tab/>
        <w:t>pneumoconiosis; or</w:t>
      </w:r>
    </w:p>
    <w:p>
      <w:pPr>
        <w:pStyle w:val="Indenta"/>
        <w:rPr>
          <w:snapToGrid w:val="0"/>
        </w:rPr>
      </w:pPr>
      <w:r>
        <w:rPr>
          <w:snapToGrid w:val="0"/>
        </w:rPr>
        <w:tab/>
        <w:t>(b)</w:t>
      </w:r>
      <w:r>
        <w:rPr>
          <w:snapToGrid w:val="0"/>
        </w:rPr>
        <w:tab/>
        <w:t>on and after 8 May 1970, mesothelioma; or</w:t>
      </w:r>
    </w:p>
    <w:p>
      <w:pPr>
        <w:pStyle w:val="Indenta"/>
        <w:rPr>
          <w:snapToGrid w:val="0"/>
        </w:rPr>
      </w:pPr>
      <w:r>
        <w:rPr>
          <w:snapToGrid w:val="0"/>
        </w:rPr>
        <w:tab/>
        <w:t>(c)</w:t>
      </w:r>
      <w:r>
        <w:rPr>
          <w:snapToGrid w:val="0"/>
        </w:rPr>
        <w:tab/>
        <w:t xml:space="preserve">on and after the date on which this section comes into operation, </w:t>
      </w:r>
      <w:r>
        <w:t>lung cancer; or</w:t>
      </w:r>
    </w:p>
    <w:p>
      <w:pPr>
        <w:pStyle w:val="Indenta"/>
        <w:keepNext/>
      </w:pPr>
      <w:r>
        <w:tab/>
        <w:t>(d)</w:t>
      </w:r>
      <w:r>
        <w:tab/>
        <w:t>on or after 19 September 2009, diffuse pleural fibrosis,</w:t>
      </w:r>
    </w:p>
    <w:p>
      <w:pPr>
        <w:pStyle w:val="Subsection"/>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w:t>
      </w:r>
    </w:p>
    <w:p>
      <w:pPr>
        <w:pStyle w:val="Indenta"/>
        <w:rPr>
          <w:snapToGrid w:val="0"/>
        </w:rPr>
      </w:pPr>
      <w:r>
        <w:rPr>
          <w:snapToGrid w:val="0"/>
        </w:rPr>
        <w:tab/>
        <w:t>(a)</w:t>
      </w:r>
      <w:r>
        <w:rPr>
          <w:snapToGrid w:val="0"/>
        </w:rPr>
        <w:tab/>
        <w:t>has not been absent from the State for a period of, or periods aggregating, more than 6 months; or</w:t>
      </w:r>
    </w:p>
    <w:p>
      <w:pPr>
        <w:pStyle w:val="Indenta"/>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rPr>
          <w:snapToGrid w:val="0"/>
        </w:rPr>
      </w:pPr>
      <w:r>
        <w:rPr>
          <w:snapToGrid w:val="0"/>
        </w:rPr>
        <w:tab/>
      </w:r>
      <w:r>
        <w:rPr>
          <w:snapToGrid w:val="0"/>
        </w:rPr>
        <w:tab/>
      </w:r>
      <w:r>
        <w:t>an injury</w:t>
      </w:r>
      <w:r>
        <w:rPr>
          <w:snapToGrid w:val="0"/>
        </w:rPr>
        <w:t xml:space="preserve">, being pneumoconiosis, mesothelioma, </w:t>
      </w:r>
      <w:r>
        <w:t>lung cancer or diffuse pleural fibrosis,</w:t>
      </w:r>
      <w:r>
        <w:rPr>
          <w:snapToGrid w:val="0"/>
        </w:rPr>
        <w:t xml:space="preserve"> as the case may be, of the worker occurs and this Act applies to that </w:t>
      </w:r>
      <w:r>
        <w:t>injury</w:t>
      </w:r>
      <w:r>
        <w:rPr>
          <w:snapToGrid w:val="0"/>
        </w:rPr>
        <w:t xml:space="preserve"> subject, however, to this Division.</w:t>
      </w:r>
    </w:p>
    <w:p>
      <w:pPr>
        <w:pStyle w:val="Footnotesection"/>
      </w:pPr>
      <w:r>
        <w:tab/>
        <w:t>[Section 33 amended: No. 48 of 1993 s. 28(1); No. 42 of 2004 s. 24, 146, 147 and 149; No. 31 of 2011 s. 85.]</w:t>
      </w:r>
    </w:p>
    <w:p>
      <w:pPr>
        <w:pStyle w:val="Heading5"/>
        <w:rPr>
          <w:snapToGrid w:val="0"/>
        </w:rPr>
      </w:pPr>
      <w:bookmarkStart w:id="122" w:name="_Toc131514311"/>
      <w:r>
        <w:rPr>
          <w:rStyle w:val="CharSectno"/>
        </w:rPr>
        <w:t>34</w:t>
      </w:r>
      <w:r>
        <w:rPr>
          <w:snapToGrid w:val="0"/>
        </w:rPr>
        <w:t>.</w:t>
      </w:r>
      <w:r>
        <w:rPr>
          <w:snapToGrid w:val="0"/>
        </w:rPr>
        <w:tab/>
        <w:t>Chronic bronchitis and pneumoconiosis, limit on compensation for</w:t>
      </w:r>
      <w:bookmarkEnd w:id="122"/>
    </w:p>
    <w:p>
      <w:pPr>
        <w:pStyle w:val="Subsection"/>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w:t>
      </w:r>
      <w:r>
        <w:rPr>
          <w:snapToGrid w:val="0"/>
        </w:rPr>
        <w:lastRenderedPageBreak/>
        <w:t>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pPr>
      <w:r>
        <w:tab/>
        <w:t>[Section 34 amended: No. 42 of 2004 s. 25.]</w:t>
      </w:r>
    </w:p>
    <w:p>
      <w:pPr>
        <w:pStyle w:val="Heading5"/>
        <w:rPr>
          <w:snapToGrid w:val="0"/>
        </w:rPr>
      </w:pPr>
      <w:bookmarkStart w:id="123" w:name="_Toc131514312"/>
      <w:r>
        <w:rPr>
          <w:rStyle w:val="CharSectno"/>
        </w:rPr>
        <w:t>35</w:t>
      </w:r>
      <w:r>
        <w:rPr>
          <w:snapToGrid w:val="0"/>
        </w:rPr>
        <w:t>.</w:t>
      </w:r>
      <w:r>
        <w:rPr>
          <w:snapToGrid w:val="0"/>
        </w:rPr>
        <w:tab/>
        <w:t>Lung cancer and asbestosis, limit on compensation for</w:t>
      </w:r>
      <w:bookmarkEnd w:id="123"/>
    </w:p>
    <w:p>
      <w:pPr>
        <w:pStyle w:val="Subsection"/>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pPr>
      <w:r>
        <w:tab/>
        <w:t>[Section 35 amended: No. 42 of 2004 s. 26.]</w:t>
      </w:r>
    </w:p>
    <w:p>
      <w:pPr>
        <w:pStyle w:val="Heading5"/>
        <w:rPr>
          <w:snapToGrid w:val="0"/>
        </w:rPr>
      </w:pPr>
      <w:bookmarkStart w:id="124" w:name="_Toc131514313"/>
      <w:r>
        <w:rPr>
          <w:rStyle w:val="CharSectno"/>
        </w:rPr>
        <w:t>36</w:t>
      </w:r>
      <w:r>
        <w:rPr>
          <w:snapToGrid w:val="0"/>
        </w:rPr>
        <w:t>.</w:t>
      </w:r>
      <w:r>
        <w:rPr>
          <w:snapToGrid w:val="0"/>
        </w:rPr>
        <w:tab/>
        <w:t>Claim under s. 33 or 34, referring worker to medical panel</w:t>
      </w:r>
      <w:bookmarkEnd w:id="124"/>
    </w:p>
    <w:p>
      <w:pPr>
        <w:pStyle w:val="Subsection"/>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w:t>
      </w:r>
    </w:p>
    <w:p>
      <w:pPr>
        <w:pStyle w:val="Indenta"/>
        <w:rPr>
          <w:snapToGrid w:val="0"/>
        </w:rPr>
      </w:pPr>
      <w:r>
        <w:rPr>
          <w:snapToGrid w:val="0"/>
        </w:rPr>
        <w:lastRenderedPageBreak/>
        <w:tab/>
        <w:t>(b)</w:t>
      </w:r>
      <w:r>
        <w:rPr>
          <w:snapToGrid w:val="0"/>
        </w:rPr>
        <w:tab/>
        <w:t>at least one of whom specialises in diseases of the chest.</w:t>
      </w:r>
    </w:p>
    <w:p>
      <w:pPr>
        <w:pStyle w:val="Subsection"/>
        <w:rPr>
          <w:snapToGrid w:val="0"/>
        </w:rPr>
      </w:pPr>
      <w:r>
        <w:rPr>
          <w:snapToGrid w:val="0"/>
        </w:rPr>
        <w:tab/>
        <w:t>(2)</w:t>
      </w:r>
      <w:r>
        <w:rPr>
          <w:snapToGrid w:val="0"/>
        </w:rPr>
        <w:tab/>
        <w:t>An employer who fails to comply with subsection (1) commits an offence.</w:t>
      </w:r>
    </w:p>
    <w:p>
      <w:pPr>
        <w:pStyle w:val="Subsection"/>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[Section 36 amended: No. 28 of 1984 s. 101; No. 44 of 1985 s. 17; No. 33 of 1986 s. 4; No. 86 of 1986 s. 5; No. 96 of 1990 s. 7; No. 30 of 1993 s. 13; No. 48 of 1993 s. 32; No. 34 of 1999 s. 10; No. 42 of 2004 s. 150 and 152.]</w:t>
      </w:r>
    </w:p>
    <w:p>
      <w:pPr>
        <w:pStyle w:val="Heading5"/>
        <w:keepNext w:val="0"/>
        <w:keepLines w:val="0"/>
        <w:rPr>
          <w:snapToGrid w:val="0"/>
        </w:rPr>
      </w:pPr>
      <w:bookmarkStart w:id="125" w:name="_Toc131514314"/>
      <w:r>
        <w:rPr>
          <w:rStyle w:val="CharSectno"/>
        </w:rPr>
        <w:t>37</w:t>
      </w:r>
      <w:r>
        <w:rPr>
          <w:snapToGrid w:val="0"/>
        </w:rPr>
        <w:t>.</w:t>
      </w:r>
      <w:r>
        <w:rPr>
          <w:snapToGrid w:val="0"/>
        </w:rPr>
        <w:tab/>
        <w:t>Oral submission to medical panel by medical practitioner</w:t>
      </w:r>
      <w:bookmarkEnd w:id="125"/>
    </w:p>
    <w:p>
      <w:pPr>
        <w:pStyle w:val="Subsection"/>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[Section 37 amended: No. 86 of 1986 s. 5; No. 30 of 1993 s. 13; No. 48 of 1993 s. 28(1); No. 49 of 1996 s. 64; No. 42 of 2004 s. 27 and 152; No. 77 of 2006 Sch. 1 cl. 189(9).]</w:t>
      </w:r>
    </w:p>
    <w:p>
      <w:pPr>
        <w:pStyle w:val="Heading5"/>
        <w:rPr>
          <w:snapToGrid w:val="0"/>
        </w:rPr>
      </w:pPr>
      <w:bookmarkStart w:id="126" w:name="_Toc131514315"/>
      <w:r>
        <w:rPr>
          <w:rStyle w:val="CharSectno"/>
        </w:rPr>
        <w:t>38</w:t>
      </w:r>
      <w:r>
        <w:rPr>
          <w:snapToGrid w:val="0"/>
        </w:rPr>
        <w:t>.</w:t>
      </w:r>
      <w:r>
        <w:rPr>
          <w:snapToGrid w:val="0"/>
        </w:rPr>
        <w:tab/>
        <w:t>Questions to be determined by medical panel</w:t>
      </w:r>
      <w:bookmarkEnd w:id="126"/>
    </w:p>
    <w:p>
      <w:pPr>
        <w:pStyle w:val="Subsection"/>
        <w:rPr>
          <w:snapToGrid w:val="0"/>
        </w:rPr>
      </w:pPr>
      <w:r>
        <w:rPr>
          <w:snapToGrid w:val="0"/>
        </w:rPr>
        <w:tab/>
        <w:t>(1)</w:t>
      </w:r>
      <w:r>
        <w:rPr>
          <w:snapToGrid w:val="0"/>
        </w:rPr>
        <w:tab/>
        <w:t xml:space="preserve">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w:t>
      </w:r>
      <w:r>
        <w:rPr>
          <w:snapToGrid w:val="0"/>
        </w:rPr>
        <w:lastRenderedPageBreak/>
        <w:t>agent tender to that medical panel, shall thereupon consider and determine the following questions —</w:t>
      </w:r>
    </w:p>
    <w:p>
      <w:pPr>
        <w:pStyle w:val="Indenta"/>
        <w:rPr>
          <w:snapToGrid w:val="0"/>
        </w:rPr>
      </w:pPr>
      <w:r>
        <w:rPr>
          <w:snapToGrid w:val="0"/>
        </w:rPr>
        <w:tab/>
        <w:t>(a)</w:t>
      </w:r>
      <w:r>
        <w:rPr>
          <w:snapToGrid w:val="0"/>
        </w:rPr>
        <w:tab/>
        <w:t xml:space="preserve">is, or was, the worker suffering from pneumoconiosis, </w:t>
      </w:r>
      <w:r>
        <w:t>mesothelioma, lung cancer or diffuse pleural fibrosis?</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w:t>
      </w:r>
    </w:p>
    <w:p>
      <w:pPr>
        <w:pStyle w:val="Indenti"/>
        <w:rPr>
          <w:snapToGrid w:val="0"/>
        </w:rPr>
      </w:pPr>
      <w:r>
        <w:rPr>
          <w:snapToGrid w:val="0"/>
        </w:rPr>
        <w:tab/>
        <w:t>(i)</w:t>
      </w:r>
      <w:r>
        <w:rPr>
          <w:snapToGrid w:val="0"/>
        </w:rPr>
        <w:tab/>
        <w:t>pneumoconiosis; or</w:t>
      </w:r>
    </w:p>
    <w:p>
      <w:pPr>
        <w:pStyle w:val="Indenti"/>
        <w:rPr>
          <w:snapToGrid w:val="0"/>
        </w:rPr>
      </w:pPr>
      <w:r>
        <w:rPr>
          <w:snapToGrid w:val="0"/>
        </w:rPr>
        <w:tab/>
        <w:t>(ii)</w:t>
      </w:r>
      <w:r>
        <w:rPr>
          <w:snapToGrid w:val="0"/>
        </w:rPr>
        <w:tab/>
        <w:t>mesothelioma; or</w:t>
      </w:r>
    </w:p>
    <w:p>
      <w:pPr>
        <w:pStyle w:val="Indenti"/>
        <w:keepNext/>
        <w:rPr>
          <w:snapToGrid w:val="0"/>
        </w:rPr>
      </w:pPr>
      <w:r>
        <w:rPr>
          <w:snapToGrid w:val="0"/>
        </w:rPr>
        <w:tab/>
        <w:t>(iii)</w:t>
      </w:r>
      <w:r>
        <w:rPr>
          <w:snapToGrid w:val="0"/>
        </w:rPr>
        <w:tab/>
        <w:t xml:space="preserve">lung </w:t>
      </w:r>
      <w:r>
        <w:t>cancer; or</w:t>
      </w:r>
    </w:p>
    <w:p>
      <w:pPr>
        <w:pStyle w:val="Indenti"/>
      </w:pPr>
      <w:r>
        <w:tab/>
        <w:t>(iv)</w:t>
      </w:r>
      <w:r>
        <w:tab/>
        <w:t>diffuse pleural fibrosis,</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[Section 38 amended: No. 44 of 1985 s. 18; No. 86 of 1986 s. 5; No. 48 of 1993 s. 33; No. 42 of 2004 s. 28 and 152; No. 31 of 2011 s. 86.]</w:t>
      </w:r>
    </w:p>
    <w:p>
      <w:pPr>
        <w:pStyle w:val="Heading5"/>
        <w:rPr>
          <w:snapToGrid w:val="0"/>
        </w:rPr>
      </w:pPr>
      <w:bookmarkStart w:id="127" w:name="_Toc131514316"/>
      <w:r>
        <w:rPr>
          <w:rStyle w:val="CharSectno"/>
        </w:rPr>
        <w:lastRenderedPageBreak/>
        <w:t>39</w:t>
      </w:r>
      <w:r>
        <w:rPr>
          <w:snapToGrid w:val="0"/>
        </w:rPr>
        <w:t>.</w:t>
      </w:r>
      <w:r>
        <w:rPr>
          <w:snapToGrid w:val="0"/>
        </w:rPr>
        <w:tab/>
        <w:t>Tuberculosis and pneumoconiosis, compensation for</w:t>
      </w:r>
      <w:bookmarkEnd w:id="127"/>
    </w:p>
    <w:p>
      <w:pPr>
        <w:pStyle w:val="Subsection"/>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w:t>
      </w:r>
    </w:p>
    <w:p>
      <w:pPr>
        <w:pStyle w:val="Indenta"/>
        <w:spacing w:before="60"/>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iCs/>
          <w:snapToGrid w:val="0"/>
          <w:vertAlign w:val="superscript"/>
        </w:rPr>
        <w:t> 4</w:t>
      </w:r>
      <w:r>
        <w:rPr>
          <w:snapToGrid w:val="0"/>
        </w:rPr>
        <w:t xml:space="preserve"> of the Commonwealth, entitled to compensation in weekly payments equal to the maximum weekly income permissible under that Scheme; and</w:t>
      </w:r>
    </w:p>
    <w:p>
      <w:pPr>
        <w:pStyle w:val="Indenta"/>
        <w:spacing w:before="60"/>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spacing w:before="100"/>
        <w:ind w:left="890" w:hanging="890"/>
      </w:pPr>
      <w:r>
        <w:tab/>
        <w:t>[Section 39 amended: No. 42 of 2004 s. 29.]</w:t>
      </w:r>
    </w:p>
    <w:p>
      <w:pPr>
        <w:pStyle w:val="Heading5"/>
        <w:keepLines w:val="0"/>
      </w:pPr>
      <w:bookmarkStart w:id="128" w:name="_Toc131514317"/>
      <w:r>
        <w:rPr>
          <w:rStyle w:val="CharSectno"/>
        </w:rPr>
        <w:t>40</w:t>
      </w:r>
      <w:r>
        <w:t>.</w:t>
      </w:r>
      <w:r>
        <w:tab/>
        <w:t>Death without prior incapacity, effect of for this Division</w:t>
      </w:r>
      <w:bookmarkEnd w:id="128"/>
    </w:p>
    <w:p>
      <w:pPr>
        <w:pStyle w:val="Subsection"/>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spacing w:before="100"/>
        <w:ind w:left="890" w:hanging="890"/>
      </w:pPr>
      <w:r>
        <w:tab/>
        <w:t>[Section 40 inserted: No. 42 of 2004 s. 30.]</w:t>
      </w:r>
    </w:p>
    <w:p>
      <w:pPr>
        <w:pStyle w:val="Heading5"/>
        <w:rPr>
          <w:snapToGrid w:val="0"/>
        </w:rPr>
      </w:pPr>
      <w:bookmarkStart w:id="129" w:name="_Toc131514318"/>
      <w:r>
        <w:rPr>
          <w:rStyle w:val="CharSectno"/>
        </w:rPr>
        <w:t>41</w:t>
      </w:r>
      <w:r>
        <w:rPr>
          <w:snapToGrid w:val="0"/>
        </w:rPr>
        <w:t>.</w:t>
      </w:r>
      <w:r>
        <w:rPr>
          <w:snapToGrid w:val="0"/>
        </w:rPr>
        <w:tab/>
        <w:t>Last employer liable but may join others</w:t>
      </w:r>
      <w:bookmarkEnd w:id="129"/>
    </w:p>
    <w:p>
      <w:pPr>
        <w:pStyle w:val="Subsection"/>
        <w:rPr>
          <w:snapToGrid w:val="0"/>
        </w:rPr>
      </w:pPr>
      <w:r>
        <w:rPr>
          <w:snapToGrid w:val="0"/>
        </w:rPr>
        <w:tab/>
        <w:t>(1)</w:t>
      </w:r>
      <w:r>
        <w:rPr>
          <w:snapToGrid w:val="0"/>
        </w:rPr>
        <w:tab/>
        <w:t xml:space="preserve">Subject to subsections (2), (3) and (4), the compensation is recoverable from the employer who last employed the worker during the period of one year mentioned in section 32, or, in the case of pneumoconiosis, mesothelioma, </w:t>
      </w:r>
      <w:r>
        <w:t xml:space="preserve">lung cancer or diffuse </w:t>
      </w:r>
      <w:r>
        <w:lastRenderedPageBreak/>
        <w:t>pleural fibrosis,</w:t>
      </w:r>
      <w:r>
        <w:rPr>
          <w:snapToGrid w:val="0"/>
        </w:rPr>
        <w:t xml:space="preserve"> who last employed the worker, in the employment to the nature of which the disease is, or was, due.</w:t>
      </w:r>
    </w:p>
    <w:p>
      <w:pPr>
        <w:pStyle w:val="Subsection"/>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spacing w:before="100"/>
      </w:pPr>
      <w:r>
        <w:tab/>
        <w:t>[Section 41 amended: No. 42 of 2004 s. 31; No. 31 of 2011 s. 87.]</w:t>
      </w:r>
    </w:p>
    <w:p>
      <w:pPr>
        <w:pStyle w:val="Heading5"/>
        <w:rPr>
          <w:snapToGrid w:val="0"/>
        </w:rPr>
      </w:pPr>
      <w:bookmarkStart w:id="130" w:name="_Toc131514319"/>
      <w:r>
        <w:rPr>
          <w:rStyle w:val="CharSectno"/>
        </w:rPr>
        <w:lastRenderedPageBreak/>
        <w:t>42</w:t>
      </w:r>
      <w:r>
        <w:rPr>
          <w:snapToGrid w:val="0"/>
        </w:rPr>
        <w:t>.</w:t>
      </w:r>
      <w:r>
        <w:rPr>
          <w:snapToGrid w:val="0"/>
        </w:rPr>
        <w:tab/>
        <w:t>How compensation calculated</w:t>
      </w:r>
      <w:bookmarkEnd w:id="130"/>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131" w:name="_Toc131514320"/>
      <w:r>
        <w:rPr>
          <w:rStyle w:val="CharSectno"/>
        </w:rPr>
        <w:t>43</w:t>
      </w:r>
      <w:r>
        <w:rPr>
          <w:snapToGrid w:val="0"/>
        </w:rPr>
        <w:t>.</w:t>
      </w:r>
      <w:r>
        <w:rPr>
          <w:snapToGrid w:val="0"/>
        </w:rPr>
        <w:tab/>
        <w:t>Employer to whom notice to be given</w:t>
      </w:r>
      <w:bookmarkEnd w:id="131"/>
    </w:p>
    <w:p>
      <w:pPr>
        <w:pStyle w:val="Subsection"/>
        <w:spacing w:before="140"/>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spacing w:before="100"/>
        <w:ind w:left="890" w:hanging="890"/>
      </w:pPr>
      <w:r>
        <w:tab/>
        <w:t>[Section 43 amended: No. 42 of 2004 s. 32.]</w:t>
      </w:r>
    </w:p>
    <w:p>
      <w:pPr>
        <w:pStyle w:val="Heading5"/>
        <w:spacing w:before="200"/>
        <w:rPr>
          <w:snapToGrid w:val="0"/>
        </w:rPr>
      </w:pPr>
      <w:bookmarkStart w:id="132" w:name="_Toc131514321"/>
      <w:r>
        <w:rPr>
          <w:rStyle w:val="CharSectno"/>
        </w:rPr>
        <w:t>44</w:t>
      </w:r>
      <w:r>
        <w:rPr>
          <w:snapToGrid w:val="0"/>
        </w:rPr>
        <w:t>.</w:t>
      </w:r>
      <w:r>
        <w:rPr>
          <w:snapToGrid w:val="0"/>
        </w:rPr>
        <w:tab/>
        <w:t>Diseases in Sch. 3 deemed due to employment in process in Sch. 3</w:t>
      </w:r>
      <w:bookmarkEnd w:id="132"/>
    </w:p>
    <w:p>
      <w:pPr>
        <w:pStyle w:val="Subsection"/>
        <w:spacing w:before="130"/>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spacing w:before="100"/>
        <w:ind w:left="890" w:hanging="890"/>
      </w:pPr>
      <w:r>
        <w:tab/>
        <w:t>[Section 44 amended: No. 42 of 2004 s. 33.]</w:t>
      </w:r>
    </w:p>
    <w:p>
      <w:pPr>
        <w:pStyle w:val="Heading5"/>
        <w:spacing w:before="200"/>
        <w:rPr>
          <w:snapToGrid w:val="0"/>
        </w:rPr>
      </w:pPr>
      <w:bookmarkStart w:id="133" w:name="_Toc131514322"/>
      <w:r>
        <w:rPr>
          <w:rStyle w:val="CharSectno"/>
        </w:rPr>
        <w:t>45</w:t>
      </w:r>
      <w:r>
        <w:rPr>
          <w:snapToGrid w:val="0"/>
        </w:rPr>
        <w:t>.</w:t>
      </w:r>
      <w:r>
        <w:rPr>
          <w:snapToGrid w:val="0"/>
        </w:rPr>
        <w:tab/>
        <w:t>Additions to Sch. 3</w:t>
      </w:r>
      <w:bookmarkEnd w:id="133"/>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r>
        <w:rPr>
          <w:snapToGrid w:val="0"/>
          <w:vertAlign w:val="superscript"/>
        </w:rPr>
        <w:t> 5</w:t>
      </w:r>
      <w:r>
        <w:rPr>
          <w:snapToGrid w:val="0"/>
        </w:rPr>
        <w:t>.</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rPr>
          <w:snapToGrid w:val="0"/>
        </w:rPr>
      </w:pPr>
      <w:r>
        <w:rPr>
          <w:snapToGrid w:val="0"/>
        </w:rPr>
        <w:lastRenderedPageBreak/>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134" w:name="_Toc131514323"/>
      <w:r>
        <w:rPr>
          <w:rStyle w:val="CharSectno"/>
        </w:rPr>
        <w:t>46</w:t>
      </w:r>
      <w:r>
        <w:rPr>
          <w:snapToGrid w:val="0"/>
        </w:rPr>
        <w:t>.</w:t>
      </w:r>
      <w:r>
        <w:rPr>
          <w:snapToGrid w:val="0"/>
        </w:rPr>
        <w:tab/>
        <w:t>Compensation limited to prescribed amount</w:t>
      </w:r>
      <w:bookmarkEnd w:id="134"/>
    </w:p>
    <w:p>
      <w:pPr>
        <w:pStyle w:val="Subsection"/>
        <w:rPr>
          <w:snapToGrid w:val="0"/>
        </w:rPr>
      </w:pPr>
      <w:r>
        <w:rPr>
          <w:snapToGrid w:val="0"/>
        </w:rPr>
        <w:tab/>
        <w:t>(1)</w:t>
      </w:r>
      <w:r>
        <w:rPr>
          <w:snapToGrid w:val="0"/>
        </w:rPr>
        <w:tab/>
        <w:t>Notwithstanding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rPr>
          <w:snapToGrid w:val="0"/>
        </w:rPr>
      </w:pPr>
      <w:r>
        <w:rPr>
          <w:snapToGrid w:val="0"/>
        </w:rPr>
        <w:tab/>
        <w:t>(2)</w:t>
      </w:r>
      <w:r>
        <w:rPr>
          <w:snapToGrid w:val="0"/>
        </w:rPr>
        <w:tab/>
        <w:t xml:space="preserve">A worker who has received the full amount of </w:t>
      </w:r>
      <w:r>
        <w:t>compensation that</w:t>
      </w:r>
      <w:r>
        <w:rPr>
          <w:snapToGrid w:val="0"/>
        </w:rPr>
        <w:t xml:space="preserve"> was the maximum amount of his employer’s liability to him under this Act, as it existed at the time of the </w:t>
      </w:r>
      <w:r>
        <w:t>payment, in respect</w:t>
      </w:r>
      <w:r>
        <w:rPr>
          <w:snapToGrid w:val="0"/>
        </w:rPr>
        <w:t xml:space="preserve">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rPr>
          <w:snapToGrid w:val="0"/>
        </w:rPr>
      </w:pPr>
      <w:r>
        <w:rPr>
          <w:snapToGrid w:val="0"/>
        </w:rPr>
        <w:tab/>
        <w:t>(3)</w:t>
      </w:r>
      <w:r>
        <w:rPr>
          <w:snapToGrid w:val="0"/>
        </w:rPr>
        <w:tab/>
        <w:t>A supplementary amount paid under Schedule 5 clause 4 or 8 is not compensation for the purpose of this section.</w:t>
      </w:r>
    </w:p>
    <w:p>
      <w:pPr>
        <w:pStyle w:val="Footnotesection"/>
      </w:pPr>
      <w:r>
        <w:tab/>
        <w:t>[Section 46 amended: No. 104 of 1984 s. 3; No. 19 of 2010 s. 51; No. 47 of 2011 s. 7.]</w:t>
      </w:r>
    </w:p>
    <w:p>
      <w:pPr>
        <w:pStyle w:val="Ednotesection"/>
        <w:outlineLvl w:val="9"/>
      </w:pPr>
      <w:r>
        <w:lastRenderedPageBreak/>
        <w:t>[</w:t>
      </w:r>
      <w:r>
        <w:rPr>
          <w:b/>
        </w:rPr>
        <w:t>47.</w:t>
      </w:r>
      <w:r>
        <w:tab/>
        <w:t>Deleted: No. 36 of 2020 s. 369.]</w:t>
      </w:r>
    </w:p>
    <w:p>
      <w:pPr>
        <w:pStyle w:val="Heading5"/>
        <w:rPr>
          <w:snapToGrid w:val="0"/>
        </w:rPr>
      </w:pPr>
      <w:bookmarkStart w:id="135" w:name="_Toc131514324"/>
      <w:r>
        <w:rPr>
          <w:rStyle w:val="CharSectno"/>
        </w:rPr>
        <w:t>48</w:t>
      </w:r>
      <w:r>
        <w:rPr>
          <w:snapToGrid w:val="0"/>
        </w:rPr>
        <w:t>.</w:t>
      </w:r>
      <w:r>
        <w:rPr>
          <w:snapToGrid w:val="0"/>
        </w:rPr>
        <w:tab/>
        <w:t>Sch. 3 diseases to be notified by employer etc.</w:t>
      </w:r>
      <w:bookmarkEnd w:id="135"/>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rPr>
        <w:t>Work Health and Safety Act 2020</w:t>
      </w:r>
      <w: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rPr>
        <w:t>Work Health and Safety Act 2020</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[Section 48 amended: No. 28 of 1984 s. 102; No. 86 of 1986 s. 5; No. 21 of 1987 s. 4; No. 30 of 1995 s. 48; No. 42 of 2004 s. 35 and 152; No. 36 of 2020 s. 370.]</w:t>
      </w:r>
    </w:p>
    <w:p>
      <w:pPr>
        <w:pStyle w:val="Heading3"/>
      </w:pPr>
      <w:bookmarkStart w:id="136" w:name="_Toc100238348"/>
      <w:bookmarkStart w:id="137" w:name="_Toc100238962"/>
      <w:bookmarkStart w:id="138" w:name="_Toc100562256"/>
      <w:bookmarkStart w:id="139" w:name="_Toc107309892"/>
      <w:bookmarkStart w:id="140" w:name="_Toc107479746"/>
      <w:bookmarkStart w:id="141" w:name="_Toc131501112"/>
      <w:bookmarkStart w:id="142" w:name="_Toc131501729"/>
      <w:bookmarkStart w:id="143" w:name="_Toc131514325"/>
      <w:r>
        <w:rPr>
          <w:rStyle w:val="CharDivNo"/>
        </w:rPr>
        <w:lastRenderedPageBreak/>
        <w:t>Division 4A</w:t>
      </w:r>
      <w:r>
        <w:t> — </w:t>
      </w:r>
      <w:r>
        <w:rPr>
          <w:rStyle w:val="CharDivText"/>
        </w:rPr>
        <w:t>Injury: specified diseases contracted by firefighters</w:t>
      </w:r>
      <w:bookmarkEnd w:id="136"/>
      <w:bookmarkEnd w:id="137"/>
      <w:bookmarkEnd w:id="138"/>
      <w:bookmarkEnd w:id="139"/>
      <w:bookmarkEnd w:id="140"/>
      <w:bookmarkEnd w:id="141"/>
      <w:bookmarkEnd w:id="142"/>
      <w:bookmarkEnd w:id="143"/>
    </w:p>
    <w:p>
      <w:pPr>
        <w:pStyle w:val="Footnoteheading"/>
        <w:keepNext/>
      </w:pPr>
      <w:r>
        <w:tab/>
        <w:t>[Heading inserted: No. 21 of 2013 s. 4.]</w:t>
      </w:r>
    </w:p>
    <w:p>
      <w:pPr>
        <w:pStyle w:val="Heading5"/>
      </w:pPr>
      <w:bookmarkStart w:id="144" w:name="_Toc131514326"/>
      <w:r>
        <w:rPr>
          <w:rStyle w:val="CharSectno"/>
        </w:rPr>
        <w:t>49A</w:t>
      </w:r>
      <w:r>
        <w:t>.</w:t>
      </w:r>
      <w:r>
        <w:tab/>
        <w:t>Terms used</w:t>
      </w:r>
      <w:bookmarkEnd w:id="144"/>
    </w:p>
    <w:p>
      <w:pPr>
        <w:pStyle w:val="Subsection"/>
        <w:keepNext/>
      </w:pPr>
      <w:r>
        <w:tab/>
      </w:r>
      <w:r>
        <w:tab/>
        <w:t xml:space="preserve">In this Division — </w:t>
      </w:r>
    </w:p>
    <w:p>
      <w:pPr>
        <w:pStyle w:val="Defstart"/>
        <w:keepNext/>
      </w:pPr>
      <w:r>
        <w:tab/>
      </w:r>
      <w:r>
        <w:rPr>
          <w:rStyle w:val="CharDefText"/>
        </w:rPr>
        <w:t>date of injury</w:t>
      </w:r>
      <w:r>
        <w:t xml:space="preserve"> has the meaning given in section 49D(1);</w:t>
      </w:r>
    </w:p>
    <w:p>
      <w:pPr>
        <w:pStyle w:val="Defstart"/>
        <w:keepNext/>
      </w:pPr>
      <w:r>
        <w:tab/>
      </w:r>
      <w:r>
        <w:rPr>
          <w:rStyle w:val="CharDefText"/>
        </w:rPr>
        <w:t>FES employment</w:t>
      </w:r>
      <w:r>
        <w:t xml:space="preserve">, in relation to a worker, means any period of firefighting employment during which the worker is engaged as a member or officer of a permanent fire brigade as defined in </w:t>
      </w:r>
      <w:r>
        <w:rPr>
          <w:i/>
        </w:rPr>
        <w:t xml:space="preserve">Fire Brigades Act 1942 </w:t>
      </w:r>
      <w:r>
        <w:t>section 4(1);</w:t>
      </w:r>
    </w:p>
    <w:p>
      <w:pPr>
        <w:pStyle w:val="Defstart"/>
        <w:keepNext/>
      </w:pPr>
      <w:r>
        <w:tab/>
      </w:r>
      <w:r>
        <w:rPr>
          <w:rStyle w:val="CharDefText"/>
        </w:rPr>
        <w:t>firefighting employment</w:t>
      </w:r>
      <w:r>
        <w:t xml:space="preserve"> means employment by or under the Crown in right of the State, a substantial part of the duties of which consists of firefighting duties, which — </w:t>
      </w:r>
    </w:p>
    <w:p>
      <w:pPr>
        <w:pStyle w:val="Defpara"/>
      </w:pPr>
      <w:r>
        <w:tab/>
        <w:t>(a)</w:t>
      </w:r>
      <w:r>
        <w:tab/>
        <w:t>is covered by an industrial award or industrial agreement applicable to firefighting; or</w:t>
      </w:r>
    </w:p>
    <w:p>
      <w:pPr>
        <w:pStyle w:val="Defpara"/>
      </w:pPr>
      <w:r>
        <w:tab/>
        <w:t>(b)</w:t>
      </w:r>
      <w:r>
        <w:tab/>
        <w:t>is prescribed to be firefighting employment for the purposes of this Act;</w:t>
      </w:r>
    </w:p>
    <w:p>
      <w:pPr>
        <w:pStyle w:val="Defstart"/>
      </w:pPr>
      <w:r>
        <w:tab/>
      </w:r>
      <w:r>
        <w:rPr>
          <w:rStyle w:val="CharDefText"/>
        </w:rPr>
        <w:t>hazardous fire</w:t>
      </w:r>
      <w:r>
        <w:t xml:space="preserve"> means —</w:t>
      </w:r>
    </w:p>
    <w:p>
      <w:pPr>
        <w:pStyle w:val="Defpara"/>
      </w:pPr>
      <w:r>
        <w:tab/>
        <w:t>(a)</w:t>
      </w:r>
      <w:r>
        <w:tab/>
        <w:t>a fire in a building; or</w:t>
      </w:r>
    </w:p>
    <w:p>
      <w:pPr>
        <w:pStyle w:val="Defpara"/>
      </w:pPr>
      <w:r>
        <w:tab/>
        <w:t>(b)</w:t>
      </w:r>
      <w:r>
        <w:tab/>
        <w:t>a fire in a vehicle, whether designed to move under its own power or to be towed and whether or not still moveable; or</w:t>
      </w:r>
    </w:p>
    <w:p>
      <w:pPr>
        <w:pStyle w:val="Defpara"/>
      </w:pPr>
      <w:r>
        <w:tab/>
        <w:t>(c)</w:t>
      </w:r>
      <w:r>
        <w:tab/>
        <w:t>a fire involving non</w:t>
      </w:r>
      <w:r>
        <w:noBreakHyphen/>
        <w:t>organic refuse or rubbish created by humans; or</w:t>
      </w:r>
    </w:p>
    <w:p>
      <w:pPr>
        <w:pStyle w:val="Defpara"/>
      </w:pPr>
      <w:r>
        <w:tab/>
        <w:t>(d)</w:t>
      </w:r>
      <w:r>
        <w:tab/>
        <w:t>a fire that is prescribed to be a hazardous fire for the purposes of this Division;</w:t>
      </w:r>
    </w:p>
    <w:p>
      <w:pPr>
        <w:pStyle w:val="Defstart"/>
      </w:pPr>
      <w:r>
        <w:tab/>
      </w:r>
      <w:r>
        <w:rPr>
          <w:rStyle w:val="CharDefText"/>
        </w:rPr>
        <w:t>hazardous firefighting employment</w:t>
      </w:r>
      <w:r>
        <w:rPr>
          <w:i/>
        </w:rPr>
        <w:t xml:space="preserve"> </w:t>
      </w:r>
      <w:r>
        <w:t xml:space="preserve">means — </w:t>
      </w:r>
    </w:p>
    <w:p>
      <w:pPr>
        <w:pStyle w:val="Defpara"/>
      </w:pPr>
      <w:r>
        <w:tab/>
        <w:t>(a)</w:t>
      </w:r>
      <w:r>
        <w:tab/>
        <w:t>FES employment; and</w:t>
      </w:r>
    </w:p>
    <w:p>
      <w:pPr>
        <w:pStyle w:val="Defpara"/>
      </w:pPr>
      <w:r>
        <w:tab/>
        <w:t>(b)</w:t>
      </w:r>
      <w:r>
        <w:tab/>
        <w:t>non</w:t>
      </w:r>
      <w:r>
        <w:noBreakHyphen/>
        <w:t>FES employment during which the worker attends hazardous fires at a rate at least equivalent to the rate of 5 hazardous fires per year;</w:t>
      </w:r>
    </w:p>
    <w:p>
      <w:pPr>
        <w:pStyle w:val="Defstart"/>
      </w:pPr>
      <w:r>
        <w:lastRenderedPageBreak/>
        <w:tab/>
      </w:r>
      <w:r>
        <w:rPr>
          <w:rStyle w:val="CharDefText"/>
        </w:rPr>
        <w:t>non</w:t>
      </w:r>
      <w:r>
        <w:rPr>
          <w:rStyle w:val="CharDefText"/>
        </w:rPr>
        <w:noBreakHyphen/>
        <w:t>FES employment</w:t>
      </w:r>
      <w:r>
        <w:t>, in relation to a worker, means any period of firefighting employment which is not FES employment;</w:t>
      </w:r>
    </w:p>
    <w:p>
      <w:pPr>
        <w:pStyle w:val="Defstart"/>
      </w:pPr>
      <w:r>
        <w:tab/>
      </w:r>
      <w:r>
        <w:rPr>
          <w:rStyle w:val="CharDefText"/>
        </w:rPr>
        <w:t>qualifying period</w:t>
      </w:r>
      <w:r>
        <w:t>, for a specified disease, means the period specified in Schedule 4A column 2 opposite the specified disease;</w:t>
      </w:r>
    </w:p>
    <w:p>
      <w:pPr>
        <w:pStyle w:val="Defstart"/>
      </w:pPr>
      <w:r>
        <w:tab/>
      </w:r>
      <w:r>
        <w:rPr>
          <w:rStyle w:val="CharDefText"/>
        </w:rPr>
        <w:t>specified disease</w:t>
      </w:r>
      <w:r>
        <w:t xml:space="preserve"> means a disease specified in Schedule 4A column 1.</w:t>
      </w:r>
    </w:p>
    <w:p>
      <w:pPr>
        <w:pStyle w:val="Footnotesection"/>
      </w:pPr>
      <w:r>
        <w:tab/>
        <w:t>[Section 49A inserted: No. 21 of 2013 s. 4; amended: No. 28 of 2016 s. 9.]</w:t>
      </w:r>
    </w:p>
    <w:p>
      <w:pPr>
        <w:pStyle w:val="Heading5"/>
      </w:pPr>
      <w:bookmarkStart w:id="145" w:name="_Toc131514327"/>
      <w:r>
        <w:rPr>
          <w:rStyle w:val="CharSectno"/>
        </w:rPr>
        <w:t>49B</w:t>
      </w:r>
      <w:r>
        <w:t>.</w:t>
      </w:r>
      <w:r>
        <w:tab/>
        <w:t>Application of Division</w:t>
      </w:r>
      <w:bookmarkEnd w:id="145"/>
    </w:p>
    <w:p>
      <w:pPr>
        <w:pStyle w:val="Subsection"/>
      </w:pPr>
      <w:r>
        <w:tab/>
      </w:r>
      <w:r>
        <w:tab/>
        <w:t xml:space="preserve">This Division applies to a worker who has contracted a specified disease if — </w:t>
      </w:r>
    </w:p>
    <w:p>
      <w:pPr>
        <w:pStyle w:val="Indenta"/>
      </w:pPr>
      <w:r>
        <w:tab/>
        <w:t>(a)</w:t>
      </w:r>
      <w:r>
        <w:tab/>
        <w:t xml:space="preserve">the date of injury is on or after the day on which the </w:t>
      </w:r>
      <w:r>
        <w:rPr>
          <w:i/>
          <w:snapToGrid w:val="0"/>
        </w:rPr>
        <w:t>Workers’ Compensation and Injury Management Amendment Act 2013</w:t>
      </w:r>
      <w:r>
        <w:t xml:space="preserve"> section 4 comes into operation; and</w:t>
      </w:r>
    </w:p>
    <w:p>
      <w:pPr>
        <w:pStyle w:val="Indenta"/>
      </w:pPr>
      <w:r>
        <w:tab/>
        <w:t>(b)</w:t>
      </w:r>
      <w:r>
        <w:tab/>
        <w:t>as at the date of injury the worker is or has been in firefighting employment.</w:t>
      </w:r>
    </w:p>
    <w:p>
      <w:pPr>
        <w:pStyle w:val="Footnotesection"/>
      </w:pPr>
      <w:r>
        <w:tab/>
        <w:t>[Section 49B inserted: No. 21 of 2013 s. 4; amended: No. 28 of 2016 s. 10.]</w:t>
      </w:r>
    </w:p>
    <w:p>
      <w:pPr>
        <w:pStyle w:val="Heading5"/>
      </w:pPr>
      <w:bookmarkStart w:id="146" w:name="_Toc131514328"/>
      <w:r>
        <w:rPr>
          <w:rStyle w:val="CharSectno"/>
        </w:rPr>
        <w:t>49C</w:t>
      </w:r>
      <w:r>
        <w:t>.</w:t>
      </w:r>
      <w:r>
        <w:tab/>
        <w:t>When firefighting employment taken to contribute to specified disease</w:t>
      </w:r>
      <w:bookmarkEnd w:id="146"/>
    </w:p>
    <w:p>
      <w:pPr>
        <w:pStyle w:val="Subsection"/>
      </w:pPr>
      <w:r>
        <w:tab/>
        <w:t>(1)</w:t>
      </w:r>
      <w:r>
        <w:tab/>
        <w:t xml:space="preserve">If a worker to whom this Division applies — </w:t>
      </w:r>
    </w:p>
    <w:p>
      <w:pPr>
        <w:pStyle w:val="Indenta"/>
      </w:pPr>
      <w:r>
        <w:tab/>
        <w:t>(a)</w:t>
      </w:r>
      <w:r>
        <w:tab/>
        <w:t>as at the date of injury, is or has been in firefighting employment for a period of, or periods in aggregate amounting to, at least the qualifying period for the specified disease; and</w:t>
      </w:r>
    </w:p>
    <w:p>
      <w:pPr>
        <w:pStyle w:val="Indenta"/>
      </w:pPr>
      <w:r>
        <w:tab/>
        <w:t>(b)</w:t>
      </w:r>
      <w:r>
        <w:tab/>
        <w:t>is taken to have been exposed to the hazards of a fire scene in the course of the firefighting employment; and</w:t>
      </w:r>
    </w:p>
    <w:p>
      <w:pPr>
        <w:pStyle w:val="Indenta"/>
      </w:pPr>
      <w:r>
        <w:lastRenderedPageBreak/>
        <w:tab/>
        <w:t>(c)</w:t>
      </w:r>
      <w:r>
        <w:tab/>
        <w:t>in the case of a cancer of a kind mentioned in Schedule 4A item 13, satisfies the conditions (if any) prescribed by the regulations for such a cancer,</w:t>
      </w:r>
    </w:p>
    <w:p>
      <w:pPr>
        <w:pStyle w:val="Subsection"/>
      </w:pPr>
      <w:r>
        <w:tab/>
      </w:r>
      <w:r>
        <w:tab/>
        <w:t>the firefighting employment is, for the purposes of this Act, taken to have been a contributing factor and to have contributed to a significant degree to the specified disease, unless the employer proves the contrary.</w:t>
      </w:r>
    </w:p>
    <w:p>
      <w:pPr>
        <w:pStyle w:val="Subsection"/>
      </w:pPr>
      <w:r>
        <w:tab/>
        <w:t>(2)</w:t>
      </w:r>
      <w:r>
        <w:tab/>
        <w:t xml:space="preserve">For the purposes of subsection (1), a worker to whom this Division applies is taken to have been exposed to the hazards of a fire scene if the employer is satisfied that the worker has completed a period of hazardous firefighting employment of, or 2 or more periods of hazardous firefighting employment in aggregate amounting to, at least the lesser of —  </w:t>
      </w:r>
    </w:p>
    <w:p>
      <w:pPr>
        <w:pStyle w:val="Indenta"/>
      </w:pPr>
      <w:r>
        <w:tab/>
        <w:t>(a)</w:t>
      </w:r>
      <w:r>
        <w:tab/>
        <w:t>5 years; and</w:t>
      </w:r>
    </w:p>
    <w:p>
      <w:pPr>
        <w:pStyle w:val="Indenta"/>
      </w:pPr>
      <w:r>
        <w:tab/>
        <w:t>(b)</w:t>
      </w:r>
      <w:r>
        <w:tab/>
        <w:t>the qualifying period.</w:t>
      </w:r>
    </w:p>
    <w:p>
      <w:pPr>
        <w:pStyle w:val="Footnotesection"/>
        <w:spacing w:before="100"/>
      </w:pPr>
      <w:r>
        <w:tab/>
        <w:t>[Section 49C inserted: No. 21 of 2013 s. 4; amended: No. 28 of 2016 s. 11.]</w:t>
      </w:r>
    </w:p>
    <w:p>
      <w:pPr>
        <w:pStyle w:val="Heading5"/>
      </w:pPr>
      <w:bookmarkStart w:id="147" w:name="_Toc131514329"/>
      <w:r>
        <w:rPr>
          <w:rStyle w:val="CharSectno"/>
        </w:rPr>
        <w:t>49D</w:t>
      </w:r>
      <w:r>
        <w:t>.</w:t>
      </w:r>
      <w:r>
        <w:tab/>
        <w:t>Date of injury</w:t>
      </w:r>
      <w:bookmarkEnd w:id="147"/>
    </w:p>
    <w:p>
      <w:pPr>
        <w:pStyle w:val="Subsection"/>
        <w:spacing w:before="140"/>
      </w:pPr>
      <w:r>
        <w:tab/>
        <w:t>(1)</w:t>
      </w:r>
      <w:r>
        <w:tab/>
        <w:t xml:space="preserve">The date of injury, in relation to a worker who has contracted a specified disease, is the earlier of these days — </w:t>
      </w:r>
    </w:p>
    <w:p>
      <w:pPr>
        <w:pStyle w:val="Indenta"/>
        <w:spacing w:before="60"/>
      </w:pPr>
      <w:r>
        <w:tab/>
        <w:t>(a)</w:t>
      </w:r>
      <w:r>
        <w:tab/>
        <w:t>the day on which the worker becomes totally or partially incapacitated for work by reason of the specified disease;</w:t>
      </w:r>
    </w:p>
    <w:p>
      <w:pPr>
        <w:pStyle w:val="Indenta"/>
        <w:spacing w:before="60"/>
      </w:pPr>
      <w:r>
        <w:tab/>
        <w:t>(b)</w:t>
      </w:r>
      <w:r>
        <w:tab/>
        <w:t>the day on which the worker is first diagnosed by a medical practitioner as having contracted the specified disease.</w:t>
      </w:r>
    </w:p>
    <w:p>
      <w:pPr>
        <w:pStyle w:val="Subsection"/>
        <w:spacing w:before="140"/>
      </w:pPr>
      <w:r>
        <w:tab/>
        <w:t>(2)</w:t>
      </w:r>
      <w:r>
        <w:tab/>
        <w:t>If, for the purposes of this Act, it is necessary to determine, in the case of a worker to whom this Division applies, when the worker’s injury occurred, the injury is taken to have occurred on the date of injury as described in subsection (1).</w:t>
      </w:r>
    </w:p>
    <w:p>
      <w:pPr>
        <w:pStyle w:val="Footnotesection"/>
        <w:spacing w:before="100"/>
      </w:pPr>
      <w:r>
        <w:tab/>
        <w:t>[Section 49D inserted: No. 21 of 2013 s. 4.]</w:t>
      </w:r>
    </w:p>
    <w:p>
      <w:pPr>
        <w:pStyle w:val="Heading5"/>
      </w:pPr>
      <w:bookmarkStart w:id="148" w:name="_Toc131514330"/>
      <w:r>
        <w:rPr>
          <w:rStyle w:val="CharSectno"/>
        </w:rPr>
        <w:lastRenderedPageBreak/>
        <w:t>49E</w:t>
      </w:r>
      <w:r>
        <w:t>.</w:t>
      </w:r>
      <w:r>
        <w:tab/>
        <w:t>Review of Division</w:t>
      </w:r>
      <w:bookmarkEnd w:id="148"/>
    </w:p>
    <w:p>
      <w:pPr>
        <w:pStyle w:val="Subsection"/>
        <w:spacing w:before="140"/>
      </w:pPr>
      <w:r>
        <w:tab/>
        <w:t>(1)</w:t>
      </w:r>
      <w:r>
        <w:tab/>
        <w:t>The Minister must carry out a review of the operation and effectiveness of this Division as soon as practicable after every 5</w:t>
      </w:r>
      <w:r>
        <w:rPr>
          <w:vertAlign w:val="superscript"/>
        </w:rPr>
        <w:t>th</w:t>
      </w:r>
      <w:r>
        <w:t xml:space="preserve"> anniversary of the day on which the </w:t>
      </w:r>
      <w:r>
        <w:rPr>
          <w:i/>
          <w:snapToGrid w:val="0"/>
        </w:rPr>
        <w:t>Workers’ Compensation and Injury Management Amendment Act 2013</w:t>
      </w:r>
      <w:r>
        <w:t xml:space="preserve"> section 4 comes into operation.</w:t>
      </w:r>
    </w:p>
    <w:p>
      <w:pPr>
        <w:pStyle w:val="Subsection"/>
        <w:spacing w:before="140"/>
      </w:pPr>
      <w:r>
        <w:tab/>
        <w:t>(2)</w:t>
      </w:r>
      <w:r>
        <w:tab/>
        <w:t>The Minister must prepare a report based on the review and, as soon as practicable after the report is prepared, cause it to be laid before each House of Parliament.</w:t>
      </w:r>
    </w:p>
    <w:p>
      <w:pPr>
        <w:pStyle w:val="Footnotesection"/>
        <w:spacing w:before="100"/>
      </w:pPr>
      <w:r>
        <w:tab/>
        <w:t>[Section 49E inserted: No. 21 of 2013 s. 4.]</w:t>
      </w:r>
    </w:p>
    <w:p>
      <w:pPr>
        <w:pStyle w:val="Heading3"/>
      </w:pPr>
      <w:bookmarkStart w:id="149" w:name="_Toc100238354"/>
      <w:bookmarkStart w:id="150" w:name="_Toc100238968"/>
      <w:bookmarkStart w:id="151" w:name="_Toc100562262"/>
      <w:bookmarkStart w:id="152" w:name="_Toc107309898"/>
      <w:bookmarkStart w:id="153" w:name="_Toc107479752"/>
      <w:bookmarkStart w:id="154" w:name="_Toc131501118"/>
      <w:bookmarkStart w:id="155" w:name="_Toc131501735"/>
      <w:bookmarkStart w:id="156" w:name="_Toc131514331"/>
      <w:r>
        <w:rPr>
          <w:rStyle w:val="CharDivNo"/>
        </w:rPr>
        <w:t>Division 4B</w:t>
      </w:r>
      <w:r>
        <w:t> — </w:t>
      </w:r>
      <w:r>
        <w:rPr>
          <w:rStyle w:val="CharDivText"/>
        </w:rPr>
        <w:t>Injury: prescribed diseases</w:t>
      </w:r>
      <w:bookmarkEnd w:id="149"/>
      <w:bookmarkEnd w:id="150"/>
      <w:bookmarkEnd w:id="151"/>
      <w:bookmarkEnd w:id="152"/>
      <w:bookmarkEnd w:id="153"/>
      <w:bookmarkEnd w:id="154"/>
      <w:bookmarkEnd w:id="155"/>
      <w:bookmarkEnd w:id="156"/>
    </w:p>
    <w:p>
      <w:pPr>
        <w:pStyle w:val="Footnoteheading"/>
      </w:pPr>
      <w:r>
        <w:tab/>
        <w:t>[Heading inserted: No. 31 of 2020 s. 6.]</w:t>
      </w:r>
    </w:p>
    <w:p>
      <w:pPr>
        <w:pStyle w:val="Heading5"/>
      </w:pPr>
      <w:bookmarkStart w:id="157" w:name="_Toc131514332"/>
      <w:r>
        <w:rPr>
          <w:rStyle w:val="CharSectno"/>
        </w:rPr>
        <w:t>49F</w:t>
      </w:r>
      <w:r>
        <w:t>.</w:t>
      </w:r>
      <w:r>
        <w:tab/>
        <w:t>Prescribed diseases taken to be from certain employment</w:t>
      </w:r>
      <w:bookmarkEnd w:id="157"/>
    </w:p>
    <w:p>
      <w:pPr>
        <w:pStyle w:val="Subsection"/>
      </w:pPr>
      <w:r>
        <w:tab/>
        <w:t>(1)</w:t>
      </w:r>
      <w:r>
        <w:tab/>
        <w:t xml:space="preserve">The regulations may — </w:t>
      </w:r>
    </w:p>
    <w:p>
      <w:pPr>
        <w:pStyle w:val="Indenta"/>
      </w:pPr>
      <w:r>
        <w:tab/>
        <w:t>(a)</w:t>
      </w:r>
      <w:r>
        <w:tab/>
        <w:t xml:space="preserve">specify diseases for the purposes of this section (each a </w:t>
      </w:r>
      <w:r>
        <w:rPr>
          <w:rStyle w:val="CharDefText"/>
        </w:rPr>
        <w:t>prescribed disease</w:t>
      </w:r>
      <w:r>
        <w:t>);</w:t>
      </w:r>
    </w:p>
    <w:p>
      <w:pPr>
        <w:pStyle w:val="Indenta"/>
      </w:pPr>
      <w:r>
        <w:tab/>
        <w:t>(b)</w:t>
      </w:r>
      <w:r>
        <w:tab/>
        <w:t xml:space="preserve">for each prescribed disease specify 1 or more kinds of employment as </w:t>
      </w:r>
      <w:r>
        <w:rPr>
          <w:rStyle w:val="CharDefText"/>
        </w:rPr>
        <w:t>prescribed employment</w:t>
      </w:r>
      <w:r>
        <w:t xml:space="preserve"> for that disease.</w:t>
      </w:r>
    </w:p>
    <w:p>
      <w:pPr>
        <w:pStyle w:val="Subsection"/>
      </w:pPr>
      <w:r>
        <w:tab/>
        <w:t>(2)</w:t>
      </w:r>
      <w:r>
        <w:tab/>
        <w:t>The regulations cannot specify a disease to which section 33 or 34 applies.</w:t>
      </w:r>
    </w:p>
    <w:p>
      <w:pPr>
        <w:pStyle w:val="Subsection"/>
      </w:pPr>
      <w:r>
        <w:tab/>
        <w:t>(3)</w:t>
      </w:r>
      <w:r>
        <w:tab/>
        <w:t>Subject to the regulations under subsection (4), if a worker suffers an injury by contracting a prescribed disease and the worker is working in prescribed employment when the worker suffers the injury or worked in prescribed employment at any time before suffering the injury, the prescribed employment is, for the purposes of this Act, taken to have been a contributing factor and to have contributed to a significant degree to the prescribed disease, unless the employer proves the contrary.</w:t>
      </w:r>
    </w:p>
    <w:p>
      <w:pPr>
        <w:pStyle w:val="Subsection"/>
        <w:keepNext/>
      </w:pPr>
      <w:r>
        <w:lastRenderedPageBreak/>
        <w:tab/>
        <w:t>(4)</w:t>
      </w:r>
      <w:r>
        <w:tab/>
        <w:t xml:space="preserve">The regulations may — </w:t>
      </w:r>
    </w:p>
    <w:p>
      <w:pPr>
        <w:pStyle w:val="Indenta"/>
      </w:pPr>
      <w:r>
        <w:tab/>
        <w:t>(a)</w:t>
      </w:r>
      <w:r>
        <w:tab/>
        <w:t>impose conditions or limitations on the operation of subsection (3); and</w:t>
      </w:r>
    </w:p>
    <w:p>
      <w:pPr>
        <w:pStyle w:val="Indenta"/>
      </w:pPr>
      <w:r>
        <w:tab/>
        <w:t>(b)</w:t>
      </w:r>
      <w:r>
        <w:tab/>
        <w:t>specify the day on which subsection (3) applies to a worker or class of worker in relation to a prescribed disease; and</w:t>
      </w:r>
    </w:p>
    <w:p>
      <w:pPr>
        <w:pStyle w:val="Indenta"/>
      </w:pPr>
      <w:r>
        <w:tab/>
        <w:t>(c)</w:t>
      </w:r>
      <w:r>
        <w:tab/>
        <w:t>specify the day on which an injury by contracting a prescribed disease that under subsection (3) is taken to be from prescribed employment is taken to have been suffered.</w:t>
      </w:r>
    </w:p>
    <w:p>
      <w:pPr>
        <w:pStyle w:val="Subsection"/>
      </w:pPr>
      <w:r>
        <w:tab/>
        <w:t>(5)</w:t>
      </w:r>
      <w:r>
        <w:tab/>
        <w:t xml:space="preserve">A day specified for the purposes of subsection (4)(b) or (c) may be — </w:t>
      </w:r>
    </w:p>
    <w:p>
      <w:pPr>
        <w:pStyle w:val="Indenta"/>
      </w:pPr>
      <w:r>
        <w:tab/>
        <w:t>(a)</w:t>
      </w:r>
      <w:r>
        <w:tab/>
        <w:t xml:space="preserve">a day before or after the coming into operation of the </w:t>
      </w:r>
      <w:r>
        <w:rPr>
          <w:i/>
        </w:rPr>
        <w:t>Workers’ Compensation and Injury Management Amendment (COVID</w:t>
      </w:r>
      <w:r>
        <w:rPr>
          <w:i/>
        </w:rPr>
        <w:noBreakHyphen/>
        <w:t>19 Response) Act 2020</w:t>
      </w:r>
      <w:r>
        <w:t xml:space="preserve"> section 6; or</w:t>
      </w:r>
    </w:p>
    <w:p>
      <w:pPr>
        <w:pStyle w:val="Indenta"/>
      </w:pPr>
      <w:r>
        <w:tab/>
        <w:t>(b)</w:t>
      </w:r>
      <w:r>
        <w:tab/>
        <w:t>a day before or after the relevant disease is specified as a prescribed disease by the regulations.</w:t>
      </w:r>
    </w:p>
    <w:p>
      <w:pPr>
        <w:pStyle w:val="Subsection"/>
      </w:pPr>
      <w:r>
        <w:tab/>
        <w:t>(6)</w:t>
      </w:r>
      <w:r>
        <w:tab/>
        <w:t>This section does not prevent it from being established independently of this section that an injury contracted by a prescribed disease is an injury under this Act whether or not the worker was working in prescribed employment.</w:t>
      </w:r>
    </w:p>
    <w:p>
      <w:pPr>
        <w:pStyle w:val="Footnotesection"/>
      </w:pPr>
      <w:r>
        <w:tab/>
        <w:t>[Section 49F inserted: No. 31 of 2020 s. 6.]</w:t>
      </w:r>
    </w:p>
    <w:p>
      <w:pPr>
        <w:pStyle w:val="Heading5"/>
      </w:pPr>
      <w:bookmarkStart w:id="158" w:name="_Toc131514333"/>
      <w:r>
        <w:rPr>
          <w:rStyle w:val="CharSectno"/>
        </w:rPr>
        <w:t>49G</w:t>
      </w:r>
      <w:r>
        <w:t>.</w:t>
      </w:r>
      <w:r>
        <w:tab/>
        <w:t>Division 3 does not apply if s. 49F(3) applies</w:t>
      </w:r>
      <w:bookmarkEnd w:id="158"/>
    </w:p>
    <w:p>
      <w:pPr>
        <w:pStyle w:val="Subsection"/>
      </w:pPr>
      <w:r>
        <w:tab/>
      </w:r>
      <w:r>
        <w:tab/>
        <w:t>If section 49F(3) applies to a worker in relation to a disease and employment, Division 3 does not apply to the worker in relation to the same disease and employment.</w:t>
      </w:r>
    </w:p>
    <w:p>
      <w:pPr>
        <w:pStyle w:val="Footnotesection"/>
      </w:pPr>
      <w:r>
        <w:tab/>
        <w:t>[Section 49G inserted: No. 31 of 2020 s. 6.]</w:t>
      </w:r>
    </w:p>
    <w:p>
      <w:pPr>
        <w:pStyle w:val="Heading3"/>
        <w:keepLines/>
      </w:pPr>
      <w:bookmarkStart w:id="159" w:name="_Toc100238357"/>
      <w:bookmarkStart w:id="160" w:name="_Toc100238971"/>
      <w:bookmarkStart w:id="161" w:name="_Toc100562265"/>
      <w:bookmarkStart w:id="162" w:name="_Toc107309901"/>
      <w:bookmarkStart w:id="163" w:name="_Toc107479755"/>
      <w:bookmarkStart w:id="164" w:name="_Toc131501121"/>
      <w:bookmarkStart w:id="165" w:name="_Toc131501738"/>
      <w:bookmarkStart w:id="166" w:name="_Toc131514334"/>
      <w:r>
        <w:rPr>
          <w:rStyle w:val="CharDivNo"/>
        </w:rPr>
        <w:lastRenderedPageBreak/>
        <w:t>Division 4</w:t>
      </w:r>
      <w:r>
        <w:t> — </w:t>
      </w:r>
      <w:r>
        <w:rPr>
          <w:rStyle w:val="CharDivText"/>
        </w:rPr>
        <w:t>Injury: specified losses of functions</w:t>
      </w:r>
      <w:bookmarkEnd w:id="159"/>
      <w:bookmarkEnd w:id="160"/>
      <w:bookmarkEnd w:id="161"/>
      <w:bookmarkEnd w:id="162"/>
      <w:bookmarkEnd w:id="163"/>
      <w:bookmarkEnd w:id="164"/>
      <w:bookmarkEnd w:id="165"/>
      <w:bookmarkEnd w:id="166"/>
    </w:p>
    <w:p>
      <w:pPr>
        <w:pStyle w:val="Footnoteheading"/>
        <w:keepNext/>
        <w:keepLines/>
      </w:pPr>
      <w:r>
        <w:tab/>
        <w:t>[Heading inserted: No. 42 of 2004 s. 36.]</w:t>
      </w:r>
    </w:p>
    <w:p>
      <w:pPr>
        <w:pStyle w:val="Heading5"/>
      </w:pPr>
      <w:bookmarkStart w:id="167" w:name="_Toc131514335"/>
      <w:r>
        <w:rPr>
          <w:rStyle w:val="CharSectno"/>
        </w:rPr>
        <w:t>49</w:t>
      </w:r>
      <w:r>
        <w:t>.</w:t>
      </w:r>
      <w:r>
        <w:tab/>
        <w:t>Loss of function in Sch. 4, when injury occurs as a result of</w:t>
      </w:r>
      <w:bookmarkEnd w:id="167"/>
    </w:p>
    <w:p>
      <w:pPr>
        <w:pStyle w:val="Subsection"/>
        <w:spacing w:before="120"/>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No. 42 of 2004 s. 37.]</w:t>
      </w:r>
    </w:p>
    <w:p>
      <w:pPr>
        <w:pStyle w:val="Ednotesection"/>
        <w:outlineLvl w:val="9"/>
      </w:pPr>
      <w:r>
        <w:t>[</w:t>
      </w:r>
      <w:r>
        <w:rPr>
          <w:b/>
        </w:rPr>
        <w:t>50.</w:t>
      </w:r>
      <w:r>
        <w:tab/>
        <w:t>Deleted: No. 36 of 1988 s. 10.]</w:t>
      </w:r>
    </w:p>
    <w:p>
      <w:pPr>
        <w:pStyle w:val="Heading5"/>
        <w:spacing w:before="120"/>
        <w:rPr>
          <w:snapToGrid w:val="0"/>
        </w:rPr>
      </w:pPr>
      <w:bookmarkStart w:id="168" w:name="_Toc131514336"/>
      <w:r>
        <w:rPr>
          <w:rStyle w:val="CharSectno"/>
        </w:rPr>
        <w:t>51</w:t>
      </w:r>
      <w:r>
        <w:rPr>
          <w:snapToGrid w:val="0"/>
        </w:rPr>
        <w:t>.</w:t>
      </w:r>
      <w:r>
        <w:rPr>
          <w:snapToGrid w:val="0"/>
        </w:rPr>
        <w:tab/>
        <w:t>Last employer liable but may join others</w:t>
      </w:r>
      <w:bookmarkEnd w:id="168"/>
    </w:p>
    <w:p>
      <w:pPr>
        <w:pStyle w:val="Subsection"/>
        <w:spacing w:before="100"/>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spacing w:before="100"/>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spacing w:before="100"/>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spacing w:before="100"/>
        <w:rPr>
          <w:snapToGrid w:val="0"/>
        </w:rPr>
      </w:pPr>
      <w:r>
        <w:rPr>
          <w:snapToGrid w:val="0"/>
        </w:rPr>
        <w:tab/>
        <w:t>(4)</w:t>
      </w:r>
      <w:r>
        <w:rPr>
          <w:snapToGrid w:val="0"/>
        </w:rPr>
        <w:tab/>
        <w:t xml:space="preserve">If the loss of function is of such a nature as to be caused by a gradual process, any other employers who during the period of 3 years mentioned in section 49, employed the worker in the </w:t>
      </w:r>
      <w:r>
        <w:rPr>
          <w:snapToGrid w:val="0"/>
        </w:rPr>
        <w:lastRenderedPageBreak/>
        <w:t>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spacing w:before="100"/>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169" w:name="_Toc131514337"/>
      <w:r>
        <w:rPr>
          <w:rStyle w:val="CharSectno"/>
        </w:rPr>
        <w:t>52</w:t>
      </w:r>
      <w:r>
        <w:rPr>
          <w:snapToGrid w:val="0"/>
        </w:rPr>
        <w:t>.</w:t>
      </w:r>
      <w:r>
        <w:rPr>
          <w:snapToGrid w:val="0"/>
        </w:rPr>
        <w:tab/>
        <w:t>How compensation calculated</w:t>
      </w:r>
      <w:bookmarkEnd w:id="169"/>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170" w:name="_Toc131514338"/>
      <w:r>
        <w:rPr>
          <w:rStyle w:val="CharSectno"/>
        </w:rPr>
        <w:t>53</w:t>
      </w:r>
      <w:r>
        <w:rPr>
          <w:snapToGrid w:val="0"/>
        </w:rPr>
        <w:t>.</w:t>
      </w:r>
      <w:r>
        <w:rPr>
          <w:snapToGrid w:val="0"/>
        </w:rPr>
        <w:tab/>
        <w:t>Employer to whom notice given</w:t>
      </w:r>
      <w:bookmarkEnd w:id="170"/>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No. 42 of 2004 s. 38.]</w:t>
      </w:r>
    </w:p>
    <w:p>
      <w:pPr>
        <w:pStyle w:val="Heading5"/>
        <w:rPr>
          <w:snapToGrid w:val="0"/>
        </w:rPr>
      </w:pPr>
      <w:bookmarkStart w:id="171" w:name="_Toc131514339"/>
      <w:r>
        <w:rPr>
          <w:rStyle w:val="CharSectno"/>
        </w:rPr>
        <w:t>54</w:t>
      </w:r>
      <w:r>
        <w:rPr>
          <w:snapToGrid w:val="0"/>
        </w:rPr>
        <w:t>.</w:t>
      </w:r>
      <w:r>
        <w:rPr>
          <w:snapToGrid w:val="0"/>
        </w:rPr>
        <w:tab/>
        <w:t>Loss of function in Sch. 4 deemed due to employment in process in Sch. 4</w:t>
      </w:r>
      <w:bookmarkEnd w:id="171"/>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No. 42 of 2004 s. 39.]</w:t>
      </w:r>
    </w:p>
    <w:p>
      <w:pPr>
        <w:pStyle w:val="Heading5"/>
        <w:rPr>
          <w:snapToGrid w:val="0"/>
        </w:rPr>
      </w:pPr>
      <w:bookmarkStart w:id="172" w:name="_Toc131514340"/>
      <w:r>
        <w:rPr>
          <w:rStyle w:val="CharSectno"/>
        </w:rPr>
        <w:lastRenderedPageBreak/>
        <w:t>55</w:t>
      </w:r>
      <w:r>
        <w:rPr>
          <w:snapToGrid w:val="0"/>
        </w:rPr>
        <w:t>.</w:t>
      </w:r>
      <w:r>
        <w:rPr>
          <w:snapToGrid w:val="0"/>
        </w:rPr>
        <w:tab/>
        <w:t>Additions to Sch. 4</w:t>
      </w:r>
      <w:bookmarkEnd w:id="172"/>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pPr>
      <w:bookmarkStart w:id="173" w:name="_Toc100238364"/>
      <w:bookmarkStart w:id="174" w:name="_Toc100238978"/>
      <w:bookmarkStart w:id="175" w:name="_Toc100562272"/>
      <w:bookmarkStart w:id="176" w:name="_Toc107309908"/>
      <w:bookmarkStart w:id="177" w:name="_Toc107479762"/>
      <w:bookmarkStart w:id="178" w:name="_Toc131501128"/>
      <w:bookmarkStart w:id="179" w:name="_Toc131501745"/>
      <w:bookmarkStart w:id="180" w:name="_Toc131514341"/>
      <w:r>
        <w:rPr>
          <w:rStyle w:val="CharDivNo"/>
        </w:rPr>
        <w:t>Division 5</w:t>
      </w:r>
      <w:r>
        <w:rPr>
          <w:snapToGrid w:val="0"/>
        </w:rPr>
        <w:t> — </w:t>
      </w:r>
      <w:r>
        <w:rPr>
          <w:rStyle w:val="CharDivText"/>
        </w:rPr>
        <w:t>Commencement, review, suspension, and cessation of payments</w:t>
      </w:r>
      <w:bookmarkEnd w:id="173"/>
      <w:bookmarkEnd w:id="174"/>
      <w:bookmarkEnd w:id="175"/>
      <w:bookmarkEnd w:id="176"/>
      <w:bookmarkEnd w:id="177"/>
      <w:bookmarkEnd w:id="178"/>
      <w:bookmarkEnd w:id="179"/>
      <w:bookmarkEnd w:id="180"/>
    </w:p>
    <w:p>
      <w:pPr>
        <w:pStyle w:val="Heading5"/>
        <w:rPr>
          <w:snapToGrid w:val="0"/>
        </w:rPr>
      </w:pPr>
      <w:bookmarkStart w:id="181" w:name="_Toc131514342"/>
      <w:r>
        <w:rPr>
          <w:rStyle w:val="CharSectno"/>
        </w:rPr>
        <w:t>56</w:t>
      </w:r>
      <w:r>
        <w:rPr>
          <w:snapToGrid w:val="0"/>
        </w:rPr>
        <w:t>.</w:t>
      </w:r>
      <w:r>
        <w:rPr>
          <w:snapToGrid w:val="0"/>
        </w:rPr>
        <w:tab/>
        <w:t>When entitlement to weekly payments ceases due to age</w:t>
      </w:r>
      <w:bookmarkEnd w:id="181"/>
    </w:p>
    <w:p>
      <w:pPr>
        <w:pStyle w:val="Subsection"/>
        <w:rPr>
          <w:snapToGrid w:val="0"/>
        </w:rPr>
      </w:pPr>
      <w:r>
        <w:rPr>
          <w:snapToGrid w:val="0"/>
        </w:rPr>
        <w:tab/>
        <w:t>(1)</w:t>
      </w:r>
      <w:r>
        <w:rPr>
          <w:snapToGrid w:val="0"/>
        </w:rPr>
        <w:tab/>
      </w:r>
      <w:r>
        <w:t>Subject to subsection (2) and</w:t>
      </w:r>
      <w:r>
        <w:rPr>
          <w:snapToGrid w:val="0"/>
        </w:rPr>
        <w:t xml:space="preserve"> to the exceptions in Schedule 5, an entitlement of a worker to weekly payments of compensation for incapacity for work resulting from </w:t>
      </w:r>
      <w:r>
        <w:t>an injury</w:t>
      </w:r>
      <w:r>
        <w:rPr>
          <w:snapToGrid w:val="0"/>
        </w:rPr>
        <w:t xml:space="preserve"> under this Act ceases —</w:t>
      </w:r>
    </w:p>
    <w:p>
      <w:pPr>
        <w:pStyle w:val="Indenta"/>
        <w:spacing w:before="60"/>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spacing w:before="60"/>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Subsection"/>
      </w:pPr>
      <w:r>
        <w:tab/>
        <w:t>(2)</w:t>
      </w:r>
      <w:r>
        <w:tab/>
        <w:t xml:space="preserve">An entitlement of a worker to weekly payments of compensation for incapacity for work resulting from an injury </w:t>
      </w:r>
      <w:r>
        <w:lastRenderedPageBreak/>
        <w:t xml:space="preserve">under this Act is not to cease under subsection (1) if the injury occurs on or after the date on which the </w:t>
      </w:r>
      <w:r>
        <w:rPr>
          <w:i/>
        </w:rPr>
        <w:t>Workers’ Compensation and Injury Management Amendment Act 2011</w:t>
      </w:r>
      <w:r>
        <w:t xml:space="preserve"> section 88 comes into operation.</w:t>
      </w:r>
    </w:p>
    <w:p>
      <w:pPr>
        <w:pStyle w:val="Footnotesection"/>
      </w:pPr>
      <w:r>
        <w:tab/>
        <w:t>[Section 56 amended: No. 42 of 2004 s. 146 and 147; No. 31 of 2011 s. 88.]</w:t>
      </w:r>
    </w:p>
    <w:p>
      <w:pPr>
        <w:pStyle w:val="Heading5"/>
        <w:spacing w:before="180"/>
        <w:rPr>
          <w:snapToGrid w:val="0"/>
        </w:rPr>
      </w:pPr>
      <w:bookmarkStart w:id="182" w:name="_Toc131514343"/>
      <w:r>
        <w:rPr>
          <w:rStyle w:val="CharSectno"/>
        </w:rPr>
        <w:t>57</w:t>
      </w:r>
      <w:r>
        <w:rPr>
          <w:snapToGrid w:val="0"/>
        </w:rPr>
        <w:t>.</w:t>
      </w:r>
      <w:r>
        <w:rPr>
          <w:snapToGrid w:val="0"/>
        </w:rPr>
        <w:tab/>
        <w:t>Effect of s. 56 on Sch. 2 and expenses</w:t>
      </w:r>
      <w:bookmarkEnd w:id="182"/>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18A(1CA) and (1C).</w:t>
      </w:r>
    </w:p>
    <w:p>
      <w:pPr>
        <w:pStyle w:val="Footnotesection"/>
      </w:pPr>
      <w:r>
        <w:tab/>
        <w:t>[Section 57 amended: No. 42 of 2004 s. 40; No. 31 of 2011 s. 89.]</w:t>
      </w:r>
    </w:p>
    <w:p>
      <w:pPr>
        <w:pStyle w:val="Heading5"/>
        <w:spacing w:before="120"/>
        <w:rPr>
          <w:snapToGrid w:val="0"/>
        </w:rPr>
      </w:pPr>
      <w:bookmarkStart w:id="183" w:name="_Toc131514344"/>
      <w:r>
        <w:rPr>
          <w:rStyle w:val="CharSectno"/>
        </w:rPr>
        <w:t>57A</w:t>
      </w:r>
      <w:r>
        <w:rPr>
          <w:snapToGrid w:val="0"/>
        </w:rPr>
        <w:t>.</w:t>
      </w:r>
      <w:r>
        <w:rPr>
          <w:snapToGrid w:val="0"/>
        </w:rPr>
        <w:tab/>
        <w:t>Claims procedure where employer insured</w:t>
      </w:r>
      <w:bookmarkEnd w:id="183"/>
    </w:p>
    <w:p>
      <w:pPr>
        <w:pStyle w:val="Subsection"/>
        <w:spacing w:before="120"/>
        <w:rPr>
          <w:snapToGrid w:val="0"/>
        </w:rPr>
      </w:pPr>
      <w:r>
        <w:rPr>
          <w:snapToGrid w:val="0"/>
        </w:rPr>
        <w:tab/>
        <w:t>(1)</w:t>
      </w:r>
      <w:r>
        <w:rPr>
          <w:snapToGrid w:val="0"/>
        </w:rPr>
        <w:tab/>
        <w:t>This section applies where —</w:t>
      </w:r>
    </w:p>
    <w:p>
      <w:pPr>
        <w:pStyle w:val="Indenta"/>
        <w:rPr>
          <w:snapToGrid w:val="0"/>
        </w:rPr>
      </w:pPr>
      <w:r>
        <w:rPr>
          <w:snapToGrid w:val="0"/>
        </w:rPr>
        <w:tab/>
        <w:t>(a)</w:t>
      </w:r>
      <w:r>
        <w:rPr>
          <w:snapToGrid w:val="0"/>
        </w:rPr>
        <w:tab/>
        <w:t xml:space="preserve">a claim for compensation by way of weekly payments for total or partial incapacity </w:t>
      </w:r>
      <w:r>
        <w:t>is</w:t>
      </w:r>
      <w:r>
        <w:rPr>
          <w:snapToGrid w:val="0"/>
        </w:rPr>
        <w:t xml:space="preserve"> made on an employer in accordance with section 178(1)(b); and</w:t>
      </w:r>
    </w:p>
    <w:p>
      <w:pPr>
        <w:pStyle w:val="Indenta"/>
      </w:pPr>
      <w:r>
        <w:tab/>
        <w:t>(ba)</w:t>
      </w:r>
      <w:r>
        <w:tab/>
        <w:t>the employer is indemnified by a policy of insurance against liability to pay the compensation claimed;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w:t>
      </w:r>
      <w:r>
        <w:t>serves</w:t>
      </w:r>
      <w:r>
        <w:rPr>
          <w:snapToGrid w:val="0"/>
        </w:rPr>
        <w:t xml:space="preserve">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w:t>
      </w:r>
      <w:r>
        <w:t>been served.</w:t>
      </w:r>
    </w:p>
    <w:p>
      <w:pPr>
        <w:pStyle w:val="Subsection"/>
        <w:spacing w:before="120"/>
      </w:pPr>
      <w:r>
        <w:tab/>
        <w:t>(2A)</w:t>
      </w:r>
      <w:r>
        <w:tab/>
        <w:t xml:space="preserve">In the circumstances mentioned in subsection (1), before the expiration of 5 full working days the employer must claim </w:t>
      </w:r>
      <w:r>
        <w:lastRenderedPageBreak/>
        <w:t>under and in accordance with his or her policy of insurance in respect of liability to pay the compensation claimed.</w:t>
      </w:r>
    </w:p>
    <w:p>
      <w:pPr>
        <w:pStyle w:val="Penstart"/>
      </w:pPr>
      <w:r>
        <w:tab/>
        <w:t>Penalty: a fine of $1 000.</w:t>
      </w:r>
    </w:p>
    <w:p>
      <w:pPr>
        <w:pStyle w:val="Subsection"/>
      </w:pPr>
      <w:r>
        <w:tab/>
        <w:t>(2)</w:t>
      </w:r>
      <w:r>
        <w:tab/>
        <w:t>Where, in the circumstances mentioned in subsection (1), an employer fails to make a claim under and in accordance with his policy of insurance before the expiration of 5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5 working days for which weekly payments are claimed by the worker.</w:t>
      </w:r>
    </w:p>
    <w:p>
      <w:pPr>
        <w:pStyle w:val="Subsection"/>
      </w:pPr>
      <w:r>
        <w:tab/>
        <w:t>(3)</w:t>
      </w:r>
      <w:r>
        <w:tab/>
        <w:t>Upon an employer making a claim as mentioned in subsection (2), the insurer must, before the expiration of 14 days after the claim was made by the employer —</w:t>
      </w:r>
    </w:p>
    <w:p>
      <w:pPr>
        <w:pStyle w:val="Indenta"/>
      </w:pPr>
      <w:r>
        <w:tab/>
        <w:t>(a)</w:t>
      </w:r>
      <w:r>
        <w:tab/>
        <w:t>give the worker to whom the claim relates and the employer notice, in accordance with section 57BA and the regulations, that liability is accepted in respect of the weekly payments claimed; or</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80"/>
        <w:rPr>
          <w:snapToGrid w:val="0"/>
        </w:rPr>
      </w:pPr>
      <w:r>
        <w:rPr>
          <w:snapToGrid w:val="0"/>
        </w:rPr>
        <w:lastRenderedPageBreak/>
        <w:tab/>
        <w:t>(3a)</w:t>
      </w:r>
      <w:r>
        <w:rPr>
          <w:snapToGrid w:val="0"/>
        </w:rPr>
        <w:tab/>
        <w:t>If within 10 days after the Director is notified under subsection (3)(c) that a decision is not able to be made, the insurer has not —</w:t>
      </w:r>
    </w:p>
    <w:p>
      <w:pPr>
        <w:pStyle w:val="Indenta"/>
        <w:spacing w:before="60"/>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spacing w:before="60"/>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spacing w:before="140"/>
        <w:rPr>
          <w:snapToGrid w:val="0"/>
        </w:rPr>
      </w:pPr>
      <w:r>
        <w:rPr>
          <w:snapToGrid w:val="0"/>
        </w:rPr>
        <w:tab/>
      </w:r>
      <w:r>
        <w:rPr>
          <w:snapToGrid w:val="0"/>
        </w:rPr>
        <w:tab/>
        <w:t>the claim by the worker shall be deemed to be disputed.</w:t>
      </w:r>
    </w:p>
    <w:p>
      <w:pPr>
        <w:pStyle w:val="Subsection"/>
        <w:spacing w:before="140"/>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spacing w:before="140"/>
        <w:rPr>
          <w:snapToGrid w:val="0"/>
        </w:rPr>
      </w:pPr>
      <w:r>
        <w:rPr>
          <w:snapToGrid w:val="0"/>
        </w:rPr>
        <w:tab/>
        <w:t>(5)</w:t>
      </w:r>
      <w:r>
        <w:rPr>
          <w:snapToGrid w:val="0"/>
        </w:rPr>
        <w:tab/>
        <w:t>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w:t>
      </w:r>
    </w:p>
    <w:p>
      <w:pPr>
        <w:pStyle w:val="Subsection"/>
        <w:spacing w:before="140"/>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spacing w:before="140"/>
        <w:rPr>
          <w:snapToGrid w:val="0"/>
        </w:rPr>
      </w:pPr>
      <w:r>
        <w:rPr>
          <w:snapToGrid w:val="0"/>
        </w:rPr>
        <w:tab/>
        <w:t>(7)</w:t>
      </w:r>
      <w:r>
        <w:rPr>
          <w:snapToGrid w:val="0"/>
        </w:rPr>
        <w:tab/>
        <w:t xml:space="preserve">An employer shall make the first of the weekly payments </w:t>
      </w:r>
      <w:r>
        <w:t>not later than 14 days</w:t>
      </w:r>
      <w:r>
        <w:rPr>
          <w:snapToGrid w:val="0"/>
        </w:rPr>
        <w:t xml:space="preserve"> after —</w:t>
      </w:r>
    </w:p>
    <w:p>
      <w:pPr>
        <w:pStyle w:val="Indenta"/>
        <w:spacing w:before="60"/>
        <w:rPr>
          <w:snapToGrid w:val="0"/>
        </w:rPr>
      </w:pPr>
      <w:r>
        <w:rPr>
          <w:snapToGrid w:val="0"/>
        </w:rPr>
        <w:tab/>
        <w:t>(a)</w:t>
      </w:r>
      <w:r>
        <w:rPr>
          <w:snapToGrid w:val="0"/>
        </w:rPr>
        <w:tab/>
        <w:t xml:space="preserve">he is notified that the insurer accepts the claim or the time prescribed by subsection (3) expires without the </w:t>
      </w:r>
      <w:r>
        <w:rPr>
          <w:snapToGrid w:val="0"/>
        </w:rPr>
        <w:lastRenderedPageBreak/>
        <w:t xml:space="preserve">employer having received any notification as required by that subsection from the </w:t>
      </w:r>
      <w:r>
        <w:t>insurer;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w:t>
      </w:r>
      <w:r>
        <w:t>subsection,</w:t>
      </w:r>
    </w:p>
    <w:p>
      <w:pPr>
        <w:pStyle w:val="Subsection"/>
        <w:spacing w:before="120"/>
        <w:rPr>
          <w:snapToGrid w:val="0"/>
        </w:rPr>
      </w:pPr>
      <w:r>
        <w:rPr>
          <w:snapToGrid w:val="0"/>
        </w:rPr>
        <w:tab/>
      </w:r>
      <w:r>
        <w:rPr>
          <w:snapToGrid w:val="0"/>
        </w:rPr>
        <w:tab/>
        <w:t>and subsequent weekly payments shall be made on the employer’s usual pay days.</w:t>
      </w:r>
    </w:p>
    <w:p>
      <w:pPr>
        <w:pStyle w:val="Subsection"/>
      </w:pPr>
      <w:r>
        <w:tab/>
        <w:t>(8A)</w:t>
      </w:r>
      <w:r>
        <w:tab/>
        <w:t>An employer who fails to make a weekly payment by the due date under subsection (7) commits an offence.</w:t>
      </w:r>
    </w:p>
    <w:p>
      <w:pPr>
        <w:pStyle w:val="Penstart"/>
      </w:pPr>
      <w:r>
        <w:tab/>
        <w:t>Penalty for each weekly payment not made when due: a fine of $2 000.</w:t>
      </w:r>
    </w:p>
    <w:p>
      <w:pPr>
        <w:pStyle w:val="Subsection"/>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spacing w:before="60"/>
        <w:rPr>
          <w:snapToGrid w:val="0"/>
        </w:rPr>
      </w:pPr>
      <w:r>
        <w:rPr>
          <w:snapToGrid w:val="0"/>
        </w:rPr>
        <w:tab/>
        <w:t>Penalty: $2 000.</w:t>
      </w:r>
    </w:p>
    <w:p>
      <w:pPr>
        <w:pStyle w:val="Footnotesection"/>
        <w:spacing w:before="80"/>
        <w:ind w:left="890" w:hanging="890"/>
      </w:pPr>
      <w:r>
        <w:tab/>
        <w:t>[Section 57A inserted: No. 96 of 1990 s. 8; amended: No. 72 of 1992 s. 6; No. 48 of 1993 s. 28(1) and 34; No. 34 of 1999 s. 11; No. 42 of 2004 s. 41, 146, 147 and 154(4); No. 59 of 2004 s. 133; No. 31 of 2011 s. 90.]</w:t>
      </w:r>
    </w:p>
    <w:p>
      <w:pPr>
        <w:pStyle w:val="Heading5"/>
        <w:spacing w:before="180"/>
        <w:rPr>
          <w:snapToGrid w:val="0"/>
        </w:rPr>
      </w:pPr>
      <w:bookmarkStart w:id="184" w:name="_Toc131514345"/>
      <w:r>
        <w:rPr>
          <w:rStyle w:val="CharSectno"/>
        </w:rPr>
        <w:t>57B</w:t>
      </w:r>
      <w:r>
        <w:rPr>
          <w:snapToGrid w:val="0"/>
        </w:rPr>
        <w:t>.</w:t>
      </w:r>
      <w:r>
        <w:rPr>
          <w:snapToGrid w:val="0"/>
        </w:rPr>
        <w:tab/>
        <w:t>Claims procedure where employer is self</w:t>
      </w:r>
      <w:r>
        <w:rPr>
          <w:snapToGrid w:val="0"/>
        </w:rPr>
        <w:noBreakHyphen/>
        <w:t>insured or uninsured</w:t>
      </w:r>
      <w:bookmarkEnd w:id="184"/>
    </w:p>
    <w:p>
      <w:pPr>
        <w:pStyle w:val="Subsection"/>
        <w:keepNext/>
        <w:keepLines/>
        <w:spacing w:before="120"/>
        <w:rPr>
          <w:snapToGrid w:val="0"/>
        </w:rPr>
      </w:pPr>
      <w:r>
        <w:rPr>
          <w:snapToGrid w:val="0"/>
        </w:rPr>
        <w:tab/>
        <w:t>(1)</w:t>
      </w:r>
      <w:r>
        <w:rPr>
          <w:snapToGrid w:val="0"/>
        </w:rPr>
        <w:tab/>
        <w:t>This section applies where —</w:t>
      </w:r>
    </w:p>
    <w:p>
      <w:pPr>
        <w:pStyle w:val="Indenta"/>
        <w:spacing w:before="60"/>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spacing w:before="60"/>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spacing w:before="60"/>
        <w:rPr>
          <w:snapToGrid w:val="0"/>
        </w:rPr>
      </w:pPr>
      <w:r>
        <w:rPr>
          <w:snapToGrid w:val="0"/>
        </w:rPr>
        <w:lastRenderedPageBreak/>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pPr>
      <w:r>
        <w:tab/>
        <w:t>(2)</w:t>
      </w:r>
      <w:r>
        <w:tab/>
        <w:t>In the circumstances mentioned in subsection (1), an employer must, before the expiration of 17 days after those circumstances arose —</w:t>
      </w:r>
    </w:p>
    <w:p>
      <w:pPr>
        <w:pStyle w:val="Indenta"/>
      </w:pPr>
      <w:r>
        <w:tab/>
        <w:t>(a)</w:t>
      </w:r>
      <w:r>
        <w:tab/>
        <w:t>if liability to make the weekly payments claimed is accepted, subject to subsection (6), make the first of those weekly payments; or</w:t>
      </w:r>
    </w:p>
    <w:p>
      <w:pPr>
        <w:pStyle w:val="Indenta"/>
      </w:pPr>
      <w:r>
        <w:tab/>
        <w:t>(b)</w:t>
      </w:r>
      <w:r>
        <w:tab/>
        <w:t>subject to section 75, give the worker notice, in accordance with section 57BA and the regulations, that liability is disputed in respect of all or any of the weekly payments claimed; or</w:t>
      </w:r>
    </w:p>
    <w:p>
      <w:pPr>
        <w:pStyle w:val="Indenta"/>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keepNext/>
        <w:keepLines/>
        <w:rPr>
          <w:snapToGrid w:val="0"/>
        </w:rPr>
      </w:pPr>
      <w:r>
        <w:rPr>
          <w:snapToGrid w:val="0"/>
        </w:rPr>
        <w:tab/>
        <w:t>(2a)</w:t>
      </w:r>
      <w:r>
        <w:rPr>
          <w:snapToGrid w:val="0"/>
        </w:rPr>
        <w:tab/>
        <w:t>If within 10 days after the Director is notified under subsection (2)(c) that a decision is not able to be made, the employer has not —</w:t>
      </w:r>
    </w:p>
    <w:p>
      <w:pPr>
        <w:pStyle w:val="Indenta"/>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rPr>
          <w:snapToGrid w:val="0"/>
        </w:rPr>
      </w:pPr>
      <w:r>
        <w:rPr>
          <w:snapToGrid w:val="0"/>
        </w:rPr>
        <w:tab/>
        <w:t>(b)</w:t>
      </w:r>
      <w:r>
        <w:rPr>
          <w:snapToGrid w:val="0"/>
        </w:rPr>
        <w:tab/>
        <w:t xml:space="preserve">subject to section 75, notified the worker and the Director that liability is disputed in respect of all or any </w:t>
      </w:r>
      <w:r>
        <w:rPr>
          <w:snapToGrid w:val="0"/>
        </w:rPr>
        <w:lastRenderedPageBreak/>
        <w:t>of the weekly payments claimed and of the reasons why it is disputed,</w:t>
      </w:r>
    </w:p>
    <w:p>
      <w:pPr>
        <w:pStyle w:val="Subsection"/>
        <w:rPr>
          <w:snapToGrid w:val="0"/>
        </w:rPr>
      </w:pPr>
      <w:r>
        <w:rPr>
          <w:snapToGrid w:val="0"/>
        </w:rPr>
        <w:tab/>
      </w:r>
      <w:r>
        <w:rPr>
          <w:snapToGrid w:val="0"/>
        </w:rPr>
        <w:tab/>
        <w:t>the claim by the worker shall be deemed to be disputed.</w:t>
      </w:r>
    </w:p>
    <w:p>
      <w:pPr>
        <w:pStyle w:val="Subsection"/>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rPr>
          <w:snapToGrid w:val="0"/>
        </w:rPr>
      </w:pPr>
      <w:r>
        <w:rPr>
          <w:snapToGrid w:val="0"/>
        </w:rPr>
        <w:tab/>
        <w:t>(6)</w:t>
      </w:r>
      <w:r>
        <w:rPr>
          <w:snapToGrid w:val="0"/>
        </w:rPr>
        <w:tab/>
        <w:t>An employer is not required under subsection (2) or (4) to make any weekly payment unless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lastRenderedPageBreak/>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Subsection"/>
      </w:pPr>
      <w:r>
        <w:tab/>
        <w:t>(8)</w:t>
      </w:r>
      <w:r>
        <w:tab/>
        <w:t>An employer who fails to make a weekly payment by the due date under subsection (2), (4) or (7) commits an offence.</w:t>
      </w:r>
    </w:p>
    <w:p>
      <w:pPr>
        <w:pStyle w:val="Penstart"/>
      </w:pPr>
      <w:r>
        <w:tab/>
        <w:t>Penalty for each weekly payment not made when due: a fine of $2 000.</w:t>
      </w:r>
    </w:p>
    <w:p>
      <w:pPr>
        <w:pStyle w:val="Footnotesection"/>
      </w:pPr>
      <w:r>
        <w:tab/>
        <w:t>[Section 57B inserted: No. 96 of 1990 s. 8; amended: No. 72 of 1992 s. 7; No. 48 of 1993 s. 28(1) and 35; No. 34 of 1999 s. 12; No. 42 of 2004 s. 42, 146, 147, 150 and 154(4); No. 31 of 2011 s. 91.]</w:t>
      </w:r>
    </w:p>
    <w:p>
      <w:pPr>
        <w:pStyle w:val="Heading5"/>
      </w:pPr>
      <w:bookmarkStart w:id="185" w:name="_Toc131514346"/>
      <w:r>
        <w:rPr>
          <w:rStyle w:val="CharSectno"/>
        </w:rPr>
        <w:t>57BA</w:t>
      </w:r>
      <w:r>
        <w:t>.</w:t>
      </w:r>
      <w:r>
        <w:tab/>
        <w:t>Notices under s. 57A and 57B, form and content of</w:t>
      </w:r>
      <w:bookmarkEnd w:id="185"/>
    </w:p>
    <w:p>
      <w:pPr>
        <w:pStyle w:val="Subsection"/>
      </w:pPr>
      <w:r>
        <w:tab/>
        <w:t>(1)</w:t>
      </w:r>
      <w:r>
        <w:tab/>
        <w:t>A notice under section 57A or 57B is to be expressed in plain language.</w:t>
      </w:r>
    </w:p>
    <w:p>
      <w:pPr>
        <w:pStyle w:val="Subsection"/>
      </w:pPr>
      <w:r>
        <w:tab/>
        <w:t>(2)</w:t>
      </w:r>
      <w:r>
        <w:tab/>
        <w:t>The regulations may make provision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A notice under section 57A(3)(b) or 57B(2)(b) is to be in or to the effect of the form prescribed by the regulations and is to contain a statement of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spacing w:before="180"/>
      </w:pPr>
      <w:r>
        <w:lastRenderedPageBreak/>
        <w:tab/>
        <w:t>(4)</w:t>
      </w:r>
      <w:r>
        <w:tab/>
        <w:t>A notice under section 57A(3)(b) or 57B(2)(b) is to also include —</w:t>
      </w:r>
    </w:p>
    <w:p>
      <w:pPr>
        <w:pStyle w:val="Indenta"/>
        <w:spacing w:before="60"/>
      </w:pPr>
      <w:r>
        <w:tab/>
        <w:t>(a)</w:t>
      </w:r>
      <w:r>
        <w:tab/>
        <w:t>a statement to the effect that the worker can apply for resolution of the dispute under this Act; and</w:t>
      </w:r>
    </w:p>
    <w:p>
      <w:pPr>
        <w:pStyle w:val="Indenta"/>
        <w:spacing w:before="60"/>
      </w:pPr>
      <w:r>
        <w:tab/>
        <w:t>(b)</w:t>
      </w:r>
      <w:r>
        <w:tab/>
        <w:t>a statement to the effect that the worker can seek advice or assistance from the worker’s trade union organisation, a legal practitioner or a registered agent; and</w:t>
      </w:r>
    </w:p>
    <w:p>
      <w:pPr>
        <w:pStyle w:val="Indenta"/>
        <w:spacing w:before="60"/>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spacing w:before="110"/>
      </w:pPr>
      <w:r>
        <w:tab/>
        <w:t>(5)</w:t>
      </w:r>
      <w:r>
        <w:tab/>
        <w:t>A statement in a notice under section 57A(3)(b) or 57B(2)(b) is given —</w:t>
      </w:r>
    </w:p>
    <w:p>
      <w:pPr>
        <w:pStyle w:val="Indenta"/>
        <w:spacing w:before="60"/>
      </w:pPr>
      <w:r>
        <w:tab/>
        <w:t>(a)</w:t>
      </w:r>
      <w:r>
        <w:tab/>
        <w:t>in the case of a notice under section 57A(3)(b), subject to the insurer not being prejudiced in any subsequent proceedings relating to the claim by any information included in the statement; and</w:t>
      </w:r>
    </w:p>
    <w:p>
      <w:pPr>
        <w:pStyle w:val="Indenta"/>
        <w:spacing w:before="60"/>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keepNext/>
        <w:keepLines/>
        <w:spacing w:before="110"/>
      </w:pPr>
      <w:r>
        <w:tab/>
        <w:t>(6)</w:t>
      </w:r>
      <w:r>
        <w:tab/>
        <w:t>A notice under section 57A(3)(c) or 57B(2)(c) is to —</w:t>
      </w:r>
    </w:p>
    <w:p>
      <w:pPr>
        <w:pStyle w:val="Indenta"/>
        <w:keepNext/>
        <w:keepLines/>
        <w:spacing w:before="60"/>
      </w:pPr>
      <w:r>
        <w:tab/>
        <w:t>(a)</w:t>
      </w:r>
      <w:r>
        <w:tab/>
        <w:t>be in or to the effect of the form prescribed by the regulations; and</w:t>
      </w:r>
    </w:p>
    <w:p>
      <w:pPr>
        <w:pStyle w:val="Indenta"/>
        <w:spacing w:before="60"/>
      </w:pPr>
      <w:r>
        <w:tab/>
        <w:t>(b)</w:t>
      </w:r>
      <w:r>
        <w:tab/>
        <w:t>include a statement as to the reasons why a decision as to whether or not liability is to be accepted in respect of the weekly payments claimed is not able to be made within the time allowed by section 57A(3) or 57B(2), as the case requires, and —</w:t>
      </w:r>
    </w:p>
    <w:p>
      <w:pPr>
        <w:pStyle w:val="Indenti"/>
        <w:spacing w:before="60"/>
      </w:pPr>
      <w:r>
        <w:tab/>
        <w:t>(i)</w:t>
      </w:r>
      <w:r>
        <w:tab/>
        <w:t xml:space="preserve">if a reason is that the person giving the notice requires further medical information, a statement as to the nature and substance of the medical </w:t>
      </w:r>
      <w:r>
        <w:lastRenderedPageBreak/>
        <w:t>information and whether or not the person giving the notice requires any written authority from the worker for that purpose; and</w:t>
      </w:r>
    </w:p>
    <w:p>
      <w:pPr>
        <w:pStyle w:val="Indenti"/>
        <w:spacing w:before="70"/>
      </w:pPr>
      <w:r>
        <w:tab/>
        <w:t>(ii)</w:t>
      </w:r>
      <w:r>
        <w:tab/>
        <w:t>if a reason is that the person giving the notice requires further information as to the worker’s weekly earnings, a statement as to the nature and substance of the information required; and</w:t>
      </w:r>
    </w:p>
    <w:p>
      <w:pPr>
        <w:pStyle w:val="Indenti"/>
        <w:spacing w:before="70"/>
      </w:pPr>
      <w:r>
        <w:tab/>
        <w:t>(iii)</w:t>
      </w:r>
      <w:r>
        <w:tab/>
        <w:t>any other particulars required by the person giving the notice to make the decision;</w:t>
      </w:r>
    </w:p>
    <w:p>
      <w:pPr>
        <w:pStyle w:val="Indenta"/>
        <w:spacing w:before="70"/>
      </w:pPr>
      <w:r>
        <w:tab/>
      </w:r>
      <w:r>
        <w:tab/>
        <w:t>and</w:t>
      </w:r>
    </w:p>
    <w:p>
      <w:pPr>
        <w:pStyle w:val="Indenta"/>
        <w:spacing w:before="70"/>
      </w:pPr>
      <w:r>
        <w:tab/>
        <w:t>(c)</w:t>
      </w:r>
      <w:r>
        <w:tab/>
        <w:t>include such other information as the regulations may prescribe.</w:t>
      </w:r>
    </w:p>
    <w:p>
      <w:pPr>
        <w:pStyle w:val="Footnotesection"/>
        <w:spacing w:before="100"/>
      </w:pPr>
      <w:r>
        <w:tab/>
        <w:t>[Section 57BA inserted: No. 42 of 2004 s. 43.]</w:t>
      </w:r>
    </w:p>
    <w:p>
      <w:pPr>
        <w:pStyle w:val="Heading5"/>
        <w:rPr>
          <w:snapToGrid w:val="0"/>
        </w:rPr>
      </w:pPr>
      <w:bookmarkStart w:id="186" w:name="_Toc131514347"/>
      <w:r>
        <w:rPr>
          <w:rStyle w:val="CharSectno"/>
        </w:rPr>
        <w:t>57C</w:t>
      </w:r>
      <w:r>
        <w:rPr>
          <w:snapToGrid w:val="0"/>
        </w:rPr>
        <w:t>.</w:t>
      </w:r>
      <w:r>
        <w:rPr>
          <w:snapToGrid w:val="0"/>
        </w:rPr>
        <w:tab/>
        <w:t>Weekly payments, WorkCover WA to be notified about</w:t>
      </w:r>
      <w:bookmarkEnd w:id="186"/>
    </w:p>
    <w:p>
      <w:pPr>
        <w:pStyle w:val="Subsection"/>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lastRenderedPageBreak/>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pPr>
      <w:r>
        <w:tab/>
        <w:t>[Section 57C inserted: No. 96 of 1990 s. 8; amended: No. 42 of 2004 s. 44, 147 and 150.]</w:t>
      </w:r>
    </w:p>
    <w:p>
      <w:pPr>
        <w:pStyle w:val="Heading5"/>
        <w:spacing w:before="260"/>
        <w:rPr>
          <w:snapToGrid w:val="0"/>
        </w:rPr>
      </w:pPr>
      <w:bookmarkStart w:id="187" w:name="_Toc131514348"/>
      <w:r>
        <w:rPr>
          <w:rStyle w:val="CharSectno"/>
        </w:rPr>
        <w:t>57D</w:t>
      </w:r>
      <w:r>
        <w:rPr>
          <w:snapToGrid w:val="0"/>
        </w:rPr>
        <w:t>.</w:t>
      </w:r>
      <w:r>
        <w:rPr>
          <w:snapToGrid w:val="0"/>
        </w:rPr>
        <w:tab/>
        <w:t>Confidentiality of information given under s. 57C</w:t>
      </w:r>
      <w:bookmarkEnd w:id="187"/>
    </w:p>
    <w:p>
      <w:pPr>
        <w:pStyle w:val="Subsection"/>
        <w:rPr>
          <w:snapToGrid w:val="0"/>
        </w:rPr>
      </w:pPr>
      <w:r>
        <w:rPr>
          <w:snapToGrid w:val="0"/>
        </w:rPr>
        <w:tab/>
        <w:t>(1)</w:t>
      </w:r>
      <w:r>
        <w:rPr>
          <w:snapToGrid w:val="0"/>
        </w:rPr>
        <w:tab/>
        <w:t>Subject to subsection (2), a person, except with the express authority of</w:t>
      </w:r>
      <w:r>
        <w:t xml:space="preserve"> WorkCover WA</w:t>
      </w:r>
      <w:r>
        <w:rPr>
          <w:snapToGrid w:val="0"/>
        </w:rPr>
        <w:t>, shall not have access to, inspect, or peruse any information given under section 57C to</w:t>
      </w:r>
      <w:r>
        <w:t xml:space="preserve"> WorkCover WA</w:t>
      </w:r>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An employer may request that information provided under section 57C, whether by him or an insurer, in respect of compensation claimed by a worker from that employer be </w:t>
      </w:r>
      <w:r>
        <w:rPr>
          <w:snapToGrid w:val="0"/>
        </w:rPr>
        <w:lastRenderedPageBreak/>
        <w:t>disclosed to another insurer or prospective insurer, and subsection (1) does not apply to the disclosure of information in accordance with that request.</w:t>
      </w:r>
    </w:p>
    <w:p>
      <w:pPr>
        <w:pStyle w:val="Footnotesection"/>
      </w:pPr>
      <w:r>
        <w:tab/>
        <w:t>[Section 57D inserted: No. 96 of 1990 s. 8; amended: No. 42 of 2004 s. 150.]</w:t>
      </w:r>
    </w:p>
    <w:p>
      <w:pPr>
        <w:pStyle w:val="Heading5"/>
        <w:rPr>
          <w:snapToGrid w:val="0"/>
        </w:rPr>
      </w:pPr>
      <w:bookmarkStart w:id="188" w:name="_Toc131514349"/>
      <w:r>
        <w:rPr>
          <w:rStyle w:val="CharSectno"/>
        </w:rPr>
        <w:t>58</w:t>
      </w:r>
      <w:r>
        <w:rPr>
          <w:snapToGrid w:val="0"/>
        </w:rPr>
        <w:t>.</w:t>
      </w:r>
      <w:r>
        <w:rPr>
          <w:snapToGrid w:val="0"/>
        </w:rPr>
        <w:tab/>
        <w:t>Liability for weekly payments, arbitrator may determine</w:t>
      </w:r>
      <w:bookmarkEnd w:id="188"/>
    </w:p>
    <w:p>
      <w:pPr>
        <w:pStyle w:val="Subsection"/>
        <w:spacing w:before="120"/>
        <w:rPr>
          <w:snapToGrid w:val="0"/>
        </w:rPr>
      </w:pPr>
      <w:r>
        <w:rPr>
          <w:snapToGrid w:val="0"/>
        </w:rPr>
        <w:tab/>
        <w:t>(1)</w:t>
      </w:r>
      <w:r>
        <w:rPr>
          <w:snapToGrid w:val="0"/>
        </w:rPr>
        <w:tab/>
        <w:t>Where, in the circumstances mentioned in section 57A(1) —</w:t>
      </w:r>
    </w:p>
    <w:p>
      <w:pPr>
        <w:pStyle w:val="Indenta"/>
        <w:rPr>
          <w:snapToGrid w:val="0"/>
        </w:rPr>
      </w:pPr>
      <w:r>
        <w:rPr>
          <w:snapToGrid w:val="0"/>
        </w:rPr>
        <w:tab/>
        <w:t>(a)</w:t>
      </w:r>
      <w:r>
        <w:rPr>
          <w:snapToGrid w:val="0"/>
        </w:rPr>
        <w:tab/>
        <w:t xml:space="preserve">a period of </w:t>
      </w:r>
      <w:r>
        <w:t>19 days</w:t>
      </w:r>
      <w:r>
        <w:rPr>
          <w:snapToGrid w:val="0"/>
        </w:rPr>
        <w:t xml:space="preserve">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spacing w:before="12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spacing w:before="120"/>
        <w:rPr>
          <w:snapToGrid w:val="0"/>
        </w:rPr>
      </w:pPr>
      <w:r>
        <w:rPr>
          <w:snapToGrid w:val="0"/>
        </w:rPr>
        <w:tab/>
        <w:t>(2)</w:t>
      </w:r>
      <w:r>
        <w:rPr>
          <w:snapToGrid w:val="0"/>
        </w:rPr>
        <w:tab/>
        <w:t>Where in the circumstances mentioned in section 57B(1)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w:t>
      </w:r>
    </w:p>
    <w:p>
      <w:pPr>
        <w:pStyle w:val="Indenti"/>
        <w:rPr>
          <w:snapToGrid w:val="0"/>
        </w:rPr>
      </w:pPr>
      <w:r>
        <w:rPr>
          <w:snapToGrid w:val="0"/>
        </w:rPr>
        <w:tab/>
        <w:t>(i)</w:t>
      </w:r>
      <w:r>
        <w:rPr>
          <w:snapToGrid w:val="0"/>
        </w:rPr>
        <w:tab/>
        <w:t>under section 57B(2)(b) or 57B(2a)(b), that liability is disputed; or</w:t>
      </w:r>
    </w:p>
    <w:p>
      <w:pPr>
        <w:pStyle w:val="Indenti"/>
        <w:keepNext/>
        <w:rPr>
          <w:snapToGrid w:val="0"/>
        </w:rPr>
      </w:pPr>
      <w:r>
        <w:rPr>
          <w:snapToGrid w:val="0"/>
        </w:rPr>
        <w:lastRenderedPageBreak/>
        <w:tab/>
        <w:t>(ii)</w:t>
      </w:r>
      <w:r>
        <w:rPr>
          <w:snapToGrid w:val="0"/>
        </w:rPr>
        <w:tab/>
        <w:t>under section 57B(2)(c), that a decision as to liability is not able to be made within the time allowed,</w:t>
      </w:r>
    </w:p>
    <w:p>
      <w:pPr>
        <w:pStyle w:val="Subsection"/>
        <w:spacing w:before="10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pPr>
      <w:r>
        <w:tab/>
        <w:t>[(4)</w:t>
      </w:r>
      <w:r>
        <w:tab/>
        <w:t>deleted]</w:t>
      </w:r>
    </w:p>
    <w:p>
      <w:pPr>
        <w:pStyle w:val="Subsection"/>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lastRenderedPageBreak/>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pPr>
      <w:r>
        <w:tab/>
        <w:t>[Section 58 inserted: No. 96 of 1990 s. 9; amended: No. 72 of 1992 s. 8; No. 48 of 1993 s. 28(1); No. 49 of 1996 s. 64; No. 42 of 2004 s. 45 and 150; No. 77 of 2006 Sch. 1 cl. 189(9); No. 31 of 2011 s. 92.]</w:t>
      </w:r>
    </w:p>
    <w:p>
      <w:pPr>
        <w:pStyle w:val="Heading5"/>
        <w:rPr>
          <w:snapToGrid w:val="0"/>
        </w:rPr>
      </w:pPr>
      <w:bookmarkStart w:id="189" w:name="_Toc131514350"/>
      <w:r>
        <w:rPr>
          <w:rStyle w:val="CharSectno"/>
        </w:rPr>
        <w:t>59</w:t>
      </w:r>
      <w:r>
        <w:rPr>
          <w:snapToGrid w:val="0"/>
        </w:rPr>
        <w:t>.</w:t>
      </w:r>
      <w:r>
        <w:rPr>
          <w:snapToGrid w:val="0"/>
        </w:rPr>
        <w:tab/>
        <w:t>Workers who claim compensation to notify employers as to remunerated work</w:t>
      </w:r>
      <w:bookmarkEnd w:id="189"/>
    </w:p>
    <w:p>
      <w:pPr>
        <w:pStyle w:val="Subsection"/>
        <w:rPr>
          <w:snapToGrid w:val="0"/>
        </w:rPr>
      </w:pPr>
      <w:r>
        <w:rPr>
          <w:snapToGrid w:val="0"/>
        </w:rPr>
        <w:tab/>
        <w:t>(1)</w:t>
      </w:r>
      <w:r>
        <w:rPr>
          <w:snapToGrid w:val="0"/>
        </w:rPr>
        <w:tab/>
        <w:t>This section applies to a worker who has claimed or is receiving weekly payments of compensation from an employer (</w:t>
      </w:r>
      <w:r>
        <w:t xml:space="preserve">the </w:t>
      </w:r>
      <w:r>
        <w:rPr>
          <w:rStyle w:val="CharDefText"/>
        </w:rPr>
        <w:t>employer</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w:t>
      </w:r>
    </w:p>
    <w:p>
      <w:pPr>
        <w:pStyle w:val="Indenta"/>
        <w:rPr>
          <w:snapToGrid w:val="0"/>
        </w:rPr>
      </w:pPr>
      <w:r>
        <w:rPr>
          <w:snapToGrid w:val="0"/>
        </w:rPr>
        <w:tab/>
        <w:t>(a)</w:t>
      </w:r>
      <w:r>
        <w:rPr>
          <w:snapToGrid w:val="0"/>
        </w:rPr>
        <w:tab/>
        <w:t>commencing the work; or</w:t>
      </w:r>
    </w:p>
    <w:p>
      <w:pPr>
        <w:pStyle w:val="Indenta"/>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employer or the employer’s insurer is to notify in writing a worker of the worker’s obligations under subsection (2).</w:t>
      </w:r>
    </w:p>
    <w:p>
      <w:pPr>
        <w:pStyle w:val="Subsection"/>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rPr>
          <w:snapToGrid w:val="0"/>
        </w:rPr>
      </w:pPr>
      <w:r>
        <w:rPr>
          <w:snapToGrid w:val="0"/>
        </w:rPr>
        <w:tab/>
        <w:t>(5)</w:t>
      </w:r>
      <w:r>
        <w:rPr>
          <w:snapToGrid w:val="0"/>
        </w:rPr>
        <w:tab/>
        <w:t xml:space="preserve">The employer or the employer’s insurer may, in writing, request a worker to provide the following particulars of remunerated </w:t>
      </w:r>
      <w:r>
        <w:rPr>
          <w:snapToGrid w:val="0"/>
        </w:rPr>
        <w:lastRenderedPageBreak/>
        <w:t>work (other than work with the employer) commenced after the making of the worker’s claim for weekly payments of compensation —</w:t>
      </w:r>
    </w:p>
    <w:p>
      <w:pPr>
        <w:pStyle w:val="Indenta"/>
        <w:rPr>
          <w:snapToGrid w:val="0"/>
        </w:rPr>
      </w:pPr>
      <w:r>
        <w:rPr>
          <w:snapToGrid w:val="0"/>
        </w:rPr>
        <w:tab/>
        <w:t>(a)</w:t>
      </w:r>
      <w:r>
        <w:rPr>
          <w:snapToGrid w:val="0"/>
        </w:rPr>
        <w:tab/>
        <w:t>the date of commencement of the work; and</w:t>
      </w:r>
    </w:p>
    <w:p>
      <w:pPr>
        <w:pStyle w:val="Indenta"/>
        <w:rPr>
          <w:snapToGrid w:val="0"/>
        </w:rPr>
      </w:pPr>
      <w:r>
        <w:rPr>
          <w:snapToGrid w:val="0"/>
        </w:rPr>
        <w:tab/>
        <w:t>(b)</w:t>
      </w:r>
      <w:r>
        <w:rPr>
          <w:snapToGrid w:val="0"/>
        </w:rPr>
        <w:tab/>
        <w:t>the title, classification or description of the work; and</w:t>
      </w:r>
    </w:p>
    <w:p>
      <w:pPr>
        <w:pStyle w:val="Indenta"/>
        <w:rPr>
          <w:snapToGrid w:val="0"/>
        </w:rPr>
      </w:pPr>
      <w:r>
        <w:rPr>
          <w:snapToGrid w:val="0"/>
        </w:rPr>
        <w:tab/>
        <w:t>(c)</w:t>
      </w:r>
      <w:r>
        <w:rPr>
          <w:snapToGrid w:val="0"/>
        </w:rPr>
        <w:tab/>
        <w:t>the remuneration for the work; and</w:t>
      </w:r>
    </w:p>
    <w:p>
      <w:pPr>
        <w:pStyle w:val="Indenta"/>
        <w:rPr>
          <w:snapToGrid w:val="0"/>
        </w:rPr>
      </w:pPr>
      <w:r>
        <w:rPr>
          <w:snapToGrid w:val="0"/>
        </w:rPr>
        <w:tab/>
        <w:t>(d)</w:t>
      </w:r>
      <w:r>
        <w:rPr>
          <w:snapToGrid w:val="0"/>
        </w:rPr>
        <w:tab/>
        <w:t>the name and address of the person (if any) for whom the work is performed.</w:t>
      </w:r>
    </w:p>
    <w:p>
      <w:pPr>
        <w:pStyle w:val="Subsection"/>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rPr>
          <w:snapToGrid w:val="0"/>
        </w:rPr>
      </w:pPr>
      <w:r>
        <w:rPr>
          <w:snapToGrid w:val="0"/>
        </w:rPr>
        <w:tab/>
        <w:t>(9)</w:t>
      </w:r>
      <w:r>
        <w:rPr>
          <w:snapToGrid w:val="0"/>
        </w:rPr>
        <w:tab/>
        <w:t>Subject to sections 57A, 57B and 58, if —</w:t>
      </w:r>
    </w:p>
    <w:p>
      <w:pPr>
        <w:pStyle w:val="Indenta"/>
        <w:rPr>
          <w:snapToGrid w:val="0"/>
        </w:rPr>
      </w:pPr>
      <w:r>
        <w:rPr>
          <w:snapToGrid w:val="0"/>
        </w:rPr>
        <w:tab/>
        <w:t>(a)</w:t>
      </w:r>
      <w:r>
        <w:rPr>
          <w:snapToGrid w:val="0"/>
        </w:rPr>
        <w:tab/>
        <w:t>a worker has claimed but has not received from the employer, weekly payments of compensation;</w:t>
      </w:r>
    </w:p>
    <w:p>
      <w:pPr>
        <w:pStyle w:val="Indenta"/>
        <w:rPr>
          <w:snapToGrid w:val="0"/>
        </w:rPr>
      </w:pPr>
      <w:r>
        <w:rPr>
          <w:snapToGrid w:val="0"/>
        </w:rPr>
        <w:tab/>
        <w:t>(b)</w:t>
      </w:r>
      <w:r>
        <w:rPr>
          <w:snapToGrid w:val="0"/>
        </w:rPr>
        <w:tab/>
        <w:t>the worker provides particulars under subsection (6);</w:t>
      </w:r>
    </w:p>
    <w:p>
      <w:pPr>
        <w:pStyle w:val="Indenta"/>
        <w:keepNext/>
        <w:rPr>
          <w:snapToGrid w:val="0"/>
        </w:rPr>
      </w:pPr>
      <w:r>
        <w:rPr>
          <w:snapToGrid w:val="0"/>
        </w:rPr>
        <w:tab/>
        <w:t>(c)</w:t>
      </w:r>
      <w:r>
        <w:rPr>
          <w:snapToGrid w:val="0"/>
        </w:rPr>
        <w:tab/>
        <w:t>the particulars establish that the worker has commenced remunerated work,</w:t>
      </w:r>
    </w:p>
    <w:p>
      <w:pPr>
        <w:pStyle w:val="Subsection"/>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rPr>
          <w:snapToGrid w:val="0"/>
        </w:rPr>
      </w:pPr>
      <w:r>
        <w:rPr>
          <w:snapToGrid w:val="0"/>
        </w:rPr>
        <w:lastRenderedPageBreak/>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[Section 59 inserted: No. 72 of 1992 s. 9; amended: No. 48 of 1993 s. 28(1); No. 42 of 2004 s. 46.]</w:t>
      </w:r>
    </w:p>
    <w:p>
      <w:pPr>
        <w:pStyle w:val="Heading5"/>
        <w:rPr>
          <w:snapToGrid w:val="0"/>
        </w:rPr>
      </w:pPr>
      <w:bookmarkStart w:id="190" w:name="_Toc131514351"/>
      <w:r>
        <w:rPr>
          <w:rStyle w:val="CharSectno"/>
        </w:rPr>
        <w:t>60</w:t>
      </w:r>
      <w:r>
        <w:rPr>
          <w:snapToGrid w:val="0"/>
        </w:rPr>
        <w:t>.</w:t>
      </w:r>
      <w:r>
        <w:rPr>
          <w:snapToGrid w:val="0"/>
        </w:rPr>
        <w:tab/>
        <w:t>Discontinuing or reducing weekly payments, order as to</w:t>
      </w:r>
      <w:bookmarkEnd w:id="190"/>
    </w:p>
    <w:p>
      <w:pPr>
        <w:pStyle w:val="Subsection"/>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[Section 60 amended: No. 96 of 1990 s. 10; No. 72 of 1992 s. 10; No. 48 of 1993 s. 28(1); No. 42 of 2004 s. 47.]</w:t>
      </w:r>
    </w:p>
    <w:p>
      <w:pPr>
        <w:pStyle w:val="Heading5"/>
        <w:rPr>
          <w:snapToGrid w:val="0"/>
        </w:rPr>
      </w:pPr>
      <w:bookmarkStart w:id="191" w:name="_Toc131514352"/>
      <w:r>
        <w:rPr>
          <w:rStyle w:val="CharSectno"/>
        </w:rPr>
        <w:t>61</w:t>
      </w:r>
      <w:r>
        <w:rPr>
          <w:snapToGrid w:val="0"/>
        </w:rPr>
        <w:t>.</w:t>
      </w:r>
      <w:r>
        <w:rPr>
          <w:snapToGrid w:val="0"/>
        </w:rPr>
        <w:tab/>
        <w:t>Discontinuing or reducing weekly payments without order</w:t>
      </w:r>
      <w:bookmarkEnd w:id="191"/>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w:t>
      </w:r>
      <w:r>
        <w:rPr>
          <w:snapToGrid w:val="0"/>
        </w:rPr>
        <w:lastRenderedPageBreak/>
        <w:t>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w:t>
      </w:r>
    </w:p>
    <w:p>
      <w:pPr>
        <w:pStyle w:val="Indenta"/>
        <w:spacing w:before="60"/>
        <w:rPr>
          <w:snapToGrid w:val="0"/>
        </w:rPr>
      </w:pPr>
      <w:r>
        <w:rPr>
          <w:snapToGrid w:val="0"/>
        </w:rPr>
        <w:tab/>
        <w:t>(a)</w:t>
      </w:r>
      <w:r>
        <w:rPr>
          <w:snapToGrid w:val="0"/>
        </w:rPr>
        <w:tab/>
        <w:t>informing the worker of the effect of failing to make an application under subsection (3) within the time referred to therein; and</w:t>
      </w:r>
    </w:p>
    <w:p>
      <w:pPr>
        <w:pStyle w:val="Indenta"/>
        <w:spacing w:before="60"/>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keepNext/>
        <w:spacing w:before="60"/>
        <w:rPr>
          <w:snapToGrid w:val="0"/>
        </w:rPr>
      </w:pPr>
      <w:r>
        <w:rPr>
          <w:snapToGrid w:val="0"/>
        </w:rPr>
        <w:tab/>
        <w:t>(c)</w:t>
      </w:r>
      <w:r>
        <w:rPr>
          <w:snapToGrid w:val="0"/>
        </w:rPr>
        <w:tab/>
        <w:t>containing such other information as may be prescribed.</w:t>
      </w:r>
    </w:p>
    <w:p>
      <w:pPr>
        <w:pStyle w:val="Subsection"/>
        <w:keepNext/>
      </w:pPr>
      <w:r>
        <w:tab/>
        <w:t>(2a)</w:t>
      </w:r>
      <w:r>
        <w:tab/>
        <w:t>If a person is required to give notice under subsection (1) and —</w:t>
      </w:r>
    </w:p>
    <w:p>
      <w:pPr>
        <w:pStyle w:val="Indenta"/>
        <w:spacing w:before="60"/>
      </w:pPr>
      <w:r>
        <w:tab/>
        <w:t>(a)</w:t>
      </w:r>
      <w:r>
        <w:tab/>
        <w:t>fails to give the notice within the period referred to in that subsection; or</w:t>
      </w:r>
    </w:p>
    <w:p>
      <w:pPr>
        <w:pStyle w:val="Indenta"/>
        <w:spacing w:before="60"/>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w:t>
      </w:r>
    </w:p>
    <w:p>
      <w:pPr>
        <w:pStyle w:val="Indenta"/>
        <w:spacing w:before="60"/>
        <w:rPr>
          <w:snapToGrid w:val="0"/>
        </w:rPr>
      </w:pPr>
      <w:r>
        <w:rPr>
          <w:snapToGrid w:val="0"/>
        </w:rPr>
        <w:tab/>
        <w:t>(a)</w:t>
      </w:r>
      <w:r>
        <w:rPr>
          <w:snapToGrid w:val="0"/>
        </w:rPr>
        <w:tab/>
        <w:t xml:space="preserve">adjourn the application on such terms as </w:t>
      </w:r>
      <w:r>
        <w:t>the arbitrator</w:t>
      </w:r>
      <w:r>
        <w:rPr>
          <w:snapToGrid w:val="0"/>
        </w:rPr>
        <w:t xml:space="preserve"> thinks fit; or</w:t>
      </w:r>
    </w:p>
    <w:p>
      <w:pPr>
        <w:pStyle w:val="Indenta"/>
        <w:rPr>
          <w:snapToGrid w:val="0"/>
        </w:rPr>
      </w:pPr>
      <w:r>
        <w:rPr>
          <w:snapToGrid w:val="0"/>
        </w:rPr>
        <w:lastRenderedPageBreak/>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w:t>
      </w:r>
    </w:p>
    <w:p>
      <w:pPr>
        <w:pStyle w:val="Indenta"/>
        <w:keepNext/>
      </w:pPr>
      <w:r>
        <w:tab/>
        <w:t>(a)</w:t>
      </w:r>
      <w:r>
        <w:tab/>
        <w:t>may, where the case requires, take into account whether —</w:t>
      </w:r>
    </w:p>
    <w:p>
      <w:pPr>
        <w:pStyle w:val="Indenti"/>
      </w:pPr>
      <w:r>
        <w:tab/>
        <w:t>(i)</w:t>
      </w:r>
      <w:r>
        <w:tab/>
        <w:t>a return to work program has been established for the worker under section 155C(1); and</w:t>
      </w:r>
    </w:p>
    <w:p>
      <w:pPr>
        <w:pStyle w:val="Indenti"/>
      </w:pPr>
      <w:r>
        <w:tab/>
        <w:t>(ii)</w:t>
      </w:r>
      <w:r>
        <w:tab/>
        <w:t>the establishment, content and implementation of the return to work program are in accordance with the code as defined in section 155; and</w:t>
      </w:r>
    </w:p>
    <w:p>
      <w:pPr>
        <w:pStyle w:val="Indenti"/>
      </w:pPr>
      <w:r>
        <w:tab/>
        <w:t>(iii)</w:t>
      </w:r>
      <w:r>
        <w:tab/>
        <w:t>the worker has participated in the return to work program,</w:t>
      </w:r>
    </w:p>
    <w:p>
      <w:pPr>
        <w:pStyle w:val="Indenta"/>
      </w:pPr>
      <w:r>
        <w:tab/>
      </w:r>
      <w:r>
        <w:tab/>
        <w:t>and for the purposes of determining the application accordingly treat the worker’s incapacity as being of such degree as the arbitrator sees fit; and</w:t>
      </w:r>
    </w:p>
    <w:p>
      <w:pPr>
        <w:pStyle w:val="Indenta"/>
      </w:pPr>
      <w:r>
        <w:tab/>
        <w:t>(b)</w:t>
      </w:r>
      <w: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rPr>
          <w:snapToGrid w:val="0"/>
        </w:rPr>
      </w:pPr>
      <w:r>
        <w:rPr>
          <w:snapToGrid w:val="0"/>
        </w:rPr>
        <w:lastRenderedPageBreak/>
        <w:tab/>
        <w:t>(7)</w:t>
      </w:r>
      <w:r>
        <w:rPr>
          <w:snapToGrid w:val="0"/>
        </w:rPr>
        <w:tab/>
        <w:t>Subsections (1) and (2) do not apply to a discontinuance of payments —</w:t>
      </w:r>
    </w:p>
    <w:p>
      <w:pPr>
        <w:pStyle w:val="Indenta"/>
        <w:spacing w:before="70"/>
        <w:rPr>
          <w:snapToGrid w:val="0"/>
        </w:rPr>
      </w:pPr>
      <w:r>
        <w:rPr>
          <w:snapToGrid w:val="0"/>
        </w:rPr>
        <w:tab/>
        <w:t>(a)</w:t>
      </w:r>
      <w:r>
        <w:rPr>
          <w:snapToGrid w:val="0"/>
        </w:rPr>
        <w:tab/>
        <w:t>on payment in full of the prescribed amount; or</w:t>
      </w:r>
    </w:p>
    <w:p>
      <w:pPr>
        <w:pStyle w:val="Indenta"/>
        <w:spacing w:before="70"/>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spacing w:before="70"/>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spacing w:before="70"/>
        <w:rPr>
          <w:snapToGrid w:val="0"/>
        </w:rPr>
      </w:pPr>
      <w:r>
        <w:rPr>
          <w:snapToGrid w:val="0"/>
        </w:rPr>
        <w:tab/>
        <w:t>(c)</w:t>
      </w:r>
      <w:r>
        <w:rPr>
          <w:snapToGrid w:val="0"/>
        </w:rPr>
        <w:tab/>
        <w:t>on suspension of payments in accordance with section 72, or 145D; or</w:t>
      </w:r>
    </w:p>
    <w:p>
      <w:pPr>
        <w:pStyle w:val="Indenta"/>
        <w:spacing w:before="70"/>
        <w:rPr>
          <w:snapToGrid w:val="0"/>
        </w:rPr>
      </w:pPr>
      <w:r>
        <w:rPr>
          <w:snapToGrid w:val="0"/>
        </w:rPr>
        <w:tab/>
        <w:t>(d)</w:t>
      </w:r>
      <w:r>
        <w:rPr>
          <w:snapToGrid w:val="0"/>
        </w:rPr>
        <w:tab/>
        <w:t>on failure to comply with section 69 by a worker who does not reside in the State.</w:t>
      </w:r>
    </w:p>
    <w:p>
      <w:pPr>
        <w:pStyle w:val="Subsection"/>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spacing w:before="100"/>
      </w:pPr>
      <w:r>
        <w:tab/>
        <w:t>[Section 61 amended: No. 44 of 1985 s. 20; No. 96 of 1990 s. 11; No. 72 of 1992 s. 11 and 12; No. 48 of 1993 s. 28(1); No. 34 of 1999 s. 13 and 32(2); No. 42 of 2004 s. 48, 147 and 150.]</w:t>
      </w:r>
    </w:p>
    <w:p>
      <w:pPr>
        <w:pStyle w:val="Heading5"/>
        <w:keepNext w:val="0"/>
        <w:keepLines w:val="0"/>
        <w:rPr>
          <w:snapToGrid w:val="0"/>
        </w:rPr>
      </w:pPr>
      <w:bookmarkStart w:id="192" w:name="_Toc131514353"/>
      <w:r>
        <w:rPr>
          <w:rStyle w:val="CharSectno"/>
        </w:rPr>
        <w:t>62</w:t>
      </w:r>
      <w:r>
        <w:rPr>
          <w:snapToGrid w:val="0"/>
        </w:rPr>
        <w:t>.</w:t>
      </w:r>
      <w:r>
        <w:rPr>
          <w:snapToGrid w:val="0"/>
        </w:rPr>
        <w:tab/>
        <w:t>Reviewing and discontinuing, suspending or changing weekly payments</w:t>
      </w:r>
      <w:bookmarkEnd w:id="192"/>
    </w:p>
    <w:p>
      <w:pPr>
        <w:pStyle w:val="Subsection"/>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spacing w:before="100"/>
      </w:pPr>
      <w:r>
        <w:tab/>
        <w:t>[Section 62 amended: No. 96 of 1990 s. 12; No. 72 of 1992 s. 13; No. 48 of 1993 s. 28(1); No. 42 of 2004 s. 49.]</w:t>
      </w:r>
    </w:p>
    <w:p>
      <w:pPr>
        <w:pStyle w:val="Heading5"/>
        <w:rPr>
          <w:snapToGrid w:val="0"/>
        </w:rPr>
      </w:pPr>
      <w:bookmarkStart w:id="193" w:name="_Toc131514354"/>
      <w:r>
        <w:rPr>
          <w:rStyle w:val="CharSectno"/>
        </w:rPr>
        <w:lastRenderedPageBreak/>
        <w:t>63</w:t>
      </w:r>
      <w:r>
        <w:rPr>
          <w:snapToGrid w:val="0"/>
        </w:rPr>
        <w:t>.</w:t>
      </w:r>
      <w:r>
        <w:rPr>
          <w:snapToGrid w:val="0"/>
        </w:rPr>
        <w:tab/>
        <w:t>No compensation if right to compensation suspended</w:t>
      </w:r>
      <w:bookmarkEnd w:id="193"/>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[Section 63 amended: No. 48 of 1993 s. 28(1); No. 42 of 2004 s. 50.]</w:t>
      </w:r>
    </w:p>
    <w:p>
      <w:pPr>
        <w:pStyle w:val="Heading5"/>
        <w:rPr>
          <w:snapToGrid w:val="0"/>
        </w:rPr>
      </w:pPr>
      <w:bookmarkStart w:id="194" w:name="_Toc131514355"/>
      <w:r>
        <w:rPr>
          <w:rStyle w:val="CharSectno"/>
        </w:rPr>
        <w:t>64</w:t>
      </w:r>
      <w:r>
        <w:rPr>
          <w:snapToGrid w:val="0"/>
        </w:rPr>
        <w:t>.</w:t>
      </w:r>
      <w:r>
        <w:rPr>
          <w:snapToGrid w:val="0"/>
        </w:rPr>
        <w:tab/>
        <w:t>Medical examination, worker claiming injury may be required to attend</w:t>
      </w:r>
      <w:bookmarkEnd w:id="194"/>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Subsection (1) does not apply in relation to an election made by the worker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pPr>
      <w:r>
        <w:tab/>
        <w:t>(3)</w:t>
      </w:r>
      <w:r>
        <w:tab/>
        <w:t>A reference in subsection (1) to the employer is, where the employer is insured against liability to pay compensation under this Act, a reference to the employer’s insurer.</w:t>
      </w:r>
    </w:p>
    <w:p>
      <w:pPr>
        <w:pStyle w:val="Footnotesection"/>
      </w:pPr>
      <w:r>
        <w:tab/>
        <w:t>[Section 64 amended: No. 48 of 1993 s. 28(1); No. 42 of 2004 s. 51 and 146.]</w:t>
      </w:r>
    </w:p>
    <w:p>
      <w:pPr>
        <w:pStyle w:val="Heading5"/>
        <w:rPr>
          <w:snapToGrid w:val="0"/>
        </w:rPr>
      </w:pPr>
      <w:bookmarkStart w:id="195" w:name="_Toc131514356"/>
      <w:r>
        <w:rPr>
          <w:rStyle w:val="CharSectno"/>
        </w:rPr>
        <w:t>65</w:t>
      </w:r>
      <w:r>
        <w:rPr>
          <w:snapToGrid w:val="0"/>
        </w:rPr>
        <w:t>.</w:t>
      </w:r>
      <w:r>
        <w:rPr>
          <w:snapToGrid w:val="0"/>
        </w:rPr>
        <w:tab/>
        <w:t>Periodical medical examination, workers on weekly payments may be required to attend</w:t>
      </w:r>
      <w:bookmarkEnd w:id="195"/>
    </w:p>
    <w:p>
      <w:pPr>
        <w:pStyle w:val="Subsection"/>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xml:space="preserve">, from time to time submit himself for </w:t>
      </w:r>
      <w:r>
        <w:rPr>
          <w:snapToGrid w:val="0"/>
        </w:rPr>
        <w:lastRenderedPageBreak/>
        <w:t>examination by a medical practitioner provided and paid by the employer</w:t>
      </w:r>
      <w:r>
        <w:t xml:space="preserve"> or insurer, as the case may be</w:t>
      </w:r>
      <w:r>
        <w:rPr>
          <w:snapToGrid w:val="0"/>
        </w:rPr>
        <w:t>.</w:t>
      </w:r>
    </w:p>
    <w:p>
      <w:pPr>
        <w:pStyle w:val="Footnotesection"/>
      </w:pPr>
      <w:r>
        <w:tab/>
        <w:t>[Section 65 amended: No. 42 of 2004 s. 52.]</w:t>
      </w:r>
    </w:p>
    <w:p>
      <w:pPr>
        <w:pStyle w:val="Heading5"/>
        <w:rPr>
          <w:snapToGrid w:val="0"/>
        </w:rPr>
      </w:pPr>
      <w:bookmarkStart w:id="196" w:name="_Toc131514357"/>
      <w:r>
        <w:rPr>
          <w:rStyle w:val="CharSectno"/>
        </w:rPr>
        <w:t>66</w:t>
      </w:r>
      <w:r>
        <w:rPr>
          <w:snapToGrid w:val="0"/>
        </w:rPr>
        <w:t>.</w:t>
      </w:r>
      <w:r>
        <w:rPr>
          <w:snapToGrid w:val="0"/>
        </w:rPr>
        <w:tab/>
        <w:t>Regulations as to medical examinations</w:t>
      </w:r>
      <w:bookmarkEnd w:id="196"/>
    </w:p>
    <w:p>
      <w:pPr>
        <w:pStyle w:val="Subsection"/>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pPr>
      <w:r>
        <w:tab/>
        <w:t>[Section 66 amended: No. 42 of 2004 s. 53.]</w:t>
      </w:r>
    </w:p>
    <w:p>
      <w:pPr>
        <w:pStyle w:val="Heading5"/>
      </w:pPr>
      <w:bookmarkStart w:id="197" w:name="_Toc131514358"/>
      <w:r>
        <w:rPr>
          <w:rStyle w:val="CharSectno"/>
        </w:rPr>
        <w:t>66A</w:t>
      </w:r>
      <w:r>
        <w:t>.</w:t>
      </w:r>
      <w:r>
        <w:tab/>
        <w:t>Additional medical examinations</w:t>
      </w:r>
      <w:bookmarkEnd w:id="197"/>
    </w:p>
    <w:p>
      <w:pPr>
        <w:pStyle w:val="Subsection"/>
      </w:pPr>
      <w:r>
        <w:tab/>
        <w:t>(1)</w:t>
      </w:r>
      <w:r>
        <w:tab/>
        <w:t>In this section —</w:t>
      </w:r>
    </w:p>
    <w:p>
      <w:pPr>
        <w:pStyle w:val="Defstart"/>
      </w:pPr>
      <w:r>
        <w:rPr>
          <w:b/>
        </w:rPr>
        <w:tab/>
      </w:r>
      <w:r>
        <w:rPr>
          <w:rStyle w:val="CharDefText"/>
        </w:rPr>
        <w:t>additional medical examination</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examination required under subsection (2) is to be carried out by a medical practitioner registered under section 145B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lastRenderedPageBreak/>
        <w:tab/>
        <w:t>(6)</w:t>
      </w:r>
      <w:r>
        <w:tab/>
        <w:t>A reference in subsection (3) or (4) to the employer is, where the employer is insured against liability to pay compensation under this Act, a reference to the employer’s insurer.</w:t>
      </w:r>
    </w:p>
    <w:p>
      <w:pPr>
        <w:pStyle w:val="Footnotesection"/>
      </w:pPr>
      <w:r>
        <w:tab/>
        <w:t>[Section 66A inserted: No. 42 of 2004 s. 54.]</w:t>
      </w:r>
    </w:p>
    <w:p>
      <w:pPr>
        <w:pStyle w:val="Heading5"/>
        <w:rPr>
          <w:snapToGrid w:val="0"/>
        </w:rPr>
      </w:pPr>
      <w:bookmarkStart w:id="198" w:name="_Toc131514359"/>
      <w:r>
        <w:rPr>
          <w:rStyle w:val="CharSectno"/>
        </w:rPr>
        <w:t>67</w:t>
      </w:r>
      <w:r>
        <w:rPr>
          <w:snapToGrid w:val="0"/>
        </w:rPr>
        <w:t>.</w:t>
      </w:r>
      <w:r>
        <w:rPr>
          <w:snapToGrid w:val="0"/>
        </w:rPr>
        <w:tab/>
        <w:t>Lump sum in redemption of weekly payments</w:t>
      </w:r>
      <w:bookmarkEnd w:id="198"/>
    </w:p>
    <w:p>
      <w:pPr>
        <w:pStyle w:val="Subsection"/>
      </w:pPr>
      <w:r>
        <w:tab/>
        <w:t>(1)</w:t>
      </w:r>
      <w:r>
        <w:tab/>
        <w:t>Where weekly payments for a permanent total or permanent partial incapacity resulting from an injury other than mesothelioma have continued for not less than 6 months, the liability for the incapacity is to be redeemed by the payment of a lump sum if —</w:t>
      </w:r>
    </w:p>
    <w:p>
      <w:pPr>
        <w:pStyle w:val="Indenta"/>
      </w:pPr>
      <w:r>
        <w:tab/>
        <w:t>(a)</w:t>
      </w:r>
      <w:r>
        <w:tab/>
        <w:t>with the consent of the worker and the employer, an order is made under Part XI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pPr>
      <w:r>
        <w:lastRenderedPageBreak/>
        <w:tab/>
        <w:t>(5)</w:t>
      </w:r>
      <w:r>
        <w:tab/>
        <w:t xml:space="preserve">Where an order is made under subsection (1)(a) or (4), or an agreement is made under subsection (1)(b) and registered under Division 7, for the redemption of a liability for incapacity, from — </w:t>
      </w:r>
    </w:p>
    <w:p>
      <w:pPr>
        <w:pStyle w:val="Indenta"/>
        <w:spacing w:before="100"/>
      </w:pPr>
      <w:r>
        <w:tab/>
        <w:t>(a)</w:t>
      </w:r>
      <w:r>
        <w:tab/>
        <w:t>the date specified in the order or agreement as the date on which weekly payments of compensation are to cease; or</w:t>
      </w:r>
    </w:p>
    <w:p>
      <w:pPr>
        <w:pStyle w:val="Indenta"/>
        <w:spacing w:before="100"/>
      </w:pPr>
      <w:r>
        <w:tab/>
        <w:t>(b)</w:t>
      </w:r>
      <w:r>
        <w:tab/>
        <w:t>if no such date is specified, the date of the order or the date of registration of the agreement, as the case may be,</w:t>
      </w:r>
    </w:p>
    <w:p>
      <w:pPr>
        <w:pStyle w:val="Subsection"/>
        <w:spacing w:before="180"/>
      </w:pPr>
      <w:r>
        <w:tab/>
      </w:r>
      <w:r>
        <w:tab/>
        <w:t>the worker is not entitled to further weekly payments of compensation for incapacity, and clauses 9, 10, 17, 18, 18A and 19 cease to apply to the worker.</w:t>
      </w:r>
    </w:p>
    <w:p>
      <w:pPr>
        <w:pStyle w:val="Subsection"/>
        <w:spacing w:before="180"/>
      </w:pPr>
      <w:r>
        <w:tab/>
        <w:t>(6)</w:t>
      </w:r>
      <w:r>
        <w:tab/>
        <w:t>The regulations may make provision as to details that are to be specified in a consent order, or an agreement registered under Division 7, for payment of a lump sum.</w:t>
      </w:r>
    </w:p>
    <w:p>
      <w:pPr>
        <w:pStyle w:val="Subsection"/>
        <w:spacing w:before="180"/>
      </w:pPr>
      <w:r>
        <w:tab/>
        <w:t>(7)</w:t>
      </w:r>
      <w:r>
        <w:tab/>
        <w:t>Where an order is made under subsection (1)(a) or (4), or an agreement is made under subsection (1)(b) and registered under Division 7, for the redemption of a liability for incapacity the employer must pay or cause to be paid the lump sum within 14 days after the date referred to in subsection (5).</w:t>
      </w:r>
    </w:p>
    <w:p>
      <w:pPr>
        <w:pStyle w:val="Penstart"/>
      </w:pPr>
      <w:r>
        <w:tab/>
        <w:t>Penalty: a fine of $2 000.</w:t>
      </w:r>
    </w:p>
    <w:p>
      <w:pPr>
        <w:pStyle w:val="Footnotesection"/>
        <w:spacing w:before="140"/>
        <w:ind w:left="890" w:hanging="890"/>
      </w:pPr>
      <w:r>
        <w:tab/>
        <w:t>[Section 67 amended: No. 44 of 1985 s. 21; No. 48 of 1993 s. 36; No. 33 of 1999 s. 4; No. 34 of 1999 s. 14; No. 42 of 2004 s. 55, 146 and 147; No. 31 of 2011 s. 26 and 93.]</w:t>
      </w:r>
    </w:p>
    <w:p>
      <w:pPr>
        <w:pStyle w:val="Heading5"/>
        <w:tabs>
          <w:tab w:val="left" w:pos="4200"/>
        </w:tabs>
        <w:spacing w:before="260"/>
        <w:rPr>
          <w:snapToGrid w:val="0"/>
        </w:rPr>
      </w:pPr>
      <w:bookmarkStart w:id="199" w:name="_Toc131514360"/>
      <w:r>
        <w:rPr>
          <w:rStyle w:val="CharSectno"/>
        </w:rPr>
        <w:t>68</w:t>
      </w:r>
      <w:r>
        <w:rPr>
          <w:snapToGrid w:val="0"/>
        </w:rPr>
        <w:t>.</w:t>
      </w:r>
      <w:r>
        <w:rPr>
          <w:snapToGrid w:val="0"/>
        </w:rPr>
        <w:tab/>
        <w:t>Calculation of lump sum for s. 67(4)</w:t>
      </w:r>
      <w:bookmarkEnd w:id="199"/>
    </w:p>
    <w:p>
      <w:pPr>
        <w:pStyle w:val="Ednotesubsection"/>
        <w:spacing w:before="180"/>
      </w:pPr>
      <w:r>
        <w:t>[(1)</w:t>
      </w:r>
      <w:r>
        <w:noBreakHyphen/>
        <w:t>(2)</w:t>
      </w:r>
      <w:r>
        <w:tab/>
        <w:t>deleted]</w:t>
      </w:r>
    </w:p>
    <w:p>
      <w:pPr>
        <w:pStyle w:val="Subsection"/>
        <w:spacing w:before="180"/>
        <w:rPr>
          <w:snapToGrid w:val="0"/>
        </w:rPr>
      </w:pPr>
      <w:r>
        <w:rPr>
          <w:snapToGrid w:val="0"/>
        </w:rPr>
        <w:tab/>
        <w:t>(3)</w:t>
      </w:r>
      <w:r>
        <w:rPr>
          <w:snapToGrid w:val="0"/>
        </w:rPr>
        <w:tab/>
        <w:t xml:space="preserve">Where the liability for an incapacity is to be redeemed under section 67(4), the lump sum shall be calculated by taking the amount that is equal to the prescribed amount less weekly payments, if any, made and discounting the amount so taken in </w:t>
      </w:r>
      <w:r>
        <w:rPr>
          <w:snapToGrid w:val="0"/>
        </w:rPr>
        <w:lastRenderedPageBreak/>
        <w:t>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t xml:space="preserve">a </w:t>
      </w:r>
      <w:r>
        <w:rPr>
          <w:rStyle w:val="CharDefText"/>
        </w:rPr>
        <w:t>compound discount table</w:t>
      </w:r>
      <w:r>
        <w:rPr>
          <w:snapToGrid w:val="0"/>
        </w:rPr>
        <w:t xml:space="preserve"> shall be construed as including a reference to any formula or formulae prescribed for use in conjunction with such a compound discount table.</w:t>
      </w:r>
    </w:p>
    <w:p>
      <w:pPr>
        <w:pStyle w:val="Footnotesection"/>
      </w:pPr>
      <w:r>
        <w:tab/>
        <w:t>[Section 68 amended: No. 44 of 1985 s. 22; No. 48 of 1993 s. 37; No. 33 of 1999 s. 5; No. 34 of 1999 s. 15.]</w:t>
      </w:r>
    </w:p>
    <w:p>
      <w:pPr>
        <w:pStyle w:val="Heading5"/>
        <w:rPr>
          <w:snapToGrid w:val="0"/>
        </w:rPr>
      </w:pPr>
      <w:bookmarkStart w:id="200" w:name="_Toc131514361"/>
      <w:r>
        <w:rPr>
          <w:rStyle w:val="CharSectno"/>
        </w:rPr>
        <w:t>69</w:t>
      </w:r>
      <w:r>
        <w:rPr>
          <w:snapToGrid w:val="0"/>
        </w:rPr>
        <w:t>.</w:t>
      </w:r>
      <w:r>
        <w:rPr>
          <w:snapToGrid w:val="0"/>
        </w:rPr>
        <w:tab/>
        <w:t>Worker not residing in WA, continuance of weekly payments to</w:t>
      </w:r>
      <w:bookmarkEnd w:id="200"/>
    </w:p>
    <w:p>
      <w:pPr>
        <w:pStyle w:val="Subsection"/>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pPr>
      <w:bookmarkStart w:id="201" w:name="_Toc131514362"/>
      <w:r>
        <w:rPr>
          <w:rStyle w:val="CharSectno"/>
        </w:rPr>
        <w:t>70</w:t>
      </w:r>
      <w:r>
        <w:t>.</w:t>
      </w:r>
      <w:r>
        <w:tab/>
        <w:t>Medical reports, provision of to worker or employer</w:t>
      </w:r>
      <w:bookmarkEnd w:id="201"/>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spacing w:before="180"/>
        <w:rPr>
          <w:snapToGrid w:val="0"/>
        </w:rPr>
      </w:pPr>
      <w:r>
        <w:lastRenderedPageBreak/>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spacing w:before="180"/>
      </w:pPr>
      <w:r>
        <w:tab/>
        <w:t>(5)</w:t>
      </w:r>
      <w:r>
        <w:tab/>
        <w:t>The reference in subsection (4) to the employer is, where the employer is insured against liability to pay compensation under this Act, a reference to the employer’s insurer.</w:t>
      </w:r>
    </w:p>
    <w:p>
      <w:pPr>
        <w:pStyle w:val="Footnotesection"/>
        <w:spacing w:before="140"/>
      </w:pPr>
      <w:r>
        <w:tab/>
        <w:t>[Section 70 inserted: No. 42 of 2004 s. 56.]</w:t>
      </w:r>
    </w:p>
    <w:p>
      <w:pPr>
        <w:pStyle w:val="Heading5"/>
        <w:spacing w:before="260"/>
        <w:rPr>
          <w:snapToGrid w:val="0"/>
        </w:rPr>
      </w:pPr>
      <w:bookmarkStart w:id="202" w:name="_Toc131514363"/>
      <w:r>
        <w:rPr>
          <w:rStyle w:val="CharSectno"/>
        </w:rPr>
        <w:t>71</w:t>
      </w:r>
      <w:r>
        <w:rPr>
          <w:snapToGrid w:val="0"/>
        </w:rPr>
        <w:t>.</w:t>
      </w:r>
      <w:r>
        <w:rPr>
          <w:snapToGrid w:val="0"/>
        </w:rPr>
        <w:tab/>
        <w:t>Payments to unentitled person, recovery of</w:t>
      </w:r>
      <w:bookmarkEnd w:id="202"/>
      <w:r>
        <w:rPr>
          <w:snapToGrid w:val="0"/>
        </w:rPr>
        <w:t xml:space="preserve"> </w:t>
      </w:r>
    </w:p>
    <w:p>
      <w:pPr>
        <w:pStyle w:val="Subsection"/>
        <w:spacing w:before="180"/>
        <w:rPr>
          <w:snapToGrid w:val="0"/>
        </w:rPr>
      </w:pPr>
      <w:r>
        <w:rPr>
          <w:snapToGrid w:val="0"/>
        </w:rPr>
        <w:tab/>
      </w:r>
      <w:r>
        <w:t>(1)</w:t>
      </w:r>
      <w:r>
        <w:tab/>
        <w:t>Where</w:t>
      </w:r>
      <w:r>
        <w:rPr>
          <w:snapToGrid w:val="0"/>
        </w:rPr>
        <w:t xml:space="preserv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w:t>
      </w:r>
      <w:r>
        <w:t>and, subject to subsection (3), to make</w:t>
      </w:r>
      <w:r>
        <w:rPr>
          <w:snapToGrid w:val="0"/>
        </w:rPr>
        <w:t xml:space="preserve"> any order in relation thereto or any part thereof as </w:t>
      </w:r>
      <w:r>
        <w:t>the arbitrator</w:t>
      </w:r>
      <w:r>
        <w:rPr>
          <w:snapToGrid w:val="0"/>
        </w:rPr>
        <w:t xml:space="preserve"> considers appropriate in the circumstances.</w:t>
      </w:r>
    </w:p>
    <w:p>
      <w:pPr>
        <w:pStyle w:val="Subsection"/>
        <w:spacing w:before="180"/>
      </w:pPr>
      <w:r>
        <w:tab/>
        <w:t>(2)</w:t>
      </w:r>
      <w:r>
        <w:tab/>
        <w:t>Without limiting the orders that may be made under subsection (1), the arbitrator may, instead of making an order for a refund, order any person who the arbitrator determines was liable for the whole or any part of the compensation or expenses to reimburse the person who paid the compensation or expenses.</w:t>
      </w:r>
    </w:p>
    <w:p>
      <w:pPr>
        <w:pStyle w:val="Subsection"/>
        <w:spacing w:before="180"/>
      </w:pPr>
      <w:r>
        <w:tab/>
        <w:t>(3)</w:t>
      </w:r>
      <w:r>
        <w:tab/>
        <w:t>If the payment of compensation or expenses was in accordance with an order of an arbitrator, the arbitrator hearing and determining an application under subsection (1) may make an order for a refund only if satisfied that the claim for the payment was fraudulent or made without proper justification.</w:t>
      </w:r>
    </w:p>
    <w:p>
      <w:pPr>
        <w:pStyle w:val="Subsection"/>
        <w:keepNext/>
      </w:pPr>
      <w:r>
        <w:lastRenderedPageBreak/>
        <w:tab/>
        <w:t>(4)</w:t>
      </w:r>
      <w:r>
        <w:tab/>
        <w:t xml:space="preserve">If — </w:t>
      </w:r>
    </w:p>
    <w:p>
      <w:pPr>
        <w:pStyle w:val="Indenta"/>
      </w:pPr>
      <w:r>
        <w:tab/>
        <w:t>(a)</w:t>
      </w:r>
      <w:r>
        <w:tab/>
        <w:t>the arbitrator makes or, apart from subsection (3), would have made an order for a refund of an amount of compensation or expenses; or</w:t>
      </w:r>
    </w:p>
    <w:p>
      <w:pPr>
        <w:pStyle w:val="Indenta"/>
      </w:pPr>
      <w:r>
        <w:tab/>
        <w:t>(b)</w:t>
      </w:r>
      <w:r>
        <w:tab/>
        <w:t>makes an order under subsection (2) in relation to such an amount,</w:t>
      </w:r>
    </w:p>
    <w:p>
      <w:pPr>
        <w:pStyle w:val="Subsection"/>
      </w:pPr>
      <w:r>
        <w:tab/>
      </w:r>
      <w:r>
        <w:tab/>
        <w:t>the amount is to be excluded from any determinations of the claims experience of the employer for the purposes of calculating the premium payable by the employer for a policy of insurance.</w:t>
      </w:r>
    </w:p>
    <w:p>
      <w:pPr>
        <w:pStyle w:val="Footnotesection"/>
      </w:pPr>
      <w:r>
        <w:tab/>
        <w:t>[Section 71 amended: No. 48 of 1993 s. 28(1); No. 42 of 2004 s. 57; No. 31 of 2011 s. 94.]</w:t>
      </w:r>
    </w:p>
    <w:p>
      <w:pPr>
        <w:pStyle w:val="Heading5"/>
        <w:spacing w:before="180"/>
      </w:pPr>
      <w:bookmarkStart w:id="203" w:name="_Toc131514364"/>
      <w:r>
        <w:rPr>
          <w:rStyle w:val="CharSectno"/>
        </w:rPr>
        <w:t>72</w:t>
      </w:r>
      <w:r>
        <w:t>.</w:t>
      </w:r>
      <w:r>
        <w:tab/>
        <w:t>Suspending entitlement while worker in prison</w:t>
      </w:r>
      <w:bookmarkEnd w:id="203"/>
    </w:p>
    <w:p>
      <w:pPr>
        <w:pStyle w:val="Subsection"/>
      </w:pPr>
      <w:r>
        <w:tab/>
        <w:t>(1)</w:t>
      </w:r>
      <w:r>
        <w:tab/>
        <w:t>Subject to subsection (2), a worker’s entitlement to weekly payments of compensation under this Act is suspended during any period that the worker is —</w:t>
      </w:r>
    </w:p>
    <w:p>
      <w:pPr>
        <w:pStyle w:val="Indenta"/>
        <w:spacing w:before="60"/>
      </w:pPr>
      <w:r>
        <w:tab/>
        <w:t>(a)</w:t>
      </w:r>
      <w:r>
        <w:tab/>
        <w:t>in custody under a law of this State, another State or a Territory, or the Commonwealth except where that custody is of a kind prescribed by the regulations; or</w:t>
      </w:r>
    </w:p>
    <w:p>
      <w:pPr>
        <w:pStyle w:val="Indenta"/>
        <w:spacing w:before="60"/>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r>
        <w:tab/>
        <w:t>[Section 72 inserted: No. 42 of 2004 s. 58.]</w:t>
      </w:r>
    </w:p>
    <w:p>
      <w:pPr>
        <w:pStyle w:val="Heading5"/>
      </w:pPr>
      <w:bookmarkStart w:id="204" w:name="_Toc131514365"/>
      <w:r>
        <w:rPr>
          <w:rStyle w:val="CharSectno"/>
        </w:rPr>
        <w:lastRenderedPageBreak/>
        <w:t>72A</w:t>
      </w:r>
      <w:r>
        <w:t>.</w:t>
      </w:r>
      <w:r>
        <w:tab/>
        <w:t>Suspending etc. entitlement for not undergoing medical examination</w:t>
      </w:r>
      <w:bookmarkEnd w:id="204"/>
    </w:p>
    <w:p>
      <w:pPr>
        <w:pStyle w:val="Subsection"/>
      </w:pPr>
      <w:r>
        <w:tab/>
        <w:t>(1)</w:t>
      </w:r>
      <w:r>
        <w:tab/>
        <w:t>A worker’s entitlement to compensation under this Act, and to take and prosecute any proceeding under this Act, may be suspended by order of an arbitrator if the worker —</w:t>
      </w:r>
    </w:p>
    <w:p>
      <w:pPr>
        <w:pStyle w:val="Indenta"/>
        <w:spacing w:before="60"/>
      </w:pPr>
      <w:r>
        <w:tab/>
        <w:t>(a)</w:t>
      </w:r>
      <w:r>
        <w:tab/>
        <w:t>being required by the employer under section 64 to submit himself for examination by a medical practitioner; or</w:t>
      </w:r>
    </w:p>
    <w:p>
      <w:pPr>
        <w:pStyle w:val="Indenta"/>
        <w:spacing w:before="60"/>
      </w:pPr>
      <w:r>
        <w:tab/>
        <w:t>(b)</w:t>
      </w:r>
      <w:r>
        <w:tab/>
        <w:t>being required by an arbitrator to submit himself for an additional medical examination as defined in section 66A(1), being an examination additional to examinations under section 64,</w:t>
      </w:r>
    </w:p>
    <w:p>
      <w:pPr>
        <w:pStyle w:val="Subsection"/>
        <w:spacing w:before="120"/>
      </w:pPr>
      <w:r>
        <w:tab/>
      </w:r>
      <w:r>
        <w:tab/>
        <w:t>refuses or fails to do so or in any way obstructs the examination.</w:t>
      </w:r>
    </w:p>
    <w:p>
      <w:pPr>
        <w:pStyle w:val="Subsection"/>
      </w:pPr>
      <w:r>
        <w:tab/>
        <w:t>(2)</w:t>
      </w:r>
      <w:r>
        <w:tab/>
        <w:t>A worker’s entitlement to compensation under this Act, may be suspended by order of an arbitrator if the worker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keepLines/>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 xml:space="preserve">The worker’s entitlements are suspended from the date on which the arbitrator makes the order until the date on which the </w:t>
      </w:r>
      <w:r>
        <w:lastRenderedPageBreak/>
        <w:t>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If a worker continues to refuse or fail to submit to medical examination for one month, or such time as an arbitrator otherwise orders, after an order is made under subsection (1) or (2) in respect of the worker, then —</w:t>
      </w:r>
    </w:p>
    <w:p>
      <w:pPr>
        <w:pStyle w:val="Indenta"/>
      </w:pPr>
      <w:r>
        <w:tab/>
        <w:t>(a)</w:t>
      </w:r>
      <w:r>
        <w:tab/>
        <w:t>the worker’s entitlement to compensation for the injury in respect of which the worker was required to submit to medical examination ceases; and</w:t>
      </w:r>
    </w:p>
    <w:p>
      <w:pPr>
        <w:pStyle w:val="Indenta"/>
        <w:keepNext/>
      </w:pPr>
      <w:r>
        <w:tab/>
        <w:t>(b)</w:t>
      </w:r>
      <w:r>
        <w:tab/>
        <w:t>in the case of an order under subsection (1), the worker’s entitlement to take and prosecute any proceeding under this Act in relation to that compensation ceases.</w:t>
      </w:r>
    </w:p>
    <w:p>
      <w:pPr>
        <w:pStyle w:val="Footnotesection"/>
      </w:pPr>
      <w:r>
        <w:tab/>
        <w:t>[Section 72A inserted: No. 42 of 2004 s. 58; amended: No. 16 of 2005 s. 17.]</w:t>
      </w:r>
    </w:p>
    <w:p>
      <w:pPr>
        <w:pStyle w:val="Heading5"/>
      </w:pPr>
      <w:bookmarkStart w:id="205" w:name="_Toc131514366"/>
      <w:r>
        <w:rPr>
          <w:rStyle w:val="CharSectno"/>
        </w:rPr>
        <w:t>72B</w:t>
      </w:r>
      <w:r>
        <w:t>.</w:t>
      </w:r>
      <w:r>
        <w:tab/>
        <w:t>Suspending etc. entitlement for not participating in return to work program</w:t>
      </w:r>
      <w:bookmarkEnd w:id="205"/>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An arbitrator is not to make an order under subsection (1) if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pPr>
      <w:r>
        <w:tab/>
        <w:t>(3)</w:t>
      </w:r>
      <w:r>
        <w:tab/>
        <w:t xml:space="preserve">An arbitrator is to revoke an order made under subsection (1) if satisfied that the worker has subsequently participated in a </w:t>
      </w:r>
      <w:r>
        <w:lastRenderedPageBreak/>
        <w:t>return to work program that has been established for the worker under section 155C(1).</w:t>
      </w:r>
    </w:p>
    <w:p>
      <w:pPr>
        <w:pStyle w:val="Subsection"/>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pPr>
      <w:r>
        <w:tab/>
        <w:t>(5)</w:t>
      </w:r>
      <w:r>
        <w:tab/>
        <w:t>An order made under subsection (1) is binding on the worker, the employer and the insurer of the employer.</w:t>
      </w:r>
    </w:p>
    <w:p>
      <w:pPr>
        <w:pStyle w:val="Subsection"/>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No. 42 of 2004 s. 58.]</w:t>
      </w:r>
    </w:p>
    <w:p>
      <w:pPr>
        <w:pStyle w:val="Heading3"/>
      </w:pPr>
      <w:bookmarkStart w:id="206" w:name="_Toc100238390"/>
      <w:bookmarkStart w:id="207" w:name="_Toc100239004"/>
      <w:bookmarkStart w:id="208" w:name="_Toc100562298"/>
      <w:bookmarkStart w:id="209" w:name="_Toc107309934"/>
      <w:bookmarkStart w:id="210" w:name="_Toc107479788"/>
      <w:bookmarkStart w:id="211" w:name="_Toc131501154"/>
      <w:bookmarkStart w:id="212" w:name="_Toc131501771"/>
      <w:bookmarkStart w:id="213" w:name="_Toc131514367"/>
      <w:r>
        <w:rPr>
          <w:rStyle w:val="CharDivNo"/>
        </w:rPr>
        <w:t>Division 5A</w:t>
      </w:r>
      <w:r>
        <w:t> — </w:t>
      </w:r>
      <w:r>
        <w:rPr>
          <w:rStyle w:val="CharDivText"/>
        </w:rPr>
        <w:t>Claims by dependants and others for compensation</w:t>
      </w:r>
      <w:bookmarkEnd w:id="206"/>
      <w:bookmarkEnd w:id="207"/>
      <w:bookmarkEnd w:id="208"/>
      <w:bookmarkEnd w:id="209"/>
      <w:bookmarkEnd w:id="210"/>
      <w:bookmarkEnd w:id="211"/>
      <w:bookmarkEnd w:id="212"/>
      <w:bookmarkEnd w:id="213"/>
    </w:p>
    <w:p>
      <w:pPr>
        <w:pStyle w:val="Footnoteheading"/>
      </w:pPr>
      <w:r>
        <w:tab/>
        <w:t>[Heading inserted: No. 8 of 2018 s. 6.]</w:t>
      </w:r>
    </w:p>
    <w:p>
      <w:pPr>
        <w:pStyle w:val="Heading5"/>
      </w:pPr>
      <w:bookmarkStart w:id="214" w:name="_Toc131514368"/>
      <w:r>
        <w:rPr>
          <w:rStyle w:val="CharSectno"/>
        </w:rPr>
        <w:t>72C</w:t>
      </w:r>
      <w:r>
        <w:t>.</w:t>
      </w:r>
      <w:r>
        <w:tab/>
        <w:t>Terms used</w:t>
      </w:r>
      <w:bookmarkEnd w:id="214"/>
    </w:p>
    <w:p>
      <w:pPr>
        <w:pStyle w:val="Subsection"/>
      </w:pPr>
      <w:r>
        <w:tab/>
      </w:r>
      <w:r>
        <w:tab/>
        <w:t xml:space="preserve">In this Division — </w:t>
      </w:r>
    </w:p>
    <w:p>
      <w:pPr>
        <w:pStyle w:val="Defstart"/>
      </w:pPr>
      <w:r>
        <w:tab/>
      </w:r>
      <w:r>
        <w:rPr>
          <w:rStyle w:val="CharDefText"/>
        </w:rPr>
        <w:t>approved</w:t>
      </w:r>
      <w:r>
        <w:t xml:space="preserve"> means approved by the chief executive officer;</w:t>
      </w:r>
    </w:p>
    <w:p>
      <w:pPr>
        <w:pStyle w:val="Defstart"/>
      </w:pPr>
      <w:r>
        <w:tab/>
      </w:r>
      <w:r>
        <w:rPr>
          <w:rStyle w:val="CharDefText"/>
        </w:rPr>
        <w:t>claim</w:t>
      </w:r>
      <w:r>
        <w:t xml:space="preserve"> means a claim for compensation made under section 72E;</w:t>
      </w:r>
    </w:p>
    <w:p>
      <w:pPr>
        <w:pStyle w:val="Defstart"/>
      </w:pPr>
      <w:r>
        <w:tab/>
      </w:r>
      <w:r>
        <w:rPr>
          <w:rStyle w:val="CharDefText"/>
        </w:rPr>
        <w:t>claimant</w:t>
      </w:r>
      <w:r>
        <w:t xml:space="preserve"> means a person claiming to be entitled to compensation under clause 7, 8, 9 or 11;</w:t>
      </w:r>
    </w:p>
    <w:p>
      <w:pPr>
        <w:pStyle w:val="Defstart"/>
      </w:pPr>
      <w:r>
        <w:tab/>
      </w:r>
      <w:r>
        <w:rPr>
          <w:rStyle w:val="CharDefText"/>
        </w:rPr>
        <w:t>clause</w:t>
      </w:r>
      <w:r>
        <w:t xml:space="preserve"> means a clause of Schedule 1A.</w:t>
      </w:r>
    </w:p>
    <w:p>
      <w:pPr>
        <w:pStyle w:val="Footnotesection"/>
      </w:pPr>
      <w:r>
        <w:tab/>
        <w:t>[Section 72C inserted: No. 8 of 2018 s. 6.]</w:t>
      </w:r>
    </w:p>
    <w:p>
      <w:pPr>
        <w:pStyle w:val="Heading5"/>
      </w:pPr>
      <w:bookmarkStart w:id="215" w:name="_Toc131514369"/>
      <w:r>
        <w:rPr>
          <w:rStyle w:val="CharSectno"/>
        </w:rPr>
        <w:lastRenderedPageBreak/>
        <w:t>72D</w:t>
      </w:r>
      <w:r>
        <w:t>.</w:t>
      </w:r>
      <w:r>
        <w:tab/>
        <w:t>Application of this Division</w:t>
      </w:r>
      <w:bookmarkEnd w:id="215"/>
    </w:p>
    <w:p>
      <w:pPr>
        <w:pStyle w:val="Subsection"/>
      </w:pPr>
      <w:r>
        <w:tab/>
        <w:t>(1)</w:t>
      </w:r>
      <w:r>
        <w:tab/>
        <w:t>This Division applies to compensation that an employer of a worker is liable to pay to or for a person in accordance with Schedule 1A.</w:t>
      </w:r>
    </w:p>
    <w:p>
      <w:pPr>
        <w:pStyle w:val="Subsection"/>
      </w:pPr>
      <w:r>
        <w:tab/>
        <w:t>(2)</w:t>
      </w:r>
      <w:r>
        <w:tab/>
        <w:t>A provision of this Division prevails to the extent, if any, that it is inconsistent with a provision of this Act that is not in this Division.</w:t>
      </w:r>
    </w:p>
    <w:p>
      <w:pPr>
        <w:pStyle w:val="Footnotesection"/>
      </w:pPr>
      <w:r>
        <w:tab/>
        <w:t>[Section 72D inserted: No. 8 of 2018 s. 6.]</w:t>
      </w:r>
    </w:p>
    <w:p>
      <w:pPr>
        <w:pStyle w:val="Heading5"/>
      </w:pPr>
      <w:bookmarkStart w:id="216" w:name="_Toc131514370"/>
      <w:r>
        <w:rPr>
          <w:rStyle w:val="CharSectno"/>
        </w:rPr>
        <w:t>72E</w:t>
      </w:r>
      <w:r>
        <w:t>.</w:t>
      </w:r>
      <w:r>
        <w:tab/>
        <w:t>Claims for compensation for dependants and others</w:t>
      </w:r>
      <w:bookmarkEnd w:id="216"/>
    </w:p>
    <w:p>
      <w:pPr>
        <w:pStyle w:val="Subsection"/>
      </w:pPr>
      <w:r>
        <w:tab/>
        <w:t>(1)</w:t>
      </w:r>
      <w:r>
        <w:tab/>
        <w:t>A claim for compensation may be made on the employer by, or on behalf of, a claimant.</w:t>
      </w:r>
    </w:p>
    <w:p>
      <w:pPr>
        <w:pStyle w:val="Subsection"/>
      </w:pPr>
      <w:r>
        <w:tab/>
        <w:t>(2)</w:t>
      </w:r>
      <w:r>
        <w:tab/>
        <w:t>Compensation for 2 or more claimants can be the subject of 1 claim.</w:t>
      </w:r>
    </w:p>
    <w:p>
      <w:pPr>
        <w:pStyle w:val="Subsection"/>
      </w:pPr>
      <w:r>
        <w:tab/>
        <w:t>(3)</w:t>
      </w:r>
      <w:r>
        <w:tab/>
        <w:t>A claim must be made in the approved form and must be accompanied by supporting information and documents in accordance with guidelines issued from time to time by WorkCover WA.</w:t>
      </w:r>
    </w:p>
    <w:p>
      <w:pPr>
        <w:pStyle w:val="Footnotesection"/>
      </w:pPr>
      <w:r>
        <w:tab/>
        <w:t>[Section 72E inserted: No. 8 of 2018 s. 6.]</w:t>
      </w:r>
    </w:p>
    <w:p>
      <w:pPr>
        <w:pStyle w:val="Heading5"/>
      </w:pPr>
      <w:bookmarkStart w:id="217" w:name="_Toc131514371"/>
      <w:r>
        <w:rPr>
          <w:rStyle w:val="CharSectno"/>
        </w:rPr>
        <w:t>72F</w:t>
      </w:r>
      <w:r>
        <w:t>.</w:t>
      </w:r>
      <w:r>
        <w:tab/>
        <w:t>Claims procedure where employer insured</w:t>
      </w:r>
      <w:bookmarkEnd w:id="217"/>
    </w:p>
    <w:p>
      <w:pPr>
        <w:pStyle w:val="Subsection"/>
      </w:pPr>
      <w:r>
        <w:tab/>
        <w:t>(1)</w:t>
      </w:r>
      <w:r>
        <w:tab/>
        <w:t>This section applies if —</w:t>
      </w:r>
    </w:p>
    <w:p>
      <w:pPr>
        <w:pStyle w:val="Indenta"/>
      </w:pPr>
      <w:r>
        <w:tab/>
        <w:t>(a)</w:t>
      </w:r>
      <w:r>
        <w:tab/>
        <w:t>a claim is made on an employer in accordance with section 178(1); and</w:t>
      </w:r>
    </w:p>
    <w:p>
      <w:pPr>
        <w:pStyle w:val="Indenta"/>
      </w:pPr>
      <w:r>
        <w:tab/>
        <w:t>(b)</w:t>
      </w:r>
      <w:r>
        <w:tab/>
        <w:t>the employer is indemnified under a policy of insurance against liability to pay the compensation claimed.</w:t>
      </w:r>
    </w:p>
    <w:p>
      <w:pPr>
        <w:pStyle w:val="Subsection"/>
      </w:pPr>
      <w:r>
        <w:tab/>
        <w:t>(2)</w:t>
      </w:r>
      <w:r>
        <w:tab/>
        <w:t>Before the expiration of 5 full working days after the claim is made the employer must give the claim to the insurer to be dealt with under and in accordance with the policy of insurance.</w:t>
      </w:r>
    </w:p>
    <w:p>
      <w:pPr>
        <w:pStyle w:val="Penstart"/>
      </w:pPr>
      <w:r>
        <w:tab/>
        <w:t>Penalty for this subsection: a fine of $1 000.</w:t>
      </w:r>
    </w:p>
    <w:p>
      <w:pPr>
        <w:pStyle w:val="Subsection"/>
      </w:pPr>
      <w:r>
        <w:lastRenderedPageBreak/>
        <w:tab/>
        <w:t>(3)</w:t>
      </w:r>
      <w:r>
        <w:tab/>
        <w:t>On receiving the claim the insurer must give a copy of it to WorkCover WA.</w:t>
      </w:r>
    </w:p>
    <w:p>
      <w:pPr>
        <w:pStyle w:val="Subsection"/>
      </w:pPr>
      <w:r>
        <w:tab/>
        <w:t>(4)</w:t>
      </w:r>
      <w:r>
        <w:tab/>
        <w:t xml:space="preserve">As soon as is practicable after receiving the claim the insurer must — </w:t>
      </w:r>
    </w:p>
    <w:p>
      <w:pPr>
        <w:pStyle w:val="Indenta"/>
      </w:pPr>
      <w:r>
        <w:tab/>
        <w:t>(a)</w:t>
      </w:r>
      <w:r>
        <w:tab/>
        <w:t>give the claimant and the employer notice that liability is accepted in respect of the compensation claimed; or</w:t>
      </w:r>
    </w:p>
    <w:p>
      <w:pPr>
        <w:pStyle w:val="Indenta"/>
      </w:pPr>
      <w:r>
        <w:tab/>
        <w:t>(b)</w:t>
      </w:r>
      <w:r>
        <w:tab/>
        <w:t>give the claimant and the employer notice that liability is disputed in respect of some or all of the compensation claimed; or</w:t>
      </w:r>
    </w:p>
    <w:p>
      <w:pPr>
        <w:pStyle w:val="Indenta"/>
      </w:pPr>
      <w:r>
        <w:tab/>
        <w:t>(c)</w:t>
      </w:r>
      <w:r>
        <w:tab/>
        <w:t>give the claimant notice that additional information or documents specified in the notice are required in order for a decision to accept or dispute liability for compensation to be made.</w:t>
      </w:r>
    </w:p>
    <w:p>
      <w:pPr>
        <w:pStyle w:val="Subsection"/>
      </w:pPr>
      <w:r>
        <w:tab/>
        <w:t>(5)</w:t>
      </w:r>
      <w:r>
        <w:tab/>
        <w:t xml:space="preserve">As soon as is practicable after receiving information or documents required under subsection (4)(c) the insurer must give the claimant and the employer — </w:t>
      </w:r>
    </w:p>
    <w:p>
      <w:pPr>
        <w:pStyle w:val="Indenta"/>
      </w:pPr>
      <w:r>
        <w:tab/>
        <w:t>(a)</w:t>
      </w:r>
      <w:r>
        <w:tab/>
        <w:t>notice that liability is accepted in respect of the compensation claimed; or</w:t>
      </w:r>
    </w:p>
    <w:p>
      <w:pPr>
        <w:pStyle w:val="Indenta"/>
      </w:pPr>
      <w:r>
        <w:tab/>
        <w:t>(b)</w:t>
      </w:r>
      <w:r>
        <w:tab/>
        <w:t>notice that liability is disputed in respect of some or all of the compensation claimed.</w:t>
      </w:r>
    </w:p>
    <w:p>
      <w:pPr>
        <w:pStyle w:val="Subsection"/>
      </w:pPr>
      <w:r>
        <w:tab/>
        <w:t>(6)</w:t>
      </w:r>
      <w:r>
        <w:tab/>
        <w:t>A notice given under subsection (4) or (5) must be in the approved form and the insurer must give a copy of the notice to WorkCover WA.</w:t>
      </w:r>
    </w:p>
    <w:p>
      <w:pPr>
        <w:pStyle w:val="Footnotesection"/>
      </w:pPr>
      <w:r>
        <w:tab/>
        <w:t>[Section 72F inserted: No. 8 of 2018 s. 6.]</w:t>
      </w:r>
    </w:p>
    <w:p>
      <w:pPr>
        <w:pStyle w:val="Heading5"/>
      </w:pPr>
      <w:bookmarkStart w:id="218" w:name="_Toc131514372"/>
      <w:r>
        <w:rPr>
          <w:rStyle w:val="CharSectno"/>
        </w:rPr>
        <w:t>72G</w:t>
      </w:r>
      <w:r>
        <w:t>.</w:t>
      </w:r>
      <w:r>
        <w:tab/>
        <w:t>Claims procedure where employer is self</w:t>
      </w:r>
      <w:r>
        <w:noBreakHyphen/>
        <w:t>insured or uninsured</w:t>
      </w:r>
      <w:bookmarkEnd w:id="218"/>
    </w:p>
    <w:p>
      <w:pPr>
        <w:pStyle w:val="Subsection"/>
      </w:pPr>
      <w:r>
        <w:tab/>
        <w:t>(1)</w:t>
      </w:r>
      <w:r>
        <w:tab/>
        <w:t xml:space="preserve">This section applies if — </w:t>
      </w:r>
    </w:p>
    <w:p>
      <w:pPr>
        <w:pStyle w:val="Indenta"/>
      </w:pPr>
      <w:r>
        <w:tab/>
        <w:t>(a)</w:t>
      </w:r>
      <w:r>
        <w:tab/>
        <w:t>a claim is made on an employer in accordance with section 178(1); and</w:t>
      </w:r>
    </w:p>
    <w:p>
      <w:pPr>
        <w:pStyle w:val="Indenta"/>
      </w:pPr>
      <w:r>
        <w:tab/>
        <w:t>(b)</w:t>
      </w:r>
      <w:r>
        <w:tab/>
        <w:t xml:space="preserve">the employer (whether in contravention of section 160, in accordance with an exemption under section 164, as a result of the insurer declining to indemnify the </w:t>
      </w:r>
      <w:r>
        <w:lastRenderedPageBreak/>
        <w:t>employer, or otherwise) is not indemnified by a policy of insurance against liability to pay the compensation claimed.</w:t>
      </w:r>
    </w:p>
    <w:p>
      <w:pPr>
        <w:pStyle w:val="Subsection"/>
      </w:pPr>
      <w:r>
        <w:tab/>
        <w:t>(2)</w:t>
      </w:r>
      <w:r>
        <w:tab/>
        <w:t>On receiving the claim the employer must give a copy of it to WorkCover WA.</w:t>
      </w:r>
    </w:p>
    <w:p>
      <w:pPr>
        <w:pStyle w:val="Subsection"/>
      </w:pPr>
      <w:r>
        <w:tab/>
        <w:t>(3)</w:t>
      </w:r>
      <w:r>
        <w:tab/>
        <w:t xml:space="preserve">As soon as is practicable after receiving the claim the employer must give the claimant — </w:t>
      </w:r>
    </w:p>
    <w:p>
      <w:pPr>
        <w:pStyle w:val="Indenta"/>
      </w:pPr>
      <w:r>
        <w:tab/>
        <w:t>(a)</w:t>
      </w:r>
      <w:r>
        <w:tab/>
        <w:t>notice that liability is accepted in respect of the compensation claimed; or</w:t>
      </w:r>
    </w:p>
    <w:p>
      <w:pPr>
        <w:pStyle w:val="Indenta"/>
      </w:pPr>
      <w:r>
        <w:tab/>
        <w:t>(b)</w:t>
      </w:r>
      <w:r>
        <w:tab/>
        <w:t>notice that liability is disputed in respect of some or all of the compensation claimed; or</w:t>
      </w:r>
    </w:p>
    <w:p>
      <w:pPr>
        <w:pStyle w:val="Indenta"/>
        <w:keepNext/>
        <w:keepLines/>
      </w:pPr>
      <w:r>
        <w:tab/>
        <w:t>(c)</w:t>
      </w:r>
      <w:r>
        <w:tab/>
        <w:t>notice that additional information or documents specified in the notice are required in order for a decision to accept or dispute liability for compensation to be made.</w:t>
      </w:r>
    </w:p>
    <w:p>
      <w:pPr>
        <w:pStyle w:val="Subsection"/>
      </w:pPr>
      <w:r>
        <w:tab/>
        <w:t>(4)</w:t>
      </w:r>
      <w:r>
        <w:tab/>
        <w:t xml:space="preserve">As soon as is practicable after receiving information or documents required under subsection (3)(c) the employer must give the claimant — </w:t>
      </w:r>
    </w:p>
    <w:p>
      <w:pPr>
        <w:pStyle w:val="Indenta"/>
      </w:pPr>
      <w:r>
        <w:tab/>
        <w:t>(a)</w:t>
      </w:r>
      <w:r>
        <w:tab/>
        <w:t>notice that liability is accepted in respect of the compensation claimed; or</w:t>
      </w:r>
    </w:p>
    <w:p>
      <w:pPr>
        <w:pStyle w:val="Indenta"/>
      </w:pPr>
      <w:r>
        <w:tab/>
        <w:t>(b)</w:t>
      </w:r>
      <w:r>
        <w:tab/>
        <w:t>notice that liability is disputed in respect of some or all of the compensation claimed.</w:t>
      </w:r>
    </w:p>
    <w:p>
      <w:pPr>
        <w:pStyle w:val="Subsection"/>
      </w:pPr>
      <w:r>
        <w:tab/>
        <w:t>(5)</w:t>
      </w:r>
      <w:r>
        <w:tab/>
        <w:t>A notice given under subsection (3) or (4) must be in the approved form and the employer must give a copy of the notice to WorkCover WA.</w:t>
      </w:r>
    </w:p>
    <w:p>
      <w:pPr>
        <w:pStyle w:val="Footnotesection"/>
      </w:pPr>
      <w:r>
        <w:tab/>
        <w:t>[Section 72G inserted: No. 8 of 2018 s. 6.]</w:t>
      </w:r>
    </w:p>
    <w:p>
      <w:pPr>
        <w:pStyle w:val="Heading5"/>
      </w:pPr>
      <w:bookmarkStart w:id="219" w:name="_Toc131514373"/>
      <w:r>
        <w:rPr>
          <w:rStyle w:val="CharSectno"/>
        </w:rPr>
        <w:t>72H</w:t>
      </w:r>
      <w:r>
        <w:t>.</w:t>
      </w:r>
      <w:r>
        <w:tab/>
        <w:t>Resolution of claim</w:t>
      </w:r>
      <w:bookmarkEnd w:id="219"/>
    </w:p>
    <w:p>
      <w:pPr>
        <w:pStyle w:val="Subsection"/>
      </w:pPr>
      <w:r>
        <w:tab/>
        <w:t>(1)</w:t>
      </w:r>
      <w:r>
        <w:tab/>
        <w:t xml:space="preserve">In this section — </w:t>
      </w:r>
    </w:p>
    <w:p>
      <w:pPr>
        <w:pStyle w:val="Defstart"/>
      </w:pPr>
      <w:r>
        <w:tab/>
      </w:r>
      <w:r>
        <w:rPr>
          <w:rStyle w:val="CharDefText"/>
        </w:rPr>
        <w:t>response</w:t>
      </w:r>
      <w:r>
        <w:t xml:space="preserve"> means a notice under section 72F(4) or 72G(3);</w:t>
      </w:r>
    </w:p>
    <w:p>
      <w:pPr>
        <w:pStyle w:val="Defstart"/>
      </w:pPr>
      <w:r>
        <w:tab/>
      </w:r>
      <w:r>
        <w:rPr>
          <w:rStyle w:val="CharDefText"/>
        </w:rPr>
        <w:t>response period</w:t>
      </w:r>
      <w:r>
        <w:t xml:space="preserve"> means the period of 30 days after the day on which the claim is made on the employer.</w:t>
      </w:r>
    </w:p>
    <w:p>
      <w:pPr>
        <w:pStyle w:val="Subsection"/>
      </w:pPr>
      <w:r>
        <w:lastRenderedPageBreak/>
        <w:tab/>
        <w:t>(2)</w:t>
      </w:r>
      <w:r>
        <w:tab/>
        <w:t>Except as provided in subsection (8), compensation in accordance with Schedule 1A is to be paid only as specified in an order made under subsection (7).</w:t>
      </w:r>
    </w:p>
    <w:p>
      <w:pPr>
        <w:pStyle w:val="Subsection"/>
      </w:pPr>
      <w:r>
        <w:tab/>
        <w:t>(3)</w:t>
      </w:r>
      <w:r>
        <w:tab/>
        <w:t>An application may be made to the Registrar by or on behalf of the claimant for the claim to be determined by an arbitrator.</w:t>
      </w:r>
    </w:p>
    <w:p>
      <w:pPr>
        <w:pStyle w:val="Subsection"/>
      </w:pPr>
      <w:r>
        <w:tab/>
        <w:t>(4)</w:t>
      </w:r>
      <w:r>
        <w:tab/>
        <w:t xml:space="preserve">The application may be made — </w:t>
      </w:r>
    </w:p>
    <w:p>
      <w:pPr>
        <w:pStyle w:val="Indenta"/>
      </w:pPr>
      <w:r>
        <w:tab/>
        <w:t>(a)</w:t>
      </w:r>
      <w:r>
        <w:tab/>
        <w:t>at any time after the claimant receives a response; or</w:t>
      </w:r>
    </w:p>
    <w:p>
      <w:pPr>
        <w:pStyle w:val="Indenta"/>
      </w:pPr>
      <w:r>
        <w:tab/>
        <w:t>(b)</w:t>
      </w:r>
      <w:r>
        <w:tab/>
        <w:t>if the claimant does not receive a response during the response period, at any time after the end of the response period.</w:t>
      </w:r>
    </w:p>
    <w:p>
      <w:pPr>
        <w:pStyle w:val="Subsection"/>
      </w:pPr>
      <w:r>
        <w:tab/>
        <w:t>(5)</w:t>
      </w:r>
      <w:r>
        <w:tab/>
        <w:t>If the application is made before the claimant receives a response, the application does not affect the continued operation of section 72F(2) to (6) or 72G(2) to (5), whichever are applicable, in relation to the claim.</w:t>
      </w:r>
    </w:p>
    <w:p>
      <w:pPr>
        <w:pStyle w:val="Subsection"/>
      </w:pPr>
      <w:r>
        <w:tab/>
        <w:t>(6)</w:t>
      </w:r>
      <w:r>
        <w:tab/>
        <w:t>If the application is made after the claimant receives a response under section 72F(4)(c) or 72G(3)(c), the application does not affect the continued operation of section 72F(5) or 72G(4), whichever is applicable, in relation to the claim.</w:t>
      </w:r>
    </w:p>
    <w:p>
      <w:pPr>
        <w:pStyle w:val="Subsection"/>
      </w:pPr>
      <w:r>
        <w:tab/>
        <w:t>(7)</w:t>
      </w:r>
      <w:r>
        <w:tab/>
        <w:t>An arbitrator must determine the claim and make an order specifying whether the claimant is entitled to compensation in accordance with Schedule 1A and, if so, the amount of compensation to which the claimant is entitled.</w:t>
      </w:r>
    </w:p>
    <w:p>
      <w:pPr>
        <w:pStyle w:val="Subsection"/>
      </w:pPr>
      <w:r>
        <w:tab/>
        <w:t>(8)</w:t>
      </w:r>
      <w:r>
        <w:tab/>
        <w:t>If an insurer or employer accepts liability in respect of compensation to which a person is entitled under clause 9, the compensation can be paid to the person without an order having been made under subsection (7).</w:t>
      </w:r>
    </w:p>
    <w:p>
      <w:pPr>
        <w:pStyle w:val="Footnotesection"/>
      </w:pPr>
      <w:r>
        <w:tab/>
        <w:t>[Section 72H inserted: No. 8 of 2018 s. 6.]</w:t>
      </w:r>
    </w:p>
    <w:p>
      <w:pPr>
        <w:pStyle w:val="Heading5"/>
      </w:pPr>
      <w:bookmarkStart w:id="220" w:name="_Toc131514374"/>
      <w:r>
        <w:rPr>
          <w:rStyle w:val="CharSectno"/>
        </w:rPr>
        <w:t>72I</w:t>
      </w:r>
      <w:r>
        <w:t>.</w:t>
      </w:r>
      <w:r>
        <w:tab/>
        <w:t>Manner of payment of lump sum compensation</w:t>
      </w:r>
      <w:bookmarkEnd w:id="220"/>
    </w:p>
    <w:p>
      <w:pPr>
        <w:pStyle w:val="Subsection"/>
      </w:pPr>
      <w:r>
        <w:tab/>
        <w:t>(1)</w:t>
      </w:r>
      <w:r>
        <w:tab/>
        <w:t xml:space="preserve">If an order (the </w:t>
      </w:r>
      <w:r>
        <w:rPr>
          <w:rStyle w:val="CharDefText"/>
        </w:rPr>
        <w:t>compensation order</w:t>
      </w:r>
      <w:r>
        <w:t xml:space="preserve">) is made under section 72H(7) for the payment of compensation to which a dependant of a deceased worker (the </w:t>
      </w:r>
      <w:r>
        <w:rPr>
          <w:rStyle w:val="CharDefText"/>
        </w:rPr>
        <w:t>dependant</w:t>
      </w:r>
      <w:r>
        <w:t xml:space="preserve">) is entitled </w:t>
      </w:r>
      <w:r>
        <w:lastRenderedPageBreak/>
        <w:t xml:space="preserve">under clause 7 or 11, the compensation order must specify whether compensation for the dependant is to be — </w:t>
      </w:r>
    </w:p>
    <w:p>
      <w:pPr>
        <w:pStyle w:val="Indenta"/>
      </w:pPr>
      <w:r>
        <w:tab/>
        <w:t>(a)</w:t>
      </w:r>
      <w:r>
        <w:tab/>
        <w:t>paid to WorkCover WA and applied in the manner specified in the order; or</w:t>
      </w:r>
    </w:p>
    <w:p>
      <w:pPr>
        <w:pStyle w:val="Indenta"/>
      </w:pPr>
      <w:r>
        <w:tab/>
        <w:t>(b)</w:t>
      </w:r>
      <w:r>
        <w:tab/>
        <w:t>paid to the dependant as specified in the order.</w:t>
      </w:r>
    </w:p>
    <w:p>
      <w:pPr>
        <w:pStyle w:val="Subsection"/>
      </w:pPr>
      <w:r>
        <w:tab/>
        <w:t>(2)</w:t>
      </w:r>
      <w:r>
        <w:tab/>
        <w:t>Subsection (3) applies after the making of the compensation order if the compensation order includes provisions of the kind mentioned in subsection (1)(a).</w:t>
      </w:r>
    </w:p>
    <w:p>
      <w:pPr>
        <w:pStyle w:val="Subsection"/>
        <w:keepNext/>
      </w:pPr>
      <w:r>
        <w:tab/>
        <w:t>(3)</w:t>
      </w:r>
      <w:r>
        <w:tab/>
        <w:t>On application being made to the Registrar, an arbitrator may make an order specifying that the compensation is to be —</w:t>
      </w:r>
    </w:p>
    <w:p>
      <w:pPr>
        <w:pStyle w:val="Indenta"/>
      </w:pPr>
      <w:r>
        <w:tab/>
        <w:t>(a)</w:t>
      </w:r>
      <w:r>
        <w:tab/>
        <w:t>applied otherwise than in the manner specified in the compensation order; or</w:t>
      </w:r>
    </w:p>
    <w:p>
      <w:pPr>
        <w:pStyle w:val="Indenta"/>
      </w:pPr>
      <w:r>
        <w:tab/>
        <w:t>(b)</w:t>
      </w:r>
      <w:r>
        <w:tab/>
        <w:t>paid to the dependant.</w:t>
      </w:r>
    </w:p>
    <w:p>
      <w:pPr>
        <w:pStyle w:val="Footnotesection"/>
      </w:pPr>
      <w:r>
        <w:tab/>
        <w:t>[Section 72I inserted: No. 8 of 2018 s. 6.]</w:t>
      </w:r>
    </w:p>
    <w:p>
      <w:pPr>
        <w:pStyle w:val="Heading5"/>
      </w:pPr>
      <w:bookmarkStart w:id="221" w:name="_Toc131514375"/>
      <w:r>
        <w:rPr>
          <w:rStyle w:val="CharSectno"/>
        </w:rPr>
        <w:t>72J</w:t>
      </w:r>
      <w:r>
        <w:t>.</w:t>
      </w:r>
      <w:r>
        <w:tab/>
        <w:t>Manner of payment of child’s allowance</w:t>
      </w:r>
      <w:bookmarkEnd w:id="221"/>
    </w:p>
    <w:p>
      <w:pPr>
        <w:pStyle w:val="Subsection"/>
      </w:pPr>
      <w:r>
        <w:tab/>
        <w:t>(1)</w:t>
      </w:r>
      <w:r>
        <w:tab/>
        <w:t xml:space="preserve">This section applies if an order (the </w:t>
      </w:r>
      <w:r>
        <w:rPr>
          <w:rStyle w:val="CharDefText"/>
        </w:rPr>
        <w:t>compensation order</w:t>
      </w:r>
      <w:r>
        <w:t xml:space="preserve">) is made under section 72H(7) for the payment of compensation to which a dependant of a deceased worker (the </w:t>
      </w:r>
      <w:r>
        <w:rPr>
          <w:rStyle w:val="CharDefText"/>
        </w:rPr>
        <w:t>dependant</w:t>
      </w:r>
      <w:r>
        <w:t xml:space="preserve">) is entitled under clause 8 (the </w:t>
      </w:r>
      <w:r>
        <w:rPr>
          <w:rStyle w:val="CharDefText"/>
        </w:rPr>
        <w:t>child’s allowance</w:t>
      </w:r>
      <w:r>
        <w:t>).</w:t>
      </w:r>
    </w:p>
    <w:p>
      <w:pPr>
        <w:pStyle w:val="Subsection"/>
      </w:pPr>
      <w:r>
        <w:tab/>
        <w:t>(2)</w:t>
      </w:r>
      <w:r>
        <w:tab/>
        <w:t>The compensation order must provide for amounts in respect of the child’s allowance to be paid to WorkCover WA by the insurer or employer weekly or at such other intervals as are specified in the order.</w:t>
      </w:r>
    </w:p>
    <w:p>
      <w:pPr>
        <w:pStyle w:val="Subsection"/>
      </w:pPr>
      <w:r>
        <w:tab/>
        <w:t>(3)</w:t>
      </w:r>
      <w:r>
        <w:tab/>
        <w:t>WorkCover WA must make periodic payments of the child’s allowance to the dependant as specified in the compensation order but no payment is to be made in advance of a periodic payment or by way of commutation.</w:t>
      </w:r>
    </w:p>
    <w:p>
      <w:pPr>
        <w:pStyle w:val="Subsection"/>
      </w:pPr>
      <w:r>
        <w:tab/>
        <w:t>(4)</w:t>
      </w:r>
      <w:r>
        <w:tab/>
        <w:t>Payments to and by WorkCover WA under subsections (2) and (3) are to continue as long as the dependant remains entitled to the child’s allowance but, subject to clause 8(6), if the entitlement is based on the dependant being a full</w:t>
      </w:r>
      <w:r>
        <w:noBreakHyphen/>
        <w:t xml:space="preserve">time student </w:t>
      </w:r>
      <w:r>
        <w:lastRenderedPageBreak/>
        <w:t>payments may be suspended if proof of participation in full</w:t>
      </w:r>
      <w:r>
        <w:noBreakHyphen/>
        <w:t>time study is not provided when and in the manner required by WorkCover WA.</w:t>
      </w:r>
    </w:p>
    <w:p>
      <w:pPr>
        <w:pStyle w:val="Subsection"/>
      </w:pPr>
      <w:r>
        <w:tab/>
        <w:t>(5)</w:t>
      </w:r>
      <w:r>
        <w:tab/>
        <w:t>Despite subsections (2) and (4), the liability to make payments under subsection (2) may be fully discharged by the payment to WorkCover WA of an amount calculated in accordance with the regulations as being the full amount of the child’s allowance that will be payable on the assumption that the child’s allowance will be payable to the dependant until the dependant attains the age of 21 years.</w:t>
      </w:r>
    </w:p>
    <w:p>
      <w:pPr>
        <w:pStyle w:val="Subsection"/>
      </w:pPr>
      <w:r>
        <w:tab/>
        <w:t>(6)</w:t>
      </w:r>
      <w:r>
        <w:tab/>
        <w:t>An application by the insurer or employer to pay an amount under subsection (5) may be made to WorkCover WA in the approved form when, or at any time after, the compensation order is made.</w:t>
      </w:r>
    </w:p>
    <w:p>
      <w:pPr>
        <w:pStyle w:val="Subsection"/>
      </w:pPr>
      <w:r>
        <w:tab/>
        <w:t>(7)</w:t>
      </w:r>
      <w:r>
        <w:tab/>
        <w:t>If an amount paid to WorkCover WA under subsection (2) or (5) has been credited to the Trust Account under section 110(2)(b) and the entitlement of the dependant to the child’s allowance ends before the amount has been exhausted by periodic payments under subsection (3), any surplus moneys standing to the credit of the Trust Account must be transferred to the General Account.</w:t>
      </w:r>
    </w:p>
    <w:p>
      <w:pPr>
        <w:pStyle w:val="Subsection"/>
      </w:pPr>
      <w:r>
        <w:tab/>
        <w:t>(8)</w:t>
      </w:r>
      <w:r>
        <w:tab/>
        <w:t>On application being made to the Registrar by or on behalf of the claimant, an arbitrator may make an order varying the terms of the compensation order in relation to a matter mentioned in subsection (2) or (3).</w:t>
      </w:r>
    </w:p>
    <w:p>
      <w:pPr>
        <w:pStyle w:val="Footnotesection"/>
      </w:pPr>
      <w:r>
        <w:tab/>
        <w:t>[Section 72J inserted: No. 8 of 2018 s. 6.]</w:t>
      </w:r>
    </w:p>
    <w:p>
      <w:pPr>
        <w:pStyle w:val="Heading5"/>
      </w:pPr>
      <w:bookmarkStart w:id="222" w:name="_Toc131514376"/>
      <w:r>
        <w:rPr>
          <w:rStyle w:val="CharSectno"/>
        </w:rPr>
        <w:t>72K</w:t>
      </w:r>
      <w:r>
        <w:t>.</w:t>
      </w:r>
      <w:r>
        <w:tab/>
        <w:t>Effect of recovery of damages on moneys held in Trust Account</w:t>
      </w:r>
      <w:bookmarkEnd w:id="222"/>
    </w:p>
    <w:p>
      <w:pPr>
        <w:pStyle w:val="Subsection"/>
      </w:pPr>
      <w:r>
        <w:tab/>
        <w:t>(1)</w:t>
      </w:r>
      <w:r>
        <w:tab/>
        <w:t xml:space="preserve">In this section — </w:t>
      </w:r>
    </w:p>
    <w:p>
      <w:pPr>
        <w:pStyle w:val="Defstart"/>
      </w:pPr>
      <w:r>
        <w:tab/>
      </w:r>
      <w:r>
        <w:rPr>
          <w:rStyle w:val="CharDefText"/>
        </w:rPr>
        <w:t>damages</w:t>
      </w:r>
      <w:r>
        <w:t xml:space="preserve"> means — </w:t>
      </w:r>
    </w:p>
    <w:p>
      <w:pPr>
        <w:pStyle w:val="Defpara"/>
      </w:pPr>
      <w:r>
        <w:tab/>
        <w:t>(a)</w:t>
      </w:r>
      <w:r>
        <w:tab/>
        <w:t xml:space="preserve">damages due or payable to, or claimed by, a dependant of a deceased worker under the </w:t>
      </w:r>
      <w:r>
        <w:rPr>
          <w:i/>
        </w:rPr>
        <w:t xml:space="preserve">Fatal Accidents </w:t>
      </w:r>
      <w:r>
        <w:rPr>
          <w:i/>
        </w:rPr>
        <w:lastRenderedPageBreak/>
        <w:t>Act 1959</w:t>
      </w:r>
      <w:r>
        <w:t xml:space="preserve"> for an injury causing the death of the worker; or</w:t>
      </w:r>
    </w:p>
    <w:p>
      <w:pPr>
        <w:pStyle w:val="Defpara"/>
      </w:pPr>
      <w:r>
        <w:tab/>
        <w:t>(b)</w:t>
      </w:r>
      <w:r>
        <w:tab/>
        <w:t xml:space="preserve">damages due or payable to, or claimed on behalf of, the estate of a deceased worker under the </w:t>
      </w:r>
      <w:r>
        <w:rPr>
          <w:i/>
        </w:rPr>
        <w:t>Law Reform (Miscellaneous Provisions) Act 1941</w:t>
      </w:r>
      <w:r>
        <w:t xml:space="preserve"> for an injury causing the death of the worker;</w:t>
      </w:r>
    </w:p>
    <w:p>
      <w:pPr>
        <w:pStyle w:val="Defstart"/>
      </w:pPr>
      <w:r>
        <w:tab/>
      </w:r>
      <w:r>
        <w:rPr>
          <w:rStyle w:val="CharDefText"/>
        </w:rPr>
        <w:t>judgment</w:t>
      </w:r>
      <w:r>
        <w:t xml:space="preserve"> includes an acceptance of an offer to consent to judgment;</w:t>
      </w:r>
    </w:p>
    <w:p>
      <w:pPr>
        <w:pStyle w:val="Defstart"/>
      </w:pPr>
      <w:r>
        <w:tab/>
      </w:r>
      <w:r>
        <w:rPr>
          <w:rStyle w:val="CharDefText"/>
        </w:rPr>
        <w:t>settlement</w:t>
      </w:r>
      <w:r>
        <w:t xml:space="preserve"> includes — </w:t>
      </w:r>
    </w:p>
    <w:p>
      <w:pPr>
        <w:pStyle w:val="Defpara"/>
      </w:pPr>
      <w:r>
        <w:tab/>
        <w:t>(a)</w:t>
      </w:r>
      <w:r>
        <w:tab/>
        <w:t>a settlement by the acceptance of money paid into court; and</w:t>
      </w:r>
    </w:p>
    <w:p>
      <w:pPr>
        <w:pStyle w:val="Defpara"/>
      </w:pPr>
      <w:r>
        <w:tab/>
        <w:t>(b)</w:t>
      </w:r>
      <w:r>
        <w:tab/>
        <w:t>a memorandum of the terms of a settlement that has been filed under section 92(f);</w:t>
      </w:r>
    </w:p>
    <w:p>
      <w:pPr>
        <w:pStyle w:val="Defstart"/>
      </w:pPr>
      <w:r>
        <w:tab/>
      </w:r>
      <w:r>
        <w:rPr>
          <w:rStyle w:val="CharDefText"/>
        </w:rPr>
        <w:t>trust moneys</w:t>
      </w:r>
      <w:r>
        <w:t xml:space="preserve"> of a dependant means moneys credited to the Trust Account under section 110(2)(a) or (b) in respect of the dependant.</w:t>
      </w:r>
    </w:p>
    <w:p>
      <w:pPr>
        <w:pStyle w:val="Subsection"/>
      </w:pPr>
      <w:r>
        <w:tab/>
        <w:t>(2)</w:t>
      </w:r>
      <w:r>
        <w:tab/>
        <w:t>Despite anything in this Act, in paying or otherwise applying or dealing with trust moneys of a dependant WorkCover WA must have regard to, and take into account, any judgment or settlement under which damages are payable to the dependant.</w:t>
      </w:r>
    </w:p>
    <w:p>
      <w:pPr>
        <w:pStyle w:val="Subsection"/>
      </w:pPr>
      <w:r>
        <w:tab/>
        <w:t>(3)</w:t>
      </w:r>
      <w:r>
        <w:tab/>
        <w:t>Without limiting subsection (2), a judgment in or settlement of an action for damages may include directions to WorkCover WA as to how trust moneys of a dependant are to be paid or otherwise applied or dealt with and WorkCover WA must give effect to a direction so given.</w:t>
      </w:r>
    </w:p>
    <w:p>
      <w:pPr>
        <w:pStyle w:val="Subsection"/>
      </w:pPr>
      <w:r>
        <w:tab/>
        <w:t>(4)</w:t>
      </w:r>
      <w:r>
        <w:tab/>
        <w:t xml:space="preserve">Notice must be given to WorkCover WA by or on behalf of the claimant if — </w:t>
      </w:r>
    </w:p>
    <w:p>
      <w:pPr>
        <w:pStyle w:val="Indenta"/>
      </w:pPr>
      <w:r>
        <w:tab/>
        <w:t>(a)</w:t>
      </w:r>
      <w:r>
        <w:tab/>
        <w:t>an action for damages is commenced; or</w:t>
      </w:r>
    </w:p>
    <w:p>
      <w:pPr>
        <w:pStyle w:val="Indenta"/>
      </w:pPr>
      <w:r>
        <w:tab/>
        <w:t>(b)</w:t>
      </w:r>
      <w:r>
        <w:tab/>
        <w:t>judgment is given or settlement takes place in an action for damages.</w:t>
      </w:r>
    </w:p>
    <w:p>
      <w:pPr>
        <w:pStyle w:val="Subsection"/>
        <w:keepNext/>
      </w:pPr>
      <w:r>
        <w:lastRenderedPageBreak/>
        <w:tab/>
        <w:t>(5)</w:t>
      </w:r>
      <w:r>
        <w:tab/>
        <w:t>A notice given under subsection (4) must be in the approved form.</w:t>
      </w:r>
    </w:p>
    <w:p>
      <w:pPr>
        <w:pStyle w:val="Footnotesection"/>
      </w:pPr>
      <w:r>
        <w:tab/>
        <w:t>[Section 72K inserted: No. 8 of 2018 s. 6.]</w:t>
      </w:r>
    </w:p>
    <w:p>
      <w:pPr>
        <w:pStyle w:val="Heading5"/>
      </w:pPr>
      <w:bookmarkStart w:id="223" w:name="_Toc131514377"/>
      <w:r>
        <w:rPr>
          <w:rStyle w:val="CharSectno"/>
        </w:rPr>
        <w:t>72L</w:t>
      </w:r>
      <w:r>
        <w:t>.</w:t>
      </w:r>
      <w:r>
        <w:tab/>
        <w:t>Application of Part XI to matters under this Division</w:t>
      </w:r>
      <w:bookmarkEnd w:id="223"/>
    </w:p>
    <w:p>
      <w:pPr>
        <w:pStyle w:val="Subsection"/>
      </w:pPr>
      <w:r>
        <w:tab/>
        <w:t>(1)</w:t>
      </w:r>
      <w:r>
        <w:tab/>
        <w:t xml:space="preserve">In this section — </w:t>
      </w:r>
    </w:p>
    <w:p>
      <w:pPr>
        <w:pStyle w:val="Defstart"/>
      </w:pPr>
      <w:r>
        <w:tab/>
      </w:r>
      <w:r>
        <w:rPr>
          <w:rStyle w:val="CharDefText"/>
        </w:rPr>
        <w:t>application</w:t>
      </w:r>
      <w:r>
        <w:t xml:space="preserve"> means an application under section 72H(3), 72I(3) or 72J(8) or clause 8(6) or (7);</w:t>
      </w:r>
    </w:p>
    <w:p>
      <w:pPr>
        <w:pStyle w:val="Defstart"/>
      </w:pPr>
      <w:r>
        <w:tab/>
      </w:r>
      <w:r>
        <w:rPr>
          <w:rStyle w:val="CharDefText"/>
        </w:rPr>
        <w:t>order</w:t>
      </w:r>
      <w:r>
        <w:t xml:space="preserve"> means an order under section 72H(7), 72I(3) or 72J(8).</w:t>
      </w:r>
    </w:p>
    <w:p>
      <w:pPr>
        <w:pStyle w:val="Subsection"/>
      </w:pPr>
      <w:r>
        <w:tab/>
        <w:t>(2)</w:t>
      </w:r>
      <w:r>
        <w:tab/>
        <w:t>An application must be made in accordance with this Act and the arbitration rules and may be rejected by the Registrar if it does not comply.</w:t>
      </w:r>
    </w:p>
    <w:p>
      <w:pPr>
        <w:pStyle w:val="Subsection"/>
      </w:pPr>
      <w:r>
        <w:tab/>
        <w:t>(3)</w:t>
      </w:r>
      <w:r>
        <w:tab/>
        <w:t>An application can be made and received, and an order can be made, whether or not there is a dispute about liability or the payment of compensation.</w:t>
      </w:r>
    </w:p>
    <w:p>
      <w:pPr>
        <w:pStyle w:val="Subsection"/>
      </w:pPr>
      <w:r>
        <w:tab/>
        <w:t>(4)</w:t>
      </w:r>
      <w:r>
        <w:tab/>
        <w:t xml:space="preserve">Without limiting section 72D(2), the following provisions do not apply to a claim, application or order — </w:t>
      </w:r>
    </w:p>
    <w:p>
      <w:pPr>
        <w:pStyle w:val="Indenta"/>
      </w:pPr>
      <w:r>
        <w:tab/>
        <w:t>(a)</w:t>
      </w:r>
      <w:r>
        <w:tab/>
        <w:t>Part XI Division 3 Subdivision 2;</w:t>
      </w:r>
    </w:p>
    <w:p>
      <w:pPr>
        <w:pStyle w:val="Indenta"/>
      </w:pPr>
      <w:r>
        <w:tab/>
        <w:t>(b)</w:t>
      </w:r>
      <w:r>
        <w:tab/>
        <w:t>sections 182ZT, 182ZU, 189 and 211(2);</w:t>
      </w:r>
    </w:p>
    <w:p>
      <w:pPr>
        <w:pStyle w:val="Indenta"/>
      </w:pPr>
      <w:r>
        <w:tab/>
        <w:t>(c)</w:t>
      </w:r>
      <w:r>
        <w:tab/>
        <w:t>the conciliation rules.</w:t>
      </w:r>
    </w:p>
    <w:p>
      <w:pPr>
        <w:pStyle w:val="Footnotesection"/>
      </w:pPr>
      <w:r>
        <w:tab/>
        <w:t>[Section 72L inserted: No. 8 of 2018 s. 6.]</w:t>
      </w:r>
    </w:p>
    <w:p>
      <w:pPr>
        <w:pStyle w:val="Heading3"/>
        <w:spacing w:before="280"/>
      </w:pPr>
      <w:bookmarkStart w:id="224" w:name="_Toc100238401"/>
      <w:bookmarkStart w:id="225" w:name="_Toc100239015"/>
      <w:bookmarkStart w:id="226" w:name="_Toc100562309"/>
      <w:bookmarkStart w:id="227" w:name="_Toc107309945"/>
      <w:bookmarkStart w:id="228" w:name="_Toc107479799"/>
      <w:bookmarkStart w:id="229" w:name="_Toc131501165"/>
      <w:bookmarkStart w:id="230" w:name="_Toc131501782"/>
      <w:bookmarkStart w:id="231" w:name="_Toc131514378"/>
      <w:r>
        <w:rPr>
          <w:rStyle w:val="CharDivNo"/>
        </w:rPr>
        <w:t>Division 6</w:t>
      </w:r>
      <w:r>
        <w:rPr>
          <w:snapToGrid w:val="0"/>
        </w:rPr>
        <w:t> — </w:t>
      </w:r>
      <w:r>
        <w:rPr>
          <w:rStyle w:val="CharDivText"/>
        </w:rPr>
        <w:t>Disputes between employers</w:t>
      </w:r>
      <w:bookmarkEnd w:id="224"/>
      <w:bookmarkEnd w:id="225"/>
      <w:bookmarkEnd w:id="226"/>
      <w:bookmarkEnd w:id="227"/>
      <w:bookmarkEnd w:id="228"/>
      <w:bookmarkEnd w:id="229"/>
      <w:bookmarkEnd w:id="230"/>
      <w:bookmarkEnd w:id="231"/>
    </w:p>
    <w:p>
      <w:pPr>
        <w:pStyle w:val="Heading5"/>
        <w:rPr>
          <w:snapToGrid w:val="0"/>
        </w:rPr>
      </w:pPr>
      <w:bookmarkStart w:id="232" w:name="_Toc131514379"/>
      <w:r>
        <w:rPr>
          <w:rStyle w:val="CharSectno"/>
        </w:rPr>
        <w:t>73</w:t>
      </w:r>
      <w:r>
        <w:rPr>
          <w:snapToGrid w:val="0"/>
        </w:rPr>
        <w:t>.</w:t>
      </w:r>
      <w:r>
        <w:rPr>
          <w:snapToGrid w:val="0"/>
        </w:rPr>
        <w:tab/>
        <w:t>Worker entitled but dispute between employers</w:t>
      </w:r>
      <w:bookmarkEnd w:id="232"/>
    </w:p>
    <w:p>
      <w:pPr>
        <w:pStyle w:val="Subsection"/>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rPr>
          <w:snapToGrid w:val="0"/>
        </w:rPr>
      </w:pPr>
      <w:r>
        <w:rPr>
          <w:snapToGrid w:val="0"/>
        </w:rPr>
        <w:lastRenderedPageBreak/>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r>
        <w:t>WorkCover WA</w:t>
      </w:r>
      <w:r>
        <w:rPr>
          <w:snapToGrid w:val="0"/>
        </w:rPr>
        <w:t xml:space="preserve"> shall provide </w:t>
      </w:r>
      <w:r>
        <w:t>an arbitrator dealing with the dispute</w:t>
      </w:r>
      <w:r>
        <w:rPr>
          <w:snapToGrid w:val="0"/>
        </w:rPr>
        <w:t xml:space="preserve"> with copies of the results of any relevant audiometric tests stored by </w:t>
      </w:r>
      <w:r>
        <w:t>WorkCover WA</w:t>
      </w:r>
      <w:r>
        <w:rPr>
          <w:snapToGrid w:val="0"/>
        </w:rPr>
        <w:t xml:space="preserve"> under clause 5(2) of Schedule 7.</w:t>
      </w:r>
    </w:p>
    <w:p>
      <w:pPr>
        <w:pStyle w:val="Footnotesection"/>
      </w:pPr>
      <w:r>
        <w:tab/>
        <w:t>[Section 73 amended: No. 36 of 1988 s. 11; No. 96 of 1990 s. 16; No. 48 of 1993 s. 28(1); No. 42 of 2004 s. 59, 147, 149 and 150.]</w:t>
      </w:r>
    </w:p>
    <w:p>
      <w:pPr>
        <w:pStyle w:val="Heading5"/>
        <w:rPr>
          <w:snapToGrid w:val="0"/>
        </w:rPr>
      </w:pPr>
      <w:bookmarkStart w:id="233" w:name="_Toc131514380"/>
      <w:r>
        <w:rPr>
          <w:rStyle w:val="CharSectno"/>
        </w:rPr>
        <w:t>74</w:t>
      </w:r>
      <w:r>
        <w:rPr>
          <w:snapToGrid w:val="0"/>
        </w:rPr>
        <w:t>.</w:t>
      </w:r>
      <w:r>
        <w:rPr>
          <w:snapToGrid w:val="0"/>
        </w:rPr>
        <w:tab/>
        <w:t>Worker entitled but dispute between insurers</w:t>
      </w:r>
      <w:bookmarkEnd w:id="233"/>
    </w:p>
    <w:p>
      <w:pPr>
        <w:pStyle w:val="Subsection"/>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w:t>
      </w:r>
      <w:r>
        <w:rPr>
          <w:snapToGrid w:val="0"/>
        </w:rPr>
        <w:lastRenderedPageBreak/>
        <w:t xml:space="preserve">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[Section 74 amended: No. 44 of 1985 s. 23; No. 96 of 1990 s. 17; No. 48 of 1993 s. 28(1); No. 34 of 1999 s. 16; No. 42 of 2004 s. 60, 147 and 149.]</w:t>
      </w:r>
    </w:p>
    <w:p>
      <w:pPr>
        <w:pStyle w:val="Heading5"/>
        <w:rPr>
          <w:snapToGrid w:val="0"/>
        </w:rPr>
      </w:pPr>
      <w:bookmarkStart w:id="234" w:name="_Toc131514381"/>
      <w:r>
        <w:rPr>
          <w:rStyle w:val="CharSectno"/>
        </w:rPr>
        <w:t>74A</w:t>
      </w:r>
      <w:r>
        <w:rPr>
          <w:snapToGrid w:val="0"/>
        </w:rPr>
        <w:t>.</w:t>
      </w:r>
      <w:r>
        <w:rPr>
          <w:snapToGrid w:val="0"/>
        </w:rPr>
        <w:tab/>
        <w:t>No apportionment under s. 73 or 74 for injuries before 8 Mar 1991</w:t>
      </w:r>
      <w:bookmarkEnd w:id="234"/>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Workers’ Compensation and Assistance Amendment Act 1990</w:t>
      </w:r>
      <w:r>
        <w:rPr>
          <w:snapToGrid w:val="0"/>
        </w:rPr>
        <w:t>.</w:t>
      </w:r>
    </w:p>
    <w:p>
      <w:pPr>
        <w:pStyle w:val="Footnotesection"/>
        <w:keepLines w:val="0"/>
      </w:pPr>
      <w:r>
        <w:tab/>
        <w:t>[Section 74A inserted: No. 96 of 1990 s. 18; amended: No. 42 of 2004 s. 146.]</w:t>
      </w:r>
    </w:p>
    <w:p>
      <w:pPr>
        <w:pStyle w:val="Heading5"/>
        <w:rPr>
          <w:snapToGrid w:val="0"/>
        </w:rPr>
      </w:pPr>
      <w:bookmarkStart w:id="235" w:name="_Toc131514382"/>
      <w:r>
        <w:rPr>
          <w:rStyle w:val="CharSectno"/>
        </w:rPr>
        <w:t>75</w:t>
      </w:r>
      <w:r>
        <w:rPr>
          <w:snapToGrid w:val="0"/>
        </w:rPr>
        <w:t>.</w:t>
      </w:r>
      <w:r>
        <w:rPr>
          <w:snapToGrid w:val="0"/>
        </w:rPr>
        <w:tab/>
        <w:t>Obligation to make weekly payments preserved</w:t>
      </w:r>
      <w:bookmarkEnd w:id="235"/>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keepNext/>
      </w:pPr>
      <w:r>
        <w:lastRenderedPageBreak/>
        <w:tab/>
        <w:t>(2)</w:t>
      </w:r>
      <w:r>
        <w:tab/>
        <w:t>An employer or insurer that gives notification contrary to subsection (1) commits an offence.</w:t>
      </w:r>
    </w:p>
    <w:p>
      <w:pPr>
        <w:pStyle w:val="Penstart"/>
      </w:pPr>
      <w:r>
        <w:tab/>
        <w:t>Penalty: $1 000.</w:t>
      </w:r>
    </w:p>
    <w:p>
      <w:pPr>
        <w:pStyle w:val="Footnotesection"/>
      </w:pPr>
      <w:r>
        <w:tab/>
        <w:t>[Section 75 inserted: No. 96 of 1990 s. 19; amended: No. 42 of 2004 s. 61.]</w:t>
      </w:r>
    </w:p>
    <w:p>
      <w:pPr>
        <w:pStyle w:val="Heading3"/>
      </w:pPr>
      <w:bookmarkStart w:id="236" w:name="_Toc100238406"/>
      <w:bookmarkStart w:id="237" w:name="_Toc100239020"/>
      <w:bookmarkStart w:id="238" w:name="_Toc100562314"/>
      <w:bookmarkStart w:id="239" w:name="_Toc107309950"/>
      <w:bookmarkStart w:id="240" w:name="_Toc107479804"/>
      <w:bookmarkStart w:id="241" w:name="_Toc131501170"/>
      <w:bookmarkStart w:id="242" w:name="_Toc131501787"/>
      <w:bookmarkStart w:id="243" w:name="_Toc131514383"/>
      <w:r>
        <w:rPr>
          <w:rStyle w:val="CharDivNo"/>
        </w:rPr>
        <w:t>Division 7</w:t>
      </w:r>
      <w:r>
        <w:rPr>
          <w:snapToGrid w:val="0"/>
        </w:rPr>
        <w:t> — </w:t>
      </w:r>
      <w:r>
        <w:rPr>
          <w:rStyle w:val="CharDivText"/>
        </w:rPr>
        <w:t>Agreements</w:t>
      </w:r>
      <w:bookmarkEnd w:id="236"/>
      <w:bookmarkEnd w:id="237"/>
      <w:bookmarkEnd w:id="238"/>
      <w:bookmarkEnd w:id="239"/>
      <w:bookmarkEnd w:id="240"/>
      <w:bookmarkEnd w:id="241"/>
      <w:bookmarkEnd w:id="242"/>
      <w:bookmarkEnd w:id="243"/>
    </w:p>
    <w:p>
      <w:pPr>
        <w:pStyle w:val="Heading5"/>
        <w:rPr>
          <w:snapToGrid w:val="0"/>
        </w:rPr>
      </w:pPr>
      <w:bookmarkStart w:id="244" w:name="_Toc131514384"/>
      <w:r>
        <w:rPr>
          <w:rStyle w:val="CharSectno"/>
        </w:rPr>
        <w:t>76</w:t>
      </w:r>
      <w:r>
        <w:rPr>
          <w:snapToGrid w:val="0"/>
        </w:rPr>
        <w:t>.</w:t>
      </w:r>
      <w:r>
        <w:rPr>
          <w:snapToGrid w:val="0"/>
        </w:rPr>
        <w:tab/>
        <w:t>Agreement as to compensation etc., registration and effect of memorandum of</w:t>
      </w:r>
      <w:bookmarkEnd w:id="244"/>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rPr>
          <w:snapToGrid w:val="0"/>
        </w:rPr>
      </w:pPr>
      <w:r>
        <w:rPr>
          <w:snapToGrid w:val="0"/>
        </w:rPr>
        <w:tab/>
        <w:t>(2)</w:t>
      </w:r>
      <w:r>
        <w:rPr>
          <w:snapToGrid w:val="0"/>
        </w:rPr>
        <w:tab/>
        <w:t>No such memorandum shall be recorded before 7 days after the despatch by the Director of notice to the parties interested.</w:t>
      </w:r>
    </w:p>
    <w:p>
      <w:pPr>
        <w:pStyle w:val="Subsection"/>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rPr>
          <w:snapToGrid w:val="0"/>
        </w:rPr>
      </w:pPr>
      <w:r>
        <w:rPr>
          <w:snapToGrid w:val="0"/>
        </w:rPr>
        <w:tab/>
        <w:t>(3)</w:t>
      </w:r>
      <w:r>
        <w:rPr>
          <w:snapToGrid w:val="0"/>
        </w:rPr>
        <w:tab/>
        <w:t xml:space="preserve">No agreement between a worker and an employer has any force or validity if it exempts the employer wholly or partially from </w:t>
      </w:r>
      <w:r>
        <w:rPr>
          <w:snapToGrid w:val="0"/>
        </w:rPr>
        <w:lastRenderedPageBreak/>
        <w:t>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w:t>
      </w:r>
      <w:r>
        <w:rPr>
          <w:snapToGrid w:val="0"/>
        </w:rPr>
        <w:lastRenderedPageBreak/>
        <w:t xml:space="preserve">excessive, the Director shall refuse to record the memorandum of the agreement sent for registration, and in that case shall refer the matter </w:t>
      </w:r>
      <w:r>
        <w:t>to the Registrar who shall allocate it to an arbitrator to</w:t>
      </w:r>
      <w:r>
        <w:rPr>
          <w:snapToGrid w:val="0"/>
        </w:rPr>
        <w:t xml:space="preserve"> make such order (including an order as to any sum already paid under the agreement) as </w:t>
      </w:r>
      <w:r>
        <w:t>the arbitrator thinks</w:t>
      </w:r>
      <w:r>
        <w:rPr>
          <w:snapToGrid w:val="0"/>
        </w:rPr>
        <w:t xml:space="preserve">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w:t>
      </w:r>
      <w:r>
        <w:rPr>
          <w:snapToGrid w:val="0"/>
        </w:rPr>
        <w:lastRenderedPageBreak/>
        <w:t xml:space="preserve">any sum already paid under the agreement) as under the circumstances </w:t>
      </w:r>
      <w:r>
        <w:t>the arbitrator</w:t>
      </w:r>
      <w:r>
        <w:rPr>
          <w:snapToGrid w:val="0"/>
        </w:rPr>
        <w:t xml:space="preserve"> thinks just.</w:t>
      </w:r>
    </w:p>
    <w:p>
      <w:pPr>
        <w:pStyle w:val="Subsection"/>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[Section 76 amended: No. 48 of 1993 s. 28(1) and 38; No. 33 of 1999 s. 6; No. 34 of 1999 s. 17; No. 74 of 2003 s. 134(2); No. 42 of 2004 s. 62 and 146; No. 31 of 2011 s. 27.]</w:t>
      </w:r>
    </w:p>
    <w:p>
      <w:pPr>
        <w:pStyle w:val="Heading5"/>
        <w:rPr>
          <w:snapToGrid w:val="0"/>
        </w:rPr>
      </w:pPr>
      <w:bookmarkStart w:id="245" w:name="_Toc131514385"/>
      <w:r>
        <w:rPr>
          <w:rStyle w:val="CharSectno"/>
        </w:rPr>
        <w:t>77</w:t>
      </w:r>
      <w:r>
        <w:rPr>
          <w:snapToGrid w:val="0"/>
        </w:rPr>
        <w:t>.</w:t>
      </w:r>
      <w:r>
        <w:rPr>
          <w:snapToGrid w:val="0"/>
        </w:rPr>
        <w:tab/>
        <w:t>Agreements unenforceable unless registered under s. 76</w:t>
      </w:r>
      <w:bookmarkEnd w:id="245"/>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246" w:name="_Toc131514386"/>
      <w:r>
        <w:rPr>
          <w:rStyle w:val="CharSectno"/>
        </w:rPr>
        <w:t>78</w:t>
      </w:r>
      <w:r>
        <w:rPr>
          <w:snapToGrid w:val="0"/>
        </w:rPr>
        <w:t>.</w:t>
      </w:r>
      <w:r>
        <w:rPr>
          <w:snapToGrid w:val="0"/>
        </w:rPr>
        <w:tab/>
        <w:t>Effect of non</w:t>
      </w:r>
      <w:r>
        <w:rPr>
          <w:snapToGrid w:val="0"/>
        </w:rPr>
        <w:noBreakHyphen/>
        <w:t>registration of agreement</w:t>
      </w:r>
      <w:bookmarkEnd w:id="246"/>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No. 42 of 2004 s. 146.]</w:t>
      </w:r>
    </w:p>
    <w:p>
      <w:pPr>
        <w:pStyle w:val="Heading3"/>
      </w:pPr>
      <w:bookmarkStart w:id="247" w:name="_Toc100238410"/>
      <w:bookmarkStart w:id="248" w:name="_Toc100239024"/>
      <w:bookmarkStart w:id="249" w:name="_Toc100562318"/>
      <w:bookmarkStart w:id="250" w:name="_Toc107309954"/>
      <w:bookmarkStart w:id="251" w:name="_Toc107479808"/>
      <w:bookmarkStart w:id="252" w:name="_Toc131501174"/>
      <w:bookmarkStart w:id="253" w:name="_Toc131501791"/>
      <w:bookmarkStart w:id="254" w:name="_Toc131514387"/>
      <w:r>
        <w:rPr>
          <w:rStyle w:val="CharDivNo"/>
        </w:rPr>
        <w:lastRenderedPageBreak/>
        <w:t>Division 8</w:t>
      </w:r>
      <w:r>
        <w:rPr>
          <w:snapToGrid w:val="0"/>
        </w:rPr>
        <w:t> — </w:t>
      </w:r>
      <w:r>
        <w:rPr>
          <w:rStyle w:val="CharDivText"/>
        </w:rPr>
        <w:t>Other matters affecting compensation</w:t>
      </w:r>
      <w:bookmarkEnd w:id="247"/>
      <w:bookmarkEnd w:id="248"/>
      <w:bookmarkEnd w:id="249"/>
      <w:bookmarkEnd w:id="250"/>
      <w:bookmarkEnd w:id="251"/>
      <w:bookmarkEnd w:id="252"/>
      <w:bookmarkEnd w:id="253"/>
      <w:bookmarkEnd w:id="254"/>
    </w:p>
    <w:p>
      <w:pPr>
        <w:pStyle w:val="Heading5"/>
        <w:rPr>
          <w:snapToGrid w:val="0"/>
        </w:rPr>
      </w:pPr>
      <w:bookmarkStart w:id="255" w:name="_Toc131514388"/>
      <w:r>
        <w:rPr>
          <w:rStyle w:val="CharSectno"/>
        </w:rPr>
        <w:t>79</w:t>
      </w:r>
      <w:r>
        <w:rPr>
          <w:snapToGrid w:val="0"/>
        </w:rPr>
        <w:t>.</w:t>
      </w:r>
      <w:r>
        <w:rPr>
          <w:snapToGrid w:val="0"/>
        </w:rPr>
        <w:tab/>
        <w:t>Wilful and false representation by worker</w:t>
      </w:r>
      <w:bookmarkEnd w:id="255"/>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[Section 79 amended: No. 48 of 1993 s. 28(1); No. 42 of 2004 s. 63, 146 and 147.]</w:t>
      </w:r>
    </w:p>
    <w:p>
      <w:pPr>
        <w:pStyle w:val="Heading5"/>
        <w:rPr>
          <w:snapToGrid w:val="0"/>
        </w:rPr>
      </w:pPr>
      <w:bookmarkStart w:id="256" w:name="_Toc131514389"/>
      <w:r>
        <w:rPr>
          <w:rStyle w:val="CharSectno"/>
        </w:rPr>
        <w:t>80</w:t>
      </w:r>
      <w:r>
        <w:rPr>
          <w:snapToGrid w:val="0"/>
        </w:rPr>
        <w:t>.</w:t>
      </w:r>
      <w:r>
        <w:rPr>
          <w:snapToGrid w:val="0"/>
        </w:rPr>
        <w:tab/>
        <w:t>Effect of leave entitlements; effect on sick leave</w:t>
      </w:r>
      <w:bookmarkEnd w:id="256"/>
    </w:p>
    <w:p>
      <w:pPr>
        <w:pStyle w:val="Subsection"/>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keepLines/>
        <w:rPr>
          <w:snapToGrid w:val="0"/>
        </w:rPr>
      </w:pPr>
      <w:r>
        <w:rPr>
          <w:snapToGrid w:val="0"/>
        </w:rPr>
        <w:lastRenderedPageBreak/>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pPr>
      <w:r>
        <w:tab/>
        <w:t>[Section 80 amended: No. 42 of 2004 s. 64 and 147.]</w:t>
      </w:r>
    </w:p>
    <w:p>
      <w:pPr>
        <w:pStyle w:val="Heading5"/>
        <w:rPr>
          <w:snapToGrid w:val="0"/>
        </w:rPr>
      </w:pPr>
      <w:bookmarkStart w:id="257" w:name="_Toc131514390"/>
      <w:r>
        <w:rPr>
          <w:rStyle w:val="CharSectno"/>
        </w:rPr>
        <w:t>81</w:t>
      </w:r>
      <w:r>
        <w:rPr>
          <w:snapToGrid w:val="0"/>
        </w:rPr>
        <w:t>.</w:t>
      </w:r>
      <w:r>
        <w:rPr>
          <w:snapToGrid w:val="0"/>
        </w:rPr>
        <w:tab/>
        <w:t>Effect on public holidays pay</w:t>
      </w:r>
      <w:bookmarkEnd w:id="257"/>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258" w:name="_Toc131514391"/>
      <w:r>
        <w:rPr>
          <w:rStyle w:val="CharSectno"/>
        </w:rPr>
        <w:t>82</w:t>
      </w:r>
      <w:r>
        <w:rPr>
          <w:snapToGrid w:val="0"/>
        </w:rPr>
        <w:t>.</w:t>
      </w:r>
      <w:r>
        <w:rPr>
          <w:snapToGrid w:val="0"/>
        </w:rPr>
        <w:tab/>
        <w:t>Services rendered to worker for which employer liable, payment for</w:t>
      </w:r>
      <w:bookmarkEnd w:id="258"/>
    </w:p>
    <w:p>
      <w:pPr>
        <w:pStyle w:val="Subsection"/>
        <w:spacing w:before="140"/>
        <w:rPr>
          <w:snapToGrid w:val="0"/>
        </w:rPr>
      </w:pPr>
      <w:r>
        <w:rPr>
          <w:snapToGrid w:val="0"/>
        </w:rPr>
        <w:tab/>
      </w:r>
      <w:r>
        <w:rPr>
          <w:snapToGrid w:val="0"/>
        </w:rPr>
        <w:tab/>
        <w:t>Where a person or authority has rendered to or provided for a worker any services for the cost of which the employer is liable to pay to the worker under this Act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259" w:name="_Toc131514392"/>
      <w:r>
        <w:rPr>
          <w:rStyle w:val="CharSectno"/>
        </w:rPr>
        <w:t>83</w:t>
      </w:r>
      <w:r>
        <w:rPr>
          <w:snapToGrid w:val="0"/>
        </w:rPr>
        <w:t>.</w:t>
      </w:r>
      <w:r>
        <w:rPr>
          <w:snapToGrid w:val="0"/>
        </w:rPr>
        <w:tab/>
        <w:t>Partially incapacitated workers, employment of</w:t>
      </w:r>
      <w:bookmarkEnd w:id="259"/>
    </w:p>
    <w:p>
      <w:pPr>
        <w:pStyle w:val="Subsection"/>
        <w:spacing w:before="140"/>
        <w:rPr>
          <w:snapToGrid w:val="0"/>
        </w:rPr>
      </w:pPr>
      <w:r>
        <w:rPr>
          <w:snapToGrid w:val="0"/>
        </w:rPr>
        <w:tab/>
        <w:t>(1)</w:t>
      </w:r>
      <w:r>
        <w:rPr>
          <w:snapToGrid w:val="0"/>
        </w:rPr>
        <w:tab/>
        <w:t xml:space="preserve">Notwithstanding any industrial award or industrial agreement, other than any </w:t>
      </w:r>
      <w:r>
        <w:t>prescribed Commonwealth award or agreement,</w:t>
      </w:r>
      <w:r>
        <w:rPr>
          <w:snapToGrid w:val="0"/>
        </w:rPr>
        <w:t xml:space="preserve"> </w:t>
      </w:r>
      <w:r>
        <w:rPr>
          <w:snapToGrid w:val="0"/>
        </w:rPr>
        <w:lastRenderedPageBreak/>
        <w:t xml:space="preserve">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spacing w:before="140"/>
      </w:pPr>
      <w:r>
        <w:tab/>
        <w:t>(2A)</w:t>
      </w:r>
      <w:r>
        <w:tab/>
        <w:t xml:space="preserve">In subsection (1) — </w:t>
      </w:r>
    </w:p>
    <w:p>
      <w:pPr>
        <w:pStyle w:val="Defstart"/>
      </w:pPr>
      <w:r>
        <w:tab/>
      </w:r>
      <w:r>
        <w:rPr>
          <w:rStyle w:val="CharDefText"/>
        </w:rPr>
        <w:t>prescribed Commonwealth award or agreement</w:t>
      </w:r>
      <w:r>
        <w:t xml:space="preserve"> means an award, order, agreement or other instrument — </w:t>
      </w:r>
    </w:p>
    <w:p>
      <w:pPr>
        <w:pStyle w:val="Defpara"/>
      </w:pPr>
      <w:r>
        <w:tab/>
        <w:t>(a)</w:t>
      </w:r>
      <w:r>
        <w:tab/>
        <w:t>of a class prescribed by the regulations; and</w:t>
      </w:r>
    </w:p>
    <w:p>
      <w:pPr>
        <w:pStyle w:val="Defpara"/>
      </w:pPr>
      <w:r>
        <w:tab/>
        <w:t>(b)</w:t>
      </w:r>
      <w:r>
        <w:tab/>
        <w:t>under a law of the Commonwealth prescribed by the regulations.</w:t>
      </w:r>
    </w:p>
    <w:p>
      <w:pPr>
        <w:pStyle w:val="Subsection"/>
        <w:keepNext/>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[Section 83 amended: No. 48 of 1993 s. 28(1); No. 42 of 2004 s. 65, 146 and 147; No. 31 of 2011 s. 95.]</w:t>
      </w:r>
    </w:p>
    <w:p>
      <w:pPr>
        <w:pStyle w:val="Heading5"/>
        <w:rPr>
          <w:snapToGrid w:val="0"/>
        </w:rPr>
      </w:pPr>
      <w:bookmarkStart w:id="260" w:name="_Toc131514393"/>
      <w:r>
        <w:rPr>
          <w:rStyle w:val="CharSectno"/>
        </w:rPr>
        <w:t>84</w:t>
      </w:r>
      <w:r>
        <w:rPr>
          <w:snapToGrid w:val="0"/>
        </w:rPr>
        <w:t>.</w:t>
      </w:r>
      <w:r>
        <w:rPr>
          <w:snapToGrid w:val="0"/>
        </w:rPr>
        <w:tab/>
        <w:t>Worker not to be prejudiced by resuming work</w:t>
      </w:r>
      <w:bookmarkEnd w:id="260"/>
    </w:p>
    <w:p>
      <w:pPr>
        <w:pStyle w:val="Subsection"/>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No. 42 of 2004 s. 147.]</w:t>
      </w:r>
    </w:p>
    <w:p>
      <w:pPr>
        <w:pStyle w:val="Heading5"/>
        <w:rPr>
          <w:snapToGrid w:val="0"/>
        </w:rPr>
      </w:pPr>
      <w:bookmarkStart w:id="261" w:name="_Toc131514394"/>
      <w:r>
        <w:rPr>
          <w:rStyle w:val="CharSectno"/>
        </w:rPr>
        <w:t>84AA</w:t>
      </w:r>
      <w:r>
        <w:rPr>
          <w:snapToGrid w:val="0"/>
        </w:rPr>
        <w:t>.</w:t>
      </w:r>
      <w:r>
        <w:rPr>
          <w:snapToGrid w:val="0"/>
        </w:rPr>
        <w:tab/>
        <w:t>Employer to keep position available during worker’s incapacity</w:t>
      </w:r>
      <w:bookmarkEnd w:id="261"/>
    </w:p>
    <w:p>
      <w:pPr>
        <w:pStyle w:val="Subsection"/>
        <w:keepNext/>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w:t>
      </w:r>
      <w:r>
        <w:rPr>
          <w:snapToGrid w:val="0"/>
        </w:rPr>
        <w:lastRenderedPageBreak/>
        <w:t>compensation from the employer, the employer shall provide to the worker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keepNext/>
        <w:rPr>
          <w:snapToGrid w:val="0"/>
        </w:rPr>
      </w:pPr>
      <w:r>
        <w:rPr>
          <w:snapToGrid w:val="0"/>
        </w:rPr>
        <w:tab/>
        <w:t>(b)</w:t>
      </w:r>
      <w:r>
        <w:rPr>
          <w:snapToGrid w:val="0"/>
        </w:rPr>
        <w:tab/>
        <w:t>if the position is not available, or if the worker does not have the capacity to work in that position, a position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spacing w:before="140"/>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spacing w:before="140"/>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spacing w:before="100"/>
      </w:pPr>
      <w:r>
        <w:tab/>
        <w:t>[Section 84AA inserted: No. 48 of 1993 s. 39; amended: No. 42 of 2004 s. 147.]</w:t>
      </w:r>
    </w:p>
    <w:p>
      <w:pPr>
        <w:pStyle w:val="Heading5"/>
      </w:pPr>
      <w:bookmarkStart w:id="262" w:name="_Toc131514395"/>
      <w:r>
        <w:rPr>
          <w:rStyle w:val="CharSectno"/>
        </w:rPr>
        <w:t>84AB</w:t>
      </w:r>
      <w:r>
        <w:t>.</w:t>
      </w:r>
      <w:r>
        <w:tab/>
        <w:t>Employer to notify worker and WorkCover WA of intention to dismiss worker</w:t>
      </w:r>
      <w:bookmarkEnd w:id="262"/>
    </w:p>
    <w:p>
      <w:pPr>
        <w:pStyle w:val="Subsection"/>
        <w:spacing w:before="140"/>
      </w:pPr>
      <w:r>
        <w:tab/>
        <w:t>(1)</w:t>
      </w:r>
      <w:r>
        <w:tab/>
        <w:t xml:space="preserve">An employer must not dismiss a worker to whom section 84AA(1) applies unless the employer has given to the </w:t>
      </w:r>
      <w:r>
        <w:lastRenderedPageBreak/>
        <w:t>worker and to WorkCover WA in accordance with subsection (2) a notice of intention to dismiss the worker.</w:t>
      </w:r>
    </w:p>
    <w:p>
      <w:pPr>
        <w:pStyle w:val="Penstart"/>
      </w:pPr>
      <w:r>
        <w:tab/>
        <w:t>Penalty: $2 000.</w:t>
      </w:r>
    </w:p>
    <w:p>
      <w:pPr>
        <w:pStyle w:val="Subsection"/>
        <w:keepNext/>
        <w:spacing w:before="140"/>
      </w:pPr>
      <w:r>
        <w:tab/>
        <w:t>(2)</w:t>
      </w:r>
      <w:r>
        <w:tab/>
        <w:t>A notice of intention to dismiss a worker —</w:t>
      </w:r>
    </w:p>
    <w:p>
      <w:pPr>
        <w:pStyle w:val="Indenta"/>
        <w:spacing w:before="60"/>
      </w:pPr>
      <w:r>
        <w:tab/>
        <w:t>(a)</w:t>
      </w:r>
      <w:r>
        <w:tab/>
        <w:t>is to be given to the worker and to WorkCover WA not less than 28 days before the dismissal is to take effect; and</w:t>
      </w:r>
    </w:p>
    <w:p>
      <w:pPr>
        <w:pStyle w:val="Indenta"/>
        <w:spacing w:before="60"/>
      </w:pPr>
      <w:r>
        <w:tab/>
        <w:t>(b)</w:t>
      </w:r>
      <w:r>
        <w:tab/>
        <w:t>is to be in or to the effect of the form prescribed and contain substantially the information sought in the form.</w:t>
      </w:r>
    </w:p>
    <w:p>
      <w:pPr>
        <w:pStyle w:val="Subsection"/>
        <w:spacing w:before="140"/>
      </w:pPr>
      <w:r>
        <w:tab/>
        <w:t>(3)</w:t>
      </w:r>
      <w:r>
        <w:tab/>
        <w:t>Nothing in this section limits any other obligation of an employer or rights of a worker under this Act or any other written law.</w:t>
      </w:r>
    </w:p>
    <w:p>
      <w:pPr>
        <w:pStyle w:val="Footnotesection"/>
        <w:spacing w:before="100"/>
      </w:pPr>
      <w:r>
        <w:tab/>
        <w:t>[Section 84AB inserted: No. 42 of 2004 s. 66.]</w:t>
      </w:r>
    </w:p>
    <w:p>
      <w:pPr>
        <w:pStyle w:val="Ednotepart"/>
        <w:ind w:left="1311" w:hanging="1311"/>
        <w:outlineLvl w:val="9"/>
      </w:pPr>
      <w:r>
        <w:t>[Part IIIA:</w:t>
      </w:r>
      <w:r>
        <w:tab/>
        <w:t>s. 84A</w:t>
      </w:r>
      <w:r>
        <w:noBreakHyphen/>
        <w:t>84ZZ deleted: No. 42 of 2004 s. 67;</w:t>
      </w:r>
      <w:r>
        <w:br/>
        <w:t>s. 84ZZA, 84ZZB deleted: No. 59 of 2004 s. 131.]</w:t>
      </w:r>
    </w:p>
    <w:p>
      <w:pPr>
        <w:pStyle w:val="Heading2"/>
      </w:pPr>
      <w:bookmarkStart w:id="263" w:name="_Toc100238419"/>
      <w:bookmarkStart w:id="264" w:name="_Toc100239033"/>
      <w:bookmarkStart w:id="265" w:name="_Toc100562327"/>
      <w:bookmarkStart w:id="266" w:name="_Toc107309963"/>
      <w:bookmarkStart w:id="267" w:name="_Toc107479817"/>
      <w:bookmarkStart w:id="268" w:name="_Toc131501183"/>
      <w:bookmarkStart w:id="269" w:name="_Toc131501800"/>
      <w:bookmarkStart w:id="270" w:name="_Toc131514396"/>
      <w:r>
        <w:rPr>
          <w:rStyle w:val="CharPartNo"/>
        </w:rPr>
        <w:lastRenderedPageBreak/>
        <w:t>Part IV</w:t>
      </w:r>
      <w:r>
        <w:t> — </w:t>
      </w:r>
      <w:r>
        <w:rPr>
          <w:rStyle w:val="CharPartText"/>
        </w:rPr>
        <w:t>Civil proceedings in addition to or independent of this Act</w:t>
      </w:r>
      <w:bookmarkEnd w:id="263"/>
      <w:bookmarkEnd w:id="264"/>
      <w:bookmarkEnd w:id="265"/>
      <w:bookmarkEnd w:id="266"/>
      <w:bookmarkEnd w:id="267"/>
      <w:bookmarkEnd w:id="268"/>
      <w:bookmarkEnd w:id="269"/>
      <w:bookmarkEnd w:id="270"/>
    </w:p>
    <w:p>
      <w:pPr>
        <w:pStyle w:val="Heading3"/>
      </w:pPr>
      <w:bookmarkStart w:id="271" w:name="_Toc100238420"/>
      <w:bookmarkStart w:id="272" w:name="_Toc100239034"/>
      <w:bookmarkStart w:id="273" w:name="_Toc100562328"/>
      <w:bookmarkStart w:id="274" w:name="_Toc107309964"/>
      <w:bookmarkStart w:id="275" w:name="_Toc107479818"/>
      <w:bookmarkStart w:id="276" w:name="_Toc131501184"/>
      <w:bookmarkStart w:id="277" w:name="_Toc131501801"/>
      <w:bookmarkStart w:id="278" w:name="_Toc131514397"/>
      <w:r>
        <w:rPr>
          <w:rStyle w:val="CharDivNo"/>
        </w:rPr>
        <w:t>Division 1</w:t>
      </w:r>
      <w:r>
        <w:rPr>
          <w:snapToGrid w:val="0"/>
        </w:rPr>
        <w:t> — </w:t>
      </w:r>
      <w:r>
        <w:rPr>
          <w:rStyle w:val="CharDivText"/>
        </w:rPr>
        <w:t>General</w:t>
      </w:r>
      <w:bookmarkEnd w:id="271"/>
      <w:bookmarkEnd w:id="272"/>
      <w:bookmarkEnd w:id="273"/>
      <w:bookmarkEnd w:id="274"/>
      <w:bookmarkEnd w:id="275"/>
      <w:bookmarkEnd w:id="276"/>
      <w:bookmarkEnd w:id="277"/>
      <w:bookmarkEnd w:id="278"/>
    </w:p>
    <w:p>
      <w:pPr>
        <w:pStyle w:val="Footnoteheading"/>
        <w:rPr>
          <w:snapToGrid w:val="0"/>
        </w:rPr>
      </w:pPr>
      <w:r>
        <w:rPr>
          <w:snapToGrid w:val="0"/>
        </w:rPr>
        <w:tab/>
        <w:t>[Heading inserted: No. 48 of 1993 s. 4(1).]</w:t>
      </w:r>
    </w:p>
    <w:p>
      <w:pPr>
        <w:pStyle w:val="Heading5"/>
        <w:rPr>
          <w:snapToGrid w:val="0"/>
        </w:rPr>
      </w:pPr>
      <w:bookmarkStart w:id="279" w:name="_Toc131514398"/>
      <w:r>
        <w:rPr>
          <w:rStyle w:val="CharSectno"/>
        </w:rPr>
        <w:t>85</w:t>
      </w:r>
      <w:r>
        <w:rPr>
          <w:snapToGrid w:val="0"/>
        </w:rPr>
        <w:t>.</w:t>
      </w:r>
      <w:r>
        <w:rPr>
          <w:snapToGrid w:val="0"/>
        </w:rPr>
        <w:tab/>
        <w:t>Motor vehicle cases not affected by this Part</w:t>
      </w:r>
      <w:bookmarkEnd w:id="279"/>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280" w:name="_Toc131514399"/>
      <w:r>
        <w:rPr>
          <w:rStyle w:val="CharSectno"/>
        </w:rPr>
        <w:t>86</w:t>
      </w:r>
      <w:r>
        <w:rPr>
          <w:snapToGrid w:val="0"/>
        </w:rPr>
        <w:t>.</w:t>
      </w:r>
      <w:r>
        <w:rPr>
          <w:snapToGrid w:val="0"/>
        </w:rPr>
        <w:tab/>
        <w:t>Liability independent of this Act not affected by this Part</w:t>
      </w:r>
      <w:bookmarkEnd w:id="280"/>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281" w:name="_Toc131514400"/>
      <w:r>
        <w:rPr>
          <w:rStyle w:val="CharSectno"/>
        </w:rPr>
        <w:t>87</w:t>
      </w:r>
      <w:r>
        <w:rPr>
          <w:snapToGrid w:val="0"/>
        </w:rPr>
        <w:t>.</w:t>
      </w:r>
      <w:r>
        <w:rPr>
          <w:snapToGrid w:val="0"/>
        </w:rPr>
        <w:tab/>
        <w:t>Solicitor-client costs, limits on agreements as to</w:t>
      </w:r>
      <w:bookmarkEnd w:id="281"/>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legal costs determination made under the </w:t>
      </w:r>
      <w:r>
        <w:rPr>
          <w:i/>
        </w:rPr>
        <w:t>Legal Profession Uniform Law Application Act 2022</w:t>
      </w:r>
      <w:r>
        <w:t xml:space="preserve"> section 133.</w:t>
      </w:r>
    </w:p>
    <w:p>
      <w:pPr>
        <w:pStyle w:val="Subsection"/>
        <w:rPr>
          <w:snapToGrid w:val="0"/>
        </w:rPr>
      </w:pPr>
      <w:r>
        <w:rPr>
          <w:snapToGrid w:val="0"/>
        </w:rPr>
        <w:tab/>
        <w:t>(3)</w:t>
      </w:r>
      <w:r>
        <w:rPr>
          <w:snapToGrid w:val="0"/>
        </w:rPr>
        <w:tab/>
        <w:t>An agreement is void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lastRenderedPageBreak/>
        <w:t>Workers’ Compensation and Rehabilitation Amendment Act 1993</w:t>
      </w:r>
      <w:r>
        <w:rPr>
          <w:snapToGrid w:val="0"/>
        </w:rPr>
        <w:t>.</w:t>
      </w:r>
    </w:p>
    <w:p>
      <w:pPr>
        <w:pStyle w:val="Footnotesection"/>
      </w:pPr>
      <w:r>
        <w:tab/>
        <w:t>[Section 87 inserted: No. 48 of 1993 s. 4(2); amended: No. 65 of 2003 s. 72(2); No. 21 of 2008 s. 713(2); No. 9 of 2022 s. 412.]</w:t>
      </w:r>
    </w:p>
    <w:p>
      <w:pPr>
        <w:pStyle w:val="Ednotesection"/>
        <w:outlineLvl w:val="9"/>
      </w:pPr>
      <w:r>
        <w:t>[</w:t>
      </w:r>
      <w:r>
        <w:rPr>
          <w:b/>
        </w:rPr>
        <w:t>88</w:t>
      </w:r>
      <w:r>
        <w:rPr>
          <w:b/>
        </w:rPr>
        <w:noBreakHyphen/>
        <w:t>90.</w:t>
      </w:r>
      <w:r>
        <w:tab/>
        <w:t>Deleted: No. 48 of 1993 s. 4(2).]</w:t>
      </w:r>
    </w:p>
    <w:p>
      <w:pPr>
        <w:pStyle w:val="Heading5"/>
        <w:rPr>
          <w:snapToGrid w:val="0"/>
        </w:rPr>
      </w:pPr>
      <w:bookmarkStart w:id="282" w:name="_Toc131514401"/>
      <w:r>
        <w:rPr>
          <w:rStyle w:val="CharSectno"/>
        </w:rPr>
        <w:t>91</w:t>
      </w:r>
      <w:r>
        <w:rPr>
          <w:snapToGrid w:val="0"/>
        </w:rPr>
        <w:t>.</w:t>
      </w:r>
      <w:r>
        <w:rPr>
          <w:snapToGrid w:val="0"/>
        </w:rPr>
        <w:tab/>
        <w:t>Court’s duties where action for damages unsuccessful but workers’ compensation is payable</w:t>
      </w:r>
      <w:bookmarkEnd w:id="282"/>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conciliation rules and the arbitration rules, a referral under subsection (1) is to be dealt with as if it were an application for resolution of a dispute under Part XI.</w:t>
      </w:r>
    </w:p>
    <w:p>
      <w:pPr>
        <w:pStyle w:val="Footnotesection"/>
      </w:pPr>
      <w:r>
        <w:tab/>
        <w:t>[Section 91 amended: No. 48 of 1993 s. 28(1); No. 42 of 2004 s. 68 and 147; No. 31 of 2011 s. 28.]</w:t>
      </w:r>
    </w:p>
    <w:p>
      <w:pPr>
        <w:pStyle w:val="Heading5"/>
        <w:rPr>
          <w:snapToGrid w:val="0"/>
        </w:rPr>
      </w:pPr>
      <w:bookmarkStart w:id="283" w:name="_Toc131514402"/>
      <w:r>
        <w:rPr>
          <w:rStyle w:val="CharSectno"/>
        </w:rPr>
        <w:t>92</w:t>
      </w:r>
      <w:r>
        <w:rPr>
          <w:snapToGrid w:val="0"/>
        </w:rPr>
        <w:t>.</w:t>
      </w:r>
      <w:r>
        <w:rPr>
          <w:snapToGrid w:val="0"/>
        </w:rPr>
        <w:tab/>
        <w:t>Both damages and workers’ compensation not recoverable</w:t>
      </w:r>
      <w:bookmarkEnd w:id="283"/>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t xml:space="preserve">the </w:t>
      </w:r>
      <w:r>
        <w:rPr>
          <w:rStyle w:val="CharDefText"/>
        </w:rPr>
        <w:t>defendant</w:t>
      </w:r>
      <w:r>
        <w:rPr>
          <w:snapToGrid w:val="0"/>
        </w:rPr>
        <w:t>) or against both of them —</w:t>
      </w:r>
    </w:p>
    <w:p>
      <w:pPr>
        <w:pStyle w:val="Indenta"/>
        <w:rPr>
          <w:snapToGrid w:val="0"/>
        </w:rPr>
      </w:pPr>
      <w:r>
        <w:rPr>
          <w:snapToGrid w:val="0"/>
        </w:rPr>
        <w:tab/>
        <w:t>(a)</w:t>
      </w:r>
      <w:r>
        <w:rPr>
          <w:snapToGrid w:val="0"/>
        </w:rPr>
        <w:tab/>
        <w:t xml:space="preserve">if the court decides the action should succeed, then after damages have been ascertained but before judgment is entered for the worker in the action, the worker shall be </w:t>
      </w:r>
      <w:r>
        <w:rPr>
          <w:snapToGrid w:val="0"/>
        </w:rPr>
        <w:lastRenderedPageBreak/>
        <w:t>given a reasonable opportunity to elect whether to have judgment or to discontinue the action;</w:t>
      </w:r>
    </w:p>
    <w:p>
      <w:pPr>
        <w:pStyle w:val="Indenta"/>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rPr>
          <w:snapToGrid w:val="0"/>
        </w:rPr>
      </w:pPr>
      <w:r>
        <w:rPr>
          <w:snapToGrid w:val="0"/>
        </w:rPr>
        <w:tab/>
        <w:t>(e)</w:t>
      </w:r>
      <w:r>
        <w:rPr>
          <w:snapToGrid w:val="0"/>
        </w:rPr>
        <w:tab/>
        <w:t xml:space="preserve">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w:t>
      </w:r>
      <w:r>
        <w:rPr>
          <w:snapToGrid w:val="0"/>
        </w:rPr>
        <w:lastRenderedPageBreak/>
        <w:t>compensation under this Act in respect of the same</w:t>
      </w:r>
      <w:r>
        <w:t xml:space="preserve"> injury</w:t>
      </w:r>
      <w:r>
        <w:rPr>
          <w:snapToGrid w:val="0"/>
        </w:rPr>
        <w:t>;</w:t>
      </w:r>
    </w:p>
    <w:p>
      <w:pPr>
        <w:pStyle w:val="Indenta"/>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lastRenderedPageBreak/>
        <w:tab/>
        <w:t>(h)</w:t>
      </w:r>
      <w:r>
        <w:rPr>
          <w:snapToGrid w:val="0"/>
        </w:rPr>
        <w:tab/>
        <w:t>Part III Division 7 does not apply to an agreement for settlement referred to in this section.</w:t>
      </w:r>
    </w:p>
    <w:p>
      <w:pPr>
        <w:pStyle w:val="Footnotesection"/>
      </w:pPr>
      <w:r>
        <w:tab/>
        <w:t>[Section 92 amended: No. 48 of 1993 s. 28(1); No. 42 of 2004 s. 69, 146 and 147.]</w:t>
      </w:r>
    </w:p>
    <w:p>
      <w:pPr>
        <w:pStyle w:val="Heading5"/>
        <w:rPr>
          <w:snapToGrid w:val="0"/>
        </w:rPr>
      </w:pPr>
      <w:bookmarkStart w:id="284" w:name="_Toc131514403"/>
      <w:r>
        <w:rPr>
          <w:rStyle w:val="CharSectno"/>
        </w:rPr>
        <w:t>93</w:t>
      </w:r>
      <w:r>
        <w:rPr>
          <w:snapToGrid w:val="0"/>
        </w:rPr>
        <w:t>.</w:t>
      </w:r>
      <w:r>
        <w:rPr>
          <w:snapToGrid w:val="0"/>
        </w:rPr>
        <w:tab/>
        <w:t>Remedies against non-employers</w:t>
      </w:r>
      <w:bookmarkEnd w:id="284"/>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t xml:space="preserve">the </w:t>
      </w:r>
      <w:r>
        <w:rPr>
          <w:rStyle w:val="CharDefText"/>
        </w:rPr>
        <w:t>defendant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rPr>
          <w:snapToGrid w:val="0"/>
        </w:rPr>
      </w:pPr>
      <w:r>
        <w:rPr>
          <w:snapToGrid w:val="0"/>
        </w:rPr>
        <w:tab/>
        <w:t>(b)</w:t>
      </w:r>
      <w:r>
        <w:rPr>
          <w:snapToGrid w:val="0"/>
        </w:rPr>
        <w:tab/>
        <w:t>negligence by the worker which caused or contributed to the worker’s</w:t>
      </w:r>
      <w:r>
        <w:t xml:space="preserve"> injury</w:t>
      </w:r>
      <w:r>
        <w:rPr>
          <w:snapToGrid w:val="0"/>
        </w:rPr>
        <w:t xml:space="preserve">, the extent of the indemnity of the </w:t>
      </w:r>
      <w:r>
        <w:rPr>
          <w:snapToGrid w:val="0"/>
        </w:rPr>
        <w:lastRenderedPageBreak/>
        <w:t>employer by the defendant is reduced by the proportion that the worker’s negligence bears to 100%.</w:t>
      </w:r>
    </w:p>
    <w:p>
      <w:pPr>
        <w:pStyle w:val="Subsection"/>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spacing w:before="100"/>
        <w:ind w:left="890" w:hanging="890"/>
      </w:pPr>
      <w:r>
        <w:tab/>
        <w:t>[Section 93 amended: No. 48 of 1993 s. 28(1); No. 42 of 2004 s. 70 and 147.]</w:t>
      </w:r>
    </w:p>
    <w:p>
      <w:pPr>
        <w:pStyle w:val="Heading3"/>
        <w:keepLines/>
        <w:spacing w:before="220"/>
      </w:pPr>
      <w:bookmarkStart w:id="285" w:name="_Toc100238427"/>
      <w:bookmarkStart w:id="286" w:name="_Toc100239041"/>
      <w:bookmarkStart w:id="287" w:name="_Toc100562335"/>
      <w:bookmarkStart w:id="288" w:name="_Toc107309971"/>
      <w:bookmarkStart w:id="289" w:name="_Toc107479825"/>
      <w:bookmarkStart w:id="290" w:name="_Toc131501191"/>
      <w:bookmarkStart w:id="291" w:name="_Toc131501808"/>
      <w:bookmarkStart w:id="292" w:name="_Toc131514404"/>
      <w:r>
        <w:rPr>
          <w:rStyle w:val="CharDivNo"/>
        </w:rPr>
        <w:t>Division 1a</w:t>
      </w:r>
      <w:r>
        <w:t> — </w:t>
      </w:r>
      <w:r>
        <w:rPr>
          <w:rStyle w:val="CharDivText"/>
        </w:rPr>
        <w:t>Choice of law</w:t>
      </w:r>
      <w:bookmarkEnd w:id="285"/>
      <w:bookmarkEnd w:id="286"/>
      <w:bookmarkEnd w:id="287"/>
      <w:bookmarkEnd w:id="288"/>
      <w:bookmarkEnd w:id="289"/>
      <w:bookmarkEnd w:id="290"/>
      <w:bookmarkEnd w:id="291"/>
      <w:bookmarkEnd w:id="292"/>
    </w:p>
    <w:p>
      <w:pPr>
        <w:pStyle w:val="Footnoteheading"/>
        <w:keepNext/>
        <w:keepLines/>
        <w:tabs>
          <w:tab w:val="left" w:pos="851"/>
        </w:tabs>
        <w:spacing w:before="100"/>
      </w:pPr>
      <w:r>
        <w:tab/>
        <w:t>[Heading inserted: No. 36 of 2004 s. 10.]</w:t>
      </w:r>
    </w:p>
    <w:p>
      <w:pPr>
        <w:pStyle w:val="Heading5"/>
        <w:spacing w:before="180"/>
      </w:pPr>
      <w:bookmarkStart w:id="293" w:name="_Toc131514405"/>
      <w:r>
        <w:rPr>
          <w:rStyle w:val="CharSectno"/>
        </w:rPr>
        <w:t>93AA</w:t>
      </w:r>
      <w:r>
        <w:t>.</w:t>
      </w:r>
      <w:r>
        <w:tab/>
        <w:t>Applicable substantive law for work injury claims</w:t>
      </w:r>
      <w:bookmarkEnd w:id="293"/>
    </w:p>
    <w:p>
      <w:pPr>
        <w:pStyle w:val="Subsection"/>
      </w:pPr>
      <w:r>
        <w:tab/>
        <w:t>(1)</w:t>
      </w:r>
      <w:r>
        <w:tab/>
        <w:t xml:space="preserve">If there is an entitlement to compensation under the statutory workers’ compensation scheme of a State in respect of an injury </w:t>
      </w:r>
      <w:r>
        <w:lastRenderedPageBreak/>
        <w:t>to a worker (whether or not compensation has been paid), the substantive law of that State is the substantive law that governs —</w:t>
      </w:r>
    </w:p>
    <w:p>
      <w:pPr>
        <w:pStyle w:val="Indenta"/>
        <w:spacing w:before="60"/>
      </w:pPr>
      <w:r>
        <w:tab/>
        <w:t>(a)</w:t>
      </w:r>
      <w:r>
        <w:tab/>
        <w:t>whether or not a claim for damages in respect of the injury can be made; and</w:t>
      </w:r>
    </w:p>
    <w:p>
      <w:pPr>
        <w:pStyle w:val="Indenta"/>
        <w:spacing w:before="60"/>
      </w:pPr>
      <w:r>
        <w:tab/>
        <w:t>(b)</w:t>
      </w:r>
      <w:r>
        <w:tab/>
        <w:t>if it can be made, the determination of the claim.</w:t>
      </w:r>
    </w:p>
    <w:p>
      <w:pPr>
        <w:pStyle w:val="Subsection"/>
        <w:spacing w:before="140"/>
      </w:pPr>
      <w:r>
        <w:tab/>
        <w:t>(2)</w:t>
      </w:r>
      <w:r>
        <w:tab/>
        <w:t>This Division does not apply if compensation is payable in respect of the injury under the statutory workers’ compensation scheme of more than one State.</w:t>
      </w:r>
    </w:p>
    <w:p>
      <w:pPr>
        <w:pStyle w:val="Subsection"/>
        <w:spacing w:before="140"/>
      </w:pPr>
      <w:r>
        <w:tab/>
        <w:t>(3)</w:t>
      </w:r>
      <w:r>
        <w:tab/>
        <w:t>For the purposes of this section, compensation is considered to be payable under a statutory workers’ compensation scheme of a State in respect of an injury if compensation in respect of it —</w:t>
      </w:r>
    </w:p>
    <w:p>
      <w:pPr>
        <w:pStyle w:val="Indenta"/>
        <w:spacing w:before="60"/>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spacing w:before="60"/>
      </w:pPr>
      <w:r>
        <w:tab/>
        <w:t>(b)</w:t>
      </w:r>
      <w:r>
        <w:tab/>
        <w:t>would have been payable if a claim for that compensation had been duly made, and (where applicable) an election to claim that compensation (instead of damages) had been duly made.</w:t>
      </w:r>
    </w:p>
    <w:p>
      <w:pPr>
        <w:pStyle w:val="Subsection"/>
        <w:spacing w:before="140"/>
      </w:pPr>
      <w:r>
        <w:tab/>
        <w:t>(4)</w:t>
      </w:r>
      <w:r>
        <w:tab/>
        <w:t>A reference in this section to compensation payable in respect of an injury does not include a reference to compensation payable on the basis of the provisional acceptance of liability.</w:t>
      </w:r>
    </w:p>
    <w:p>
      <w:pPr>
        <w:pStyle w:val="Footnotesection"/>
        <w:spacing w:before="100"/>
        <w:ind w:left="890" w:hanging="890"/>
      </w:pPr>
      <w:r>
        <w:tab/>
        <w:t>[Section 93AA inserted: No. 36 of 2004 s. 10; amended: No. 36 of 2004 s. 16 and 17(4).]</w:t>
      </w:r>
    </w:p>
    <w:p>
      <w:pPr>
        <w:pStyle w:val="Heading5"/>
      </w:pPr>
      <w:bookmarkStart w:id="294" w:name="_Toc131514406"/>
      <w:r>
        <w:rPr>
          <w:rStyle w:val="CharSectno"/>
        </w:rPr>
        <w:t>93AB</w:t>
      </w:r>
      <w:r>
        <w:t>.</w:t>
      </w:r>
      <w:r>
        <w:tab/>
        <w:t>Claims to which Division applies</w:t>
      </w:r>
      <w:bookmarkEnd w:id="294"/>
    </w:p>
    <w:p>
      <w:pPr>
        <w:pStyle w:val="Subsection"/>
        <w:spacing w:before="140"/>
      </w:pPr>
      <w:r>
        <w:tab/>
        <w:t>(1)</w:t>
      </w:r>
      <w:r>
        <w:tab/>
        <w:t>This Division applies to a claim for damages or recovery of contribution brought against a worker’s employer in respect of an injury that was caused by —</w:t>
      </w:r>
    </w:p>
    <w:p>
      <w:pPr>
        <w:pStyle w:val="Indenta"/>
        <w:spacing w:before="60"/>
      </w:pPr>
      <w:r>
        <w:tab/>
        <w:t>(a)</w:t>
      </w:r>
      <w:r>
        <w:tab/>
        <w:t>the negligence or other tort (including breach of statutory duty) of the worker’s employer; or</w:t>
      </w:r>
    </w:p>
    <w:p>
      <w:pPr>
        <w:pStyle w:val="Indenta"/>
        <w:spacing w:before="60"/>
      </w:pPr>
      <w:r>
        <w:tab/>
        <w:t>(b)</w:t>
      </w:r>
      <w:r>
        <w:tab/>
        <w:t>a breach of contract by the worker’s employer.</w:t>
      </w:r>
    </w:p>
    <w:p>
      <w:pPr>
        <w:pStyle w:val="Subsection"/>
      </w:pPr>
      <w:r>
        <w:lastRenderedPageBreak/>
        <w:tab/>
        <w:t>(2)</w:t>
      </w:r>
      <w:r>
        <w:tab/>
        <w:t>This Division also applies to a claim for damages or recovery of contribution brought against a person other than a worker’s employer in respect of an injury if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A reference in this Division to a worker’s employer includes a reference to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No. 36 of 2004 s. 10; amended: No. 36 of 2004 s. 16.]</w:t>
      </w:r>
    </w:p>
    <w:p>
      <w:pPr>
        <w:pStyle w:val="Heading5"/>
      </w:pPr>
      <w:bookmarkStart w:id="295" w:name="_Toc131514407"/>
      <w:r>
        <w:rPr>
          <w:rStyle w:val="CharSectno"/>
        </w:rPr>
        <w:t>93AC</w:t>
      </w:r>
      <w:r>
        <w:t>.</w:t>
      </w:r>
      <w:r>
        <w:tab/>
        <w:t>Terms used</w:t>
      </w:r>
      <w:bookmarkEnd w:id="295"/>
    </w:p>
    <w:p>
      <w:pPr>
        <w:pStyle w:val="Subsection"/>
      </w:pPr>
      <w:r>
        <w:tab/>
      </w:r>
      <w:r>
        <w:tab/>
        <w:t>For the purposes of this Division —</w:t>
      </w:r>
    </w:p>
    <w:p>
      <w:pPr>
        <w:pStyle w:val="Indenta"/>
      </w:pPr>
      <w:r>
        <w:tab/>
        <w:t>(a)</w:t>
      </w:r>
      <w:r>
        <w:tab/>
      </w:r>
      <w:r>
        <w:rPr>
          <w:rStyle w:val="CharDefText"/>
        </w:rPr>
        <w:t>injury</w:t>
      </w:r>
      <w:r>
        <w:t xml:space="preserve">, </w:t>
      </w:r>
      <w:r>
        <w:rPr>
          <w:rStyle w:val="CharDefText"/>
        </w:rPr>
        <w:t>employer</w:t>
      </w:r>
      <w:r>
        <w:t xml:space="preserve"> and </w:t>
      </w:r>
      <w:r>
        <w:rPr>
          <w:rStyle w:val="CharDefText"/>
        </w:rPr>
        <w:t>worker</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pPr>
      <w:r>
        <w:tab/>
        <w:t>[Section 93AC inserted: No. 36 of 2004 s. 10; amended: No. 36 of 2004 s. 17(1).]</w:t>
      </w:r>
    </w:p>
    <w:p>
      <w:pPr>
        <w:pStyle w:val="Heading5"/>
      </w:pPr>
      <w:bookmarkStart w:id="296" w:name="_Toc131514408"/>
      <w:r>
        <w:rPr>
          <w:rStyle w:val="CharSectno"/>
        </w:rPr>
        <w:lastRenderedPageBreak/>
        <w:t>93AD</w:t>
      </w:r>
      <w:r>
        <w:t>.</w:t>
      </w:r>
      <w:r>
        <w:tab/>
        <w:t>Claim in respect of death included</w:t>
      </w:r>
      <w:bookmarkEnd w:id="296"/>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No. 36 of 2004 s. 10; amended: No. 36 of 2004 s. 16 and 17(2).]</w:t>
      </w:r>
    </w:p>
    <w:p>
      <w:pPr>
        <w:pStyle w:val="Heading5"/>
      </w:pPr>
      <w:bookmarkStart w:id="297" w:name="_Toc131514409"/>
      <w:r>
        <w:rPr>
          <w:rStyle w:val="CharSectno"/>
        </w:rPr>
        <w:t>93AE</w:t>
      </w:r>
      <w:r>
        <w:t>.</w:t>
      </w:r>
      <w:r>
        <w:tab/>
        <w:t>Terms used</w:t>
      </w:r>
      <w:bookmarkEnd w:id="297"/>
    </w:p>
    <w:p>
      <w:pPr>
        <w:pStyle w:val="Subsection"/>
      </w:pPr>
      <w:r>
        <w:tab/>
      </w:r>
      <w:r>
        <w:tab/>
        <w:t>In this Division —</w:t>
      </w:r>
    </w:p>
    <w:p>
      <w:pPr>
        <w:pStyle w:val="Defstart"/>
      </w:pPr>
      <w:r>
        <w:tab/>
      </w:r>
      <w:r>
        <w:rPr>
          <w:rStyle w:val="CharDefText"/>
        </w:rPr>
        <w:t>State’s legislation about damages for a work related injury</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rStyle w:val="CharDefText"/>
        </w:rPr>
        <w:t>substantive law</w:t>
      </w:r>
      <w:r>
        <w:t xml:space="preserve"> includes —</w:t>
      </w:r>
    </w:p>
    <w:p>
      <w:pPr>
        <w:pStyle w:val="Defpara"/>
      </w:pPr>
      <w:r>
        <w:tab/>
        <w:t>(a)</w:t>
      </w:r>
      <w:r>
        <w:tab/>
        <w:t>a law that establishes, modifies, or extinguishes a cause of action or a defence to a cause of action; and</w:t>
      </w:r>
    </w:p>
    <w:p>
      <w:pPr>
        <w:pStyle w:val="Defpara"/>
      </w:pPr>
      <w:r>
        <w:tab/>
        <w:t>(b)</w:t>
      </w:r>
      <w:r>
        <w:tab/>
        <w:t>a law prescribing the time within which an action must be brought (including a law providing for the extension or abridgment of that time); and</w:t>
      </w:r>
    </w:p>
    <w:p>
      <w:pPr>
        <w:pStyle w:val="Defpara"/>
        <w:keepLines/>
      </w:pPr>
      <w:r>
        <w:tab/>
        <w:t>(c)</w:t>
      </w:r>
      <w:r>
        <w:tab/>
        <w:t>a law that provides for the limitation or exclusion of liability or the barring of a right of action if a proceeding on, or arbitration of, a claim is not commenced within a particular time limit; and</w:t>
      </w:r>
    </w:p>
    <w:p>
      <w:pPr>
        <w:pStyle w:val="Defpara"/>
      </w:pPr>
      <w:r>
        <w:tab/>
        <w:t>(d)</w:t>
      </w:r>
      <w:r>
        <w:tab/>
        <w:t>a law that limits the kinds of injury, loss or damage for which damages or compensation may be recovered; and</w:t>
      </w:r>
    </w:p>
    <w:p>
      <w:pPr>
        <w:pStyle w:val="Defpara"/>
      </w:pPr>
      <w:r>
        <w:tab/>
        <w:t>(e)</w:t>
      </w:r>
      <w:r>
        <w:tab/>
        <w:t>a law that precludes the recovery of damages or compensation or limits the amount of damages or compensation that can be recovered; and</w:t>
      </w:r>
    </w:p>
    <w:p>
      <w:pPr>
        <w:pStyle w:val="Defpara"/>
      </w:pPr>
      <w:r>
        <w:tab/>
        <w:t>(f)</w:t>
      </w:r>
      <w:r>
        <w:tab/>
        <w:t>a law expressed as a presumption, or rule of evidence, that affects substantive rights; and</w:t>
      </w:r>
    </w:p>
    <w:p>
      <w:pPr>
        <w:pStyle w:val="Defpara"/>
      </w:pPr>
      <w:r>
        <w:lastRenderedPageBreak/>
        <w:tab/>
        <w:t>(g)</w:t>
      </w:r>
      <w:r>
        <w:tab/>
        <w:t>a provision of a State’s legislation about damages for a work related injury, whether or not it would be otherwise regarded as procedural in nature,</w:t>
      </w:r>
    </w:p>
    <w:p>
      <w:pPr>
        <w:pStyle w:val="Defstart"/>
        <w:spacing w:before="160"/>
      </w:pPr>
      <w:r>
        <w:tab/>
        <w:t>but does not include a law prescribing rules for choice of law.</w:t>
      </w:r>
    </w:p>
    <w:p>
      <w:pPr>
        <w:pStyle w:val="Footnotesection"/>
      </w:pPr>
      <w:r>
        <w:tab/>
        <w:t>[Section 93AE inserted: No. 36 of 2004 s. 10; amended: No. 36 of 2004 s. 17(3).]</w:t>
      </w:r>
    </w:p>
    <w:p>
      <w:pPr>
        <w:pStyle w:val="Heading5"/>
      </w:pPr>
      <w:bookmarkStart w:id="298" w:name="_Toc131514410"/>
      <w:r>
        <w:rPr>
          <w:rStyle w:val="CharSectno"/>
        </w:rPr>
        <w:t>93AF</w:t>
      </w:r>
      <w:r>
        <w:t>.</w:t>
      </w:r>
      <w:r>
        <w:tab/>
        <w:t>Availability of action in another State not relevant</w:t>
      </w:r>
      <w:bookmarkEnd w:id="298"/>
    </w:p>
    <w:p>
      <w:pPr>
        <w:pStyle w:val="Subsection"/>
      </w:pPr>
      <w:r>
        <w:tab/>
        <w:t>(1)</w:t>
      </w:r>
      <w:r>
        <w:tab/>
        <w:t>It makes no difference for the purposes of this Division that, under the substantive law of another State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pPr>
      <w:r>
        <w:tab/>
        <w:t>(2)</w:t>
      </w:r>
      <w:r>
        <w:tab/>
        <w:t>In subsection (1) —</w:t>
      </w:r>
    </w:p>
    <w:p>
      <w:pPr>
        <w:pStyle w:val="Defstart"/>
      </w:pPr>
      <w:r>
        <w:tab/>
      </w:r>
      <w:r>
        <w:rPr>
          <w:rStyle w:val="CharDefText"/>
        </w:rPr>
        <w:t>another State</w:t>
      </w:r>
      <w:r>
        <w:t xml:space="preserve"> means a State other than the State with which the worker’s employment is connected.</w:t>
      </w:r>
    </w:p>
    <w:p>
      <w:pPr>
        <w:pStyle w:val="Footnotesection"/>
      </w:pPr>
      <w:r>
        <w:tab/>
        <w:t>[Section 93AF inserted: No. 36 of 2004 s. 10.]</w:t>
      </w:r>
    </w:p>
    <w:p>
      <w:pPr>
        <w:pStyle w:val="Heading3"/>
        <w:keepLines/>
        <w:spacing w:before="220"/>
      </w:pPr>
      <w:bookmarkStart w:id="299" w:name="_Toc100238434"/>
      <w:bookmarkStart w:id="300" w:name="_Toc100239048"/>
      <w:bookmarkStart w:id="301" w:name="_Toc100562342"/>
      <w:bookmarkStart w:id="302" w:name="_Toc107309978"/>
      <w:bookmarkStart w:id="303" w:name="_Toc107479832"/>
      <w:bookmarkStart w:id="304" w:name="_Toc131501198"/>
      <w:bookmarkStart w:id="305" w:name="_Toc131501815"/>
      <w:bookmarkStart w:id="306" w:name="_Toc131514411"/>
      <w:r>
        <w:rPr>
          <w:rStyle w:val="CharDivNo"/>
        </w:rPr>
        <w:t>Division 2</w:t>
      </w:r>
      <w:r>
        <w:rPr>
          <w:snapToGrid w:val="0"/>
        </w:rPr>
        <w:t> — </w:t>
      </w:r>
      <w:r>
        <w:rPr>
          <w:rStyle w:val="CharDivText"/>
        </w:rPr>
        <w:t>Constraints on awards of common law damages</w:t>
      </w:r>
      <w:bookmarkEnd w:id="299"/>
      <w:bookmarkEnd w:id="300"/>
      <w:bookmarkEnd w:id="301"/>
      <w:bookmarkEnd w:id="302"/>
      <w:bookmarkEnd w:id="303"/>
      <w:bookmarkEnd w:id="304"/>
      <w:bookmarkEnd w:id="305"/>
      <w:bookmarkEnd w:id="306"/>
    </w:p>
    <w:p>
      <w:pPr>
        <w:pStyle w:val="Footnoteheading"/>
        <w:keepNext/>
        <w:keepLines/>
        <w:rPr>
          <w:snapToGrid w:val="0"/>
        </w:rPr>
      </w:pPr>
      <w:r>
        <w:rPr>
          <w:snapToGrid w:val="0"/>
        </w:rPr>
        <w:tab/>
        <w:t>[Heading inserted: No. 48 of 1993 s. 4(3).]</w:t>
      </w:r>
    </w:p>
    <w:p>
      <w:pPr>
        <w:pStyle w:val="Heading4"/>
        <w:keepLines/>
      </w:pPr>
      <w:bookmarkStart w:id="307" w:name="_Toc100238435"/>
      <w:bookmarkStart w:id="308" w:name="_Toc100239049"/>
      <w:bookmarkStart w:id="309" w:name="_Toc100562343"/>
      <w:bookmarkStart w:id="310" w:name="_Toc107309979"/>
      <w:bookmarkStart w:id="311" w:name="_Toc107479833"/>
      <w:bookmarkStart w:id="312" w:name="_Toc131501199"/>
      <w:bookmarkStart w:id="313" w:name="_Toc131501816"/>
      <w:bookmarkStart w:id="314" w:name="_Toc131514412"/>
      <w:r>
        <w:t>Subdivision 1 — Preliminary provisions</w:t>
      </w:r>
      <w:bookmarkEnd w:id="307"/>
      <w:bookmarkEnd w:id="308"/>
      <w:bookmarkEnd w:id="309"/>
      <w:bookmarkEnd w:id="310"/>
      <w:bookmarkEnd w:id="311"/>
      <w:bookmarkEnd w:id="312"/>
      <w:bookmarkEnd w:id="313"/>
      <w:bookmarkEnd w:id="314"/>
    </w:p>
    <w:p>
      <w:pPr>
        <w:pStyle w:val="Footnoteheading"/>
        <w:keepNext/>
        <w:keepLines/>
      </w:pPr>
      <w:r>
        <w:tab/>
        <w:t>[Heading inserted: No. 42 of 2004 s. 71.]</w:t>
      </w:r>
    </w:p>
    <w:p>
      <w:pPr>
        <w:pStyle w:val="Heading5"/>
        <w:rPr>
          <w:snapToGrid w:val="0"/>
        </w:rPr>
      </w:pPr>
      <w:bookmarkStart w:id="315" w:name="_Toc131514413"/>
      <w:r>
        <w:rPr>
          <w:rStyle w:val="CharSectno"/>
        </w:rPr>
        <w:t>93A</w:t>
      </w:r>
      <w:r>
        <w:rPr>
          <w:snapToGrid w:val="0"/>
        </w:rPr>
        <w:t>.</w:t>
      </w:r>
      <w:r>
        <w:rPr>
          <w:snapToGrid w:val="0"/>
        </w:rPr>
        <w:tab/>
        <w:t>Term used: damages</w:t>
      </w:r>
      <w:bookmarkEnd w:id="315"/>
    </w:p>
    <w:p>
      <w:pPr>
        <w:pStyle w:val="Subsection"/>
        <w:rPr>
          <w:snapToGrid w:val="0"/>
        </w:rPr>
      </w:pPr>
      <w:r>
        <w:rPr>
          <w:snapToGrid w:val="0"/>
        </w:rPr>
        <w:tab/>
      </w:r>
      <w:r>
        <w:rPr>
          <w:snapToGrid w:val="0"/>
        </w:rPr>
        <w:tab/>
        <w:t>In this Division —</w:t>
      </w:r>
    </w:p>
    <w:p>
      <w:pPr>
        <w:pStyle w:val="Defstart"/>
      </w:pPr>
      <w:r>
        <w:rPr>
          <w:b/>
        </w:rPr>
        <w:tab/>
      </w:r>
      <w:r>
        <w:rPr>
          <w:rStyle w:val="CharDefText"/>
        </w:rPr>
        <w:t>damages</w:t>
      </w:r>
      <w:r>
        <w:t xml:space="preserve"> does not include —</w:t>
      </w:r>
    </w:p>
    <w:p>
      <w:pPr>
        <w:pStyle w:val="Defpara"/>
      </w:pPr>
      <w:r>
        <w:tab/>
        <w:t>(a)</w:t>
      </w:r>
      <w:r>
        <w:tab/>
        <w:t xml:space="preserve">any sum required or authorised to be paid under an award or industrial agreement within the meaning of the </w:t>
      </w:r>
      <w:r>
        <w:rPr>
          <w:i/>
        </w:rPr>
        <w:t>Industrial Relations Act 1979</w:t>
      </w:r>
      <w:r>
        <w:t>; or</w:t>
      </w:r>
    </w:p>
    <w:p>
      <w:pPr>
        <w:pStyle w:val="Defpara"/>
      </w:pPr>
      <w:r>
        <w:lastRenderedPageBreak/>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[Section 93A inserted: No. 48 of 1993 s. 4(3); amended: No. 34 of 1999 s. 32(3); No. 42 of 2004 s. 72.]</w:t>
      </w:r>
    </w:p>
    <w:p>
      <w:pPr>
        <w:pStyle w:val="Heading5"/>
        <w:rPr>
          <w:snapToGrid w:val="0"/>
        </w:rPr>
      </w:pPr>
      <w:bookmarkStart w:id="316" w:name="_Toc131514414"/>
      <w:r>
        <w:rPr>
          <w:rStyle w:val="CharSectno"/>
        </w:rPr>
        <w:t>93B</w:t>
      </w:r>
      <w:r>
        <w:rPr>
          <w:snapToGrid w:val="0"/>
        </w:rPr>
        <w:t>.</w:t>
      </w:r>
      <w:r>
        <w:rPr>
          <w:snapToGrid w:val="0"/>
        </w:rPr>
        <w:tab/>
        <w:t>Application of this Division</w:t>
      </w:r>
      <w:bookmarkEnd w:id="316"/>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rPr>
          <w:snapToGrid w:val="0"/>
        </w:rPr>
      </w:pPr>
      <w:r>
        <w:rPr>
          <w:snapToGrid w:val="0"/>
        </w:rPr>
        <w:tab/>
        <w:t>(3)</w:t>
      </w:r>
      <w:r>
        <w:rPr>
          <w:snapToGrid w:val="0"/>
        </w:rPr>
        <w:tab/>
        <w:t>This Division does not apply to the awarding of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 or</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lastRenderedPageBreak/>
        <w:tab/>
        <w:t>(5)</w:t>
      </w:r>
      <w:r>
        <w:tab/>
        <w:t xml:space="preserve">In the context of a cause of action arising on or after the day on which section 79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spacing w:before="100"/>
        <w:ind w:left="890" w:hanging="890"/>
      </w:pPr>
      <w:r>
        <w:tab/>
        <w:t>[Section 93B inserted: No. 48 of 1993 s. 4(3); amended: No. 34 of 1999 s. 32(4); No. 42 of 2004 s. 73; No. 16 of 2005 s. 10.]</w:t>
      </w:r>
    </w:p>
    <w:p>
      <w:pPr>
        <w:pStyle w:val="Heading5"/>
        <w:rPr>
          <w:snapToGrid w:val="0"/>
        </w:rPr>
      </w:pPr>
      <w:bookmarkStart w:id="317" w:name="_Toc131514415"/>
      <w:r>
        <w:rPr>
          <w:rStyle w:val="CharSectno"/>
        </w:rPr>
        <w:t>93C</w:t>
      </w:r>
      <w:r>
        <w:rPr>
          <w:snapToGrid w:val="0"/>
        </w:rPr>
        <w:t>.</w:t>
      </w:r>
      <w:r>
        <w:rPr>
          <w:snapToGrid w:val="0"/>
        </w:rPr>
        <w:tab/>
        <w:t>Limit on powers of courts to award damages</w:t>
      </w:r>
      <w:bookmarkEnd w:id="317"/>
    </w:p>
    <w:p>
      <w:pPr>
        <w:pStyle w:val="Subsection"/>
        <w:spacing w:before="140"/>
        <w:rPr>
          <w:snapToGrid w:val="0"/>
        </w:rPr>
      </w:pPr>
      <w:r>
        <w:rPr>
          <w:snapToGrid w:val="0"/>
        </w:rPr>
        <w:tab/>
      </w:r>
      <w:r>
        <w:rPr>
          <w:snapToGrid w:val="0"/>
        </w:rPr>
        <w:tab/>
        <w:t>If this Division applies a court is not to award damages to a person contrary to this Division.</w:t>
      </w:r>
    </w:p>
    <w:p>
      <w:pPr>
        <w:pStyle w:val="Footnotesection"/>
        <w:spacing w:before="100"/>
        <w:ind w:left="890" w:hanging="890"/>
      </w:pPr>
      <w:r>
        <w:tab/>
        <w:t>[Section 93C inserted: No. 48 of 1993 s. 4(3).]</w:t>
      </w:r>
    </w:p>
    <w:p>
      <w:pPr>
        <w:pStyle w:val="Heading4"/>
        <w:keepLines/>
      </w:pPr>
      <w:bookmarkStart w:id="318" w:name="_Toc100238439"/>
      <w:bookmarkStart w:id="319" w:name="_Toc100239053"/>
      <w:bookmarkStart w:id="320" w:name="_Toc100562347"/>
      <w:bookmarkStart w:id="321" w:name="_Toc107309983"/>
      <w:bookmarkStart w:id="322" w:name="_Toc107479837"/>
      <w:bookmarkStart w:id="323" w:name="_Toc131501203"/>
      <w:bookmarkStart w:id="324" w:name="_Toc131501820"/>
      <w:bookmarkStart w:id="325" w:name="_Toc131514416"/>
      <w:r>
        <w:t>Subdivision 2 — 1993 scheme</w:t>
      </w:r>
      <w:bookmarkEnd w:id="318"/>
      <w:bookmarkEnd w:id="319"/>
      <w:bookmarkEnd w:id="320"/>
      <w:bookmarkEnd w:id="321"/>
      <w:bookmarkEnd w:id="322"/>
      <w:bookmarkEnd w:id="323"/>
      <w:bookmarkEnd w:id="324"/>
      <w:bookmarkEnd w:id="325"/>
    </w:p>
    <w:p>
      <w:pPr>
        <w:pStyle w:val="Footnoteheading"/>
        <w:keepNext/>
        <w:keepLines/>
        <w:spacing w:before="100"/>
      </w:pPr>
      <w:r>
        <w:tab/>
        <w:t>[Heading inserted: No. 42 of 2004 s. 74.]</w:t>
      </w:r>
    </w:p>
    <w:p>
      <w:pPr>
        <w:pStyle w:val="Heading5"/>
      </w:pPr>
      <w:bookmarkStart w:id="326" w:name="_Toc131514417"/>
      <w:r>
        <w:rPr>
          <w:rStyle w:val="CharSectno"/>
        </w:rPr>
        <w:t>93CA</w:t>
      </w:r>
      <w:r>
        <w:t>.</w:t>
      </w:r>
      <w:r>
        <w:tab/>
        <w:t>Term used: AMA Guides</w:t>
      </w:r>
      <w:bookmarkEnd w:id="326"/>
    </w:p>
    <w:p>
      <w:pPr>
        <w:pStyle w:val="Subsection"/>
        <w:keepNext/>
        <w:keepLines/>
        <w:spacing w:before="140"/>
        <w:rPr>
          <w:snapToGrid w:val="0"/>
        </w:rPr>
      </w:pPr>
      <w:r>
        <w:tab/>
      </w:r>
      <w:r>
        <w:tab/>
      </w:r>
      <w:r>
        <w:rPr>
          <w:snapToGrid w:val="0"/>
        </w:rPr>
        <w:t>In this Subdivision —</w:t>
      </w:r>
    </w:p>
    <w:p>
      <w:pPr>
        <w:pStyle w:val="Defstart"/>
      </w:pPr>
      <w:r>
        <w:rPr>
          <w:b/>
        </w:rPr>
        <w:tab/>
      </w:r>
      <w:r>
        <w:rPr>
          <w:rStyle w:val="CharDefText"/>
        </w:rPr>
        <w:t>AMA Guides</w:t>
      </w:r>
      <w:r>
        <w:t xml:space="preserve"> means the edition of the Assessment of Disability Guide published by the Western Australian Branch of the Australian Medical Association Incorporated that is prescribed in the regulations.</w:t>
      </w:r>
    </w:p>
    <w:p>
      <w:pPr>
        <w:pStyle w:val="Footnotesection"/>
        <w:spacing w:before="100"/>
        <w:ind w:left="890" w:hanging="890"/>
      </w:pPr>
      <w:r>
        <w:tab/>
        <w:t>[Section 93CA inserted: No. 42 of 2004 s. 75.]</w:t>
      </w:r>
    </w:p>
    <w:p>
      <w:pPr>
        <w:pStyle w:val="Heading5"/>
      </w:pPr>
      <w:bookmarkStart w:id="327" w:name="_Toc131514418"/>
      <w:r>
        <w:rPr>
          <w:rStyle w:val="CharSectno"/>
        </w:rPr>
        <w:t>93CB</w:t>
      </w:r>
      <w:r>
        <w:t>.</w:t>
      </w:r>
      <w:r>
        <w:tab/>
        <w:t>Limits on application of this Subdivision</w:t>
      </w:r>
      <w:bookmarkEnd w:id="327"/>
    </w:p>
    <w:p>
      <w:pPr>
        <w:pStyle w:val="Subsection"/>
        <w:spacing w:before="140"/>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p>
    <w:p>
      <w:pPr>
        <w:pStyle w:val="Subsection"/>
        <w:spacing w:before="140"/>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spacing w:before="100"/>
        <w:ind w:left="890" w:hanging="890"/>
      </w:pPr>
      <w:r>
        <w:tab/>
        <w:t>[Section 93CB inserted: No. 42 of 2004 s. 75.]</w:t>
      </w:r>
    </w:p>
    <w:p>
      <w:pPr>
        <w:pStyle w:val="Heading5"/>
      </w:pPr>
      <w:bookmarkStart w:id="328" w:name="_Toc131514419"/>
      <w:r>
        <w:rPr>
          <w:rStyle w:val="CharSectno"/>
        </w:rPr>
        <w:lastRenderedPageBreak/>
        <w:t>93CC</w:t>
      </w:r>
      <w:r>
        <w:t>.</w:t>
      </w:r>
      <w:r>
        <w:tab/>
        <w:t>Application of this Subdivision</w:t>
      </w:r>
      <w:bookmarkEnd w:id="328"/>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 regardless of when the cause of action arose and whether proceedings in respect of the cause of action have commenced, unless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keepLines/>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Despite subsection (1) and section 93CB, this Subdivision applies to a worker who claims to be suffering an injury attributable to the inhalation of asbestos if, before 14 November 2005 —</w:t>
      </w:r>
    </w:p>
    <w:p>
      <w:pPr>
        <w:pStyle w:val="Indenta"/>
      </w:pPr>
      <w:r>
        <w:tab/>
        <w:t>(a)</w:t>
      </w:r>
      <w:r>
        <w:tab/>
        <w:t>the worker sought to agree the degree of the disability of the worker for the purposes of section 93E; or</w:t>
      </w:r>
    </w:p>
    <w:p>
      <w:pPr>
        <w:pStyle w:val="Indenta"/>
      </w:pPr>
      <w:r>
        <w:tab/>
        <w:t>(b)</w:t>
      </w:r>
      <w:r>
        <w:tab/>
        <w:t>a dispute as to the degree of the disability of the worker was referred under section 93D(11) to a medical panel for determination.</w:t>
      </w:r>
    </w:p>
    <w:p>
      <w:pPr>
        <w:pStyle w:val="Footnotesection"/>
      </w:pPr>
      <w:r>
        <w:tab/>
        <w:t>[Section 93CC inserted: No. 42 of 2004 s. 75; amended: No. 20 of 2005 s. 21.]</w:t>
      </w:r>
    </w:p>
    <w:p>
      <w:pPr>
        <w:pStyle w:val="Heading5"/>
      </w:pPr>
      <w:bookmarkStart w:id="329" w:name="_Toc131514420"/>
      <w:r>
        <w:rPr>
          <w:rStyle w:val="CharSectno"/>
        </w:rPr>
        <w:t>93D</w:t>
      </w:r>
      <w:r>
        <w:t>.</w:t>
      </w:r>
      <w:r>
        <w:tab/>
        <w:t>Degree of disability, assessing</w:t>
      </w:r>
      <w:bookmarkEnd w:id="329"/>
    </w:p>
    <w:p>
      <w:pPr>
        <w:pStyle w:val="Subsection"/>
        <w:keepNext/>
        <w:keepLines/>
      </w:pPr>
      <w:r>
        <w:tab/>
        <w:t>(1)</w:t>
      </w:r>
      <w:r>
        <w:tab/>
        <w:t xml:space="preserve">In this </w:t>
      </w:r>
      <w:r>
        <w:rPr>
          <w:snapToGrid w:val="0"/>
        </w:rPr>
        <w:t>section</w:t>
      </w:r>
      <w:r>
        <w:t> —</w:t>
      </w:r>
    </w:p>
    <w:p>
      <w:pPr>
        <w:pStyle w:val="Defstart"/>
      </w:pPr>
      <w:r>
        <w:tab/>
      </w:r>
      <w:r>
        <w:rPr>
          <w:rStyle w:val="CharDefText"/>
        </w:rPr>
        <w:t>relevant level</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lastRenderedPageBreak/>
        <w:tab/>
        <w:t>(b)</w:t>
      </w:r>
      <w:r>
        <w:tab/>
        <w:t>if the question arises for the purposes of section 93E(4), a degree of disability of 16%.</w:t>
      </w:r>
    </w:p>
    <w:p>
      <w:pPr>
        <w:pStyle w:val="Subsection"/>
      </w:pPr>
      <w:r>
        <w:tab/>
        <w:t>(2)</w:t>
      </w:r>
      <w:r>
        <w:tab/>
        <w:t xml:space="preserve">For the </w:t>
      </w:r>
      <w:r>
        <w:rPr>
          <w:snapToGrid w:val="0"/>
        </w:rPr>
        <w:t>purposes</w:t>
      </w:r>
      <w:r>
        <w:t xml:space="preserve"> of section 93E, the degree of disability of the worker is to be assessed —</w:t>
      </w:r>
    </w:p>
    <w:p>
      <w:pPr>
        <w:pStyle w:val="Indenta"/>
      </w:pPr>
      <w:r>
        <w:tab/>
        <w:t>(a)</w:t>
      </w:r>
      <w:r>
        <w:tab/>
        <w:t>so far as Schedule 2 Part 1 provides for an injury suffered by the worker, as a percentage equal to —</w:t>
      </w:r>
    </w:p>
    <w:p>
      <w:pPr>
        <w:pStyle w:val="Indenti"/>
      </w:pPr>
      <w:r>
        <w:tab/>
        <w:t>(i)</w:t>
      </w:r>
      <w:r>
        <w:tab/>
        <w:t>if only one item of that Part applies to the injury, the percentage of the prescribed amount provided for by that item, as read with section 25; or</w:t>
      </w:r>
    </w:p>
    <w:p>
      <w:pPr>
        <w:pStyle w:val="Indenti"/>
        <w:keepLines/>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pPr>
      <w:r>
        <w:tab/>
        <w:t>(4)</w:t>
      </w:r>
      <w:r>
        <w:tab/>
        <w:t>If section 25 applies, the percentage under subsection (2)(a) is calculated in accordance with the formula —</w:t>
      </w:r>
    </w:p>
    <w:p>
      <w:pPr>
        <w:pStyle w:val="Equation"/>
        <w:tabs>
          <w:tab w:val="left" w:pos="1080"/>
        </w:tabs>
        <w:spacing w:before="120"/>
        <w:rPr>
          <w:noProof w:val="0"/>
        </w:rPr>
      </w:pPr>
      <w:r>
        <w:rPr>
          <w:noProof w:val="0"/>
        </w:rPr>
        <w:tab/>
      </w:r>
      <m:oMath>
        <m:f>
          <m:fPr>
            <m:ctrlPr>
              <w:rPr>
                <w:rFonts w:ascii="Cambria Math" w:hAnsi="Cambria Math"/>
              </w:rPr>
            </m:ctrlPr>
          </m:fPr>
          <m:num>
            <m:r>
              <m:rPr>
                <m:sty m:val="p"/>
              </m:rPr>
              <w:rPr>
                <w:rFonts w:ascii="Cambria Math" w:hAnsi="Cambria Math"/>
              </w:rPr>
              <m:t>PD</m:t>
            </m:r>
          </m:num>
          <m:den>
            <m:r>
              <m:rPr>
                <m:sty m:val="p"/>
              </m:rPr>
              <w:rPr>
                <w:rFonts w:ascii="Cambria Math" w:hAnsi="Cambria Math"/>
              </w:rPr>
              <m:t>100</m:t>
            </m:r>
          </m:den>
        </m:f>
        <m:r>
          <m:rPr>
            <m:sty m:val="p"/>
          </m:rPr>
          <w:rPr>
            <w:rFonts w:ascii="Cambria Math" w:hAnsi="Cambria Math"/>
          </w:rPr>
          <m:t xml:space="preserve"> ×TD</m:t>
        </m:r>
      </m:oMath>
    </w:p>
    <w:p>
      <w:pPr>
        <w:pStyle w:val="Subsection"/>
        <w:spacing w:before="120"/>
      </w:pPr>
      <w:r>
        <w:tab/>
      </w:r>
      <w:r>
        <w:tab/>
        <w:t>where —</w:t>
      </w:r>
    </w:p>
    <w:p>
      <w:pPr>
        <w:pStyle w:val="Indenta"/>
      </w:pPr>
      <w:r>
        <w:tab/>
      </w:r>
      <w:r>
        <w:rPr>
          <w:iCs/>
        </w:rPr>
        <w:t>PD</w:t>
      </w:r>
      <w:r>
        <w:t xml:space="preserve"> </w:t>
      </w:r>
      <w:r>
        <w:tab/>
        <w:t>is the percentage of the diminution of full efficient use.</w:t>
      </w:r>
    </w:p>
    <w:p>
      <w:pPr>
        <w:pStyle w:val="Indenta"/>
      </w:pPr>
      <w:r>
        <w:lastRenderedPageBreak/>
        <w:tab/>
      </w:r>
      <w:r>
        <w:rPr>
          <w:iCs/>
        </w:rPr>
        <w:t xml:space="preserve">TD </w:t>
      </w:r>
      <w:r>
        <w:rPr>
          <w:iCs/>
        </w:rPr>
        <w:tab/>
      </w:r>
      <w:r>
        <w:t>is the relevant percentage set out in Column 2 of Schedule 2.</w:t>
      </w:r>
    </w:p>
    <w:p>
      <w:pPr>
        <w:pStyle w:val="PermNoteHeading"/>
      </w:pPr>
      <w:r>
        <w:tab/>
        <w:t>Examples for this subsection:</w:t>
      </w:r>
    </w:p>
    <w:p>
      <w:pPr>
        <w:pStyle w:val="PermNoteText"/>
      </w:pPr>
      <w:r>
        <w:tab/>
        <w:t>1.</w:t>
      </w:r>
      <w:r>
        <w:tab/>
        <w:t>A worker loses 40% of the full efficient use of one eye.  The percentage under subsection (2)(a) is —</w:t>
      </w:r>
    </w:p>
    <w:p>
      <w:pPr>
        <w:pStyle w:val="PermNoteText"/>
        <w:rPr>
          <w:rFonts w:ascii="Times New Roman" w:hAnsi="Times New Roman"/>
          <w:sz w:val="24"/>
          <w:szCs w:val="24"/>
        </w:rPr>
      </w:pPr>
      <w:r>
        <w:tab/>
      </w:r>
      <w:r>
        <w:tab/>
      </w:r>
      <m:oMath>
        <m:f>
          <m:fPr>
            <m:ctrlPr>
              <w:rPr>
                <w:rFonts w:ascii="Cambria Math" w:hAnsi="Cambria Math"/>
                <w:sz w:val="24"/>
                <w:szCs w:val="24"/>
              </w:rPr>
            </m:ctrlPr>
          </m:fPr>
          <m:num>
            <m:r>
              <m:rPr>
                <m:sty m:val="p"/>
              </m:rPr>
              <w:rPr>
                <w:rFonts w:ascii="Cambria Math" w:hAnsi="Cambria Math"/>
                <w:sz w:val="24"/>
                <w:szCs w:val="24"/>
              </w:rPr>
              <m:t>40</m:t>
            </m:r>
          </m:num>
          <m:den>
            <m:r>
              <m:rPr>
                <m:sty m:val="p"/>
              </m:rPr>
              <w:rPr>
                <w:rFonts w:ascii="Cambria Math" w:hAnsi="Cambria Math"/>
                <w:sz w:val="24"/>
                <w:szCs w:val="24"/>
              </w:rPr>
              <m:t>100</m:t>
            </m:r>
          </m:den>
        </m:f>
        <m:r>
          <m:rPr>
            <m:sty m:val="p"/>
          </m:rPr>
          <w:rPr>
            <w:rFonts w:ascii="Cambria Math" w:hAnsi="Cambria Math"/>
            <w:sz w:val="24"/>
            <w:szCs w:val="24"/>
          </w:rPr>
          <m:t>×50=20</m:t>
        </m:r>
      </m:oMath>
    </w:p>
    <w:p>
      <w:pPr>
        <w:pStyle w:val="PermNoteText"/>
      </w:pPr>
      <w:r>
        <w:tab/>
        <w:t>2.</w:t>
      </w:r>
      <w:r>
        <w:tab/>
        <w:t>A worker loses the little finger of the left hand, 30% of the full efficient use of one eye and 10% of the full efficient use of the right arm below the elbow.  The percentage under subsection (2)(a) is —</w:t>
      </w:r>
    </w:p>
    <w:p>
      <w:pPr>
        <w:pStyle w:val="PermNoteText"/>
      </w:pPr>
      <w:r>
        <w:tab/>
      </w:r>
      <w:r>
        <w:tab/>
      </w:r>
      <m:oMath>
        <m:r>
          <w:rPr>
            <w:rFonts w:ascii="Cambria Math" w:hAnsi="Cambria Math"/>
          </w:rPr>
          <m:t xml:space="preserve">6+ </m:t>
        </m:r>
        <m:d>
          <m:dPr>
            <m:begChr m:val="["/>
            <m:endChr m:val="]"/>
            <m:ctrlPr>
              <w:rPr>
                <w:rFonts w:ascii="Cambria Math" w:hAnsi="Cambria Math"/>
                <w:i/>
              </w:rPr>
            </m:ctrlPr>
          </m:dPr>
          <m:e>
            <m:f>
              <m:fPr>
                <m:ctrlPr>
                  <w:rPr>
                    <w:rFonts w:ascii="Cambria Math" w:hAnsi="Cambria Math"/>
                    <w:i/>
                  </w:rPr>
                </m:ctrlPr>
              </m:fPr>
              <m:num>
                <m:r>
                  <w:rPr>
                    <w:rFonts w:ascii="Cambria Math" w:hAnsi="Cambria Math"/>
                  </w:rPr>
                  <m:t>30</m:t>
                </m:r>
              </m:num>
              <m:den>
                <m:r>
                  <w:rPr>
                    <w:rFonts w:ascii="Cambria Math" w:hAnsi="Cambria Math"/>
                  </w:rPr>
                  <m:t>100</m:t>
                </m:r>
              </m:den>
            </m:f>
            <m:r>
              <w:rPr>
                <w:rFonts w:ascii="Cambria Math" w:hAnsi="Cambria Math"/>
              </w:rPr>
              <m:t>×50</m:t>
            </m:r>
          </m:e>
        </m:d>
        <m:r>
          <w:rPr>
            <w:rFonts w:ascii="Cambria Math" w:hAnsi="Cambria Math"/>
          </w:rPr>
          <m:t xml:space="preserve">+ </m:t>
        </m:r>
        <m:d>
          <m:dPr>
            <m:begChr m:val="["/>
            <m:endChr m:val="]"/>
            <m:ctrlPr>
              <w:rPr>
                <w:rFonts w:ascii="Cambria Math" w:hAnsi="Cambria Math"/>
                <w:i/>
              </w:rPr>
            </m:ctrlPr>
          </m:dPr>
          <m:e>
            <m:f>
              <m:fPr>
                <m:ctrlPr>
                  <w:rPr>
                    <w:rFonts w:ascii="Cambria Math" w:hAnsi="Cambria Math"/>
                    <w:i/>
                  </w:rPr>
                </m:ctrlPr>
              </m:fPr>
              <m:num>
                <m:r>
                  <w:rPr>
                    <w:rFonts w:ascii="Cambria Math" w:hAnsi="Cambria Math"/>
                  </w:rPr>
                  <m:t>10</m:t>
                </m:r>
              </m:num>
              <m:den>
                <m:r>
                  <w:rPr>
                    <w:rFonts w:ascii="Cambria Math" w:hAnsi="Cambria Math"/>
                  </w:rPr>
                  <m:t>100</m:t>
                </m:r>
              </m:den>
            </m:f>
            <m:r>
              <w:rPr>
                <w:rFonts w:ascii="Cambria Math" w:hAnsi="Cambria Math"/>
              </w:rPr>
              <m:t>×80</m:t>
            </m:r>
          </m:e>
        </m:d>
        <m:r>
          <w:rPr>
            <w:rFonts w:ascii="Cambria Math" w:hAnsi="Cambria Math"/>
          </w:rPr>
          <m:t>=6+15+8=29</m:t>
        </m:r>
      </m:oMath>
    </w:p>
    <w:p>
      <w:pPr>
        <w:pStyle w:val="PermNoteText"/>
      </w:pPr>
      <w:r>
        <w:tab/>
        <w:t>3.</w:t>
      </w:r>
      <w:r>
        <w:tab/>
        <w:t>A worker loses 10% of the full efficient use of the back (including thoracic and lumbar spine) and 15% of the full efficient use of the neck (including cervical spine). The percentage under subsection (2)(a) (for the purposes of section 93E(4) only) is —</w:t>
      </w:r>
    </w:p>
    <w:p>
      <w:pPr>
        <w:pStyle w:val="PermNoteText"/>
      </w:pPr>
      <w:r>
        <w:tab/>
      </w:r>
      <w:r>
        <w:tab/>
      </w:r>
      <m:oMath>
        <m:d>
          <m:dPr>
            <m:begChr m:val="["/>
            <m:endChr m:val="]"/>
            <m:ctrlPr>
              <w:rPr>
                <w:rFonts w:ascii="Cambria Math" w:hAnsi="Cambria Math"/>
                <w:i/>
              </w:rPr>
            </m:ctrlPr>
          </m:dPr>
          <m:e>
            <m:f>
              <m:fPr>
                <m:ctrlPr>
                  <w:rPr>
                    <w:rFonts w:ascii="Cambria Math" w:hAnsi="Cambria Math"/>
                    <w:i/>
                  </w:rPr>
                </m:ctrlPr>
              </m:fPr>
              <m:num>
                <m:r>
                  <w:rPr>
                    <w:rFonts w:ascii="Cambria Math" w:hAnsi="Cambria Math"/>
                  </w:rPr>
                  <m:t>10</m:t>
                </m:r>
              </m:num>
              <m:den>
                <m:r>
                  <w:rPr>
                    <w:rFonts w:ascii="Cambria Math" w:hAnsi="Cambria Math"/>
                  </w:rPr>
                  <m:t>100</m:t>
                </m:r>
              </m:den>
            </m:f>
            <m:r>
              <w:rPr>
                <w:rFonts w:ascii="Cambria Math" w:hAnsi="Cambria Math"/>
              </w:rPr>
              <m:t>×100</m:t>
            </m:r>
          </m:e>
        </m:d>
        <m:r>
          <w:rPr>
            <w:rFonts w:ascii="Cambria Math" w:hAnsi="Cambria Math"/>
          </w:rPr>
          <m:t xml:space="preserve">+ </m:t>
        </m:r>
        <m:d>
          <m:dPr>
            <m:begChr m:val="["/>
            <m:endChr m:val="]"/>
            <m:ctrlPr>
              <w:rPr>
                <w:rFonts w:ascii="Cambria Math" w:hAnsi="Cambria Math"/>
                <w:i/>
              </w:rPr>
            </m:ctrlPr>
          </m:dPr>
          <m:e>
            <m:f>
              <m:fPr>
                <m:ctrlPr>
                  <w:rPr>
                    <w:rFonts w:ascii="Cambria Math" w:hAnsi="Cambria Math"/>
                    <w:i/>
                  </w:rPr>
                </m:ctrlPr>
              </m:fPr>
              <m:num>
                <m:r>
                  <w:rPr>
                    <w:rFonts w:ascii="Cambria Math" w:hAnsi="Cambria Math"/>
                  </w:rPr>
                  <m:t>15</m:t>
                </m:r>
              </m:num>
              <m:den>
                <m:r>
                  <w:rPr>
                    <w:rFonts w:ascii="Cambria Math" w:hAnsi="Cambria Math"/>
                  </w:rPr>
                  <m:t>100</m:t>
                </m:r>
              </m:den>
            </m:f>
            <m:r>
              <w:rPr>
                <w:rFonts w:ascii="Cambria Math" w:hAnsi="Cambria Math"/>
              </w:rPr>
              <m:t>×40</m:t>
            </m:r>
          </m:e>
        </m:d>
        <m:r>
          <w:rPr>
            <w:rFonts w:ascii="Cambria Math" w:hAnsi="Cambria Math"/>
          </w:rPr>
          <m:t>=10+6=16</m:t>
        </m:r>
      </m:oMath>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Ednotesubsection"/>
        <w:tabs>
          <w:tab w:val="clear" w:pos="879"/>
          <w:tab w:val="left" w:pos="1083"/>
        </w:tabs>
        <w:spacing w:before="130"/>
      </w:pPr>
      <w:r>
        <w:tab/>
        <w:t>[(9), (10)</w:t>
      </w:r>
      <w:r>
        <w:tab/>
        <w:t>deleted]</w:t>
      </w:r>
    </w:p>
    <w:p>
      <w:pPr>
        <w:pStyle w:val="Subsection"/>
        <w:spacing w:before="130"/>
      </w:pPr>
      <w:r>
        <w:lastRenderedPageBreak/>
        <w:tab/>
        <w:t>(11)</w:t>
      </w:r>
      <w:r>
        <w:tab/>
        <w:t>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w:t>
      </w:r>
    </w:p>
    <w:p>
      <w:pPr>
        <w:pStyle w:val="Subsection"/>
        <w:spacing w:before="130"/>
      </w:pPr>
      <w:r>
        <w:tab/>
        <w:t>(12)</w:t>
      </w:r>
      <w:r>
        <w:tab/>
        <w:t>Unless notification is given by the employer under subsection (8), the employer is to be regarded as having agreed that the degree of disability is not less than the relevant level.</w:t>
      </w:r>
    </w:p>
    <w:p>
      <w:pPr>
        <w:pStyle w:val="Footnotesection"/>
        <w:spacing w:before="80"/>
        <w:ind w:left="890" w:hanging="890"/>
      </w:pPr>
      <w:r>
        <w:tab/>
        <w:t>[Section 93D inserted: No. 34 of 1999 s. 32(5); amended: No. 42 of 2004 s. 76, 146 and 147; No. 31 of 2011 s. 29.]</w:t>
      </w:r>
    </w:p>
    <w:p>
      <w:pPr>
        <w:pStyle w:val="Heading5"/>
        <w:spacing w:before="200"/>
      </w:pPr>
      <w:bookmarkStart w:id="330" w:name="_Toc131514421"/>
      <w:r>
        <w:rPr>
          <w:rStyle w:val="CharSectno"/>
        </w:rPr>
        <w:t>93E</w:t>
      </w:r>
      <w:r>
        <w:t>.</w:t>
      </w:r>
      <w:r>
        <w:tab/>
        <w:t>Constraints on awards and paying compensation</w:t>
      </w:r>
      <w:bookmarkEnd w:id="330"/>
    </w:p>
    <w:p>
      <w:pPr>
        <w:pStyle w:val="Subsection"/>
        <w:keepNext/>
        <w:keepLines/>
        <w:spacing w:before="130"/>
      </w:pPr>
      <w:r>
        <w:tab/>
        <w:t>(1)</w:t>
      </w:r>
      <w:r>
        <w:tab/>
        <w:t>In this section —</w:t>
      </w:r>
    </w:p>
    <w:p>
      <w:pPr>
        <w:pStyle w:val="Defstart"/>
        <w:spacing w:before="70"/>
      </w:pPr>
      <w:r>
        <w:tab/>
      </w:r>
      <w:r>
        <w:rPr>
          <w:rStyle w:val="CharDefText"/>
        </w:rPr>
        <w:t>agreed</w:t>
      </w:r>
      <w:r>
        <w:t xml:space="preserve"> means agreed between the worker and the employer, whether under section 93D(12) or otherwise;</w:t>
      </w:r>
    </w:p>
    <w:p>
      <w:pPr>
        <w:pStyle w:val="Defstart"/>
        <w:spacing w:before="70"/>
      </w:pPr>
      <w:r>
        <w:tab/>
      </w:r>
      <w:r>
        <w:rPr>
          <w:rStyle w:val="CharDefText"/>
        </w:rPr>
        <w:t>degree of disability</w:t>
      </w:r>
      <w:r>
        <w:t xml:space="preserve"> means the degree of disability of the worker assessed in accordance with section 93D(2);</w:t>
      </w:r>
    </w:p>
    <w:p>
      <w:pPr>
        <w:pStyle w:val="Defstart"/>
        <w:spacing w:before="70"/>
      </w:pPr>
      <w:r>
        <w:tab/>
      </w:r>
      <w:r>
        <w:rPr>
          <w:rStyle w:val="CharDefText"/>
        </w:rPr>
        <w:t>determined</w:t>
      </w:r>
      <w:r>
        <w:t xml:space="preserve"> means determined or decided when dealt with as described in section 93D(10) or (11);</w:t>
      </w:r>
    </w:p>
    <w:p>
      <w:pPr>
        <w:pStyle w:val="Defstart"/>
        <w:spacing w:before="70"/>
      </w:pPr>
      <w:r>
        <w:rPr>
          <w:b/>
        </w:rPr>
        <w:tab/>
      </w:r>
      <w:r>
        <w:rPr>
          <w:rStyle w:val="CharDefText"/>
        </w:rPr>
        <w:t>termination day</w:t>
      </w:r>
      <w:r>
        <w:t xml:space="preserve"> means the day that is 6 months after the day on which weekly payments commenced.</w:t>
      </w:r>
    </w:p>
    <w:p>
      <w:pPr>
        <w:pStyle w:val="Subsection"/>
        <w:spacing w:before="120"/>
      </w:pPr>
      <w:r>
        <w:tab/>
        <w:t>(2)</w:t>
      </w:r>
      <w:r>
        <w:tab/>
        <w:t>Weekly payments of compensation ordered by an arbitrator to commence are to be regarded for the purposes of this section as commencing or having commenced on —</w:t>
      </w:r>
    </w:p>
    <w:p>
      <w:pPr>
        <w:pStyle w:val="Indenta"/>
        <w:spacing w:before="60"/>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spacing w:before="120"/>
      </w:pPr>
      <w:r>
        <w:tab/>
      </w:r>
      <w:r>
        <w:tab/>
        <w:t>whichever is later.</w:t>
      </w:r>
    </w:p>
    <w:p>
      <w:pPr>
        <w:pStyle w:val="Subsection"/>
        <w:keepNext/>
      </w:pPr>
      <w:r>
        <w:lastRenderedPageBreak/>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Despite subsection (5), if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spacing w:before="120"/>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 xml:space="preserve">Despite subsection (5) and even though subsection (6) does not apply, if the Director gives the worker notice under section 93EA(5)(b)(i) or 93EB(5)(b)(i) that this subsection </w:t>
      </w:r>
      <w:r>
        <w:lastRenderedPageBreak/>
        <w:t>applies an election can be made under subsection (3)(b) within 14 days after the Director subsequently gives the worker notice in writing that an agreement or determination of the question has been recorded.</w:t>
      </w:r>
    </w:p>
    <w:p>
      <w:pPr>
        <w:pStyle w:val="Subsection"/>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keepNext/>
      </w:pPr>
      <w:r>
        <w:tab/>
        <w:t>(12)</w:t>
      </w:r>
      <w:r>
        <w:tab/>
        <w:t>In subsection (11) —</w:t>
      </w:r>
    </w:p>
    <w:p>
      <w:pPr>
        <w:pStyle w:val="Defstart"/>
        <w:keepNext/>
      </w:pPr>
      <w:r>
        <w:rPr>
          <w:b/>
        </w:rPr>
        <w:tab/>
      </w:r>
      <w:r>
        <w:rPr>
          <w:rStyle w:val="CharDefText"/>
        </w:rPr>
        <w:t>relevant period</w:t>
      </w:r>
      <w:r>
        <w:t xml:space="preserve"> means any period —</w:t>
      </w:r>
    </w:p>
    <w:p>
      <w:pPr>
        <w:pStyle w:val="Defpara"/>
      </w:pPr>
      <w:r>
        <w:tab/>
        <w:t>(a)</w:t>
      </w:r>
      <w:r>
        <w:tab/>
        <w:t>which is after the day on which the election is registered and before the agreement or determination under subsection (9) is recorded; and</w:t>
      </w:r>
    </w:p>
    <w:p>
      <w:pPr>
        <w:pStyle w:val="Defpara"/>
      </w:pPr>
      <w:r>
        <w:lastRenderedPageBreak/>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No. 34 of 1999 s. 32(5); amended: No. 44 of 2000 s. 4; No. 35 of 2004 s. 9; No. 42 of 2004 s. 77, 147 and 149.]</w:t>
      </w:r>
    </w:p>
    <w:p>
      <w:pPr>
        <w:pStyle w:val="Heading5"/>
        <w:spacing w:before="240"/>
      </w:pPr>
      <w:bookmarkStart w:id="331" w:name="_Toc131514422"/>
      <w:r>
        <w:rPr>
          <w:rStyle w:val="CharSectno"/>
        </w:rPr>
        <w:t>93EA</w:t>
      </w:r>
      <w:r>
        <w:t>.</w:t>
      </w:r>
      <w:r>
        <w:tab/>
        <w:t>Questions as to degree of disability, referral of to Director in some cases due to new evidence</w:t>
      </w:r>
      <w:bookmarkEnd w:id="331"/>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lastRenderedPageBreak/>
        <w:tab/>
        <w:t>(ii)</w:t>
      </w:r>
      <w:r>
        <w:tab/>
        <w:t>a court set aside or quashed a decision of a review officer that dealt with the substance of the question.</w:t>
      </w:r>
    </w:p>
    <w:p>
      <w:pPr>
        <w:pStyle w:val="Subsection"/>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 xml:space="preserve">comes into operation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keepLines/>
      </w:pPr>
      <w:r>
        <w:lastRenderedPageBreak/>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keepNext/>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No. 35 of 2004 s. 10; amended: No. 42 of 2004 s. 147.]</w:t>
      </w:r>
    </w:p>
    <w:p>
      <w:pPr>
        <w:pStyle w:val="Heading5"/>
      </w:pPr>
      <w:bookmarkStart w:id="332" w:name="_Toc131514423"/>
      <w:r>
        <w:rPr>
          <w:rStyle w:val="CharSectno"/>
        </w:rPr>
        <w:t>93EB</w:t>
      </w:r>
      <w:r>
        <w:t>.</w:t>
      </w:r>
      <w:r>
        <w:tab/>
        <w:t>Questions as to degree of disability, referral of to Director in some other cases</w:t>
      </w:r>
      <w:bookmarkEnd w:id="332"/>
    </w:p>
    <w:p>
      <w:pPr>
        <w:pStyle w:val="Subsection"/>
        <w:keepNext/>
        <w:keepLines/>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t>, a worker sought to refer a question to the Director under section 93D(5); and</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w:t>
      </w:r>
      <w:r>
        <w:lastRenderedPageBreak/>
        <w:t>proceedings for the awarding of the damages concerned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Indenta"/>
        <w:spacing w:before="100"/>
      </w:pPr>
      <w:r>
        <w:tab/>
      </w:r>
      <w:r>
        <w:tab/>
        <w:t>and</w:t>
      </w:r>
    </w:p>
    <w:p>
      <w:pPr>
        <w:pStyle w:val="Indenta"/>
        <w:spacing w:before="100"/>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spacing w:before="180"/>
      </w:pPr>
      <w:r>
        <w:tab/>
        <w:t>(2)</w:t>
      </w:r>
      <w:r>
        <w:tab/>
        <w:t>If the question is whether the worker’s degree of disability is not less than 16%, subsection (3) does not apply unless the purported referral of the question occurred —</w:t>
      </w:r>
    </w:p>
    <w:p>
      <w:pPr>
        <w:pStyle w:val="Indenta"/>
        <w:spacing w:before="100"/>
      </w:pPr>
      <w:r>
        <w:tab/>
        <w:t>(a)</w:t>
      </w:r>
      <w:r>
        <w:tab/>
        <w:t>not less than 21 days before the termination day; or</w:t>
      </w:r>
    </w:p>
    <w:p>
      <w:pPr>
        <w:pStyle w:val="Indenta"/>
        <w:spacing w:before="100"/>
      </w:pPr>
      <w:r>
        <w:tab/>
        <w:t>(b)</w:t>
      </w:r>
      <w:r>
        <w:tab/>
        <w:t>before a day fixed under section 93E(7) by the Director.</w:t>
      </w:r>
    </w:p>
    <w:p>
      <w:pPr>
        <w:pStyle w:val="Subsection"/>
        <w:spacing w:before="180"/>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spacing w:before="180"/>
      </w:pPr>
      <w:r>
        <w:tab/>
        <w:t>(4)</w:t>
      </w:r>
      <w:r>
        <w:tab/>
        <w:t>A question can only be referred under subsection (3) if —</w:t>
      </w:r>
    </w:p>
    <w:p>
      <w:pPr>
        <w:pStyle w:val="Indenta"/>
        <w:spacing w:before="100"/>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 xml:space="preserve">comes into operation (called the </w:t>
      </w:r>
      <w:r>
        <w:rPr>
          <w:rStyle w:val="CharDefText"/>
        </w:rPr>
        <w:t>commencement day</w:t>
      </w:r>
      <w:r>
        <w:t xml:space="preserve"> in subparagraph (ii)); or</w:t>
      </w:r>
    </w:p>
    <w:p>
      <w:pPr>
        <w:pStyle w:val="Indenti"/>
      </w:pPr>
      <w:r>
        <w:lastRenderedPageBreak/>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keepLines/>
        <w:spacing w:before="180"/>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No. 35 of 2004 s. 10; amended: No. 42 of 2004 s. 147.]</w:t>
      </w:r>
    </w:p>
    <w:p>
      <w:pPr>
        <w:pStyle w:val="Heading5"/>
      </w:pPr>
      <w:bookmarkStart w:id="333" w:name="_Toc131514424"/>
      <w:r>
        <w:rPr>
          <w:rStyle w:val="CharSectno"/>
        </w:rPr>
        <w:t>93EC</w:t>
      </w:r>
      <w:r>
        <w:t>.</w:t>
      </w:r>
      <w:r>
        <w:tab/>
        <w:t>Time for commencing action for damages extended in some cases</w:t>
      </w:r>
      <w:bookmarkEnd w:id="333"/>
    </w:p>
    <w:p>
      <w:pPr>
        <w:pStyle w:val="Subsection"/>
        <w:keepNext/>
        <w:spacing w:before="120"/>
      </w:pPr>
      <w:r>
        <w:tab/>
      </w:r>
      <w:r>
        <w:tab/>
        <w:t>If —</w:t>
      </w:r>
    </w:p>
    <w:p>
      <w:pPr>
        <w:pStyle w:val="Indenta"/>
      </w:pPr>
      <w:r>
        <w:tab/>
        <w:t>(a)</w:t>
      </w:r>
      <w:r>
        <w:tab/>
        <w:t xml:space="preserve">under section 93EA(5)(b)(i) or 93EB(5)(b)(i), the Director notifies a worker that the referral of a question </w:t>
      </w:r>
      <w:r>
        <w:lastRenderedPageBreak/>
        <w:t>relating to an injury is accepted and that this section applies; and</w:t>
      </w:r>
    </w:p>
    <w:p>
      <w:pPr>
        <w:pStyle w:val="Indenta"/>
      </w:pPr>
      <w:r>
        <w:tab/>
        <w:t>(b)</w:t>
      </w:r>
      <w:r>
        <w:tab/>
        <w:t>the time limited by any written law for the commencement of an action seeking damages in respect of the injury —</w:t>
      </w:r>
    </w:p>
    <w:p>
      <w:pPr>
        <w:pStyle w:val="Indenti"/>
      </w:pPr>
      <w:r>
        <w:tab/>
        <w:t>(i)</w:t>
      </w:r>
      <w:r>
        <w:tab/>
        <w:t xml:space="preserve">has elapsed before the day on which the Director notifies the worker (the </w:t>
      </w:r>
      <w:r>
        <w:rPr>
          <w:rStyle w:val="CharDefText"/>
        </w:rPr>
        <w:t>notification day</w:t>
      </w:r>
      <w:r>
        <w:t>); or</w:t>
      </w:r>
    </w:p>
    <w:p>
      <w:pPr>
        <w:pStyle w:val="Indenti"/>
        <w:keepNext/>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pPr>
      <w:r>
        <w:tab/>
        <w:t>[Section 93EC inserted: No. 35 of 2004 s. 10; amended: No. 42 of 2004 s. 146 and 147.]</w:t>
      </w:r>
    </w:p>
    <w:p>
      <w:pPr>
        <w:pStyle w:val="Heading5"/>
      </w:pPr>
      <w:bookmarkStart w:id="334" w:name="_Toc131514425"/>
      <w:r>
        <w:rPr>
          <w:rStyle w:val="CharSectno"/>
        </w:rPr>
        <w:t>93F</w:t>
      </w:r>
      <w:r>
        <w:t>.</w:t>
      </w:r>
      <w:r>
        <w:tab/>
        <w:t>Degree of disability less than 30%, constraints on awards</w:t>
      </w:r>
      <w:bookmarkEnd w:id="334"/>
    </w:p>
    <w:p>
      <w:pPr>
        <w:pStyle w:val="Subsection"/>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lastRenderedPageBreak/>
        <w:tab/>
        <w:t>(4)</w:t>
      </w:r>
      <w:r>
        <w:tab/>
        <w:t>If —</w:t>
      </w:r>
    </w:p>
    <w:p>
      <w:pPr>
        <w:pStyle w:val="Indenta"/>
      </w:pPr>
      <w:r>
        <w:tab/>
        <w:t>(a)</w:t>
      </w:r>
      <w:r>
        <w:tab/>
        <w:t>section 93E(3) does not allow damages to be awarded in respect of the injury; or</w:t>
      </w:r>
    </w:p>
    <w:p>
      <w:pPr>
        <w:pStyle w:val="Indenta"/>
        <w:keepNext/>
      </w:pPr>
      <w:r>
        <w:tab/>
        <w:t>(b)</w:t>
      </w:r>
      <w:r>
        <w:tab/>
        <w:t>damages in respect of the injury have been awarded in accordance with subsection (1),</w:t>
      </w:r>
    </w:p>
    <w:p>
      <w:pPr>
        <w:pStyle w:val="Subsection"/>
        <w:spacing w:before="120"/>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(5)</w:t>
      </w:r>
      <w:r>
        <w:tab/>
        <w:t>If section 93E(3)(b) allows damages to be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pPr>
      <w:r>
        <w:tab/>
        <w:t>(8)</w:t>
      </w:r>
      <w:r>
        <w:tab/>
        <w:t>In this section —</w:t>
      </w:r>
    </w:p>
    <w:p>
      <w:pPr>
        <w:pStyle w:val="Defstart"/>
      </w:pPr>
      <w:r>
        <w:tab/>
      </w:r>
      <w:r>
        <w:rPr>
          <w:rStyle w:val="CharDefText"/>
        </w:rPr>
        <w:t>Amount A</w:t>
      </w:r>
      <w:r>
        <w:t xml:space="preserve"> means —</w:t>
      </w:r>
    </w:p>
    <w:p>
      <w:pPr>
        <w:pStyle w:val="Defpara"/>
      </w:pPr>
      <w:r>
        <w:tab/>
        <w:t>(a)</w:t>
      </w:r>
      <w:r>
        <w:tab/>
        <w:t>in relation to the financial year ending on 30 June 2000, $250 000;</w:t>
      </w:r>
    </w:p>
    <w:p>
      <w:pPr>
        <w:pStyle w:val="Defpara"/>
      </w:pPr>
      <w:r>
        <w:lastRenderedPageBreak/>
        <w:tab/>
        <w:t>(b)</w:t>
      </w:r>
      <w:r>
        <w:tab/>
        <w:t>in relation to any subsequent financial year, the nearest whole number of dollars to —</w:t>
      </w:r>
    </w:p>
    <w:p>
      <w:pPr>
        <w:pStyle w:val="Defsubpara"/>
        <w:keepLines w:val="0"/>
      </w:pPr>
      <w:r>
        <w:tab/>
        <w:t>(i)</w:t>
      </w:r>
      <w:r>
        <w:tab/>
        <w:t xml:space="preserve">the amount obtained by varying Amount A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No. 34 of 1999 s. 32(5); amended: No. 42 of 2004 s. 147; No. 8 of 2009 s. 139(4).]</w:t>
      </w:r>
    </w:p>
    <w:p>
      <w:pPr>
        <w:pStyle w:val="Heading5"/>
      </w:pPr>
      <w:bookmarkStart w:id="335" w:name="_Toc131514426"/>
      <w:r>
        <w:rPr>
          <w:rStyle w:val="CharSectno"/>
        </w:rPr>
        <w:t>93G</w:t>
      </w:r>
      <w:r>
        <w:t>.</w:t>
      </w:r>
      <w:r>
        <w:tab/>
        <w:t>Regulations for this Subdivision</w:t>
      </w:r>
      <w:bookmarkEnd w:id="335"/>
    </w:p>
    <w:p>
      <w:pPr>
        <w:pStyle w:val="Subsection"/>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 xml:space="preserve">the registration by the Director of elections under section 93E(3)(b) if an agreement or determination for the purposes of section 93E(4) has been recorded, and the power of the Director to refuse to register an election </w:t>
      </w:r>
      <w:r>
        <w:lastRenderedPageBreak/>
        <w:t>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No. 34 of 1999 s. 32(5); amended: No. 42 of 2004 s. 78.]</w:t>
      </w:r>
    </w:p>
    <w:p>
      <w:pPr>
        <w:pStyle w:val="Heading4"/>
        <w:keepLines/>
      </w:pPr>
      <w:bookmarkStart w:id="336" w:name="_Toc100238450"/>
      <w:bookmarkStart w:id="337" w:name="_Toc100239064"/>
      <w:bookmarkStart w:id="338" w:name="_Toc100562358"/>
      <w:bookmarkStart w:id="339" w:name="_Toc107309994"/>
      <w:bookmarkStart w:id="340" w:name="_Toc107479848"/>
      <w:bookmarkStart w:id="341" w:name="_Toc131501214"/>
      <w:bookmarkStart w:id="342" w:name="_Toc131501831"/>
      <w:bookmarkStart w:id="343" w:name="_Toc131514427"/>
      <w:r>
        <w:t>Subdivision 3 — 2004 scheme</w:t>
      </w:r>
      <w:bookmarkEnd w:id="336"/>
      <w:bookmarkEnd w:id="337"/>
      <w:bookmarkEnd w:id="338"/>
      <w:bookmarkEnd w:id="339"/>
      <w:bookmarkEnd w:id="340"/>
      <w:bookmarkEnd w:id="341"/>
      <w:bookmarkEnd w:id="342"/>
      <w:bookmarkEnd w:id="343"/>
    </w:p>
    <w:p>
      <w:pPr>
        <w:pStyle w:val="Footnoteheading"/>
        <w:keepNext/>
        <w:keepLines/>
      </w:pPr>
      <w:r>
        <w:tab/>
        <w:t>[Heading inserted: No. 42 of 2004 s. 79.]</w:t>
      </w:r>
    </w:p>
    <w:p>
      <w:pPr>
        <w:pStyle w:val="Heading5"/>
      </w:pPr>
      <w:bookmarkStart w:id="344" w:name="_Toc131514428"/>
      <w:r>
        <w:rPr>
          <w:rStyle w:val="CharSectno"/>
        </w:rPr>
        <w:t>93H</w:t>
      </w:r>
      <w:r>
        <w:t>.</w:t>
      </w:r>
      <w:r>
        <w:tab/>
        <w:t>Terms used</w:t>
      </w:r>
      <w:bookmarkEnd w:id="344"/>
    </w:p>
    <w:p>
      <w:pPr>
        <w:pStyle w:val="Subsection"/>
      </w:pPr>
      <w:r>
        <w:tab/>
        <w:t>(1)</w:t>
      </w:r>
      <w:r>
        <w:tab/>
        <w:t>In this Subdivision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r>
      <w:r>
        <w:rPr>
          <w:rStyle w:val="CharDefText"/>
        </w:rPr>
        <w:t>election registration day</w:t>
      </w:r>
      <w:r>
        <w:t xml:space="preserve"> means the day on which the Director registers the election under section 93K(4)(b).</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r>
        <w:tab/>
        <w:t>[Section 93H inserted: No. 42 of 2004 s. 79.]</w:t>
      </w:r>
    </w:p>
    <w:p>
      <w:pPr>
        <w:pStyle w:val="Heading5"/>
      </w:pPr>
      <w:bookmarkStart w:id="345" w:name="_Toc131514429"/>
      <w:r>
        <w:rPr>
          <w:rStyle w:val="CharSectno"/>
        </w:rPr>
        <w:lastRenderedPageBreak/>
        <w:t>93I</w:t>
      </w:r>
      <w:r>
        <w:t>.</w:t>
      </w:r>
      <w:r>
        <w:tab/>
        <w:t>Application of this Subdivision</w:t>
      </w:r>
      <w:bookmarkEnd w:id="345"/>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p>
    <w:p>
      <w:pPr>
        <w:pStyle w:val="Subsection"/>
      </w:pPr>
      <w:r>
        <w:tab/>
        <w:t>(2)</w:t>
      </w:r>
      <w:r>
        <w:tab/>
        <w:t>Despite subsection (1), this Subdivision applies to a worker who claims to be suffering an injury attributable to the inhalation of asbestos if, on or after 14 November 2005 —</w:t>
      </w:r>
    </w:p>
    <w:p>
      <w:pPr>
        <w:pStyle w:val="Indenta"/>
        <w:spacing w:before="60"/>
      </w:pPr>
      <w:r>
        <w:tab/>
        <w:t>(a)</w:t>
      </w:r>
      <w:r>
        <w:tab/>
        <w:t>the worker seeks to agree the worker’s degree of permanent whole of person impairment for the purposes of section 93K; or</w:t>
      </w:r>
    </w:p>
    <w:p>
      <w:pPr>
        <w:pStyle w:val="Indenta"/>
        <w:spacing w:before="60"/>
      </w:pPr>
      <w:r>
        <w:tab/>
        <w:t>(b)</w:t>
      </w:r>
      <w:r>
        <w:tab/>
        <w:t>an assessment of a medical panel to evaluate the worker’s degree of permanent whole of person impairment is sought under section 93R.</w:t>
      </w:r>
    </w:p>
    <w:p>
      <w:pPr>
        <w:pStyle w:val="Footnotesection"/>
      </w:pPr>
      <w:r>
        <w:tab/>
        <w:t>[Section 93I inserted: No. 42 of 2004 s. 79; amended: No. 20 of 2005 s. 22.]</w:t>
      </w:r>
    </w:p>
    <w:p>
      <w:pPr>
        <w:pStyle w:val="Heading5"/>
        <w:spacing w:before="180"/>
      </w:pPr>
      <w:bookmarkStart w:id="346" w:name="_Toc131514430"/>
      <w:r>
        <w:rPr>
          <w:rStyle w:val="CharSectno"/>
        </w:rPr>
        <w:t>93J</w:t>
      </w:r>
      <w:r>
        <w:t>.</w:t>
      </w:r>
      <w:r>
        <w:tab/>
        <w:t>No damages for noise induced hearing loss if not an injury</w:t>
      </w:r>
      <w:bookmarkEnd w:id="346"/>
    </w:p>
    <w:p>
      <w:pPr>
        <w:pStyle w:val="Subsection"/>
        <w:rPr>
          <w:snapToGrid w:val="0"/>
        </w:rPr>
      </w:pPr>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r>
        <w:tab/>
        <w:t>[Section 93J inserted: No. 42 of 2004 s. 79.]</w:t>
      </w:r>
    </w:p>
    <w:p>
      <w:pPr>
        <w:pStyle w:val="Heading5"/>
        <w:keepLines w:val="0"/>
        <w:spacing w:before="180"/>
      </w:pPr>
      <w:bookmarkStart w:id="347" w:name="_Toc131514431"/>
      <w:r>
        <w:rPr>
          <w:rStyle w:val="CharSectno"/>
        </w:rPr>
        <w:t>93K</w:t>
      </w:r>
      <w:r>
        <w:t>.</w:t>
      </w:r>
      <w:r>
        <w:tab/>
        <w:t>Constraints on awards</w:t>
      </w:r>
      <w:bookmarkEnd w:id="347"/>
    </w:p>
    <w:p>
      <w:pPr>
        <w:pStyle w:val="Subsection"/>
      </w:pPr>
      <w:r>
        <w:tab/>
        <w:t>(1)</w:t>
      </w:r>
      <w:r>
        <w:tab/>
        <w:t>If the liability for an incapacity resulting from the injury has been redeemed under section 67, damages are not to be awarded in respect of the injury.</w:t>
      </w:r>
    </w:p>
    <w:p>
      <w:pPr>
        <w:pStyle w:val="Subsection"/>
      </w:pPr>
      <w:r>
        <w:tab/>
        <w:t>(2)</w:t>
      </w:r>
      <w:r>
        <w:tab/>
        <w:t>If a further additional sum has been allowed to the worker under clause 18A(1b) in relation to an injury that is compensable under this Act, damages are not to be awarded in respect of the injury.</w:t>
      </w:r>
    </w:p>
    <w:p>
      <w:pPr>
        <w:pStyle w:val="Subsection"/>
      </w:pPr>
      <w:r>
        <w:tab/>
        <w:t>(3)</w:t>
      </w:r>
      <w:r>
        <w:tab/>
        <w:t xml:space="preserve">If the worker is participating, or has at any time participated, in a specialised retraining program established in respect of an </w:t>
      </w:r>
      <w:r>
        <w:lastRenderedPageBreak/>
        <w:t>injury that is compensable under this Act, damages are not to be awarded in respect of the injury.</w:t>
      </w:r>
    </w:p>
    <w:p>
      <w:pPr>
        <w:pStyle w:val="Subsection"/>
      </w:pPr>
      <w:r>
        <w:tab/>
        <w:t>(4)</w:t>
      </w:r>
      <w:r>
        <w:tab/>
        <w:t>Damages in respect of an injury can only be awarded if —</w:t>
      </w:r>
    </w:p>
    <w:p>
      <w:pPr>
        <w:pStyle w:val="Indenta"/>
      </w:pPr>
      <w:r>
        <w:tab/>
        <w:t>(a)</w:t>
      </w:r>
      <w:r>
        <w:tab/>
        <w:t>the worker elects, in the manner prescribed in the regulations, to retain the right to seek the damages; and</w:t>
      </w:r>
    </w:p>
    <w:p>
      <w:pPr>
        <w:pStyle w:val="Indenta"/>
      </w:pPr>
      <w:r>
        <w:tab/>
        <w:t>(b)</w:t>
      </w:r>
      <w:r>
        <w:tab/>
        <w:t>the Director registers the election in accordance with the regulations; and</w:t>
      </w:r>
    </w:p>
    <w:p>
      <w:pPr>
        <w:pStyle w:val="Indenta"/>
      </w:pPr>
      <w:r>
        <w:tab/>
        <w:t>(c)</w:t>
      </w:r>
      <w:r>
        <w:tab/>
        <w:t>court proceedings seeking the damages are commenced after the Director gives the worker written notice that the Director has registered the election; and</w:t>
      </w:r>
    </w:p>
    <w:p>
      <w:pPr>
        <w:pStyle w:val="Indenta"/>
      </w:pPr>
      <w:r>
        <w:tab/>
        <w:t>(d)</w:t>
      </w:r>
      <w:r>
        <w:tab/>
        <w:t>the court is satisfied that the worker’s degree of permanent whole of person impairment is at least 15%.</w:t>
      </w:r>
    </w:p>
    <w:p>
      <w:pPr>
        <w:pStyle w:val="Subsection"/>
      </w:pPr>
      <w:r>
        <w:tab/>
        <w:t>(5)</w:t>
      </w:r>
      <w:r>
        <w:tab/>
        <w:t>Unless the court is satisfied that the worker’s degree of permanent whole of person impairment is at least 25%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If —</w:t>
      </w:r>
    </w:p>
    <w:p>
      <w:pPr>
        <w:pStyle w:val="Indenta"/>
      </w:pPr>
      <w:r>
        <w:tab/>
        <w:t>(a)</w:t>
      </w:r>
      <w:r>
        <w:tab/>
        <w:t>subsection (4) does not allow damages to be awarded in respect of the injury; or</w:t>
      </w:r>
    </w:p>
    <w:p>
      <w:pPr>
        <w:pStyle w:val="Indenta"/>
      </w:pPr>
      <w:r>
        <w:lastRenderedPageBreak/>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spacing w:before="180"/>
      </w:pPr>
      <w:r>
        <w:tab/>
        <w:t>(9)</w:t>
      </w:r>
      <w:r>
        <w:tab/>
        <w:t>If subsection (5) limits the damages that could have been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spacing w:before="180"/>
      </w:pPr>
      <w:r>
        <w:tab/>
        <w:t>(10)</w:t>
      </w:r>
      <w:r>
        <w:tab/>
        <w:t>This section applies regardless of whether the damages are awarded against one or several employers.</w:t>
      </w:r>
    </w:p>
    <w:p>
      <w:pPr>
        <w:pStyle w:val="Subsection"/>
        <w:spacing w:before="180"/>
      </w:pPr>
      <w:r>
        <w:tab/>
        <w:t>(11)</w:t>
      </w:r>
      <w:r>
        <w:tab/>
        <w:t>An issue as to the amount of damages that may be awarded, is to be determined by reference to Amount A as in effect on the date on which the determination is made.</w:t>
      </w:r>
    </w:p>
    <w:p>
      <w:pPr>
        <w:pStyle w:val="Subsection"/>
        <w:keepNext/>
        <w:spacing w:before="180"/>
      </w:pPr>
      <w:r>
        <w:tab/>
        <w:t>(12)</w:t>
      </w:r>
      <w:r>
        <w:tab/>
        <w:t>In this section —</w:t>
      </w:r>
    </w:p>
    <w:p>
      <w:pPr>
        <w:pStyle w:val="Defstart"/>
      </w:pPr>
      <w:r>
        <w:tab/>
      </w:r>
      <w:r>
        <w:rPr>
          <w:rStyle w:val="CharDefText"/>
        </w:rPr>
        <w:t>Amount A</w:t>
      </w:r>
      <w:r>
        <w:t xml:space="preserve"> means, in relation to a financial year, the amount that section 93F(8) defines to be Amount A in relation to that financial year.</w:t>
      </w:r>
    </w:p>
    <w:p>
      <w:pPr>
        <w:pStyle w:val="Subsection"/>
        <w:spacing w:before="180"/>
      </w:pPr>
      <w:r>
        <w:tab/>
        <w:t>(13)</w:t>
      </w:r>
      <w:r>
        <w:tab/>
        <w:t xml:space="preserve">The court is not bound by an agreement or assessment recorded by the Director under section 93L(2), but may admit it as </w:t>
      </w:r>
      <w:r>
        <w:lastRenderedPageBreak/>
        <w:t>evidence relevant to the worker’s degree of permanent whole of person impairment.</w:t>
      </w:r>
    </w:p>
    <w:p>
      <w:pPr>
        <w:pStyle w:val="Footnotesection"/>
      </w:pPr>
      <w:r>
        <w:tab/>
        <w:t>[Section 93K inserted: No. 42 of 2004 s. 79; amended: No. 31 of 2011 s. 96.]</w:t>
      </w:r>
    </w:p>
    <w:p>
      <w:pPr>
        <w:pStyle w:val="Heading5"/>
      </w:pPr>
      <w:bookmarkStart w:id="348" w:name="_Toc131514432"/>
      <w:r>
        <w:rPr>
          <w:rStyle w:val="CharSectno"/>
        </w:rPr>
        <w:t>93L</w:t>
      </w:r>
      <w:r>
        <w:t>.</w:t>
      </w:r>
      <w:r>
        <w:tab/>
        <w:t>Election under s. 93K to retain right to seek damages</w:t>
      </w:r>
      <w:bookmarkEnd w:id="348"/>
    </w:p>
    <w:p>
      <w:pPr>
        <w:pStyle w:val="Ednotesubsection"/>
      </w:pPr>
      <w:r>
        <w:tab/>
        <w:t>[(1)</w:t>
      </w:r>
      <w:r>
        <w:tab/>
        <w:t>deleted]</w:t>
      </w:r>
    </w:p>
    <w:p>
      <w:pPr>
        <w:pStyle w:val="Subsection"/>
      </w:pPr>
      <w:r>
        <w:tab/>
        <w:t>(2)</w:t>
      </w:r>
      <w:r>
        <w:tab/>
        <w:t>A worker can only elect under section 93K(4) to retain the right to seek damages if —</w:t>
      </w:r>
    </w:p>
    <w:p>
      <w:pPr>
        <w:pStyle w:val="Indenta"/>
      </w:pPr>
      <w:r>
        <w:tab/>
        <w:t>(a)</w:t>
      </w:r>
      <w:r>
        <w:tab/>
        <w:t>the worker and the employer agree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Ednotesubsection"/>
      </w:pPr>
      <w:r>
        <w:tab/>
        <w:t>[(4)</w:t>
      </w:r>
      <w:r>
        <w:tab/>
        <w:t>deleted]</w:t>
      </w:r>
    </w:p>
    <w:p>
      <w:pPr>
        <w:pStyle w:val="Subsection"/>
      </w:pPr>
      <w:r>
        <w:tab/>
        <w:t>(5)</w:t>
      </w:r>
      <w:r>
        <w:tab/>
        <w:t xml:space="preserve">An agreement or assessment that the Director has, at the written request of the worker, recorded in accordance with the regulations cannot be withdrawn and, after it has been recorded, </w:t>
      </w:r>
      <w:r>
        <w:lastRenderedPageBreak/>
        <w:t>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r>
        <w:tab/>
        <w:t>[Section 93L inserted: No. 42 of 2004 s. 79; amended: No. 31 of 2020 s. 7.]</w:t>
      </w:r>
    </w:p>
    <w:p>
      <w:pPr>
        <w:pStyle w:val="Ednotesection"/>
      </w:pPr>
      <w:r>
        <w:t>[</w:t>
      </w:r>
      <w:r>
        <w:rPr>
          <w:b/>
        </w:rPr>
        <w:t>93M.</w:t>
      </w:r>
      <w:r>
        <w:tab/>
        <w:t>Deleted: No. 31 of 2020 s. 8.]</w:t>
      </w:r>
    </w:p>
    <w:p>
      <w:pPr>
        <w:pStyle w:val="Heading5"/>
        <w:spacing w:before="200"/>
      </w:pPr>
      <w:bookmarkStart w:id="349" w:name="_Toc131514433"/>
      <w:r>
        <w:rPr>
          <w:rStyle w:val="CharSectno"/>
        </w:rPr>
        <w:t>93N</w:t>
      </w:r>
      <w:r>
        <w:t>.</w:t>
      </w:r>
      <w:r>
        <w:tab/>
        <w:t>Special evaluation if worker’s condition has not stabilised sufficiently</w:t>
      </w:r>
      <w:bookmarkEnd w:id="349"/>
    </w:p>
    <w:p>
      <w:pPr>
        <w:pStyle w:val="Subsection"/>
        <w:spacing w:before="140"/>
      </w:pPr>
      <w:r>
        <w:tab/>
        <w:t>(1)</w:t>
      </w:r>
      <w:r>
        <w:tab/>
        <w:t>This section applies if, after the expiry of the period of 18 months after the day on which a claim for compensation by way of weekly payments is made by a worker,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pPr>
      <w:r>
        <w:tab/>
        <w:t>(1A)</w:t>
      </w:r>
      <w:r>
        <w:tab/>
        <w:t xml:space="preserve">In subsection (1) — </w:t>
      </w:r>
    </w:p>
    <w:p>
      <w:pPr>
        <w:pStyle w:val="Defstart"/>
      </w:pPr>
      <w:r>
        <w:tab/>
      </w:r>
      <w:r>
        <w:rPr>
          <w:rStyle w:val="CharDefText"/>
        </w:rPr>
        <w:t>claim for compensation by way of weekly payments</w:t>
      </w:r>
      <w:r>
        <w:t xml:space="preserve"> means a claim for compensation by way of weekly payments for total or partial incapacity that has been made on an employer in accordance with section 178(1)(b).</w:t>
      </w:r>
    </w:p>
    <w:p>
      <w:pPr>
        <w:pStyle w:val="Subsection"/>
        <w:spacing w:before="140"/>
      </w:pPr>
      <w:r>
        <w:lastRenderedPageBreak/>
        <w:tab/>
        <w:t>(2)</w:t>
      </w:r>
      <w:r>
        <w:tab/>
        <w:t>The worker may request an approved medical specialist to make a special evaluation of the worker’s degree of permanent whole of person impairment in accordance with sections 146A and 146C.</w:t>
      </w:r>
    </w:p>
    <w:p>
      <w:pPr>
        <w:pStyle w:val="Subsection"/>
        <w:spacing w:before="140"/>
      </w:pPr>
      <w:r>
        <w:tab/>
        <w:t>(3)</w:t>
      </w:r>
      <w:r>
        <w:tab/>
        <w:t>The approved medical specialist requested to make a special evaluation may be the approved medical specialist who certified as described in subsection (1).</w:t>
      </w:r>
    </w:p>
    <w:p>
      <w:pPr>
        <w:pStyle w:val="Subsection"/>
        <w:spacing w:before="140"/>
      </w:pPr>
      <w:r>
        <w:tab/>
        <w:t>(4)</w:t>
      </w:r>
      <w:r>
        <w:tab/>
        <w:t>The request is to be made in accordance with the regulations and is to be accompanied by a copy of the certificate referred to in subsection (1).</w:t>
      </w:r>
    </w:p>
    <w:p>
      <w:pPr>
        <w:pStyle w:val="Subsection"/>
        <w:spacing w:before="140"/>
      </w:pPr>
      <w:r>
        <w:tab/>
        <w:t>(5)</w:t>
      </w:r>
      <w:r>
        <w:tab/>
        <w:t>The approved medical specialist is to make the special evaluation in accordance with 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In this section —</w:t>
      </w:r>
    </w:p>
    <w:p>
      <w:pPr>
        <w:pStyle w:val="Defstart"/>
      </w:pPr>
      <w:r>
        <w:rPr>
          <w:b/>
        </w:rPr>
        <w:tab/>
      </w:r>
      <w:r>
        <w:rPr>
          <w:rStyle w:val="CharDefText"/>
        </w:rPr>
        <w:t>normal evaluation</w:t>
      </w:r>
      <w:r>
        <w:rPr>
          <w:b/>
        </w:rPr>
        <w:t xml:space="preserve"> </w:t>
      </w:r>
      <w:r>
        <w:t>has the meaning given to that term in section 146C.</w:t>
      </w:r>
    </w:p>
    <w:p>
      <w:pPr>
        <w:pStyle w:val="Footnotesection"/>
      </w:pPr>
      <w:r>
        <w:tab/>
        <w:t>[Section 93N inserted: No. 42 of 2004 s. 79; amended: No. 31 of 2020 s. 9.]</w:t>
      </w:r>
    </w:p>
    <w:p>
      <w:pPr>
        <w:pStyle w:val="Ednotesection"/>
      </w:pPr>
      <w:r>
        <w:t>[</w:t>
      </w:r>
      <w:r>
        <w:rPr>
          <w:b/>
        </w:rPr>
        <w:t>93O.</w:t>
      </w:r>
      <w:r>
        <w:tab/>
        <w:t>Deleted: No. 31 of 2020 s. 10.]</w:t>
      </w:r>
    </w:p>
    <w:p>
      <w:pPr>
        <w:pStyle w:val="Heading5"/>
      </w:pPr>
      <w:bookmarkStart w:id="350" w:name="_Toc131514434"/>
      <w:r>
        <w:rPr>
          <w:rStyle w:val="CharSectno"/>
        </w:rPr>
        <w:t>93P</w:t>
      </w:r>
      <w:r>
        <w:t>.</w:t>
      </w:r>
      <w:r>
        <w:tab/>
        <w:t>Election under s. 93K, effect of on compensation</w:t>
      </w:r>
      <w:bookmarkEnd w:id="350"/>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If a worker elects under section 93K to retain the right to seek damages and this section applies —</w:t>
      </w:r>
    </w:p>
    <w:p>
      <w:pPr>
        <w:pStyle w:val="Indenta"/>
      </w:pPr>
      <w:r>
        <w:tab/>
        <w:t>(a)</w:t>
      </w:r>
      <w:r>
        <w:tab/>
        <w:t xml:space="preserve">the amount of any weekly payment of compensation to which the worker is entitled under this Act in respect of </w:t>
      </w:r>
      <w:r>
        <w:lastRenderedPageBreak/>
        <w:t>the injury or injuries, to the extent that the payment is for any time during the first 6 months after the election registration day, is varied to the amount calculated as described in subsection (4); and</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no other compensation under this Act is payable in respect of the injury or injuries —</w:t>
      </w:r>
    </w:p>
    <w:p>
      <w:pPr>
        <w:pStyle w:val="Indenti"/>
      </w:pPr>
      <w:r>
        <w:tab/>
        <w:t>(i)</w:t>
      </w:r>
      <w:r>
        <w:tab/>
        <w:t>in relation to a time that is after the election registration day; or</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In subsection (2) —</w:t>
      </w:r>
    </w:p>
    <w:p>
      <w:pPr>
        <w:pStyle w:val="Defstart"/>
      </w:pPr>
      <w:r>
        <w:rPr>
          <w:b/>
        </w:rPr>
        <w:tab/>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keepNext/>
      </w:pPr>
      <w:r>
        <w:tab/>
        <w:t>(4)</w:t>
      </w:r>
      <w:r>
        <w:tab/>
        <w:t>The amount of a weekly payment is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r>
        <w:lastRenderedPageBreak/>
        <w:tab/>
        <w:t>[Section 93P inserted: No. 42 of 2004 s. 79.]</w:t>
      </w:r>
    </w:p>
    <w:p>
      <w:pPr>
        <w:pStyle w:val="Heading5"/>
      </w:pPr>
      <w:bookmarkStart w:id="351" w:name="_Toc131514435"/>
      <w:r>
        <w:rPr>
          <w:rStyle w:val="CharSectno"/>
        </w:rPr>
        <w:t>93Q</w:t>
      </w:r>
      <w:r>
        <w:t>.</w:t>
      </w:r>
      <w:r>
        <w:tab/>
        <w:t>HIV and AIDS, special provisions about</w:t>
      </w:r>
      <w:bookmarkEnd w:id="351"/>
    </w:p>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Ednotesubsection"/>
      </w:pPr>
      <w:r>
        <w:tab/>
        <w:t>[(7)</w:t>
      </w:r>
      <w:r>
        <w:tab/>
        <w:t>deleted]</w:t>
      </w:r>
    </w:p>
    <w:p>
      <w:pPr>
        <w:pStyle w:val="Subsection"/>
      </w:pPr>
      <w:r>
        <w:tab/>
        <w:t>(8)</w:t>
      </w:r>
      <w:r>
        <w:tab/>
        <w:t>In this section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lastRenderedPageBreak/>
        <w:tab/>
      </w:r>
      <w:r>
        <w:rPr>
          <w:rStyle w:val="CharDefText"/>
        </w:rPr>
        <w:t>prohibited drug</w:t>
      </w:r>
      <w:r>
        <w:t xml:space="preserve"> has the meaning given to that term by the </w:t>
      </w:r>
      <w:r>
        <w:rPr>
          <w:i/>
        </w:rPr>
        <w:t>Misuse of Drugs Act 1981</w:t>
      </w:r>
      <w:r>
        <w:t xml:space="preserve"> section 3.</w:t>
      </w:r>
    </w:p>
    <w:p>
      <w:pPr>
        <w:pStyle w:val="Footnotesection"/>
      </w:pPr>
      <w:r>
        <w:tab/>
        <w:t>[Section 93Q inserted: No. 42 of 2004 s. 79; amended: No. 31 of 2020 s. 11.]</w:t>
      </w:r>
    </w:p>
    <w:p>
      <w:pPr>
        <w:pStyle w:val="Heading5"/>
      </w:pPr>
      <w:bookmarkStart w:id="352" w:name="_Toc131514436"/>
      <w:r>
        <w:rPr>
          <w:rStyle w:val="CharSectno"/>
        </w:rPr>
        <w:t>93R</w:t>
      </w:r>
      <w:r>
        <w:t>.</w:t>
      </w:r>
      <w:r>
        <w:tab/>
        <w:t>Some lung diseases, special provisions about</w:t>
      </w:r>
      <w:bookmarkEnd w:id="352"/>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Ednotesubsection"/>
      </w:pPr>
      <w:r>
        <w:tab/>
        <w:t>[(6)</w:t>
      </w:r>
      <w:r>
        <w:tab/>
        <w:t>deleted]</w:t>
      </w:r>
    </w:p>
    <w:p>
      <w:pPr>
        <w:pStyle w:val="Subsection"/>
      </w:pPr>
      <w:r>
        <w:tab/>
        <w:t>(7)</w:t>
      </w:r>
      <w:r>
        <w:tab/>
        <w:t xml:space="preserve">A medical panel from which an assessment under this section is sought is not bound by a previous assessment made under this </w:t>
      </w:r>
      <w:r>
        <w:lastRenderedPageBreak/>
        <w:t>section if the previous assessment has not been recorded by the Director under section 93L(2).</w:t>
      </w:r>
    </w:p>
    <w:p>
      <w:pPr>
        <w:pStyle w:val="Subsection"/>
        <w:keepNext/>
        <w:keepLines/>
      </w:pPr>
      <w:r>
        <w:tab/>
        <w:t>(8)</w:t>
      </w:r>
      <w:r>
        <w:tab/>
        <w:t>If the Director, under section 93L(2), records an assessment under this section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keepNext/>
      </w:pPr>
      <w:r>
        <w:tab/>
        <w:t>(b)</w:t>
      </w:r>
      <w:r>
        <w:tab/>
        <w:t>section 93K(13) does not apply.</w:t>
      </w:r>
    </w:p>
    <w:p>
      <w:pPr>
        <w:pStyle w:val="Footnotesection"/>
      </w:pPr>
      <w:r>
        <w:tab/>
        <w:t>[Section 93R inserted: No. 42 of 2004 s. 79; amended: No. 31 of 2020 s. 12.]</w:t>
      </w:r>
    </w:p>
    <w:p>
      <w:pPr>
        <w:pStyle w:val="Heading5"/>
      </w:pPr>
      <w:bookmarkStart w:id="353" w:name="_Toc131514437"/>
      <w:r>
        <w:rPr>
          <w:rStyle w:val="CharSectno"/>
        </w:rPr>
        <w:t>93S</w:t>
      </w:r>
      <w:r>
        <w:t>.</w:t>
      </w:r>
      <w:r>
        <w:tab/>
        <w:t>Regulations for this Subdivision</w:t>
      </w:r>
      <w:bookmarkEnd w:id="353"/>
    </w:p>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Ednotepara"/>
      </w:pPr>
      <w:r>
        <w:tab/>
        <w:t>[(e)</w:t>
      </w:r>
      <w:r>
        <w:tab/>
        <w:t>deleted]</w:t>
      </w:r>
    </w:p>
    <w:p>
      <w:pPr>
        <w:pStyle w:val="Footnotesection"/>
      </w:pPr>
      <w:r>
        <w:tab/>
        <w:t>[Section 93S inserted: No. 42 of 2004 s. 79; amended: No. 31 of 2020 s. 13.]</w:t>
      </w:r>
    </w:p>
    <w:p>
      <w:pPr>
        <w:pStyle w:val="Heading4"/>
        <w:rPr>
          <w:i/>
        </w:rPr>
      </w:pPr>
      <w:bookmarkStart w:id="354" w:name="_Toc100238461"/>
      <w:bookmarkStart w:id="355" w:name="_Toc100239075"/>
      <w:bookmarkStart w:id="356" w:name="_Toc100562369"/>
      <w:bookmarkStart w:id="357" w:name="_Toc107310005"/>
      <w:bookmarkStart w:id="358" w:name="_Toc107479859"/>
      <w:bookmarkStart w:id="359" w:name="_Toc131501225"/>
      <w:bookmarkStart w:id="360" w:name="_Toc131501842"/>
      <w:bookmarkStart w:id="361" w:name="_Toc131514438"/>
      <w:r>
        <w:lastRenderedPageBreak/>
        <w:t xml:space="preserve">Subdivision 4 — Savings and transitional arrangements arising from </w:t>
      </w:r>
      <w:r>
        <w:rPr>
          <w:i/>
        </w:rPr>
        <w:t>Workers’ Compensation and Injury Management Amendment (COVID</w:t>
      </w:r>
      <w:r>
        <w:rPr>
          <w:i/>
        </w:rPr>
        <w:noBreakHyphen/>
        <w:t>19 Response) Act 2020</w:t>
      </w:r>
      <w:bookmarkEnd w:id="354"/>
      <w:bookmarkEnd w:id="355"/>
      <w:bookmarkEnd w:id="356"/>
      <w:bookmarkEnd w:id="357"/>
      <w:bookmarkEnd w:id="358"/>
      <w:bookmarkEnd w:id="359"/>
      <w:bookmarkEnd w:id="360"/>
      <w:bookmarkEnd w:id="361"/>
    </w:p>
    <w:p>
      <w:pPr>
        <w:pStyle w:val="Footnoteheading"/>
        <w:keepNext/>
      </w:pPr>
      <w:r>
        <w:tab/>
        <w:t>[Heading inserted: No. 31 of 2020 s. 14.]</w:t>
      </w:r>
    </w:p>
    <w:p>
      <w:pPr>
        <w:pStyle w:val="Heading5"/>
      </w:pPr>
      <w:bookmarkStart w:id="362" w:name="_Toc131514439"/>
      <w:r>
        <w:rPr>
          <w:rStyle w:val="CharSectno"/>
        </w:rPr>
        <w:t>93T</w:t>
      </w:r>
      <w:r>
        <w:t>.</w:t>
      </w:r>
      <w:r>
        <w:tab/>
        <w:t>Transitional arrangements for termination day</w:t>
      </w:r>
      <w:bookmarkEnd w:id="362"/>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Workers’ Compensation and Injury Management Amendment (COVID</w:t>
      </w:r>
      <w:r>
        <w:rPr>
          <w:i/>
        </w:rPr>
        <w:noBreakHyphen/>
        <w:t>19 Response) Act 2020</w:t>
      </w:r>
      <w:r>
        <w:t xml:space="preserve"> section 7 comes into operation;</w:t>
      </w:r>
    </w:p>
    <w:p>
      <w:pPr>
        <w:pStyle w:val="Defstart"/>
      </w:pPr>
      <w:r>
        <w:tab/>
      </w:r>
      <w:r>
        <w:rPr>
          <w:rStyle w:val="CharDefText"/>
        </w:rPr>
        <w:t>former Subdivision</w:t>
      </w:r>
      <w:r>
        <w:t xml:space="preserve"> means Subdivision 3 as in force immediately before commencement day.</w:t>
      </w:r>
    </w:p>
    <w:p>
      <w:pPr>
        <w:pStyle w:val="Subsection"/>
      </w:pPr>
      <w:r>
        <w:tab/>
        <w:t>(2)</w:t>
      </w:r>
      <w:r>
        <w:tab/>
        <w:t>A worker can elect on or after commencement day to retain the right to seek damages in respect of a cause of action accruing before that day even if the termination day for an election under the former Subdivision in respect of those damages was before commencement day.</w:t>
      </w:r>
    </w:p>
    <w:p>
      <w:pPr>
        <w:pStyle w:val="Subsection"/>
      </w:pPr>
      <w:r>
        <w:tab/>
        <w:t>(3)</w:t>
      </w:r>
      <w:r>
        <w:tab/>
        <w:t xml:space="preserve">Nothing in the </w:t>
      </w:r>
      <w:r>
        <w:rPr>
          <w:i/>
        </w:rPr>
        <w:t>Workers’ Compensation and Injury Management Amendment (COVID</w:t>
      </w:r>
      <w:r>
        <w:rPr>
          <w:i/>
        </w:rPr>
        <w:noBreakHyphen/>
        <w:t>19 Response) Act 2020</w:t>
      </w:r>
      <w:r>
        <w:t xml:space="preserve"> sections 7 to 13 affects the validity or effect of an agreement or assessment recorded by the Director under section 93L(2), or an election registered by the Director in accordance with the regulations, before commencement day.</w:t>
      </w:r>
    </w:p>
    <w:p>
      <w:pPr>
        <w:pStyle w:val="Footnotesection"/>
      </w:pPr>
      <w:r>
        <w:tab/>
        <w:t>[Section 93T inserted: No. 31 of 2020 s. 14.]</w:t>
      </w:r>
    </w:p>
    <w:p>
      <w:pPr>
        <w:pStyle w:val="Heading2"/>
      </w:pPr>
      <w:bookmarkStart w:id="363" w:name="_Toc100238463"/>
      <w:bookmarkStart w:id="364" w:name="_Toc100239077"/>
      <w:bookmarkStart w:id="365" w:name="_Toc100562371"/>
      <w:bookmarkStart w:id="366" w:name="_Toc107310007"/>
      <w:bookmarkStart w:id="367" w:name="_Toc107479861"/>
      <w:bookmarkStart w:id="368" w:name="_Toc131501227"/>
      <w:bookmarkStart w:id="369" w:name="_Toc131501844"/>
      <w:bookmarkStart w:id="370" w:name="_Toc131514440"/>
      <w:r>
        <w:rPr>
          <w:rStyle w:val="CharPartNo"/>
        </w:rPr>
        <w:lastRenderedPageBreak/>
        <w:t>Part V </w:t>
      </w:r>
      <w:r>
        <w:t>—</w:t>
      </w:r>
      <w:r>
        <w:rPr>
          <w:b w:val="0"/>
        </w:rPr>
        <w:t> </w:t>
      </w:r>
      <w:r>
        <w:rPr>
          <w:rStyle w:val="CharPartText"/>
        </w:rPr>
        <w:t>WorkCover Western Australia Authority</w:t>
      </w:r>
      <w:bookmarkEnd w:id="363"/>
      <w:bookmarkEnd w:id="364"/>
      <w:bookmarkEnd w:id="365"/>
      <w:bookmarkEnd w:id="366"/>
      <w:bookmarkEnd w:id="367"/>
      <w:bookmarkEnd w:id="368"/>
      <w:bookmarkEnd w:id="369"/>
      <w:bookmarkEnd w:id="370"/>
    </w:p>
    <w:p>
      <w:pPr>
        <w:pStyle w:val="Footnoteheading"/>
        <w:rPr>
          <w:snapToGrid w:val="0"/>
        </w:rPr>
      </w:pPr>
      <w:r>
        <w:rPr>
          <w:snapToGrid w:val="0"/>
        </w:rPr>
        <w:tab/>
        <w:t>[Heading inserted: No. 42 of 2004 s. 80.]</w:t>
      </w:r>
    </w:p>
    <w:p>
      <w:pPr>
        <w:pStyle w:val="Heading3"/>
      </w:pPr>
      <w:bookmarkStart w:id="371" w:name="_Toc100238464"/>
      <w:bookmarkStart w:id="372" w:name="_Toc100239078"/>
      <w:bookmarkStart w:id="373" w:name="_Toc100562372"/>
      <w:bookmarkStart w:id="374" w:name="_Toc107310008"/>
      <w:bookmarkStart w:id="375" w:name="_Toc107479862"/>
      <w:bookmarkStart w:id="376" w:name="_Toc131501228"/>
      <w:bookmarkStart w:id="377" w:name="_Toc131501845"/>
      <w:bookmarkStart w:id="378" w:name="_Toc131514441"/>
      <w:r>
        <w:rPr>
          <w:rStyle w:val="CharDivNo"/>
        </w:rPr>
        <w:t>Division 1</w:t>
      </w:r>
      <w:r>
        <w:rPr>
          <w:snapToGrid w:val="0"/>
        </w:rPr>
        <w:t> — </w:t>
      </w:r>
      <w:r>
        <w:rPr>
          <w:rStyle w:val="CharDivText"/>
        </w:rPr>
        <w:t>Constitution, purposes, and powers</w:t>
      </w:r>
      <w:bookmarkEnd w:id="371"/>
      <w:bookmarkEnd w:id="372"/>
      <w:bookmarkEnd w:id="373"/>
      <w:bookmarkEnd w:id="374"/>
      <w:bookmarkEnd w:id="375"/>
      <w:bookmarkEnd w:id="376"/>
      <w:bookmarkEnd w:id="377"/>
      <w:bookmarkEnd w:id="378"/>
    </w:p>
    <w:p>
      <w:pPr>
        <w:pStyle w:val="Heading5"/>
        <w:rPr>
          <w:snapToGrid w:val="0"/>
        </w:rPr>
      </w:pPr>
      <w:bookmarkStart w:id="379" w:name="_Toc131514442"/>
      <w:r>
        <w:rPr>
          <w:rStyle w:val="CharSectno"/>
        </w:rPr>
        <w:t>94</w:t>
      </w:r>
      <w:r>
        <w:rPr>
          <w:snapToGrid w:val="0"/>
        </w:rPr>
        <w:t>.</w:t>
      </w:r>
      <w:r>
        <w:rPr>
          <w:snapToGrid w:val="0"/>
        </w:rPr>
        <w:tab/>
        <w:t>WorkCover Western Australia Authority, nature of etc.</w:t>
      </w:r>
      <w:bookmarkEnd w:id="379"/>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rPr>
          <w:snapToGrid w:val="0"/>
        </w:rPr>
      </w:pPr>
      <w:r>
        <w:rPr>
          <w:snapToGrid w:val="0"/>
        </w:rPr>
        <w:tab/>
        <w:t>(2)</w:t>
      </w:r>
      <w:r>
        <w:rPr>
          <w:snapToGrid w:val="0"/>
        </w:rPr>
        <w:tab/>
        <w:t>The</w:t>
      </w:r>
      <w:r>
        <w:t xml:space="preserve"> WorkCover Western Australia Authority</w:t>
      </w:r>
      <w:r>
        <w:rPr>
          <w:snapToGrid w:val="0"/>
        </w:rPr>
        <w:t>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may acquire, hold, and dispose of real and personal property; and</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rPr>
          <w:snapToGrid w:val="0"/>
        </w:rPr>
      </w:pPr>
      <w:r>
        <w:rPr>
          <w:snapToGrid w:val="0"/>
        </w:rPr>
        <w:lastRenderedPageBreak/>
        <w:tab/>
        <w:t>(4)</w:t>
      </w:r>
      <w:r>
        <w:rPr>
          <w:snapToGrid w:val="0"/>
        </w:rPr>
        <w:tab/>
        <w:t xml:space="preserve">A person other than </w:t>
      </w:r>
      <w:r>
        <w:t>WorkCover WA</w:t>
      </w:r>
      <w:r>
        <w:rPr>
          <w:snapToGrid w:val="0"/>
        </w:rPr>
        <w:t xml:space="preserve"> who uses or operates under the name mentioned in subsection (1), or any name that is so similar that it is likely to be misunderstood as referring to</w:t>
      </w:r>
      <w:r>
        <w:t xml:space="preserve"> WorkCover WA</w:t>
      </w:r>
      <w:r>
        <w:rPr>
          <w:snapToGrid w:val="0"/>
        </w:rPr>
        <w:t>, commits an offence.</w:t>
      </w:r>
    </w:p>
    <w:p>
      <w:pPr>
        <w:pStyle w:val="Footnotesection"/>
      </w:pPr>
      <w:r>
        <w:tab/>
        <w:t>[Section 94 amended: No. 86 of 1986 s. 8; No. 48 of 1993 s. 40; No. 42 of 2004 s. 81 and 150.]</w:t>
      </w:r>
    </w:p>
    <w:p>
      <w:pPr>
        <w:pStyle w:val="Heading5"/>
      </w:pPr>
      <w:bookmarkStart w:id="380" w:name="_Toc131514443"/>
      <w:r>
        <w:rPr>
          <w:rStyle w:val="CharSectno"/>
        </w:rPr>
        <w:t>95</w:t>
      </w:r>
      <w:r>
        <w:t>.</w:t>
      </w:r>
      <w:r>
        <w:tab/>
        <w:t>Governing body of WorkCover WA</w:t>
      </w:r>
      <w:bookmarkEnd w:id="380"/>
    </w:p>
    <w:p>
      <w:pPr>
        <w:pStyle w:val="Subsection"/>
        <w:rPr>
          <w:snapToGrid w:val="0"/>
        </w:rPr>
      </w:pPr>
      <w:r>
        <w:tab/>
        <w:t>(1)</w:t>
      </w:r>
      <w:r>
        <w:tab/>
      </w:r>
      <w:r>
        <w:rPr>
          <w:snapToGrid w:val="0"/>
        </w:rPr>
        <w:t>WorkCover WA’s governing body is to consist of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 and</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rPr>
        <w:t>Work Health and Safety Act 2020</w:t>
      </w:r>
      <w:r>
        <w:t>; and</w:t>
      </w:r>
    </w:p>
    <w:p>
      <w:pPr>
        <w:pStyle w:val="Indenta"/>
        <w:rPr>
          <w:snapToGrid w:val="0"/>
        </w:rPr>
      </w:pPr>
      <w:r>
        <w:tab/>
        <w:t>(c)</w:t>
      </w:r>
      <w:r>
        <w:tab/>
      </w:r>
      <w:r>
        <w:rPr>
          <w:snapToGrid w:val="0"/>
        </w:rPr>
        <w:t>4 persons appointed by the Governor, on the recommendation of the Minister, as members of WorkCover WA’s governing body and referred to as nominee members of whom —</w:t>
      </w:r>
    </w:p>
    <w:p>
      <w:pPr>
        <w:pStyle w:val="Indenti"/>
        <w:rPr>
          <w:snapToGrid w:val="0"/>
        </w:rPr>
      </w:pPr>
      <w:r>
        <w:tab/>
        <w:t>(i)</w:t>
      </w:r>
      <w:r>
        <w:tab/>
      </w:r>
      <w:r>
        <w:rPr>
          <w:snapToGrid w:val="0"/>
        </w:rPr>
        <w:t>one is a person experienced in employers’ interests; and</w:t>
      </w:r>
    </w:p>
    <w:p>
      <w:pPr>
        <w:pStyle w:val="Indenti"/>
        <w:rPr>
          <w:snapToGrid w:val="0"/>
        </w:rPr>
      </w:pPr>
      <w:r>
        <w:rPr>
          <w:snapToGrid w:val="0"/>
        </w:rPr>
        <w:tab/>
        <w:t>(ii)</w:t>
      </w:r>
      <w:r>
        <w:rPr>
          <w:snapToGrid w:val="0"/>
        </w:rPr>
        <w:tab/>
        <w:t>one is a person experienced in workers’ interests; and</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WorkCover WA’s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lastRenderedPageBreak/>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No. 42 of 2004 s. 82; amended: No. 36 of 2020 s. 371.]</w:t>
      </w:r>
    </w:p>
    <w:p>
      <w:pPr>
        <w:pStyle w:val="Heading5"/>
        <w:keepLines w:val="0"/>
        <w:spacing w:before="800"/>
        <w:rPr>
          <w:snapToGrid w:val="0"/>
        </w:rPr>
      </w:pPr>
      <w:bookmarkStart w:id="381" w:name="_Toc131514444"/>
      <w:r>
        <w:rPr>
          <w:rStyle w:val="CharSectno"/>
        </w:rPr>
        <w:lastRenderedPageBreak/>
        <w:t>96</w:t>
      </w:r>
      <w:r>
        <w:rPr>
          <w:snapToGrid w:val="0"/>
        </w:rPr>
        <w:t>.</w:t>
      </w:r>
      <w:r>
        <w:rPr>
          <w:snapToGrid w:val="0"/>
        </w:rPr>
        <w:tab/>
        <w:t>Term of office of governing body’s nominee members</w:t>
      </w:r>
      <w:bookmarkEnd w:id="381"/>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Minister on such terms as he thinks fit may grant leave of absence to a nominee member.</w:t>
      </w:r>
    </w:p>
    <w:p>
      <w:pPr>
        <w:pStyle w:val="Subsection"/>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rPr>
          <w:snapToGrid w:val="0"/>
        </w:rPr>
      </w:pPr>
      <w:r>
        <w:rPr>
          <w:snapToGrid w:val="0"/>
        </w:rPr>
        <w:tab/>
        <w:t>(4)</w:t>
      </w:r>
      <w:r>
        <w:rPr>
          <w:snapToGrid w:val="0"/>
        </w:rPr>
        <w:tab/>
        <w:t>The Governor may terminate the appointment of a nominee member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rPr>
          <w:snapToGrid w:val="0"/>
        </w:rPr>
      </w:pPr>
      <w:r>
        <w:rPr>
          <w:snapToGrid w:val="0"/>
        </w:rPr>
        <w:tab/>
        <w:t>(5)</w:t>
      </w:r>
      <w:r>
        <w:rPr>
          <w:snapToGrid w:val="0"/>
        </w:rPr>
        <w:tab/>
        <w:t>If a nominee member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absents himself except on leave granted by the Minister from 3 consecutive meetings of</w:t>
      </w:r>
      <w:r>
        <w:t xml:space="preserve"> WorkCover WA’s governing body</w:t>
      </w:r>
      <w:r>
        <w:rPr>
          <w:snapToGrid w:val="0"/>
        </w:rPr>
        <w:t>;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rPr>
          <w:snapToGrid w:val="0"/>
        </w:rPr>
      </w:pPr>
      <w:r>
        <w:rPr>
          <w:snapToGrid w:val="0"/>
        </w:rPr>
        <w:tab/>
      </w:r>
      <w:r>
        <w:rPr>
          <w:snapToGrid w:val="0"/>
        </w:rPr>
        <w:tab/>
        <w:t>the office of that nominee member becomes vacant.</w:t>
      </w:r>
    </w:p>
    <w:p>
      <w:pPr>
        <w:pStyle w:val="Subsection"/>
        <w:rPr>
          <w:snapToGrid w:val="0"/>
        </w:rPr>
      </w:pPr>
      <w:r>
        <w:rPr>
          <w:snapToGrid w:val="0"/>
        </w:rPr>
        <w:lastRenderedPageBreak/>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No. 42 of 2004 s. 83 and 151; No. 18 of 2009 s. 94.]</w:t>
      </w:r>
    </w:p>
    <w:p>
      <w:pPr>
        <w:pStyle w:val="Heading5"/>
        <w:rPr>
          <w:snapToGrid w:val="0"/>
        </w:rPr>
      </w:pPr>
      <w:bookmarkStart w:id="382" w:name="_Toc131514445"/>
      <w:r>
        <w:rPr>
          <w:rStyle w:val="CharSectno"/>
        </w:rPr>
        <w:t>97</w:t>
      </w:r>
      <w:r>
        <w:rPr>
          <w:snapToGrid w:val="0"/>
        </w:rPr>
        <w:t>.</w:t>
      </w:r>
      <w:r>
        <w:rPr>
          <w:snapToGrid w:val="0"/>
        </w:rPr>
        <w:tab/>
        <w:t>Meetings</w:t>
      </w:r>
      <w:bookmarkEnd w:id="382"/>
    </w:p>
    <w:p>
      <w:pPr>
        <w:pStyle w:val="Subsection"/>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rPr>
          <w:snapToGrid w:val="0"/>
        </w:rPr>
      </w:pPr>
      <w:r>
        <w:rPr>
          <w:snapToGrid w:val="0"/>
        </w:rPr>
        <w:tab/>
        <w:t>(3)</w:t>
      </w:r>
      <w:r>
        <w:rPr>
          <w:snapToGrid w:val="0"/>
        </w:rPr>
        <w:tab/>
        <w:t xml:space="preserve">At a meeting of </w:t>
      </w:r>
      <w:r>
        <w:t>WorkCover WA’s governing body</w:t>
      </w:r>
      <w:r>
        <w:rPr>
          <w:snapToGrid w:val="0"/>
        </w:rPr>
        <w:t xml:space="preserve"> 4 members constitute a quorum.</w:t>
      </w:r>
    </w:p>
    <w:p>
      <w:pPr>
        <w:pStyle w:val="Subsection"/>
        <w:rPr>
          <w:snapToGrid w:val="0"/>
        </w:rPr>
      </w:pPr>
      <w:r>
        <w:rPr>
          <w:snapToGrid w:val="0"/>
        </w:rPr>
        <w:tab/>
        <w:t>(4)</w:t>
      </w:r>
      <w:r>
        <w:rPr>
          <w:snapToGrid w:val="0"/>
        </w:rPr>
        <w:tab/>
        <w:t>Any question arising at a meeting is to be decided by a majority of the members present and voting.</w:t>
      </w:r>
    </w:p>
    <w:p>
      <w:pPr>
        <w:pStyle w:val="Subsection"/>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Division 1AA is about a member of WorkCover WA’s governing body having a material personal interest in a matter being considered or about to be considered by the governing body.</w:t>
      </w:r>
    </w:p>
    <w:p>
      <w:pPr>
        <w:pStyle w:val="Subsection"/>
        <w:rPr>
          <w:snapToGrid w:val="0"/>
        </w:rPr>
      </w:pPr>
      <w:r>
        <w:rPr>
          <w:snapToGrid w:val="0"/>
        </w:rPr>
        <w:lastRenderedPageBreak/>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rPr>
          <w:snapToGrid w:val="0"/>
        </w:rPr>
      </w:pPr>
      <w:r>
        <w:rPr>
          <w:snapToGrid w:val="0"/>
        </w:rPr>
        <w:tab/>
        <w:t>(7)</w:t>
      </w:r>
      <w:r>
        <w:rPr>
          <w:snapToGrid w:val="0"/>
        </w:rPr>
        <w:tab/>
        <w:t xml:space="preserve">To the extent that it is not prescribed </w:t>
      </w:r>
      <w:r>
        <w:t>WorkCover WA’s governing body</w:t>
      </w:r>
      <w:r>
        <w:rPr>
          <w:snapToGrid w:val="0"/>
        </w:rPr>
        <w:t xml:space="preserve"> may determine its own procedure.</w:t>
      </w:r>
    </w:p>
    <w:p>
      <w:pPr>
        <w:pStyle w:val="Footnotesection"/>
      </w:pPr>
      <w:r>
        <w:tab/>
        <w:t>[Section 97 amended: No. 42 of 2004 s. 84, 150 and 151.]</w:t>
      </w:r>
    </w:p>
    <w:p>
      <w:pPr>
        <w:pStyle w:val="Heading5"/>
        <w:rPr>
          <w:snapToGrid w:val="0"/>
        </w:rPr>
      </w:pPr>
      <w:bookmarkStart w:id="383" w:name="_Toc131514446"/>
      <w:r>
        <w:rPr>
          <w:rStyle w:val="CharSectno"/>
        </w:rPr>
        <w:t>98</w:t>
      </w:r>
      <w:r>
        <w:rPr>
          <w:snapToGrid w:val="0"/>
        </w:rPr>
        <w:t>.</w:t>
      </w:r>
      <w:r>
        <w:rPr>
          <w:snapToGrid w:val="0"/>
        </w:rPr>
        <w:tab/>
        <w:t>Vacancies etc. not to invalidate proceedings</w:t>
      </w:r>
      <w:bookmarkEnd w:id="383"/>
    </w:p>
    <w:p>
      <w:pPr>
        <w:pStyle w:val="Subsection"/>
        <w:rPr>
          <w:snapToGrid w:val="0"/>
        </w:rPr>
      </w:pPr>
      <w:r>
        <w:rPr>
          <w:snapToGrid w:val="0"/>
        </w:rPr>
        <w:tab/>
      </w:r>
      <w:r>
        <w:rPr>
          <w:snapToGrid w:val="0"/>
        </w:rPr>
        <w:tab/>
        <w:t xml:space="preserve">An act, proceeding, or determination of </w:t>
      </w:r>
      <w:r>
        <w:t>WorkCover WA</w:t>
      </w:r>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No. 42 of 2004 s. 85 and 150.]</w:t>
      </w:r>
    </w:p>
    <w:p>
      <w:pPr>
        <w:pStyle w:val="Heading5"/>
        <w:rPr>
          <w:snapToGrid w:val="0"/>
        </w:rPr>
      </w:pPr>
      <w:bookmarkStart w:id="384" w:name="_Toc131514447"/>
      <w:r>
        <w:rPr>
          <w:rStyle w:val="CharSectno"/>
        </w:rPr>
        <w:t>99</w:t>
      </w:r>
      <w:r>
        <w:t>.</w:t>
      </w:r>
      <w:r>
        <w:tab/>
      </w:r>
      <w:r>
        <w:rPr>
          <w:snapToGrid w:val="0"/>
        </w:rPr>
        <w:t>Conditions of appointment</w:t>
      </w:r>
      <w:bookmarkEnd w:id="384"/>
    </w:p>
    <w:p>
      <w:pPr>
        <w:pStyle w:val="Subsection"/>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rPr>
          <w:snapToGrid w:val="0"/>
        </w:rPr>
      </w:pPr>
      <w:r>
        <w:rPr>
          <w:snapToGrid w:val="0"/>
        </w:rPr>
        <w:tab/>
        <w:t>(2)</w:t>
      </w:r>
      <w:r>
        <w:rPr>
          <w:snapToGrid w:val="0"/>
        </w:rPr>
        <w:tab/>
        <w:t>A member other than one who is in the Public Service is to be paid such fees and allowances as may be fixed by the Minister on the recommendation of the</w:t>
      </w:r>
      <w:r>
        <w:t xml:space="preserve"> Public Sector Commissioner.</w:t>
      </w:r>
    </w:p>
    <w:p>
      <w:pPr>
        <w:pStyle w:val="Footnotesection"/>
        <w:keepLines w:val="0"/>
      </w:pPr>
      <w:r>
        <w:tab/>
        <w:t>[Section 99 amended: No. 86 of 1986 s. 5; No. 42 of 2004 s. 86; No. 39 of 2010 s. 89.]</w:t>
      </w:r>
    </w:p>
    <w:p>
      <w:pPr>
        <w:pStyle w:val="Heading5"/>
      </w:pPr>
      <w:bookmarkStart w:id="385" w:name="_Toc131514448"/>
      <w:r>
        <w:rPr>
          <w:rStyle w:val="CharSectno"/>
        </w:rPr>
        <w:t>100</w:t>
      </w:r>
      <w:r>
        <w:t>.</w:t>
      </w:r>
      <w:r>
        <w:tab/>
        <w:t>Functions</w:t>
      </w:r>
      <w:bookmarkEnd w:id="385"/>
    </w:p>
    <w:p>
      <w:pPr>
        <w:pStyle w:val="Subsection"/>
      </w:pPr>
      <w:r>
        <w:tab/>
      </w:r>
      <w:r>
        <w:tab/>
        <w:t xml:space="preserve">The functions of WorkCover WA are to ensure the efficient and effective operation of the workers’ compensation scheme established by this Act and without limiting the generality of the foregoing — </w:t>
      </w:r>
    </w:p>
    <w:p>
      <w:pPr>
        <w:pStyle w:val="Indenta"/>
      </w:pPr>
      <w:r>
        <w:tab/>
        <w:t>(a)</w:t>
      </w:r>
      <w:r>
        <w:tab/>
        <w:t>to monitor compliance with the workers’ compensation scheme by employers, insurers and others participating in or affected by the workers’ compensation scheme; and</w:t>
      </w:r>
    </w:p>
    <w:p>
      <w:pPr>
        <w:pStyle w:val="Indenta"/>
      </w:pPr>
      <w:r>
        <w:tab/>
        <w:t>(b)</w:t>
      </w:r>
      <w:r>
        <w:tab/>
        <w:t>to control and administer the General Account and the Trust Account; and</w:t>
      </w:r>
    </w:p>
    <w:p>
      <w:pPr>
        <w:pStyle w:val="Indenta"/>
      </w:pPr>
      <w:r>
        <w:lastRenderedPageBreak/>
        <w:tab/>
        <w:t>(c)</w:t>
      </w:r>
      <w:r>
        <w:tab/>
        <w:t>to promote and coordinate the management and treatment of accidents, injuries, losses of functions and diseases in respect of which compensation may be payable under this Act; and</w:t>
      </w:r>
    </w:p>
    <w:p>
      <w:pPr>
        <w:pStyle w:val="Indenta"/>
      </w:pPr>
      <w:r>
        <w:tab/>
        <w:t>(d)</w:t>
      </w:r>
      <w:r>
        <w:tab/>
        <w:t>to fix insurance premium rates and perform the related functions conferred upon it by Part VIII; and</w:t>
      </w:r>
    </w:p>
    <w:p>
      <w:pPr>
        <w:pStyle w:val="Indenta"/>
      </w:pPr>
      <w:r>
        <w:tab/>
        <w:t>(e)</w:t>
      </w:r>
      <w:r>
        <w:tab/>
        <w:t>to resolve or assist in resolving disputes under this Act through conciliation and arbitration; and</w:t>
      </w:r>
    </w:p>
    <w:p>
      <w:pPr>
        <w:pStyle w:val="Indenta"/>
      </w:pPr>
      <w:r>
        <w:tab/>
        <w:t>(f)</w:t>
      </w:r>
      <w:r>
        <w:tab/>
        <w:t>to obtain from insurers, self</w:t>
      </w:r>
      <w:r>
        <w:noBreakHyphen/>
        <w:t>insurers and others who participate in or provide services in connection with the workers’ compensation scheme data enabling WorkCover WA to compile and record such statistics, records and reports as it considers necessary or desirable for the operation of the workers’ compensation scheme and administration of this Act; and</w:t>
      </w:r>
    </w:p>
    <w:p>
      <w:pPr>
        <w:pStyle w:val="Indenta"/>
      </w:pPr>
      <w:r>
        <w:tab/>
        <w:t>(g)</w:t>
      </w:r>
      <w:r>
        <w:tab/>
        <w:t>to review the sufficiency of the data provided to WorkCover WA by insurers, self</w:t>
      </w:r>
      <w:r>
        <w:noBreakHyphen/>
        <w:t>insurers and others who participate in or provide services in connection with the workers’ compensation scheme, and whether or not criteria developed by WorkCover WA or prescribed by the regulations for assessing the performance of those persons are being met; and</w:t>
      </w:r>
    </w:p>
    <w:p>
      <w:pPr>
        <w:pStyle w:val="Indenta"/>
      </w:pPr>
      <w:r>
        <w:tab/>
        <w:t>(h)</w:t>
      </w:r>
      <w:r>
        <w:tab/>
        <w:t>to promote awareness of and disseminate information about the workers’ compensation scheme; and</w:t>
      </w:r>
    </w:p>
    <w:p>
      <w:pPr>
        <w:pStyle w:val="Indenta"/>
      </w:pPr>
      <w:r>
        <w:tab/>
        <w:t>(i)</w:t>
      </w:r>
      <w:r>
        <w:tab/>
        <w:t xml:space="preserve">to undertake research </w:t>
      </w:r>
      <w:r>
        <w:rPr>
          <w:snapToGrid w:val="0"/>
        </w:rPr>
        <w:t>to advance or support the purposes of the Act or the performance of the other functions of WorkCover WA</w:t>
      </w:r>
      <w:r>
        <w:t>; and</w:t>
      </w:r>
    </w:p>
    <w:p>
      <w:pPr>
        <w:pStyle w:val="Indenta"/>
      </w:pPr>
      <w:r>
        <w:tab/>
        <w:t>(j)</w:t>
      </w:r>
      <w:r>
        <w:tab/>
        <w:t>to promote the prevention of accidents, injuries, losses of functions, and diseases of a kind in respect of which compensation may be payable under this Act; and</w:t>
      </w:r>
    </w:p>
    <w:p>
      <w:pPr>
        <w:pStyle w:val="Indenta"/>
      </w:pPr>
      <w:r>
        <w:tab/>
        <w:t>(k)</w:t>
      </w:r>
      <w:r>
        <w:tab/>
        <w:t xml:space="preserve">to advise the Minister on — </w:t>
      </w:r>
    </w:p>
    <w:p>
      <w:pPr>
        <w:pStyle w:val="Indenti"/>
      </w:pPr>
      <w:r>
        <w:tab/>
        <w:t>(i)</w:t>
      </w:r>
      <w:r>
        <w:tab/>
        <w:t>matters to do with insurance that is required by this Act; and</w:t>
      </w:r>
    </w:p>
    <w:p>
      <w:pPr>
        <w:pStyle w:val="Indenti"/>
      </w:pPr>
      <w:r>
        <w:tab/>
        <w:t>(ii)</w:t>
      </w:r>
      <w:r>
        <w:tab/>
        <w:t>WorkCover WA’s functions under this Act; and</w:t>
      </w:r>
    </w:p>
    <w:p>
      <w:pPr>
        <w:pStyle w:val="Indenti"/>
      </w:pPr>
      <w:r>
        <w:lastRenderedPageBreak/>
        <w:tab/>
        <w:t>(iii)</w:t>
      </w:r>
      <w:r>
        <w:tab/>
        <w:t>the policy to be followed in the State with regard to workers’ compensation; and</w:t>
      </w:r>
    </w:p>
    <w:p>
      <w:pPr>
        <w:pStyle w:val="Indenti"/>
        <w:rPr>
          <w:szCs w:val="24"/>
        </w:rPr>
      </w:pPr>
      <w:r>
        <w:tab/>
        <w:t>(iv)</w:t>
      </w:r>
      <w:r>
        <w:tab/>
        <w:t>any other matter referred by the Minister to WorkCover WA for its advice.</w:t>
      </w:r>
    </w:p>
    <w:p>
      <w:pPr>
        <w:pStyle w:val="Footnotesection"/>
      </w:pPr>
      <w:r>
        <w:tab/>
        <w:t>[Section 100 inserted: No. 31 of 2011 s. 97.]</w:t>
      </w:r>
    </w:p>
    <w:p>
      <w:pPr>
        <w:pStyle w:val="Heading5"/>
        <w:rPr>
          <w:snapToGrid w:val="0"/>
        </w:rPr>
      </w:pPr>
      <w:bookmarkStart w:id="386" w:name="_Toc131514449"/>
      <w:r>
        <w:rPr>
          <w:rStyle w:val="CharSectno"/>
        </w:rPr>
        <w:t>100A</w:t>
      </w:r>
      <w:r>
        <w:rPr>
          <w:snapToGrid w:val="0"/>
        </w:rPr>
        <w:t>.</w:t>
      </w:r>
      <w:r>
        <w:rPr>
          <w:snapToGrid w:val="0"/>
        </w:rPr>
        <w:tab/>
        <w:t>Advisory committees</w:t>
      </w:r>
      <w:bookmarkEnd w:id="386"/>
    </w:p>
    <w:p>
      <w:pPr>
        <w:pStyle w:val="Subsection"/>
        <w:spacing w:before="140"/>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spacing w:before="140"/>
        <w:rPr>
          <w:snapToGrid w:val="0"/>
        </w:rPr>
      </w:pPr>
      <w:r>
        <w:rPr>
          <w:snapToGrid w:val="0"/>
        </w:rPr>
        <w:tab/>
        <w:t>(2)</w:t>
      </w:r>
      <w:r>
        <w:rPr>
          <w:snapToGrid w:val="0"/>
        </w:rPr>
        <w:tab/>
        <w:t xml:space="preserve">Subject to this section, an advisory committee shall consist of such number of persons as are appointed by </w:t>
      </w:r>
      <w:r>
        <w:t>WorkCover WA</w:t>
      </w:r>
      <w:r>
        <w:rPr>
          <w:snapToGrid w:val="0"/>
        </w:rPr>
        <w:t xml:space="preserve"> and at least one of them is to be a member of WorkCover WA’s governing body.</w:t>
      </w:r>
    </w:p>
    <w:p>
      <w:pPr>
        <w:pStyle w:val="Subsection"/>
        <w:spacing w:before="140"/>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spacing w:before="140"/>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Public Sector Commissioner</w:t>
      </w:r>
      <w:r>
        <w:rPr>
          <w:snapToGrid w:val="0"/>
        </w:rPr>
        <w:t>.</w:t>
      </w:r>
    </w:p>
    <w:p>
      <w:pPr>
        <w:pStyle w:val="Subsection"/>
        <w:spacing w:before="140"/>
        <w:rPr>
          <w:snapToGrid w:val="0"/>
        </w:rPr>
      </w:pPr>
      <w:r>
        <w:rPr>
          <w:snapToGrid w:val="0"/>
        </w:rPr>
        <w:tab/>
        <w:t>(5)</w:t>
      </w:r>
      <w:r>
        <w:rPr>
          <w:snapToGrid w:val="0"/>
        </w:rPr>
        <w:tab/>
        <w:t xml:space="preserve">The fees and allowances mentioned in subsection (4) shall be paid by </w:t>
      </w:r>
      <w:r>
        <w:t>WorkCover WA</w:t>
      </w:r>
      <w:r>
        <w:rPr>
          <w:snapToGrid w:val="0"/>
        </w:rPr>
        <w:t xml:space="preserve"> from moneys standing to the credit of the General</w:t>
      </w:r>
      <w:r>
        <w:t xml:space="preserve"> Account</w:t>
      </w:r>
      <w:r>
        <w:rPr>
          <w:snapToGrid w:val="0"/>
        </w:rPr>
        <w:t>.</w:t>
      </w:r>
    </w:p>
    <w:p>
      <w:pPr>
        <w:pStyle w:val="Subsection"/>
        <w:spacing w:before="140"/>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lastRenderedPageBreak/>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at least one member of WorkCover WA’s governing body appointed by WorkCover WA; and</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such other members as are appointed by WorkCover WA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[Section 100A inserted: No. 96 of 1990 s. 22; amended: No. 49 of 1996 s. 64; No. 42 of 2004 s. 88 and 150; No. 77 of 2006 Sch. 1 cl. 189(9); No. 39 of 2010 s. 89.]</w:t>
      </w:r>
    </w:p>
    <w:p>
      <w:pPr>
        <w:pStyle w:val="Heading5"/>
      </w:pPr>
      <w:bookmarkStart w:id="387" w:name="_Toc131514450"/>
      <w:r>
        <w:rPr>
          <w:rStyle w:val="CharSectno"/>
        </w:rPr>
        <w:t>100B</w:t>
      </w:r>
      <w:r>
        <w:t>.</w:t>
      </w:r>
      <w:r>
        <w:tab/>
        <w:t>Disclosing information to work health and safety department</w:t>
      </w:r>
      <w:bookmarkEnd w:id="387"/>
    </w:p>
    <w:p>
      <w:pPr>
        <w:pStyle w:val="Subsection"/>
      </w:pPr>
      <w:r>
        <w:tab/>
        <w:t>(1)</w:t>
      </w:r>
      <w:r>
        <w:tab/>
        <w:t xml:space="preserve">If the chief executive officer of the department principally assisting the Minister in the administration of the </w:t>
      </w:r>
      <w:r>
        <w:rPr>
          <w:i/>
        </w:rPr>
        <w:t>Work Health and Safety Act 2020</w:t>
      </w:r>
      <w:r>
        <w:t xml:space="preserve"> makes a written request to WorkCover WA to disclose information or data (including information and data about accidents, injuries and diseases) relevant to work health and safety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No. 42 of 2004 s. 89; amended: No. 36 of 2020 s. 372.]</w:t>
      </w:r>
    </w:p>
    <w:p>
      <w:pPr>
        <w:pStyle w:val="Heading5"/>
        <w:rPr>
          <w:snapToGrid w:val="0"/>
        </w:rPr>
      </w:pPr>
      <w:bookmarkStart w:id="388" w:name="_Toc131514451"/>
      <w:r>
        <w:rPr>
          <w:rStyle w:val="CharSectno"/>
        </w:rPr>
        <w:lastRenderedPageBreak/>
        <w:t>101</w:t>
      </w:r>
      <w:r>
        <w:rPr>
          <w:snapToGrid w:val="0"/>
        </w:rPr>
        <w:t>.</w:t>
      </w:r>
      <w:r>
        <w:rPr>
          <w:snapToGrid w:val="0"/>
        </w:rPr>
        <w:tab/>
        <w:t>Powers</w:t>
      </w:r>
      <w:bookmarkEnd w:id="388"/>
    </w:p>
    <w:p>
      <w:pPr>
        <w:pStyle w:val="Subsection"/>
        <w:rPr>
          <w:snapToGrid w:val="0"/>
        </w:rPr>
      </w:pPr>
      <w:r>
        <w:rPr>
          <w:snapToGrid w:val="0"/>
        </w:rPr>
        <w:tab/>
      </w:r>
      <w:r>
        <w:rPr>
          <w:snapToGrid w:val="0"/>
        </w:rPr>
        <w:tab/>
      </w:r>
      <w:r>
        <w:t>WorkCover WA</w:t>
      </w:r>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 and</w:t>
      </w:r>
    </w:p>
    <w:p>
      <w:pPr>
        <w:pStyle w:val="Indenta"/>
        <w:rPr>
          <w:snapToGrid w:val="0"/>
        </w:rPr>
      </w:pPr>
      <w:r>
        <w:rPr>
          <w:snapToGrid w:val="0"/>
        </w:rPr>
        <w:tab/>
        <w:t>(aa)</w:t>
      </w:r>
      <w:r>
        <w:rPr>
          <w:snapToGrid w:val="0"/>
        </w:rPr>
        <w:tab/>
        <w:t>to charge for the provision of any service that it makes available such fees as it determines; and</w:t>
      </w:r>
    </w:p>
    <w:p>
      <w:pPr>
        <w:pStyle w:val="Indenta"/>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 and</w:t>
      </w:r>
    </w:p>
    <w:p>
      <w:pPr>
        <w:pStyle w:val="Indenta"/>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 and</w:t>
      </w:r>
    </w:p>
    <w:p>
      <w:pPr>
        <w:pStyle w:val="Indenta"/>
      </w:pPr>
      <w:r>
        <w:tab/>
        <w:t>(caa)</w:t>
      </w:r>
      <w:r>
        <w:tab/>
        <w:t>to effect contracts of insurance providing indemnity against liability to make payments out of moneys standing to the credit of the General Account; and</w:t>
      </w:r>
    </w:p>
    <w:p>
      <w:pPr>
        <w:pStyle w:val="Indenta"/>
        <w:rPr>
          <w:snapToGrid w:val="0"/>
        </w:rPr>
      </w:pPr>
      <w:r>
        <w:rPr>
          <w:snapToGrid w:val="0"/>
        </w:rPr>
        <w:tab/>
        <w:t>(ca)</w:t>
      </w:r>
      <w:r>
        <w:rPr>
          <w:snapToGrid w:val="0"/>
        </w:rPr>
        <w:tab/>
        <w:t>to purchase, sell, lease, take on lease, mortgage, exchange or otherwise acquire, deal in or dispose of real and personal property; and</w:t>
      </w:r>
    </w:p>
    <w:p>
      <w:pPr>
        <w:pStyle w:val="Indenta"/>
        <w:rPr>
          <w:snapToGrid w:val="0"/>
        </w:rPr>
      </w:pPr>
      <w:r>
        <w:rPr>
          <w:snapToGrid w:val="0"/>
        </w:rPr>
        <w:tab/>
        <w:t>(cb)</w:t>
      </w:r>
      <w:r>
        <w:rPr>
          <w:snapToGrid w:val="0"/>
        </w:rPr>
        <w:tab/>
        <w:t>to improve, develop or alter real property; and</w:t>
      </w:r>
    </w:p>
    <w:p>
      <w:pPr>
        <w:pStyle w:val="Indenta"/>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rPr>
          <w:snapToGrid w:val="0"/>
        </w:rPr>
      </w:pPr>
      <w:r>
        <w:rPr>
          <w:snapToGrid w:val="0"/>
        </w:rPr>
        <w:tab/>
        <w:t>(e)</w:t>
      </w:r>
      <w:r>
        <w:rPr>
          <w:snapToGrid w:val="0"/>
        </w:rPr>
        <w:tab/>
        <w:t xml:space="preserve">to determine whether an insurer should be permitted to cancel a policy of insurance and, if so, upon what terms </w:t>
      </w:r>
      <w:r>
        <w:rPr>
          <w:snapToGrid w:val="0"/>
        </w:rPr>
        <w:lastRenderedPageBreak/>
        <w:t>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pPr>
      <w:r>
        <w:tab/>
        <w:t>[Section 101 amended: No. 104 of 1984 s. 4; No. 86 of 1986 s. 5; No. 96 of 1990 s. 23; No. 34 of 1999 s. 34; No. 42 of 2004 s. 90 and 150; No. 77 of 2006 Sch. 1 cl. 189(9); No. 31 of 2011 s. 98.]</w:t>
      </w:r>
    </w:p>
    <w:p>
      <w:pPr>
        <w:pStyle w:val="Heading5"/>
      </w:pPr>
      <w:bookmarkStart w:id="389" w:name="_Toc131514452"/>
      <w:r>
        <w:rPr>
          <w:rStyle w:val="CharSectno"/>
        </w:rPr>
        <w:t>101AA</w:t>
      </w:r>
      <w:r>
        <w:t>.</w:t>
      </w:r>
      <w:r>
        <w:tab/>
        <w:t>Delegation by WorkCover WA</w:t>
      </w:r>
      <w:bookmarkEnd w:id="389"/>
    </w:p>
    <w:p>
      <w:pPr>
        <w:pStyle w:val="Subsection"/>
      </w:pPr>
      <w:r>
        <w:tab/>
        <w:t>(1)</w:t>
      </w:r>
      <w:r>
        <w:tab/>
        <w:t>WorkCover WA may delegate to the chief executive officer or another officer of WorkCover WA or to any other member, or any group of members, of WorkCover WA’s governing body any power or duty of WorkCover WA under another provision of this Act except if it is under Part VIII.</w:t>
      </w:r>
    </w:p>
    <w:p>
      <w:pPr>
        <w:pStyle w:val="Subsection"/>
      </w:pPr>
      <w:r>
        <w:tab/>
        <w:t>(2)</w:t>
      </w:r>
      <w:r>
        <w:tab/>
        <w:t>The delegation must be in writing executed by WorkCover WA.</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Nothing in this section limits the ability of WorkCover WA to perform a function through an officer or agent.</w:t>
      </w:r>
    </w:p>
    <w:p>
      <w:pPr>
        <w:pStyle w:val="Footnotesection"/>
      </w:pPr>
      <w:r>
        <w:tab/>
        <w:t>[Section 101AA inserted: No. 42 of 2004 s. 91.]</w:t>
      </w:r>
    </w:p>
    <w:p>
      <w:pPr>
        <w:pStyle w:val="Heading5"/>
        <w:keepLines w:val="0"/>
        <w:rPr>
          <w:snapToGrid w:val="0"/>
        </w:rPr>
      </w:pPr>
      <w:bookmarkStart w:id="390" w:name="_Toc131514453"/>
      <w:r>
        <w:rPr>
          <w:rStyle w:val="CharSectno"/>
        </w:rPr>
        <w:t>101A</w:t>
      </w:r>
      <w:r>
        <w:rPr>
          <w:snapToGrid w:val="0"/>
        </w:rPr>
        <w:t>.</w:t>
      </w:r>
      <w:r>
        <w:rPr>
          <w:snapToGrid w:val="0"/>
        </w:rPr>
        <w:tab/>
        <w:t>Borrowing powers</w:t>
      </w:r>
      <w:bookmarkEnd w:id="390"/>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lastRenderedPageBreak/>
        <w:tab/>
        <w:t>(2)</w:t>
      </w:r>
      <w:r>
        <w:rPr>
          <w:snapToGrid w:val="0"/>
        </w:rPr>
        <w:tab/>
      </w:r>
      <w:r>
        <w:t>WorkCover WA</w:t>
      </w:r>
      <w:r>
        <w:rPr>
          <w:snapToGrid w:val="0"/>
        </w:rPr>
        <w:t xml:space="preserve"> shall not exercise the powers conferred by this section unless a proposal in writing showing —</w:t>
      </w:r>
    </w:p>
    <w:p>
      <w:pPr>
        <w:pStyle w:val="Indenta"/>
        <w:rPr>
          <w:snapToGrid w:val="0"/>
        </w:rPr>
      </w:pPr>
      <w:r>
        <w:rPr>
          <w:snapToGrid w:val="0"/>
        </w:rPr>
        <w:tab/>
        <w:t>(a)</w:t>
      </w:r>
      <w:r>
        <w:rPr>
          <w:snapToGrid w:val="0"/>
        </w:rPr>
        <w:tab/>
        <w:t>the terms and particulars of the proposed loan; and</w:t>
      </w:r>
    </w:p>
    <w:p>
      <w:pPr>
        <w:pStyle w:val="Indenta"/>
        <w:rPr>
          <w:snapToGrid w:val="0"/>
        </w:rPr>
      </w:pPr>
      <w:r>
        <w:rPr>
          <w:snapToGrid w:val="0"/>
        </w:rPr>
        <w:tab/>
        <w:t>(b)</w:t>
      </w:r>
      <w:r>
        <w:rPr>
          <w:snapToGrid w:val="0"/>
        </w:rPr>
        <w:tab/>
        <w:t>the rate of interest to be paid on that loan; and</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[Section 101A inserted: No. 104 of 1984 s. 5; amended: No. 42 of 2004 s. 150.]</w:t>
      </w:r>
    </w:p>
    <w:p>
      <w:pPr>
        <w:pStyle w:val="Heading5"/>
        <w:rPr>
          <w:snapToGrid w:val="0"/>
        </w:rPr>
      </w:pPr>
      <w:bookmarkStart w:id="391" w:name="_Toc131514454"/>
      <w:r>
        <w:rPr>
          <w:rStyle w:val="CharSectno"/>
        </w:rPr>
        <w:t>101B</w:t>
      </w:r>
      <w:r>
        <w:rPr>
          <w:snapToGrid w:val="0"/>
        </w:rPr>
        <w:t>.</w:t>
      </w:r>
      <w:r>
        <w:rPr>
          <w:snapToGrid w:val="0"/>
        </w:rPr>
        <w:tab/>
        <w:t>Guarantees by Treasurer of borrowings</w:t>
      </w:r>
      <w:bookmarkEnd w:id="391"/>
    </w:p>
    <w:p>
      <w:pPr>
        <w:pStyle w:val="Subsection"/>
        <w:rPr>
          <w:snapToGrid w:val="0"/>
        </w:rPr>
      </w:pPr>
      <w:r>
        <w:rPr>
          <w:snapToGrid w:val="0"/>
        </w:rPr>
        <w:tab/>
        <w:t>(1)</w:t>
      </w:r>
      <w:r>
        <w:rPr>
          <w:snapToGrid w:val="0"/>
        </w:rPr>
        <w:tab/>
        <w:t>The Treasurer is hereby authorised to guarantee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r>
        <w:t>WorkCover WA</w:t>
      </w:r>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w:t>
      </w:r>
      <w:r>
        <w:rPr>
          <w:snapToGrid w:val="0"/>
        </w:rPr>
        <w:lastRenderedPageBreak/>
        <w:t>otherwise in respect of moneys so charged by him to be credited to the Consolidated Account.</w:t>
      </w:r>
    </w:p>
    <w:p>
      <w:pPr>
        <w:pStyle w:val="Footnotesection"/>
      </w:pPr>
      <w:r>
        <w:tab/>
        <w:t>[Section 101B inserted: No. 104 of 1984 s. 5; amended: No. 6 of 1993 s. 11; No. 49 of 1996 s. 64; No. 42 of 2004 s. 150; No. 77 of 2006 s. 4.]</w:t>
      </w:r>
    </w:p>
    <w:p>
      <w:pPr>
        <w:pStyle w:val="Heading5"/>
        <w:spacing w:before="260"/>
        <w:rPr>
          <w:snapToGrid w:val="0"/>
        </w:rPr>
      </w:pPr>
      <w:bookmarkStart w:id="392" w:name="_Toc131514455"/>
      <w:r>
        <w:rPr>
          <w:rStyle w:val="CharSectno"/>
        </w:rPr>
        <w:t>102</w:t>
      </w:r>
      <w:r>
        <w:rPr>
          <w:snapToGrid w:val="0"/>
        </w:rPr>
        <w:t>.</w:t>
      </w:r>
      <w:r>
        <w:rPr>
          <w:snapToGrid w:val="0"/>
        </w:rPr>
        <w:tab/>
        <w:t>Limitation on powers under s. 100(e)</w:t>
      </w:r>
      <w:bookmarkEnd w:id="392"/>
    </w:p>
    <w:p>
      <w:pPr>
        <w:pStyle w:val="Subsection"/>
        <w:rPr>
          <w:snapToGrid w:val="0"/>
        </w:rPr>
      </w:pPr>
      <w:r>
        <w:rPr>
          <w:snapToGrid w:val="0"/>
        </w:rPr>
        <w:tab/>
      </w:r>
      <w:r>
        <w:rPr>
          <w:snapToGrid w:val="0"/>
        </w:rPr>
        <w:tab/>
        <w:t xml:space="preserve">Apart from coordinating arrangements in the matters referred to in section 100(e), </w:t>
      </w:r>
      <w:r>
        <w:t>WorkCover WA</w:t>
      </w:r>
      <w:r>
        <w:rPr>
          <w:snapToGrid w:val="0"/>
        </w:rPr>
        <w:t xml:space="preserve"> or its officers shall not provide facilities or perform services for or in respect of those matters unless directed to do so by the Minister.</w:t>
      </w:r>
    </w:p>
    <w:p>
      <w:pPr>
        <w:pStyle w:val="Footnotesection"/>
      </w:pPr>
      <w:r>
        <w:tab/>
        <w:t>[Section 102 amended: No. 42 of 2004 s. 92 and 150.]</w:t>
      </w:r>
    </w:p>
    <w:p>
      <w:pPr>
        <w:pStyle w:val="Ednotesection"/>
        <w:spacing w:before="260"/>
      </w:pPr>
      <w:r>
        <w:t>[</w:t>
      </w:r>
      <w:r>
        <w:rPr>
          <w:b/>
        </w:rPr>
        <w:t>103.</w:t>
      </w:r>
      <w:r>
        <w:rPr>
          <w:b/>
        </w:rPr>
        <w:tab/>
      </w:r>
      <w:r>
        <w:t>Deleted: No. 34 of 1999 s. 35.]</w:t>
      </w:r>
    </w:p>
    <w:p>
      <w:pPr>
        <w:pStyle w:val="Heading5"/>
        <w:spacing w:before="260"/>
        <w:rPr>
          <w:snapToGrid w:val="0"/>
        </w:rPr>
      </w:pPr>
      <w:bookmarkStart w:id="393" w:name="_Toc131514456"/>
      <w:r>
        <w:rPr>
          <w:rStyle w:val="CharSectno"/>
        </w:rPr>
        <w:t>103A</w:t>
      </w:r>
      <w:r>
        <w:rPr>
          <w:snapToGrid w:val="0"/>
        </w:rPr>
        <w:t>.</w:t>
      </w:r>
      <w:r>
        <w:rPr>
          <w:snapToGrid w:val="0"/>
        </w:rPr>
        <w:tab/>
        <w:t>Insurers etc. to give WorkCover WA information</w:t>
      </w:r>
      <w:bookmarkEnd w:id="393"/>
    </w:p>
    <w:p>
      <w:pPr>
        <w:pStyle w:val="Subsection"/>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A person who furnishes to WorkCover WA under subsection (1) any information or return that is false in a material particular commits an offence.</w:t>
      </w:r>
    </w:p>
    <w:p>
      <w:pPr>
        <w:pStyle w:val="Penstart"/>
        <w:rPr>
          <w:snapToGrid w:val="0"/>
        </w:rPr>
      </w:pPr>
      <w:r>
        <w:tab/>
        <w:t>Penalty: $2 000.</w:t>
      </w:r>
    </w:p>
    <w:p>
      <w:pPr>
        <w:pStyle w:val="Footnotesection"/>
      </w:pPr>
      <w:r>
        <w:tab/>
        <w:t>[Section 103A inserted: No. 44 of 1985 s. 24; amended: No. 96 of 1990 s. 25; No. 42 of 2004 s. 93 and 150.]</w:t>
      </w:r>
    </w:p>
    <w:p>
      <w:pPr>
        <w:pStyle w:val="Heading5"/>
        <w:rPr>
          <w:snapToGrid w:val="0"/>
        </w:rPr>
      </w:pPr>
      <w:bookmarkStart w:id="394" w:name="_Toc131514457"/>
      <w:r>
        <w:rPr>
          <w:rStyle w:val="CharSectno"/>
        </w:rPr>
        <w:lastRenderedPageBreak/>
        <w:t>104</w:t>
      </w:r>
      <w:r>
        <w:rPr>
          <w:snapToGrid w:val="0"/>
        </w:rPr>
        <w:t>.</w:t>
      </w:r>
      <w:r>
        <w:rPr>
          <w:snapToGrid w:val="0"/>
        </w:rPr>
        <w:tab/>
        <w:t>Publishing and furnishing information</w:t>
      </w:r>
      <w:bookmarkEnd w:id="394"/>
    </w:p>
    <w:p>
      <w:pPr>
        <w:pStyle w:val="Subsection"/>
        <w:keepNext/>
        <w:keepLines/>
        <w:rPr>
          <w:snapToGrid w:val="0"/>
        </w:rPr>
      </w:pPr>
      <w:r>
        <w:rPr>
          <w:snapToGrid w:val="0"/>
        </w:rPr>
        <w:tab/>
      </w:r>
      <w:r>
        <w:rPr>
          <w:snapToGrid w:val="0"/>
        </w:rPr>
        <w:tab/>
      </w:r>
      <w:r>
        <w:t>WorkCover WA</w:t>
      </w:r>
      <w:r>
        <w:rPr>
          <w:snapToGrid w:val="0"/>
        </w:rPr>
        <w:t xml:space="preserve"> may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No. 42 of 2004 s. 94 and 150.]</w:t>
      </w:r>
    </w:p>
    <w:p>
      <w:pPr>
        <w:pStyle w:val="Heading3"/>
      </w:pPr>
      <w:bookmarkStart w:id="395" w:name="_Toc100238481"/>
      <w:bookmarkStart w:id="396" w:name="_Toc100239095"/>
      <w:bookmarkStart w:id="397" w:name="_Toc100562389"/>
      <w:bookmarkStart w:id="398" w:name="_Toc107310025"/>
      <w:bookmarkStart w:id="399" w:name="_Toc107479879"/>
      <w:bookmarkStart w:id="400" w:name="_Toc131501245"/>
      <w:bookmarkStart w:id="401" w:name="_Toc131501862"/>
      <w:bookmarkStart w:id="402" w:name="_Toc131514458"/>
      <w:r>
        <w:rPr>
          <w:rStyle w:val="CharDivNo"/>
        </w:rPr>
        <w:t>Division 1AA</w:t>
      </w:r>
      <w:r>
        <w:t> — </w:t>
      </w:r>
      <w:r>
        <w:rPr>
          <w:rStyle w:val="CharDivText"/>
        </w:rPr>
        <w:t>Personal interest</w:t>
      </w:r>
      <w:bookmarkEnd w:id="395"/>
      <w:bookmarkEnd w:id="396"/>
      <w:bookmarkEnd w:id="397"/>
      <w:bookmarkEnd w:id="398"/>
      <w:bookmarkEnd w:id="399"/>
      <w:bookmarkEnd w:id="400"/>
      <w:bookmarkEnd w:id="401"/>
      <w:bookmarkEnd w:id="402"/>
    </w:p>
    <w:p>
      <w:pPr>
        <w:pStyle w:val="Footnoteheading"/>
        <w:tabs>
          <w:tab w:val="left" w:pos="851"/>
        </w:tabs>
      </w:pPr>
      <w:r>
        <w:tab/>
        <w:t>[Heading inserted: No. 42 of 2004 s. 95.]</w:t>
      </w:r>
    </w:p>
    <w:p>
      <w:pPr>
        <w:pStyle w:val="Heading5"/>
        <w:rPr>
          <w:snapToGrid w:val="0"/>
        </w:rPr>
      </w:pPr>
      <w:bookmarkStart w:id="403" w:name="_Toc131514459"/>
      <w:r>
        <w:rPr>
          <w:rStyle w:val="CharSectno"/>
        </w:rPr>
        <w:t>104AA</w:t>
      </w:r>
      <w:r>
        <w:t>.</w:t>
      </w:r>
      <w:r>
        <w:tab/>
        <w:t>D</w:t>
      </w:r>
      <w:r>
        <w:rPr>
          <w:snapToGrid w:val="0"/>
        </w:rPr>
        <w:t>isclosure of interests by governing body members</w:t>
      </w:r>
      <w:bookmarkEnd w:id="403"/>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No. 42 of 2004 s. 95.]</w:t>
      </w:r>
    </w:p>
    <w:p>
      <w:pPr>
        <w:pStyle w:val="Heading5"/>
        <w:rPr>
          <w:snapToGrid w:val="0"/>
        </w:rPr>
      </w:pPr>
      <w:bookmarkStart w:id="404" w:name="_Toc131514460"/>
      <w:r>
        <w:rPr>
          <w:rStyle w:val="CharSectno"/>
        </w:rPr>
        <w:t>104AB</w:t>
      </w:r>
      <w:r>
        <w:rPr>
          <w:snapToGrid w:val="0"/>
        </w:rPr>
        <w:t>.</w:t>
      </w:r>
      <w:r>
        <w:rPr>
          <w:snapToGrid w:val="0"/>
        </w:rPr>
        <w:tab/>
        <w:t>Exclusion of interested member</w:t>
      </w:r>
      <w:bookmarkEnd w:id="404"/>
    </w:p>
    <w:p>
      <w:pPr>
        <w:pStyle w:val="Subsection"/>
        <w:rPr>
          <w:snapToGrid w:val="0"/>
        </w:rPr>
      </w:pPr>
      <w:r>
        <w:rPr>
          <w:snapToGrid w:val="0"/>
        </w:rPr>
        <w:tab/>
        <w:t>(1)</w:t>
      </w:r>
      <w:r>
        <w:rPr>
          <w:snapToGrid w:val="0"/>
        </w:rPr>
        <w:tab/>
        <w:t>A member of WorkCover WA’s governing body who has a material personal interest in a matter that is being considered by the governing body —</w:t>
      </w:r>
    </w:p>
    <w:p>
      <w:pPr>
        <w:pStyle w:val="Indenta"/>
        <w:spacing w:before="60"/>
        <w:rPr>
          <w:snapToGrid w:val="0"/>
        </w:rPr>
      </w:pPr>
      <w:r>
        <w:rPr>
          <w:snapToGrid w:val="0"/>
        </w:rPr>
        <w:tab/>
        <w:t>(a)</w:t>
      </w:r>
      <w:r>
        <w:rPr>
          <w:snapToGrid w:val="0"/>
        </w:rPr>
        <w:tab/>
        <w:t>must not vote on the matter; and</w:t>
      </w:r>
    </w:p>
    <w:p>
      <w:pPr>
        <w:pStyle w:val="Indenta"/>
        <w:spacing w:before="60"/>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lastRenderedPageBreak/>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No. 42 of 2004 s. 95.]</w:t>
      </w:r>
    </w:p>
    <w:p>
      <w:pPr>
        <w:pStyle w:val="Heading5"/>
        <w:rPr>
          <w:snapToGrid w:val="0"/>
        </w:rPr>
      </w:pPr>
      <w:bookmarkStart w:id="405" w:name="_Toc131514461"/>
      <w:r>
        <w:rPr>
          <w:rStyle w:val="CharSectno"/>
        </w:rPr>
        <w:t>104AC</w:t>
      </w:r>
      <w:r>
        <w:rPr>
          <w:snapToGrid w:val="0"/>
        </w:rPr>
        <w:t>.</w:t>
      </w:r>
      <w:r>
        <w:rPr>
          <w:snapToGrid w:val="0"/>
        </w:rPr>
        <w:tab/>
        <w:t>Resolution that s. 104AB inapplicable</w:t>
      </w:r>
      <w:bookmarkEnd w:id="405"/>
    </w:p>
    <w:p>
      <w:pPr>
        <w:pStyle w:val="Subsection"/>
        <w:rPr>
          <w:snapToGrid w:val="0"/>
        </w:rPr>
      </w:pPr>
      <w:r>
        <w:rPr>
          <w:snapToGrid w:val="0"/>
        </w:rPr>
        <w:tab/>
      </w:r>
      <w:r>
        <w:rPr>
          <w:snapToGrid w:val="0"/>
        </w:rPr>
        <w:tab/>
        <w:t>Section 104AB does not apply if the governing body has at any time passed a resolution that —</w:t>
      </w:r>
    </w:p>
    <w:p>
      <w:pPr>
        <w:pStyle w:val="Indenta"/>
        <w:spacing w:before="60"/>
        <w:rPr>
          <w:snapToGrid w:val="0"/>
        </w:rPr>
      </w:pPr>
      <w:r>
        <w:rPr>
          <w:snapToGrid w:val="0"/>
        </w:rPr>
        <w:tab/>
        <w:t>(a)</w:t>
      </w:r>
      <w:r>
        <w:rPr>
          <w:snapToGrid w:val="0"/>
        </w:rPr>
        <w:tab/>
        <w:t>specifies the member, the interest, and the matter; and</w:t>
      </w:r>
    </w:p>
    <w:p>
      <w:pPr>
        <w:pStyle w:val="Indenta"/>
        <w:spacing w:before="60"/>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No. 42 of 2004 s. 95.]</w:t>
      </w:r>
    </w:p>
    <w:p>
      <w:pPr>
        <w:pStyle w:val="Heading5"/>
        <w:rPr>
          <w:snapToGrid w:val="0"/>
        </w:rPr>
      </w:pPr>
      <w:bookmarkStart w:id="406" w:name="_Toc131514462"/>
      <w:r>
        <w:rPr>
          <w:rStyle w:val="CharSectno"/>
        </w:rPr>
        <w:t>104AD</w:t>
      </w:r>
      <w:r>
        <w:rPr>
          <w:snapToGrid w:val="0"/>
        </w:rPr>
        <w:t>.</w:t>
      </w:r>
      <w:r>
        <w:rPr>
          <w:snapToGrid w:val="0"/>
        </w:rPr>
        <w:tab/>
        <w:t>Quorum where s. 104AB applies</w:t>
      </w:r>
      <w:bookmarkEnd w:id="406"/>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No. 42 of 2004 s. 95.]</w:t>
      </w:r>
    </w:p>
    <w:p>
      <w:pPr>
        <w:pStyle w:val="Heading5"/>
        <w:keepLines w:val="0"/>
        <w:rPr>
          <w:snapToGrid w:val="0"/>
        </w:rPr>
      </w:pPr>
      <w:bookmarkStart w:id="407" w:name="_Toc131514463"/>
      <w:r>
        <w:rPr>
          <w:rStyle w:val="CharSectno"/>
        </w:rPr>
        <w:t>104AE</w:t>
      </w:r>
      <w:r>
        <w:rPr>
          <w:snapToGrid w:val="0"/>
        </w:rPr>
        <w:t>.</w:t>
      </w:r>
      <w:r>
        <w:rPr>
          <w:snapToGrid w:val="0"/>
        </w:rPr>
        <w:tab/>
        <w:t>Minister may declare s. 104AB and 104AD inapplicable</w:t>
      </w:r>
      <w:bookmarkEnd w:id="407"/>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No. 42 of 2004 s. 95.]</w:t>
      </w:r>
    </w:p>
    <w:p>
      <w:pPr>
        <w:pStyle w:val="Ednotedivision"/>
        <w:outlineLvl w:val="9"/>
      </w:pPr>
      <w:r>
        <w:t>[Division 1A (s. 104A, 104B) deleted: No. 42 of 2004 s. 96.]</w:t>
      </w:r>
    </w:p>
    <w:p>
      <w:pPr>
        <w:pStyle w:val="Heading3"/>
      </w:pPr>
      <w:bookmarkStart w:id="408" w:name="_Toc100238487"/>
      <w:bookmarkStart w:id="409" w:name="_Toc100239101"/>
      <w:bookmarkStart w:id="410" w:name="_Toc100562395"/>
      <w:bookmarkStart w:id="411" w:name="_Toc107310031"/>
      <w:bookmarkStart w:id="412" w:name="_Toc107479885"/>
      <w:bookmarkStart w:id="413" w:name="_Toc131501251"/>
      <w:bookmarkStart w:id="414" w:name="_Toc131501868"/>
      <w:bookmarkStart w:id="415" w:name="_Toc131514464"/>
      <w:r>
        <w:rPr>
          <w:rStyle w:val="CharDivNo"/>
        </w:rPr>
        <w:lastRenderedPageBreak/>
        <w:t>Division 2</w:t>
      </w:r>
      <w:r>
        <w:rPr>
          <w:snapToGrid w:val="0"/>
        </w:rPr>
        <w:t> — </w:t>
      </w:r>
      <w:r>
        <w:rPr>
          <w:rStyle w:val="CharDivText"/>
        </w:rPr>
        <w:t>Accounts and audit</w:t>
      </w:r>
      <w:bookmarkEnd w:id="408"/>
      <w:bookmarkEnd w:id="409"/>
      <w:bookmarkEnd w:id="410"/>
      <w:bookmarkEnd w:id="411"/>
      <w:bookmarkEnd w:id="412"/>
      <w:bookmarkEnd w:id="413"/>
      <w:bookmarkEnd w:id="414"/>
      <w:bookmarkEnd w:id="415"/>
    </w:p>
    <w:p>
      <w:pPr>
        <w:pStyle w:val="Heading5"/>
        <w:spacing w:before="160"/>
        <w:rPr>
          <w:snapToGrid w:val="0"/>
        </w:rPr>
      </w:pPr>
      <w:bookmarkStart w:id="416" w:name="_Toc131514465"/>
      <w:r>
        <w:rPr>
          <w:rStyle w:val="CharSectno"/>
        </w:rPr>
        <w:t>105</w:t>
      </w:r>
      <w:r>
        <w:rPr>
          <w:snapToGrid w:val="0"/>
        </w:rPr>
        <w:t>.</w:t>
      </w:r>
      <w:r>
        <w:tab/>
      </w:r>
      <w:r>
        <w:rPr>
          <w:i/>
          <w:snapToGrid w:val="0"/>
        </w:rPr>
        <w:t xml:space="preserve">Financial Management Act 2006 </w:t>
      </w:r>
      <w:r>
        <w:rPr>
          <w:snapToGrid w:val="0"/>
        </w:rPr>
        <w:t>and</w:t>
      </w:r>
      <w:r>
        <w:rPr>
          <w:i/>
          <w:snapToGrid w:val="0"/>
        </w:rPr>
        <w:t xml:space="preserve"> Auditor General Act 2006</w:t>
      </w:r>
      <w:r>
        <w:rPr>
          <w:snapToGrid w:val="0"/>
        </w:rPr>
        <w:t>, application of</w:t>
      </w:r>
      <w:bookmarkEnd w:id="416"/>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r>
        <w:t>WorkCover WA</w:t>
      </w:r>
      <w:r>
        <w:rPr>
          <w:snapToGrid w:val="0"/>
        </w:rPr>
        <w:t xml:space="preserve"> and its operations.</w:t>
      </w:r>
    </w:p>
    <w:p>
      <w:pPr>
        <w:pStyle w:val="Footnotesection"/>
      </w:pPr>
      <w:r>
        <w:tab/>
        <w:t>[Section 105 inserted: No. 98 of 1985 s. 3; amended: No. 42 of 2004 s. 150; No. 77 of 2006 Sch. 1 cl. 189(2).]</w:t>
      </w:r>
    </w:p>
    <w:p>
      <w:pPr>
        <w:pStyle w:val="Heading3"/>
      </w:pPr>
      <w:bookmarkStart w:id="417" w:name="_Toc100238489"/>
      <w:bookmarkStart w:id="418" w:name="_Toc100239103"/>
      <w:bookmarkStart w:id="419" w:name="_Toc100562397"/>
      <w:bookmarkStart w:id="420" w:name="_Toc107310033"/>
      <w:bookmarkStart w:id="421" w:name="_Toc107479887"/>
      <w:bookmarkStart w:id="422" w:name="_Toc131501253"/>
      <w:bookmarkStart w:id="423" w:name="_Toc131501870"/>
      <w:bookmarkStart w:id="424" w:name="_Toc131514466"/>
      <w:r>
        <w:rPr>
          <w:rStyle w:val="CharDivNo"/>
        </w:rPr>
        <w:t>Division 3</w:t>
      </w:r>
      <w:r>
        <w:rPr>
          <w:snapToGrid w:val="0"/>
        </w:rPr>
        <w:t> — </w:t>
      </w:r>
      <w:r>
        <w:rPr>
          <w:rStyle w:val="CharDivText"/>
        </w:rPr>
        <w:t>Workers’ Compensation and Injury Management General Account</w:t>
      </w:r>
      <w:bookmarkEnd w:id="417"/>
      <w:bookmarkEnd w:id="418"/>
      <w:bookmarkEnd w:id="419"/>
      <w:bookmarkEnd w:id="420"/>
      <w:bookmarkEnd w:id="421"/>
      <w:bookmarkEnd w:id="422"/>
      <w:bookmarkEnd w:id="423"/>
      <w:bookmarkEnd w:id="424"/>
    </w:p>
    <w:p>
      <w:pPr>
        <w:pStyle w:val="Footnoteheading"/>
        <w:rPr>
          <w:snapToGrid w:val="0"/>
        </w:rPr>
      </w:pPr>
      <w:r>
        <w:rPr>
          <w:snapToGrid w:val="0"/>
        </w:rPr>
        <w:tab/>
        <w:t>[Heading inserted: No. 86 of 1986 s. 7; amended: No. 42 of 2004 s. 97; No. 46 of 2009 s. 17.]</w:t>
      </w:r>
    </w:p>
    <w:p>
      <w:pPr>
        <w:pStyle w:val="Heading5"/>
        <w:keepNext w:val="0"/>
        <w:keepLines w:val="0"/>
        <w:rPr>
          <w:snapToGrid w:val="0"/>
        </w:rPr>
      </w:pPr>
      <w:bookmarkStart w:id="425" w:name="_Toc131514467"/>
      <w:r>
        <w:rPr>
          <w:rStyle w:val="CharSectno"/>
        </w:rPr>
        <w:t>106</w:t>
      </w:r>
      <w:r>
        <w:rPr>
          <w:snapToGrid w:val="0"/>
        </w:rPr>
        <w:t>.</w:t>
      </w:r>
      <w:r>
        <w:rPr>
          <w:snapToGrid w:val="0"/>
        </w:rPr>
        <w:tab/>
        <w:t xml:space="preserve">General </w:t>
      </w:r>
      <w:r>
        <w:t>Account, funds and purposes of</w:t>
      </w:r>
      <w:bookmarkEnd w:id="425"/>
    </w:p>
    <w:p>
      <w:pPr>
        <w:pStyle w:val="Subsection"/>
      </w:pPr>
      <w:r>
        <w:tab/>
        <w:t>(1)</w:t>
      </w:r>
      <w:r>
        <w:tab/>
        <w:t>For the purposes of this Act, an account called the Workers’ Compensation and Injury Management General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 and</w:t>
      </w:r>
    </w:p>
    <w:p>
      <w:pPr>
        <w:pStyle w:val="Indenta"/>
        <w:keepNext/>
        <w:rPr>
          <w:snapToGrid w:val="0"/>
        </w:rPr>
      </w:pPr>
      <w:r>
        <w:rPr>
          <w:snapToGrid w:val="0"/>
        </w:rPr>
        <w:lastRenderedPageBreak/>
        <w:tab/>
        <w:t>(c)</w:t>
      </w:r>
      <w:r>
        <w:rPr>
          <w:snapToGrid w:val="0"/>
        </w:rPr>
        <w:tab/>
        <w:t xml:space="preserve">all moneys borrowed by </w:t>
      </w:r>
      <w:r>
        <w:t>WorkCover WA</w:t>
      </w:r>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Account</w:t>
      </w:r>
      <w:r>
        <w:rPr>
          <w:snapToGrid w:val="0"/>
        </w:rPr>
        <w:t xml:space="preserve"> under section 6A(1) of the </w:t>
      </w:r>
      <w:r>
        <w:rPr>
          <w:i/>
          <w:snapToGrid w:val="0"/>
        </w:rPr>
        <w:t>Employers’ Indemnity Supplementation Fund Act </w:t>
      </w:r>
      <w:r>
        <w:rPr>
          <w:i/>
          <w:iCs/>
        </w:rPr>
        <w:t>1980</w:t>
      </w:r>
      <w:r>
        <w:t>; and</w:t>
      </w:r>
    </w:p>
    <w:p>
      <w:pPr>
        <w:pStyle w:val="Indenta"/>
      </w:pPr>
      <w:r>
        <w:tab/>
        <w:t>(e)</w:t>
      </w:r>
      <w:r>
        <w:tab/>
        <w:t>the proceeds of any insurance policy effected under section 101(caa); and</w:t>
      </w:r>
    </w:p>
    <w:p>
      <w:pPr>
        <w:pStyle w:val="Indenta"/>
      </w:pPr>
      <w:r>
        <w:tab/>
        <w:t>(f)</w:t>
      </w:r>
      <w:r>
        <w:tab/>
        <w:t>any moneys required to be transferred to the General Account under section 72J(7).</w:t>
      </w:r>
    </w:p>
    <w:p>
      <w:pPr>
        <w:pStyle w:val="Subsection"/>
        <w:rPr>
          <w:snapToGrid w:val="0"/>
        </w:rPr>
      </w:pPr>
      <w:r>
        <w:rPr>
          <w:snapToGrid w:val="0"/>
        </w:rPr>
        <w:tab/>
        <w:t>(3)</w:t>
      </w:r>
      <w:r>
        <w:rPr>
          <w:snapToGrid w:val="0"/>
        </w:rPr>
        <w:tab/>
        <w:t>There shall be paid from moneys standing to the credit of the General</w:t>
      </w:r>
      <w:r>
        <w:t xml:space="preserve"> Account</w:t>
      </w:r>
      <w:r>
        <w:rPr>
          <w:snapToGrid w:val="0"/>
        </w:rPr>
        <w:t> —</w:t>
      </w:r>
    </w:p>
    <w:p>
      <w:pPr>
        <w:pStyle w:val="Indenta"/>
      </w:pPr>
      <w:r>
        <w:tab/>
        <w:t>(a)</w:t>
      </w:r>
      <w:r>
        <w:tab/>
      </w:r>
      <w:r>
        <w:rPr>
          <w:snapToGrid w:val="0"/>
        </w:rPr>
        <w:t>all moneys required for the remuneration and allowances of members of the governing body of WorkCover WA and of WorkCover WA’s staff; and</w:t>
      </w:r>
    </w:p>
    <w:p>
      <w:pPr>
        <w:pStyle w:val="Indenta"/>
        <w:rPr>
          <w:snapToGrid w:val="0"/>
        </w:rPr>
      </w:pPr>
      <w:r>
        <w:rPr>
          <w:snapToGrid w:val="0"/>
        </w:rPr>
        <w:tab/>
        <w:t>(b)</w:t>
      </w:r>
      <w:r>
        <w:rPr>
          <w:snapToGrid w:val="0"/>
        </w:rPr>
        <w:tab/>
        <w:t xml:space="preserve">compensation payable by the General </w:t>
      </w:r>
      <w:r>
        <w:t>Account</w:t>
      </w:r>
      <w:r>
        <w:rPr>
          <w:snapToGrid w:val="0"/>
        </w:rPr>
        <w:t xml:space="preserve"> to a worker pursuant to this Act; and</w:t>
      </w:r>
    </w:p>
    <w:p>
      <w:pPr>
        <w:pStyle w:val="Indenta"/>
      </w:pPr>
      <w:r>
        <w:tab/>
        <w:t>(c)</w:t>
      </w:r>
      <w:r>
        <w:tab/>
        <w:t>the costs and expenses incurred in the operation and administration of the District Court in dealing with appeals under Part XIII; and</w:t>
      </w:r>
    </w:p>
    <w:p>
      <w:pPr>
        <w:pStyle w:val="Indenta"/>
        <w:rPr>
          <w:snapToGrid w:val="0"/>
        </w:rPr>
      </w:pPr>
      <w:r>
        <w:rPr>
          <w:snapToGrid w:val="0"/>
        </w:rPr>
        <w:tab/>
        <w:t>(ca)</w:t>
      </w:r>
      <w:r>
        <w:rPr>
          <w:snapToGrid w:val="0"/>
        </w:rPr>
        <w:tab/>
        <w:t xml:space="preserve">interest on and repayments of money borrowed by </w:t>
      </w:r>
      <w:r>
        <w:t>WorkCover WA</w:t>
      </w:r>
      <w:r>
        <w:rPr>
          <w:snapToGrid w:val="0"/>
        </w:rPr>
        <w:t xml:space="preserve"> under section 101A and charges in respect of such borrowings; and</w:t>
      </w:r>
    </w:p>
    <w:p>
      <w:pPr>
        <w:pStyle w:val="Indenta"/>
        <w:rPr>
          <w:snapToGrid w:val="0"/>
        </w:rPr>
      </w:pPr>
      <w:r>
        <w:rPr>
          <w:snapToGrid w:val="0"/>
        </w:rPr>
        <w:tab/>
        <w:t>(d)</w:t>
      </w:r>
      <w:r>
        <w:rPr>
          <w:snapToGrid w:val="0"/>
        </w:rPr>
        <w:tab/>
        <w:t xml:space="preserve">the costs of and incidental to proceedings instituted by </w:t>
      </w:r>
      <w:r>
        <w:t>WorkCover WA</w:t>
      </w:r>
      <w:r>
        <w:rPr>
          <w:snapToGrid w:val="0"/>
        </w:rPr>
        <w:t xml:space="preserve"> under this Act; and</w:t>
      </w:r>
    </w:p>
    <w:p>
      <w:pPr>
        <w:pStyle w:val="Indenta"/>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 and</w:t>
      </w:r>
    </w:p>
    <w:p>
      <w:pPr>
        <w:pStyle w:val="Indenta"/>
      </w:pPr>
      <w:r>
        <w:tab/>
        <w:t>(db)</w:t>
      </w:r>
      <w:r>
        <w:tab/>
        <w:t>the premiums due under any insurance policy effected under section 101(caa); and</w:t>
      </w:r>
    </w:p>
    <w:p>
      <w:pPr>
        <w:pStyle w:val="Indenta"/>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r>
        <w:t>WorkCover WA for carrying out its</w:t>
      </w:r>
      <w:r>
        <w:rPr>
          <w:snapToGrid w:val="0"/>
        </w:rPr>
        <w:t xml:space="preserve"> functions under this Act; and</w:t>
      </w:r>
    </w:p>
    <w:p>
      <w:pPr>
        <w:pStyle w:val="Indenta"/>
        <w:rPr>
          <w:snapToGrid w:val="0"/>
        </w:rPr>
      </w:pPr>
      <w:r>
        <w:rPr>
          <w:snapToGrid w:val="0"/>
        </w:rPr>
        <w:lastRenderedPageBreak/>
        <w:tab/>
        <w:t>(f)</w:t>
      </w:r>
      <w:r>
        <w:rPr>
          <w:snapToGrid w:val="0"/>
        </w:rPr>
        <w:tab/>
        <w:t>any other moneys so required to be paid under this Act or any other enactment.</w:t>
      </w:r>
    </w:p>
    <w:p>
      <w:pPr>
        <w:pStyle w:val="Subsection"/>
      </w:pPr>
      <w:r>
        <w:tab/>
        <w:t>(4)</w:t>
      </w:r>
      <w:r>
        <w:tab/>
        <w:t xml:space="preserve">The amount of the costs and expenses referred to in subsection (3)(c) is to be — </w:t>
      </w:r>
    </w:p>
    <w:p>
      <w:pPr>
        <w:pStyle w:val="Indenta"/>
      </w:pPr>
      <w:r>
        <w:tab/>
        <w:t>(a)</w:t>
      </w:r>
      <w:r>
        <w:tab/>
        <w:t xml:space="preserve">determined in the manner approved by the Treasurer after consultation with the chief executive officer of WorkCover WA and the chief executive officer of the department principally assisting the Minister in the administration of the </w:t>
      </w:r>
      <w:r>
        <w:rPr>
          <w:i/>
        </w:rPr>
        <w:t>District Court of Western Australia Act 1969</w:t>
      </w:r>
      <w:r>
        <w:t>; and</w:t>
      </w:r>
    </w:p>
    <w:p>
      <w:pPr>
        <w:pStyle w:val="Indenta"/>
      </w:pPr>
      <w:r>
        <w:tab/>
        <w:t>(b)</w:t>
      </w:r>
      <w:r>
        <w:tab/>
        <w:t>credited to the Consolidated Account.</w:t>
      </w:r>
    </w:p>
    <w:p>
      <w:pPr>
        <w:pStyle w:val="Footnotesection"/>
      </w:pPr>
      <w:r>
        <w:tab/>
        <w:t>[Section 106 amended: No. 79 of 1983 s. 3; No. 104 of 1984 s. 6; No. 86 of 1986 s. 9; No. 96 of 1990 s. 26; No. 1 of 1993 s. 14; No. 48 of 1993 s. 28(1); No. 49 of 1996 s. 64; No. 42 of 2004 s. 98 and 150; No. 77 of 2006 Sch. 1 cl. 189(3), (4) and (9); No. 31 of 2011 s. 30 and 99; No. 8 of 2018 s. 7.]</w:t>
      </w:r>
    </w:p>
    <w:p>
      <w:pPr>
        <w:pStyle w:val="Heading5"/>
        <w:keepNext w:val="0"/>
        <w:keepLines w:val="0"/>
        <w:spacing w:before="180"/>
        <w:rPr>
          <w:snapToGrid w:val="0"/>
        </w:rPr>
      </w:pPr>
      <w:bookmarkStart w:id="426" w:name="_Toc131514468"/>
      <w:r>
        <w:rPr>
          <w:rStyle w:val="CharSectno"/>
        </w:rPr>
        <w:t>107</w:t>
      </w:r>
      <w:r>
        <w:rPr>
          <w:snapToGrid w:val="0"/>
        </w:rPr>
        <w:t>.</w:t>
      </w:r>
      <w:r>
        <w:rPr>
          <w:snapToGrid w:val="0"/>
        </w:rPr>
        <w:tab/>
        <w:t>Estimates of funds needed for General Account</w:t>
      </w:r>
      <w:bookmarkEnd w:id="426"/>
    </w:p>
    <w:p>
      <w:pPr>
        <w:pStyle w:val="Subsection"/>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lastRenderedPageBreak/>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[Section 107 amended: No. 98 of 1985 s. 3; No. 96 of 1990 s. 27; No. 42 of 2004 s. 150; No. 77 of 2006 Sch. 1 cl. 189(5) and (9).]</w:t>
      </w:r>
    </w:p>
    <w:p>
      <w:pPr>
        <w:pStyle w:val="Heading5"/>
        <w:rPr>
          <w:snapToGrid w:val="0"/>
        </w:rPr>
      </w:pPr>
      <w:bookmarkStart w:id="427" w:name="_Toc131514469"/>
      <w:r>
        <w:rPr>
          <w:rStyle w:val="CharSectno"/>
        </w:rPr>
        <w:t>108</w:t>
      </w:r>
      <w:r>
        <w:rPr>
          <w:snapToGrid w:val="0"/>
        </w:rPr>
        <w:t>.</w:t>
      </w:r>
      <w:r>
        <w:rPr>
          <w:snapToGrid w:val="0"/>
        </w:rPr>
        <w:tab/>
        <w:t>Levied contributions to General Account, amount of</w:t>
      </w:r>
      <w:bookmarkEnd w:id="427"/>
    </w:p>
    <w:p>
      <w:pPr>
        <w:pStyle w:val="Subsection"/>
        <w:rPr>
          <w:snapToGrid w:val="0"/>
        </w:rPr>
      </w:pPr>
      <w:r>
        <w:rPr>
          <w:snapToGrid w:val="0"/>
        </w:rPr>
        <w:tab/>
      </w:r>
      <w:r>
        <w:rPr>
          <w:snapToGrid w:val="0"/>
        </w:rPr>
        <w:tab/>
        <w:t xml:space="preserve">For any one year </w:t>
      </w:r>
      <w:r>
        <w:t>WorkCover WA</w:t>
      </w:r>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No. 42 of 2004 s. 150; No. 77 of 2006 Sch. 1 cl. 189(9).]</w:t>
      </w:r>
    </w:p>
    <w:p>
      <w:pPr>
        <w:pStyle w:val="Heading5"/>
        <w:rPr>
          <w:snapToGrid w:val="0"/>
        </w:rPr>
      </w:pPr>
      <w:bookmarkStart w:id="428" w:name="_Toc131514470"/>
      <w:r>
        <w:rPr>
          <w:rStyle w:val="CharSectno"/>
        </w:rPr>
        <w:t>109</w:t>
      </w:r>
      <w:r>
        <w:rPr>
          <w:snapToGrid w:val="0"/>
        </w:rPr>
        <w:t>.</w:t>
      </w:r>
      <w:r>
        <w:rPr>
          <w:snapToGrid w:val="0"/>
        </w:rPr>
        <w:tab/>
        <w:t xml:space="preserve">Insurers to contribute to General </w:t>
      </w:r>
      <w:r>
        <w:t>Account</w:t>
      </w:r>
      <w:bookmarkEnd w:id="428"/>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w:t>
      </w:r>
      <w:r>
        <w:rPr>
          <w:snapToGrid w:val="0"/>
        </w:rPr>
        <w:lastRenderedPageBreak/>
        <w:t>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rPr>
          <w:snapToGrid w:val="0"/>
        </w:rPr>
      </w:pPr>
      <w:r>
        <w:rPr>
          <w:snapToGrid w:val="0"/>
        </w:rPr>
        <w:tab/>
        <w:t>(2a)</w:t>
      </w:r>
      <w:r>
        <w:rPr>
          <w:snapToGrid w:val="0"/>
        </w:rPr>
        <w:tab/>
      </w:r>
      <w:r>
        <w:t>WorkCover WA</w:t>
      </w:r>
      <w:r>
        <w:rPr>
          <w:snapToGrid w:val="0"/>
        </w:rPr>
        <w:t xml:space="preserve"> shall give insurers and self</w:t>
      </w:r>
      <w:r>
        <w:rPr>
          <w:snapToGrid w:val="0"/>
        </w:rPr>
        <w:noBreakHyphen/>
        <w:t>insurers at least 30 days written notice of any day determined under subsection (2).</w:t>
      </w:r>
    </w:p>
    <w:p>
      <w:pPr>
        <w:pStyle w:val="Subsection"/>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r>
        <w:t>WorkCover WA</w:t>
      </w:r>
      <w:r>
        <w:rPr>
          <w:snapToGrid w:val="0"/>
        </w:rPr>
        <w:t xml:space="preserve"> considers reasonable, assessed upon the wages, salaries, or other remuneration, including amounts paid to workers employed under an agreement to perform —</w:t>
      </w:r>
    </w:p>
    <w:p>
      <w:pPr>
        <w:pStyle w:val="Indenti"/>
        <w:rPr>
          <w:snapToGrid w:val="0"/>
        </w:rPr>
      </w:pPr>
      <w:r>
        <w:rPr>
          <w:snapToGrid w:val="0"/>
        </w:rPr>
        <w:lastRenderedPageBreak/>
        <w:tab/>
        <w:t>(i)</w:t>
      </w:r>
      <w:r>
        <w:rPr>
          <w:snapToGrid w:val="0"/>
        </w:rPr>
        <w:tab/>
        <w:t>a specified quantity of work for a specified sum; or</w:t>
      </w:r>
    </w:p>
    <w:p>
      <w:pPr>
        <w:pStyle w:val="Indenti"/>
        <w:rPr>
          <w:snapToGrid w:val="0"/>
        </w:rPr>
      </w:pPr>
      <w:r>
        <w:rPr>
          <w:snapToGrid w:val="0"/>
        </w:rPr>
        <w:tab/>
        <w:t>(ii)</w:t>
      </w:r>
      <w:r>
        <w:rPr>
          <w:snapToGrid w:val="0"/>
        </w:rPr>
        <w:tab/>
        <w:t>work on piece rates; or</w:t>
      </w:r>
    </w:p>
    <w:p>
      <w:pPr>
        <w:pStyle w:val="Indenti"/>
        <w:rPr>
          <w:snapToGrid w:val="0"/>
        </w:rPr>
      </w:pPr>
      <w:r>
        <w:rPr>
          <w:snapToGrid w:val="0"/>
        </w:rPr>
        <w:tab/>
        <w:t>(iii)</w:t>
      </w:r>
      <w:r>
        <w:rPr>
          <w:snapToGrid w:val="0"/>
        </w:rPr>
        <w:tab/>
        <w:t>work on a bonus or commission system; or</w:t>
      </w:r>
    </w:p>
    <w:p>
      <w:pPr>
        <w:pStyle w:val="Indenti"/>
        <w:keepNext/>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rPr>
          <w:snapToGrid w:val="0"/>
        </w:rPr>
      </w:pPr>
      <w:r>
        <w:rPr>
          <w:snapToGrid w:val="0"/>
        </w:rPr>
        <w:tab/>
      </w:r>
      <w:r>
        <w:rPr>
          <w:snapToGrid w:val="0"/>
        </w:rPr>
        <w:tab/>
        <w:t>whichever is the greater, and the self</w:t>
      </w:r>
      <w:r>
        <w:rPr>
          <w:snapToGrid w:val="0"/>
        </w:rPr>
        <w:noBreakHyphen/>
        <w:t xml:space="preserve">insurer shall upon demand and within such time as </w:t>
      </w:r>
      <w:r>
        <w:t>WorkCover WA</w:t>
      </w:r>
      <w:r>
        <w:rPr>
          <w:snapToGrid w:val="0"/>
        </w:rPr>
        <w:t xml:space="preserve"> may specify supply </w:t>
      </w:r>
      <w:r>
        <w:t>WorkCover WA</w:t>
      </w:r>
      <w:r>
        <w:rPr>
          <w:snapToGrid w:val="0"/>
        </w:rPr>
        <w:t xml:space="preserve"> with such particulars of the wages, salaries, or other remuneration paid by him during that period as are required by</w:t>
      </w:r>
      <w:r>
        <w:t xml:space="preserve"> WorkCover WA</w:t>
      </w:r>
      <w:r>
        <w:rPr>
          <w:snapToGrid w:val="0"/>
        </w:rPr>
        <w:t>.</w:t>
      </w:r>
    </w:p>
    <w:p>
      <w:pPr>
        <w:pStyle w:val="Subsection"/>
        <w:rPr>
          <w:snapToGrid w:val="0"/>
        </w:rPr>
      </w:pPr>
      <w:r>
        <w:rPr>
          <w:snapToGrid w:val="0"/>
        </w:rPr>
        <w:tab/>
        <w:t>(4a)</w:t>
      </w:r>
      <w:r>
        <w:rPr>
          <w:snapToGrid w:val="0"/>
        </w:rPr>
        <w:tab/>
        <w:t>If a self</w:t>
      </w:r>
      <w:r>
        <w:rPr>
          <w:snapToGrid w:val="0"/>
        </w:rPr>
        <w:noBreakHyphen/>
        <w:t xml:space="preserve">insurer furnishes particulars to </w:t>
      </w:r>
      <w:r>
        <w:t>WorkCover WA</w:t>
      </w:r>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w:t>
      </w:r>
      <w:r>
        <w:rPr>
          <w:snapToGrid w:val="0"/>
        </w:rPr>
        <w:lastRenderedPageBreak/>
        <w:t>examined the return and to the best of his knowledge, information, and belief the return is a true return of that amount.</w:t>
      </w:r>
    </w:p>
    <w:p>
      <w:pPr>
        <w:pStyle w:val="Subsection"/>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[Section 109 amended: No. 44 of 1985 s. 25; No. 85 of 1986 s. 7; No. 34 of 1999 s. 57; No. 42 of 2004 s. 99 and 150; No. 77 of 2006 Sch. 1 cl. 189(9).]</w:t>
      </w:r>
    </w:p>
    <w:p>
      <w:pPr>
        <w:pStyle w:val="Heading3"/>
      </w:pPr>
      <w:bookmarkStart w:id="429" w:name="_Toc100238494"/>
      <w:bookmarkStart w:id="430" w:name="_Toc100239108"/>
      <w:bookmarkStart w:id="431" w:name="_Toc100562402"/>
      <w:bookmarkStart w:id="432" w:name="_Toc107310038"/>
      <w:bookmarkStart w:id="433" w:name="_Toc107479892"/>
      <w:bookmarkStart w:id="434" w:name="_Toc131501258"/>
      <w:bookmarkStart w:id="435" w:name="_Toc131501875"/>
      <w:bookmarkStart w:id="436" w:name="_Toc131514471"/>
      <w:r>
        <w:rPr>
          <w:rStyle w:val="CharDivNo"/>
        </w:rPr>
        <w:t>Division 4</w:t>
      </w:r>
      <w:r>
        <w:rPr>
          <w:snapToGrid w:val="0"/>
        </w:rPr>
        <w:t> — </w:t>
      </w:r>
      <w:r>
        <w:rPr>
          <w:rStyle w:val="CharDivText"/>
        </w:rPr>
        <w:t>Workers’ Compensation and Injury Management Trust Account</w:t>
      </w:r>
      <w:bookmarkEnd w:id="429"/>
      <w:bookmarkEnd w:id="430"/>
      <w:bookmarkEnd w:id="431"/>
      <w:bookmarkEnd w:id="432"/>
      <w:bookmarkEnd w:id="433"/>
      <w:bookmarkEnd w:id="434"/>
      <w:bookmarkEnd w:id="435"/>
      <w:bookmarkEnd w:id="436"/>
    </w:p>
    <w:p>
      <w:pPr>
        <w:pStyle w:val="Footnoteheading"/>
        <w:rPr>
          <w:snapToGrid w:val="0"/>
        </w:rPr>
      </w:pPr>
      <w:r>
        <w:rPr>
          <w:snapToGrid w:val="0"/>
        </w:rPr>
        <w:tab/>
        <w:t>[Heading inserted: No. 86 of 1986 s. 7; amended: No. 42 of 2004 s. 100; No. 46 of 2009 s. 17.]</w:t>
      </w:r>
    </w:p>
    <w:p>
      <w:pPr>
        <w:pStyle w:val="Heading5"/>
        <w:rPr>
          <w:snapToGrid w:val="0"/>
        </w:rPr>
      </w:pPr>
      <w:bookmarkStart w:id="437" w:name="_Toc131514472"/>
      <w:r>
        <w:rPr>
          <w:rStyle w:val="CharSectno"/>
        </w:rPr>
        <w:t>110</w:t>
      </w:r>
      <w:r>
        <w:rPr>
          <w:snapToGrid w:val="0"/>
        </w:rPr>
        <w:t>.</w:t>
      </w:r>
      <w:r>
        <w:rPr>
          <w:snapToGrid w:val="0"/>
        </w:rPr>
        <w:tab/>
        <w:t xml:space="preserve">Trust </w:t>
      </w:r>
      <w:r>
        <w:t>Account, funds and purposes of</w:t>
      </w:r>
      <w:bookmarkEnd w:id="437"/>
    </w:p>
    <w:p>
      <w:pPr>
        <w:pStyle w:val="Subsection"/>
      </w:pPr>
      <w:r>
        <w:tab/>
        <w:t>(1)</w:t>
      </w:r>
      <w:r>
        <w:tab/>
        <w:t>For the purposes of this Act, an account called the Workers’ Compensation and Injury Management Trust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t>(2)</w:t>
      </w:r>
      <w:r>
        <w:tab/>
        <w:t xml:space="preserve">There shall be credited to the Trust Account — </w:t>
      </w:r>
    </w:p>
    <w:p>
      <w:pPr>
        <w:pStyle w:val="Indenta"/>
      </w:pPr>
      <w:r>
        <w:tab/>
        <w:t>(a)</w:t>
      </w:r>
      <w:r>
        <w:tab/>
        <w:t>all moneys paid to WorkCover WA under section 72I(1)(a); and</w:t>
      </w:r>
    </w:p>
    <w:p>
      <w:pPr>
        <w:pStyle w:val="Indenta"/>
      </w:pPr>
      <w:r>
        <w:tab/>
        <w:t>(b)</w:t>
      </w:r>
      <w:r>
        <w:tab/>
        <w:t>all moneys paid to WorkCover WA under section 72J(2) or (5); and</w:t>
      </w:r>
    </w:p>
    <w:p>
      <w:pPr>
        <w:pStyle w:val="Indenta"/>
      </w:pPr>
      <w:r>
        <w:tab/>
        <w:t>(c)</w:t>
      </w:r>
      <w:r>
        <w:tab/>
        <w:t>all moneys paid to WorkCover WA under section 218.</w:t>
      </w:r>
    </w:p>
    <w:p>
      <w:pPr>
        <w:pStyle w:val="Subsection"/>
        <w:rPr>
          <w:snapToGrid w:val="0"/>
        </w:rPr>
      </w:pPr>
      <w:r>
        <w:rPr>
          <w:snapToGrid w:val="0"/>
        </w:rPr>
        <w:lastRenderedPageBreak/>
        <w:tab/>
        <w:t>(3)</w:t>
      </w:r>
      <w:r>
        <w:rPr>
          <w:snapToGrid w:val="0"/>
        </w:rPr>
        <w:tab/>
        <w:t xml:space="preserve">Moneys standing to the credit of the Trust </w:t>
      </w:r>
      <w:r>
        <w:t>Account</w:t>
      </w:r>
      <w:r>
        <w:rPr>
          <w:snapToGrid w:val="0"/>
        </w:rPr>
        <w:t xml:space="preserve"> shall become one common fund to be invested by</w:t>
      </w:r>
      <w:r>
        <w:t xml:space="preserve"> WorkCover WA</w:t>
      </w:r>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w:t>
      </w:r>
    </w:p>
    <w:p>
      <w:pPr>
        <w:pStyle w:val="Indenta"/>
        <w:rPr>
          <w:snapToGrid w:val="0"/>
        </w:rPr>
      </w:pPr>
      <w:r>
        <w:rPr>
          <w:snapToGrid w:val="0"/>
        </w:rPr>
        <w:tab/>
        <w:t>(a)</w:t>
      </w:r>
      <w:r>
        <w:rPr>
          <w:snapToGrid w:val="0"/>
        </w:rPr>
        <w:tab/>
        <w:t xml:space="preserve">to </w:t>
      </w:r>
      <w:r>
        <w:t>WorkCover WA</w:t>
      </w:r>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xml:space="preserve">, plus </w:t>
      </w:r>
      <w:r>
        <w:rPr>
          <w:snapToGrid w:val="0"/>
        </w:rPr>
        <w:lastRenderedPageBreak/>
        <w:t>interest payable, and less charges made, under subsection (7).</w:t>
      </w:r>
    </w:p>
    <w:p>
      <w:pPr>
        <w:pStyle w:val="Footnotesection"/>
      </w:pPr>
      <w:r>
        <w:tab/>
        <w:t>[Section 110 amended: No. 86 of 1986 s. 10; No. 96 of 1990 s. 28; No. 48 of 1993 s. 28(1); No. 49 of 1996 s. 64; No. 34 of 1999 s. 36; No. 42 of 2004 s. 101 and 150; No. 77 of 2006 Sch. 1 cl. 189(6) and (9); No. 8 of 2018 s. 8.]</w:t>
      </w:r>
    </w:p>
    <w:p>
      <w:pPr>
        <w:pStyle w:val="Heading3"/>
      </w:pPr>
      <w:bookmarkStart w:id="438" w:name="_Toc100238496"/>
      <w:bookmarkStart w:id="439" w:name="_Toc100239110"/>
      <w:bookmarkStart w:id="440" w:name="_Toc100562404"/>
      <w:bookmarkStart w:id="441" w:name="_Toc107310040"/>
      <w:bookmarkStart w:id="442" w:name="_Toc107479894"/>
      <w:bookmarkStart w:id="443" w:name="_Toc131501260"/>
      <w:bookmarkStart w:id="444" w:name="_Toc131501877"/>
      <w:bookmarkStart w:id="445" w:name="_Toc131514473"/>
      <w:r>
        <w:rPr>
          <w:rStyle w:val="CharDivNo"/>
        </w:rPr>
        <w:t>Division 5</w:t>
      </w:r>
      <w:r>
        <w:rPr>
          <w:snapToGrid w:val="0"/>
        </w:rPr>
        <w:t> — </w:t>
      </w:r>
      <w:r>
        <w:rPr>
          <w:rStyle w:val="CharDivText"/>
        </w:rPr>
        <w:t>Ministerial control</w:t>
      </w:r>
      <w:bookmarkEnd w:id="438"/>
      <w:bookmarkEnd w:id="439"/>
      <w:bookmarkEnd w:id="440"/>
      <w:bookmarkEnd w:id="441"/>
      <w:bookmarkEnd w:id="442"/>
      <w:bookmarkEnd w:id="443"/>
      <w:bookmarkEnd w:id="444"/>
      <w:bookmarkEnd w:id="445"/>
    </w:p>
    <w:p>
      <w:pPr>
        <w:pStyle w:val="Heading5"/>
        <w:rPr>
          <w:snapToGrid w:val="0"/>
        </w:rPr>
      </w:pPr>
      <w:bookmarkStart w:id="446" w:name="_Toc131514474"/>
      <w:r>
        <w:rPr>
          <w:rStyle w:val="CharSectno"/>
        </w:rPr>
        <w:t>111</w:t>
      </w:r>
      <w:r>
        <w:rPr>
          <w:snapToGrid w:val="0"/>
        </w:rPr>
        <w:t>.</w:t>
      </w:r>
      <w:r>
        <w:rPr>
          <w:snapToGrid w:val="0"/>
        </w:rPr>
        <w:tab/>
        <w:t>Minister may give WorkCover WA directions</w:t>
      </w:r>
      <w:bookmarkEnd w:id="446"/>
    </w:p>
    <w:p>
      <w:pPr>
        <w:pStyle w:val="Subsection"/>
        <w:rPr>
          <w:snapToGrid w:val="0"/>
        </w:rPr>
      </w:pPr>
      <w:r>
        <w:rPr>
          <w:snapToGrid w:val="0"/>
        </w:rPr>
        <w:tab/>
        <w:t>(1)</w:t>
      </w:r>
      <w:r>
        <w:rPr>
          <w:snapToGrid w:val="0"/>
        </w:rPr>
        <w:tab/>
        <w:t xml:space="preserve">The Minister may give directions in writing to </w:t>
      </w:r>
      <w:r>
        <w:t>WorkCover WA</w:t>
      </w:r>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r>
        <w:t>WorkCover WA</w:t>
      </w:r>
      <w:r>
        <w:rPr>
          <w:snapToGrid w:val="0"/>
        </w:rPr>
        <w:t xml:space="preserve"> shall give effect to any such direction.</w:t>
      </w:r>
    </w:p>
    <w:p>
      <w:pPr>
        <w:pStyle w:val="Subsection"/>
      </w:pPr>
      <w:r>
        <w:tab/>
        <w:t>(1a)</w:t>
      </w:r>
      <w:r>
        <w:tab/>
      </w:r>
      <w:r>
        <w:rPr>
          <w:snapToGrid w:val="0"/>
        </w:rPr>
        <w:t>The Minister cannot give to WorkCover WA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r>
        <w:t>WorkCover WA</w:t>
      </w:r>
      <w:r>
        <w:rPr>
          <w:snapToGrid w:val="0"/>
        </w:rPr>
        <w:t xml:space="preserve"> under </w:t>
      </w:r>
      <w:r>
        <w:t xml:space="preserve">Part 5 of the </w:t>
      </w:r>
      <w:r>
        <w:rPr>
          <w:i/>
        </w:rPr>
        <w:t>Financial Management Act 2006</w:t>
      </w:r>
      <w:r>
        <w:t>.</w:t>
      </w:r>
    </w:p>
    <w:p>
      <w:pPr>
        <w:pStyle w:val="Footnotesection"/>
      </w:pPr>
      <w:r>
        <w:tab/>
        <w:t>[Section 111 inserted: No. 72 of 1992 s. 14; amended: No. 42 of 2004 s. 102 and 150; No. 77 of 2006 Sch. 1 cl. 189(7).]</w:t>
      </w:r>
    </w:p>
    <w:p>
      <w:pPr>
        <w:pStyle w:val="Heading5"/>
        <w:rPr>
          <w:snapToGrid w:val="0"/>
        </w:rPr>
      </w:pPr>
      <w:bookmarkStart w:id="447" w:name="_Toc131514475"/>
      <w:r>
        <w:rPr>
          <w:rStyle w:val="CharSectno"/>
        </w:rPr>
        <w:t>111A</w:t>
      </w:r>
      <w:r>
        <w:rPr>
          <w:snapToGrid w:val="0"/>
        </w:rPr>
        <w:t>.</w:t>
      </w:r>
      <w:r>
        <w:rPr>
          <w:snapToGrid w:val="0"/>
        </w:rPr>
        <w:tab/>
        <w:t>Minister to have access to information</w:t>
      </w:r>
      <w:bookmarkEnd w:id="447"/>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w:t>
      </w:r>
      <w:r>
        <w:t xml:space="preserve"> WorkCover WA</w:t>
      </w:r>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lastRenderedPageBreak/>
        <w:tab/>
        <w:t>(2)</w:t>
      </w:r>
      <w:r>
        <w:rPr>
          <w:snapToGrid w:val="0"/>
        </w:rPr>
        <w:tab/>
        <w:t>For the purposes of subsection (1) the Minister may —</w:t>
      </w:r>
    </w:p>
    <w:p>
      <w:pPr>
        <w:pStyle w:val="Indenta"/>
        <w:rPr>
          <w:snapToGrid w:val="0"/>
        </w:rPr>
      </w:pPr>
      <w:r>
        <w:rPr>
          <w:snapToGrid w:val="0"/>
        </w:rPr>
        <w:tab/>
        <w:t>(a)</w:t>
      </w:r>
      <w:r>
        <w:rPr>
          <w:snapToGrid w:val="0"/>
        </w:rPr>
        <w:tab/>
        <w:t xml:space="preserve">request </w:t>
      </w:r>
      <w:r>
        <w:t>WorkCover WA</w:t>
      </w:r>
      <w:r>
        <w:rPr>
          <w:snapToGrid w:val="0"/>
        </w:rPr>
        <w:t xml:space="preserve"> to furnish information to the Minister;</w:t>
      </w:r>
    </w:p>
    <w:p>
      <w:pPr>
        <w:pStyle w:val="Indenta"/>
        <w:rPr>
          <w:snapToGrid w:val="0"/>
        </w:rPr>
      </w:pPr>
      <w:r>
        <w:rPr>
          <w:snapToGrid w:val="0"/>
        </w:rPr>
        <w:tab/>
        <w:t>(b)</w:t>
      </w:r>
      <w:r>
        <w:rPr>
          <w:snapToGrid w:val="0"/>
        </w:rPr>
        <w:tab/>
        <w:t xml:space="preserve">request </w:t>
      </w:r>
      <w:r>
        <w:t>WorkCover WA</w:t>
      </w:r>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r>
        <w:t>WorkCover WA</w:t>
      </w:r>
      <w:r>
        <w:rPr>
          <w:snapToGrid w:val="0"/>
        </w:rPr>
        <w:t xml:space="preserve"> to obtain the information and furnish it to the Minister.</w:t>
      </w:r>
    </w:p>
    <w:p>
      <w:pPr>
        <w:pStyle w:val="Subsection"/>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WorkCover WA;</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[Section 111A inserted: No. 72 of 1992 s. 14; amended: No. 42 of 2004 s. 150.]</w:t>
      </w:r>
    </w:p>
    <w:p>
      <w:pPr>
        <w:pStyle w:val="Ednotepart"/>
        <w:ind w:left="1311" w:hanging="1311"/>
        <w:rPr>
          <w:iCs/>
        </w:rPr>
      </w:pPr>
      <w:r>
        <w:rPr>
          <w:iCs/>
        </w:rPr>
        <w:t>[Part VI:</w:t>
      </w:r>
      <w:r>
        <w:rPr>
          <w:iCs/>
        </w:rPr>
        <w:tab/>
        <w:t>s. 112</w:t>
      </w:r>
      <w:r>
        <w:rPr>
          <w:iCs/>
        </w:rPr>
        <w:noBreakHyphen/>
        <w:t>120 deleted: No. 42 of 2004 s. 103;</w:t>
      </w:r>
      <w:r>
        <w:rPr>
          <w:iCs/>
        </w:rPr>
        <w:br/>
        <w:t>s. 121</w:t>
      </w:r>
      <w:r>
        <w:rPr>
          <w:iCs/>
        </w:rPr>
        <w:noBreakHyphen/>
        <w:t>144 deleted: No. 48 of 1993 s. 24.]</w:t>
      </w:r>
    </w:p>
    <w:p>
      <w:pPr>
        <w:pStyle w:val="Heading2"/>
      </w:pPr>
      <w:bookmarkStart w:id="448" w:name="_Toc100238499"/>
      <w:bookmarkStart w:id="449" w:name="_Toc100239113"/>
      <w:bookmarkStart w:id="450" w:name="_Toc100562407"/>
      <w:bookmarkStart w:id="451" w:name="_Toc107310043"/>
      <w:bookmarkStart w:id="452" w:name="_Toc107479897"/>
      <w:bookmarkStart w:id="453" w:name="_Toc131501263"/>
      <w:bookmarkStart w:id="454" w:name="_Toc131501880"/>
      <w:bookmarkStart w:id="455" w:name="_Toc131514476"/>
      <w:r>
        <w:rPr>
          <w:rStyle w:val="CharPartNo"/>
        </w:rPr>
        <w:lastRenderedPageBreak/>
        <w:t>Part VII</w:t>
      </w:r>
      <w:r>
        <w:rPr>
          <w:b w:val="0"/>
        </w:rPr>
        <w:t> </w:t>
      </w:r>
      <w:r>
        <w:t>—</w:t>
      </w:r>
      <w:r>
        <w:rPr>
          <w:b w:val="0"/>
        </w:rPr>
        <w:t> </w:t>
      </w:r>
      <w:r>
        <w:rPr>
          <w:rStyle w:val="CharPartText"/>
        </w:rPr>
        <w:t>Medical assessment and assessment for specialised retraining programs</w:t>
      </w:r>
      <w:bookmarkEnd w:id="448"/>
      <w:bookmarkEnd w:id="449"/>
      <w:bookmarkEnd w:id="450"/>
      <w:bookmarkEnd w:id="451"/>
      <w:bookmarkEnd w:id="452"/>
      <w:bookmarkEnd w:id="453"/>
      <w:bookmarkEnd w:id="454"/>
      <w:bookmarkEnd w:id="455"/>
    </w:p>
    <w:p>
      <w:pPr>
        <w:pStyle w:val="Footnoteheading"/>
      </w:pPr>
      <w:r>
        <w:tab/>
        <w:t>[Heading inserted: No. 42 of 2004 s. 104.]</w:t>
      </w:r>
    </w:p>
    <w:p>
      <w:pPr>
        <w:pStyle w:val="Heading3"/>
        <w:spacing w:before="200"/>
      </w:pPr>
      <w:bookmarkStart w:id="456" w:name="_Toc100238500"/>
      <w:bookmarkStart w:id="457" w:name="_Toc100239114"/>
      <w:bookmarkStart w:id="458" w:name="_Toc100562408"/>
      <w:bookmarkStart w:id="459" w:name="_Toc107310044"/>
      <w:bookmarkStart w:id="460" w:name="_Toc107479898"/>
      <w:bookmarkStart w:id="461" w:name="_Toc131501264"/>
      <w:bookmarkStart w:id="462" w:name="_Toc131501881"/>
      <w:bookmarkStart w:id="463" w:name="_Toc131514477"/>
      <w:r>
        <w:rPr>
          <w:rStyle w:val="CharDivNo"/>
        </w:rPr>
        <w:t>Division 1</w:t>
      </w:r>
      <w:r>
        <w:t> — </w:t>
      </w:r>
      <w:r>
        <w:rPr>
          <w:rStyle w:val="CharDivText"/>
        </w:rPr>
        <w:t>Medical assessment panels</w:t>
      </w:r>
      <w:bookmarkEnd w:id="456"/>
      <w:bookmarkEnd w:id="457"/>
      <w:bookmarkEnd w:id="458"/>
      <w:bookmarkEnd w:id="459"/>
      <w:bookmarkEnd w:id="460"/>
      <w:bookmarkEnd w:id="461"/>
      <w:bookmarkEnd w:id="462"/>
      <w:bookmarkEnd w:id="463"/>
    </w:p>
    <w:p>
      <w:pPr>
        <w:pStyle w:val="Footnoteheading"/>
        <w:spacing w:before="100"/>
      </w:pPr>
      <w:r>
        <w:tab/>
        <w:t>[Heading inserted: No. 42 of 2004 s. 104.]</w:t>
      </w:r>
    </w:p>
    <w:p>
      <w:pPr>
        <w:pStyle w:val="Heading5"/>
      </w:pPr>
      <w:bookmarkStart w:id="464" w:name="_Toc131514478"/>
      <w:r>
        <w:rPr>
          <w:rStyle w:val="CharSectno"/>
        </w:rPr>
        <w:t>144</w:t>
      </w:r>
      <w:r>
        <w:t>.</w:t>
      </w:r>
      <w:r>
        <w:tab/>
        <w:t>Term used: relevant authority</w:t>
      </w:r>
      <w:bookmarkEnd w:id="464"/>
    </w:p>
    <w:p>
      <w:pPr>
        <w:pStyle w:val="Subsection"/>
      </w:pPr>
      <w:r>
        <w:tab/>
      </w:r>
      <w:r>
        <w:tab/>
        <w:t xml:space="preserve">In this Division — </w:t>
      </w:r>
    </w:p>
    <w:p>
      <w:pPr>
        <w:pStyle w:val="Defstart"/>
      </w:pPr>
      <w:r>
        <w:tab/>
      </w:r>
      <w:r>
        <w:rPr>
          <w:rStyle w:val="CharDefText"/>
        </w:rPr>
        <w:t>relevant authority</w:t>
      </w:r>
      <w:r>
        <w:t xml:space="preserve"> means — </w:t>
      </w:r>
    </w:p>
    <w:p>
      <w:pPr>
        <w:pStyle w:val="Defpara"/>
      </w:pPr>
      <w:r>
        <w:tab/>
        <w:t>(a)</w:t>
      </w:r>
      <w:r>
        <w:tab/>
        <w:t>in relation to conciliation: the Director; or</w:t>
      </w:r>
    </w:p>
    <w:p>
      <w:pPr>
        <w:pStyle w:val="Defpara"/>
      </w:pPr>
      <w:r>
        <w:tab/>
        <w:t>(b)</w:t>
      </w:r>
      <w:r>
        <w:tab/>
        <w:t>in relation to arbitration: the Registrar.</w:t>
      </w:r>
    </w:p>
    <w:p>
      <w:pPr>
        <w:pStyle w:val="Footnotesection"/>
        <w:spacing w:before="100"/>
        <w:ind w:left="890" w:hanging="890"/>
      </w:pPr>
      <w:r>
        <w:tab/>
        <w:t>[Section 144 inserted: No. 31 of 2011 s. 31.]</w:t>
      </w:r>
    </w:p>
    <w:p>
      <w:pPr>
        <w:pStyle w:val="Heading5"/>
        <w:rPr>
          <w:snapToGrid w:val="0"/>
        </w:rPr>
      </w:pPr>
      <w:bookmarkStart w:id="465" w:name="_Toc131514479"/>
      <w:r>
        <w:rPr>
          <w:rStyle w:val="CharSectno"/>
        </w:rPr>
        <w:t>145</w:t>
      </w:r>
      <w:r>
        <w:rPr>
          <w:snapToGrid w:val="0"/>
        </w:rPr>
        <w:t>.</w:t>
      </w:r>
      <w:r>
        <w:rPr>
          <w:snapToGrid w:val="0"/>
        </w:rPr>
        <w:tab/>
        <w:t>Excluded jurisdiction of panels</w:t>
      </w:r>
      <w:bookmarkEnd w:id="465"/>
    </w:p>
    <w:p>
      <w:pPr>
        <w:pStyle w:val="Subsection"/>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spacing w:before="100"/>
        <w:ind w:left="890" w:hanging="890"/>
      </w:pPr>
      <w:r>
        <w:tab/>
        <w:t>[Section 145 inserted: No. 48 of 1993 s. 25.]</w:t>
      </w:r>
    </w:p>
    <w:p>
      <w:pPr>
        <w:pStyle w:val="Heading5"/>
      </w:pPr>
      <w:bookmarkStart w:id="466" w:name="_Toc131514480"/>
      <w:r>
        <w:rPr>
          <w:rStyle w:val="CharSectno"/>
        </w:rPr>
        <w:t>145A</w:t>
      </w:r>
      <w:r>
        <w:t>.</w:t>
      </w:r>
      <w:r>
        <w:tab/>
        <w:t>Questions that may be referred to panels</w:t>
      </w:r>
      <w:bookmarkEnd w:id="466"/>
    </w:p>
    <w:p>
      <w:pPr>
        <w:pStyle w:val="Subsection"/>
        <w:rPr>
          <w:snapToGrid w:val="0"/>
        </w:rPr>
      </w:pPr>
      <w:r>
        <w:rPr>
          <w:snapToGrid w:val="0"/>
        </w:rPr>
        <w:tab/>
        <w:t>(1)</w:t>
      </w:r>
      <w:r>
        <w:rPr>
          <w:snapToGrid w:val="0"/>
        </w:rPr>
        <w:tab/>
        <w:t xml:space="preserve">Subject to subsection (2), a question may be referred for determination by a medical assessment panel </w:t>
      </w:r>
      <w:r>
        <w:t xml:space="preserve">under section 182ZD or 210, Schedule 1 clause 18A(2ab) or Schedule 7 clause 6 </w:t>
      </w:r>
      <w:r>
        <w:rPr>
          <w:snapToGrid w:val="0"/>
        </w:rPr>
        <w:t>only if —</w:t>
      </w:r>
    </w:p>
    <w:p>
      <w:pPr>
        <w:pStyle w:val="Indenta"/>
        <w:rPr>
          <w:snapToGrid w:val="0"/>
        </w:rPr>
      </w:pPr>
      <w:r>
        <w:rPr>
          <w:snapToGrid w:val="0"/>
        </w:rPr>
        <w:tab/>
        <w:t>(a)</w:t>
      </w:r>
      <w:r>
        <w:rPr>
          <w:snapToGrid w:val="0"/>
        </w:rPr>
        <w:tab/>
        <w:t>there is a conflict of medical opinion on the question between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lastRenderedPageBreak/>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182ZD or 210 </w:t>
      </w:r>
      <w:r>
        <w:rPr>
          <w:snapToGrid w:val="0"/>
        </w:rPr>
        <w:t>if —</w:t>
      </w:r>
    </w:p>
    <w:p>
      <w:pPr>
        <w:pStyle w:val="Indenta"/>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[Section 145A inserted: No. 48 of 1993 s. 25; amended: No. 34 of 1999 s. 37; No. 42 of 2004 s. 105; No. 31 of 2011 s. 32.]</w:t>
      </w:r>
    </w:p>
    <w:p>
      <w:pPr>
        <w:pStyle w:val="Heading5"/>
        <w:rPr>
          <w:snapToGrid w:val="0"/>
        </w:rPr>
      </w:pPr>
      <w:bookmarkStart w:id="467" w:name="_Toc131514481"/>
      <w:r>
        <w:rPr>
          <w:rStyle w:val="CharSectno"/>
        </w:rPr>
        <w:t>145B</w:t>
      </w:r>
      <w:r>
        <w:rPr>
          <w:snapToGrid w:val="0"/>
        </w:rPr>
        <w:t>.</w:t>
      </w:r>
      <w:r>
        <w:rPr>
          <w:snapToGrid w:val="0"/>
        </w:rPr>
        <w:tab/>
        <w:t>Register of eligible members of panels</w:t>
      </w:r>
      <w:bookmarkEnd w:id="467"/>
    </w:p>
    <w:p>
      <w:pPr>
        <w:pStyle w:val="Subsection"/>
        <w:rPr>
          <w:snapToGrid w:val="0"/>
        </w:rPr>
      </w:pPr>
      <w:r>
        <w:rPr>
          <w:snapToGrid w:val="0"/>
        </w:rPr>
        <w:tab/>
        <w:t>(1)</w:t>
      </w:r>
      <w:r>
        <w:rPr>
          <w:snapToGrid w:val="0"/>
        </w:rPr>
        <w:tab/>
        <w:t xml:space="preserve">The </w:t>
      </w:r>
      <w:r>
        <w:t>chief executive officer</w:t>
      </w:r>
      <w:r>
        <w:rPr>
          <w:snapToGrid w:val="0"/>
        </w:rPr>
        <w:t xml:space="preserve">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No. 48 of 1993 s. 25; amended: No. 31 of 2011 s. 33.]</w:t>
      </w:r>
    </w:p>
    <w:p>
      <w:pPr>
        <w:pStyle w:val="Heading5"/>
        <w:rPr>
          <w:snapToGrid w:val="0"/>
        </w:rPr>
      </w:pPr>
      <w:bookmarkStart w:id="468" w:name="_Toc131514482"/>
      <w:r>
        <w:rPr>
          <w:rStyle w:val="CharSectno"/>
        </w:rPr>
        <w:t>145C</w:t>
      </w:r>
      <w:r>
        <w:rPr>
          <w:snapToGrid w:val="0"/>
        </w:rPr>
        <w:t>.</w:t>
      </w:r>
      <w:r>
        <w:rPr>
          <w:snapToGrid w:val="0"/>
        </w:rPr>
        <w:tab/>
        <w:t>Constituting panels</w:t>
      </w:r>
      <w:bookmarkEnd w:id="468"/>
    </w:p>
    <w:p>
      <w:pPr>
        <w:pStyle w:val="Subsection"/>
        <w:rPr>
          <w:snapToGrid w:val="0"/>
        </w:rPr>
      </w:pPr>
      <w:r>
        <w:rPr>
          <w:snapToGrid w:val="0"/>
        </w:rPr>
        <w:tab/>
        <w:t>(1)</w:t>
      </w:r>
      <w:r>
        <w:rPr>
          <w:snapToGrid w:val="0"/>
        </w:rPr>
        <w:tab/>
        <w:t xml:space="preserve">On a question being referred for determination by a medical assessment panel, the </w:t>
      </w:r>
      <w:r>
        <w:t>relevant authority</w:t>
      </w:r>
      <w:r>
        <w:rPr>
          <w:snapToGrid w:val="0"/>
        </w:rPr>
        <w:t xml:space="preserve"> is to select 3 medical practitioners who are registered under section 145B to be the panel that is to determine the question.</w:t>
      </w:r>
    </w:p>
    <w:p>
      <w:pPr>
        <w:pStyle w:val="Subsection"/>
        <w:spacing w:before="140"/>
        <w:rPr>
          <w:snapToGrid w:val="0"/>
        </w:rPr>
      </w:pPr>
      <w:r>
        <w:rPr>
          <w:snapToGrid w:val="0"/>
        </w:rPr>
        <w:lastRenderedPageBreak/>
        <w:tab/>
        <w:t>(2)</w:t>
      </w:r>
      <w:r>
        <w:rPr>
          <w:snapToGrid w:val="0"/>
        </w:rPr>
        <w:tab/>
        <w:t>Of the members of the panel at least one is to be a specialist in the particular branch of medicine or surgery that is relevant to the question.</w:t>
      </w:r>
    </w:p>
    <w:p>
      <w:pPr>
        <w:pStyle w:val="Subsection"/>
        <w:spacing w:before="140"/>
      </w:pPr>
      <w:r>
        <w:tab/>
        <w:t>(2a)</w:t>
      </w:r>
      <w:r>
        <w:tab/>
        <w:t>Despite subsection (2), if the question is referred under clause 18A(2ab), each practitioner selected is to be a specialist in a branch of medicine or surgery that is relevant to the question.</w:t>
      </w:r>
    </w:p>
    <w:p>
      <w:pPr>
        <w:pStyle w:val="Subsection"/>
        <w:spacing w:before="140"/>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spacing w:before="140"/>
        <w:rPr>
          <w:snapToGrid w:val="0"/>
        </w:rPr>
      </w:pPr>
      <w:r>
        <w:rPr>
          <w:snapToGrid w:val="0"/>
        </w:rPr>
        <w:tab/>
        <w:t>(4)</w:t>
      </w:r>
      <w:r>
        <w:rPr>
          <w:snapToGrid w:val="0"/>
        </w:rPr>
        <w:tab/>
        <w:t xml:space="preserve">The </w:t>
      </w:r>
      <w:r>
        <w:t>relevant authority</w:t>
      </w:r>
      <w:r>
        <w:rPr>
          <w:snapToGrid w:val="0"/>
        </w:rPr>
        <w:t xml:space="preserve"> is to nominate one of the members of the panel to be its chairman.</w:t>
      </w:r>
    </w:p>
    <w:p>
      <w:pPr>
        <w:pStyle w:val="Footnotesection"/>
        <w:spacing w:before="100"/>
        <w:ind w:left="890" w:hanging="890"/>
      </w:pPr>
      <w:r>
        <w:tab/>
        <w:t>[Section 145C inserted: No. 48 of 1993 s. 25; amended: No. 34 of 1999 s. 38; No. 42 of 2004 s. 106; No. 31 of 2011 s. 34.]</w:t>
      </w:r>
    </w:p>
    <w:p>
      <w:pPr>
        <w:pStyle w:val="Heading5"/>
        <w:rPr>
          <w:snapToGrid w:val="0"/>
        </w:rPr>
      </w:pPr>
      <w:bookmarkStart w:id="469" w:name="_Toc131514483"/>
      <w:r>
        <w:rPr>
          <w:rStyle w:val="CharSectno"/>
        </w:rPr>
        <w:t>145D</w:t>
      </w:r>
      <w:r>
        <w:rPr>
          <w:snapToGrid w:val="0"/>
        </w:rPr>
        <w:t>.</w:t>
      </w:r>
      <w:r>
        <w:rPr>
          <w:snapToGrid w:val="0"/>
        </w:rPr>
        <w:tab/>
        <w:t>Procedure and powers of panels</w:t>
      </w:r>
      <w:bookmarkEnd w:id="469"/>
    </w:p>
    <w:p>
      <w:pPr>
        <w:pStyle w:val="Subsection"/>
        <w:spacing w:before="140"/>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spacing w:before="140"/>
        <w:rPr>
          <w:snapToGrid w:val="0"/>
        </w:rPr>
      </w:pPr>
      <w:r>
        <w:rPr>
          <w:snapToGrid w:val="0"/>
        </w:rPr>
        <w:tab/>
        <w:t>(2)</w:t>
      </w:r>
      <w:r>
        <w:rPr>
          <w:snapToGrid w:val="0"/>
        </w:rPr>
        <w:tab/>
        <w:t>The panel may, for the purposes of assisting it in determining the question, require the worker concerned to —</w:t>
      </w:r>
    </w:p>
    <w:p>
      <w:pPr>
        <w:pStyle w:val="Indenta"/>
        <w:spacing w:before="60"/>
        <w:rPr>
          <w:snapToGrid w:val="0"/>
        </w:rPr>
      </w:pPr>
      <w:r>
        <w:rPr>
          <w:snapToGrid w:val="0"/>
        </w:rPr>
        <w:tab/>
        <w:t>(a)</w:t>
      </w:r>
      <w:r>
        <w:rPr>
          <w:snapToGrid w:val="0"/>
        </w:rPr>
        <w:tab/>
        <w:t>attend before the panel;</w:t>
      </w:r>
    </w:p>
    <w:p>
      <w:pPr>
        <w:pStyle w:val="Indenta"/>
        <w:spacing w:before="60"/>
        <w:rPr>
          <w:snapToGrid w:val="0"/>
        </w:rPr>
      </w:pPr>
      <w:r>
        <w:rPr>
          <w:snapToGrid w:val="0"/>
        </w:rPr>
        <w:tab/>
        <w:t>(b)</w:t>
      </w:r>
      <w:r>
        <w:rPr>
          <w:snapToGrid w:val="0"/>
        </w:rPr>
        <w:tab/>
        <w:t>answer questions put by the panel;</w:t>
      </w:r>
    </w:p>
    <w:p>
      <w:pPr>
        <w:pStyle w:val="Indenta"/>
        <w:spacing w:before="60"/>
        <w:rPr>
          <w:snapToGrid w:val="0"/>
        </w:rPr>
      </w:pPr>
      <w:r>
        <w:rPr>
          <w:snapToGrid w:val="0"/>
        </w:rPr>
        <w:tab/>
        <w:t>(c)</w:t>
      </w:r>
      <w:r>
        <w:rPr>
          <w:snapToGrid w:val="0"/>
        </w:rPr>
        <w:tab/>
        <w:t>produce documents to the panel, or consent to another person who has relevant documents producing them to the panel;</w:t>
      </w:r>
    </w:p>
    <w:p>
      <w:pPr>
        <w:pStyle w:val="Indenta"/>
        <w:keepNext/>
        <w:spacing w:before="60"/>
        <w:rPr>
          <w:snapToGrid w:val="0"/>
        </w:rPr>
      </w:pPr>
      <w:r>
        <w:rPr>
          <w:snapToGrid w:val="0"/>
        </w:rPr>
        <w:tab/>
        <w:t>(d)</w:t>
      </w:r>
      <w:r>
        <w:rPr>
          <w:snapToGrid w:val="0"/>
        </w:rPr>
        <w:tab/>
        <w:t>submit to medical examination by the panel,</w:t>
      </w:r>
    </w:p>
    <w:p>
      <w:pPr>
        <w:pStyle w:val="Subsection"/>
        <w:spacing w:before="120"/>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 xml:space="preserve">Powers given by subsection (2) to a panel are to be exercised in private unless the worker otherwise consents, and any information or document obtained from, or by the consent of, </w:t>
      </w:r>
      <w:r>
        <w:rPr>
          <w:snapToGrid w:val="0"/>
        </w:rPr>
        <w:lastRenderedPageBreak/>
        <w:t>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the relevant authority</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the relevant authority</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[Section 145D inserted: No. 48 of 1993 s. 25; amended: No. 42 of 2004 s. 107; No. 31 of 2011 s. 35.]</w:t>
      </w:r>
    </w:p>
    <w:p>
      <w:pPr>
        <w:pStyle w:val="Heading5"/>
        <w:rPr>
          <w:snapToGrid w:val="0"/>
        </w:rPr>
      </w:pPr>
      <w:bookmarkStart w:id="470" w:name="_Toc131514484"/>
      <w:r>
        <w:rPr>
          <w:rStyle w:val="CharSectno"/>
        </w:rPr>
        <w:t>145E</w:t>
      </w:r>
      <w:r>
        <w:rPr>
          <w:snapToGrid w:val="0"/>
        </w:rPr>
        <w:t>.</w:t>
      </w:r>
      <w:r>
        <w:rPr>
          <w:snapToGrid w:val="0"/>
        </w:rPr>
        <w:tab/>
        <w:t>Determinations</w:t>
      </w:r>
      <w:bookmarkEnd w:id="470"/>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 xml:space="preserve">The determination and the reasons for making it are to be given in writing signed by the Chairman in a form approved by the </w:t>
      </w:r>
      <w:r>
        <w:lastRenderedPageBreak/>
        <w:t xml:space="preserve">relevant authority, </w:t>
      </w:r>
      <w:r>
        <w:rPr>
          <w:snapToGrid w:val="0"/>
        </w:rPr>
        <w:t xml:space="preserve">and are to be given to the </w:t>
      </w:r>
      <w:r>
        <w:t>relevant authority within</w:t>
      </w:r>
      <w:r>
        <w:rPr>
          <w:snapToGrid w:val="0"/>
        </w:rPr>
        <w:t xml:space="preserve"> 7 days after the day on which the determination is made.</w:t>
      </w:r>
    </w:p>
    <w:p>
      <w:pPr>
        <w:pStyle w:val="Subsection"/>
        <w:rPr>
          <w:snapToGrid w:val="0"/>
        </w:rPr>
      </w:pPr>
      <w:r>
        <w:rPr>
          <w:snapToGrid w:val="0"/>
        </w:rPr>
        <w:tab/>
        <w:t>(4)</w:t>
      </w:r>
      <w:r>
        <w:rPr>
          <w:snapToGrid w:val="0"/>
        </w:rPr>
        <w:tab/>
        <w:t xml:space="preserve">The </w:t>
      </w:r>
      <w:r>
        <w:t>relevant authority</w:t>
      </w:r>
      <w:r>
        <w:rPr>
          <w:snapToGrid w:val="0"/>
        </w:rPr>
        <w:t xml:space="preserve"> is to give the determination and reasons to the person who referred the question to the panel and the worker concerned within 7 days after the day on which the </w:t>
      </w:r>
      <w:r>
        <w:t>relevant authority</w:t>
      </w:r>
      <w:r>
        <w:rPr>
          <w:snapToGrid w:val="0"/>
        </w:rPr>
        <w:t xml:space="preserve"> receives them.</w:t>
      </w:r>
    </w:p>
    <w:p>
      <w:pPr>
        <w:pStyle w:val="Subsection"/>
      </w:pPr>
      <w:r>
        <w:tab/>
        <w:t>(5)</w:t>
      </w:r>
      <w:r>
        <w:tab/>
        <w:t>The determination is not relevant in relation to —</w:t>
      </w:r>
    </w:p>
    <w:p>
      <w:pPr>
        <w:pStyle w:val="Indenta"/>
        <w:spacing w:before="60"/>
      </w:pPr>
      <w:r>
        <w:tab/>
        <w:t>(a)</w:t>
      </w:r>
      <w:r>
        <w:tab/>
        <w:t>a determination of an arbitrator under Part III Division 2A as to the permanent or other impairment of the efficient use of any part or faculty of the body for the purposes of Part III Division 2A, or the degree of that impairment; or</w:t>
      </w:r>
    </w:p>
    <w:p>
      <w:pPr>
        <w:pStyle w:val="Indenta"/>
        <w:spacing w:before="60"/>
      </w:pPr>
      <w:r>
        <w:tab/>
        <w:t>(b)</w:t>
      </w:r>
      <w:r>
        <w:tab/>
        <w:t>an action for damages independently of this Act if Part IV Division 2 Subdivision 3 applies to the awarding of damages in the action; or</w:t>
      </w:r>
    </w:p>
    <w:p>
      <w:pPr>
        <w:pStyle w:val="Indenta"/>
        <w:spacing w:before="60"/>
      </w:pPr>
      <w:r>
        <w:tab/>
        <w:t>(c)</w:t>
      </w:r>
      <w:r>
        <w:tab/>
        <w:t>a determination of an arbitrator under section 158C or 158D; or</w:t>
      </w:r>
    </w:p>
    <w:p>
      <w:pPr>
        <w:pStyle w:val="Indenta"/>
        <w:spacing w:before="60"/>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A determination of a medical assessment panel is not —</w:t>
      </w:r>
    </w:p>
    <w:p>
      <w:pPr>
        <w:pStyle w:val="Indenta"/>
        <w:spacing w:before="60"/>
      </w:pPr>
      <w:r>
        <w:tab/>
        <w:t>(a)</w:t>
      </w:r>
      <w:r>
        <w:tab/>
        <w:t>to be vitiated because of any informality or want of form; or</w:t>
      </w:r>
    </w:p>
    <w:p>
      <w:pPr>
        <w:pStyle w:val="Indenta"/>
        <w:spacing w:before="60"/>
      </w:pPr>
      <w:r>
        <w:tab/>
        <w:t>(b)</w:t>
      </w:r>
      <w:r>
        <w:tab/>
        <w:t>subject to an appeal.</w:t>
      </w:r>
    </w:p>
    <w:p>
      <w:pPr>
        <w:pStyle w:val="Subsection"/>
      </w:pPr>
      <w:r>
        <w:lastRenderedPageBreak/>
        <w:tab/>
        <w:t>(9)</w:t>
      </w:r>
      <w:r>
        <w:tab/>
        <w:t>A decision of a medical assessment panel or anything done under this Act in the process of coming to a decision of a medical assessment panel is not amenable to judicial review.</w:t>
      </w:r>
    </w:p>
    <w:p>
      <w:pPr>
        <w:pStyle w:val="Footnotesection"/>
        <w:spacing w:before="100"/>
        <w:ind w:left="890" w:hanging="890"/>
      </w:pPr>
      <w:r>
        <w:tab/>
        <w:t>[Section 145E inserted: No. 48 of 1993 s. 25; amended: No. 42 of 2004 s. 108; No. 31 of 2011 s. 36.]</w:t>
      </w:r>
    </w:p>
    <w:p>
      <w:pPr>
        <w:pStyle w:val="Heading5"/>
        <w:spacing w:before="200"/>
        <w:rPr>
          <w:snapToGrid w:val="0"/>
        </w:rPr>
      </w:pPr>
      <w:bookmarkStart w:id="471" w:name="_Toc131514485"/>
      <w:r>
        <w:rPr>
          <w:rStyle w:val="CharSectno"/>
        </w:rPr>
        <w:t>145F</w:t>
      </w:r>
      <w:r>
        <w:rPr>
          <w:snapToGrid w:val="0"/>
        </w:rPr>
        <w:t>.</w:t>
      </w:r>
      <w:r>
        <w:rPr>
          <w:snapToGrid w:val="0"/>
        </w:rPr>
        <w:tab/>
        <w:t>Reconsidering determinations</w:t>
      </w:r>
      <w:bookmarkEnd w:id="471"/>
    </w:p>
    <w:p>
      <w:pPr>
        <w:pStyle w:val="Subsection"/>
        <w:spacing w:before="130"/>
        <w:rPr>
          <w:snapToGrid w:val="0"/>
        </w:rPr>
      </w:pPr>
      <w:r>
        <w:rPr>
          <w:snapToGrid w:val="0"/>
        </w:rPr>
        <w:tab/>
        <w:t>(1)</w:t>
      </w:r>
      <w:r>
        <w:rPr>
          <w:snapToGrid w:val="0"/>
        </w:rPr>
        <w:tab/>
        <w:t xml:space="preserve">If at least 60 days after the determination is made a person who is affected by the determination satisfies the </w:t>
      </w:r>
      <w:r>
        <w:t>relevant authority</w:t>
      </w:r>
      <w:r>
        <w:rPr>
          <w:snapToGrid w:val="0"/>
        </w:rPr>
        <w:t xml:space="preserve"> that there is any new evidence that could not have been submitted to the panel and would be likely to affect the determination of the question if it were to be reconsidered by the panel the </w:t>
      </w:r>
      <w:r>
        <w:t>relevant authority</w:t>
      </w:r>
      <w:r>
        <w:rPr>
          <w:snapToGrid w:val="0"/>
        </w:rPr>
        <w:t xml:space="preserve"> may again refer the question to the panel.</w:t>
      </w:r>
    </w:p>
    <w:p>
      <w:pPr>
        <w:pStyle w:val="Subsection"/>
        <w:spacing w:before="130"/>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spacing w:before="130"/>
        <w:rPr>
          <w:snapToGrid w:val="0"/>
        </w:rPr>
      </w:pPr>
      <w:r>
        <w:rPr>
          <w:snapToGrid w:val="0"/>
        </w:rPr>
        <w:tab/>
        <w:t>(3)</w:t>
      </w:r>
      <w:r>
        <w:rPr>
          <w:snapToGrid w:val="0"/>
        </w:rPr>
        <w:tab/>
        <w:t>The panel may vary its previous determination or rescind it and make a new determination.</w:t>
      </w:r>
    </w:p>
    <w:p>
      <w:pPr>
        <w:pStyle w:val="Subsection"/>
        <w:spacing w:before="130"/>
        <w:rPr>
          <w:snapToGrid w:val="0"/>
        </w:rPr>
      </w:pPr>
      <w:r>
        <w:rPr>
          <w:snapToGrid w:val="0"/>
        </w:rPr>
        <w:tab/>
        <w:t>(4)</w:t>
      </w:r>
      <w:r>
        <w:rPr>
          <w:snapToGrid w:val="0"/>
        </w:rPr>
        <w:tab/>
        <w:t>Sections 145D and 145E and this section also apply in relation to a determination under this section.</w:t>
      </w:r>
    </w:p>
    <w:p>
      <w:pPr>
        <w:pStyle w:val="Footnotesection"/>
        <w:spacing w:before="100"/>
        <w:ind w:left="890" w:hanging="890"/>
      </w:pPr>
      <w:r>
        <w:tab/>
        <w:t>[Section 145F inserted: No. 48 of 1993 s. 25; amended: No. 31 of 2011 s. 37.]</w:t>
      </w:r>
    </w:p>
    <w:p>
      <w:pPr>
        <w:pStyle w:val="Heading5"/>
        <w:spacing w:before="200"/>
        <w:rPr>
          <w:snapToGrid w:val="0"/>
        </w:rPr>
      </w:pPr>
      <w:bookmarkStart w:id="472" w:name="_Toc131514486"/>
      <w:r>
        <w:rPr>
          <w:rStyle w:val="CharSectno"/>
        </w:rPr>
        <w:t>145G</w:t>
      </w:r>
      <w:r>
        <w:rPr>
          <w:snapToGrid w:val="0"/>
        </w:rPr>
        <w:t>.</w:t>
      </w:r>
      <w:r>
        <w:rPr>
          <w:snapToGrid w:val="0"/>
        </w:rPr>
        <w:tab/>
        <w:t>Remuneration</w:t>
      </w:r>
      <w:bookmarkEnd w:id="472"/>
    </w:p>
    <w:p>
      <w:pPr>
        <w:pStyle w:val="Subsection"/>
        <w:spacing w:before="140"/>
        <w:rPr>
          <w:snapToGrid w:val="0"/>
        </w:rPr>
      </w:pPr>
      <w:r>
        <w:rPr>
          <w:snapToGrid w:val="0"/>
        </w:rPr>
        <w:tab/>
        <w:t>(1)</w:t>
      </w:r>
      <w:r>
        <w:rPr>
          <w:snapToGrid w:val="0"/>
        </w:rPr>
        <w:tab/>
        <w:t>A member of a medical assessment panel is entitled to such fees and allowances as may be determined by the Minister.</w:t>
      </w:r>
    </w:p>
    <w:p>
      <w:pPr>
        <w:pStyle w:val="Subsection"/>
        <w:spacing w:before="140"/>
        <w:rPr>
          <w:snapToGrid w:val="0"/>
        </w:rPr>
      </w:pPr>
      <w:r>
        <w:rPr>
          <w:snapToGrid w:val="0"/>
        </w:rPr>
        <w:tab/>
        <w:t>(2)</w:t>
      </w:r>
      <w:r>
        <w:rPr>
          <w:snapToGrid w:val="0"/>
        </w:rPr>
        <w:tab/>
        <w:t xml:space="preserve">The fees and allowances mentioned in subsection (1) shall be paid by </w:t>
      </w:r>
      <w:r>
        <w:t>WorkCover WA</w:t>
      </w:r>
      <w:r>
        <w:rPr>
          <w:snapToGrid w:val="0"/>
        </w:rPr>
        <w:t xml:space="preserve"> from moneys standing to the credit of the General</w:t>
      </w:r>
      <w:r>
        <w:t xml:space="preserve"> Account</w:t>
      </w:r>
      <w:r>
        <w:rPr>
          <w:snapToGrid w:val="0"/>
        </w:rPr>
        <w:t>.</w:t>
      </w:r>
    </w:p>
    <w:p>
      <w:pPr>
        <w:pStyle w:val="Footnotesection"/>
        <w:spacing w:before="100"/>
        <w:ind w:left="890" w:hanging="890"/>
      </w:pPr>
      <w:r>
        <w:tab/>
        <w:t>[Section 145G inserted: No. 48 of 1993 s. 25; amended: No. 49 of 1996 s. 64; No. 42 of 2004 s. 150; No. 77 of 2006 Sch. 1 cl. 189(9).]</w:t>
      </w:r>
    </w:p>
    <w:p>
      <w:pPr>
        <w:pStyle w:val="Heading3"/>
      </w:pPr>
      <w:bookmarkStart w:id="473" w:name="_Toc100238510"/>
      <w:bookmarkStart w:id="474" w:name="_Toc100239124"/>
      <w:bookmarkStart w:id="475" w:name="_Toc100562418"/>
      <w:bookmarkStart w:id="476" w:name="_Toc107310054"/>
      <w:bookmarkStart w:id="477" w:name="_Toc107479908"/>
      <w:bookmarkStart w:id="478" w:name="_Toc131501274"/>
      <w:bookmarkStart w:id="479" w:name="_Toc131501891"/>
      <w:bookmarkStart w:id="480" w:name="_Toc131514487"/>
      <w:r>
        <w:rPr>
          <w:rStyle w:val="CharDivNo"/>
        </w:rPr>
        <w:lastRenderedPageBreak/>
        <w:t>Division 2</w:t>
      </w:r>
      <w:r>
        <w:t> — </w:t>
      </w:r>
      <w:r>
        <w:rPr>
          <w:rStyle w:val="CharDivText"/>
        </w:rPr>
        <w:t>Assessing degree of impairment</w:t>
      </w:r>
      <w:bookmarkEnd w:id="473"/>
      <w:bookmarkEnd w:id="474"/>
      <w:bookmarkEnd w:id="475"/>
      <w:bookmarkEnd w:id="476"/>
      <w:bookmarkEnd w:id="477"/>
      <w:bookmarkEnd w:id="478"/>
      <w:bookmarkEnd w:id="479"/>
      <w:bookmarkEnd w:id="480"/>
    </w:p>
    <w:p>
      <w:pPr>
        <w:pStyle w:val="Footnoteheading"/>
        <w:spacing w:before="100"/>
      </w:pPr>
      <w:r>
        <w:tab/>
        <w:t>[Heading inserted: No. 42 of 2004 s. 109.]</w:t>
      </w:r>
    </w:p>
    <w:p>
      <w:pPr>
        <w:pStyle w:val="Heading5"/>
      </w:pPr>
      <w:bookmarkStart w:id="481" w:name="_Toc131514488"/>
      <w:r>
        <w:rPr>
          <w:rStyle w:val="CharSectno"/>
        </w:rPr>
        <w:t>146</w:t>
      </w:r>
      <w:r>
        <w:t>.</w:t>
      </w:r>
      <w:r>
        <w:tab/>
        <w:t>Terms used</w:t>
      </w:r>
      <w:bookmarkEnd w:id="481"/>
    </w:p>
    <w:p>
      <w:pPr>
        <w:pStyle w:val="Subsection"/>
        <w:spacing w:before="140"/>
      </w:pPr>
      <w:r>
        <w:tab/>
      </w:r>
      <w:r>
        <w:tab/>
        <w:t>In this Part —</w:t>
      </w:r>
    </w:p>
    <w:p>
      <w:pPr>
        <w:pStyle w:val="Defstart"/>
      </w:pPr>
      <w:r>
        <w:rPr>
          <w:b/>
        </w:rPr>
        <w:tab/>
      </w:r>
      <w:r>
        <w:rPr>
          <w:rStyle w:val="CharDefText"/>
        </w:rPr>
        <w:t>degree of impairment</w:t>
      </w:r>
      <w:r>
        <w:t>, in relation to a worker, means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r>
      <w:r>
        <w:rPr>
          <w:rStyle w:val="CharDefText"/>
        </w:rPr>
        <w:t>secondary condition</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No. 42 of 2004 s. 109.]</w:t>
      </w:r>
    </w:p>
    <w:p>
      <w:pPr>
        <w:pStyle w:val="Heading5"/>
      </w:pPr>
      <w:bookmarkStart w:id="482" w:name="_Toc131514489"/>
      <w:r>
        <w:rPr>
          <w:rStyle w:val="CharSectno"/>
        </w:rPr>
        <w:t>146A</w:t>
      </w:r>
      <w:r>
        <w:t>.</w:t>
      </w:r>
      <w:r>
        <w:tab/>
        <w:t>Evaluating degree of impairment generally</w:t>
      </w:r>
      <w:bookmarkEnd w:id="482"/>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lastRenderedPageBreak/>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r>
        <w:tab/>
        <w:t>[Section 146A inserted: No. 42 of 2004 s. 109.]</w:t>
      </w:r>
    </w:p>
    <w:p>
      <w:pPr>
        <w:pStyle w:val="Heading5"/>
      </w:pPr>
      <w:bookmarkStart w:id="483" w:name="_Toc131514490"/>
      <w:r>
        <w:rPr>
          <w:rStyle w:val="CharSectno"/>
        </w:rPr>
        <w:t>146B</w:t>
      </w:r>
      <w:r>
        <w:t>.</w:t>
      </w:r>
      <w:r>
        <w:tab/>
        <w:t>Evaluating degree of impairment for Part III Div. 2A</w:t>
      </w:r>
      <w:bookmarkEnd w:id="483"/>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r>
        <w:tab/>
        <w:t>[Section 146B inserted: No. 42 of 2004 s. 109.]</w:t>
      </w:r>
    </w:p>
    <w:p>
      <w:pPr>
        <w:pStyle w:val="Heading5"/>
      </w:pPr>
      <w:bookmarkStart w:id="484" w:name="_Toc131514491"/>
      <w:r>
        <w:rPr>
          <w:rStyle w:val="CharSectno"/>
        </w:rPr>
        <w:t>146C</w:t>
      </w:r>
      <w:r>
        <w:t>.</w:t>
      </w:r>
      <w:r>
        <w:tab/>
        <w:t>Evaluating degree of impairment for Part IV Div. 2 Subdiv. 3</w:t>
      </w:r>
      <w:bookmarkEnd w:id="484"/>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In subsection (2) —</w:t>
      </w:r>
    </w:p>
    <w:p>
      <w:pPr>
        <w:pStyle w:val="Defstart"/>
      </w:pPr>
      <w:r>
        <w:rPr>
          <w:b/>
        </w:rPr>
        <w:tab/>
      </w:r>
      <w:r>
        <w:rPr>
          <w:rStyle w:val="CharDefText"/>
        </w:rPr>
        <w:t>normal evaluation</w:t>
      </w:r>
      <w:r>
        <w:t xml:space="preserve"> means an evaluation that is not a special evaluation as defined in subsection (4).</w:t>
      </w:r>
    </w:p>
    <w:p>
      <w:pPr>
        <w:pStyle w:val="Subsection"/>
      </w:pPr>
      <w:r>
        <w:lastRenderedPageBreak/>
        <w:tab/>
        <w:t>(4)</w:t>
      </w:r>
      <w:r>
        <w:tab/>
        <w:t xml:space="preserve">If this Act provides for a special evaluation of the worker’s degree of permanent whole of person impairment to be made in accordance with this section, the evaluation (a </w:t>
      </w:r>
      <w:r>
        <w:rPr>
          <w:rStyle w:val="CharDefText"/>
        </w:rPr>
        <w:t>special evaluation</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r>
        <w:tab/>
        <w:t>[Section 146C inserted: No. 42 of 2004 s. 109.]</w:t>
      </w:r>
    </w:p>
    <w:p>
      <w:pPr>
        <w:pStyle w:val="Heading5"/>
        <w:spacing w:before="240"/>
      </w:pPr>
      <w:bookmarkStart w:id="485" w:name="_Toc131514492"/>
      <w:r>
        <w:rPr>
          <w:rStyle w:val="CharSectno"/>
        </w:rPr>
        <w:t>146D</w:t>
      </w:r>
      <w:r>
        <w:t>.</w:t>
      </w:r>
      <w:r>
        <w:tab/>
        <w:t>Evaluating degree of impairment for Part IXA</w:t>
      </w:r>
      <w:bookmarkEnd w:id="485"/>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lastRenderedPageBreak/>
        <w:tab/>
        <w:t>(3)</w:t>
      </w:r>
      <w:r>
        <w:tab/>
        <w:t>In evaluating the degree of permanent whole of person impairment of the worker, any secondary condition is to be disregarded.</w:t>
      </w:r>
    </w:p>
    <w:p>
      <w:pPr>
        <w:pStyle w:val="Footnotesection"/>
      </w:pPr>
      <w:r>
        <w:tab/>
        <w:t>[Section 146D inserted: No. 42 of 2004 s. 109.]</w:t>
      </w:r>
    </w:p>
    <w:p>
      <w:pPr>
        <w:pStyle w:val="Heading5"/>
        <w:spacing w:before="240"/>
      </w:pPr>
      <w:bookmarkStart w:id="486" w:name="_Toc131514493"/>
      <w:r>
        <w:rPr>
          <w:rStyle w:val="CharSectno"/>
        </w:rPr>
        <w:t>146E</w:t>
      </w:r>
      <w:r>
        <w:t>.</w:t>
      </w:r>
      <w:r>
        <w:tab/>
        <w:t>Evaluating degree of impairment for cl. 18A</w:t>
      </w:r>
      <w:bookmarkEnd w:id="486"/>
    </w:p>
    <w:p>
      <w:pPr>
        <w:pStyle w:val="Subsection"/>
      </w:pPr>
      <w:r>
        <w:tab/>
        <w:t>(1)</w:t>
      </w:r>
      <w:r>
        <w:tab/>
        <w:t>This section applies to an evaluation of a worker’s degree of permanent whole of person impairment for the purposes of clause 18A.</w:t>
      </w:r>
    </w:p>
    <w:p>
      <w:pPr>
        <w:pStyle w:val="Subsection"/>
        <w:keepNext/>
      </w:pPr>
      <w:r>
        <w:tab/>
        <w:t>(2)</w:t>
      </w:r>
      <w:r>
        <w:tab/>
        <w:t xml:space="preserve">The evaluation (a </w:t>
      </w:r>
      <w:r>
        <w:rPr>
          <w:rStyle w:val="CharDefText"/>
        </w:rPr>
        <w:t>special evaluation</w:t>
      </w:r>
      <w:r>
        <w:t>) is to be made even if the worker’s condition has not stabilised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r>
        <w:tab/>
        <w:t>[Section 146E inserted: No. 42 of 2004 s. 109.]</w:t>
      </w:r>
    </w:p>
    <w:p>
      <w:pPr>
        <w:pStyle w:val="Heading5"/>
      </w:pPr>
      <w:bookmarkStart w:id="487" w:name="_Toc131514494"/>
      <w:r>
        <w:rPr>
          <w:rStyle w:val="CharSectno"/>
        </w:rPr>
        <w:t>146F</w:t>
      </w:r>
      <w:r>
        <w:t>.</w:t>
      </w:r>
      <w:r>
        <w:tab/>
        <w:t>Approved medical specialists, designation of</w:t>
      </w:r>
      <w:bookmarkEnd w:id="487"/>
    </w:p>
    <w:p>
      <w:pPr>
        <w:pStyle w:val="Subsection"/>
      </w:pPr>
      <w:r>
        <w:tab/>
        <w:t>(1)</w:t>
      </w:r>
      <w:r>
        <w:tab/>
        <w:t xml:space="preserve">WorkCover WA may, by order published in the </w:t>
      </w:r>
      <w:r>
        <w:rPr>
          <w:i/>
        </w:rPr>
        <w:t>Gazette</w:t>
      </w:r>
      <w:r>
        <w:t>, designate a person as an approved medical specialist if the person is a medical practitioner who in WorkCover WA’s opinion, is sufficiently trained in the use of the WorkCover Guides and otherwise satisfies criteria for designation as an approved medical specialist that WorkCover WA for the time being applies.</w:t>
      </w:r>
    </w:p>
    <w:p>
      <w:pPr>
        <w:pStyle w:val="Subsection"/>
      </w:pPr>
      <w:r>
        <w:lastRenderedPageBreak/>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WorkCover WA may require an approved medical specialist to enter into a written agreement with WorkCover WA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The chief executive officer is to keep a register identifying persons who have been designated as approved medical specialists showing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chief executive officer is to make the register available for inspection at any reasonable time by any member of the public.</w:t>
      </w:r>
    </w:p>
    <w:p>
      <w:pPr>
        <w:pStyle w:val="Footnotesection"/>
      </w:pPr>
      <w:r>
        <w:tab/>
        <w:t>[Section 146F inserted: No. 42 of 2004 s. 109; amended: No. 31 of 2011 s. 38.]</w:t>
      </w:r>
    </w:p>
    <w:p>
      <w:pPr>
        <w:pStyle w:val="Heading5"/>
      </w:pPr>
      <w:bookmarkStart w:id="488" w:name="_Toc131514495"/>
      <w:r>
        <w:rPr>
          <w:rStyle w:val="CharSectno"/>
        </w:rPr>
        <w:t>146G</w:t>
      </w:r>
      <w:r>
        <w:t>.</w:t>
      </w:r>
      <w:r>
        <w:tab/>
        <w:t>Approved medical specialist, powers of</w:t>
      </w:r>
      <w:bookmarkEnd w:id="488"/>
    </w:p>
    <w:p>
      <w:pPr>
        <w:pStyle w:val="Subsection"/>
      </w:pPr>
      <w:r>
        <w:tab/>
        <w:t>(1)</w:t>
      </w:r>
      <w:r>
        <w:tab/>
        <w:t>On being requested to assess a worker’s degree of impairment, an approved medical specialist may —</w:t>
      </w:r>
    </w:p>
    <w:p>
      <w:pPr>
        <w:pStyle w:val="Indenta"/>
        <w:spacing w:before="70"/>
      </w:pPr>
      <w:r>
        <w:tab/>
        <w:t>(a)</w:t>
      </w:r>
      <w:r>
        <w:tab/>
        <w:t>in accordance with the regulations, require the worker to attend at a place specified by the approved medical specialist;</w:t>
      </w:r>
    </w:p>
    <w:p>
      <w:pPr>
        <w:pStyle w:val="Indenta"/>
        <w:spacing w:before="70"/>
      </w:pPr>
      <w:r>
        <w:lastRenderedPageBreak/>
        <w:tab/>
        <w:t>(b)</w:t>
      </w:r>
      <w:r>
        <w:tab/>
        <w:t>require the worker to answer any question about the injury;</w:t>
      </w:r>
    </w:p>
    <w:p>
      <w:pPr>
        <w:pStyle w:val="Indenta"/>
        <w:spacing w:before="70"/>
      </w:pPr>
      <w:r>
        <w:tab/>
        <w:t>(c)</w:t>
      </w:r>
      <w:r>
        <w:tab/>
        <w:t>in accordance with the regulations, require the worker, the employer, or the employer’s insurer to —</w:t>
      </w:r>
    </w:p>
    <w:p>
      <w:pPr>
        <w:pStyle w:val="Indenti"/>
        <w:spacing w:before="70"/>
      </w:pPr>
      <w:r>
        <w:tab/>
        <w:t>(i)</w:t>
      </w:r>
      <w:r>
        <w:tab/>
        <w:t>produce to the approved medical specialist any relevant document or information; or</w:t>
      </w:r>
    </w:p>
    <w:p>
      <w:pPr>
        <w:pStyle w:val="Indenti"/>
        <w:spacing w:before="70"/>
      </w:pPr>
      <w:r>
        <w:tab/>
        <w:t>(ii)</w:t>
      </w:r>
      <w:r>
        <w:tab/>
        <w:t>consent to another person who has any relevant document or information producing it to the approved medical specialist;</w:t>
      </w:r>
    </w:p>
    <w:p>
      <w:pPr>
        <w:pStyle w:val="Indenta"/>
        <w:spacing w:before="70"/>
      </w:pPr>
      <w:r>
        <w:tab/>
        <w:t>(d)</w:t>
      </w:r>
      <w:r>
        <w:tab/>
        <w:t>require the worker to submit to examination by, or as requested by, the approved medical specialist.</w:t>
      </w:r>
    </w:p>
    <w:p>
      <w:pPr>
        <w:pStyle w:val="Subsection"/>
        <w:keepNext/>
      </w:pPr>
      <w:r>
        <w:tab/>
        <w:t>(2)</w:t>
      </w:r>
      <w:r>
        <w:tab/>
        <w:t>Regulations may be made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r>
        <w:tab/>
        <w:t>[Section 146G inserted: No. 42 of 2004 s. 109.]</w:t>
      </w:r>
    </w:p>
    <w:p>
      <w:pPr>
        <w:pStyle w:val="Heading5"/>
        <w:spacing w:before="1000"/>
      </w:pPr>
      <w:bookmarkStart w:id="489" w:name="_Toc131514496"/>
      <w:r>
        <w:rPr>
          <w:rStyle w:val="CharSectno"/>
        </w:rPr>
        <w:lastRenderedPageBreak/>
        <w:t>146H</w:t>
      </w:r>
      <w:r>
        <w:t>.</w:t>
      </w:r>
      <w:r>
        <w:tab/>
        <w:t>Approved medical specialist, duties of after making assessment</w:t>
      </w:r>
      <w:bookmarkEnd w:id="489"/>
    </w:p>
    <w:p>
      <w:pPr>
        <w:pStyle w:val="Subsection"/>
      </w:pPr>
      <w:r>
        <w:tab/>
        <w:t>(1)</w:t>
      </w:r>
      <w:r>
        <w:tab/>
        <w:t>An approved medical specialist making an assessment for the purposes of Part III Division 2A, Part IV Division 2 Subdivision 3, Part IXA or clause 18A is required to give to each of the worker and the employer,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keepNext/>
      </w:pPr>
      <w:r>
        <w:tab/>
        <w:t>(2)</w:t>
      </w:r>
      <w:r>
        <w:tab/>
        <w:t>An approved medical specialist giving a certificate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is required to give to each of the worker and the employer, in writing in accordance with the regulations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A certificate for the purposes of —</w:t>
      </w:r>
    </w:p>
    <w:p>
      <w:pPr>
        <w:pStyle w:val="Indenta"/>
      </w:pPr>
      <w:r>
        <w:tab/>
        <w:t>(a)</w:t>
      </w:r>
      <w:r>
        <w:tab/>
        <w:t>Part III Division 2A; or</w:t>
      </w:r>
    </w:p>
    <w:p>
      <w:pPr>
        <w:pStyle w:val="Indenta"/>
      </w:pPr>
      <w:r>
        <w:tab/>
        <w:t>(b)</w:t>
      </w:r>
      <w:r>
        <w:tab/>
        <w:t>Part IV Division 2 Subdivision 3; or</w:t>
      </w:r>
    </w:p>
    <w:p>
      <w:pPr>
        <w:pStyle w:val="Indenta"/>
      </w:pPr>
      <w:r>
        <w:tab/>
        <w:t>(c)</w:t>
      </w:r>
      <w:r>
        <w:tab/>
        <w:t>Part IXA; or</w:t>
      </w:r>
    </w:p>
    <w:p>
      <w:pPr>
        <w:pStyle w:val="Indenta"/>
      </w:pPr>
      <w:r>
        <w:lastRenderedPageBreak/>
        <w:tab/>
        <w:t>(d)</w:t>
      </w:r>
      <w:r>
        <w:tab/>
        <w:t>clause 18A,</w:t>
      </w:r>
    </w:p>
    <w:p>
      <w:pPr>
        <w:pStyle w:val="Subsection"/>
      </w:pPr>
      <w:r>
        <w:tab/>
      </w:r>
      <w:r>
        <w:tab/>
        <w:t>is to specify the provisions for the purposes of which it is made.</w:t>
      </w:r>
    </w:p>
    <w:p>
      <w:pPr>
        <w:pStyle w:val="Ednotesubsection"/>
      </w:pPr>
      <w:r>
        <w:tab/>
        <w:t>[(4)</w:t>
      </w:r>
      <w:r>
        <w:tab/>
        <w:t>deleted]</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r>
        <w:tab/>
        <w:t>[Section 146H inserted: No. 42 of 2004 s. 109; amended: No. 16 of 2005 s. 18; No. 31 of 2011 s. 100.]</w:t>
      </w:r>
    </w:p>
    <w:p>
      <w:pPr>
        <w:pStyle w:val="Heading5"/>
      </w:pPr>
      <w:bookmarkStart w:id="490" w:name="_Toc131514497"/>
      <w:r>
        <w:rPr>
          <w:rStyle w:val="CharSectno"/>
        </w:rPr>
        <w:t>146I</w:t>
      </w:r>
      <w:r>
        <w:t>.</w:t>
      </w:r>
      <w:r>
        <w:tab/>
        <w:t>WorkCover WA may give approved medical specialist information about worker</w:t>
      </w:r>
      <w:bookmarkEnd w:id="490"/>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spacing w:before="100"/>
        <w:ind w:left="890" w:hanging="890"/>
      </w:pPr>
      <w:r>
        <w:tab/>
        <w:t>[Section 146I inserted: No. 42 of 2004 s. 109.]</w:t>
      </w:r>
    </w:p>
    <w:p>
      <w:pPr>
        <w:pStyle w:val="Heading5"/>
      </w:pPr>
      <w:bookmarkStart w:id="491" w:name="_Toc131514498"/>
      <w:r>
        <w:rPr>
          <w:rStyle w:val="CharSectno"/>
        </w:rPr>
        <w:t>146J</w:t>
      </w:r>
      <w:r>
        <w:t>.</w:t>
      </w:r>
      <w:r>
        <w:tab/>
        <w:t>Decisions of approved medical specialist not reviewable</w:t>
      </w:r>
      <w:bookmarkEnd w:id="491"/>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In subsection (1) —</w:t>
      </w:r>
    </w:p>
    <w:p>
      <w:pPr>
        <w:pStyle w:val="Defstart"/>
      </w:pPr>
      <w:r>
        <w:rPr>
          <w:b/>
        </w:rPr>
        <w:tab/>
      </w:r>
      <w:r>
        <w:rPr>
          <w:rStyle w:val="CharDefText"/>
        </w:rPr>
        <w:t>decision of an approved medical specialist</w:t>
      </w:r>
      <w:r>
        <w:t xml:space="preserve"> means an opinion, assessment, or other decision of an approved medical specialist that is relevant to the operation of Part III Division 2A, Part IV Division 2, Part IXA or clause 18A.</w:t>
      </w:r>
    </w:p>
    <w:p>
      <w:pPr>
        <w:pStyle w:val="Footnotesection"/>
        <w:spacing w:before="100"/>
        <w:ind w:left="890" w:hanging="890"/>
      </w:pPr>
      <w:r>
        <w:tab/>
        <w:t>[Section 146J inserted: No. 42 of 2004 s. 109.]</w:t>
      </w:r>
    </w:p>
    <w:p>
      <w:pPr>
        <w:pStyle w:val="Heading3"/>
      </w:pPr>
      <w:bookmarkStart w:id="492" w:name="_Toc100238522"/>
      <w:bookmarkStart w:id="493" w:name="_Toc100239136"/>
      <w:bookmarkStart w:id="494" w:name="_Toc100562430"/>
      <w:bookmarkStart w:id="495" w:name="_Toc107310066"/>
      <w:bookmarkStart w:id="496" w:name="_Toc107479920"/>
      <w:bookmarkStart w:id="497" w:name="_Toc131501286"/>
      <w:bookmarkStart w:id="498" w:name="_Toc131501903"/>
      <w:bookmarkStart w:id="499" w:name="_Toc131514499"/>
      <w:r>
        <w:rPr>
          <w:rStyle w:val="CharDivNo"/>
        </w:rPr>
        <w:lastRenderedPageBreak/>
        <w:t>Division 3</w:t>
      </w:r>
      <w:r>
        <w:t> — </w:t>
      </w:r>
      <w:r>
        <w:rPr>
          <w:rStyle w:val="CharDivText"/>
        </w:rPr>
        <w:t>Approved medical specialist panels</w:t>
      </w:r>
      <w:bookmarkEnd w:id="492"/>
      <w:bookmarkEnd w:id="493"/>
      <w:bookmarkEnd w:id="494"/>
      <w:bookmarkEnd w:id="495"/>
      <w:bookmarkEnd w:id="496"/>
      <w:bookmarkEnd w:id="497"/>
      <w:bookmarkEnd w:id="498"/>
      <w:bookmarkEnd w:id="499"/>
    </w:p>
    <w:p>
      <w:pPr>
        <w:pStyle w:val="Footnoteheading"/>
        <w:spacing w:before="100"/>
      </w:pPr>
      <w:r>
        <w:tab/>
        <w:t>[Heading inserted: No. 42 of 2004 s. 109.]</w:t>
      </w:r>
    </w:p>
    <w:p>
      <w:pPr>
        <w:pStyle w:val="Heading5"/>
      </w:pPr>
      <w:bookmarkStart w:id="500" w:name="_Toc131514500"/>
      <w:r>
        <w:rPr>
          <w:rStyle w:val="CharSectno"/>
        </w:rPr>
        <w:t>146K</w:t>
      </w:r>
      <w:r>
        <w:t>.</w:t>
      </w:r>
      <w:r>
        <w:tab/>
        <w:t>Constituting panels</w:t>
      </w:r>
      <w:bookmarkEnd w:id="500"/>
    </w:p>
    <w:p>
      <w:pPr>
        <w:pStyle w:val="Subsection"/>
      </w:pPr>
      <w:r>
        <w:tab/>
        <w:t>(1)</w:t>
      </w:r>
      <w:r>
        <w:tab/>
        <w:t>On a question being referred under section 31D(4), 158C(2)(b) or clause 18C for assessment by an approved medical specialist panel, the Registrar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If a referral is made to an approved medical specialist panel, WorkCover WA may, with the consent of the worker, disclose to the panel any information that it has in relation to the worker that may be relevant to the assessment.</w:t>
      </w:r>
    </w:p>
    <w:p>
      <w:pPr>
        <w:pStyle w:val="Footnotesection"/>
      </w:pPr>
      <w:r>
        <w:tab/>
        <w:t>[Section 146K inserted: No. 42 of 2004 s. 109; amended: No. 31 of 2011 s. 75.]</w:t>
      </w:r>
    </w:p>
    <w:p>
      <w:pPr>
        <w:pStyle w:val="Heading5"/>
        <w:spacing w:before="180"/>
      </w:pPr>
      <w:bookmarkStart w:id="501" w:name="_Toc131514501"/>
      <w:r>
        <w:rPr>
          <w:rStyle w:val="CharSectno"/>
        </w:rPr>
        <w:t>146L</w:t>
      </w:r>
      <w:r>
        <w:t>.</w:t>
      </w:r>
      <w:r>
        <w:tab/>
        <w:t>Procedure and powers of panels</w:t>
      </w:r>
      <w:bookmarkEnd w:id="501"/>
    </w:p>
    <w:p>
      <w:pPr>
        <w:pStyle w:val="Subsection"/>
        <w:spacing w:before="120"/>
      </w:pPr>
      <w:r>
        <w:tab/>
        <w:t>(1)</w:t>
      </w:r>
      <w:r>
        <w:tab/>
        <w:t>In assessing the degree of impairment the approved medical specialist panel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On being referred a question as to a worker’s degree of impairment, an approved medical specialist panel may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lastRenderedPageBreak/>
        <w:tab/>
        <w:t>(c)</w:t>
      </w:r>
      <w:r>
        <w:tab/>
        <w:t>in accordance with the regulations, require the worker, the employer, or the employer’s insurer to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Regulations may be made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r>
        <w:tab/>
        <w:t>[Section 146L inserted: No. 42 of 2004 s. 109.]</w:t>
      </w:r>
    </w:p>
    <w:p>
      <w:pPr>
        <w:pStyle w:val="Heading5"/>
      </w:pPr>
      <w:bookmarkStart w:id="502" w:name="_Toc131514502"/>
      <w:r>
        <w:rPr>
          <w:rStyle w:val="CharSectno"/>
        </w:rPr>
        <w:lastRenderedPageBreak/>
        <w:t>146M</w:t>
      </w:r>
      <w:r>
        <w:t>.</w:t>
      </w:r>
      <w:r>
        <w:tab/>
        <w:t>Failure to comply with requirement of panel</w:t>
      </w:r>
      <w:bookmarkEnd w:id="502"/>
    </w:p>
    <w:p>
      <w:pPr>
        <w:pStyle w:val="Subsection"/>
      </w:pPr>
      <w:r>
        <w:tab/>
        <w:t>(1)</w:t>
      </w:r>
      <w:r>
        <w:tab/>
        <w:t>If a worker —</w:t>
      </w:r>
    </w:p>
    <w:p>
      <w:pPr>
        <w:pStyle w:val="Indenta"/>
      </w:pPr>
      <w:r>
        <w:tab/>
        <w:t>(a)</w:t>
      </w:r>
      <w:r>
        <w:tab/>
        <w:t>fails to comply with a requirement made by an approved medical specialist panel under section 146L(2)(a), (b) or (c); or</w:t>
      </w:r>
    </w:p>
    <w:p>
      <w:pPr>
        <w:pStyle w:val="Indenta"/>
      </w:pPr>
      <w:r>
        <w:tab/>
        <w:t>(b)</w:t>
      </w:r>
      <w:r>
        <w:tab/>
        <w:t>on being required to submit to examination by the panel refuses or fails to do so or in any way obstructs the examination,</w:t>
      </w:r>
    </w:p>
    <w:p>
      <w:pPr>
        <w:pStyle w:val="Subsection"/>
      </w:pPr>
      <w:r>
        <w:tab/>
      </w:r>
      <w:r>
        <w:tab/>
        <w:t>the Registrar may issue a certificate to that effect and upon the issue of that certificate the making of an assessment of the worker’s degree of impairment is suspended until the Registrar certifies that the suspension is removed.</w:t>
      </w:r>
    </w:p>
    <w:p>
      <w:pPr>
        <w:pStyle w:val="Subsection"/>
      </w:pPr>
      <w:r>
        <w:tab/>
        <w:t>(2)</w:t>
      </w:r>
      <w:r>
        <w:tab/>
        <w:t>The Registrar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r>
        <w:tab/>
        <w:t>[Section 146M inserted: No. 42 of 2004 s. 109; amended: No. 31 of 2011 s. 39.]</w:t>
      </w:r>
    </w:p>
    <w:p>
      <w:pPr>
        <w:pStyle w:val="Heading5"/>
      </w:pPr>
      <w:bookmarkStart w:id="503" w:name="_Toc131514503"/>
      <w:r>
        <w:rPr>
          <w:rStyle w:val="CharSectno"/>
        </w:rPr>
        <w:t>146N</w:t>
      </w:r>
      <w:r>
        <w:t>.</w:t>
      </w:r>
      <w:r>
        <w:tab/>
        <w:t>How panel to assess degree of impairment</w:t>
      </w:r>
      <w:bookmarkEnd w:id="503"/>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r>
        <w:tab/>
        <w:t>[Section 146N inserted: No. 42 of 2004 s. 109.]</w:t>
      </w:r>
    </w:p>
    <w:p>
      <w:pPr>
        <w:pStyle w:val="Heading5"/>
      </w:pPr>
      <w:bookmarkStart w:id="504" w:name="_Toc131514504"/>
      <w:r>
        <w:rPr>
          <w:rStyle w:val="CharSectno"/>
        </w:rPr>
        <w:lastRenderedPageBreak/>
        <w:t>146O</w:t>
      </w:r>
      <w:r>
        <w:t>.</w:t>
      </w:r>
      <w:r>
        <w:tab/>
        <w:t>Duties of panel after making assessment</w:t>
      </w:r>
      <w:bookmarkEnd w:id="504"/>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An approved medical specialist panel is required to give to the Registrar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Registrar is to give copies of the report and certificate to the arbitrator who referred the question to the panel, the worker concerned, and the employer of the worker concerned, within 7 days after the day on which the Registrar receives them.</w:t>
      </w:r>
    </w:p>
    <w:p>
      <w:pPr>
        <w:pStyle w:val="Subsection"/>
      </w:pPr>
      <w:r>
        <w:tab/>
        <w:t>(4)</w:t>
      </w:r>
      <w:r>
        <w:tab/>
        <w:t>The assessment is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An assessment of an approved medical specialist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lastRenderedPageBreak/>
        <w:tab/>
        <w:t>(7)</w:t>
      </w:r>
      <w:r>
        <w:tab/>
        <w:t>In subsection (6) —</w:t>
      </w:r>
    </w:p>
    <w:p>
      <w:pPr>
        <w:pStyle w:val="Defstart"/>
      </w:pPr>
      <w:r>
        <w:rPr>
          <w:b/>
        </w:rPr>
        <w:tab/>
      </w:r>
      <w:r>
        <w:rPr>
          <w:rStyle w:val="CharDefText"/>
        </w:rPr>
        <w:t>decision of an approved medical specialist panel</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either of the documents described in subsection (2), the Registrar may reject the document and require the approved medical specialist panel to replace it with a correct document which the Registrar is to give to each of the recipients of the document that contained the error.</w:t>
      </w:r>
    </w:p>
    <w:p>
      <w:pPr>
        <w:pStyle w:val="Footnotesection"/>
      </w:pPr>
      <w:r>
        <w:tab/>
        <w:t>[Section 146O inserted: No. 42 of 2004 s. 109; amended: No. 16 of 2005 s. 19; No. 31 of 2011 s. 75; No. 8 of 2018 s. 15.]</w:t>
      </w:r>
    </w:p>
    <w:p>
      <w:pPr>
        <w:pStyle w:val="Heading5"/>
      </w:pPr>
      <w:bookmarkStart w:id="505" w:name="_Toc131514505"/>
      <w:r>
        <w:rPr>
          <w:rStyle w:val="CharSectno"/>
        </w:rPr>
        <w:t>146P</w:t>
      </w:r>
      <w:r>
        <w:t>.</w:t>
      </w:r>
      <w:r>
        <w:tab/>
        <w:t>No assessment without unanimous agreement</w:t>
      </w:r>
      <w:bookmarkEnd w:id="505"/>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r>
        <w:tab/>
        <w:t>[Section 146P inserted: No. 42 of 2004 s. 109.]</w:t>
      </w:r>
    </w:p>
    <w:p>
      <w:pPr>
        <w:pStyle w:val="Heading5"/>
      </w:pPr>
      <w:bookmarkStart w:id="506" w:name="_Toc131514506"/>
      <w:r>
        <w:rPr>
          <w:rStyle w:val="CharSectno"/>
        </w:rPr>
        <w:t>146Q</w:t>
      </w:r>
      <w:r>
        <w:t>.</w:t>
      </w:r>
      <w:r>
        <w:tab/>
        <w:t>Remuneration</w:t>
      </w:r>
      <w:bookmarkEnd w:id="506"/>
    </w:p>
    <w:p>
      <w:pPr>
        <w:pStyle w:val="Subsection"/>
      </w:pPr>
      <w:r>
        <w:tab/>
        <w:t>(1)</w:t>
      </w:r>
      <w:r>
        <w:tab/>
        <w:t>A member of an approved medical specialist panel is entitled to such fees and allowances as may be determined by the Minister.</w:t>
      </w:r>
    </w:p>
    <w:p>
      <w:pPr>
        <w:pStyle w:val="Subsection"/>
      </w:pPr>
      <w:r>
        <w:tab/>
        <w:t>(2)</w:t>
      </w:r>
      <w:r>
        <w:tab/>
        <w:t>The fees and allowances mentioned in subsection (1) are to be paid by WorkCover WA from moneys standing to the credit of the General Account.</w:t>
      </w:r>
    </w:p>
    <w:p>
      <w:pPr>
        <w:pStyle w:val="Footnotesection"/>
      </w:pPr>
      <w:r>
        <w:tab/>
        <w:t>[Section 146Q inserted: No. 42 of 2004 s. 109; amended: No. 77 of 2006 Sch. 1 cl. 189(9).]</w:t>
      </w:r>
    </w:p>
    <w:p>
      <w:pPr>
        <w:pStyle w:val="Heading3"/>
        <w:keepLines/>
      </w:pPr>
      <w:bookmarkStart w:id="507" w:name="_Toc100238530"/>
      <w:bookmarkStart w:id="508" w:name="_Toc100239144"/>
      <w:bookmarkStart w:id="509" w:name="_Toc100562438"/>
      <w:bookmarkStart w:id="510" w:name="_Toc107310074"/>
      <w:bookmarkStart w:id="511" w:name="_Toc107479928"/>
      <w:bookmarkStart w:id="512" w:name="_Toc131501294"/>
      <w:bookmarkStart w:id="513" w:name="_Toc131501911"/>
      <w:bookmarkStart w:id="514" w:name="_Toc131514507"/>
      <w:r>
        <w:rPr>
          <w:rStyle w:val="CharDivNo"/>
        </w:rPr>
        <w:lastRenderedPageBreak/>
        <w:t>Division 4</w:t>
      </w:r>
      <w:r>
        <w:t xml:space="preserve"> — </w:t>
      </w:r>
      <w:r>
        <w:rPr>
          <w:rStyle w:val="CharDivText"/>
        </w:rPr>
        <w:t>WorkCover Guides</w:t>
      </w:r>
      <w:bookmarkEnd w:id="507"/>
      <w:bookmarkEnd w:id="508"/>
      <w:bookmarkEnd w:id="509"/>
      <w:bookmarkEnd w:id="510"/>
      <w:bookmarkEnd w:id="511"/>
      <w:bookmarkEnd w:id="512"/>
      <w:bookmarkEnd w:id="513"/>
      <w:bookmarkEnd w:id="514"/>
    </w:p>
    <w:p>
      <w:pPr>
        <w:pStyle w:val="Footnoteheading"/>
        <w:keepNext/>
        <w:keepLines/>
      </w:pPr>
      <w:r>
        <w:tab/>
        <w:t>[Heading inserted: No. 42 of 2004 s. 109.]</w:t>
      </w:r>
    </w:p>
    <w:p>
      <w:pPr>
        <w:pStyle w:val="Heading5"/>
      </w:pPr>
      <w:bookmarkStart w:id="515" w:name="_Toc131514508"/>
      <w:r>
        <w:rPr>
          <w:rStyle w:val="CharSectno"/>
        </w:rPr>
        <w:t>146R</w:t>
      </w:r>
      <w:r>
        <w:t>.</w:t>
      </w:r>
      <w:r>
        <w:tab/>
        <w:t>WorkCover Guides, issue of</w:t>
      </w:r>
      <w:bookmarkEnd w:id="515"/>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No. 42 of 2004 s. 109.]</w:t>
      </w:r>
    </w:p>
    <w:p>
      <w:pPr>
        <w:pStyle w:val="Heading3"/>
      </w:pPr>
      <w:bookmarkStart w:id="516" w:name="_Toc100238532"/>
      <w:bookmarkStart w:id="517" w:name="_Toc100239146"/>
      <w:bookmarkStart w:id="518" w:name="_Toc100562440"/>
      <w:bookmarkStart w:id="519" w:name="_Toc107310076"/>
      <w:bookmarkStart w:id="520" w:name="_Toc107479930"/>
      <w:bookmarkStart w:id="521" w:name="_Toc131501296"/>
      <w:bookmarkStart w:id="522" w:name="_Toc131501913"/>
      <w:bookmarkStart w:id="523" w:name="_Toc131514509"/>
      <w:r>
        <w:rPr>
          <w:rStyle w:val="CharDivNo"/>
        </w:rPr>
        <w:t>Division 5</w:t>
      </w:r>
      <w:r>
        <w:t> — </w:t>
      </w:r>
      <w:r>
        <w:rPr>
          <w:rStyle w:val="CharDivText"/>
        </w:rPr>
        <w:t>Assessment for specialised retraining programs</w:t>
      </w:r>
      <w:bookmarkEnd w:id="516"/>
      <w:bookmarkEnd w:id="517"/>
      <w:bookmarkEnd w:id="518"/>
      <w:bookmarkEnd w:id="519"/>
      <w:bookmarkEnd w:id="520"/>
      <w:bookmarkEnd w:id="521"/>
      <w:bookmarkEnd w:id="522"/>
      <w:bookmarkEnd w:id="523"/>
    </w:p>
    <w:p>
      <w:pPr>
        <w:pStyle w:val="Footnoteheading"/>
      </w:pPr>
      <w:r>
        <w:tab/>
        <w:t>[Heading inserted: No. 42 of 2004 s. 110.]</w:t>
      </w:r>
    </w:p>
    <w:p>
      <w:pPr>
        <w:pStyle w:val="Heading5"/>
      </w:pPr>
      <w:bookmarkStart w:id="524" w:name="_Toc131514510"/>
      <w:r>
        <w:rPr>
          <w:rStyle w:val="CharSectno"/>
        </w:rPr>
        <w:t>146S</w:t>
      </w:r>
      <w:r>
        <w:t>.</w:t>
      </w:r>
      <w:r>
        <w:tab/>
        <w:t>Register of eligible members of specialised retraining assessment panels</w:t>
      </w:r>
      <w:bookmarkEnd w:id="524"/>
    </w:p>
    <w:p>
      <w:pPr>
        <w:pStyle w:val="Subsection"/>
      </w:pPr>
      <w:r>
        <w:tab/>
        <w:t>(1)</w:t>
      </w:r>
      <w:r>
        <w:tab/>
        <w:t>The chief executive officer is to keep a register, with such divisions as the chief executive officer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r>
        <w:tab/>
        <w:t>[Section 146S inserted: No. 42 of 2004 s. 110; amended: No. 31 of 2011 s. 40.]</w:t>
      </w:r>
    </w:p>
    <w:p>
      <w:pPr>
        <w:pStyle w:val="Heading5"/>
      </w:pPr>
      <w:bookmarkStart w:id="525" w:name="_Toc131514511"/>
      <w:r>
        <w:rPr>
          <w:rStyle w:val="CharSectno"/>
        </w:rPr>
        <w:lastRenderedPageBreak/>
        <w:t>146T</w:t>
      </w:r>
      <w:r>
        <w:t>.</w:t>
      </w:r>
      <w:r>
        <w:tab/>
        <w:t>Specialised retraining assessment panel, constituting</w:t>
      </w:r>
      <w:bookmarkEnd w:id="525"/>
    </w:p>
    <w:p>
      <w:pPr>
        <w:pStyle w:val="Subsection"/>
      </w:pPr>
      <w:r>
        <w:tab/>
        <w:t>(1)</w:t>
      </w:r>
      <w:r>
        <w:tab/>
        <w:t>On a question being referred under section 158D(2) for assessment by a specialised retraining assessment panel, the Registrar is to select 3 persons who are registered under section 146S to be the panel that is to make the assessment.</w:t>
      </w:r>
    </w:p>
    <w:p>
      <w:pPr>
        <w:pStyle w:val="Subsection"/>
        <w:spacing w:before="180"/>
      </w:pPr>
      <w:r>
        <w:tab/>
        <w:t>(2)</w:t>
      </w:r>
      <w:r>
        <w:tab/>
        <w:t>Of the members of the panel —</w:t>
      </w:r>
    </w:p>
    <w:p>
      <w:pPr>
        <w:pStyle w:val="Indenta"/>
      </w:pPr>
      <w:r>
        <w:tab/>
        <w:t>(a)</w:t>
      </w:r>
      <w:r>
        <w:tab/>
        <w:t>one is to be an occupational physician who is an approved medical specialist;</w:t>
      </w:r>
    </w:p>
    <w:p>
      <w:pPr>
        <w:pStyle w:val="Indenta"/>
      </w:pPr>
      <w:r>
        <w:tab/>
        <w:t>(b)</w:t>
      </w:r>
      <w:r>
        <w:tab/>
        <w:t>one is to be a person —</w:t>
      </w:r>
    </w:p>
    <w:p>
      <w:pPr>
        <w:pStyle w:val="Indenti"/>
      </w:pPr>
      <w:r>
        <w:tab/>
        <w:t>(i)</w:t>
      </w:r>
      <w:r>
        <w:tab/>
        <w:t>who in the opinion of WorkCover WA, has knowledge of, and experience in, matters relating to the labour market; and</w:t>
      </w:r>
    </w:p>
    <w:p>
      <w:pPr>
        <w:pStyle w:val="Indenti"/>
      </w:pPr>
      <w:r>
        <w:tab/>
        <w:t>(ii)</w:t>
      </w:r>
      <w:r>
        <w:tab/>
        <w:t>who is not an officer of WorkCover WA;</w:t>
      </w:r>
    </w:p>
    <w:p>
      <w:pPr>
        <w:pStyle w:val="Indenta"/>
      </w:pPr>
      <w:r>
        <w:tab/>
        <w:t>(c)</w:t>
      </w:r>
      <w:r>
        <w:tab/>
        <w:t>one is to be an officer of WorkCover WA who is experienced in the review of injury management.</w:t>
      </w:r>
    </w:p>
    <w:p>
      <w:pPr>
        <w:pStyle w:val="Subsection"/>
        <w:spacing w:before="180"/>
      </w:pPr>
      <w:r>
        <w:tab/>
        <w:t>(3)</w:t>
      </w:r>
      <w:r>
        <w:tab/>
        <w:t>A person is not eligible to be a member of the panel if the person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spacing w:before="180"/>
      </w:pPr>
      <w:r>
        <w:tab/>
        <w:t>(4)</w:t>
      </w:r>
      <w:r>
        <w:tab/>
        <w:t>The Registrar is to nominate one of the members of the panel to be its chairman.</w:t>
      </w:r>
    </w:p>
    <w:p>
      <w:pPr>
        <w:pStyle w:val="Footnotesection"/>
      </w:pPr>
      <w:r>
        <w:tab/>
        <w:t>[Section 146T inserted: No. 42 of 2004 s. 110; amended: No. 31 of 2011 s. 75.]</w:t>
      </w:r>
    </w:p>
    <w:p>
      <w:pPr>
        <w:pStyle w:val="Heading5"/>
        <w:spacing w:before="240"/>
      </w:pPr>
      <w:bookmarkStart w:id="526" w:name="_Toc131514512"/>
      <w:r>
        <w:rPr>
          <w:rStyle w:val="CharSectno"/>
        </w:rPr>
        <w:t>146U</w:t>
      </w:r>
      <w:r>
        <w:t>.</w:t>
      </w:r>
      <w:r>
        <w:tab/>
        <w:t>Procedure and powers of panels</w:t>
      </w:r>
      <w:bookmarkEnd w:id="526"/>
    </w:p>
    <w:p>
      <w:pPr>
        <w:pStyle w:val="Subsection"/>
        <w:spacing w:before="180"/>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spacing w:before="180"/>
      </w:pPr>
      <w:r>
        <w:lastRenderedPageBreak/>
        <w:tab/>
        <w:t>(2)</w:t>
      </w:r>
      <w:r>
        <w:tab/>
        <w:t>For the purposes of assisting it in making an assessment a specialised retraining assessment panel may request the worker, employer, insurer, medical practitioner or approved vocational rehabilitation provider concerned —</w:t>
      </w:r>
    </w:p>
    <w:p>
      <w:pPr>
        <w:pStyle w:val="Indenta"/>
      </w:pPr>
      <w:r>
        <w:tab/>
        <w:t>(a)</w:t>
      </w:r>
      <w:r>
        <w:tab/>
        <w:t>to attend before the panel; or</w:t>
      </w:r>
    </w:p>
    <w:p>
      <w:pPr>
        <w:pStyle w:val="Indenta"/>
      </w:pPr>
      <w:r>
        <w:tab/>
        <w:t>(b)</w:t>
      </w:r>
      <w:r>
        <w:tab/>
        <w:t>to answer questions put by the panel; or</w:t>
      </w:r>
    </w:p>
    <w:p>
      <w:pPr>
        <w:pStyle w:val="Indenta"/>
      </w:pPr>
      <w:r>
        <w:tab/>
        <w:t>(c)</w:t>
      </w:r>
      <w:r>
        <w:tab/>
        <w:t>to produce to the panel any relevant document; or</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r>
        <w:tab/>
        <w:t>[Section 146U inserted: No. 42 of 2004 s. 110.]</w:t>
      </w:r>
    </w:p>
    <w:p>
      <w:pPr>
        <w:pStyle w:val="Heading5"/>
      </w:pPr>
      <w:bookmarkStart w:id="527" w:name="_Toc131514513"/>
      <w:r>
        <w:rPr>
          <w:rStyle w:val="CharSectno"/>
        </w:rPr>
        <w:t>146V</w:t>
      </w:r>
      <w:r>
        <w:t>.</w:t>
      </w:r>
      <w:r>
        <w:tab/>
        <w:t>Assessments by panels</w:t>
      </w:r>
      <w:bookmarkEnd w:id="527"/>
    </w:p>
    <w:p>
      <w:pPr>
        <w:pStyle w:val="Subsection"/>
      </w:pPr>
      <w:r>
        <w:tab/>
        <w:t>(1)</w:t>
      </w:r>
      <w:r>
        <w:tab/>
        <w:t xml:space="preserve">If the members of a specialised retraining assessment panel are not in unanimous agreement as to a question, the assessment is </w:t>
      </w:r>
      <w:r>
        <w:lastRenderedPageBreak/>
        <w:t>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Registrar, and are to be given to the Registrar within 7 days after the day on which the assessment is made.</w:t>
      </w:r>
    </w:p>
    <w:p>
      <w:pPr>
        <w:pStyle w:val="Subsection"/>
      </w:pPr>
      <w:r>
        <w:tab/>
        <w:t>(4)</w:t>
      </w:r>
      <w:r>
        <w:tab/>
        <w:t>The Registrar is to give the assessment and reasons to the person who referred the question to the panel and the worker concerned within 7 days after the day on which the Registrar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The assessment is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pPr>
      <w:r>
        <w:tab/>
        <w:t>(7)</w:t>
      </w:r>
      <w:r>
        <w:tab/>
        <w:t>An assessment of a specialised retraining assessment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keepNext/>
        <w:spacing w:before="120"/>
      </w:pPr>
      <w:r>
        <w:lastRenderedPageBreak/>
        <w:tab/>
        <w:t>(9)</w:t>
      </w:r>
      <w:r>
        <w:tab/>
        <w:t>In subsection (8) —</w:t>
      </w:r>
    </w:p>
    <w:p>
      <w:pPr>
        <w:pStyle w:val="Defstart"/>
      </w:pPr>
      <w:r>
        <w:rPr>
          <w:b/>
        </w:rPr>
        <w:tab/>
      </w:r>
      <w:r>
        <w:rPr>
          <w:rStyle w:val="CharDefText"/>
        </w:rPr>
        <w:t>decision of a specialised retraining assessment panel</w:t>
      </w:r>
      <w:r>
        <w:t xml:space="preserve"> means an opinion, assessment, or other decision of a specialised retraining assessment panel that is relevant to the operation of Part IXA.</w:t>
      </w:r>
    </w:p>
    <w:p>
      <w:pPr>
        <w:pStyle w:val="Footnotesection"/>
        <w:spacing w:before="80"/>
        <w:ind w:left="890" w:hanging="890"/>
      </w:pPr>
      <w:r>
        <w:tab/>
        <w:t>[Section 146V inserted: No. 42 of 2004 s. 110; amended: No. 31 of 2011 s. 75.]</w:t>
      </w:r>
    </w:p>
    <w:p>
      <w:pPr>
        <w:pStyle w:val="Heading5"/>
      </w:pPr>
      <w:bookmarkStart w:id="528" w:name="_Toc131514514"/>
      <w:r>
        <w:rPr>
          <w:rStyle w:val="CharSectno"/>
        </w:rPr>
        <w:t>146W</w:t>
      </w:r>
      <w:r>
        <w:t>.</w:t>
      </w:r>
      <w:r>
        <w:tab/>
        <w:t>Remuneration</w:t>
      </w:r>
      <w:bookmarkEnd w:id="528"/>
    </w:p>
    <w:p>
      <w:pPr>
        <w:pStyle w:val="Subsection"/>
      </w:pPr>
      <w:r>
        <w:tab/>
        <w:t>(1)</w:t>
      </w:r>
      <w:r>
        <w:tab/>
        <w:t>A member of a specialised retraining assessment panel who is not an officer of WorkCover WA is entitled to such fees and allowances as may be determined by the Minister.</w:t>
      </w:r>
    </w:p>
    <w:p>
      <w:pPr>
        <w:pStyle w:val="Subsection"/>
      </w:pPr>
      <w:r>
        <w:tab/>
        <w:t>(2)</w:t>
      </w:r>
      <w:r>
        <w:tab/>
        <w:t>The fees and allowances mentioned in subsection (1) shall be paid by WorkCover WA from moneys standing to the credit of the General Account.</w:t>
      </w:r>
    </w:p>
    <w:p>
      <w:pPr>
        <w:pStyle w:val="Footnotesection"/>
      </w:pPr>
      <w:r>
        <w:tab/>
        <w:t>[Section 146W inserted: No. 42 of 2004 s. 110; amended: No. 77 of 2006 Sch. 1 cl. 189(9).]</w:t>
      </w:r>
    </w:p>
    <w:p>
      <w:pPr>
        <w:pStyle w:val="Heading2"/>
      </w:pPr>
      <w:bookmarkStart w:id="529" w:name="_Toc100238538"/>
      <w:bookmarkStart w:id="530" w:name="_Toc100239152"/>
      <w:bookmarkStart w:id="531" w:name="_Toc100562446"/>
      <w:bookmarkStart w:id="532" w:name="_Toc107310082"/>
      <w:bookmarkStart w:id="533" w:name="_Toc107479936"/>
      <w:bookmarkStart w:id="534" w:name="_Toc131501302"/>
      <w:bookmarkStart w:id="535" w:name="_Toc131501919"/>
      <w:bookmarkStart w:id="536" w:name="_Toc131514515"/>
      <w:r>
        <w:rPr>
          <w:rStyle w:val="CharPartNo"/>
        </w:rPr>
        <w:lastRenderedPageBreak/>
        <w:t>Part VIII</w:t>
      </w:r>
      <w:r>
        <w:rPr>
          <w:rStyle w:val="CharDivNo"/>
        </w:rPr>
        <w:t> </w:t>
      </w:r>
      <w:r>
        <w:t>—</w:t>
      </w:r>
      <w:r>
        <w:rPr>
          <w:rStyle w:val="CharDivText"/>
        </w:rPr>
        <w:t> </w:t>
      </w:r>
      <w:r>
        <w:rPr>
          <w:rStyle w:val="CharPartText"/>
        </w:rPr>
        <w:t>Premium rates</w:t>
      </w:r>
      <w:bookmarkEnd w:id="529"/>
      <w:bookmarkEnd w:id="530"/>
      <w:bookmarkEnd w:id="531"/>
      <w:bookmarkEnd w:id="532"/>
      <w:bookmarkEnd w:id="533"/>
      <w:bookmarkEnd w:id="534"/>
      <w:bookmarkEnd w:id="535"/>
      <w:bookmarkEnd w:id="536"/>
    </w:p>
    <w:p>
      <w:pPr>
        <w:pStyle w:val="Footnoteheading"/>
        <w:tabs>
          <w:tab w:val="left" w:pos="851"/>
        </w:tabs>
      </w:pPr>
      <w:r>
        <w:tab/>
        <w:t>[Heading amended: No. 42 of 2004 s. 111.]</w:t>
      </w:r>
    </w:p>
    <w:p>
      <w:pPr>
        <w:pStyle w:val="Ednotesection"/>
        <w:tabs>
          <w:tab w:val="clear" w:pos="893"/>
          <w:tab w:val="left" w:pos="1254"/>
        </w:tabs>
        <w:outlineLvl w:val="9"/>
        <w:rPr>
          <w:b/>
        </w:rPr>
      </w:pPr>
      <w:r>
        <w:t>[</w:t>
      </w:r>
      <w:r>
        <w:rPr>
          <w:b/>
        </w:rPr>
        <w:t>147</w:t>
      </w:r>
      <w:r>
        <w:rPr>
          <w:b/>
        </w:rPr>
        <w:noBreakHyphen/>
        <w:t>150.</w:t>
      </w:r>
      <w:r>
        <w:rPr>
          <w:b/>
        </w:rPr>
        <w:tab/>
      </w:r>
      <w:r>
        <w:t>Deleted: No. 42 of 2004 s. 112.]</w:t>
      </w:r>
    </w:p>
    <w:p>
      <w:pPr>
        <w:pStyle w:val="Heading5"/>
        <w:rPr>
          <w:snapToGrid w:val="0"/>
        </w:rPr>
      </w:pPr>
      <w:bookmarkStart w:id="537" w:name="_Toc131514516"/>
      <w:r>
        <w:rPr>
          <w:rStyle w:val="CharSectno"/>
        </w:rPr>
        <w:t>151</w:t>
      </w:r>
      <w:r>
        <w:rPr>
          <w:snapToGrid w:val="0"/>
        </w:rPr>
        <w:t>.</w:t>
      </w:r>
      <w:r>
        <w:rPr>
          <w:snapToGrid w:val="0"/>
        </w:rPr>
        <w:tab/>
        <w:t>Premium rates for insurance, fixing of</w:t>
      </w:r>
      <w:bookmarkEnd w:id="537"/>
    </w:p>
    <w:p>
      <w:pPr>
        <w:pStyle w:val="Subsection"/>
        <w:rPr>
          <w:snapToGrid w:val="0"/>
        </w:rPr>
      </w:pPr>
      <w:r>
        <w:rPr>
          <w:snapToGrid w:val="0"/>
        </w:rPr>
        <w:tab/>
      </w:r>
      <w:r>
        <w:rPr>
          <w:snapToGrid w:val="0"/>
        </w:rPr>
        <w:tab/>
        <w:t>For the purpose of fixing premium rates to be charged for insurance in respect of all insurable risks under this Act, the following provisions apply —</w:t>
      </w:r>
    </w:p>
    <w:p>
      <w:pPr>
        <w:pStyle w:val="Indenta"/>
        <w:rPr>
          <w:snapToGrid w:val="0"/>
        </w:rPr>
      </w:pPr>
      <w:r>
        <w:rPr>
          <w:snapToGrid w:val="0"/>
        </w:rPr>
        <w:tab/>
        <w:t>(a)</w:t>
      </w:r>
      <w:r>
        <w:rPr>
          <w:snapToGrid w:val="0"/>
        </w:rPr>
        <w:tab/>
      </w:r>
      <w:r>
        <w:t>WorkCover WA</w:t>
      </w:r>
      <w:r>
        <w:rPr>
          <w:snapToGrid w:val="0"/>
        </w:rPr>
        <w:t xml:space="preserve"> shall from time to time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 and</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w:t>
      </w:r>
      <w:r>
        <w:t>pneumoconiosis, mesothelioma, lung cancer and diffuse pleural fibrosis</w:t>
      </w:r>
      <w:r>
        <w:rPr>
          <w:snapToGrid w:val="0"/>
        </w:rPr>
        <w:t xml:space="preserve">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keepLines/>
        <w:rPr>
          <w:snapToGrid w:val="0"/>
        </w:rPr>
      </w:pPr>
      <w:r>
        <w:rPr>
          <w:snapToGrid w:val="0"/>
        </w:rPr>
        <w:lastRenderedPageBreak/>
        <w:tab/>
        <w:t>(c)</w:t>
      </w:r>
      <w:r>
        <w:rPr>
          <w:snapToGrid w:val="0"/>
        </w:rPr>
        <w:tab/>
        <w:t xml:space="preserve">WorkCover WA may specify classes of employers specially fixed by the Minister the employers within which class are liable to pay the industrial disease premium at a rate specified by </w:t>
      </w:r>
      <w:r>
        <w:t>WorkCover WA</w:t>
      </w:r>
      <w:r>
        <w:rPr>
          <w:snapToGrid w:val="0"/>
        </w:rPr>
        <w:t xml:space="preserve"> for that class.</w:t>
      </w:r>
    </w:p>
    <w:p>
      <w:pPr>
        <w:pStyle w:val="Footnotesection"/>
      </w:pPr>
      <w:r>
        <w:tab/>
        <w:t>[Section 151 amended: No. 44 of 1985 s. 30; No. 96 of 1990 s. 30; No. 42 of 2004 s. 113 and 153; No. 31 of 2011 s. 101.]</w:t>
      </w:r>
    </w:p>
    <w:p>
      <w:pPr>
        <w:pStyle w:val="Heading5"/>
        <w:rPr>
          <w:snapToGrid w:val="0"/>
        </w:rPr>
      </w:pPr>
      <w:bookmarkStart w:id="538" w:name="_Toc131514517"/>
      <w:r>
        <w:rPr>
          <w:rStyle w:val="CharSectno"/>
        </w:rPr>
        <w:t>151A</w:t>
      </w:r>
      <w:r>
        <w:rPr>
          <w:snapToGrid w:val="0"/>
        </w:rPr>
        <w:t>.</w:t>
      </w:r>
      <w:r>
        <w:rPr>
          <w:snapToGrid w:val="0"/>
        </w:rPr>
        <w:tab/>
        <w:t>Report as to premium rates</w:t>
      </w:r>
      <w:bookmarkEnd w:id="538"/>
    </w:p>
    <w:p>
      <w:pPr>
        <w:pStyle w:val="Subsection"/>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[Section 151A inserted: No. 96 of 1990 s. 31; amended: No. 42 of 2004 s. 153.]</w:t>
      </w:r>
    </w:p>
    <w:p>
      <w:pPr>
        <w:pStyle w:val="Heading5"/>
      </w:pPr>
      <w:bookmarkStart w:id="539" w:name="_Toc131514518"/>
      <w:r>
        <w:rPr>
          <w:rStyle w:val="CharSectno"/>
        </w:rPr>
        <w:t>152</w:t>
      </w:r>
      <w:r>
        <w:t>.</w:t>
      </w:r>
      <w:r>
        <w:tab/>
        <w:t>Loading not to exceed 75% unless WorkCover WA permits</w:t>
      </w:r>
      <w:bookmarkEnd w:id="539"/>
    </w:p>
    <w:p>
      <w:pPr>
        <w:pStyle w:val="Subsection"/>
      </w:pPr>
      <w:r>
        <w:tab/>
      </w:r>
      <w:r>
        <w:tab/>
        <w:t>Unless permitted by WorkCover WA to do so, an insurer shall not charge a loading on a recommended premium rate of more than 75% of that rate.</w:t>
      </w:r>
    </w:p>
    <w:p>
      <w:pPr>
        <w:pStyle w:val="Penstart"/>
      </w:pPr>
      <w:r>
        <w:tab/>
        <w:t>Penalty: $1 000.</w:t>
      </w:r>
    </w:p>
    <w:p>
      <w:pPr>
        <w:pStyle w:val="Footnotesection"/>
      </w:pPr>
      <w:r>
        <w:tab/>
        <w:t>[Section 152 inserted: No. 34 of 1999 s. 40; amended: No. 42 of 2004 s. 114(1), (2) and 150.]</w:t>
      </w:r>
    </w:p>
    <w:p>
      <w:pPr>
        <w:pStyle w:val="Heading5"/>
        <w:rPr>
          <w:snapToGrid w:val="0"/>
        </w:rPr>
      </w:pPr>
      <w:bookmarkStart w:id="540" w:name="_Toc131514519"/>
      <w:r>
        <w:rPr>
          <w:rStyle w:val="CharSectno"/>
        </w:rPr>
        <w:t>153</w:t>
      </w:r>
      <w:r>
        <w:t>.</w:t>
      </w:r>
      <w:r>
        <w:tab/>
      </w:r>
      <w:r>
        <w:rPr>
          <w:snapToGrid w:val="0"/>
        </w:rPr>
        <w:t>Setting maximum loading or discount</w:t>
      </w:r>
      <w:bookmarkEnd w:id="540"/>
    </w:p>
    <w:p>
      <w:pPr>
        <w:pStyle w:val="Subsection"/>
        <w:rPr>
          <w:snapToGrid w:val="0"/>
        </w:rPr>
      </w:pPr>
      <w:r>
        <w:rPr>
          <w:snapToGrid w:val="0"/>
        </w:rPr>
        <w:tab/>
      </w:r>
      <w:r>
        <w:rPr>
          <w:snapToGrid w:val="0"/>
        </w:rPr>
        <w:tab/>
        <w:t xml:space="preserve">Subject to section 152, </w:t>
      </w:r>
      <w:r>
        <w:t>WorkCover WA</w:t>
      </w:r>
      <w:r>
        <w:rPr>
          <w:snapToGrid w:val="0"/>
        </w:rPr>
        <w:t xml:space="preserve"> may set the maximum permissible loading or the maximum permissible discount </w:t>
      </w:r>
      <w:r>
        <w:rPr>
          <w:snapToGrid w:val="0"/>
        </w:rPr>
        <w:lastRenderedPageBreak/>
        <w:t>which may be charged or given in respect of a recommended premium rate.</w:t>
      </w:r>
    </w:p>
    <w:p>
      <w:pPr>
        <w:pStyle w:val="Footnotesection"/>
      </w:pPr>
      <w:r>
        <w:tab/>
        <w:t>[Section 153 amended: No. 42 of 2004 s. 115 and 150.]</w:t>
      </w:r>
    </w:p>
    <w:p>
      <w:pPr>
        <w:pStyle w:val="Heading5"/>
        <w:rPr>
          <w:snapToGrid w:val="0"/>
        </w:rPr>
      </w:pPr>
      <w:bookmarkStart w:id="541" w:name="_Toc131514520"/>
      <w:r>
        <w:rPr>
          <w:rStyle w:val="CharSectno"/>
        </w:rPr>
        <w:t>153A</w:t>
      </w:r>
      <w:r>
        <w:rPr>
          <w:snapToGrid w:val="0"/>
        </w:rPr>
        <w:t>.</w:t>
      </w:r>
      <w:r>
        <w:rPr>
          <w:snapToGrid w:val="0"/>
        </w:rPr>
        <w:tab/>
        <w:t>Minimum premiums</w:t>
      </w:r>
      <w:bookmarkEnd w:id="541"/>
    </w:p>
    <w:p>
      <w:pPr>
        <w:pStyle w:val="Subsection"/>
        <w:rPr>
          <w:snapToGrid w:val="0"/>
        </w:rPr>
      </w:pPr>
      <w:r>
        <w:rPr>
          <w:snapToGrid w:val="0"/>
        </w:rPr>
        <w:tab/>
      </w:r>
      <w:r>
        <w:rPr>
          <w:snapToGrid w:val="0"/>
        </w:rPr>
        <w:tab/>
      </w:r>
      <w:r>
        <w:t>WorkCover WA</w:t>
      </w:r>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spacing w:before="100"/>
        <w:ind w:left="890" w:hanging="890"/>
      </w:pPr>
      <w:r>
        <w:tab/>
        <w:t>[Section 153A inserted: No. 33 of 1986 s. 6; amended: No. 42 of 2004 s. 153.]</w:t>
      </w:r>
    </w:p>
    <w:p>
      <w:pPr>
        <w:pStyle w:val="Heading5"/>
        <w:rPr>
          <w:snapToGrid w:val="0"/>
        </w:rPr>
      </w:pPr>
      <w:bookmarkStart w:id="542" w:name="_Toc131514521"/>
      <w:r>
        <w:rPr>
          <w:rStyle w:val="CharSectno"/>
        </w:rPr>
        <w:t>154</w:t>
      </w:r>
      <w:r>
        <w:rPr>
          <w:snapToGrid w:val="0"/>
        </w:rPr>
        <w:t>.</w:t>
      </w:r>
      <w:r>
        <w:rPr>
          <w:snapToGrid w:val="0"/>
        </w:rPr>
        <w:tab/>
        <w:t>Appeals by employers</w:t>
      </w:r>
      <w:bookmarkEnd w:id="542"/>
    </w:p>
    <w:p>
      <w:pPr>
        <w:pStyle w:val="Subsection"/>
        <w:rPr>
          <w:snapToGrid w:val="0"/>
        </w:rPr>
      </w:pPr>
      <w:r>
        <w:rPr>
          <w:snapToGrid w:val="0"/>
        </w:rPr>
        <w:tab/>
        <w:t>(1)</w:t>
      </w:r>
      <w:r>
        <w:rPr>
          <w:snapToGrid w:val="0"/>
        </w:rPr>
        <w:tab/>
        <w:t>An employer who is dissatisfied with —</w:t>
      </w:r>
    </w:p>
    <w:p>
      <w:pPr>
        <w:pStyle w:val="Indenta"/>
        <w:spacing w:before="60"/>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spacing w:before="60"/>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spacing w:before="120"/>
        <w:rPr>
          <w:snapToGrid w:val="0"/>
        </w:rPr>
      </w:pPr>
      <w:r>
        <w:rPr>
          <w:snapToGrid w:val="0"/>
        </w:rPr>
        <w:tab/>
      </w:r>
      <w:r>
        <w:rPr>
          <w:snapToGrid w:val="0"/>
        </w:rPr>
        <w:tab/>
        <w:t xml:space="preserve">may appeal against the classification or assessment to </w:t>
      </w:r>
      <w:r>
        <w:t>WorkCover WA</w:t>
      </w:r>
      <w:r>
        <w:rPr>
          <w:snapToGrid w:val="0"/>
        </w:rPr>
        <w:t xml:space="preserve"> in the manner and within the time provided in subsections (2) and (4).</w:t>
      </w:r>
    </w:p>
    <w:p>
      <w:pPr>
        <w:pStyle w:val="Subsection"/>
        <w:rPr>
          <w:snapToGrid w:val="0"/>
        </w:rPr>
      </w:pPr>
      <w:r>
        <w:rPr>
          <w:snapToGrid w:val="0"/>
        </w:rPr>
        <w:tab/>
        <w:t>(2)</w:t>
      </w:r>
      <w:r>
        <w:rPr>
          <w:snapToGrid w:val="0"/>
        </w:rPr>
        <w:tab/>
        <w:t xml:space="preserve">The appeal is made by giving written notice </w:t>
      </w:r>
      <w:r>
        <w:t>of it 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w:t>
      </w:r>
      <w:r>
        <w:t>allow, stating</w:t>
      </w:r>
      <w:r>
        <w:rPr>
          <w:snapToGrid w:val="0"/>
        </w:rPr>
        <w:t xml:space="preserve">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lastRenderedPageBreak/>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No. 51 of 1986 s. 46(2); No. 96 of 1990 s. 32; No. 34 of 1999 s. 41; No. 42 of 2004 s. 116, 150 and 153; No. 19 of 2010 s. 51.]</w:t>
      </w:r>
    </w:p>
    <w:p>
      <w:pPr>
        <w:pStyle w:val="Heading5"/>
      </w:pPr>
      <w:bookmarkStart w:id="543" w:name="_Toc131514522"/>
      <w:r>
        <w:rPr>
          <w:rStyle w:val="CharSectno"/>
        </w:rPr>
        <w:t>154A</w:t>
      </w:r>
      <w:r>
        <w:t>.</w:t>
      </w:r>
      <w:r>
        <w:tab/>
        <w:t>Regulations as to insurers informing employers</w:t>
      </w:r>
      <w:bookmarkEnd w:id="543"/>
    </w:p>
    <w:p>
      <w:pPr>
        <w:pStyle w:val="Subsection"/>
      </w:pPr>
      <w:r>
        <w:tab/>
        <w:t>(1)</w:t>
      </w:r>
      <w:r>
        <w:tab/>
        <w:t>Regulations may provide for an insurer to inform an employer of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pPr>
      <w:r>
        <w:tab/>
        <w:t>(2)</w:t>
      </w:r>
      <w:r>
        <w:tab/>
        <w:t>In subsection (1) —</w:t>
      </w:r>
    </w:p>
    <w:p>
      <w:pPr>
        <w:pStyle w:val="Defstart"/>
      </w:pPr>
      <w:r>
        <w:rPr>
          <w:b/>
        </w:rPr>
        <w:tab/>
      </w:r>
      <w:r>
        <w:rPr>
          <w:rStyle w:val="CharDefText"/>
        </w:rPr>
        <w:t>employer</w:t>
      </w:r>
      <w:r>
        <w:t xml:space="preserve"> means an employer holding, or seeking to obtain, a policy of insurance against liability to pay compensation under this Act;</w:t>
      </w:r>
    </w:p>
    <w:p>
      <w:pPr>
        <w:pStyle w:val="Defstart"/>
      </w:pPr>
      <w:r>
        <w:rPr>
          <w:b/>
        </w:rPr>
        <w:tab/>
      </w:r>
      <w:r>
        <w:rPr>
          <w:rStyle w:val="CharDefText"/>
        </w:rPr>
        <w:t>specified</w:t>
      </w:r>
      <w:r>
        <w:t xml:space="preserve"> means specified in the regulations.</w:t>
      </w:r>
    </w:p>
    <w:p>
      <w:pPr>
        <w:pStyle w:val="Footnotesection"/>
      </w:pPr>
      <w:r>
        <w:tab/>
        <w:t>[Section 154A inserted: No. 42 of 2004 s. 117.]</w:t>
      </w:r>
    </w:p>
    <w:p>
      <w:pPr>
        <w:pStyle w:val="Heading5"/>
      </w:pPr>
      <w:bookmarkStart w:id="544" w:name="_Toc131514523"/>
      <w:r>
        <w:rPr>
          <w:rStyle w:val="CharSectno"/>
        </w:rPr>
        <w:lastRenderedPageBreak/>
        <w:t>154AB</w:t>
      </w:r>
      <w:r>
        <w:t>.</w:t>
      </w:r>
      <w:r>
        <w:tab/>
        <w:t>Minister may give directions as to fixing premium rates</w:t>
      </w:r>
      <w:bookmarkEnd w:id="544"/>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No. 42 of 2004 s. 117.]</w:t>
      </w:r>
    </w:p>
    <w:p>
      <w:pPr>
        <w:pStyle w:val="Heading5"/>
      </w:pPr>
      <w:bookmarkStart w:id="545" w:name="_Toc131514524"/>
      <w:r>
        <w:rPr>
          <w:rStyle w:val="CharSectno"/>
        </w:rPr>
        <w:t>154AC</w:t>
      </w:r>
      <w:r>
        <w:t>.</w:t>
      </w:r>
      <w:r>
        <w:tab/>
        <w:t>Regulations for subsidy from Supplementation Fund</w:t>
      </w:r>
      <w:bookmarkEnd w:id="545"/>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WorkCover WA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No. 35 of 2004 s. 11; amended: No. 42 of 2004 s. 150.]</w:t>
      </w:r>
    </w:p>
    <w:p>
      <w:pPr>
        <w:pStyle w:val="Heading2"/>
      </w:pPr>
      <w:bookmarkStart w:id="546" w:name="_Toc100238548"/>
      <w:bookmarkStart w:id="547" w:name="_Toc100239162"/>
      <w:bookmarkStart w:id="548" w:name="_Toc100562456"/>
      <w:bookmarkStart w:id="549" w:name="_Toc107310092"/>
      <w:bookmarkStart w:id="550" w:name="_Toc107479946"/>
      <w:bookmarkStart w:id="551" w:name="_Toc131501312"/>
      <w:bookmarkStart w:id="552" w:name="_Toc131501929"/>
      <w:bookmarkStart w:id="553" w:name="_Toc131514525"/>
      <w:r>
        <w:rPr>
          <w:rStyle w:val="CharPartNo"/>
        </w:rPr>
        <w:lastRenderedPageBreak/>
        <w:t>Part IX</w:t>
      </w:r>
      <w:r>
        <w:rPr>
          <w:b w:val="0"/>
        </w:rPr>
        <w:t> </w:t>
      </w:r>
      <w:r>
        <w:t>—</w:t>
      </w:r>
      <w:r>
        <w:rPr>
          <w:b w:val="0"/>
        </w:rPr>
        <w:t> </w:t>
      </w:r>
      <w:r>
        <w:rPr>
          <w:rStyle w:val="CharPartText"/>
        </w:rPr>
        <w:t>Injury management</w:t>
      </w:r>
      <w:bookmarkEnd w:id="546"/>
      <w:bookmarkEnd w:id="547"/>
      <w:bookmarkEnd w:id="548"/>
      <w:bookmarkEnd w:id="549"/>
      <w:bookmarkEnd w:id="550"/>
      <w:bookmarkEnd w:id="551"/>
      <w:bookmarkEnd w:id="552"/>
      <w:bookmarkEnd w:id="553"/>
    </w:p>
    <w:p>
      <w:pPr>
        <w:pStyle w:val="Footnoteheading"/>
      </w:pPr>
      <w:r>
        <w:tab/>
        <w:t>[Heading inserted: No. 42 of 2004 s. 118.]</w:t>
      </w:r>
    </w:p>
    <w:p>
      <w:pPr>
        <w:pStyle w:val="Heading5"/>
      </w:pPr>
      <w:bookmarkStart w:id="554" w:name="_Toc131514526"/>
      <w:r>
        <w:rPr>
          <w:rStyle w:val="CharSectno"/>
        </w:rPr>
        <w:t>155</w:t>
      </w:r>
      <w:r>
        <w:t>.</w:t>
      </w:r>
      <w:r>
        <w:tab/>
        <w:t>Terms used</w:t>
      </w:r>
      <w:bookmarkEnd w:id="554"/>
    </w:p>
    <w:p>
      <w:pPr>
        <w:pStyle w:val="Subsection"/>
      </w:pPr>
      <w:r>
        <w:tab/>
      </w:r>
      <w:r>
        <w:tab/>
        <w:t>In this Part —</w:t>
      </w:r>
    </w:p>
    <w:p>
      <w:pPr>
        <w:pStyle w:val="Defstart"/>
      </w:pPr>
      <w:r>
        <w:rPr>
          <w:b/>
        </w:rPr>
        <w:tab/>
      </w:r>
      <w:r>
        <w:rPr>
          <w:rStyle w:val="CharDefText"/>
        </w:rPr>
        <w:t>code</w:t>
      </w:r>
      <w:r>
        <w:t xml:space="preserve"> means the code of practice (injury management) issued under section 155A(1) that is currently in force;</w:t>
      </w:r>
    </w:p>
    <w:p>
      <w:pPr>
        <w:pStyle w:val="Defstart"/>
      </w:pPr>
      <w:r>
        <w:rPr>
          <w:b/>
        </w:rPr>
        <w:tab/>
      </w:r>
      <w:r>
        <w:rPr>
          <w:rStyle w:val="CharDefText"/>
        </w:rPr>
        <w:t>injury management system</w:t>
      </w:r>
      <w:r>
        <w:t xml:space="preserve"> means an injury management system established under section 155B;</w:t>
      </w:r>
    </w:p>
    <w:p>
      <w:pPr>
        <w:pStyle w:val="Defstart"/>
      </w:pPr>
      <w:r>
        <w:rPr>
          <w:b/>
        </w:rPr>
        <w:tab/>
      </w:r>
      <w:r>
        <w:rPr>
          <w:rStyle w:val="CharDefText"/>
        </w:rPr>
        <w:t>return to work program</w:t>
      </w:r>
      <w:r>
        <w:t xml:space="preserve"> means a return to work program established under section 155C(1);</w:t>
      </w:r>
    </w:p>
    <w:p>
      <w:pPr>
        <w:pStyle w:val="Defstart"/>
      </w:pPr>
      <w:r>
        <w:rPr>
          <w:b/>
        </w:rPr>
        <w:tab/>
      </w:r>
      <w:r>
        <w:rPr>
          <w:rStyle w:val="CharDefText"/>
        </w:rPr>
        <w:t>treating medical practitioner</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No. 42 of 2004 s. 118.]</w:t>
      </w:r>
    </w:p>
    <w:p>
      <w:pPr>
        <w:pStyle w:val="Heading5"/>
      </w:pPr>
      <w:bookmarkStart w:id="555" w:name="_Toc131514527"/>
      <w:r>
        <w:rPr>
          <w:rStyle w:val="CharSectno"/>
        </w:rPr>
        <w:t>155A</w:t>
      </w:r>
      <w:r>
        <w:t>.</w:t>
      </w:r>
      <w:r>
        <w:tab/>
        <w:t>Code of practice (injury management)</w:t>
      </w:r>
      <w:bookmarkEnd w:id="555"/>
    </w:p>
    <w:p>
      <w:pPr>
        <w:pStyle w:val="Subsection"/>
      </w:pPr>
      <w:r>
        <w:tab/>
        <w:t>(1)</w:t>
      </w:r>
      <w:r>
        <w:tab/>
        <w:t>WorkCover WA may issue a code of practice (injury management).</w:t>
      </w:r>
    </w:p>
    <w:p>
      <w:pPr>
        <w:pStyle w:val="Subsection"/>
      </w:pPr>
      <w:r>
        <w:tab/>
        <w:t>(2)</w:t>
      </w:r>
      <w:r>
        <w:tab/>
        <w:t>The code may include provisions and guidelines in relation to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such other matters relating to injury management as WorkCover WA considers appropriate.</w:t>
      </w:r>
    </w:p>
    <w:p>
      <w:pPr>
        <w:pStyle w:val="Subsection"/>
      </w:pPr>
      <w:r>
        <w:lastRenderedPageBreak/>
        <w:tab/>
        <w:t>(3)</w:t>
      </w:r>
      <w:r>
        <w:tab/>
        <w:t>The code may adopt the provisions of other publications, whether with or without modification or addition and whether in force at a particular time or from time to time.</w:t>
      </w:r>
    </w:p>
    <w:p>
      <w:pPr>
        <w:pStyle w:val="Subsection"/>
        <w:spacing w:before="140"/>
      </w:pPr>
      <w:r>
        <w:tab/>
        <w:t>(4)</w:t>
      </w:r>
      <w:r>
        <w:tab/>
        <w:t xml:space="preserve">Sections 41, 42, 43 and 44 of the </w:t>
      </w:r>
      <w:r>
        <w:rPr>
          <w:i/>
        </w:rPr>
        <w:t>Interpretation Act 1984</w:t>
      </w:r>
      <w:r>
        <w:t xml:space="preserve"> apply to the code as if the code were regulations.</w:t>
      </w:r>
    </w:p>
    <w:p>
      <w:pPr>
        <w:pStyle w:val="Footnotesection"/>
        <w:spacing w:before="90"/>
        <w:ind w:left="890" w:hanging="890"/>
      </w:pPr>
      <w:r>
        <w:tab/>
        <w:t>[Section 155A inserted: No. 42 of 2004 s. 118.]</w:t>
      </w:r>
    </w:p>
    <w:p>
      <w:pPr>
        <w:pStyle w:val="Heading5"/>
        <w:spacing w:before="180"/>
      </w:pPr>
      <w:bookmarkStart w:id="556" w:name="_Toc131514528"/>
      <w:r>
        <w:rPr>
          <w:rStyle w:val="CharSectno"/>
        </w:rPr>
        <w:t>155B</w:t>
      </w:r>
      <w:r>
        <w:t>.</w:t>
      </w:r>
      <w:r>
        <w:tab/>
        <w:t>Injury management system, employers’ duties as to</w:t>
      </w:r>
      <w:bookmarkEnd w:id="556"/>
    </w:p>
    <w:p>
      <w:pPr>
        <w:pStyle w:val="Subsection"/>
        <w:spacing w:before="140"/>
      </w:pPr>
      <w:r>
        <w:tab/>
      </w:r>
      <w:r>
        <w:tab/>
        <w:t>Each employer is to ensure that —</w:t>
      </w:r>
    </w:p>
    <w:p>
      <w:pPr>
        <w:pStyle w:val="Indenta"/>
        <w:spacing w:before="60"/>
      </w:pPr>
      <w:r>
        <w:tab/>
        <w:t>(a)</w:t>
      </w:r>
      <w:r>
        <w:tab/>
        <w:t>an injury management system is established in relation to the employer’s workers; and</w:t>
      </w:r>
    </w:p>
    <w:p>
      <w:pPr>
        <w:pStyle w:val="Indenta"/>
        <w:spacing w:before="60"/>
      </w:pPr>
      <w:r>
        <w:tab/>
        <w:t>(b)</w:t>
      </w:r>
      <w:r>
        <w:tab/>
        <w:t>the establishment, content and implementation of the injury management system are in accordance with the code.</w:t>
      </w:r>
    </w:p>
    <w:p>
      <w:pPr>
        <w:pStyle w:val="Penstart"/>
      </w:pPr>
      <w:r>
        <w:tab/>
        <w:t>Penalty: $2 000.</w:t>
      </w:r>
    </w:p>
    <w:p>
      <w:pPr>
        <w:pStyle w:val="Footnotesection"/>
        <w:spacing w:before="90"/>
        <w:ind w:left="890" w:hanging="890"/>
      </w:pPr>
      <w:r>
        <w:tab/>
        <w:t>[Section 155B inserted: No. 42 of 2004 s. 118.]</w:t>
      </w:r>
    </w:p>
    <w:p>
      <w:pPr>
        <w:pStyle w:val="Heading5"/>
        <w:spacing w:before="180"/>
      </w:pPr>
      <w:bookmarkStart w:id="557" w:name="_Toc131514529"/>
      <w:r>
        <w:rPr>
          <w:rStyle w:val="CharSectno"/>
        </w:rPr>
        <w:t>155C</w:t>
      </w:r>
      <w:r>
        <w:t>.</w:t>
      </w:r>
      <w:r>
        <w:tab/>
        <w:t>Return to work programs, employers’ duties as to</w:t>
      </w:r>
      <w:bookmarkEnd w:id="557"/>
    </w:p>
    <w:p>
      <w:pPr>
        <w:pStyle w:val="Subsection"/>
        <w:spacing w:before="140"/>
      </w:pPr>
      <w:r>
        <w:tab/>
        <w:t>(1)</w:t>
      </w:r>
      <w:r>
        <w:tab/>
        <w:t>An employer of a worker who has suffered an injury compensable under this Act must ensure that a return to work program is established for the worker as soon as practicable after either of the following occurs —</w:t>
      </w:r>
    </w:p>
    <w:p>
      <w:pPr>
        <w:pStyle w:val="Indenta"/>
        <w:spacing w:before="60"/>
      </w:pPr>
      <w:r>
        <w:tab/>
        <w:t>(a)</w:t>
      </w:r>
      <w:r>
        <w:tab/>
        <w:t>the worker’s treating medical practitioner advises the employer in writing that a return to work program should be established for the worker;</w:t>
      </w:r>
    </w:p>
    <w:p>
      <w:pPr>
        <w:pStyle w:val="Indenta"/>
        <w:spacing w:before="60"/>
      </w:pPr>
      <w:r>
        <w:tab/>
        <w:t>(b)</w:t>
      </w:r>
      <w:r>
        <w:tab/>
        <w:t>the worker’s treating medical practitioner signs a medical certificate to the effect that the worker has a total or partial capacity to return to work.</w:t>
      </w:r>
    </w:p>
    <w:p>
      <w:pPr>
        <w:pStyle w:val="Subsection"/>
        <w:spacing w:before="140"/>
      </w:pPr>
      <w:r>
        <w:tab/>
        <w:t>(2)</w:t>
      </w:r>
      <w:r>
        <w:tab/>
        <w:t>Subsection (1) does not require a return to work program to be established for a worker —</w:t>
      </w:r>
    </w:p>
    <w:p>
      <w:pPr>
        <w:pStyle w:val="Indenta"/>
        <w:spacing w:before="60"/>
      </w:pPr>
      <w:r>
        <w:tab/>
        <w:t>(a)</w:t>
      </w:r>
      <w:r>
        <w:tab/>
        <w:t>who has returned to the position held by the worker immediately before the injury occurred; and</w:t>
      </w:r>
    </w:p>
    <w:p>
      <w:pPr>
        <w:pStyle w:val="Indenta"/>
        <w:spacing w:before="60"/>
      </w:pPr>
      <w:r>
        <w:tab/>
        <w:t>(b)</w:t>
      </w:r>
      <w:r>
        <w:tab/>
        <w:t>who has a total capacity to work in that position.</w:t>
      </w:r>
    </w:p>
    <w:p>
      <w:pPr>
        <w:pStyle w:val="Subsection"/>
        <w:spacing w:before="150"/>
      </w:pPr>
      <w:r>
        <w:lastRenderedPageBreak/>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spacing w:before="100"/>
        <w:ind w:left="890" w:hanging="890"/>
      </w:pPr>
      <w:r>
        <w:tab/>
        <w:t>[Section 155C inserted: No. 42 of 2004 s. 118.]</w:t>
      </w:r>
    </w:p>
    <w:p>
      <w:pPr>
        <w:pStyle w:val="Heading5"/>
      </w:pPr>
      <w:bookmarkStart w:id="558" w:name="_Toc131514530"/>
      <w:r>
        <w:rPr>
          <w:rStyle w:val="CharSectno"/>
        </w:rPr>
        <w:t>155D</w:t>
      </w:r>
      <w:r>
        <w:t>.</w:t>
      </w:r>
      <w:r>
        <w:tab/>
        <w:t>Insurers’ duties</w:t>
      </w:r>
      <w:bookmarkEnd w:id="558"/>
    </w:p>
    <w:p>
      <w:pPr>
        <w:pStyle w:val="Subsection"/>
      </w:pPr>
      <w:r>
        <w:tab/>
        <w:t>(1)</w:t>
      </w:r>
      <w:r>
        <w:tab/>
        <w:t>An insurer must take such action as is prescribed by the regulations in relation to making each employer who is insured by the insurer aware of the employer’s obligations under sections 155B and 155C(1) and (3).</w:t>
      </w:r>
    </w:p>
    <w:p>
      <w:pPr>
        <w:pStyle w:val="Subsection"/>
      </w:pPr>
      <w:r>
        <w:tab/>
        <w:t>(2)</w:t>
      </w:r>
      <w:r>
        <w:tab/>
        <w:t>If an insured employer requests the insurer to assist the employer to comply with any of the employer’s obligations under section 155B or 155C(1) or (3), the insurer must take such action as is reasonable —</w:t>
      </w:r>
    </w:p>
    <w:p>
      <w:pPr>
        <w:pStyle w:val="Indenta"/>
      </w:pPr>
      <w:r>
        <w:tab/>
        <w:t>(a)</w:t>
      </w:r>
      <w:r>
        <w:tab/>
        <w:t>to assist the employer to comply with the employer’s obligations that are the subject of the employer’s request; and</w:t>
      </w:r>
    </w:p>
    <w:p>
      <w:pPr>
        <w:pStyle w:val="Indenta"/>
      </w:pPr>
      <w:r>
        <w:tab/>
        <w:t>(b)</w:t>
      </w:r>
      <w:r>
        <w:tab/>
        <w:t>to ensure that the employer complies with the employer’s obligations that are the subject of the employer’s request.</w:t>
      </w:r>
    </w:p>
    <w:p>
      <w:pPr>
        <w:pStyle w:val="Subsection"/>
      </w:pPr>
      <w:r>
        <w:tab/>
        <w:t>(3)</w:t>
      </w:r>
      <w:r>
        <w:tab/>
        <w:t>If an insured employer requests the insurer to discharge the employer’s obligations under section 155C(1) or (3) on behalf of the employer, the insurer must take such action as is reasonable —</w:t>
      </w:r>
    </w:p>
    <w:p>
      <w:pPr>
        <w:pStyle w:val="Indenta"/>
      </w:pPr>
      <w:r>
        <w:tab/>
        <w:t>(a)</w:t>
      </w:r>
      <w:r>
        <w:tab/>
        <w:t>to discharge the employer’s obligations that are the subject of the employer’s request; and</w:t>
      </w:r>
    </w:p>
    <w:p>
      <w:pPr>
        <w:pStyle w:val="Indenta"/>
      </w:pPr>
      <w:r>
        <w:tab/>
        <w:t>(b)</w:t>
      </w:r>
      <w:r>
        <w:tab/>
        <w:t>to comply with the employer’s obligations that are the subject of the employer’s request,</w:t>
      </w:r>
    </w:p>
    <w:p>
      <w:pPr>
        <w:pStyle w:val="Subsection"/>
        <w:spacing w:before="120"/>
      </w:pPr>
      <w:r>
        <w:tab/>
      </w:r>
      <w:r>
        <w:tab/>
        <w:t>within such time as is reasonable in the circumstances.</w:t>
      </w:r>
    </w:p>
    <w:p>
      <w:pPr>
        <w:pStyle w:val="Penstart"/>
      </w:pPr>
      <w:r>
        <w:tab/>
        <w:t>Penalty applicable to subsection (3): $2 000.</w:t>
      </w:r>
    </w:p>
    <w:p>
      <w:pPr>
        <w:pStyle w:val="Footnotesection"/>
        <w:spacing w:before="100"/>
        <w:ind w:left="890" w:hanging="890"/>
      </w:pPr>
      <w:r>
        <w:tab/>
        <w:t>[Section 155D inserted: No. 42 of 2004 s. 118.]</w:t>
      </w:r>
    </w:p>
    <w:p>
      <w:pPr>
        <w:pStyle w:val="Heading5"/>
      </w:pPr>
      <w:bookmarkStart w:id="559" w:name="_Toc131514531"/>
      <w:r>
        <w:rPr>
          <w:rStyle w:val="CharSectno"/>
        </w:rPr>
        <w:lastRenderedPageBreak/>
        <w:t>155E</w:t>
      </w:r>
      <w:r>
        <w:t>.</w:t>
      </w:r>
      <w:r>
        <w:tab/>
        <w:t>Return to work programs, WorkCover WA’s powers as to</w:t>
      </w:r>
      <w:bookmarkEnd w:id="559"/>
    </w:p>
    <w:p>
      <w:pPr>
        <w:pStyle w:val="Subsection"/>
        <w:spacing w:before="140"/>
      </w:pPr>
      <w:r>
        <w:tab/>
      </w:r>
      <w:r>
        <w:tab/>
        <w:t xml:space="preserve">If WorkCover WA is of the opinion that a worker’s injury should be reviewed to determine whether a return to work program should be established for the worker, WorkCover WA may — </w:t>
      </w:r>
    </w:p>
    <w:p>
      <w:pPr>
        <w:pStyle w:val="Indenta"/>
        <w:spacing w:before="60"/>
      </w:pPr>
      <w:r>
        <w:tab/>
        <w:t>(a)</w:t>
      </w:r>
      <w:r>
        <w:tab/>
        <w:t>notify the worker, the worker’s employer and the employer’s insurer of that opinion; and</w:t>
      </w:r>
    </w:p>
    <w:p>
      <w:pPr>
        <w:pStyle w:val="Indenta"/>
        <w:spacing w:before="60"/>
      </w:pPr>
      <w:r>
        <w:tab/>
        <w:t>(b)</w:t>
      </w:r>
      <w:r>
        <w:tab/>
        <w:t>inform those persons of the requirements of sections 155C and 155D and their obligations under those provisions.</w:t>
      </w:r>
    </w:p>
    <w:p>
      <w:pPr>
        <w:pStyle w:val="Footnotesection"/>
        <w:spacing w:before="100"/>
        <w:ind w:left="890" w:hanging="890"/>
      </w:pPr>
      <w:r>
        <w:tab/>
        <w:t>[Section 155E inserted: No. 31 of 2011 s. 102.]</w:t>
      </w:r>
    </w:p>
    <w:p>
      <w:pPr>
        <w:pStyle w:val="Heading5"/>
        <w:spacing w:before="180"/>
        <w:rPr>
          <w:snapToGrid w:val="0"/>
        </w:rPr>
      </w:pPr>
      <w:bookmarkStart w:id="560" w:name="_Toc131514532"/>
      <w:r>
        <w:rPr>
          <w:rStyle w:val="CharSectno"/>
        </w:rPr>
        <w:t>156</w:t>
      </w:r>
      <w:r>
        <w:rPr>
          <w:snapToGrid w:val="0"/>
        </w:rPr>
        <w:t>.</w:t>
      </w:r>
      <w:r>
        <w:rPr>
          <w:snapToGrid w:val="0"/>
        </w:rPr>
        <w:tab/>
        <w:t>Vocational rehabilitation providers, approval of</w:t>
      </w:r>
      <w:bookmarkEnd w:id="560"/>
    </w:p>
    <w:p>
      <w:pPr>
        <w:pStyle w:val="Subsection"/>
        <w:spacing w:before="140"/>
        <w:rPr>
          <w:snapToGrid w:val="0"/>
        </w:rPr>
      </w:pPr>
      <w:r>
        <w:rPr>
          <w:snapToGrid w:val="0"/>
        </w:rPr>
        <w:tab/>
        <w:t>(1)</w:t>
      </w:r>
      <w:r>
        <w:rPr>
          <w:snapToGrid w:val="0"/>
        </w:rPr>
        <w:tab/>
        <w:t>WorkCover WA may, in writing —</w:t>
      </w:r>
    </w:p>
    <w:p>
      <w:pPr>
        <w:pStyle w:val="Indenta"/>
        <w:spacing w:before="60"/>
        <w:rPr>
          <w:snapToGrid w:val="0"/>
        </w:rPr>
      </w:pPr>
      <w:r>
        <w:rPr>
          <w:snapToGrid w:val="0"/>
        </w:rPr>
        <w:tab/>
        <w:t>(a)</w:t>
      </w:r>
      <w:r>
        <w:rPr>
          <w:snapToGrid w:val="0"/>
        </w:rPr>
        <w:tab/>
        <w:t>subject to such conditions, if any, as it sees fit to impose, approve as a vocational rehabilitation provider any person WorkCover WA considers capable of satisfactorily providing vocational rehabilitation; and</w:t>
      </w:r>
    </w:p>
    <w:p>
      <w:pPr>
        <w:pStyle w:val="Indenta"/>
        <w:spacing w:before="60"/>
        <w:rPr>
          <w:snapToGrid w:val="0"/>
        </w:rPr>
      </w:pPr>
      <w:r>
        <w:rPr>
          <w:snapToGrid w:val="0"/>
        </w:rPr>
        <w:tab/>
        <w:t>(b)</w:t>
      </w:r>
      <w:r>
        <w:rPr>
          <w:snapToGrid w:val="0"/>
        </w:rPr>
        <w:tab/>
        <w:t>revoke any such approval.</w:t>
      </w:r>
    </w:p>
    <w:p>
      <w:pPr>
        <w:pStyle w:val="Subsection"/>
        <w:spacing w:before="140"/>
        <w:rPr>
          <w:snapToGrid w:val="0"/>
        </w:rPr>
      </w:pPr>
      <w:r>
        <w:rPr>
          <w:snapToGrid w:val="0"/>
        </w:rPr>
        <w:tab/>
        <w:t>(2)</w:t>
      </w:r>
      <w:r>
        <w:rPr>
          <w:snapToGrid w:val="0"/>
        </w:rPr>
        <w:tab/>
        <w:t>In considering whether or not to approve a person as a vocational rehabilitation provider, to impose conditions on any such approval, or to revoke any such approval, WorkCover WA —</w:t>
      </w:r>
    </w:p>
    <w:p>
      <w:pPr>
        <w:pStyle w:val="Indenta"/>
        <w:spacing w:before="60"/>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spacing w:before="60"/>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spacing w:before="140"/>
      </w:pPr>
      <w:r>
        <w:tab/>
        <w:t>(3)</w:t>
      </w:r>
      <w:r>
        <w:tab/>
        <w:t>An implied and non</w:t>
      </w:r>
      <w:r>
        <w:noBreakHyphen/>
        <w:t>revocable condition of a person’s approval as a vocational rehabilitation provider is that the person is to comply with the code in relation to —</w:t>
      </w:r>
    </w:p>
    <w:p>
      <w:pPr>
        <w:pStyle w:val="Indenta"/>
        <w:spacing w:before="60"/>
      </w:pPr>
      <w:r>
        <w:tab/>
        <w:t>(a)</w:t>
      </w:r>
      <w:r>
        <w:tab/>
        <w:t>the development and content of service delivery plans; and</w:t>
      </w:r>
    </w:p>
    <w:p>
      <w:pPr>
        <w:pStyle w:val="Indenta"/>
      </w:pPr>
      <w:r>
        <w:lastRenderedPageBreak/>
        <w:tab/>
        <w:t>(b)</w:t>
      </w:r>
      <w:r>
        <w:tab/>
        <w:t>other requirements in relation to service delivery plans; and</w:t>
      </w:r>
    </w:p>
    <w:p>
      <w:pPr>
        <w:pStyle w:val="Indenta"/>
      </w:pPr>
      <w:r>
        <w:tab/>
        <w:t>(c)</w:t>
      </w:r>
      <w:r>
        <w:tab/>
        <w:t>other requirements applicable to vocational rehabilitation providers.</w:t>
      </w:r>
    </w:p>
    <w:p>
      <w:pPr>
        <w:pStyle w:val="Footnotesection"/>
      </w:pPr>
      <w:r>
        <w:tab/>
        <w:t>[Section 156 inserted: No. 42 of 2004 s. 118.]</w:t>
      </w:r>
    </w:p>
    <w:p>
      <w:pPr>
        <w:pStyle w:val="Heading5"/>
      </w:pPr>
      <w:bookmarkStart w:id="561" w:name="_Toc131514533"/>
      <w:r>
        <w:rPr>
          <w:rStyle w:val="CharSectno"/>
        </w:rPr>
        <w:t>156A</w:t>
      </w:r>
      <w:r>
        <w:t>.</w:t>
      </w:r>
      <w:r>
        <w:tab/>
        <w:t>Vocational rehabilitation providers, information as to and fees of</w:t>
      </w:r>
      <w:bookmarkEnd w:id="561"/>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r>
        <w:tab/>
        <w:t>[Section 156A inserted: No. 42 of 2004 s. 118.]</w:t>
      </w:r>
    </w:p>
    <w:p>
      <w:pPr>
        <w:pStyle w:val="Heading5"/>
        <w:rPr>
          <w:snapToGrid w:val="0"/>
        </w:rPr>
      </w:pPr>
      <w:bookmarkStart w:id="562" w:name="_Toc131514534"/>
      <w:r>
        <w:rPr>
          <w:rStyle w:val="CharSectno"/>
        </w:rPr>
        <w:lastRenderedPageBreak/>
        <w:t>156B</w:t>
      </w:r>
      <w:r>
        <w:rPr>
          <w:snapToGrid w:val="0"/>
        </w:rPr>
        <w:t>.</w:t>
      </w:r>
      <w:r>
        <w:rPr>
          <w:snapToGrid w:val="0"/>
        </w:rPr>
        <w:tab/>
        <w:t>Arbitrators’ powers as to return to work programs</w:t>
      </w:r>
      <w:bookmarkEnd w:id="562"/>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keepNext/>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w:t>
      </w:r>
    </w:p>
    <w:p>
      <w:pPr>
        <w:pStyle w:val="Indenta"/>
        <w:spacing w:before="60"/>
      </w:pPr>
      <w:r>
        <w:tab/>
        <w:t>(a)</w:t>
      </w:r>
      <w:r>
        <w:tab/>
        <w:t>a return to work program is required under section 155C(1) to be established for the worker; and</w:t>
      </w:r>
    </w:p>
    <w:p>
      <w:pPr>
        <w:pStyle w:val="Indenta"/>
        <w:spacing w:before="60"/>
      </w:pPr>
      <w:r>
        <w:tab/>
        <w:t>(b)</w:t>
      </w:r>
      <w:r>
        <w:tab/>
        <w:t>the worker, without reasonable excuse, refuses or has failed to participate in a return to work program; and</w:t>
      </w:r>
    </w:p>
    <w:p>
      <w:pPr>
        <w:pStyle w:val="Indenta"/>
        <w:spacing w:before="60"/>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r>
        <w:tab/>
        <w:t>[Section 156B inserted: No. 42 of 2004 s. 118.]</w:t>
      </w:r>
    </w:p>
    <w:p>
      <w:pPr>
        <w:pStyle w:val="Heading5"/>
        <w:rPr>
          <w:snapToGrid w:val="0"/>
        </w:rPr>
      </w:pPr>
      <w:bookmarkStart w:id="563" w:name="_Toc131514535"/>
      <w:r>
        <w:rPr>
          <w:rStyle w:val="CharSectno"/>
        </w:rPr>
        <w:t>157</w:t>
      </w:r>
      <w:r>
        <w:rPr>
          <w:snapToGrid w:val="0"/>
        </w:rPr>
        <w:t>.</w:t>
      </w:r>
      <w:r>
        <w:rPr>
          <w:snapToGrid w:val="0"/>
        </w:rPr>
        <w:tab/>
        <w:t>Information about injury management</w:t>
      </w:r>
      <w:bookmarkEnd w:id="563"/>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An arbitrator may request WorkCover WA to provide information on injury management or related matters, and WorkCover WA is to provide that information to the arbitrator.</w:t>
      </w:r>
    </w:p>
    <w:p>
      <w:pPr>
        <w:pStyle w:val="Footnotesection"/>
      </w:pPr>
      <w:r>
        <w:tab/>
        <w:t>[Section 157 inserted: No. 42 of 2004 s. 118.]</w:t>
      </w:r>
    </w:p>
    <w:p>
      <w:pPr>
        <w:pStyle w:val="Ednotesection"/>
      </w:pPr>
      <w:r>
        <w:lastRenderedPageBreak/>
        <w:t>[</w:t>
      </w:r>
      <w:r>
        <w:rPr>
          <w:b/>
        </w:rPr>
        <w:t>157A.</w:t>
      </w:r>
      <w:r>
        <w:tab/>
        <w:t>Deleted: No. 31 of 2011 s. 103.]</w:t>
      </w:r>
    </w:p>
    <w:p>
      <w:pPr>
        <w:pStyle w:val="Heading5"/>
      </w:pPr>
      <w:bookmarkStart w:id="564" w:name="_Toc131514536"/>
      <w:r>
        <w:rPr>
          <w:rStyle w:val="CharSectno"/>
        </w:rPr>
        <w:t>157B</w:t>
      </w:r>
      <w:r>
        <w:t>.</w:t>
      </w:r>
      <w:r>
        <w:tab/>
        <w:t>Mediation and assistance</w:t>
      </w:r>
      <w:bookmarkEnd w:id="564"/>
    </w:p>
    <w:p>
      <w:pPr>
        <w:pStyle w:val="Subsection"/>
      </w:pPr>
      <w:r>
        <w:tab/>
      </w:r>
      <w:r>
        <w:tab/>
        <w:t>WorkCover WA may provide mediation and independent guidance on injury management and related matters with a view to facilitating the informal resolution of questions and disputes arising from those matters.</w:t>
      </w:r>
    </w:p>
    <w:p>
      <w:pPr>
        <w:pStyle w:val="Footnotesection"/>
      </w:pPr>
      <w:r>
        <w:tab/>
        <w:t>[Section 157B inserted: No. 42 of 2004 s. 118.]</w:t>
      </w:r>
    </w:p>
    <w:p>
      <w:pPr>
        <w:pStyle w:val="Heading2"/>
      </w:pPr>
      <w:bookmarkStart w:id="565" w:name="_Toc100238560"/>
      <w:bookmarkStart w:id="566" w:name="_Toc100239174"/>
      <w:bookmarkStart w:id="567" w:name="_Toc100562468"/>
      <w:bookmarkStart w:id="568" w:name="_Toc107310104"/>
      <w:bookmarkStart w:id="569" w:name="_Toc107479958"/>
      <w:bookmarkStart w:id="570" w:name="_Toc131501324"/>
      <w:bookmarkStart w:id="571" w:name="_Toc131501941"/>
      <w:bookmarkStart w:id="572" w:name="_Toc131514537"/>
      <w:r>
        <w:rPr>
          <w:rStyle w:val="CharPartNo"/>
        </w:rPr>
        <w:lastRenderedPageBreak/>
        <w:t>Part IXA</w:t>
      </w:r>
      <w:r>
        <w:rPr>
          <w:b w:val="0"/>
        </w:rPr>
        <w:t> </w:t>
      </w:r>
      <w:r>
        <w:t>—</w:t>
      </w:r>
      <w:r>
        <w:rPr>
          <w:b w:val="0"/>
        </w:rPr>
        <w:t> </w:t>
      </w:r>
      <w:r>
        <w:rPr>
          <w:rStyle w:val="CharPartText"/>
        </w:rPr>
        <w:t>Specialised retraining programs</w:t>
      </w:r>
      <w:bookmarkEnd w:id="565"/>
      <w:bookmarkEnd w:id="566"/>
      <w:bookmarkEnd w:id="567"/>
      <w:bookmarkEnd w:id="568"/>
      <w:bookmarkEnd w:id="569"/>
      <w:bookmarkEnd w:id="570"/>
      <w:bookmarkEnd w:id="571"/>
      <w:bookmarkEnd w:id="572"/>
    </w:p>
    <w:p>
      <w:pPr>
        <w:pStyle w:val="Footnoteheading"/>
      </w:pPr>
      <w:r>
        <w:tab/>
        <w:t>[Heading inserted: No. 42 of 2004 s. 119.]</w:t>
      </w:r>
    </w:p>
    <w:p>
      <w:pPr>
        <w:pStyle w:val="Heading5"/>
      </w:pPr>
      <w:bookmarkStart w:id="573" w:name="_Toc131514538"/>
      <w:r>
        <w:rPr>
          <w:rStyle w:val="CharSectno"/>
        </w:rPr>
        <w:t>158</w:t>
      </w:r>
      <w:r>
        <w:t>.</w:t>
      </w:r>
      <w:r>
        <w:tab/>
        <w:t>Terms used</w:t>
      </w:r>
      <w:bookmarkEnd w:id="573"/>
    </w:p>
    <w:p>
      <w:pPr>
        <w:pStyle w:val="Subsection"/>
      </w:pPr>
      <w:r>
        <w:tab/>
        <w:t>(1)</w:t>
      </w:r>
      <w:r>
        <w:tab/>
        <w:t>In this Part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r>
      <w:r>
        <w:rPr>
          <w:rStyle w:val="CharDefText"/>
        </w:rPr>
        <w:t>retraining criteria</w:t>
      </w:r>
      <w:r>
        <w:t>, in relation to a worker, means the following criteria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it is reasonable to expect that a specialised retraining program will provide the worker with the qualification or skills necessary to return to work, having regard to the labour market, the worker’s existing qualifications and work experience;</w:t>
      </w:r>
    </w:p>
    <w:p>
      <w:pPr>
        <w:pStyle w:val="Defpara"/>
      </w:pPr>
      <w:r>
        <w:tab/>
        <w:t>(e)</w:t>
      </w:r>
      <w:r>
        <w:tab/>
        <w:t>such other criteria as may be prescribed in the regulations for the purposes of this definition.</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w:t>
      </w:r>
      <w:r>
        <w:lastRenderedPageBreak/>
        <w:t>and the term includes continuous or repeated exposure to conditions that result in an injury or injuries of a worker.</w:t>
      </w:r>
    </w:p>
    <w:p>
      <w:pPr>
        <w:pStyle w:val="Footnotesection"/>
        <w:spacing w:before="100"/>
        <w:ind w:left="890" w:hanging="890"/>
      </w:pPr>
      <w:r>
        <w:tab/>
        <w:t>[Section 158 inserted: No. 42 of 2004 s. 119.]</w:t>
      </w:r>
    </w:p>
    <w:p>
      <w:pPr>
        <w:pStyle w:val="Heading5"/>
      </w:pPr>
      <w:bookmarkStart w:id="574" w:name="_Toc131514539"/>
      <w:r>
        <w:rPr>
          <w:rStyle w:val="CharSectno"/>
        </w:rPr>
        <w:t>158A</w:t>
      </w:r>
      <w:r>
        <w:t>.</w:t>
      </w:r>
      <w:r>
        <w:tab/>
        <w:t>Eligibility to participate in programs</w:t>
      </w:r>
      <w:bookmarkEnd w:id="574"/>
    </w:p>
    <w:p>
      <w:pPr>
        <w:pStyle w:val="Subsection"/>
        <w:spacing w:before="140"/>
      </w:pPr>
      <w:r>
        <w:tab/>
        <w:t>(1)</w:t>
      </w:r>
      <w:r>
        <w:tab/>
        <w:t>A worker may participate in a specialised retraining program if —</w:t>
      </w:r>
    </w:p>
    <w:p>
      <w:pPr>
        <w:pStyle w:val="Indenta"/>
        <w:spacing w:before="60"/>
      </w:pPr>
      <w:r>
        <w:tab/>
        <w:t>(a)</w:t>
      </w:r>
      <w:r>
        <w:tab/>
        <w:t>the worker has suffered an injury that is compensable under this Act; and</w:t>
      </w:r>
    </w:p>
    <w:p>
      <w:pPr>
        <w:pStyle w:val="Indenta"/>
        <w:spacing w:before="60"/>
      </w:pPr>
      <w:r>
        <w:tab/>
        <w:t>(b)</w:t>
      </w:r>
      <w:r>
        <w:tab/>
        <w:t xml:space="preserve">the injury occurred on or after the day on which section 119 of the </w:t>
      </w:r>
      <w:r>
        <w:rPr>
          <w:i/>
        </w:rPr>
        <w:t>Workers’ Compensation Reform Act 2004</w:t>
      </w:r>
      <w:r>
        <w:t xml:space="preserve"> comes into operation; and</w:t>
      </w:r>
    </w:p>
    <w:p>
      <w:pPr>
        <w:pStyle w:val="Indenta"/>
        <w:spacing w:before="60"/>
      </w:pPr>
      <w:r>
        <w:tab/>
        <w:t>(c)</w:t>
      </w:r>
      <w:r>
        <w:tab/>
        <w:t>either —</w:t>
      </w:r>
    </w:p>
    <w:p>
      <w:pPr>
        <w:pStyle w:val="Indenti"/>
        <w:spacing w:before="60"/>
      </w:pPr>
      <w:r>
        <w:tab/>
        <w:t>(i)</w:t>
      </w:r>
      <w:r>
        <w:tab/>
        <w:t>the worker and the worker’s employer agree that the worker’s degree of permanent whole of person impairment is at least 10% but less than 15%; or</w:t>
      </w:r>
    </w:p>
    <w:p>
      <w:pPr>
        <w:pStyle w:val="Indenti"/>
        <w:spacing w:before="60"/>
      </w:pPr>
      <w:r>
        <w:tab/>
        <w:t>(ii)</w:t>
      </w:r>
      <w:r>
        <w:tab/>
        <w:t>an arbitrator has determined that the worker’s degree of permanent whole of person impairment is at least 10% but less than 15%;</w:t>
      </w:r>
    </w:p>
    <w:p>
      <w:pPr>
        <w:pStyle w:val="Indenta"/>
        <w:spacing w:before="60"/>
      </w:pPr>
      <w:r>
        <w:tab/>
      </w:r>
      <w:r>
        <w:tab/>
        <w:t>and</w:t>
      </w:r>
    </w:p>
    <w:p>
      <w:pPr>
        <w:pStyle w:val="Indenta"/>
        <w:spacing w:before="60"/>
      </w:pPr>
      <w:r>
        <w:tab/>
        <w:t>(d)</w:t>
      </w:r>
      <w:r>
        <w:tab/>
        <w:t>either —</w:t>
      </w:r>
    </w:p>
    <w:p>
      <w:pPr>
        <w:pStyle w:val="Indenti"/>
        <w:spacing w:before="60"/>
      </w:pPr>
      <w:r>
        <w:tab/>
        <w:t>(i)</w:t>
      </w:r>
      <w:r>
        <w:tab/>
        <w:t>the worker and the worker’s employer agree that the worker satisfies all of the retraining criteria; or</w:t>
      </w:r>
    </w:p>
    <w:p>
      <w:pPr>
        <w:pStyle w:val="Indenti"/>
        <w:spacing w:before="60"/>
      </w:pPr>
      <w:r>
        <w:tab/>
        <w:t>(ii)</w:t>
      </w:r>
      <w:r>
        <w:tab/>
        <w:t>an arbitrator has determined that the worker satisfies all of the retraining criteria.</w:t>
      </w:r>
    </w:p>
    <w:p>
      <w:pPr>
        <w:pStyle w:val="Subsection"/>
        <w:spacing w:before="140"/>
      </w:pPr>
      <w:r>
        <w:tab/>
        <w:t>(2)</w:t>
      </w:r>
      <w:r>
        <w:tab/>
        <w:t>A worker is eligible to participate in a specialised retraining program even if —</w:t>
      </w:r>
    </w:p>
    <w:p>
      <w:pPr>
        <w:pStyle w:val="Indenta"/>
        <w:spacing w:before="60"/>
      </w:pPr>
      <w:r>
        <w:tab/>
        <w:t>(a)</w:t>
      </w:r>
      <w:r>
        <w:tab/>
        <w:t>the worker is receiving weekly payments under clause 7 or other compensation under Schedule 1; or</w:t>
      </w:r>
    </w:p>
    <w:p>
      <w:pPr>
        <w:pStyle w:val="Indenta"/>
        <w:spacing w:before="60"/>
      </w:pPr>
      <w:r>
        <w:tab/>
        <w:t>(b)</w:t>
      </w:r>
      <w:r>
        <w:tab/>
        <w:t>the weekly payments paid for periods of the incapacity arising from the worker’s injury have reached the prescribed amount.</w:t>
      </w:r>
    </w:p>
    <w:p>
      <w:pPr>
        <w:pStyle w:val="Subsection"/>
      </w:pPr>
      <w:r>
        <w:lastRenderedPageBreak/>
        <w:tab/>
        <w:t>(3)</w:t>
      </w:r>
      <w:r>
        <w:tab/>
        <w:t>Despite having suffered an injury referred to in subsection (1)(a) and (b), a worker is not eligible to participate in a specialised retraining program if —</w:t>
      </w:r>
    </w:p>
    <w:p>
      <w:pPr>
        <w:pStyle w:val="Indenta"/>
      </w:pPr>
      <w:r>
        <w:tab/>
        <w:t>(a)</w:t>
      </w:r>
      <w:r>
        <w:tab/>
        <w:t>an election by the worker under section 93K(4) in respect of the injury has been registered; or</w:t>
      </w:r>
    </w:p>
    <w:p>
      <w:pPr>
        <w:pStyle w:val="Indenta"/>
      </w:pPr>
      <w:r>
        <w:tab/>
        <w:t>(b)</w:t>
      </w:r>
      <w:r>
        <w:tab/>
        <w:t>an agreement in respect of the whole of the liability for the incapacity or impairment arising from the injury has been registered under Part III Division 7; or</w:t>
      </w:r>
    </w:p>
    <w:p>
      <w:pPr>
        <w:pStyle w:val="Indenta"/>
      </w:pPr>
      <w:r>
        <w:tab/>
        <w:t>(c)</w:t>
      </w:r>
      <w:r>
        <w:tab/>
        <w:t>an order for redemption of the liability for incapacity arising from the injury has been made under section 67(1)(a) or (4); or</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r>
        <w:tab/>
        <w:t>[Section 158A inserted: No. 42 of 2004 s. 119.]</w:t>
      </w:r>
    </w:p>
    <w:p>
      <w:pPr>
        <w:pStyle w:val="Heading5"/>
      </w:pPr>
      <w:bookmarkStart w:id="575" w:name="_Toc131514540"/>
      <w:r>
        <w:rPr>
          <w:rStyle w:val="CharSectno"/>
        </w:rPr>
        <w:t>158B</w:t>
      </w:r>
      <w:r>
        <w:t>.</w:t>
      </w:r>
      <w:r>
        <w:tab/>
        <w:t>Final day for recording agreed matters, referring disputed matters for determination</w:t>
      </w:r>
      <w:bookmarkEnd w:id="575"/>
    </w:p>
    <w:p>
      <w:pPr>
        <w:pStyle w:val="Subsection"/>
      </w:pPr>
      <w:r>
        <w:tab/>
        <w:t>(1)</w:t>
      </w:r>
      <w:r>
        <w:tab/>
        <w:t xml:space="preserve">A worker is not eligible to participate in a specialised retraining program unless, </w:t>
      </w:r>
      <w:r>
        <w:rPr>
          <w:snapToGrid w:val="0"/>
        </w:rPr>
        <w:t xml:space="preserve">on or </w:t>
      </w:r>
      <w:r>
        <w:t>before the final day referred to in subsection (2) —</w:t>
      </w:r>
    </w:p>
    <w:p>
      <w:pPr>
        <w:pStyle w:val="Indenta"/>
      </w:pPr>
      <w:r>
        <w:tab/>
        <w:t>(a)</w:t>
      </w:r>
      <w:r>
        <w:tab/>
        <w:t>either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lastRenderedPageBreak/>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either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pPr>
      <w:r>
        <w:tab/>
        <w:t>(3)</w:t>
      </w:r>
      <w:r>
        <w:tab/>
        <w:t>If, after the expiry of the period of 3 months after the day on which the claim is made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spacing w:before="140"/>
      </w:pPr>
      <w:r>
        <w:tab/>
      </w:r>
      <w:r>
        <w:tab/>
        <w:t>the final day is the last day of the period 1 year and 9 months after the day of the act described in paragraph (a) or (b) that was most recently done unless a later day is fixed under subsection (4).</w:t>
      </w:r>
    </w:p>
    <w:p>
      <w:pPr>
        <w:pStyle w:val="Subsection"/>
      </w:pPr>
      <w:r>
        <w:lastRenderedPageBreak/>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r>
        <w:tab/>
        <w:t>[Section 158B inserted: No. 42 of 2004 s. 119.]</w:t>
      </w:r>
    </w:p>
    <w:p>
      <w:pPr>
        <w:pStyle w:val="Heading5"/>
      </w:pPr>
      <w:bookmarkStart w:id="576" w:name="_Toc131514541"/>
      <w:r>
        <w:rPr>
          <w:rStyle w:val="CharSectno"/>
        </w:rPr>
        <w:t>158C</w:t>
      </w:r>
      <w:r>
        <w:t>.</w:t>
      </w:r>
      <w:r>
        <w:tab/>
        <w:t>Degree of permanent whole of person impairment, disputes as to</w:t>
      </w:r>
      <w:bookmarkEnd w:id="576"/>
    </w:p>
    <w:p>
      <w:pPr>
        <w:pStyle w:val="Subsection"/>
      </w:pPr>
      <w:r>
        <w:tab/>
        <w:t>(1)</w:t>
      </w:r>
      <w:r>
        <w:tab/>
        <w:t>If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the worker’s degree of permanent whole of person impairment has been assessed by an approved medical specialist under sections 146A and 146D as at least 10% but less than 15%,</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lastRenderedPageBreak/>
        <w:tab/>
        <w:t>(2)</w:t>
      </w:r>
      <w:r>
        <w:tab/>
        <w:t>An arbitrator to whom an application to determine a question is made under subsection (1) may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r>
        <w:tab/>
        <w:t>[Section 158C inserted: No. 42 of 2004 s. 119.]</w:t>
      </w:r>
    </w:p>
    <w:p>
      <w:pPr>
        <w:pStyle w:val="Heading5"/>
      </w:pPr>
      <w:bookmarkStart w:id="577" w:name="_Toc131514542"/>
      <w:r>
        <w:rPr>
          <w:rStyle w:val="CharSectno"/>
        </w:rPr>
        <w:t>158D</w:t>
      </w:r>
      <w:r>
        <w:t>.</w:t>
      </w:r>
      <w:r>
        <w:tab/>
        <w:t>Retraining criteria, disputes as to</w:t>
      </w:r>
      <w:bookmarkEnd w:id="577"/>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r>
        <w:tab/>
        <w:t>[Section 158D inserted: No. 42 of 2004 s. 119.]</w:t>
      </w:r>
    </w:p>
    <w:p>
      <w:pPr>
        <w:pStyle w:val="Heading5"/>
      </w:pPr>
      <w:bookmarkStart w:id="578" w:name="_Toc131514543"/>
      <w:r>
        <w:rPr>
          <w:rStyle w:val="CharSectno"/>
        </w:rPr>
        <w:lastRenderedPageBreak/>
        <w:t>158E</w:t>
      </w:r>
      <w:r>
        <w:t>.</w:t>
      </w:r>
      <w:r>
        <w:tab/>
        <w:t>Agreements as to programs</w:t>
      </w:r>
      <w:bookmarkEnd w:id="578"/>
    </w:p>
    <w:p>
      <w:pPr>
        <w:pStyle w:val="Subsection"/>
      </w:pPr>
      <w:r>
        <w:tab/>
        <w:t>(1)</w:t>
      </w:r>
      <w:r>
        <w:tab/>
        <w:t>A worker who is eligible under sections 158A and 158B to participate in a specialised retraining program cannot participate in the program unless —</w:t>
      </w:r>
    </w:p>
    <w:p>
      <w:pPr>
        <w:pStyle w:val="Indenta"/>
      </w:pPr>
      <w:r>
        <w:tab/>
        <w:t>(a)</w:t>
      </w:r>
      <w:r>
        <w:tab/>
        <w:t>the worker has entered into an agreement with WorkCover WA in relation to the program; and</w:t>
      </w:r>
    </w:p>
    <w:p>
      <w:pPr>
        <w:pStyle w:val="Indenta"/>
      </w:pPr>
      <w:r>
        <w:tab/>
        <w:t>(b)</w:t>
      </w:r>
      <w:r>
        <w:tab/>
        <w:t>the agreement is entered into on or before the final day referred to in subsection (2).</w:t>
      </w:r>
    </w:p>
    <w:p>
      <w:pPr>
        <w:pStyle w:val="Subsection"/>
      </w:pPr>
      <w:r>
        <w:tab/>
        <w:t>(2)</w:t>
      </w:r>
      <w:r>
        <w:tab/>
        <w:t>The final day for the purposes of subsection (1) is the later of —</w:t>
      </w:r>
    </w:p>
    <w:p>
      <w:pPr>
        <w:pStyle w:val="Indenta"/>
      </w:pPr>
      <w:r>
        <w:tab/>
        <w:t>(a)</w:t>
      </w:r>
      <w:r>
        <w:tab/>
        <w:t>the day that is 30 days after the day on which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the day that is 30 days after the day on which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the worker is given the decision of an arbitrator as to whether the worker satisfies all of the retraining criteria,</w:t>
      </w:r>
    </w:p>
    <w:p>
      <w:pPr>
        <w:pStyle w:val="Indenta"/>
      </w:pPr>
      <w:r>
        <w:tab/>
      </w:r>
      <w:r>
        <w:tab/>
        <w:t>as is relevant to the case.</w:t>
      </w:r>
    </w:p>
    <w:p>
      <w:pPr>
        <w:pStyle w:val="Subsection"/>
        <w:keepNext/>
      </w:pPr>
      <w:r>
        <w:tab/>
        <w:t>(3)</w:t>
      </w:r>
      <w:r>
        <w:tab/>
        <w:t>An agreement is to make provision in relation to —</w:t>
      </w:r>
    </w:p>
    <w:p>
      <w:pPr>
        <w:pStyle w:val="Indenta"/>
      </w:pPr>
      <w:r>
        <w:tab/>
        <w:t>(a)</w:t>
      </w:r>
      <w:r>
        <w:tab/>
        <w:t>course attendance requirements;</w:t>
      </w:r>
    </w:p>
    <w:p>
      <w:pPr>
        <w:pStyle w:val="Indenta"/>
      </w:pPr>
      <w:r>
        <w:tab/>
        <w:t>(b)</w:t>
      </w:r>
      <w:r>
        <w:tab/>
        <w:t xml:space="preserve">the worker’s role in relation to reviews under section 158H including attendances and communications with WorkCover WA and providing information in </w:t>
      </w:r>
      <w:r>
        <w:lastRenderedPageBreak/>
        <w:t>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spacing w:before="140"/>
      </w:pPr>
      <w:r>
        <w:tab/>
        <w:t>(4)</w:t>
      </w:r>
      <w:r>
        <w:tab/>
        <w:t>Any provision of an agreement that is inconsistent with a provision of this Act is of no effect to the extent of the inconsistency.</w:t>
      </w:r>
    </w:p>
    <w:p>
      <w:pPr>
        <w:pStyle w:val="Footnotesection"/>
      </w:pPr>
      <w:r>
        <w:tab/>
        <w:t>[Section 158E inserted: No. 42 of 2004 s. 119.]</w:t>
      </w:r>
    </w:p>
    <w:p>
      <w:pPr>
        <w:pStyle w:val="Heading5"/>
      </w:pPr>
      <w:bookmarkStart w:id="579" w:name="_Toc131514544"/>
      <w:r>
        <w:rPr>
          <w:rStyle w:val="CharSectno"/>
        </w:rPr>
        <w:t>158F</w:t>
      </w:r>
      <w:r>
        <w:t>.</w:t>
      </w:r>
      <w:r>
        <w:tab/>
        <w:t>Programs, directions as to payments for etc.</w:t>
      </w:r>
      <w:bookmarkEnd w:id="579"/>
    </w:p>
    <w:p>
      <w:pPr>
        <w:pStyle w:val="Subsection"/>
        <w:spacing w:before="140"/>
      </w:pPr>
      <w:r>
        <w:tab/>
        <w:t>(1)</w:t>
      </w:r>
      <w:r>
        <w:tab/>
        <w:t>As soon as practicable after an agreement under section 158E has been signed by the worker and WorkCover WA, WorkCover WA is to notify the following persons of the agreement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spacing w:before="140"/>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spacing w:before="140"/>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spacing w:before="140"/>
      </w:pPr>
      <w:r>
        <w:tab/>
        <w:t>(4)</w:t>
      </w:r>
      <w:r>
        <w:tab/>
        <w:t>A direction may be for periodic payments or for a particular payment.</w:t>
      </w:r>
    </w:p>
    <w:p>
      <w:pPr>
        <w:pStyle w:val="Subsection"/>
        <w:keepNext/>
        <w:spacing w:before="140"/>
      </w:pPr>
      <w:r>
        <w:tab/>
        <w:t>(5)</w:t>
      </w:r>
      <w:r>
        <w:tab/>
        <w:t>A payment may be for, but is not limited to —</w:t>
      </w:r>
    </w:p>
    <w:p>
      <w:pPr>
        <w:pStyle w:val="Indenta"/>
      </w:pPr>
      <w:r>
        <w:tab/>
        <w:t>(a)</w:t>
      </w:r>
      <w:r>
        <w:tab/>
        <w:t>reasonable fees for a course;</w:t>
      </w:r>
    </w:p>
    <w:p>
      <w:pPr>
        <w:pStyle w:val="Indenta"/>
      </w:pPr>
      <w:r>
        <w:lastRenderedPageBreak/>
        <w:tab/>
        <w:t>(b)</w:t>
      </w:r>
      <w:r>
        <w:tab/>
        <w:t>the cost of books and relevant resource materials reasonably necessary to undertake a course;</w:t>
      </w:r>
    </w:p>
    <w:p>
      <w:pPr>
        <w:pStyle w:val="Indenta"/>
        <w:spacing w:before="60"/>
      </w:pPr>
      <w:r>
        <w:tab/>
        <w:t>(c)</w:t>
      </w:r>
      <w:r>
        <w:tab/>
        <w:t>subject to subsections (8) and (9), a weekly retraining allowance.</w:t>
      </w:r>
    </w:p>
    <w:p>
      <w:pPr>
        <w:pStyle w:val="Subsection"/>
        <w:spacing w:before="130"/>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spacing w:before="130"/>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spacing w:before="130"/>
      </w:pPr>
      <w:r>
        <w:tab/>
        <w:t>(8)</w:t>
      </w:r>
      <w:r>
        <w:tab/>
        <w:t>The worker cannot receive any weekly retraining allowance payments until the total weekly payments under clause 7 have reached the prescribed amount.</w:t>
      </w:r>
    </w:p>
    <w:p>
      <w:pPr>
        <w:pStyle w:val="Subsection"/>
        <w:spacing w:before="130"/>
      </w:pPr>
      <w:r>
        <w:tab/>
        <w:t>(9)</w:t>
      </w:r>
      <w:r>
        <w:tab/>
        <w:t>Any weekly retraining allowance amount —</w:t>
      </w:r>
    </w:p>
    <w:p>
      <w:pPr>
        <w:pStyle w:val="Indenta"/>
        <w:spacing w:before="60"/>
      </w:pPr>
      <w:r>
        <w:tab/>
        <w:t>(a)</w:t>
      </w:r>
      <w:r>
        <w:tab/>
        <w:t>is not to be linked to or represent the worker’s capacity or otherwise to work; and</w:t>
      </w:r>
    </w:p>
    <w:p>
      <w:pPr>
        <w:pStyle w:val="Indenta"/>
        <w:spacing w:before="60"/>
      </w:pPr>
      <w:r>
        <w:tab/>
        <w:t>(b)</w:t>
      </w:r>
      <w:r>
        <w:tab/>
        <w:t>is not to exceed the worker’s pre</w:t>
      </w:r>
      <w:r>
        <w:noBreakHyphen/>
        <w:t>injury weekly earnings.</w:t>
      </w:r>
    </w:p>
    <w:p>
      <w:pPr>
        <w:pStyle w:val="Subsection"/>
        <w:keepNext/>
        <w:keepLines/>
        <w:spacing w:before="140"/>
      </w:pPr>
      <w:r>
        <w:tab/>
        <w:t>(10)</w:t>
      </w:r>
      <w:r>
        <w:tab/>
        <w:t>Subject to subsections (6), (7), (8) and (9), the following matters may be prescribed by the regulations —</w:t>
      </w:r>
    </w:p>
    <w:p>
      <w:pPr>
        <w:pStyle w:val="Indenta"/>
        <w:spacing w:before="60"/>
      </w:pPr>
      <w:r>
        <w:tab/>
        <w:t>(a)</w:t>
      </w:r>
      <w:r>
        <w:tab/>
        <w:t>the submission of requests for payment and requirement for copies of invoices to be provided to WorkCover WA;</w:t>
      </w:r>
    </w:p>
    <w:p>
      <w:pPr>
        <w:pStyle w:val="Indenta"/>
        <w:spacing w:before="60"/>
      </w:pPr>
      <w:r>
        <w:tab/>
        <w:t>(b)</w:t>
      </w:r>
      <w:r>
        <w:tab/>
        <w:t>the manner in which funds may be apportioned;</w:t>
      </w:r>
    </w:p>
    <w:p>
      <w:pPr>
        <w:pStyle w:val="Indenta"/>
        <w:spacing w:before="60"/>
      </w:pPr>
      <w:r>
        <w:tab/>
        <w:t>(c)</w:t>
      </w:r>
      <w:r>
        <w:tab/>
        <w:t>when funds should be directed to be paid;</w:t>
      </w:r>
    </w:p>
    <w:p>
      <w:pPr>
        <w:pStyle w:val="Indenta"/>
        <w:spacing w:before="60"/>
      </w:pPr>
      <w:r>
        <w:tab/>
        <w:t>(d)</w:t>
      </w:r>
      <w:r>
        <w:tab/>
        <w:t>when funds should be paid;</w:t>
      </w:r>
    </w:p>
    <w:p>
      <w:pPr>
        <w:pStyle w:val="Indenta"/>
        <w:spacing w:before="60"/>
      </w:pPr>
      <w:r>
        <w:tab/>
        <w:t>(e)</w:t>
      </w:r>
      <w:r>
        <w:tab/>
        <w:t>the rate of any weekly training allowance.</w:t>
      </w:r>
    </w:p>
    <w:p>
      <w:pPr>
        <w:pStyle w:val="Footnotesection"/>
        <w:spacing w:before="100"/>
        <w:ind w:left="890" w:hanging="890"/>
      </w:pPr>
      <w:r>
        <w:tab/>
        <w:t>[Section 158F inserted: No. 42 of 2004 s. 119.]</w:t>
      </w:r>
    </w:p>
    <w:p>
      <w:pPr>
        <w:pStyle w:val="Heading5"/>
      </w:pPr>
      <w:bookmarkStart w:id="580" w:name="_Toc131514545"/>
      <w:r>
        <w:rPr>
          <w:rStyle w:val="CharSectno"/>
        </w:rPr>
        <w:lastRenderedPageBreak/>
        <w:t>158G</w:t>
      </w:r>
      <w:r>
        <w:t>.</w:t>
      </w:r>
      <w:r>
        <w:tab/>
        <w:t>Directions given under s. 158F or 158I, duties of employers and insurers as to</w:t>
      </w:r>
      <w:bookmarkEnd w:id="580"/>
    </w:p>
    <w:p>
      <w:pPr>
        <w:pStyle w:val="Subsection"/>
      </w:pPr>
      <w:r>
        <w:rPr>
          <w:b/>
        </w:rPr>
        <w:tab/>
      </w:r>
      <w:r>
        <w:t>(1)</w:t>
      </w:r>
      <w:r>
        <w:tab/>
        <w:t>An employer or insurer who receives a direction under section 158F or 158I must comply with the direction within the time specified in the direction, or such longer period as may be subsequently specified by WorkCover WA but not exceeding 30 days.</w:t>
      </w:r>
    </w:p>
    <w:p>
      <w:pPr>
        <w:pStyle w:val="Subsection"/>
      </w:pPr>
      <w:r>
        <w:tab/>
        <w:t>(2)</w:t>
      </w:r>
      <w:r>
        <w:tab/>
        <w:t>An employer or insurer must not modify, suspend or cease an amount payable under a direction under section 158F or affected by a direction under section 158I unless WorkCover WA has given the employer or insurer written approval to do so.</w:t>
      </w:r>
    </w:p>
    <w:p>
      <w:pPr>
        <w:pStyle w:val="Subsection"/>
      </w:pPr>
      <w:r>
        <w:tab/>
        <w:t>(3)</w:t>
      </w:r>
      <w:r>
        <w:tab/>
        <w:t>A reference in section 174(1)(c) to the obtaining of an award by the worker includes a reference to the receipt by an employer or insurer of a direction under section 158F or 158I.</w:t>
      </w:r>
    </w:p>
    <w:p>
      <w:pPr>
        <w:pStyle w:val="Subsection"/>
      </w:pPr>
      <w:r>
        <w:tab/>
        <w:t>(4)</w:t>
      </w:r>
      <w:r>
        <w:tab/>
        <w:t>Nothing in section 174 prevents moneys standing to the credit of the General Account from being paid in accordance with a direction under section 158F or 158I within 30 days of the direction being received if —</w:t>
      </w:r>
    </w:p>
    <w:p>
      <w:pPr>
        <w:pStyle w:val="Indenta"/>
      </w:pPr>
      <w:r>
        <w:tab/>
        <w:t>(a)</w:t>
      </w:r>
      <w:r>
        <w:tab/>
        <w:t>the direction relates to a payment in respect of a particular specialised retraining program; and</w:t>
      </w:r>
    </w:p>
    <w:p>
      <w:pPr>
        <w:pStyle w:val="Indenta"/>
        <w:keepNext/>
      </w:pPr>
      <w:r>
        <w:tab/>
        <w:t>(b)</w:t>
      </w:r>
      <w:r>
        <w:tab/>
        <w:t>moneys have already been paid from the General Account in respect of that program.</w:t>
      </w:r>
    </w:p>
    <w:p>
      <w:pPr>
        <w:pStyle w:val="Footnotesection"/>
      </w:pPr>
      <w:r>
        <w:tab/>
        <w:t>[Section 158G inserted: No. 42 of 2004 s. 119; amended: No. 77 of 2006 Sch. 1 cl. 189(9).]</w:t>
      </w:r>
    </w:p>
    <w:p>
      <w:pPr>
        <w:pStyle w:val="Heading5"/>
      </w:pPr>
      <w:bookmarkStart w:id="581" w:name="_Toc131514546"/>
      <w:r>
        <w:rPr>
          <w:rStyle w:val="CharSectno"/>
        </w:rPr>
        <w:t>158H</w:t>
      </w:r>
      <w:r>
        <w:t>.</w:t>
      </w:r>
      <w:r>
        <w:tab/>
        <w:t>Reviews of programs</w:t>
      </w:r>
      <w:bookmarkEnd w:id="581"/>
    </w:p>
    <w:p>
      <w:pPr>
        <w:pStyle w:val="Subsection"/>
      </w:pPr>
      <w:r>
        <w:tab/>
        <w:t>(1)</w:t>
      </w:r>
      <w:r>
        <w:tab/>
        <w:t>WorkCover WA is to conduct, at the times set out in subsection (2), a review of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lastRenderedPageBreak/>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r>
        <w:tab/>
        <w:t>[Section 158H inserted: No. 42 of 2004 s. 119.]</w:t>
      </w:r>
    </w:p>
    <w:p>
      <w:pPr>
        <w:pStyle w:val="Heading5"/>
      </w:pPr>
      <w:bookmarkStart w:id="582" w:name="_Toc131514547"/>
      <w:r>
        <w:rPr>
          <w:rStyle w:val="CharSectno"/>
        </w:rPr>
        <w:t>158I</w:t>
      </w:r>
      <w:r>
        <w:t>.</w:t>
      </w:r>
      <w:r>
        <w:tab/>
        <w:t>WorkCover WA may direct modification etc. of programs</w:t>
      </w:r>
      <w:bookmarkEnd w:id="582"/>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keepNext/>
      </w:pPr>
      <w:r>
        <w:tab/>
        <w:t>(2)</w:t>
      </w:r>
      <w:r>
        <w:tab/>
        <w:t>Without affecting subsection (1) WorkCover WA may give a written direction to the worker’s employer or the employer’s insurer to do any of the following —</w:t>
      </w:r>
    </w:p>
    <w:p>
      <w:pPr>
        <w:pStyle w:val="Indenta"/>
      </w:pPr>
      <w:r>
        <w:tab/>
        <w:t>(a)</w:t>
      </w:r>
      <w:r>
        <w:tab/>
        <w:t>suspend any entitlement that a worker has under an agreement under section 158E if WorkCover WA is of the opinion that the worker has not complied, or is not complying, with a provision of the agreement;</w:t>
      </w:r>
    </w:p>
    <w:p>
      <w:pPr>
        <w:pStyle w:val="Indenta"/>
      </w:pPr>
      <w:r>
        <w:tab/>
        <w:t>(b)</w:t>
      </w:r>
      <w:r>
        <w:tab/>
        <w:t>cease the entitlement if the worker does not, within one month of being requested in writing by WorkCover WA to do so, comply with the provision;</w:t>
      </w:r>
    </w:p>
    <w:p>
      <w:pPr>
        <w:pStyle w:val="Indenta"/>
      </w:pPr>
      <w:r>
        <w:tab/>
        <w:t>(c)</w:t>
      </w:r>
      <w:r>
        <w:tab/>
        <w:t>modify, suspend or cease the amounts payable in respect of the worker’s participation in the program if the worker fails a course requirement or does not achieve the results that, in the opinion of WorkCover WA, are required for the course to be successfully completed.</w:t>
      </w:r>
    </w:p>
    <w:p>
      <w:pPr>
        <w:pStyle w:val="Footnotesection"/>
      </w:pPr>
      <w:r>
        <w:tab/>
        <w:t>[Section 158I inserted: No. 42 of 2004 s. 119.]</w:t>
      </w:r>
    </w:p>
    <w:p>
      <w:pPr>
        <w:pStyle w:val="Heading5"/>
      </w:pPr>
      <w:bookmarkStart w:id="583" w:name="_Toc131514548"/>
      <w:r>
        <w:rPr>
          <w:rStyle w:val="CharSectno"/>
        </w:rPr>
        <w:t>158J</w:t>
      </w:r>
      <w:r>
        <w:t>.</w:t>
      </w:r>
      <w:r>
        <w:tab/>
        <w:t>When payments for programs cease</w:t>
      </w:r>
      <w:bookmarkEnd w:id="583"/>
    </w:p>
    <w:p>
      <w:pPr>
        <w:pStyle w:val="Subsection"/>
        <w:spacing w:before="120"/>
      </w:pPr>
      <w:r>
        <w:tab/>
      </w:r>
      <w:r>
        <w:tab/>
        <w:t xml:space="preserve">Payments in respect of a worker’s participation in a specialised retraining program cease from the date on which an event </w:t>
      </w:r>
      <w:r>
        <w:lastRenderedPageBreak/>
        <w:t>referred to in section 158A(3)(a) to (e) occurs in respect of a claim for the injury concerned.</w:t>
      </w:r>
    </w:p>
    <w:p>
      <w:pPr>
        <w:pStyle w:val="Footnotesection"/>
        <w:spacing w:before="80"/>
        <w:ind w:left="890" w:hanging="890"/>
      </w:pPr>
      <w:r>
        <w:tab/>
        <w:t>[Section 158J inserted: No. 42 of 2004 s. 119.]</w:t>
      </w:r>
    </w:p>
    <w:p>
      <w:pPr>
        <w:pStyle w:val="Heading5"/>
        <w:spacing w:before="200"/>
      </w:pPr>
      <w:bookmarkStart w:id="584" w:name="_Toc131514549"/>
      <w:r>
        <w:rPr>
          <w:rStyle w:val="CharSectno"/>
        </w:rPr>
        <w:t>158K</w:t>
      </w:r>
      <w:r>
        <w:t>.</w:t>
      </w:r>
      <w:r>
        <w:tab/>
        <w:t>Directions not open to challenge etc.</w:t>
      </w:r>
      <w:bookmarkEnd w:id="584"/>
    </w:p>
    <w:p>
      <w:pPr>
        <w:pStyle w:val="Subsection"/>
        <w:spacing w:before="120"/>
      </w:pPr>
      <w:r>
        <w:tab/>
      </w:r>
      <w:r>
        <w:tab/>
        <w:t>A decision of WorkCover WA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spacing w:before="80"/>
        <w:ind w:left="890" w:hanging="890"/>
      </w:pPr>
      <w:r>
        <w:tab/>
        <w:t>[Section 158K inserted: No. 42 of 2004 s. 119.]</w:t>
      </w:r>
    </w:p>
    <w:p>
      <w:pPr>
        <w:pStyle w:val="Heading5"/>
        <w:spacing w:before="200"/>
      </w:pPr>
      <w:bookmarkStart w:id="585" w:name="_Toc131514550"/>
      <w:r>
        <w:rPr>
          <w:rStyle w:val="CharSectno"/>
        </w:rPr>
        <w:t>158L</w:t>
      </w:r>
      <w:r>
        <w:t>.</w:t>
      </w:r>
      <w:r>
        <w:tab/>
        <w:t>Other effects of participating in program</w:t>
      </w:r>
      <w:bookmarkEnd w:id="585"/>
    </w:p>
    <w:p>
      <w:pPr>
        <w:pStyle w:val="Subsection"/>
        <w:spacing w:before="120"/>
      </w:pPr>
      <w:r>
        <w:tab/>
        <w:t>(1)</w:t>
      </w:r>
      <w:r>
        <w:tab/>
        <w:t>The amount referred to in section 158F(2) is in addition to and separate from any other compensation that a worker is entitled to under this Act in relation to an injury.</w:t>
      </w:r>
    </w:p>
    <w:p>
      <w:pPr>
        <w:pStyle w:val="Subsection"/>
        <w:spacing w:before="120"/>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spacing w:before="120"/>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spacing w:before="120"/>
      </w:pPr>
      <w:r>
        <w:tab/>
        <w:t>(4)</w:t>
      </w:r>
      <w:r>
        <w:tab/>
        <w:t>No part of the specialised retraining program entitlement can be taken into account in the calculation of any other compensation to which the worker is entitled under this Act.</w:t>
      </w:r>
    </w:p>
    <w:p>
      <w:pPr>
        <w:pStyle w:val="Footnotesection"/>
        <w:spacing w:before="80"/>
        <w:ind w:left="890" w:hanging="890"/>
      </w:pPr>
      <w:r>
        <w:tab/>
        <w:t>[Section 158L inserted: No. 42 of 2004 s. 119.]</w:t>
      </w:r>
    </w:p>
    <w:p>
      <w:pPr>
        <w:pStyle w:val="Heading2"/>
      </w:pPr>
      <w:bookmarkStart w:id="586" w:name="_Toc100238574"/>
      <w:bookmarkStart w:id="587" w:name="_Toc100239188"/>
      <w:bookmarkStart w:id="588" w:name="_Toc100562482"/>
      <w:bookmarkStart w:id="589" w:name="_Toc107310118"/>
      <w:bookmarkStart w:id="590" w:name="_Toc107479972"/>
      <w:bookmarkStart w:id="591" w:name="_Toc131501338"/>
      <w:bookmarkStart w:id="592" w:name="_Toc131501955"/>
      <w:bookmarkStart w:id="593" w:name="_Toc131514551"/>
      <w:r>
        <w:rPr>
          <w:rStyle w:val="CharPartNo"/>
        </w:rPr>
        <w:lastRenderedPageBreak/>
        <w:t>Part X</w:t>
      </w:r>
      <w:r>
        <w:t> — </w:t>
      </w:r>
      <w:r>
        <w:rPr>
          <w:rStyle w:val="CharPartText"/>
        </w:rPr>
        <w:t>Insurance</w:t>
      </w:r>
      <w:bookmarkEnd w:id="586"/>
      <w:bookmarkEnd w:id="587"/>
      <w:bookmarkEnd w:id="588"/>
      <w:bookmarkEnd w:id="589"/>
      <w:bookmarkEnd w:id="590"/>
      <w:bookmarkEnd w:id="591"/>
      <w:bookmarkEnd w:id="592"/>
      <w:bookmarkEnd w:id="593"/>
    </w:p>
    <w:p>
      <w:pPr>
        <w:pStyle w:val="Heading3"/>
        <w:spacing w:before="180"/>
      </w:pPr>
      <w:bookmarkStart w:id="594" w:name="_Toc100238575"/>
      <w:bookmarkStart w:id="595" w:name="_Toc100239189"/>
      <w:bookmarkStart w:id="596" w:name="_Toc100562483"/>
      <w:bookmarkStart w:id="597" w:name="_Toc107310119"/>
      <w:bookmarkStart w:id="598" w:name="_Toc107479973"/>
      <w:bookmarkStart w:id="599" w:name="_Toc131501339"/>
      <w:bookmarkStart w:id="600" w:name="_Toc131501956"/>
      <w:bookmarkStart w:id="601" w:name="_Toc131514552"/>
      <w:r>
        <w:rPr>
          <w:rStyle w:val="CharDivNo"/>
        </w:rPr>
        <w:t>Division 1</w:t>
      </w:r>
      <w:r>
        <w:rPr>
          <w:snapToGrid w:val="0"/>
        </w:rPr>
        <w:t> — </w:t>
      </w:r>
      <w:r>
        <w:rPr>
          <w:rStyle w:val="CharDivText"/>
        </w:rPr>
        <w:t>Liability of employers and insurers</w:t>
      </w:r>
      <w:bookmarkEnd w:id="594"/>
      <w:bookmarkEnd w:id="595"/>
      <w:bookmarkEnd w:id="596"/>
      <w:bookmarkEnd w:id="597"/>
      <w:bookmarkEnd w:id="598"/>
      <w:bookmarkEnd w:id="599"/>
      <w:bookmarkEnd w:id="600"/>
      <w:bookmarkEnd w:id="601"/>
    </w:p>
    <w:p>
      <w:pPr>
        <w:pStyle w:val="Heading5"/>
        <w:spacing w:before="180"/>
      </w:pPr>
      <w:bookmarkStart w:id="602" w:name="_Toc131514553"/>
      <w:r>
        <w:rPr>
          <w:rStyle w:val="CharSectno"/>
        </w:rPr>
        <w:t>159</w:t>
      </w:r>
      <w:r>
        <w:t>.</w:t>
      </w:r>
      <w:r>
        <w:tab/>
        <w:t>Terms used</w:t>
      </w:r>
      <w:bookmarkEnd w:id="602"/>
    </w:p>
    <w:p>
      <w:pPr>
        <w:pStyle w:val="Subsection"/>
        <w:spacing w:before="120"/>
      </w:pPr>
      <w:r>
        <w:tab/>
      </w:r>
      <w:r>
        <w:tab/>
        <w:t xml:space="preserve">In this Part — </w:t>
      </w:r>
    </w:p>
    <w:p>
      <w:pPr>
        <w:pStyle w:val="Defstart"/>
        <w:spacing w:before="60"/>
      </w:pPr>
      <w:r>
        <w:tab/>
      </w:r>
      <w:r>
        <w:rPr>
          <w:rStyle w:val="CharDefText"/>
        </w:rPr>
        <w:t xml:space="preserve">compensable injury </w:t>
      </w:r>
      <w:r>
        <w:t>means an injury for which an employer is liable;</w:t>
      </w:r>
    </w:p>
    <w:p>
      <w:pPr>
        <w:pStyle w:val="Defstart"/>
      </w:pPr>
      <w:r>
        <w:tab/>
      </w:r>
      <w:r>
        <w:rPr>
          <w:rStyle w:val="CharDefText"/>
        </w:rPr>
        <w:t>damages</w:t>
      </w:r>
      <w:r>
        <w:t xml:space="preserve"> means — </w:t>
      </w:r>
    </w:p>
    <w:p>
      <w:pPr>
        <w:pStyle w:val="Defpara"/>
      </w:pPr>
      <w:r>
        <w:tab/>
        <w:t>(a)</w:t>
      </w:r>
      <w:r>
        <w:tab/>
        <w:t>damages due or payable to, or claimed by, a worker for an injury caused to that worker by the negligence, other tort or breach of statutory duty of the employer of the worker or the negligence of any person for whose conduct the employer is vicariously liable; or</w:t>
      </w:r>
    </w:p>
    <w:p>
      <w:pPr>
        <w:pStyle w:val="Defpara"/>
      </w:pPr>
      <w:r>
        <w:tab/>
        <w:t>(b)</w:t>
      </w:r>
      <w:r>
        <w:tab/>
        <w:t xml:space="preserve">damages due or payable to, or claimed by, a dependant of a deceased worker under the </w:t>
      </w:r>
      <w:r>
        <w:rPr>
          <w:i/>
        </w:rPr>
        <w:t>Fatal Accidents Act 1959</w:t>
      </w:r>
      <w:r>
        <w:t xml:space="preserve"> for an injury causing the death of the worker; or</w:t>
      </w:r>
    </w:p>
    <w:p>
      <w:pPr>
        <w:pStyle w:val="Defpara"/>
      </w:pPr>
      <w:r>
        <w:tab/>
        <w:t>(c)</w:t>
      </w:r>
      <w:r>
        <w:tab/>
        <w:t xml:space="preserve">damages due or payable to, or claimed on behalf of, the estate of a deceased worker under the </w:t>
      </w:r>
      <w:r>
        <w:rPr>
          <w:i/>
        </w:rPr>
        <w:t>Law Reform (Miscellaneous Provisions) Act 1941</w:t>
      </w:r>
      <w:r>
        <w:t xml:space="preserve"> for an injury causing the death of the worker; or</w:t>
      </w:r>
    </w:p>
    <w:p>
      <w:pPr>
        <w:pStyle w:val="Defpara"/>
      </w:pPr>
      <w:r>
        <w:tab/>
        <w:t>(d)</w:t>
      </w:r>
      <w:r>
        <w:tab/>
        <w:t xml:space="preserve">the amount of any contribution or indemnity due or payable to, or claimed by, a concurrent tortfeasor under the </w:t>
      </w:r>
      <w:r>
        <w:rPr>
          <w:i/>
        </w:rPr>
        <w:t>Law Reform (Contributory Negligence and Tortfeasors’ Contribution) Act 1947</w:t>
      </w:r>
      <w:r>
        <w:t xml:space="preserve"> in respect of an injury to, or death of, a worker,</w:t>
      </w:r>
    </w:p>
    <w:p>
      <w:pPr>
        <w:pStyle w:val="Defstart"/>
      </w:pPr>
      <w:r>
        <w:tab/>
        <w:t>but does not include a liability imposed by contract that would not arise as a coordinate liability in negligence or other tort or breach of statutory duty;</w:t>
      </w:r>
    </w:p>
    <w:p>
      <w:pPr>
        <w:pStyle w:val="Defstart"/>
        <w:keepNext/>
      </w:pPr>
      <w:r>
        <w:tab/>
      </w:r>
      <w:r>
        <w:rPr>
          <w:rStyle w:val="CharDefText"/>
        </w:rPr>
        <w:t>deemed worker</w:t>
      </w:r>
      <w:r>
        <w:t xml:space="preserve">, in relation to an employer, means — </w:t>
      </w:r>
    </w:p>
    <w:p>
      <w:pPr>
        <w:pStyle w:val="Defpara"/>
      </w:pPr>
      <w:r>
        <w:tab/>
        <w:t>(a)</w:t>
      </w:r>
      <w:r>
        <w:tab/>
        <w:t>a worker of whom the employer would not be the employer, but for being deemed by section 175(1) to be the employer; or</w:t>
      </w:r>
    </w:p>
    <w:p>
      <w:pPr>
        <w:pStyle w:val="Defpara"/>
        <w:spacing w:before="60"/>
      </w:pPr>
      <w:r>
        <w:lastRenderedPageBreak/>
        <w:tab/>
        <w:t>(b)</w:t>
      </w:r>
      <w:r>
        <w:tab/>
        <w:t>a person to whom the employer would be liable to pay compensation in the circumstances described in section 175AA(5)(a); and</w:t>
      </w:r>
    </w:p>
    <w:p>
      <w:pPr>
        <w:pStyle w:val="Defpara"/>
        <w:spacing w:before="60"/>
      </w:pPr>
      <w:r>
        <w:tab/>
        <w:t>(c)</w:t>
      </w:r>
      <w:r>
        <w:tab/>
        <w:t>where the employer is Racing and Wagering Western Australia, a person of whom Racing and Wagering Western Australia would not be the employer but for section 11A(3);</w:t>
      </w:r>
    </w:p>
    <w:p>
      <w:pPr>
        <w:pStyle w:val="Defstart"/>
        <w:spacing w:before="60"/>
      </w:pPr>
      <w:r>
        <w:tab/>
      </w:r>
      <w:r>
        <w:rPr>
          <w:rStyle w:val="CharDefText"/>
        </w:rPr>
        <w:t>insurable damages</w:t>
      </w:r>
      <w:r>
        <w:t xml:space="preserve"> means damages in respect of which an employer is required by section 160(1)(b) to insure;</w:t>
      </w:r>
    </w:p>
    <w:p>
      <w:pPr>
        <w:pStyle w:val="Defstart"/>
        <w:spacing w:before="60"/>
      </w:pPr>
      <w:r>
        <w:tab/>
      </w:r>
      <w:r>
        <w:rPr>
          <w:rStyle w:val="CharDefText"/>
        </w:rPr>
        <w:t>liable</w:t>
      </w:r>
      <w:r>
        <w:t>, in relation to a compensable injury, means liable to pay compensation in accordance with this Act;</w:t>
      </w:r>
    </w:p>
    <w:p>
      <w:pPr>
        <w:pStyle w:val="Defstart"/>
        <w:spacing w:before="60"/>
      </w:pPr>
      <w:r>
        <w:tab/>
      </w:r>
      <w:r>
        <w:rPr>
          <w:rStyle w:val="CharDefText"/>
        </w:rPr>
        <w:t>remuneration</w:t>
      </w:r>
      <w:r>
        <w:t xml:space="preserve"> means — </w:t>
      </w:r>
    </w:p>
    <w:p>
      <w:pPr>
        <w:pStyle w:val="Defpara"/>
        <w:spacing w:before="60"/>
      </w:pPr>
      <w:r>
        <w:tab/>
        <w:t>(a)</w:t>
      </w:r>
      <w:r>
        <w:tab/>
        <w:t xml:space="preserve">unless regulations provide that it is not to be treated as remuneration for the purposes of this definition, any amount of any of the following — </w:t>
      </w:r>
    </w:p>
    <w:p>
      <w:pPr>
        <w:pStyle w:val="Defsubpara"/>
        <w:spacing w:before="60"/>
      </w:pPr>
      <w:r>
        <w:tab/>
        <w:t>(i)</w:t>
      </w:r>
      <w:r>
        <w:tab/>
        <w:t>wages;</w:t>
      </w:r>
    </w:p>
    <w:p>
      <w:pPr>
        <w:pStyle w:val="Defsubpara"/>
        <w:spacing w:before="60"/>
      </w:pPr>
      <w:r>
        <w:tab/>
        <w:t>(ii)</w:t>
      </w:r>
      <w:r>
        <w:tab/>
        <w:t>salaries;</w:t>
      </w:r>
    </w:p>
    <w:p>
      <w:pPr>
        <w:pStyle w:val="Defsubpara"/>
        <w:spacing w:before="60"/>
      </w:pPr>
      <w:r>
        <w:tab/>
        <w:t>(iii)</w:t>
      </w:r>
      <w:r>
        <w:tab/>
        <w:t xml:space="preserve">sums paid to workers under an agreement to perform — </w:t>
      </w:r>
    </w:p>
    <w:p>
      <w:pPr>
        <w:pStyle w:val="Defitem"/>
        <w:spacing w:before="60"/>
      </w:pPr>
      <w:r>
        <w:tab/>
        <w:t>(I)</w:t>
      </w:r>
      <w:r>
        <w:tab/>
        <w:t>a specified quantity of work for a specified sum; or</w:t>
      </w:r>
    </w:p>
    <w:p>
      <w:pPr>
        <w:pStyle w:val="Defitem"/>
        <w:spacing w:before="60"/>
      </w:pPr>
      <w:r>
        <w:tab/>
        <w:t>(II)</w:t>
      </w:r>
      <w:r>
        <w:tab/>
        <w:t>work on piece rates; or</w:t>
      </w:r>
    </w:p>
    <w:p>
      <w:pPr>
        <w:pStyle w:val="Defitem"/>
        <w:spacing w:before="60"/>
      </w:pPr>
      <w:r>
        <w:tab/>
        <w:t>(III)</w:t>
      </w:r>
      <w:r>
        <w:tab/>
        <w:t xml:space="preserve">work on a bonus or commission system for payment by results; </w:t>
      </w:r>
    </w:p>
    <w:p>
      <w:pPr>
        <w:pStyle w:val="Defpara"/>
        <w:spacing w:before="60"/>
      </w:pPr>
      <w:r>
        <w:tab/>
      </w:r>
      <w:r>
        <w:tab/>
        <w:t>and</w:t>
      </w:r>
    </w:p>
    <w:p>
      <w:pPr>
        <w:pStyle w:val="Defpara"/>
        <w:spacing w:before="60"/>
      </w:pPr>
      <w:r>
        <w:tab/>
        <w:t>(b)</w:t>
      </w:r>
      <w:r>
        <w:tab/>
        <w:t xml:space="preserve">any other amount which regulations provide is to be treated as remuneration for the purposes of this definition, not being — </w:t>
      </w:r>
    </w:p>
    <w:p>
      <w:pPr>
        <w:pStyle w:val="Defsubpara"/>
        <w:spacing w:before="60"/>
      </w:pPr>
      <w:r>
        <w:tab/>
        <w:t>(i)</w:t>
      </w:r>
      <w:r>
        <w:tab/>
        <w:t>an amount paid by way of compensation under this Act; or</w:t>
      </w:r>
    </w:p>
    <w:p>
      <w:pPr>
        <w:pStyle w:val="Defsubpara"/>
        <w:spacing w:before="60"/>
      </w:pPr>
      <w:r>
        <w:tab/>
        <w:t>(ii)</w:t>
      </w:r>
      <w:r>
        <w:tab/>
        <w:t>an amount paid by way of damages in respect of a compensable injury.</w:t>
      </w:r>
    </w:p>
    <w:p>
      <w:pPr>
        <w:pStyle w:val="Footnotesection"/>
        <w:spacing w:before="80"/>
      </w:pPr>
      <w:r>
        <w:tab/>
        <w:t>[Section 159 inserted: No. 31 of 2011 s. 104; amended: No. 12 of 2012 s. 4; No. 45 of 2012 s. 5.]</w:t>
      </w:r>
    </w:p>
    <w:p>
      <w:pPr>
        <w:pStyle w:val="Heading5"/>
        <w:rPr>
          <w:snapToGrid w:val="0"/>
        </w:rPr>
      </w:pPr>
      <w:bookmarkStart w:id="603" w:name="_Toc131514554"/>
      <w:r>
        <w:rPr>
          <w:rStyle w:val="CharSectno"/>
        </w:rPr>
        <w:lastRenderedPageBreak/>
        <w:t>160</w:t>
      </w:r>
      <w:r>
        <w:rPr>
          <w:snapToGrid w:val="0"/>
        </w:rPr>
        <w:t>.</w:t>
      </w:r>
      <w:r>
        <w:rPr>
          <w:snapToGrid w:val="0"/>
        </w:rPr>
        <w:tab/>
        <w:t>Employers’ duty to be insured etc.; insurers’ duties</w:t>
      </w:r>
      <w:bookmarkEnd w:id="603"/>
    </w:p>
    <w:p>
      <w:pPr>
        <w:pStyle w:val="Subsection"/>
      </w:pPr>
      <w:r>
        <w:tab/>
        <w:t>(1)</w:t>
      </w:r>
      <w:r>
        <w:tab/>
        <w:t xml:space="preserve">Subject to this Act, every employer shall obtain from an approved insurance office and shall keep current a policy of insurance for — </w:t>
      </w:r>
    </w:p>
    <w:p>
      <w:pPr>
        <w:pStyle w:val="Indenta"/>
      </w:pPr>
      <w:r>
        <w:tab/>
        <w:t>(a)</w:t>
      </w:r>
      <w:r>
        <w:tab/>
        <w:t>the full amount of the employer’s liability to pay compensation under this Act to any worker employed by the employer including any increase in amount occurring during currency of the policy; and</w:t>
      </w:r>
    </w:p>
    <w:p>
      <w:pPr>
        <w:pStyle w:val="Indenta"/>
      </w:pPr>
      <w:r>
        <w:tab/>
        <w:t>(b)</w:t>
      </w:r>
      <w:r>
        <w:tab/>
        <w:t>the amount of the employer’s liability to pay damages to or in respect of any worker employed by the employer, other than a deemed worker of the employer, in respect of a compensable injury for which the employer is liable.</w:t>
      </w:r>
    </w:p>
    <w:p>
      <w:pPr>
        <w:pStyle w:val="Subsection"/>
      </w:pPr>
      <w:r>
        <w:tab/>
        <w:t>(2)</w:t>
      </w:r>
      <w:r>
        <w:tab/>
        <w:t xml:space="preserve">An employer obliged by this section to effect or renew a policy of insurance shall, on applying to an approved insurance office, for that purpose, furnish to that office an estimate, made to the best of that employer’s knowledge, information and belief, of the aggregate amount of remuneration to be paid or payable over the period for which the policy is to be effected or renewed, and shall forthwith after the termination of that period — </w:t>
      </w:r>
    </w:p>
    <w:p>
      <w:pPr>
        <w:pStyle w:val="Indenta"/>
      </w:pPr>
      <w:r>
        <w:tab/>
        <w:t>(a)</w:t>
      </w:r>
      <w:r>
        <w:tab/>
        <w:t>furnish a statement of the aggregate amount of remuneration paid or payable in fact; and</w:t>
      </w:r>
    </w:p>
    <w:p>
      <w:pPr>
        <w:pStyle w:val="Indenta"/>
      </w:pPr>
      <w:r>
        <w:tab/>
        <w:t>(b)</w:t>
      </w:r>
      <w:r>
        <w:tab/>
        <w:t>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spacing w:before="60"/>
        <w:rPr>
          <w:snapToGrid w:val="0"/>
        </w:rPr>
      </w:pPr>
      <w:r>
        <w:rPr>
          <w:snapToGrid w:val="0"/>
        </w:rPr>
        <w:tab/>
        <w:t>(a)</w:t>
      </w:r>
      <w:r>
        <w:rPr>
          <w:snapToGrid w:val="0"/>
        </w:rPr>
        <w:tab/>
        <w:t>the name of the director; and</w:t>
      </w:r>
    </w:p>
    <w:p>
      <w:pPr>
        <w:pStyle w:val="Indenta"/>
        <w:spacing w:before="60"/>
        <w:rPr>
          <w:snapToGrid w:val="0"/>
        </w:rPr>
      </w:pPr>
      <w:r>
        <w:rPr>
          <w:snapToGrid w:val="0"/>
        </w:rPr>
        <w:lastRenderedPageBreak/>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After the termination of the period referred to in subsection (2), an employer referred to in subsection (2a) is to furnish to the insurance office —</w:t>
      </w:r>
    </w:p>
    <w:p>
      <w:pPr>
        <w:pStyle w:val="Indenta"/>
        <w:spacing w:before="60"/>
      </w:pPr>
      <w:r>
        <w:tab/>
        <w:t>(a)</w:t>
      </w:r>
      <w:r>
        <w:tab/>
        <w:t>a statement of the aggregate amount of remuneration paid or payable in fact during that period to the director; and</w:t>
      </w:r>
    </w:p>
    <w:p>
      <w:pPr>
        <w:pStyle w:val="Indenta"/>
        <w:spacing w:before="60"/>
      </w:pPr>
      <w:r>
        <w:tab/>
        <w:t>(b)</w:t>
      </w:r>
      <w:r>
        <w:tab/>
        <w:t>supporting particulars to verify the aggregate amount stated.</w:t>
      </w:r>
    </w:p>
    <w:p>
      <w:pPr>
        <w:pStyle w:val="Subsection"/>
      </w:pPr>
      <w:r>
        <w:tab/>
        <w:t>(3)</w:t>
      </w:r>
      <w:r>
        <w:tab/>
        <w:t>An approved insurance office is to insure any employer requesting it for the amount of the liabilities for which the employer is required by subsection (1) to insure.</w:t>
      </w:r>
    </w:p>
    <w:p>
      <w:pPr>
        <w:pStyle w:val="Penstart"/>
      </w:pPr>
      <w:r>
        <w:tab/>
        <w:t>Penalty: a fine of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Penalty: $1 000.</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w:t>
      </w:r>
    </w:p>
    <w:p>
      <w:pPr>
        <w:pStyle w:val="Indenta"/>
        <w:spacing w:before="60"/>
        <w:rPr>
          <w:snapToGrid w:val="0"/>
        </w:rPr>
      </w:pPr>
      <w:r>
        <w:rPr>
          <w:snapToGrid w:val="0"/>
        </w:rPr>
        <w:tab/>
        <w:t>(a)</w:t>
      </w:r>
      <w:r>
        <w:rPr>
          <w:snapToGrid w:val="0"/>
        </w:rPr>
        <w:tab/>
        <w:t xml:space="preserve">the employer is not insured against his liability to pay compensation under this </w:t>
      </w:r>
      <w:r>
        <w:t>Act or insurable damages; and</w:t>
      </w:r>
    </w:p>
    <w:p>
      <w:pPr>
        <w:pStyle w:val="Indenta"/>
        <w:rPr>
          <w:snapToGrid w:val="0"/>
        </w:rPr>
      </w:pPr>
      <w:r>
        <w:rPr>
          <w:snapToGrid w:val="0"/>
        </w:rPr>
        <w:tab/>
        <w:t>(b)</w:t>
      </w:r>
      <w:r>
        <w:rPr>
          <w:snapToGrid w:val="0"/>
        </w:rPr>
        <w:tab/>
        <w:t xml:space="preserve">the employer has incurred liability to pay </w:t>
      </w:r>
      <w:r>
        <w:t>such compensation or such damages</w:t>
      </w:r>
      <w:r>
        <w:rPr>
          <w:snapToGrid w:val="0"/>
        </w:rPr>
        <w:t xml:space="preserve">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w:t>
      </w:r>
      <w:r>
        <w:rPr>
          <w:snapToGrid w:val="0"/>
        </w:rPr>
        <w:lastRenderedPageBreak/>
        <w:t>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[Section 160 amended: No. 44 of 1985 s. 34; No. 85 of 1986 s. 10; No. 96 of 1990 s. 37; No. 34 of 1999 s. 42; No. 42 of 2004 s. 120(2), (3) and 150; No. 16 of 2005 s. 11; No. 31 of 2011 s. 105; No. 12 of 2012 s. 5.]</w:t>
      </w:r>
    </w:p>
    <w:p>
      <w:pPr>
        <w:pStyle w:val="Heading5"/>
      </w:pPr>
      <w:bookmarkStart w:id="604" w:name="_Toc131514555"/>
      <w:r>
        <w:rPr>
          <w:rStyle w:val="CharSectno"/>
        </w:rPr>
        <w:lastRenderedPageBreak/>
        <w:t>160A</w:t>
      </w:r>
      <w:r>
        <w:t>.</w:t>
      </w:r>
      <w:r>
        <w:tab/>
        <w:t>Insurance in respect of working directors</w:t>
      </w:r>
      <w:bookmarkEnd w:id="604"/>
    </w:p>
    <w:p>
      <w:pPr>
        <w:pStyle w:val="Subsection"/>
        <w:keepNext/>
        <w:keepLines/>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pPr>
      <w:r>
        <w:tab/>
        <w:t>(2)</w:t>
      </w:r>
      <w:r>
        <w:tab/>
        <w:t>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w:t>
      </w:r>
    </w:p>
    <w:p>
      <w:pPr>
        <w:pStyle w:val="Indenta"/>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pPr>
      <w:r>
        <w:tab/>
        <w:t>(b)</w:t>
      </w:r>
      <w:r>
        <w:tab/>
        <w:t>the decision of the insurance office to issue a policy or contract of insurance in respect of the director was materially affected by that representation.</w:t>
      </w:r>
    </w:p>
    <w:p>
      <w:pPr>
        <w:pStyle w:val="Footnotesection"/>
        <w:ind w:left="890" w:hanging="890"/>
      </w:pPr>
      <w:r>
        <w:tab/>
        <w:t>[Section 160A inserted: No. 16 of 2005 s. 12.]</w:t>
      </w:r>
    </w:p>
    <w:p>
      <w:pPr>
        <w:pStyle w:val="Heading5"/>
        <w:rPr>
          <w:snapToGrid w:val="0"/>
        </w:rPr>
      </w:pPr>
      <w:bookmarkStart w:id="605" w:name="_Toc131514556"/>
      <w:r>
        <w:rPr>
          <w:rStyle w:val="CharSectno"/>
        </w:rPr>
        <w:t>161A</w:t>
      </w:r>
      <w:r>
        <w:rPr>
          <w:snapToGrid w:val="0"/>
        </w:rPr>
        <w:t>.</w:t>
      </w:r>
      <w:r>
        <w:rPr>
          <w:snapToGrid w:val="0"/>
        </w:rPr>
        <w:tab/>
        <w:t>Incorporated insurance offices not to issue or renew policies unless approved under s. 161</w:t>
      </w:r>
      <w:bookmarkEnd w:id="605"/>
    </w:p>
    <w:p>
      <w:pPr>
        <w:pStyle w:val="Subsection"/>
        <w:rPr>
          <w:snapToGrid w:val="0"/>
        </w:rPr>
      </w:pPr>
      <w:r>
        <w:rPr>
          <w:snapToGrid w:val="0"/>
        </w:rPr>
        <w:tab/>
      </w:r>
      <w:r>
        <w:rPr>
          <w:snapToGrid w:val="0"/>
        </w:rPr>
        <w:tab/>
        <w:t xml:space="preserve">An incorporated insurance office shall not issue or renew a policy insuring an employer against his liability to pay compensation under this Act </w:t>
      </w:r>
      <w:r>
        <w:t xml:space="preserve">or insurable damages </w:t>
      </w:r>
      <w:r>
        <w:rPr>
          <w:snapToGrid w:val="0"/>
        </w:rPr>
        <w:t>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ind w:left="890" w:hanging="890"/>
      </w:pPr>
      <w:r>
        <w:tab/>
        <w:t>[Section 161A inserted: No. 44 of 1985 s. 35; amended: No. 34 of 1999 s. 57; No. 31 of 2011 s. 106; No. 12 of 2012 s. 6.]</w:t>
      </w:r>
    </w:p>
    <w:p>
      <w:pPr>
        <w:pStyle w:val="Heading5"/>
        <w:rPr>
          <w:snapToGrid w:val="0"/>
        </w:rPr>
      </w:pPr>
      <w:bookmarkStart w:id="606" w:name="_Toc131514557"/>
      <w:r>
        <w:rPr>
          <w:rStyle w:val="CharSectno"/>
        </w:rPr>
        <w:lastRenderedPageBreak/>
        <w:t>161</w:t>
      </w:r>
      <w:r>
        <w:rPr>
          <w:snapToGrid w:val="0"/>
        </w:rPr>
        <w:t>.</w:t>
      </w:r>
      <w:r>
        <w:rPr>
          <w:snapToGrid w:val="0"/>
        </w:rPr>
        <w:tab/>
        <w:t>Incorporated insurance offices, approval of</w:t>
      </w:r>
      <w:bookmarkEnd w:id="606"/>
    </w:p>
    <w:p>
      <w:pPr>
        <w:pStyle w:val="Subsection"/>
        <w:rPr>
          <w:snapToGrid w:val="0"/>
        </w:rPr>
      </w:pPr>
      <w:r>
        <w:rPr>
          <w:snapToGrid w:val="0"/>
        </w:rPr>
        <w:tab/>
        <w:t>(1)</w:t>
      </w:r>
      <w:r>
        <w:rPr>
          <w:snapToGrid w:val="0"/>
        </w:rPr>
        <w:tab/>
        <w:t xml:space="preserve">For the purpose of this Part </w:t>
      </w:r>
      <w:r>
        <w:rPr>
          <w:rStyle w:val="CharDefText"/>
        </w:rPr>
        <w:t>incorporated insurance office</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rPr>
          <w:snapToGrid w:val="0"/>
        </w:rPr>
      </w:pPr>
      <w:r>
        <w:rPr>
          <w:snapToGrid w:val="0"/>
        </w:rPr>
        <w:tab/>
        <w:t>(3)</w:t>
      </w:r>
      <w:r>
        <w:rPr>
          <w:snapToGrid w:val="0"/>
        </w:rPr>
        <w:tab/>
        <w:t>The requirements for an incorporated insurance office that is approved under this section to remain so approved are that it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 and</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 and</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WorkCover WA</w:t>
      </w:r>
      <w:r>
        <w:rPr>
          <w:snapToGrid w:val="0"/>
        </w:rPr>
        <w:t>, considers satisfactory; and</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 and</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WorkCover WA</w:t>
      </w:r>
      <w:r>
        <w:rPr>
          <w:snapToGrid w:val="0"/>
        </w:rPr>
        <w:t>, considers satisfactory.</w:t>
      </w:r>
    </w:p>
    <w:p>
      <w:pPr>
        <w:pStyle w:val="Subsection"/>
        <w:rPr>
          <w:snapToGrid w:val="0"/>
        </w:rPr>
      </w:pPr>
      <w:r>
        <w:rPr>
          <w:snapToGrid w:val="0"/>
        </w:rPr>
        <w:tab/>
        <w:t>(4)</w:t>
      </w:r>
      <w:r>
        <w:rPr>
          <w:snapToGrid w:val="0"/>
        </w:rPr>
        <w:tab/>
        <w:t xml:space="preserve">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w:t>
      </w:r>
      <w:r>
        <w:rPr>
          <w:snapToGrid w:val="0"/>
        </w:rPr>
        <w:lastRenderedPageBreak/>
        <w:t>requires, and, in granting or renewing the approval, attach such conditions, if any, as he sees fit to the approval.</w:t>
      </w:r>
    </w:p>
    <w:p>
      <w:pPr>
        <w:pStyle w:val="Subsection"/>
        <w:spacing w:before="130"/>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spacing w:before="130"/>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continues to have effect for a period of one year after that day and, unless renewed under this section, thereafter is of no effect.</w:t>
      </w:r>
    </w:p>
    <w:p>
      <w:pPr>
        <w:pStyle w:val="Subsection"/>
        <w:spacing w:before="130"/>
        <w:rPr>
          <w:snapToGrid w:val="0"/>
        </w:rPr>
      </w:pPr>
      <w:r>
        <w:rPr>
          <w:snapToGrid w:val="0"/>
        </w:rPr>
        <w:tab/>
        <w:t>(7)</w:t>
      </w:r>
      <w:r>
        <w:rPr>
          <w:snapToGrid w:val="0"/>
        </w:rPr>
        <w:tab/>
        <w:t>Where an approved insurance office —</w:t>
      </w:r>
    </w:p>
    <w:p>
      <w:pPr>
        <w:pStyle w:val="Indenta"/>
        <w:spacing w:before="60"/>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spacing w:before="60"/>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spacing w:before="100"/>
        <w:ind w:left="890" w:hanging="890"/>
      </w:pPr>
      <w:r>
        <w:tab/>
        <w:t>[Section 161 amended: No. 96 of 1990 s. 38; No. 42 of 2004 s. 150.]</w:t>
      </w:r>
    </w:p>
    <w:p>
      <w:pPr>
        <w:pStyle w:val="Heading5"/>
        <w:spacing w:before="200"/>
        <w:rPr>
          <w:snapToGrid w:val="0"/>
        </w:rPr>
      </w:pPr>
      <w:bookmarkStart w:id="607" w:name="_Toc131514558"/>
      <w:r>
        <w:rPr>
          <w:rStyle w:val="CharSectno"/>
        </w:rPr>
        <w:t>162</w:t>
      </w:r>
      <w:r>
        <w:rPr>
          <w:snapToGrid w:val="0"/>
        </w:rPr>
        <w:t>.</w:t>
      </w:r>
      <w:r>
        <w:rPr>
          <w:snapToGrid w:val="0"/>
        </w:rPr>
        <w:tab/>
        <w:t>Insurance Commission of Western Australia sole insurer as to some industrial diseases</w:t>
      </w:r>
      <w:bookmarkEnd w:id="607"/>
    </w:p>
    <w:p>
      <w:pPr>
        <w:pStyle w:val="Subsection"/>
        <w:spacing w:before="120"/>
        <w:rPr>
          <w:snapToGrid w:val="0"/>
        </w:rPr>
      </w:pPr>
      <w:r>
        <w:rPr>
          <w:snapToGrid w:val="0"/>
        </w:rPr>
        <w:tab/>
        <w:t>(1)</w:t>
      </w:r>
      <w:r>
        <w:rPr>
          <w:snapToGrid w:val="0"/>
        </w:rPr>
        <w:tab/>
        <w:t>The Insurance Commission of Western Australia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rPr>
          <w:snapToGrid w:val="0"/>
        </w:rPr>
      </w:pPr>
      <w:r>
        <w:rPr>
          <w:snapToGrid w:val="0"/>
        </w:rPr>
        <w:lastRenderedPageBreak/>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[Section 162 amended: No. 51 of 1986 s. 46(2); No. 45 of 1996 Sch. 1 it. 16; No. 42 of 2004 s. 121.]</w:t>
      </w:r>
    </w:p>
    <w:p>
      <w:pPr>
        <w:pStyle w:val="Heading5"/>
        <w:rPr>
          <w:snapToGrid w:val="0"/>
        </w:rPr>
      </w:pPr>
      <w:bookmarkStart w:id="608" w:name="_Toc131514559"/>
      <w:r>
        <w:rPr>
          <w:rStyle w:val="CharSectno"/>
        </w:rPr>
        <w:t>163</w:t>
      </w:r>
      <w:r>
        <w:rPr>
          <w:snapToGrid w:val="0"/>
        </w:rPr>
        <w:t>.</w:t>
      </w:r>
      <w:r>
        <w:rPr>
          <w:snapToGrid w:val="0"/>
        </w:rPr>
        <w:tab/>
        <w:t>Industrial disease premiums, payment of etc.</w:t>
      </w:r>
      <w:bookmarkEnd w:id="608"/>
    </w:p>
    <w:p>
      <w:pPr>
        <w:pStyle w:val="Subsection"/>
        <w:rPr>
          <w:snapToGrid w:val="0"/>
        </w:rPr>
      </w:pPr>
      <w:r>
        <w:rPr>
          <w:snapToGrid w:val="0"/>
        </w:rPr>
        <w:tab/>
      </w:r>
      <w:r>
        <w:rPr>
          <w:snapToGrid w:val="0"/>
        </w:rPr>
        <w:tab/>
        <w:t>An employer required to pay an industrial disease premium under this Act shall pay that premium to the Insurance Commission of Western Australia which is bound to issue a policy insuring the employer against his liability to pay compensation under this Act for any industrial disease of the kinds referred to in section 151(a)(iii).</w:t>
      </w:r>
    </w:p>
    <w:p>
      <w:pPr>
        <w:pStyle w:val="Footnotesection"/>
      </w:pPr>
      <w:r>
        <w:tab/>
        <w:t>[Section 163 amended: No. 51 of 1986 s. 46(2); No. 45 of 1996 Sch. 1 it. 16.]</w:t>
      </w:r>
    </w:p>
    <w:p>
      <w:pPr>
        <w:pStyle w:val="Heading5"/>
        <w:rPr>
          <w:snapToGrid w:val="0"/>
        </w:rPr>
      </w:pPr>
      <w:bookmarkStart w:id="609" w:name="_Toc131514560"/>
      <w:r>
        <w:rPr>
          <w:rStyle w:val="CharSectno"/>
        </w:rPr>
        <w:t>164</w:t>
      </w:r>
      <w:r>
        <w:rPr>
          <w:snapToGrid w:val="0"/>
        </w:rPr>
        <w:t>.</w:t>
      </w:r>
      <w:r>
        <w:rPr>
          <w:snapToGrid w:val="0"/>
        </w:rPr>
        <w:tab/>
        <w:t>Exempting employers from duty to insure</w:t>
      </w:r>
      <w:bookmarkEnd w:id="609"/>
    </w:p>
    <w:p>
      <w:pPr>
        <w:pStyle w:val="Subsection"/>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w:t>
      </w:r>
      <w:r>
        <w:t>Act for, or to pay damages in respect of,</w:t>
      </w:r>
      <w:r>
        <w:rPr>
          <w:snapToGrid w:val="0"/>
        </w:rPr>
        <w:t xml:space="preserve"> any industrial disease of the kinds referred to in section 151(a)(iii).</w:t>
      </w:r>
    </w:p>
    <w:p>
      <w:pPr>
        <w:pStyle w:val="Subsection"/>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w:t>
      </w:r>
      <w:r>
        <w:rPr>
          <w:snapToGrid w:val="0"/>
        </w:rPr>
        <w:lastRenderedPageBreak/>
        <w:t xml:space="preserve">the State to the employer, or each employer of the group, to comply with the requirements of this Act or the </w:t>
      </w:r>
      <w:r>
        <w:rPr>
          <w:i/>
          <w:snapToGrid w:val="0"/>
        </w:rPr>
        <w:t>Employers’ Indemnity Supplementation Fund Act 1980</w:t>
      </w:r>
      <w:r>
        <w:rPr>
          <w:snapToGrid w:val="0"/>
        </w:rPr>
        <w:t>.</w:t>
      </w:r>
    </w:p>
    <w:p>
      <w:pPr>
        <w:pStyle w:val="Subsection"/>
        <w:spacing w:before="120"/>
        <w:rPr>
          <w:snapToGrid w:val="0"/>
        </w:rPr>
      </w:pPr>
      <w:r>
        <w:rPr>
          <w:snapToGrid w:val="0"/>
        </w:rPr>
        <w:tab/>
        <w:t>(2)</w:t>
      </w:r>
      <w:r>
        <w:rPr>
          <w:snapToGrid w:val="0"/>
        </w:rPr>
        <w:tab/>
        <w:t>An exemption granted under section 13 of the repealed Act and current immediately before the day on which this Part comes into operation is deemed to be an exemption granted under this Part and subject to review as provided by section 165.</w:t>
      </w:r>
    </w:p>
    <w:p>
      <w:pPr>
        <w:pStyle w:val="Footnotesection"/>
      </w:pPr>
      <w:r>
        <w:tab/>
        <w:t>[Section 164 amended: No. 96 of 1990 s. 39; No. 42 of 2004 s. 122 and 150; No. 31 of 2011 s. 107.]</w:t>
      </w:r>
    </w:p>
    <w:p>
      <w:pPr>
        <w:pStyle w:val="Heading5"/>
        <w:keepNext w:val="0"/>
        <w:keepLines w:val="0"/>
        <w:spacing w:before="180"/>
        <w:rPr>
          <w:snapToGrid w:val="0"/>
        </w:rPr>
      </w:pPr>
      <w:bookmarkStart w:id="610" w:name="_Toc131514561"/>
      <w:r>
        <w:rPr>
          <w:rStyle w:val="CharSectno"/>
        </w:rPr>
        <w:t>165</w:t>
      </w:r>
      <w:r>
        <w:rPr>
          <w:snapToGrid w:val="0"/>
        </w:rPr>
        <w:t>.</w:t>
      </w:r>
      <w:r>
        <w:rPr>
          <w:snapToGrid w:val="0"/>
        </w:rPr>
        <w:tab/>
        <w:t>Review of s. 164 exemptions</w:t>
      </w:r>
      <w:bookmarkEnd w:id="610"/>
    </w:p>
    <w:p>
      <w:pPr>
        <w:pStyle w:val="Subsection"/>
        <w:spacing w:before="120"/>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spacing w:before="120"/>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w:t>
      </w:r>
    </w:p>
    <w:p>
      <w:pPr>
        <w:pStyle w:val="Indenta"/>
        <w:rPr>
          <w:snapToGrid w:val="0"/>
        </w:rPr>
      </w:pPr>
      <w:r>
        <w:rPr>
          <w:snapToGrid w:val="0"/>
        </w:rPr>
        <w:tab/>
        <w:t>(a)</w:t>
      </w:r>
      <w:r>
        <w:rPr>
          <w:snapToGrid w:val="0"/>
        </w:rPr>
        <w:tab/>
        <w:t>the number of workers then employed by the employer or group; or</w:t>
      </w:r>
    </w:p>
    <w:p>
      <w:pPr>
        <w:pStyle w:val="Indenta"/>
        <w:rPr>
          <w:snapToGrid w:val="0"/>
        </w:rPr>
      </w:pPr>
      <w:r>
        <w:rPr>
          <w:snapToGrid w:val="0"/>
        </w:rPr>
        <w:tab/>
        <w:t>(b)</w:t>
      </w:r>
      <w:r>
        <w:rPr>
          <w:snapToGrid w:val="0"/>
        </w:rPr>
        <w:tab/>
        <w:t>the current category of the insurable risks of the business or businesses of the employer or group; or</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 or</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 or</w:t>
      </w:r>
    </w:p>
    <w:p>
      <w:pPr>
        <w:pStyle w:val="Indenta"/>
        <w:rPr>
          <w:snapToGrid w:val="0"/>
        </w:rPr>
      </w:pPr>
      <w:r>
        <w:rPr>
          <w:snapToGrid w:val="0"/>
        </w:rPr>
        <w:tab/>
        <w:t>(c)</w:t>
      </w:r>
      <w:r>
        <w:rPr>
          <w:snapToGrid w:val="0"/>
        </w:rPr>
        <w:tab/>
        <w:t>the claims experience since the last review of the employer or group; or</w:t>
      </w:r>
    </w:p>
    <w:p>
      <w:pPr>
        <w:pStyle w:val="Indenta"/>
      </w:pPr>
      <w:r>
        <w:lastRenderedPageBreak/>
        <w:tab/>
        <w:t>(d)</w:t>
      </w:r>
      <w:r>
        <w:tab/>
        <w:t>any change in the extent of the liability to pay compensation under this Act, or to pay insurable damages, since the last review.</w:t>
      </w:r>
    </w:p>
    <w:p>
      <w:pPr>
        <w:pStyle w:val="Subsection"/>
        <w:rPr>
          <w:snapToGrid w:val="0"/>
        </w:rPr>
      </w:pPr>
      <w:r>
        <w:rPr>
          <w:snapToGrid w:val="0"/>
        </w:rPr>
        <w:tab/>
        <w:t>(3)</w:t>
      </w:r>
      <w:r>
        <w:rPr>
          <w:snapToGrid w:val="0"/>
        </w:rPr>
        <w:tab/>
        <w:t>The Minister may after a review recommend to the Governor that an exemption be cancelled —</w:t>
      </w:r>
    </w:p>
    <w:p>
      <w:pPr>
        <w:pStyle w:val="Indenta"/>
        <w:rPr>
          <w:snapToGrid w:val="0"/>
        </w:rPr>
      </w:pPr>
      <w:r>
        <w:rPr>
          <w:snapToGrid w:val="0"/>
        </w:rPr>
        <w:tab/>
        <w:t>(a)</w:t>
      </w:r>
      <w:r>
        <w:rPr>
          <w:snapToGrid w:val="0"/>
        </w:rPr>
        <w:tab/>
        <w:t xml:space="preserve">for any reason which seems to him to justify doing so in the interests of securing the workers’ entitlements to compensation or </w:t>
      </w:r>
      <w:r>
        <w:t>insurable damages; or</w:t>
      </w:r>
    </w:p>
    <w:p>
      <w:pPr>
        <w:pStyle w:val="Indenta"/>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rPr>
          <w:snapToGrid w:val="0"/>
        </w:rPr>
      </w:pPr>
      <w:r>
        <w:rPr>
          <w:snapToGrid w:val="0"/>
        </w:rPr>
        <w:tab/>
      </w:r>
      <w:r>
        <w:rPr>
          <w:snapToGrid w:val="0"/>
        </w:rPr>
        <w:tab/>
        <w:t>and the Governor may then cancel the exemption.</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rPr>
          <w:snapToGrid w:val="0"/>
        </w:rPr>
      </w:pPr>
      <w:r>
        <w:rPr>
          <w:snapToGrid w:val="0"/>
        </w:rPr>
        <w:tab/>
        <w:t>(b)</w:t>
      </w:r>
      <w:r>
        <w:rPr>
          <w:snapToGrid w:val="0"/>
        </w:rPr>
        <w:tab/>
        <w:t>the Minister requires an increase in the value of securities deposited by an employer or group of employers —</w:t>
      </w:r>
    </w:p>
    <w:p>
      <w:pPr>
        <w:pStyle w:val="Indenti"/>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w:t>
      </w:r>
      <w:r>
        <w:t>for which insurance would, but for the exemption, be required by this Act,</w:t>
      </w:r>
      <w:r>
        <w:rPr>
          <w:snapToGrid w:val="0"/>
        </w:rPr>
        <w:t xml:space="preserve">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w:t>
      </w:r>
      <w:r>
        <w:rPr>
          <w:snapToGrid w:val="0"/>
        </w:rPr>
        <w:lastRenderedPageBreak/>
        <w:t xml:space="preserve">securities to the value determined by the Minister charged with all payments to become due under the employer’s or group’s liability </w:t>
      </w:r>
      <w:r>
        <w:t>for which insurance would, but for the exemption, be required by this Act.</w:t>
      </w:r>
    </w:p>
    <w:p>
      <w:pPr>
        <w:pStyle w:val="Subsection"/>
      </w:pPr>
      <w:r>
        <w:tab/>
        <w:t>(5)</w:t>
      </w:r>
      <w:r>
        <w:tab/>
        <w:t>Where an employer or group of employers fails to give to the State, within 21 days after the direction is given, any securities directed by the Minister to be given under subsection (4)(b)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[Section 165 amended: No. 44 of 1985 s. 36; No. 96 of 1990 s. 40; No. 42 of 2004 s. 123 and 150; No. 16 of 2005 s. 20; No. 31 of 2011 s. 108; No. 12 of 2012 s. 7.]</w:t>
      </w:r>
    </w:p>
    <w:p>
      <w:pPr>
        <w:pStyle w:val="Heading5"/>
        <w:rPr>
          <w:snapToGrid w:val="0"/>
        </w:rPr>
      </w:pPr>
      <w:bookmarkStart w:id="611" w:name="_Toc131514562"/>
      <w:r>
        <w:rPr>
          <w:rStyle w:val="CharSectno"/>
        </w:rPr>
        <w:t>166</w:t>
      </w:r>
      <w:r>
        <w:rPr>
          <w:snapToGrid w:val="0"/>
        </w:rPr>
        <w:t>.</w:t>
      </w:r>
      <w:r>
        <w:rPr>
          <w:snapToGrid w:val="0"/>
        </w:rPr>
        <w:tab/>
        <w:t>Cancelling s. 164 exemptions due to breach of law</w:t>
      </w:r>
      <w:bookmarkEnd w:id="611"/>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rPr>
          <w:snapToGrid w:val="0"/>
        </w:rPr>
      </w:pPr>
      <w:bookmarkStart w:id="612" w:name="_Toc131514563"/>
      <w:r>
        <w:rPr>
          <w:rStyle w:val="CharSectno"/>
        </w:rPr>
        <w:t>167</w:t>
      </w:r>
      <w:r>
        <w:rPr>
          <w:snapToGrid w:val="0"/>
        </w:rPr>
        <w:t>.</w:t>
      </w:r>
      <w:r>
        <w:rPr>
          <w:snapToGrid w:val="0"/>
        </w:rPr>
        <w:tab/>
        <w:t>Effect of cessation of s. 164 exemption</w:t>
      </w:r>
      <w:bookmarkEnd w:id="612"/>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rPr>
          <w:snapToGrid w:val="0"/>
        </w:rPr>
      </w:pPr>
      <w:bookmarkStart w:id="613" w:name="_Toc131514564"/>
      <w:r>
        <w:rPr>
          <w:rStyle w:val="CharSectno"/>
        </w:rPr>
        <w:t>168</w:t>
      </w:r>
      <w:r>
        <w:rPr>
          <w:snapToGrid w:val="0"/>
        </w:rPr>
        <w:t>.</w:t>
      </w:r>
      <w:r>
        <w:rPr>
          <w:snapToGrid w:val="0"/>
        </w:rPr>
        <w:tab/>
        <w:t>Revoking s. 164 exemptions on employers’ request</w:t>
      </w:r>
      <w:bookmarkEnd w:id="613"/>
    </w:p>
    <w:p>
      <w:pPr>
        <w:pStyle w:val="Subsection"/>
        <w:rPr>
          <w:snapToGrid w:val="0"/>
        </w:rPr>
      </w:pPr>
      <w:r>
        <w:rPr>
          <w:snapToGrid w:val="0"/>
        </w:rPr>
        <w:tab/>
      </w:r>
      <w:r>
        <w:rPr>
          <w:snapToGrid w:val="0"/>
        </w:rPr>
        <w:tab/>
        <w:t>Where an employer or group of employers which is exempt under section 164 —</w:t>
      </w:r>
    </w:p>
    <w:p>
      <w:pPr>
        <w:pStyle w:val="Indenta"/>
        <w:rPr>
          <w:snapToGrid w:val="0"/>
        </w:rPr>
      </w:pPr>
      <w:r>
        <w:rPr>
          <w:snapToGrid w:val="0"/>
        </w:rPr>
        <w:tab/>
        <w:t>(a)</w:t>
      </w:r>
      <w:r>
        <w:rPr>
          <w:snapToGrid w:val="0"/>
        </w:rPr>
        <w:tab/>
        <w:t xml:space="preserve">applies to the Minister for a revocation of such exemption and for the return of securities </w:t>
      </w:r>
      <w:r>
        <w:t xml:space="preserve">given by it or </w:t>
      </w:r>
      <w:r>
        <w:lastRenderedPageBreak/>
        <w:t>them to the State</w:t>
      </w:r>
      <w:r>
        <w:rPr>
          <w:snapToGrid w:val="0"/>
        </w:rPr>
        <w:t xml:space="preserve"> discharged from the charge referred to in section 164(1); or</w:t>
      </w:r>
    </w:p>
    <w:p>
      <w:pPr>
        <w:pStyle w:val="Indenta"/>
        <w:rPr>
          <w:snapToGrid w:val="0"/>
        </w:rPr>
      </w:pPr>
      <w:r>
        <w:rPr>
          <w:snapToGrid w:val="0"/>
        </w:rPr>
        <w:tab/>
        <w:t>(b)</w:t>
      </w:r>
      <w:r>
        <w:rPr>
          <w:snapToGrid w:val="0"/>
        </w:rPr>
        <w:tab/>
        <w:t>proves to the satisfaction of the Minister that —</w:t>
      </w:r>
    </w:p>
    <w:p>
      <w:pPr>
        <w:pStyle w:val="Indenti"/>
        <w:rPr>
          <w:snapToGrid w:val="0"/>
        </w:rPr>
      </w:pPr>
      <w:r>
        <w:rPr>
          <w:snapToGrid w:val="0"/>
        </w:rPr>
        <w:tab/>
        <w:t>(i)</w:t>
      </w:r>
      <w:r>
        <w:rPr>
          <w:snapToGrid w:val="0"/>
        </w:rPr>
        <w:tab/>
        <w:t>the employer or group, as the case may be, has ceased to employ workers; or</w:t>
      </w:r>
    </w:p>
    <w:p>
      <w:pPr>
        <w:pStyle w:val="Indenti"/>
        <w:keepNext/>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w:t>
      </w:r>
    </w:p>
    <w:p>
      <w:pPr>
        <w:pStyle w:val="Indenti"/>
      </w:pPr>
      <w:r>
        <w:tab/>
        <w:t>(iii)</w:t>
      </w:r>
      <w:r>
        <w:tab/>
        <w:t xml:space="preserve">there are no outstanding or potential — </w:t>
      </w:r>
    </w:p>
    <w:p>
      <w:pPr>
        <w:pStyle w:val="IndentI0"/>
      </w:pPr>
      <w:r>
        <w:tab/>
        <w:t>(I)</w:t>
      </w:r>
      <w:r>
        <w:tab/>
        <w:t>claims for compensation; or</w:t>
      </w:r>
    </w:p>
    <w:p>
      <w:pPr>
        <w:pStyle w:val="IndentI0"/>
      </w:pPr>
      <w:r>
        <w:tab/>
        <w:t>(II)</w:t>
      </w:r>
      <w:r>
        <w:tab/>
        <w:t>actions for insurable damages;</w:t>
      </w:r>
    </w:p>
    <w:p>
      <w:pPr>
        <w:pStyle w:val="Indenti"/>
      </w:pPr>
      <w:r>
        <w:tab/>
      </w:r>
      <w:r>
        <w:tab/>
        <w:t>or</w:t>
      </w:r>
    </w:p>
    <w:p>
      <w:pPr>
        <w:pStyle w:val="Indenti"/>
        <w:rPr>
          <w:snapToGrid w:val="0"/>
        </w:rPr>
      </w:pPr>
      <w:r>
        <w:rPr>
          <w:snapToGrid w:val="0"/>
        </w:rPr>
        <w:tab/>
        <w:t>(iv)</w:t>
      </w:r>
      <w:r>
        <w:rPr>
          <w:snapToGrid w:val="0"/>
        </w:rPr>
        <w:tab/>
        <w:t xml:space="preserve">satisfactory provision has been made for discharging any outstanding </w:t>
      </w:r>
      <w:r>
        <w:t>or potential claims or actions,</w:t>
      </w:r>
    </w:p>
    <w:p>
      <w:pPr>
        <w:pStyle w:val="Subsection"/>
        <w:spacing w:before="120"/>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[Section 168 amended: No. 96 of 1990 s. 41; No. 42 of 2004 s. 124; No. 31 of 2011 s. 109; No. 12 of 2012 s. 8.]</w:t>
      </w:r>
    </w:p>
    <w:p>
      <w:pPr>
        <w:pStyle w:val="Heading5"/>
      </w:pPr>
      <w:bookmarkStart w:id="614" w:name="_Toc131514565"/>
      <w:r>
        <w:rPr>
          <w:rStyle w:val="CharSectno"/>
        </w:rPr>
        <w:t>169</w:t>
      </w:r>
      <w:r>
        <w:t>.</w:t>
      </w:r>
      <w:r>
        <w:tab/>
        <w:t>Terms of insurance and form of policies</w:t>
      </w:r>
      <w:bookmarkEnd w:id="614"/>
    </w:p>
    <w:p>
      <w:pPr>
        <w:pStyle w:val="Subsection"/>
      </w:pPr>
      <w:r>
        <w:tab/>
        <w:t>(1)</w:t>
      </w:r>
      <w:r>
        <w:tab/>
        <w:t xml:space="preserve">The regulations may — </w:t>
      </w:r>
    </w:p>
    <w:p>
      <w:pPr>
        <w:pStyle w:val="Indenta"/>
      </w:pPr>
      <w:r>
        <w:tab/>
        <w:t>(a)</w:t>
      </w:r>
      <w:r>
        <w:tab/>
        <w:t>limit, modify or exclude any requirement in section 160(1) to obtain or keep current an insurance policy in respect of liabilities arising in prescribed circumstances or out of prescribed events; and</w:t>
      </w:r>
    </w:p>
    <w:p>
      <w:pPr>
        <w:pStyle w:val="Indenta"/>
      </w:pPr>
      <w:r>
        <w:tab/>
        <w:t>(b)</w:t>
      </w:r>
      <w:r>
        <w:tab/>
        <w:t>limit the amount for which an employer is required by section 160(1) to obtain or keep current an insurance policy; and</w:t>
      </w:r>
    </w:p>
    <w:p>
      <w:pPr>
        <w:pStyle w:val="Indenta"/>
      </w:pPr>
      <w:r>
        <w:lastRenderedPageBreak/>
        <w:tab/>
        <w:t>(c)</w:t>
      </w:r>
      <w:r>
        <w:tab/>
        <w:t>otherwise limit, modify or exclude the requirement in section 160(1) to obtain or keep current an insurance policy.</w:t>
      </w:r>
    </w:p>
    <w:p>
      <w:pPr>
        <w:pStyle w:val="Subsection"/>
      </w:pPr>
      <w:r>
        <w:tab/>
        <w:t>(2)</w:t>
      </w:r>
      <w:r>
        <w:tab/>
        <w:t>The regulations may prescribe any or all of the terms and conditions of an insurance policy required by section 160(1).</w:t>
      </w:r>
    </w:p>
    <w:p>
      <w:pPr>
        <w:pStyle w:val="Subsection"/>
      </w:pPr>
      <w:r>
        <w:tab/>
        <w:t>(3)</w:t>
      </w:r>
      <w:r>
        <w:tab/>
        <w:t>The regulations may prescribe the form of any insurance policy required by section 160(1).</w:t>
      </w:r>
    </w:p>
    <w:p>
      <w:pPr>
        <w:pStyle w:val="Footnotesection"/>
      </w:pPr>
      <w:r>
        <w:tab/>
        <w:t>[Section 169 inserted: No. 12 of 2012 s. 9.]</w:t>
      </w:r>
    </w:p>
    <w:p>
      <w:pPr>
        <w:pStyle w:val="Heading5"/>
        <w:spacing w:before="180"/>
        <w:rPr>
          <w:snapToGrid w:val="0"/>
        </w:rPr>
      </w:pPr>
      <w:bookmarkStart w:id="615" w:name="_Toc131514566"/>
      <w:r>
        <w:rPr>
          <w:rStyle w:val="CharSectno"/>
        </w:rPr>
        <w:t>170</w:t>
      </w:r>
      <w:r>
        <w:rPr>
          <w:snapToGrid w:val="0"/>
        </w:rPr>
        <w:t>.</w:t>
      </w:r>
      <w:r>
        <w:rPr>
          <w:snapToGrid w:val="0"/>
        </w:rPr>
        <w:tab/>
        <w:t>Failure to insure</w:t>
      </w:r>
      <w:bookmarkEnd w:id="615"/>
    </w:p>
    <w:p>
      <w:pPr>
        <w:pStyle w:val="Subsection"/>
        <w:keepNext/>
        <w:keepLines/>
        <w:rPr>
          <w:snapToGrid w:val="0"/>
        </w:rPr>
      </w:pPr>
      <w:r>
        <w:rPr>
          <w:snapToGrid w:val="0"/>
        </w:rPr>
        <w:tab/>
        <w:t>(1)</w:t>
      </w:r>
      <w:r>
        <w:rPr>
          <w:snapToGrid w:val="0"/>
        </w:rPr>
        <w:tab/>
        <w:t>An employer who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spacing w:before="120"/>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w:t>
      </w:r>
      <w:r>
        <w:rPr>
          <w:snapToGrid w:val="0"/>
        </w:rPr>
        <w:lastRenderedPageBreak/>
        <w:t>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w:t>
      </w:r>
      <w:r>
        <w:t>amount.</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keepNext/>
        <w:rPr>
          <w:snapToGrid w:val="0"/>
        </w:rPr>
      </w:pPr>
      <w:r>
        <w:rPr>
          <w:snapToGrid w:val="0"/>
        </w:rPr>
        <w:lastRenderedPageBreak/>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keepNext/>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Ednotesubsection"/>
      </w:pPr>
      <w:r>
        <w:tab/>
        <w:t>[(5)</w:t>
      </w:r>
      <w:r>
        <w:tab/>
        <w:t>deleted]</w:t>
      </w:r>
    </w:p>
    <w:p>
      <w:pPr>
        <w:pStyle w:val="Subsection"/>
      </w:pPr>
      <w:r>
        <w:tab/>
        <w:t>(6)</w:t>
      </w:r>
      <w:r>
        <w:tab/>
        <w:t xml:space="preserve">In subsections (2b) and (2c) — </w:t>
      </w:r>
    </w:p>
    <w:p>
      <w:pPr>
        <w:pStyle w:val="Defstart"/>
      </w:pPr>
      <w:r>
        <w:tab/>
      </w:r>
      <w:r>
        <w:rPr>
          <w:rStyle w:val="CharDefText"/>
        </w:rPr>
        <w:t>responsible officer</w:t>
      </w:r>
      <w:r>
        <w:t>, in relation to the commission of an offence by a body corporate, means a person who is convicted of that offence in accordance with section 170A.</w:t>
      </w:r>
    </w:p>
    <w:p>
      <w:pPr>
        <w:pStyle w:val="Subsection"/>
        <w:keepNext/>
      </w:pPr>
      <w:r>
        <w:tab/>
        <w:t>(7)</w:t>
      </w:r>
      <w:r>
        <w:tab/>
        <w:t>In subsection (3b) —</w:t>
      </w:r>
    </w:p>
    <w:p>
      <w:pPr>
        <w:pStyle w:val="Defstart"/>
        <w:keepNext/>
      </w:pPr>
      <w:r>
        <w:rPr>
          <w:b/>
        </w:rPr>
        <w:tab/>
      </w:r>
      <w:r>
        <w:rPr>
          <w:rStyle w:val="CharDefText"/>
        </w:rPr>
        <w:t>workers’ compensation cover</w:t>
      </w:r>
      <w:r>
        <w:t xml:space="preserve"> means insurance or registration required under the law of a State in respect of liability for statutory workers’ compensation under that law.</w:t>
      </w:r>
    </w:p>
    <w:p>
      <w:pPr>
        <w:pStyle w:val="Footnotesection"/>
      </w:pPr>
      <w:r>
        <w:tab/>
        <w:t>[Section 170 amended: No. 44 of 1985 s. 37; No. 33 of 1986 s. 7; No. 86 of 1986 s. 5; No. 96 of 1990 s. 43; No. 34 of 1999 s. 43 and 57; No. 36 of 2004 s. 11; No. 42 of 2004 s. 150; No. 84 of 2004 s. 80; No. 77 of 2006 Sch. 1 cl. 189(9); No. 9 of 2023 s. 169.]</w:t>
      </w:r>
    </w:p>
    <w:p>
      <w:pPr>
        <w:pStyle w:val="Heading5"/>
      </w:pPr>
      <w:bookmarkStart w:id="616" w:name="_Toc130918597"/>
      <w:bookmarkStart w:id="617" w:name="_Toc131514567"/>
      <w:r>
        <w:rPr>
          <w:rStyle w:val="CharSectno"/>
        </w:rPr>
        <w:t>170A</w:t>
      </w:r>
      <w:r>
        <w:t>.</w:t>
      </w:r>
      <w:r>
        <w:tab/>
        <w:t>Liability of officers for offence by body corporate</w:t>
      </w:r>
      <w:bookmarkEnd w:id="616"/>
      <w:bookmarkEnd w:id="617"/>
    </w:p>
    <w:p>
      <w:pPr>
        <w:pStyle w:val="Subsection"/>
        <w:keepNext/>
      </w:pPr>
      <w:r>
        <w:tab/>
      </w:r>
      <w:r>
        <w:tab/>
      </w:r>
      <w:r>
        <w:rPr>
          <w:i/>
        </w:rPr>
        <w:t>The Criminal Code</w:t>
      </w:r>
      <w:r>
        <w:t xml:space="preserve"> section 39 (which provides for the criminal liability of officers of a body corporate) applies to an offence under section 170(1) of this Act.</w:t>
      </w:r>
    </w:p>
    <w:p>
      <w:pPr>
        <w:pStyle w:val="Footnotesection"/>
      </w:pPr>
      <w:r>
        <w:tab/>
        <w:t>[Section 170A inserted: No. 9 of 2023 s. 170.]</w:t>
      </w:r>
    </w:p>
    <w:p>
      <w:pPr>
        <w:pStyle w:val="Heading5"/>
        <w:keepLines w:val="0"/>
        <w:rPr>
          <w:snapToGrid w:val="0"/>
        </w:rPr>
      </w:pPr>
      <w:bookmarkStart w:id="618" w:name="_Toc131514568"/>
      <w:r>
        <w:rPr>
          <w:rStyle w:val="CharSectno"/>
        </w:rPr>
        <w:lastRenderedPageBreak/>
        <w:t>171</w:t>
      </w:r>
      <w:r>
        <w:rPr>
          <w:snapToGrid w:val="0"/>
        </w:rPr>
        <w:t>.</w:t>
      </w:r>
      <w:r>
        <w:rPr>
          <w:snapToGrid w:val="0"/>
        </w:rPr>
        <w:tab/>
        <w:t>Insurance offices to give information to WorkCover WA</w:t>
      </w:r>
      <w:bookmarkEnd w:id="618"/>
    </w:p>
    <w:p>
      <w:pPr>
        <w:pStyle w:val="Subsection"/>
        <w:keepNext/>
        <w:spacing w:before="140"/>
        <w:rPr>
          <w:snapToGrid w:val="0"/>
        </w:rPr>
      </w:pPr>
      <w:r>
        <w:rPr>
          <w:snapToGrid w:val="0"/>
        </w:rPr>
        <w:tab/>
        <w:t>(1)</w:t>
      </w:r>
      <w:r>
        <w:rPr>
          <w:snapToGrid w:val="0"/>
        </w:rPr>
        <w:tab/>
        <w:t>Every approved insurance office shall within 14 days of the close of each calendar month transmit to</w:t>
      </w:r>
      <w:r>
        <w:t xml:space="preserve"> WorkCover WA</w:t>
      </w:r>
      <w:r>
        <w:rPr>
          <w:snapToGrid w:val="0"/>
        </w:rPr>
        <w:t> —</w:t>
      </w:r>
    </w:p>
    <w:p>
      <w:pPr>
        <w:pStyle w:val="Indenta"/>
        <w:rPr>
          <w:snapToGrid w:val="0"/>
        </w:rPr>
      </w:pPr>
      <w:r>
        <w:rPr>
          <w:snapToGrid w:val="0"/>
        </w:rPr>
        <w:tab/>
        <w:t>(a)</w:t>
      </w:r>
      <w:r>
        <w:rPr>
          <w:snapToGrid w:val="0"/>
        </w:rPr>
        <w:tab/>
        <w:t xml:space="preserve">a statement in the prescribed form giving details of each employer who has during the month in question effected or renewed a policy or contract of insurance </w:t>
      </w:r>
      <w:r>
        <w:t>required by this Act with the insurance office concerned; and</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keepNext/>
        <w:rPr>
          <w:snapToGrid w:val="0"/>
        </w:rPr>
      </w:pPr>
      <w:r>
        <w:rPr>
          <w:snapToGrid w:val="0"/>
        </w:rPr>
        <w:tab/>
        <w:t>(c)</w:t>
      </w:r>
      <w:r>
        <w:rPr>
          <w:snapToGrid w:val="0"/>
        </w:rPr>
        <w:tab/>
        <w:t xml:space="preserve">where </w:t>
      </w:r>
      <w:r>
        <w:t>WorkCover WA</w:t>
      </w:r>
      <w:r>
        <w:rPr>
          <w:snapToGrid w:val="0"/>
        </w:rPr>
        <w:t xml:space="preserve"> has requested the insurance office to do so,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spacing w:before="140"/>
        <w:rPr>
          <w:snapToGrid w:val="0"/>
        </w:rPr>
      </w:pPr>
      <w:r>
        <w:rPr>
          <w:snapToGrid w:val="0"/>
        </w:rPr>
        <w:tab/>
        <w:t>(2)</w:t>
      </w:r>
      <w:r>
        <w:rPr>
          <w:snapToGrid w:val="0"/>
        </w:rPr>
        <w:tab/>
        <w:t>Such a statement shall be signed by a responsible officer of the insurance office concerned.</w:t>
      </w:r>
    </w:p>
    <w:p>
      <w:pPr>
        <w:pStyle w:val="Subsection"/>
        <w:keepNext/>
        <w:spacing w:before="140"/>
        <w:rPr>
          <w:snapToGrid w:val="0"/>
        </w:rPr>
      </w:pPr>
      <w:r>
        <w:rPr>
          <w:snapToGrid w:val="0"/>
        </w:rPr>
        <w:tab/>
        <w:t>(3)</w:t>
      </w:r>
      <w:r>
        <w:rPr>
          <w:snapToGrid w:val="0"/>
        </w:rPr>
        <w:tab/>
        <w:t>Subject to subsection (3a), a person, except with the express authority of</w:t>
      </w:r>
      <w:r>
        <w:t xml:space="preserve"> WorkCover WA</w:t>
      </w:r>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spacing w:before="140"/>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lastRenderedPageBreak/>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keepNext/>
        <w:spacing w:before="120"/>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keepNext/>
        <w:rPr>
          <w:snapToGrid w:val="0"/>
        </w:rPr>
      </w:pPr>
      <w:r>
        <w:rPr>
          <w:snapToGrid w:val="0"/>
        </w:rPr>
        <w:tab/>
        <w:t>Penalty: $2 000.</w:t>
      </w:r>
    </w:p>
    <w:p>
      <w:pPr>
        <w:pStyle w:val="Footnotesection"/>
        <w:spacing w:before="80"/>
      </w:pPr>
      <w:r>
        <w:tab/>
        <w:t>[Section 171 amended: No. 44 of 1985 s. 38; No. 96 of 1990 s. 44; No. 34 of 1999 s. 57; No. 42 of 2004 s. 125 and 150; No. 31 of 2011 s. 110.]</w:t>
      </w:r>
    </w:p>
    <w:p>
      <w:pPr>
        <w:pStyle w:val="Heading5"/>
        <w:keepNext w:val="0"/>
        <w:keepLines w:val="0"/>
        <w:spacing w:before="180"/>
      </w:pPr>
      <w:bookmarkStart w:id="619" w:name="_Toc131514569"/>
      <w:r>
        <w:rPr>
          <w:rStyle w:val="CharSectno"/>
        </w:rPr>
        <w:t>172</w:t>
      </w:r>
      <w:r>
        <w:t>.</w:t>
      </w:r>
      <w:r>
        <w:tab/>
        <w:t>WorkCover WA may recover underpaid premiums from employers</w:t>
      </w:r>
      <w:bookmarkEnd w:id="619"/>
    </w:p>
    <w:p>
      <w:pPr>
        <w:pStyle w:val="Subsection"/>
        <w:keepNext/>
        <w:spacing w:before="120"/>
      </w:pPr>
      <w:r>
        <w:tab/>
      </w:r>
      <w:r>
        <w:tab/>
        <w:t>Whenever as a result of an inspection or otherwise it is shown that an employer has either wilfully or inadvertently understated to the employer’s insurer the aggregate amount of remuneration paid, or the number of employees engaged, and has thereby become liable to pay by way of premium a lesser amount than would otherwise have been payable, then WorkCover WA may —</w:t>
      </w:r>
    </w:p>
    <w:p>
      <w:pPr>
        <w:pStyle w:val="Indenta"/>
        <w:spacing w:before="56"/>
      </w:pPr>
      <w:r>
        <w:tab/>
        <w:t>(a)</w:t>
      </w:r>
      <w:r>
        <w:tab/>
        <w:t>provide to the insurer information as to the remuneration paid by, and the number of employees engaged by, the employer and the category for the purpose of premium rates in which those employees are engaged; and</w:t>
      </w:r>
    </w:p>
    <w:p>
      <w:pPr>
        <w:pStyle w:val="Indenta"/>
        <w:keepNext/>
        <w:spacing w:before="56"/>
      </w:pPr>
      <w:r>
        <w:tab/>
        <w:t>(b)</w:t>
      </w:r>
      <w:r>
        <w:tab/>
        <w:t>sue and recover from the employer —</w:t>
      </w:r>
    </w:p>
    <w:p>
      <w:pPr>
        <w:pStyle w:val="Indenti"/>
        <w:spacing w:before="56"/>
      </w:pPr>
      <w:r>
        <w:tab/>
        <w:t>(i)</w:t>
      </w:r>
      <w:r>
        <w:tab/>
        <w:t>the full amount of the premium that could have been charged; less</w:t>
      </w:r>
    </w:p>
    <w:p>
      <w:pPr>
        <w:pStyle w:val="Indenti"/>
        <w:keepNext/>
        <w:spacing w:before="56"/>
      </w:pPr>
      <w:r>
        <w:tab/>
        <w:t>(ii)</w:t>
      </w:r>
      <w:r>
        <w:tab/>
        <w:t>any amount already paid to the insurer in respect of such insurance,</w:t>
      </w:r>
    </w:p>
    <w:p>
      <w:pPr>
        <w:pStyle w:val="Subsection"/>
        <w:keepNext/>
        <w:spacing w:before="100"/>
      </w:pPr>
      <w:r>
        <w:tab/>
      </w:r>
      <w:r>
        <w:tab/>
        <w:t>and pay any moneys so recovered, less any reasonable costs incurred in the recovery, to the insurer.</w:t>
      </w:r>
    </w:p>
    <w:p>
      <w:pPr>
        <w:pStyle w:val="Footnotesection"/>
        <w:spacing w:before="80"/>
      </w:pPr>
      <w:r>
        <w:tab/>
        <w:t>[Section 172 inserted: No. 34 of 1999 s. 45; amended: No. 42 of 2004 s. 150; No. 31 of 2011 s. 111.]</w:t>
      </w:r>
    </w:p>
    <w:p>
      <w:pPr>
        <w:pStyle w:val="Ednotesection"/>
      </w:pPr>
      <w:r>
        <w:lastRenderedPageBreak/>
        <w:t>[</w:t>
      </w:r>
      <w:r>
        <w:rPr>
          <w:b/>
        </w:rPr>
        <w:t>172A.</w:t>
      </w:r>
      <w:r>
        <w:tab/>
        <w:t>Deleted: No. 34 of 1999 s. 44.]</w:t>
      </w:r>
    </w:p>
    <w:p>
      <w:pPr>
        <w:pStyle w:val="Heading5"/>
        <w:rPr>
          <w:snapToGrid w:val="0"/>
        </w:rPr>
      </w:pPr>
      <w:bookmarkStart w:id="620" w:name="_Toc131514570"/>
      <w:r>
        <w:rPr>
          <w:rStyle w:val="CharSectno"/>
        </w:rPr>
        <w:t>173</w:t>
      </w:r>
      <w:r>
        <w:rPr>
          <w:snapToGrid w:val="0"/>
        </w:rPr>
        <w:t>.</w:t>
      </w:r>
      <w:r>
        <w:rPr>
          <w:snapToGrid w:val="0"/>
        </w:rPr>
        <w:tab/>
        <w:t>Worker’s rights against insurer when employer ceases to exist etc.</w:t>
      </w:r>
      <w:bookmarkEnd w:id="620"/>
    </w:p>
    <w:p>
      <w:pPr>
        <w:pStyle w:val="Subsection"/>
        <w:keepNext/>
        <w:rPr>
          <w:snapToGrid w:val="0"/>
        </w:rPr>
      </w:pPr>
      <w:r>
        <w:rPr>
          <w:snapToGrid w:val="0"/>
        </w:rPr>
        <w:tab/>
        <w:t>(1)</w:t>
      </w:r>
      <w:r>
        <w:rPr>
          <w:snapToGrid w:val="0"/>
        </w:rPr>
        <w:tab/>
        <w:t xml:space="preserve">Where during the currency of a contract </w:t>
      </w:r>
      <w:r>
        <w:t>under this Act</w:t>
      </w:r>
      <w:r>
        <w:rPr>
          <w:snapToGrid w:val="0"/>
        </w:rPr>
        <w:t xml:space="preserve"> between an employer and an insurer in respect of the employer’s </w:t>
      </w:r>
      <w:r>
        <w:t>liability</w:t>
      </w:r>
      <w:r>
        <w:rPr>
          <w:snapToGrid w:val="0"/>
        </w:rPr>
        <w:t xml:space="preserve">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w:t>
      </w:r>
    </w:p>
    <w:p>
      <w:pPr>
        <w:pStyle w:val="Indenta"/>
        <w:rPr>
          <w:snapToGrid w:val="0"/>
        </w:rPr>
      </w:pPr>
      <w:r>
        <w:rPr>
          <w:snapToGrid w:val="0"/>
        </w:rPr>
        <w:tab/>
        <w:t>(a)</w:t>
      </w:r>
      <w:r>
        <w:rPr>
          <w:snapToGrid w:val="0"/>
        </w:rPr>
        <w:tab/>
        <w:t xml:space="preserve">the worker has the same rights and remedies against the </w:t>
      </w:r>
      <w:r>
        <w:t>insurer that the employer otherwise would have had under the contract; and</w:t>
      </w:r>
    </w:p>
    <w:p>
      <w:pPr>
        <w:pStyle w:val="Indenta"/>
        <w:rPr>
          <w:snapToGrid w:val="0"/>
        </w:rPr>
      </w:pPr>
      <w:r>
        <w:rPr>
          <w:snapToGrid w:val="0"/>
        </w:rPr>
        <w:tab/>
        <w:t>(b)</w:t>
      </w:r>
      <w:r>
        <w:rPr>
          <w:snapToGrid w:val="0"/>
        </w:rPr>
        <w:tab/>
        <w:t xml:space="preserve">the insurer has, to the extent of his liability under the contract, the same liability to the worker and the same rights and remedies in respect of </w:t>
      </w:r>
      <w:r>
        <w:t>that liability that the employer otherwise would have had to that worker and in respect of that liability.</w:t>
      </w:r>
    </w:p>
    <w:p>
      <w:pPr>
        <w:pStyle w:val="Subsection"/>
        <w:keepNext/>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spacing w:before="100"/>
      </w:pPr>
      <w:r>
        <w:tab/>
        <w:t>[Section 173 amended: No. 72 of 1992 s. 19; No. 31 of 2011 s. 112.]</w:t>
      </w:r>
    </w:p>
    <w:p>
      <w:pPr>
        <w:pStyle w:val="Heading5"/>
        <w:rPr>
          <w:snapToGrid w:val="0"/>
        </w:rPr>
      </w:pPr>
      <w:bookmarkStart w:id="621" w:name="_Toc131514571"/>
      <w:r>
        <w:rPr>
          <w:rStyle w:val="CharSectno"/>
        </w:rPr>
        <w:t>174</w:t>
      </w:r>
      <w:r>
        <w:rPr>
          <w:snapToGrid w:val="0"/>
        </w:rPr>
        <w:t>.</w:t>
      </w:r>
      <w:r>
        <w:rPr>
          <w:snapToGrid w:val="0"/>
        </w:rPr>
        <w:tab/>
        <w:t xml:space="preserve">Payment to worker from General </w:t>
      </w:r>
      <w:r>
        <w:t>Account</w:t>
      </w:r>
      <w:bookmarkEnd w:id="621"/>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 and</w:t>
      </w:r>
    </w:p>
    <w:p>
      <w:pPr>
        <w:pStyle w:val="Indenta"/>
        <w:rPr>
          <w:snapToGrid w:val="0"/>
        </w:rPr>
      </w:pPr>
      <w:r>
        <w:rPr>
          <w:snapToGrid w:val="0"/>
        </w:rPr>
        <w:lastRenderedPageBreak/>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keepNext/>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r>
        <w:t>WorkCover WA</w:t>
      </w:r>
      <w:r>
        <w:rPr>
          <w:snapToGrid w:val="0"/>
        </w:rPr>
        <w:t xml:space="preserve"> </w:t>
      </w:r>
      <w:r>
        <w:t>is, subject to subsection (5AA), to</w:t>
      </w:r>
      <w:r>
        <w:rPr>
          <w:snapToGrid w:val="0"/>
        </w:rPr>
        <w:t xml:space="preserve"> pay to the worker from moneys standing to the credit of the General </w:t>
      </w:r>
      <w:r>
        <w:t>Account</w:t>
      </w:r>
      <w:r>
        <w:rPr>
          <w:snapToGrid w:val="0"/>
        </w:rPr>
        <w:t xml:space="preserve"> the amount required to satisfy the award and any award for costs in respect thereof.</w:t>
      </w:r>
    </w:p>
    <w:p>
      <w:pPr>
        <w:pStyle w:val="Subsection"/>
        <w:keepNext/>
        <w:rPr>
          <w:snapToGrid w:val="0"/>
        </w:rPr>
      </w:pPr>
      <w:r>
        <w:tab/>
        <w:t>(1AA)</w:t>
      </w:r>
      <w:r>
        <w:tab/>
        <w:t>W</w:t>
      </w:r>
      <w:r>
        <w:rPr>
          <w:snapToGrid w:val="0"/>
        </w:rPr>
        <w:t xml:space="preserve">here — </w:t>
      </w:r>
    </w:p>
    <w:p>
      <w:pPr>
        <w:pStyle w:val="Indenta"/>
        <w:rPr>
          <w:snapToGrid w:val="0"/>
        </w:rPr>
      </w:pPr>
      <w:r>
        <w:tab/>
        <w:t>(a)</w:t>
      </w:r>
      <w:r>
        <w:tab/>
        <w:t xml:space="preserve">on </w:t>
      </w:r>
      <w:r>
        <w:rPr>
          <w:snapToGrid w:val="0"/>
        </w:rPr>
        <w:t>or after the day on which the</w:t>
      </w:r>
      <w:r>
        <w:rPr>
          <w:i/>
          <w:snapToGrid w:val="0"/>
        </w:rPr>
        <w:t xml:space="preserve"> Workers’ Compensation and Injury Management Amendment Act 2011</w:t>
      </w:r>
      <w:r>
        <w:rPr>
          <w:snapToGrid w:val="0"/>
        </w:rPr>
        <w:t xml:space="preserve"> section 113 comes into operation, an action for damages is brought by a worker against the worker’s employer in respect of a compensable injury; and</w:t>
      </w:r>
    </w:p>
    <w:p>
      <w:pPr>
        <w:pStyle w:val="Indenta"/>
        <w:rPr>
          <w:snapToGrid w:val="0"/>
        </w:rPr>
      </w:pPr>
      <w:r>
        <w:rPr>
          <w:snapToGrid w:val="0"/>
        </w:rPr>
        <w:tab/>
        <w:t>(b)</w:t>
      </w:r>
      <w:r>
        <w:rPr>
          <w:snapToGrid w:val="0"/>
        </w:rPr>
        <w:tab/>
        <w:t xml:space="preserve">before </w:t>
      </w:r>
      <w:r>
        <w:rPr>
          <w:iCs/>
          <w:snapToGrid w:val="0"/>
        </w:rPr>
        <w:t xml:space="preserve">that day </w:t>
      </w:r>
      <w:r>
        <w:rPr>
          <w:snapToGrid w:val="0"/>
        </w:rPr>
        <w:t>no claim for compensation under this Act has been made in respect of the same injury; and</w:t>
      </w:r>
    </w:p>
    <w:p>
      <w:pPr>
        <w:pStyle w:val="Indenta"/>
        <w:keepNext/>
        <w:rPr>
          <w:snapToGrid w:val="0"/>
        </w:rPr>
      </w:pPr>
      <w:r>
        <w:rPr>
          <w:snapToGrid w:val="0"/>
        </w:rPr>
        <w:tab/>
        <w:t>(c)</w:t>
      </w:r>
      <w:r>
        <w:rPr>
          <w:snapToGrid w:val="0"/>
        </w:rPr>
        <w:tab/>
        <w:t xml:space="preserve">the action — </w:t>
      </w:r>
    </w:p>
    <w:p>
      <w:pPr>
        <w:pStyle w:val="Indenti"/>
        <w:rPr>
          <w:snapToGrid w:val="0"/>
        </w:rPr>
      </w:pPr>
      <w:r>
        <w:tab/>
        <w:t>(i)</w:t>
      </w:r>
      <w:r>
        <w:tab/>
        <w:t>pr</w:t>
      </w:r>
      <w:r>
        <w:rPr>
          <w:snapToGrid w:val="0"/>
        </w:rPr>
        <w:t>oceeds to judgment, including the acceptance of an offer to consent to judgment, against the employer and damages are awarded to the worker against the employer; or</w:t>
      </w:r>
    </w:p>
    <w:p>
      <w:pPr>
        <w:pStyle w:val="Indenti"/>
        <w:keepNext/>
        <w:rPr>
          <w:snapToGrid w:val="0"/>
        </w:rPr>
      </w:pPr>
      <w:r>
        <w:rPr>
          <w:snapToGrid w:val="0"/>
        </w:rPr>
        <w:tab/>
        <w:t>(ii)</w:t>
      </w:r>
      <w:r>
        <w:rPr>
          <w:snapToGrid w:val="0"/>
        </w:rPr>
        <w:tab/>
        <w:t>is settled by an agreement of the kind described in section 92(f) made between the worker and WorkCover WA, in the exercise of its powers under section 174AB(1), under which damages are to be paid to the worker;</w:t>
      </w:r>
    </w:p>
    <w:p>
      <w:pPr>
        <w:pStyle w:val="Indenta"/>
      </w:pPr>
      <w:r>
        <w:tab/>
      </w:r>
      <w:r>
        <w:tab/>
        <w:t>and</w:t>
      </w:r>
    </w:p>
    <w:p>
      <w:pPr>
        <w:pStyle w:val="Indenta"/>
      </w:pPr>
      <w:r>
        <w:tab/>
        <w:t>(da)</w:t>
      </w:r>
      <w:r>
        <w:tab/>
        <w:t>the damages awarded or agreed are, or include, insurable damages; and</w:t>
      </w:r>
    </w:p>
    <w:p>
      <w:pPr>
        <w:pStyle w:val="Indenta"/>
        <w:rPr>
          <w:snapToGrid w:val="0"/>
        </w:rPr>
      </w:pPr>
      <w:r>
        <w:lastRenderedPageBreak/>
        <w:tab/>
        <w:t>(d)</w:t>
      </w:r>
      <w:r>
        <w:tab/>
        <w:t>the</w:t>
      </w:r>
      <w:r>
        <w:rPr>
          <w:snapToGrid w:val="0"/>
        </w:rPr>
        <w:t xml:space="preserve"> employer is not insured under this Act against the employer’s liability to pay </w:t>
      </w:r>
      <w:r>
        <w:t>the insurable</w:t>
      </w:r>
      <w:r>
        <w:rPr>
          <w:snapToGrid w:val="0"/>
        </w:rPr>
        <w:t xml:space="preserve"> damages to the worker or the case is one to which section 173(2) applies or the employer’s insurer declines to indemnify the employer against the worker’s claim for</w:t>
      </w:r>
      <w:r>
        <w:t xml:space="preserve"> insurable</w:t>
      </w:r>
      <w:r>
        <w:rPr>
          <w:snapToGrid w:val="0"/>
        </w:rPr>
        <w:t xml:space="preserve"> damages; and</w:t>
      </w:r>
    </w:p>
    <w:p>
      <w:pPr>
        <w:pStyle w:val="Indenta"/>
        <w:keepNext/>
        <w:rPr>
          <w:snapToGrid w:val="0"/>
        </w:rPr>
      </w:pPr>
      <w:r>
        <w:tab/>
        <w:t>(e)</w:t>
      </w:r>
      <w:r>
        <w:tab/>
        <w:t xml:space="preserve">the </w:t>
      </w:r>
      <w:r>
        <w:rPr>
          <w:snapToGrid w:val="0"/>
        </w:rPr>
        <w:t>employer does not pay the damages awarded or agreed within 60 days after the date payment is due under the judgment or agreement,</w:t>
      </w:r>
    </w:p>
    <w:p>
      <w:pPr>
        <w:pStyle w:val="Subsection"/>
        <w:rPr>
          <w:snapToGrid w:val="0"/>
        </w:rPr>
      </w:pPr>
      <w:r>
        <w:tab/>
      </w:r>
      <w:r>
        <w:tab/>
        <w:t xml:space="preserve">Workcover WA is, subject to subsection (5AA) and section 174AAA, </w:t>
      </w:r>
      <w:r>
        <w:rPr>
          <w:snapToGrid w:val="0"/>
        </w:rPr>
        <w:t xml:space="preserve">to pay to the worker from moneys standing to the credit of the General </w:t>
      </w:r>
      <w:r>
        <w:t>Account</w:t>
      </w:r>
      <w:r>
        <w:rPr>
          <w:snapToGrid w:val="0"/>
        </w:rPr>
        <w:t xml:space="preserve"> the amount required to satisfy the judgment or agreement </w:t>
      </w:r>
      <w:r>
        <w:t xml:space="preserve">to the extent that the judgment or agreement provides for the payment of insurable damages, </w:t>
      </w:r>
      <w:r>
        <w:rPr>
          <w:snapToGrid w:val="0"/>
        </w:rPr>
        <w:t>and any order against the employer for costs in respect of the action.</w:t>
      </w:r>
    </w:p>
    <w:p>
      <w:pPr>
        <w:pStyle w:val="Subsection"/>
      </w:pPr>
      <w:r>
        <w:tab/>
        <w:t>(1a)</w:t>
      </w:r>
      <w:r>
        <w:tab/>
        <w:t>Without limiting section 174AB, until the amount paid to a worker under this section is recovered under this section or section 174AA, WorkCover WA may exercise any rights of the employer in relation to the payment of that amount.</w:t>
      </w:r>
    </w:p>
    <w:p>
      <w:pPr>
        <w:pStyle w:val="Ednotesubsection"/>
      </w:pPr>
      <w:r>
        <w:tab/>
        <w:t>[(2)</w:t>
      </w:r>
      <w:r>
        <w:tab/>
        <w:t>deleted]</w:t>
      </w:r>
    </w:p>
    <w:p>
      <w:pPr>
        <w:pStyle w:val="Subsection"/>
        <w:keepNext/>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w:t>
      </w:r>
    </w:p>
    <w:p>
      <w:pPr>
        <w:pStyle w:val="Indenta"/>
        <w:rPr>
          <w:snapToGrid w:val="0"/>
        </w:rPr>
      </w:pPr>
      <w:r>
        <w:rPr>
          <w:snapToGrid w:val="0"/>
        </w:rPr>
        <w:tab/>
        <w:t>(a)</w:t>
      </w:r>
      <w:r>
        <w:rPr>
          <w:snapToGrid w:val="0"/>
        </w:rPr>
        <w:tab/>
        <w:t>the identity of the employer’s insurer, if any, is not known; or</w:t>
      </w:r>
    </w:p>
    <w:p>
      <w:pPr>
        <w:pStyle w:val="Indenta"/>
        <w:keepNext/>
        <w:rPr>
          <w:snapToGrid w:val="0"/>
        </w:rPr>
      </w:pPr>
      <w:r>
        <w:rPr>
          <w:snapToGrid w:val="0"/>
        </w:rPr>
        <w:tab/>
        <w:t>(b)</w:t>
      </w:r>
      <w:r>
        <w:rPr>
          <w:snapToGrid w:val="0"/>
        </w:rPr>
        <w:tab/>
        <w:t>the employer’s insurer has ceased to operate in Australia,</w:t>
      </w:r>
    </w:p>
    <w:p>
      <w:pPr>
        <w:pStyle w:val="Subsection"/>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w:t>
      </w:r>
      <w:r>
        <w:t>of compensation in accordance with this Act</w:t>
      </w:r>
      <w:r>
        <w:rPr>
          <w:snapToGrid w:val="0"/>
        </w:rPr>
        <w:t xml:space="preserve"> obtained by the worker or the worker’s representative and any award for costs in respect of the award.</w:t>
      </w:r>
    </w:p>
    <w:p>
      <w:pPr>
        <w:pStyle w:val="Subsection"/>
        <w:rPr>
          <w:snapToGrid w:val="0"/>
        </w:rPr>
      </w:pPr>
      <w:r>
        <w:rPr>
          <w:snapToGrid w:val="0"/>
        </w:rPr>
        <w:lastRenderedPageBreak/>
        <w:tab/>
        <w:t>(4)</w:t>
      </w:r>
      <w:r>
        <w:rPr>
          <w:snapToGrid w:val="0"/>
        </w:rPr>
        <w:tab/>
        <w:t xml:space="preserve">If the identity of the insurer is ascertained after payment has been made under subsection (3), </w:t>
      </w:r>
      <w:r>
        <w:t>WorkCover WA</w:t>
      </w:r>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keepNext/>
      </w:pPr>
      <w:r>
        <w:t>(5AA)</w:t>
      </w:r>
      <w:r>
        <w:tab/>
        <w:t xml:space="preserve">Where WorkCover WA is to make a payment under subsection (1) or (1AA) to a worker in respect of an injury — </w:t>
      </w:r>
    </w:p>
    <w:p>
      <w:pPr>
        <w:pStyle w:val="Indenta"/>
      </w:pPr>
      <w:r>
        <w:tab/>
        <w:t>(a)</w:t>
      </w:r>
      <w:r>
        <w:tab/>
        <w:t>the amount of that payment is to be reduced by any amount of compensation payable to the worker by any employer in respect of the injury; and</w:t>
      </w:r>
    </w:p>
    <w:p>
      <w:pPr>
        <w:pStyle w:val="Indenta"/>
      </w:pPr>
      <w:r>
        <w:tab/>
        <w:t>(b)</w:t>
      </w:r>
      <w:r>
        <w:tab/>
        <w:t>the employer paying that compensation has no right under section 92 or 93 to recovery of, or indemnity for, the compensation from the worker.</w:t>
      </w:r>
    </w:p>
    <w:p>
      <w:pPr>
        <w:pStyle w:val="Subsection"/>
      </w:pPr>
      <w:r>
        <w:tab/>
        <w:t>(5AB)</w:t>
      </w:r>
      <w:r>
        <w:tab/>
        <w:t>Nothing in this section requires WorkCover WA to make any payment to the employer of a worker or to any person who is deemed by section 175(1) to be the employer of a worker.</w:t>
      </w:r>
    </w:p>
    <w:p>
      <w:pPr>
        <w:pStyle w:val="Subsection"/>
      </w:pPr>
      <w:r>
        <w:tab/>
        <w:t>(5a)</w:t>
      </w:r>
      <w:r>
        <w:tab/>
        <w:t>Despite any other provisions of this section, if WorkCover WA is satisfied that the reason for the employer not being insured against liability to pay compensation or damages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Where WorkCover WA has paid from the General Account an amount under subsection (1) or (1AA) WorkCover WA may file in a court of competent jurisdiction a certificate of WorkCover WA showing the amount paid.</w:t>
      </w:r>
    </w:p>
    <w:p>
      <w:pPr>
        <w:pStyle w:val="Subsection"/>
      </w:pPr>
      <w:r>
        <w:lastRenderedPageBreak/>
        <w:tab/>
        <w:t>(7)</w:t>
      </w:r>
      <w:r>
        <w:tab/>
        <w:t>No charge is to be made for filing a copy of a certificate under this section.</w:t>
      </w:r>
    </w:p>
    <w:p>
      <w:pPr>
        <w:pStyle w:val="Subsection"/>
      </w:pPr>
      <w:r>
        <w:tab/>
        <w:t>(8)</w:t>
      </w:r>
      <w:r>
        <w:tab/>
        <w:t>On filing, the certificate is to be taken to be a judgment of that court for a debt payable by the employer of the worker to WorkCover WA of the same amount as the amount stated in the certificate, and may be enforced accordingly.</w:t>
      </w:r>
    </w:p>
    <w:p>
      <w:pPr>
        <w:pStyle w:val="Subsection"/>
        <w:keepNext/>
        <w:rPr>
          <w:snapToGrid w:val="0"/>
        </w:rPr>
      </w:pPr>
      <w:r>
        <w:tab/>
        <w:t>(9)</w:t>
      </w:r>
      <w:r>
        <w:tab/>
        <w:t>Where more than one person is liable as an employer to pay compensation under this Act to a worker, the reference in subsection (8) to the employer is to be read as a reference to each person so liable, and the judgment may be enforced against those persons jointly and severally.</w:t>
      </w:r>
    </w:p>
    <w:p>
      <w:pPr>
        <w:pStyle w:val="Footnotesection"/>
      </w:pPr>
      <w:r>
        <w:tab/>
        <w:t>[Section 174 amended: No. 85 of 1986 s. 11; No. 96 of 1990 s. 46; No. 72 of 1992 s. 20; No. 48 of 1993 s. 41; No. 49 of 1996 s. 64; No. 36 of 2004 s. 12 and 18; No. 42 of 2004 s. 126, 147 and 150; No. 16 of 2005 s. 21; No. 77 of 2006 Sch. 1 cl. 189(9); No. 31 of 2011 s. 113; No. 12 of 2012 s. 10.]</w:t>
      </w:r>
    </w:p>
    <w:p>
      <w:pPr>
        <w:pStyle w:val="Heading5"/>
      </w:pPr>
      <w:bookmarkStart w:id="622" w:name="_Toc131514572"/>
      <w:r>
        <w:rPr>
          <w:rStyle w:val="CharSectno"/>
        </w:rPr>
        <w:t>174AAA</w:t>
      </w:r>
      <w:r>
        <w:t>. Setting aside certain judgments and agreements</w:t>
      </w:r>
      <w:bookmarkEnd w:id="622"/>
    </w:p>
    <w:p>
      <w:pPr>
        <w:pStyle w:val="Subsection"/>
        <w:keepNext/>
      </w:pPr>
      <w:r>
        <w:tab/>
        <w:t>(1)</w:t>
      </w:r>
      <w:r>
        <w:tab/>
        <w:t xml:space="preserve">If — </w:t>
      </w:r>
    </w:p>
    <w:p>
      <w:pPr>
        <w:pStyle w:val="Indenta"/>
      </w:pPr>
      <w:r>
        <w:tab/>
        <w:t>(a)</w:t>
      </w:r>
      <w:r>
        <w:tab/>
        <w:t>an action brought by a worker as described in section 174(1AA)(a) proceeds to judgment as described in section 174(1AA)(c)(i) or is settled by an agreement of the kind described in section 174(1AA)(c)(ii); and</w:t>
      </w:r>
    </w:p>
    <w:p>
      <w:pPr>
        <w:pStyle w:val="Indenta"/>
        <w:keepNext/>
      </w:pPr>
      <w:r>
        <w:tab/>
        <w:t>(b)</w:t>
      </w:r>
      <w:r>
        <w:tab/>
        <w:t>a claim on the General Account is made under section 174(1AA) in respect of any amount due under the judgment or agreement,</w:t>
      </w:r>
    </w:p>
    <w:p>
      <w:pPr>
        <w:pStyle w:val="Subsection"/>
      </w:pPr>
      <w:r>
        <w:tab/>
      </w:r>
      <w:r>
        <w:tab/>
        <w:t>WorkCover WA may apply to the Supreme Court for an order setting aside the judgment or agreement.</w:t>
      </w:r>
    </w:p>
    <w:p>
      <w:pPr>
        <w:pStyle w:val="Subsection"/>
      </w:pPr>
      <w:r>
        <w:tab/>
        <w:t>(2)</w:t>
      </w:r>
      <w:r>
        <w:tab/>
        <w:t>The Supreme Court may set aside the judgment or agreement if satisfied that there are reasonable grounds for believing that the employer has not taken all reasonable steps to protect the employer’s own interests.</w:t>
      </w:r>
    </w:p>
    <w:p>
      <w:pPr>
        <w:pStyle w:val="Subsection"/>
      </w:pPr>
      <w:r>
        <w:lastRenderedPageBreak/>
        <w:tab/>
        <w:t>(3)</w:t>
      </w:r>
      <w:r>
        <w:tab/>
        <w:t>If the Supreme Court sets the judgment or agreement aside the costs of the respondent in relation to the application are to be paid from the General Account unless the Supreme Court orders otherwise.</w:t>
      </w:r>
    </w:p>
    <w:p>
      <w:pPr>
        <w:pStyle w:val="Subsection"/>
      </w:pPr>
      <w:r>
        <w:tab/>
        <w:t>(4)</w:t>
      </w:r>
      <w:r>
        <w:tab/>
        <w:t>The Supreme Court may make an order about costs under subsection (3) only if satisfied that it is appropriate to make the order because of the special circumstances surrounding the giving of the judgment or the making of the agreement.</w:t>
      </w:r>
    </w:p>
    <w:p>
      <w:pPr>
        <w:pStyle w:val="Subsection"/>
        <w:keepNext/>
      </w:pPr>
      <w:r>
        <w:tab/>
        <w:t>(5)</w:t>
      </w:r>
      <w:r>
        <w:tab/>
        <w:t xml:space="preserve">If a judgment or agreement is set aside under this section — </w:t>
      </w:r>
    </w:p>
    <w:p>
      <w:pPr>
        <w:pStyle w:val="Indenta"/>
      </w:pPr>
      <w:r>
        <w:tab/>
        <w:t>(a)</w:t>
      </w:r>
      <w:r>
        <w:tab/>
        <w:t>the judgment or agreement is taken never to have had effect for the purpose of any proceeding in any court; and</w:t>
      </w:r>
    </w:p>
    <w:p>
      <w:pPr>
        <w:pStyle w:val="Indenta"/>
      </w:pPr>
      <w:r>
        <w:tab/>
        <w:t>(b)</w:t>
      </w:r>
      <w:r>
        <w:tab/>
        <w:t>evidence of a statement or communication, or a part of a statement or communication, tending to establish the existence of the agreement is not admissible in any proceeding in a court, unless the Supreme Court orders otherwise.</w:t>
      </w:r>
    </w:p>
    <w:p>
      <w:pPr>
        <w:pStyle w:val="Subsection"/>
        <w:keepNext/>
      </w:pPr>
      <w:r>
        <w:tab/>
        <w:t>(6)</w:t>
      </w:r>
      <w:r>
        <w:tab/>
        <w:t>The Supreme Court may make an order under subsection (5)(b) only if satisfied that the admission of the evidence is necessary to avoid injustice to a party to the proceeding.</w:t>
      </w:r>
    </w:p>
    <w:p>
      <w:pPr>
        <w:pStyle w:val="Footnotesection"/>
      </w:pPr>
      <w:r>
        <w:tab/>
        <w:t>[Section 174AAA inserted: No. 31 of 2011 s. 114.]</w:t>
      </w:r>
    </w:p>
    <w:p>
      <w:pPr>
        <w:pStyle w:val="Heading5"/>
      </w:pPr>
      <w:bookmarkStart w:id="623" w:name="_Toc131514573"/>
      <w:r>
        <w:rPr>
          <w:rStyle w:val="CharSectno"/>
        </w:rPr>
        <w:t>174AA</w:t>
      </w:r>
      <w:r>
        <w:t>.</w:t>
      </w:r>
      <w:r>
        <w:tab/>
        <w:t>Recovering s. 174 payments from officers of body corporate</w:t>
      </w:r>
      <w:bookmarkEnd w:id="623"/>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keepNext/>
      </w:pPr>
      <w:r>
        <w:tab/>
        <w:t>(2)</w:t>
      </w:r>
      <w:r>
        <w:tab/>
        <w:t>A person is a responsible officer of a body corporate if —</w:t>
      </w:r>
    </w:p>
    <w:p>
      <w:pPr>
        <w:pStyle w:val="Indenta"/>
        <w:spacing w:before="100"/>
      </w:pPr>
      <w:r>
        <w:tab/>
        <w:t>(a)</w:t>
      </w:r>
      <w:r>
        <w:tab/>
        <w:t xml:space="preserve">the body corporate has contravened section 160(1) in respect of a policy of insurance or otherwise failed to ensure that it had a sufficient policy of insurance that would have covered the body corporate for the liability </w:t>
      </w:r>
      <w:r>
        <w:lastRenderedPageBreak/>
        <w:t>to which the payment made under section 174 related (whether or not the body corporate has been proceeded against or convicted of an offence for the contravention); and</w:t>
      </w:r>
    </w:p>
    <w:p>
      <w:pPr>
        <w:pStyle w:val="Indenta"/>
        <w:spacing w:before="100"/>
      </w:pPr>
      <w:r>
        <w:tab/>
        <w:t>(b)</w:t>
      </w:r>
      <w:r>
        <w:tab/>
        <w:t>at the time of the contravention or failure the person was a director or other officer concerned in the management of the body corporate; and</w:t>
      </w:r>
    </w:p>
    <w:p>
      <w:pPr>
        <w:pStyle w:val="Indenta"/>
        <w:keepNext/>
        <w:spacing w:before="100"/>
      </w:pPr>
      <w:r>
        <w:tab/>
        <w:t>(c)</w:t>
      </w:r>
      <w:r>
        <w:tab/>
        <w:t>the person does not prove that —</w:t>
      </w:r>
    </w:p>
    <w:p>
      <w:pPr>
        <w:pStyle w:val="Indenti"/>
        <w:spacing w:before="100"/>
      </w:pPr>
      <w:r>
        <w:tab/>
        <w:t>(i)</w:t>
      </w:r>
      <w:r>
        <w:tab/>
        <w:t>the contravention or failure occurred without the person’s consent or connivance; and</w:t>
      </w:r>
    </w:p>
    <w:p>
      <w:pPr>
        <w:pStyle w:val="Indenti"/>
        <w:spacing w:before="100"/>
      </w:pPr>
      <w:r>
        <w:tab/>
        <w:t>(ii)</w:t>
      </w:r>
      <w:r>
        <w:tab/>
        <w:t>the person exercised all such due diligence to prevent the contravention or failure as ought to have been exercised having regard to the nature of the person’s functions and to all the circumstances.</w:t>
      </w:r>
    </w:p>
    <w:p>
      <w:pPr>
        <w:pStyle w:val="Subsection"/>
        <w:keepNext/>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No. 42 of 2004 s. 127; amended: No. 77 of 2006 Sch. 1 cl. 189(9).]</w:t>
      </w:r>
    </w:p>
    <w:p>
      <w:pPr>
        <w:pStyle w:val="Heading5"/>
      </w:pPr>
      <w:bookmarkStart w:id="624" w:name="_Toc131514574"/>
      <w:r>
        <w:rPr>
          <w:rStyle w:val="CharSectno"/>
        </w:rPr>
        <w:t>174AB</w:t>
      </w:r>
      <w:r>
        <w:t>.</w:t>
      </w:r>
      <w:r>
        <w:tab/>
        <w:t>WorkCover WA may exercise rights of employer in some cases</w:t>
      </w:r>
      <w:bookmarkEnd w:id="624"/>
    </w:p>
    <w:p>
      <w:pPr>
        <w:pStyle w:val="Subsection"/>
        <w:keepNext/>
      </w:pPr>
      <w:r>
        <w:tab/>
        <w:t>(1)</w:t>
      </w:r>
      <w:r>
        <w:tab/>
        <w:t>If an employer against whom a claim for compensation under this Act, or an action for damages which are, or which include, insurable damages, is brought by a worker is uninsured, WorkCover WA has all of the rights of the employer as the party against whom the claim or action is brought in place of the employer including the right to —</w:t>
      </w:r>
    </w:p>
    <w:p>
      <w:pPr>
        <w:pStyle w:val="Indenta"/>
      </w:pPr>
      <w:r>
        <w:tab/>
        <w:t>(a)</w:t>
      </w:r>
      <w:r>
        <w:tab/>
        <w:t>consent to an award or order being made in a proceeding before a dispute resolution authority; and</w:t>
      </w:r>
    </w:p>
    <w:p>
      <w:pPr>
        <w:pStyle w:val="Indenta"/>
      </w:pPr>
      <w:r>
        <w:tab/>
        <w:t>(ba)</w:t>
      </w:r>
      <w:r>
        <w:tab/>
        <w:t>consent to a judgment being given in a proceeding before a court; and</w:t>
      </w:r>
    </w:p>
    <w:p>
      <w:pPr>
        <w:pStyle w:val="Indenta"/>
      </w:pPr>
      <w:r>
        <w:lastRenderedPageBreak/>
        <w:tab/>
        <w:t>(b)</w:t>
      </w:r>
      <w:r>
        <w:tab/>
        <w:t>enter into an agreement as to redemption of the claim or compromise of the action; and</w:t>
      </w:r>
    </w:p>
    <w:p>
      <w:pPr>
        <w:pStyle w:val="Indenta"/>
      </w:pPr>
      <w:r>
        <w:tab/>
        <w:t>(c)</w:t>
      </w:r>
      <w:r>
        <w:tab/>
        <w:t>become a party to proceedings in relation to the claim or action; and</w:t>
      </w:r>
    </w:p>
    <w:p>
      <w:pPr>
        <w:pStyle w:val="Indenta"/>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Ednotesubsection"/>
      </w:pPr>
      <w:r>
        <w:tab/>
        <w:t>[(2)-(4)</w:t>
      </w:r>
      <w:r>
        <w:tab/>
        <w:t>deleted]</w:t>
      </w:r>
    </w:p>
    <w:p>
      <w:pPr>
        <w:pStyle w:val="Subsection"/>
        <w:keepNext/>
      </w:pPr>
      <w:r>
        <w:tab/>
        <w:t>(5)</w:t>
      </w:r>
      <w:r>
        <w:tab/>
        <w:t>WorkCover WA may sue for and recover from the employer fees, costs and charges incurred by WorkCover WA under this section, whether or not WorkCover WA was successful in any proceedings.</w:t>
      </w:r>
    </w:p>
    <w:p>
      <w:pPr>
        <w:pStyle w:val="Footnotesection"/>
      </w:pPr>
      <w:r>
        <w:tab/>
        <w:t>[Section 174AB inserted: No. 42 of 2004 s. 128; amended: No. 31 of 2011 s. 115; No. 12 of 2012 s. 11.]</w:t>
      </w:r>
    </w:p>
    <w:p>
      <w:pPr>
        <w:pStyle w:val="Heading5"/>
      </w:pPr>
      <w:bookmarkStart w:id="625" w:name="_Toc131514575"/>
      <w:r>
        <w:rPr>
          <w:rStyle w:val="CharSectno"/>
        </w:rPr>
        <w:t>174AC</w:t>
      </w:r>
      <w:r>
        <w:t>.</w:t>
      </w:r>
      <w:r>
        <w:tab/>
        <w:t>WorkCover WA’s rights of indemnity and subrogation</w:t>
      </w:r>
      <w:bookmarkEnd w:id="625"/>
    </w:p>
    <w:p>
      <w:pPr>
        <w:pStyle w:val="Subsection"/>
        <w:keepNext/>
      </w:pPr>
      <w:r>
        <w:tab/>
      </w:r>
      <w:r>
        <w:tab/>
        <w:t xml:space="preserve">If WorkCover WA has paid, or is liable to pay, from the General Account an amount as compensation or damages for which an employer is liable, WorkCover WA is subrogated to — </w:t>
      </w:r>
    </w:p>
    <w:p>
      <w:pPr>
        <w:pStyle w:val="Indenta"/>
        <w:spacing w:before="100"/>
      </w:pPr>
      <w:r>
        <w:tab/>
        <w:t>(a)</w:t>
      </w:r>
      <w:r>
        <w:tab/>
        <w:t>any right of the employer to indemnity from an insurer in respect of that payment; and</w:t>
      </w:r>
    </w:p>
    <w:p>
      <w:pPr>
        <w:pStyle w:val="Indenta"/>
        <w:keepNext/>
        <w:spacing w:before="100"/>
      </w:pPr>
      <w:r>
        <w:tab/>
        <w:t>(b)</w:t>
      </w:r>
      <w:r>
        <w:tab/>
        <w:t>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r>
        <w:tab/>
        <w:t>[Section 174AC inserted: No. 31 of 2011 s. 116.]</w:t>
      </w:r>
    </w:p>
    <w:p>
      <w:pPr>
        <w:pStyle w:val="Heading5"/>
      </w:pPr>
      <w:bookmarkStart w:id="626" w:name="_Toc131514576"/>
      <w:r>
        <w:rPr>
          <w:rStyle w:val="CharSectno"/>
        </w:rPr>
        <w:lastRenderedPageBreak/>
        <w:t>174AD</w:t>
      </w:r>
      <w:r>
        <w:t>.</w:t>
      </w:r>
      <w:r>
        <w:tab/>
        <w:t>Employer’s duty to assist WorkCover WA</w:t>
      </w:r>
      <w:bookmarkEnd w:id="626"/>
    </w:p>
    <w:p>
      <w:pPr>
        <w:pStyle w:val="Subsection"/>
        <w:keepNext/>
      </w:pPr>
      <w:r>
        <w:tab/>
        <w:t>(1)</w:t>
      </w:r>
      <w:r>
        <w:tab/>
        <w:t xml:space="preserve">Where under section 174AB or 174AC WorkCover WA has or is subrogated to any right of an employer, WorkCover WA may by notice in writing require the employer to — </w:t>
      </w:r>
    </w:p>
    <w:p>
      <w:pPr>
        <w:pStyle w:val="Indenta"/>
        <w:spacing w:before="100"/>
      </w:pPr>
      <w:r>
        <w:tab/>
        <w:t>(a)</w:t>
      </w:r>
      <w:r>
        <w:tab/>
        <w:t>give WorkCover WA any information and assistance which WorkCover WA considers necessary or desirable in relation to the exercise or proposed exercise of the right; and</w:t>
      </w:r>
    </w:p>
    <w:p>
      <w:pPr>
        <w:pStyle w:val="Indenta"/>
        <w:spacing w:before="100"/>
      </w:pPr>
      <w:r>
        <w:tab/>
        <w:t>(b)</w:t>
      </w:r>
      <w:r>
        <w:tab/>
        <w:t>provide to WorkCover WA any documents in the employer’s possession or control which WorkCover WA considers necessary or desirable in relation to the exercise or contemplated exercise of the right; and</w:t>
      </w:r>
    </w:p>
    <w:p>
      <w:pPr>
        <w:pStyle w:val="Indenta"/>
        <w:spacing w:before="100"/>
      </w:pPr>
      <w:r>
        <w:tab/>
        <w:t>(c)</w:t>
      </w:r>
      <w:r>
        <w:tab/>
        <w:t>execute any documents or instruments which may be necessary to enable WorkCover WA to exercise the right, or to ratify or confirm any exercise or purported exercise of the right by WorkCover WA.</w:t>
      </w:r>
    </w:p>
    <w:p>
      <w:pPr>
        <w:pStyle w:val="Subsection"/>
        <w:keepNext/>
      </w:pPr>
      <w:r>
        <w:tab/>
        <w:t>(2)</w:t>
      </w:r>
      <w:r>
        <w:tab/>
        <w:t>An employer must comply with any requirement made under subsection (1).</w:t>
      </w:r>
    </w:p>
    <w:p>
      <w:pPr>
        <w:pStyle w:val="Penstart"/>
        <w:keepNext/>
      </w:pPr>
      <w:r>
        <w:tab/>
        <w:t>Penalty: a fine of $5 000.</w:t>
      </w:r>
    </w:p>
    <w:p>
      <w:pPr>
        <w:pStyle w:val="Footnotesection"/>
      </w:pPr>
      <w:r>
        <w:tab/>
        <w:t>[Section 174AD inserted: No. 31 of 2011 s. 116.]</w:t>
      </w:r>
    </w:p>
    <w:p>
      <w:pPr>
        <w:pStyle w:val="Heading5"/>
        <w:rPr>
          <w:snapToGrid w:val="0"/>
        </w:rPr>
      </w:pPr>
      <w:bookmarkStart w:id="627" w:name="_Toc131514577"/>
      <w:r>
        <w:rPr>
          <w:rStyle w:val="CharSectno"/>
        </w:rPr>
        <w:t>174A</w:t>
      </w:r>
      <w:r>
        <w:rPr>
          <w:snapToGrid w:val="0"/>
        </w:rPr>
        <w:t>.</w:t>
      </w:r>
      <w:r>
        <w:rPr>
          <w:snapToGrid w:val="0"/>
        </w:rPr>
        <w:tab/>
        <w:t xml:space="preserve">Insurer may not refuse to indemnify </w:t>
      </w:r>
      <w:r>
        <w:t>in some cases</w:t>
      </w:r>
      <w:bookmarkEnd w:id="627"/>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w:t>
      </w:r>
      <w:r>
        <w:t>or damages in respect of a compensable injury for which the employer is liable</w:t>
      </w:r>
      <w:r>
        <w:rPr>
          <w:snapToGrid w:val="0"/>
        </w:rPr>
        <w:t xml:space="preserve"> on the ground of an act or omission by or on behalf of the employer but the act or omission did not cause or contribute to the </w:t>
      </w:r>
      <w:r>
        <w:t>injury</w:t>
      </w:r>
      <w:r>
        <w:rPr>
          <w:snapToGrid w:val="0"/>
        </w:rPr>
        <w:t xml:space="preserve"> for which compensation is </w:t>
      </w:r>
      <w:r>
        <w:t>or damages are</w:t>
      </w:r>
      <w:r>
        <w:rPr>
          <w:snapToGrid w:val="0"/>
        </w:rPr>
        <w:t xml:space="preserve">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keepNext/>
        <w:rPr>
          <w:snapToGrid w:val="0"/>
        </w:rPr>
      </w:pPr>
      <w:r>
        <w:rPr>
          <w:snapToGrid w:val="0"/>
        </w:rPr>
        <w:lastRenderedPageBreak/>
        <w:tab/>
        <w:t>(2)</w:t>
      </w:r>
      <w:r>
        <w:rPr>
          <w:snapToGrid w:val="0"/>
        </w:rPr>
        <w:tab/>
        <w:t>The onus of proving that the insurer’s interests were prejudiced by the act or omission by or on behalf of the employer and the extent of that prejudice is on the insurer.</w:t>
      </w:r>
    </w:p>
    <w:p>
      <w:pPr>
        <w:pStyle w:val="Footnotesection"/>
        <w:spacing w:before="100"/>
      </w:pPr>
      <w:r>
        <w:tab/>
        <w:t>[Section 174A inserted: No. 72 of 1992 s. 21; amended: No. 42 of 2004 s. 147; No. 31 of 2011 s. 117.]</w:t>
      </w:r>
    </w:p>
    <w:p>
      <w:pPr>
        <w:pStyle w:val="Heading3"/>
      </w:pPr>
      <w:bookmarkStart w:id="628" w:name="_Toc100238600"/>
      <w:bookmarkStart w:id="629" w:name="_Toc100239214"/>
      <w:bookmarkStart w:id="630" w:name="_Toc100562508"/>
      <w:bookmarkStart w:id="631" w:name="_Toc107310144"/>
      <w:bookmarkStart w:id="632" w:name="_Toc107479998"/>
      <w:bookmarkStart w:id="633" w:name="_Toc131501364"/>
      <w:bookmarkStart w:id="634" w:name="_Toc131501982"/>
      <w:bookmarkStart w:id="635" w:name="_Toc131514578"/>
      <w:r>
        <w:rPr>
          <w:rStyle w:val="CharDivNo"/>
        </w:rPr>
        <w:t>Division 2</w:t>
      </w:r>
      <w:r>
        <w:rPr>
          <w:snapToGrid w:val="0"/>
        </w:rPr>
        <w:t> — </w:t>
      </w:r>
      <w:r>
        <w:rPr>
          <w:rStyle w:val="CharDivText"/>
        </w:rPr>
        <w:t>Insurance by principals, contractors, and sub</w:t>
      </w:r>
      <w:r>
        <w:rPr>
          <w:rStyle w:val="CharDivText"/>
        </w:rPr>
        <w:noBreakHyphen/>
        <w:t>contractors</w:t>
      </w:r>
      <w:bookmarkEnd w:id="628"/>
      <w:bookmarkEnd w:id="629"/>
      <w:bookmarkEnd w:id="630"/>
      <w:bookmarkEnd w:id="631"/>
      <w:bookmarkEnd w:id="632"/>
      <w:bookmarkEnd w:id="633"/>
      <w:bookmarkEnd w:id="634"/>
      <w:bookmarkEnd w:id="635"/>
    </w:p>
    <w:p>
      <w:pPr>
        <w:pStyle w:val="Heading5"/>
        <w:rPr>
          <w:snapToGrid w:val="0"/>
        </w:rPr>
      </w:pPr>
      <w:bookmarkStart w:id="636" w:name="_Toc131514579"/>
      <w:r>
        <w:rPr>
          <w:rStyle w:val="CharSectno"/>
        </w:rPr>
        <w:t>175</w:t>
      </w:r>
      <w:r>
        <w:rPr>
          <w:snapToGrid w:val="0"/>
        </w:rPr>
        <w:t>.</w:t>
      </w:r>
      <w:r>
        <w:rPr>
          <w:snapToGrid w:val="0"/>
        </w:rPr>
        <w:tab/>
        <w:t>When principal, contractor and sub</w:t>
      </w:r>
      <w:r>
        <w:rPr>
          <w:snapToGrid w:val="0"/>
        </w:rPr>
        <w:noBreakHyphen/>
        <w:t>contractor deemed employers</w:t>
      </w:r>
      <w:bookmarkEnd w:id="636"/>
    </w:p>
    <w:p>
      <w:pPr>
        <w:pStyle w:val="Subsection"/>
        <w:rPr>
          <w:snapToGrid w:val="0"/>
        </w:rPr>
      </w:pPr>
      <w:r>
        <w:rPr>
          <w:snapToGrid w:val="0"/>
        </w:rPr>
        <w:tab/>
        <w:t>(1)</w:t>
      </w:r>
      <w:r>
        <w:rPr>
          <w:snapToGrid w:val="0"/>
        </w:rPr>
        <w:tab/>
        <w:t xml:space="preserve">Where a person (in this section referred to as the </w:t>
      </w:r>
      <w:r>
        <w:rPr>
          <w:rStyle w:val="CharDefText"/>
        </w:rPr>
        <w:t>principal</w:t>
      </w:r>
      <w:r>
        <w:rPr>
          <w:snapToGrid w:val="0"/>
        </w:rPr>
        <w:t xml:space="preserve">) contracts with another person (in this section referred to as the </w:t>
      </w:r>
      <w:r>
        <w:rPr>
          <w:rStyle w:val="CharDefText"/>
        </w:rPr>
        <w:t>contractor</w:t>
      </w:r>
      <w:r>
        <w:rPr>
          <w:snapToGrid w:val="0"/>
        </w:rPr>
        <w:t>)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keepNext/>
      </w:pPr>
      <w:r>
        <w:tab/>
        <w:t>(3A)</w:t>
      </w:r>
      <w:r>
        <w:tab/>
        <w:t xml:space="preserve">The indemnity conferred by subsection (2) does not allow the principal to recover from the worker — </w:t>
      </w:r>
    </w:p>
    <w:p>
      <w:pPr>
        <w:pStyle w:val="Indenta"/>
        <w:spacing w:before="60"/>
      </w:pPr>
      <w:r>
        <w:tab/>
        <w:t>(a)</w:t>
      </w:r>
      <w:r>
        <w:tab/>
        <w:t>any amount which the worker receives from the contractor by way of compensation or damages in respect of a compensable injury; or</w:t>
      </w:r>
    </w:p>
    <w:p>
      <w:pPr>
        <w:pStyle w:val="Indenta"/>
        <w:spacing w:before="60"/>
      </w:pPr>
      <w:r>
        <w:tab/>
        <w:t>(b)</w:t>
      </w:r>
      <w:r>
        <w:tab/>
        <w:t>any amount which the worker receives from WorkCover WA under section 174 in respect of the contractor’s liability to pay compensation or damages to the worker.</w:t>
      </w:r>
    </w:p>
    <w:p>
      <w:pPr>
        <w:pStyle w:val="Subsection"/>
      </w:pPr>
      <w:r>
        <w:tab/>
        <w:t>(3B)</w:t>
      </w:r>
      <w:r>
        <w:tab/>
        <w:t>The indemnity conferred by subsection (2) does not allow the principal to recover any amount from WorkCover WA.</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w:t>
      </w:r>
      <w:r>
        <w:rPr>
          <w:snapToGrid w:val="0"/>
        </w:rPr>
        <w:lastRenderedPageBreak/>
        <w:t xml:space="preserve">the </w:t>
      </w:r>
      <w:r>
        <w:t>injury</w:t>
      </w:r>
      <w:r>
        <w:rPr>
          <w:snapToGrid w:val="0"/>
        </w:rPr>
        <w:t xml:space="preserve"> is directly a part or process in the trade or business of the principal.</w:t>
      </w:r>
    </w:p>
    <w:p>
      <w:pPr>
        <w:pStyle w:val="Subsection"/>
        <w:spacing w:before="140"/>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spacing w:before="140"/>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keepNext/>
        <w:spacing w:before="140"/>
        <w:rPr>
          <w:snapToGrid w:val="0"/>
        </w:rPr>
      </w:pPr>
      <w:r>
        <w:rPr>
          <w:snapToGrid w:val="0"/>
        </w:rPr>
        <w:tab/>
        <w:t>(6)</w:t>
      </w:r>
      <w:r>
        <w:rPr>
          <w:snapToGrid w:val="0"/>
        </w:rPr>
        <w:tab/>
        <w:t>For the purposes of this section, where sub</w:t>
      </w:r>
      <w:r>
        <w:rPr>
          <w:snapToGrid w:val="0"/>
        </w:rPr>
        <w:noBreakHyphen/>
        <w:t>contracts are made —</w:t>
      </w:r>
    </w:p>
    <w:p>
      <w:pPr>
        <w:pStyle w:val="Indenta"/>
        <w:spacing w:before="60"/>
        <w:rPr>
          <w:snapToGrid w:val="0"/>
        </w:rPr>
      </w:pPr>
      <w:r>
        <w:rPr>
          <w:snapToGrid w:val="0"/>
        </w:rPr>
        <w:tab/>
        <w:t>(a)</w:t>
      </w:r>
      <w:r>
        <w:rPr>
          <w:snapToGrid w:val="0"/>
        </w:rPr>
        <w:tab/>
      </w:r>
      <w:r>
        <w:rPr>
          <w:rStyle w:val="CharDefText"/>
        </w:rPr>
        <w:t>principal</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 and</w:t>
      </w:r>
    </w:p>
    <w:p>
      <w:pPr>
        <w:pStyle w:val="Indenta"/>
        <w:spacing w:before="60"/>
        <w:rPr>
          <w:snapToGrid w:val="0"/>
        </w:rPr>
      </w:pPr>
      <w:r>
        <w:rPr>
          <w:snapToGrid w:val="0"/>
        </w:rPr>
        <w:tab/>
        <w:t>(b)</w:t>
      </w:r>
      <w:r>
        <w:rPr>
          <w:snapToGrid w:val="0"/>
        </w:rPr>
        <w:tab/>
      </w:r>
      <w:r>
        <w:rPr>
          <w:rStyle w:val="CharDefText"/>
        </w:rPr>
        <w:t>contractor</w:t>
      </w:r>
      <w:r>
        <w:rPr>
          <w:snapToGrid w:val="0"/>
        </w:rPr>
        <w:t xml:space="preserve"> includes the original contractor and each sub</w:t>
      </w:r>
      <w:r>
        <w:rPr>
          <w:snapToGrid w:val="0"/>
        </w:rPr>
        <w:noBreakHyphen/>
        <w:t>contractor; and</w:t>
      </w:r>
    </w:p>
    <w:p>
      <w:pPr>
        <w:pStyle w:val="Indenta"/>
        <w:spacing w:before="60"/>
        <w:rPr>
          <w:snapToGrid w:val="0"/>
        </w:rPr>
      </w:pPr>
      <w:r>
        <w:rPr>
          <w:snapToGrid w:val="0"/>
        </w:rPr>
        <w:tab/>
        <w:t>(c)</w:t>
      </w:r>
      <w:r>
        <w:rPr>
          <w:snapToGrid w:val="0"/>
        </w:rPr>
        <w:tab/>
        <w:t>a principal’s right to indemnity is a right against each contractor standing between the principal and the worker.</w:t>
      </w:r>
    </w:p>
    <w:p>
      <w:pPr>
        <w:pStyle w:val="Subsection"/>
        <w:spacing w:before="140"/>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Subsection"/>
        <w:keepNext/>
        <w:spacing w:before="140"/>
      </w:pPr>
      <w:r>
        <w:tab/>
        <w:t>(8)</w:t>
      </w:r>
      <w:r>
        <w:tab/>
      </w:r>
      <w:r>
        <w:rPr>
          <w:snapToGrid w:val="0"/>
        </w:rPr>
        <w:t>Nothing in this section makes either a principal or a contractor liable to pay any damages which, but for this section, the principal or contractor would not be liable to pay.</w:t>
      </w:r>
    </w:p>
    <w:p>
      <w:pPr>
        <w:pStyle w:val="Footnotesection"/>
        <w:spacing w:before="100"/>
      </w:pPr>
      <w:r>
        <w:tab/>
        <w:t>[Section 175 amended: No. 42 of 2004 s. 147; No. 31 of 2011 s. 118; No. 12 of 2012 s. 12.]</w:t>
      </w:r>
    </w:p>
    <w:p>
      <w:pPr>
        <w:pStyle w:val="Heading5"/>
      </w:pPr>
      <w:bookmarkStart w:id="637" w:name="_Toc131514580"/>
      <w:r>
        <w:rPr>
          <w:rStyle w:val="CharSectno"/>
        </w:rPr>
        <w:lastRenderedPageBreak/>
        <w:t>175AA</w:t>
      </w:r>
      <w:r>
        <w:t>.</w:t>
      </w:r>
      <w:r>
        <w:tab/>
        <w:t>Certain persons deemed workers</w:t>
      </w:r>
      <w:bookmarkEnd w:id="637"/>
    </w:p>
    <w:p>
      <w:pPr>
        <w:pStyle w:val="Subsection"/>
        <w:keepNext/>
      </w:pPr>
      <w:r>
        <w:tab/>
        <w:t>(1)</w:t>
      </w:r>
      <w:r>
        <w:tab/>
        <w:t>For the purposes of this section, a person (</w:t>
      </w:r>
      <w:r>
        <w:rPr>
          <w:rStyle w:val="CharDefText"/>
        </w:rPr>
        <w:t>W</w:t>
      </w:r>
      <w:r>
        <w:t>) executes work for another person (</w:t>
      </w:r>
      <w:r>
        <w:rPr>
          <w:rStyle w:val="CharDefText"/>
        </w:rPr>
        <w:t>E</w:t>
      </w:r>
      <w:r>
        <w:t>) under an avoidance arrangement if —</w:t>
      </w:r>
    </w:p>
    <w:p>
      <w:pPr>
        <w:pStyle w:val="Indenta"/>
      </w:pPr>
      <w:r>
        <w:tab/>
        <w:t>(a)</w:t>
      </w:r>
      <w:r>
        <w:tab/>
        <w:t>the work is executed under an arrangement that is contrived to enable E to have the benefit of W’s services without having liabilities and duties as W’s employer under this Act; and</w:t>
      </w:r>
    </w:p>
    <w:p>
      <w:pPr>
        <w:pStyle w:val="Indenta"/>
      </w:pPr>
      <w:r>
        <w:tab/>
        <w:t>(b)</w:t>
      </w:r>
      <w:r>
        <w:tab/>
        <w:t xml:space="preserve">the arrangement was entered into on or after the coming into operation of section 13 of the </w:t>
      </w:r>
      <w:r>
        <w:rPr>
          <w:i/>
        </w:rPr>
        <w:t>Workers’ Compensation Legislation Amendment Act 2005</w:t>
      </w:r>
      <w:r>
        <w:t>; and</w:t>
      </w:r>
    </w:p>
    <w:p>
      <w:pPr>
        <w:pStyle w:val="Indenta"/>
        <w:keepNext/>
      </w:pPr>
      <w:r>
        <w:tab/>
        <w:t>(c)</w:t>
      </w:r>
      <w:r>
        <w:tab/>
        <w:t>while the arrangement is in effect —</w:t>
      </w:r>
    </w:p>
    <w:p>
      <w:pPr>
        <w:pStyle w:val="Indenti"/>
      </w:pPr>
      <w:r>
        <w:tab/>
        <w:t>(i)</w:t>
      </w:r>
      <w:r>
        <w:tab/>
        <w:t xml:space="preserve">W executes work principally for E on behalf of a company of which W is an employee or director (the </w:t>
      </w:r>
      <w:r>
        <w:rPr>
          <w:rStyle w:val="CharDefText"/>
        </w:rPr>
        <w:t>company</w:t>
      </w:r>
      <w:r>
        <w:t>); and</w:t>
      </w:r>
    </w:p>
    <w:p>
      <w:pPr>
        <w:pStyle w:val="Indenti"/>
      </w:pPr>
      <w:r>
        <w:tab/>
        <w:t>(ii)</w:t>
      </w:r>
      <w:r>
        <w:tab/>
        <w:t>the work is directly a part or process in the trade or business of E.</w:t>
      </w:r>
    </w:p>
    <w:p>
      <w:pPr>
        <w:pStyle w:val="Subsection"/>
        <w:keepNext/>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lastRenderedPageBreak/>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keepNext/>
      </w:pPr>
      <w:r>
        <w:tab/>
        <w:t>(5)</w:t>
      </w:r>
      <w:r>
        <w:tab/>
        <w:t>If an injury occurs to W and W and E agree or an arbitrator determines that, when the injury occurred, W was executing work for E under an avoidance arrangement —</w:t>
      </w:r>
    </w:p>
    <w:p>
      <w:pPr>
        <w:pStyle w:val="Indenta"/>
      </w:pPr>
      <w:r>
        <w:tab/>
        <w:t>(a)</w:t>
      </w:r>
      <w:r>
        <w:tab/>
        <w:t>E is liable to pay any compensation that E would have been liable to pay under this Act if W had been E’s worker when the injury occurred; and</w:t>
      </w:r>
    </w:p>
    <w:p>
      <w:pPr>
        <w:pStyle w:val="Indenta"/>
        <w:keepNext/>
      </w:pPr>
      <w:r>
        <w:tab/>
        <w:t>(b)</w:t>
      </w:r>
      <w:r>
        <w:tab/>
        <w:t>if, when the injury occurred, E was insured as required by section 160 against its liability to pay compensation to its workers under this Act —</w:t>
      </w:r>
    </w:p>
    <w:p>
      <w:pPr>
        <w:pStyle w:val="Indenti"/>
      </w:pPr>
      <w:r>
        <w:tab/>
        <w:t>(i)</w:t>
      </w:r>
      <w:r>
        <w:tab/>
        <w:t>that insurance extends to E’s liability under paragraph (a) to pay compensation; and</w:t>
      </w:r>
    </w:p>
    <w:p>
      <w:pPr>
        <w:pStyle w:val="Indenti"/>
        <w:keepNext/>
      </w:pPr>
      <w:r>
        <w:tab/>
        <w:t>(ii)</w:t>
      </w:r>
      <w:r>
        <w:tab/>
        <w:t>the insurer is entitled to indemnity from E for the cost of satisfying its liability under subparagraph (i);</w:t>
      </w:r>
    </w:p>
    <w:p>
      <w:pPr>
        <w:pStyle w:val="Indenta"/>
      </w:pPr>
      <w:r>
        <w:tab/>
      </w:r>
      <w:r>
        <w:tab/>
        <w:t>and</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keepNext/>
      </w:pPr>
      <w:r>
        <w:tab/>
        <w:t>(6)</w:t>
      </w:r>
      <w:r>
        <w:tab/>
        <w:t>If E is liable to pay compensation under subsection (5), for purposes related to the compensation and duties under section 155C, and matters related to the compensation and those duties, this Act applies as if —</w:t>
      </w:r>
    </w:p>
    <w:p>
      <w:pPr>
        <w:pStyle w:val="Indenta"/>
        <w:spacing w:before="60"/>
      </w:pPr>
      <w:r>
        <w:tab/>
        <w:t>(a)</w:t>
      </w:r>
      <w:r>
        <w:tab/>
        <w:t xml:space="preserve">a reference in this Act to an employer were a reference to E except where, for the purpose of calculating the amount of compensation, a reference is made to the earnings of the worker, the reference is to be read as a reference to the earnings of the company to the extent </w:t>
      </w:r>
      <w:r>
        <w:lastRenderedPageBreak/>
        <w:t>that those earnings were for work executed for E by W on behalf of the company;</w:t>
      </w:r>
    </w:p>
    <w:p>
      <w:pPr>
        <w:pStyle w:val="Indenta"/>
        <w:spacing w:before="60"/>
      </w:pPr>
      <w:r>
        <w:tab/>
        <w:t>(b)</w:t>
      </w:r>
      <w:r>
        <w:tab/>
        <w:t>a reference in this Act to a worker were a reference to W.</w:t>
      </w:r>
    </w:p>
    <w:p>
      <w:pPr>
        <w:pStyle w:val="Subsection"/>
        <w:keepNext/>
        <w:spacing w:before="120"/>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spacing w:before="70"/>
      </w:pPr>
      <w:r>
        <w:tab/>
        <w:t>Penalty: $2 000.</w:t>
      </w:r>
    </w:p>
    <w:p>
      <w:pPr>
        <w:pStyle w:val="Subsection"/>
        <w:spacing w:before="120"/>
      </w:pPr>
      <w:r>
        <w:tab/>
        <w:t>(8)</w:t>
      </w:r>
      <w:r>
        <w:tab/>
        <w:t>An indemnity taken or received in contravention of subsection (7) is void.</w:t>
      </w:r>
    </w:p>
    <w:p>
      <w:pPr>
        <w:pStyle w:val="Subsection"/>
        <w:keepNext/>
        <w:keepLines/>
        <w:spacing w:before="120"/>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spacing w:before="100"/>
        <w:ind w:left="890" w:hanging="890"/>
      </w:pPr>
      <w:r>
        <w:tab/>
        <w:t>[Section 175AA inserted: No. 16 of 2005 s. 13.]</w:t>
      </w:r>
    </w:p>
    <w:p>
      <w:pPr>
        <w:pStyle w:val="Heading3"/>
        <w:spacing w:before="220"/>
      </w:pPr>
      <w:bookmarkStart w:id="638" w:name="_Toc100238603"/>
      <w:bookmarkStart w:id="639" w:name="_Toc100239217"/>
      <w:bookmarkStart w:id="640" w:name="_Toc100562511"/>
      <w:bookmarkStart w:id="641" w:name="_Toc107310147"/>
      <w:bookmarkStart w:id="642" w:name="_Toc107480001"/>
      <w:bookmarkStart w:id="643" w:name="_Toc131501367"/>
      <w:bookmarkStart w:id="644" w:name="_Toc131501985"/>
      <w:bookmarkStart w:id="645" w:name="_Toc131514581"/>
      <w:r>
        <w:rPr>
          <w:rStyle w:val="CharDivNo"/>
        </w:rPr>
        <w:t>Division 3</w:t>
      </w:r>
      <w:r>
        <w:rPr>
          <w:snapToGrid w:val="0"/>
        </w:rPr>
        <w:t> — </w:t>
      </w:r>
      <w:r>
        <w:rPr>
          <w:rStyle w:val="CharDivText"/>
        </w:rPr>
        <w:t>Inspectors</w:t>
      </w:r>
      <w:bookmarkEnd w:id="638"/>
      <w:bookmarkEnd w:id="639"/>
      <w:bookmarkEnd w:id="640"/>
      <w:bookmarkEnd w:id="641"/>
      <w:bookmarkEnd w:id="642"/>
      <w:bookmarkEnd w:id="643"/>
      <w:bookmarkEnd w:id="644"/>
      <w:bookmarkEnd w:id="645"/>
    </w:p>
    <w:p>
      <w:pPr>
        <w:pStyle w:val="Footnoteheading"/>
        <w:keepNext/>
        <w:spacing w:before="80"/>
      </w:pPr>
      <w:r>
        <w:tab/>
        <w:t>[Heading inserted: No. 34 of 1999 s. 46(1).]</w:t>
      </w:r>
    </w:p>
    <w:p>
      <w:pPr>
        <w:pStyle w:val="Heading5"/>
        <w:spacing w:before="180"/>
        <w:rPr>
          <w:snapToGrid w:val="0"/>
        </w:rPr>
      </w:pPr>
      <w:bookmarkStart w:id="646" w:name="_Toc131514582"/>
      <w:r>
        <w:rPr>
          <w:rStyle w:val="CharSectno"/>
        </w:rPr>
        <w:t>175A</w:t>
      </w:r>
      <w:r>
        <w:rPr>
          <w:snapToGrid w:val="0"/>
        </w:rPr>
        <w:t>.</w:t>
      </w:r>
      <w:r>
        <w:rPr>
          <w:snapToGrid w:val="0"/>
        </w:rPr>
        <w:tab/>
        <w:t>Authorising etc. inspectors; oath etc. by inspectors</w:t>
      </w:r>
      <w:bookmarkEnd w:id="646"/>
    </w:p>
    <w:p>
      <w:pPr>
        <w:pStyle w:val="Subsection"/>
        <w:spacing w:before="120"/>
        <w:rPr>
          <w:snapToGrid w:val="0"/>
        </w:rPr>
      </w:pPr>
      <w:r>
        <w:rPr>
          <w:snapToGrid w:val="0"/>
        </w:rPr>
        <w:tab/>
        <w:t>(1)</w:t>
      </w:r>
      <w:r>
        <w:rPr>
          <w:snapToGrid w:val="0"/>
        </w:rPr>
        <w:tab/>
      </w:r>
      <w:r>
        <w:t>The chief executive officer</w:t>
      </w:r>
      <w:r>
        <w:rPr>
          <w:snapToGrid w:val="0"/>
        </w:rPr>
        <w:t xml:space="preserve"> may authorise persons as inspectors for the purposes of this Act.</w:t>
      </w:r>
    </w:p>
    <w:p>
      <w:pPr>
        <w:pStyle w:val="Subsection"/>
        <w:spacing w:before="120"/>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keepNext/>
        <w:spacing w:before="120"/>
        <w:rPr>
          <w:snapToGrid w:val="0"/>
        </w:rPr>
      </w:pPr>
      <w:r>
        <w:rPr>
          <w:snapToGrid w:val="0"/>
        </w:rPr>
        <w:tab/>
        <w:t>(3)</w:t>
      </w:r>
      <w:r>
        <w:rPr>
          <w:snapToGrid w:val="0"/>
        </w:rPr>
        <w:tab/>
        <w:t>A person who wilfully discloses any information contrary to an oath taken under subsection (2) commits an offence.</w:t>
      </w:r>
    </w:p>
    <w:p>
      <w:pPr>
        <w:pStyle w:val="Penstart"/>
        <w:spacing w:before="70"/>
        <w:rPr>
          <w:snapToGrid w:val="0"/>
        </w:rPr>
      </w:pPr>
      <w:r>
        <w:rPr>
          <w:snapToGrid w:val="0"/>
        </w:rPr>
        <w:tab/>
        <w:t>Penalty: $2 000.</w:t>
      </w:r>
    </w:p>
    <w:p>
      <w:pPr>
        <w:pStyle w:val="Subsection"/>
        <w:rPr>
          <w:snapToGrid w:val="0"/>
        </w:rPr>
      </w:pPr>
      <w:r>
        <w:rPr>
          <w:snapToGrid w:val="0"/>
        </w:rPr>
        <w:lastRenderedPageBreak/>
        <w:tab/>
        <w:t>(4)</w:t>
      </w:r>
      <w:r>
        <w:rPr>
          <w:snapToGrid w:val="0"/>
        </w:rPr>
        <w:tab/>
        <w:t xml:space="preserve">The </w:t>
      </w:r>
      <w:r>
        <w:t>chief executive officer</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Subsection"/>
      </w:pPr>
      <w:r>
        <w:tab/>
        <w:t>(6)</w:t>
      </w:r>
      <w:r>
        <w:tab/>
        <w:t xml:space="preserve">If, immediately before the commencement of the </w:t>
      </w:r>
      <w:r>
        <w:rPr>
          <w:i/>
        </w:rPr>
        <w:t>Workers’ Compensation and Injury Management Amendment Act 2011</w:t>
      </w:r>
      <w:r>
        <w:t xml:space="preserve"> section 119, a person was an inspector authorised by WorkCover WA under subsection (1), as in force at that time, the person is taken to have been authorised as an inspector by the chief executive officer.</w:t>
      </w:r>
    </w:p>
    <w:p>
      <w:pPr>
        <w:pStyle w:val="Subsection"/>
        <w:keepNext/>
      </w:pPr>
      <w:r>
        <w:tab/>
        <w:t>(7)</w:t>
      </w:r>
      <w:r>
        <w:tab/>
        <w:t xml:space="preserve">If, immediately before the commencement of the </w:t>
      </w:r>
      <w:r>
        <w:rPr>
          <w:i/>
        </w:rPr>
        <w:t>Workers’ Compensation and Injury Management Amendment Act 2011</w:t>
      </w:r>
      <w:r>
        <w:t xml:space="preserve"> section 119, a person authorised as an inspector held a certificate issued by the Chairman of WorkCover WA under subsection (4), as in force at that time, the person is taken to hold a certificate issued by the chief executive officer.</w:t>
      </w:r>
    </w:p>
    <w:p>
      <w:pPr>
        <w:pStyle w:val="Footnotesection"/>
      </w:pPr>
      <w:r>
        <w:tab/>
        <w:t>[Section 175A inserted: No. 34 of 1999 s. 46(1); amended: No. 42 of 2004 s. 150; No. 31 of 2011 s. 119.]</w:t>
      </w:r>
    </w:p>
    <w:p>
      <w:pPr>
        <w:pStyle w:val="Heading5"/>
        <w:rPr>
          <w:snapToGrid w:val="0"/>
        </w:rPr>
      </w:pPr>
      <w:bookmarkStart w:id="647" w:name="_Toc131514583"/>
      <w:r>
        <w:rPr>
          <w:rStyle w:val="CharSectno"/>
        </w:rPr>
        <w:t>175B</w:t>
      </w:r>
      <w:r>
        <w:rPr>
          <w:snapToGrid w:val="0"/>
        </w:rPr>
        <w:t>.</w:t>
      </w:r>
      <w:r>
        <w:rPr>
          <w:snapToGrid w:val="0"/>
        </w:rPr>
        <w:tab/>
        <w:t>Powers</w:t>
      </w:r>
      <w:bookmarkEnd w:id="647"/>
    </w:p>
    <w:p>
      <w:pPr>
        <w:pStyle w:val="Subsection"/>
        <w:keepNext/>
        <w:keepLines/>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spacing w:before="90"/>
        <w:rPr>
          <w:snapToGrid w:val="0"/>
        </w:rPr>
      </w:pPr>
      <w:r>
        <w:rPr>
          <w:snapToGrid w:val="0"/>
        </w:rPr>
        <w:lastRenderedPageBreak/>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spacing w:before="90"/>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keepNext/>
        <w:spacing w:before="90"/>
        <w:rPr>
          <w:snapToGrid w:val="0"/>
        </w:rPr>
      </w:pPr>
      <w:r>
        <w:rPr>
          <w:snapToGrid w:val="0"/>
        </w:rPr>
        <w:tab/>
        <w:t>(f)</w:t>
      </w:r>
      <w:r>
        <w:rPr>
          <w:snapToGrid w:val="0"/>
        </w:rPr>
        <w:tab/>
        <w:t>require an employer to provide within 28 days a certificate from an auditor containing a statement as to —</w:t>
      </w:r>
    </w:p>
    <w:p>
      <w:pPr>
        <w:pStyle w:val="Indenti"/>
        <w:spacing w:before="90"/>
        <w:rPr>
          <w:snapToGrid w:val="0"/>
        </w:rPr>
      </w:pPr>
      <w:r>
        <w:rPr>
          <w:snapToGrid w:val="0"/>
        </w:rPr>
        <w:tab/>
        <w:t>(i)</w:t>
      </w:r>
      <w:r>
        <w:rPr>
          <w:snapToGrid w:val="0"/>
        </w:rPr>
        <w:tab/>
        <w:t>the number of workers employed by the employer during a specified period; and</w:t>
      </w:r>
    </w:p>
    <w:p>
      <w:pPr>
        <w:pStyle w:val="Indenti"/>
        <w:spacing w:before="90"/>
        <w:rPr>
          <w:snapToGrid w:val="0"/>
        </w:rPr>
      </w:pPr>
      <w:r>
        <w:rPr>
          <w:snapToGrid w:val="0"/>
        </w:rPr>
        <w:tab/>
        <w:t>(ii)</w:t>
      </w:r>
      <w:r>
        <w:rPr>
          <w:snapToGrid w:val="0"/>
        </w:rPr>
        <w:tab/>
        <w:t>the amount of wages, salary, and other forms of remuneration paid by the employer to each worker during that period;</w:t>
      </w:r>
    </w:p>
    <w:p>
      <w:pPr>
        <w:pStyle w:val="Indenta"/>
        <w:spacing w:before="90"/>
        <w:rPr>
          <w:snapToGrid w:val="0"/>
        </w:rPr>
      </w:pPr>
      <w:r>
        <w:rPr>
          <w:snapToGrid w:val="0"/>
        </w:rPr>
        <w:tab/>
        <w:t>(g)</w:t>
      </w:r>
      <w:r>
        <w:rPr>
          <w:snapToGrid w:val="0"/>
        </w:rPr>
        <w:tab/>
        <w:t>require any person to state the person’s name and address;</w:t>
      </w:r>
    </w:p>
    <w:p>
      <w:pPr>
        <w:pStyle w:val="Indenta"/>
        <w:spacing w:before="90"/>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spacing w:before="90"/>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keepNext/>
        <w:rPr>
          <w:snapToGrid w:val="0"/>
        </w:rPr>
      </w:pPr>
      <w:r>
        <w:rPr>
          <w:snapToGrid w:val="0"/>
        </w:rPr>
        <w:tab/>
        <w:t>(2)</w:t>
      </w:r>
      <w:r>
        <w:rPr>
          <w:snapToGrid w:val="0"/>
        </w:rPr>
        <w:tab/>
        <w:t>In subsection (1) —</w:t>
      </w:r>
    </w:p>
    <w:p>
      <w:pPr>
        <w:pStyle w:val="Defstart"/>
        <w:spacing w:before="100"/>
      </w:pPr>
      <w:r>
        <w:rPr>
          <w:b/>
        </w:rPr>
        <w:tab/>
      </w:r>
      <w:r>
        <w:rPr>
          <w:rStyle w:val="CharDefText"/>
        </w:rPr>
        <w:t>auditor</w:t>
      </w:r>
      <w:r>
        <w:t xml:space="preserve"> means a person who is registered as an auditor under Part 9.2 of the </w:t>
      </w:r>
      <w:r>
        <w:rPr>
          <w:i/>
        </w:rPr>
        <w:t>Corporations Act 2001</w:t>
      </w:r>
      <w:r>
        <w:t xml:space="preserve"> of the Commonwealth.</w:t>
      </w:r>
    </w:p>
    <w:p>
      <w:pPr>
        <w:pStyle w:val="Subsection"/>
        <w:keepNext/>
        <w:rPr>
          <w:snapToGrid w:val="0"/>
        </w:rPr>
      </w:pPr>
      <w:r>
        <w:rPr>
          <w:snapToGrid w:val="0"/>
        </w:rPr>
        <w:tab/>
        <w:t>(3)</w:t>
      </w:r>
      <w:r>
        <w:rPr>
          <w:snapToGrid w:val="0"/>
        </w:rPr>
        <w:tab/>
        <w:t xml:space="preserve">In exercising any power under this Act an inspector may be accompanied by any other person whose assistance the inspector considers necessary, and that person may do such things as are necessary to assist the inspector in the performance </w:t>
      </w:r>
      <w:r>
        <w:rPr>
          <w:snapToGrid w:val="0"/>
        </w:rPr>
        <w:lastRenderedPageBreak/>
        <w:t>of the inspector’s functions, and anything so done is deemed to have been done by the inspector.</w:t>
      </w:r>
    </w:p>
    <w:p>
      <w:pPr>
        <w:pStyle w:val="Footnotesection"/>
      </w:pPr>
      <w:r>
        <w:tab/>
        <w:t>[Section 175B inserted: No. 34 of 1999 s. 46(1); amended: No. 10 of 2001 s. 219.]</w:t>
      </w:r>
    </w:p>
    <w:p>
      <w:pPr>
        <w:pStyle w:val="Heading5"/>
        <w:rPr>
          <w:snapToGrid w:val="0"/>
        </w:rPr>
      </w:pPr>
      <w:bookmarkStart w:id="648" w:name="_Toc131514584"/>
      <w:r>
        <w:rPr>
          <w:rStyle w:val="CharSectno"/>
        </w:rPr>
        <w:t>175C</w:t>
      </w:r>
      <w:r>
        <w:rPr>
          <w:snapToGrid w:val="0"/>
        </w:rPr>
        <w:t>.</w:t>
      </w:r>
      <w:r>
        <w:rPr>
          <w:snapToGrid w:val="0"/>
        </w:rPr>
        <w:tab/>
        <w:t>Interpreters</w:t>
      </w:r>
      <w:bookmarkEnd w:id="648"/>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keepNext/>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spacing w:before="80"/>
        <w:ind w:left="890" w:hanging="890"/>
      </w:pPr>
      <w:r>
        <w:tab/>
        <w:t>[Section 175C inserted: No. 34 of 1999 s. 46(1).]</w:t>
      </w:r>
    </w:p>
    <w:p>
      <w:pPr>
        <w:pStyle w:val="Heading5"/>
        <w:rPr>
          <w:snapToGrid w:val="0"/>
        </w:rPr>
      </w:pPr>
      <w:bookmarkStart w:id="649" w:name="_Toc131514585"/>
      <w:r>
        <w:rPr>
          <w:rStyle w:val="CharSectno"/>
        </w:rPr>
        <w:t>175D</w:t>
      </w:r>
      <w:r>
        <w:rPr>
          <w:snapToGrid w:val="0"/>
        </w:rPr>
        <w:t>.</w:t>
      </w:r>
      <w:r>
        <w:rPr>
          <w:snapToGrid w:val="0"/>
        </w:rPr>
        <w:tab/>
        <w:t>Offences</w:t>
      </w:r>
      <w:bookmarkEnd w:id="649"/>
    </w:p>
    <w:p>
      <w:pPr>
        <w:pStyle w:val="Subsection"/>
        <w:keepNext/>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 or</w:t>
      </w:r>
    </w:p>
    <w:p>
      <w:pPr>
        <w:pStyle w:val="Indenta"/>
        <w:rPr>
          <w:snapToGrid w:val="0"/>
        </w:rPr>
      </w:pPr>
      <w:r>
        <w:rPr>
          <w:snapToGrid w:val="0"/>
        </w:rPr>
        <w:tab/>
        <w:t>(b)</w:t>
      </w:r>
      <w:r>
        <w:rPr>
          <w:snapToGrid w:val="0"/>
        </w:rPr>
        <w:tab/>
        <w:t>contravenes a requirement made by an inspector under this Act; or</w:t>
      </w:r>
    </w:p>
    <w:p>
      <w:pPr>
        <w:pStyle w:val="Indenta"/>
        <w:rPr>
          <w:snapToGrid w:val="0"/>
        </w:rPr>
      </w:pPr>
      <w:r>
        <w:rPr>
          <w:snapToGrid w:val="0"/>
        </w:rPr>
        <w:tab/>
        <w:t>(c)</w:t>
      </w:r>
      <w:r>
        <w:rPr>
          <w:snapToGrid w:val="0"/>
        </w:rPr>
        <w:tab/>
        <w:t>provides to an inspector an answer or information that is false or misleading in a material particular; or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keepNext/>
        <w:rPr>
          <w:snapToGrid w:val="0"/>
        </w:rPr>
      </w:pPr>
      <w:r>
        <w:rPr>
          <w:snapToGrid w:val="0"/>
        </w:rPr>
        <w:tab/>
        <w:t>(e)</w:t>
      </w:r>
      <w:r>
        <w:rPr>
          <w:snapToGrid w:val="0"/>
        </w:rPr>
        <w:tab/>
        <w:t>directly or indirectly prevents another person from complying with a requirement under this Act,</w:t>
      </w:r>
    </w:p>
    <w:p>
      <w:pPr>
        <w:pStyle w:val="Subsection"/>
        <w:keepNext/>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keepLines/>
        <w:rPr>
          <w:snapToGrid w:val="0"/>
        </w:rPr>
      </w:pPr>
      <w:r>
        <w:rPr>
          <w:snapToGrid w:val="0"/>
        </w:rPr>
        <w:lastRenderedPageBreak/>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pPr>
      <w:r>
        <w:tab/>
        <w:t>[Section 175D inserted: No. 34 of 1999 s. 46(1).]</w:t>
      </w:r>
    </w:p>
    <w:p>
      <w:pPr>
        <w:pStyle w:val="Heading2"/>
      </w:pPr>
      <w:bookmarkStart w:id="650" w:name="_Toc100238608"/>
      <w:bookmarkStart w:id="651" w:name="_Toc100239222"/>
      <w:bookmarkStart w:id="652" w:name="_Toc100562516"/>
      <w:bookmarkStart w:id="653" w:name="_Toc107310152"/>
      <w:bookmarkStart w:id="654" w:name="_Toc107480006"/>
      <w:bookmarkStart w:id="655" w:name="_Toc131501372"/>
      <w:bookmarkStart w:id="656" w:name="_Toc131501990"/>
      <w:bookmarkStart w:id="657" w:name="_Toc131514586"/>
      <w:r>
        <w:rPr>
          <w:rStyle w:val="CharPartNo"/>
        </w:rPr>
        <w:lastRenderedPageBreak/>
        <w:t>Part XA</w:t>
      </w:r>
      <w:r>
        <w:rPr>
          <w:rStyle w:val="CharDivNo"/>
        </w:rPr>
        <w:t> </w:t>
      </w:r>
      <w:r>
        <w:t>—</w:t>
      </w:r>
      <w:r>
        <w:rPr>
          <w:rStyle w:val="CharDivText"/>
        </w:rPr>
        <w:t> </w:t>
      </w:r>
      <w:r>
        <w:rPr>
          <w:rStyle w:val="CharPartText"/>
        </w:rPr>
        <w:t>Infringement notices and modified penalties</w:t>
      </w:r>
      <w:bookmarkEnd w:id="650"/>
      <w:bookmarkEnd w:id="651"/>
      <w:bookmarkEnd w:id="652"/>
      <w:bookmarkEnd w:id="653"/>
      <w:bookmarkEnd w:id="654"/>
      <w:bookmarkEnd w:id="655"/>
      <w:bookmarkEnd w:id="656"/>
      <w:bookmarkEnd w:id="657"/>
    </w:p>
    <w:p>
      <w:pPr>
        <w:pStyle w:val="Footnoteheading"/>
        <w:spacing w:before="80"/>
      </w:pPr>
      <w:r>
        <w:tab/>
        <w:t>[Heading inserted: No. 42 of 2004 s. 129.]</w:t>
      </w:r>
    </w:p>
    <w:p>
      <w:pPr>
        <w:pStyle w:val="Heading5"/>
        <w:spacing w:before="180"/>
      </w:pPr>
      <w:bookmarkStart w:id="658" w:name="_Toc131514587"/>
      <w:r>
        <w:rPr>
          <w:rStyle w:val="CharSectno"/>
        </w:rPr>
        <w:t>175E</w:t>
      </w:r>
      <w:r>
        <w:t>.</w:t>
      </w:r>
      <w:r>
        <w:tab/>
        <w:t>Terms used</w:t>
      </w:r>
      <w:bookmarkEnd w:id="658"/>
    </w:p>
    <w:p>
      <w:pPr>
        <w:pStyle w:val="Subsection"/>
        <w:spacing w:before="120"/>
      </w:pPr>
      <w:r>
        <w:tab/>
      </w:r>
      <w:r>
        <w:tab/>
        <w:t>In sections 175G, 175H, 175I and 175J —</w:t>
      </w:r>
    </w:p>
    <w:p>
      <w:pPr>
        <w:pStyle w:val="Defstart"/>
        <w:spacing w:before="60"/>
      </w:pPr>
      <w:r>
        <w:rPr>
          <w:b/>
        </w:rPr>
        <w:tab/>
      </w:r>
      <w:r>
        <w:rPr>
          <w:rStyle w:val="CharDefText"/>
        </w:rPr>
        <w:t>authorised officer</w:t>
      </w:r>
      <w:r>
        <w:t xml:space="preserve"> means a person designated as an authorised officer under section 175F for the purposes of the section in which the term is used;</w:t>
      </w:r>
    </w:p>
    <w:p>
      <w:pPr>
        <w:pStyle w:val="Defstart"/>
        <w:spacing w:before="60"/>
      </w:pPr>
      <w:r>
        <w:rPr>
          <w:b/>
        </w:rPr>
        <w:tab/>
      </w:r>
      <w:r>
        <w:rPr>
          <w:rStyle w:val="CharDefText"/>
        </w:rPr>
        <w:t>prescribed</w:t>
      </w:r>
      <w:r>
        <w:t xml:space="preserve"> means prescribed by the regulations.</w:t>
      </w:r>
    </w:p>
    <w:p>
      <w:pPr>
        <w:pStyle w:val="Footnotesection"/>
        <w:spacing w:before="100"/>
        <w:ind w:left="890" w:hanging="890"/>
      </w:pPr>
      <w:r>
        <w:tab/>
        <w:t>[Section 175E inserted: No. 42 of 2004 s. 129.]</w:t>
      </w:r>
    </w:p>
    <w:p>
      <w:pPr>
        <w:pStyle w:val="Heading5"/>
        <w:spacing w:before="180"/>
      </w:pPr>
      <w:bookmarkStart w:id="659" w:name="_Toc131514588"/>
      <w:r>
        <w:rPr>
          <w:rStyle w:val="CharSectno"/>
        </w:rPr>
        <w:t>175F</w:t>
      </w:r>
      <w:r>
        <w:t>.</w:t>
      </w:r>
      <w:r>
        <w:tab/>
        <w:t>Authorised officers, designation of etc.</w:t>
      </w:r>
      <w:bookmarkEnd w:id="659"/>
    </w:p>
    <w:p>
      <w:pPr>
        <w:pStyle w:val="Subsection"/>
        <w:spacing w:before="120"/>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spacing w:before="120"/>
      </w:pPr>
      <w:r>
        <w:tab/>
        <w:t>(2)</w:t>
      </w:r>
      <w:r>
        <w:tab/>
        <w:t>The chief executive officer is to issue a certificate of authorisation to each person designated as an authorised officer under subsection (1).</w:t>
      </w:r>
    </w:p>
    <w:p>
      <w:pPr>
        <w:pStyle w:val="Subsection"/>
        <w:spacing w:before="120"/>
      </w:pPr>
      <w:r>
        <w:tab/>
        <w:t>(3)</w:t>
      </w:r>
      <w:r>
        <w:tab/>
        <w:t>An authorised officer is to produce the certificate whenever required to do so by a person in respect of whom the officer has exercised, or is about to exercise, any power under this Part.</w:t>
      </w:r>
    </w:p>
    <w:p>
      <w:pPr>
        <w:pStyle w:val="Subsection"/>
        <w:spacing w:before="120"/>
      </w:pPr>
      <w:r>
        <w:tab/>
        <w:t>(4)</w:t>
      </w:r>
      <w:r>
        <w:tab/>
        <w:t>Production of a certificate referred to in subsection (2) in respect of a person is evidence in any court that the person is duly designated under subsection (1).</w:t>
      </w:r>
    </w:p>
    <w:p>
      <w:pPr>
        <w:pStyle w:val="Footnotesection"/>
        <w:spacing w:before="100"/>
        <w:ind w:left="890" w:hanging="890"/>
      </w:pPr>
      <w:r>
        <w:tab/>
        <w:t>[Section 175F inserted: No. 42 of 2004 s. 129.]</w:t>
      </w:r>
    </w:p>
    <w:p>
      <w:pPr>
        <w:pStyle w:val="Heading5"/>
        <w:keepLines w:val="0"/>
        <w:spacing w:before="180"/>
      </w:pPr>
      <w:bookmarkStart w:id="660" w:name="_Toc131514589"/>
      <w:r>
        <w:rPr>
          <w:rStyle w:val="CharSectno"/>
        </w:rPr>
        <w:t>175G</w:t>
      </w:r>
      <w:r>
        <w:t>.</w:t>
      </w:r>
      <w:r>
        <w:tab/>
        <w:t>Infringement notices, giving of</w:t>
      </w:r>
      <w:bookmarkEnd w:id="660"/>
    </w:p>
    <w:p>
      <w:pPr>
        <w:pStyle w:val="Subsection"/>
        <w:spacing w:before="120"/>
      </w:pPr>
      <w:r>
        <w:tab/>
        <w:t>(1)</w:t>
      </w:r>
      <w:r>
        <w:tab/>
        <w:t>An authorised officer who has reason to believe that a person has committed a prescribed offence under this Act may give an infringement notice to the alleged offender.</w:t>
      </w:r>
    </w:p>
    <w:p>
      <w:pPr>
        <w:pStyle w:val="Subsection"/>
      </w:pPr>
      <w:r>
        <w:lastRenderedPageBreak/>
        <w:tab/>
        <w:t>(2)</w:t>
      </w:r>
      <w:r>
        <w:tab/>
        <w:t>The notice is to be given within 6 months after the alleged offence is believed to have been committed.</w:t>
      </w:r>
    </w:p>
    <w:p>
      <w:pPr>
        <w:pStyle w:val="Footnotesection"/>
      </w:pPr>
      <w:r>
        <w:tab/>
        <w:t>[Section 175G inserted: No. 42 of 2004 s. 129.]</w:t>
      </w:r>
    </w:p>
    <w:p>
      <w:pPr>
        <w:pStyle w:val="Heading5"/>
      </w:pPr>
      <w:bookmarkStart w:id="661" w:name="_Toc131514590"/>
      <w:r>
        <w:rPr>
          <w:rStyle w:val="CharSectno"/>
        </w:rPr>
        <w:t>175H</w:t>
      </w:r>
      <w:r>
        <w:t>.</w:t>
      </w:r>
      <w:r>
        <w:tab/>
        <w:t>Infringement notices, content of</w:t>
      </w:r>
      <w:bookmarkEnd w:id="661"/>
    </w:p>
    <w:p>
      <w:pPr>
        <w:pStyle w:val="Subsection"/>
      </w:pPr>
      <w:r>
        <w:tab/>
        <w:t>(1)</w:t>
      </w:r>
      <w:r>
        <w:tab/>
        <w:t>An infringement notice is to be in the prescribed form.</w:t>
      </w:r>
    </w:p>
    <w:p>
      <w:pPr>
        <w:pStyle w:val="Subsection"/>
      </w:pPr>
      <w:r>
        <w:tab/>
        <w:t>(2)</w:t>
      </w:r>
      <w:r>
        <w:tab/>
        <w:t>An infringement notice is to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r>
        <w:tab/>
        <w:t>[Section 175H inserted: No. 42 of 2004 s. 129; amended: No. 84 of 2004 s. 80; No. 2 of 2008 s. 73.]</w:t>
      </w:r>
    </w:p>
    <w:p>
      <w:pPr>
        <w:pStyle w:val="Heading5"/>
      </w:pPr>
      <w:bookmarkStart w:id="662" w:name="_Toc131514591"/>
      <w:r>
        <w:rPr>
          <w:rStyle w:val="CharSectno"/>
        </w:rPr>
        <w:t>175I</w:t>
      </w:r>
      <w:r>
        <w:t>.</w:t>
      </w:r>
      <w:r>
        <w:tab/>
        <w:t>Extending time for paying modified penalty</w:t>
      </w:r>
      <w:bookmarkEnd w:id="662"/>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r>
        <w:tab/>
        <w:t>[Section 175I inserted: No. 42 of 2004 s. 129.]</w:t>
      </w:r>
    </w:p>
    <w:p>
      <w:pPr>
        <w:pStyle w:val="Heading5"/>
      </w:pPr>
      <w:bookmarkStart w:id="663" w:name="_Toc131514592"/>
      <w:r>
        <w:rPr>
          <w:rStyle w:val="CharSectno"/>
        </w:rPr>
        <w:lastRenderedPageBreak/>
        <w:t>175J</w:t>
      </w:r>
      <w:r>
        <w:t>.</w:t>
      </w:r>
      <w:r>
        <w:tab/>
        <w:t>Withdrawing infringement notices</w:t>
      </w:r>
      <w:bookmarkEnd w:id="663"/>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r>
        <w:tab/>
        <w:t>[Section 175J inserted: No. 42 of 2004 s. 129.]</w:t>
      </w:r>
    </w:p>
    <w:p>
      <w:pPr>
        <w:pStyle w:val="Heading5"/>
      </w:pPr>
      <w:bookmarkStart w:id="664" w:name="_Toc131514593"/>
      <w:r>
        <w:rPr>
          <w:rStyle w:val="CharSectno"/>
        </w:rPr>
        <w:t>175K</w:t>
      </w:r>
      <w:r>
        <w:t>.</w:t>
      </w:r>
      <w:r>
        <w:tab/>
        <w:t>Benefit of paying modified penalty</w:t>
      </w:r>
      <w:bookmarkEnd w:id="664"/>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r>
        <w:tab/>
        <w:t>[Section 175K inserted: No. 42 of 2004 s. 129.]</w:t>
      </w:r>
    </w:p>
    <w:p>
      <w:pPr>
        <w:pStyle w:val="Heading5"/>
      </w:pPr>
      <w:bookmarkStart w:id="665" w:name="_Toc131514594"/>
      <w:r>
        <w:rPr>
          <w:rStyle w:val="CharSectno"/>
        </w:rPr>
        <w:t>175L</w:t>
      </w:r>
      <w:r>
        <w:t>.</w:t>
      </w:r>
      <w:r>
        <w:tab/>
        <w:t>No admission implied by payment</w:t>
      </w:r>
      <w:bookmarkEnd w:id="665"/>
    </w:p>
    <w:p>
      <w:pPr>
        <w:pStyle w:val="Subsection"/>
      </w:pPr>
      <w:r>
        <w:tab/>
      </w:r>
      <w:r>
        <w:tab/>
        <w:t>Payment of a modified penalty is not to be regarded as an admission for the purposes of any proceedings, whether civil or criminal.</w:t>
      </w:r>
    </w:p>
    <w:p>
      <w:pPr>
        <w:pStyle w:val="Footnotesection"/>
      </w:pPr>
      <w:r>
        <w:tab/>
        <w:t>[Section 175L inserted: No. 42 of 2004 s. 129.]</w:t>
      </w:r>
    </w:p>
    <w:p>
      <w:pPr>
        <w:pStyle w:val="Heading5"/>
      </w:pPr>
      <w:bookmarkStart w:id="666" w:name="_Toc131514595"/>
      <w:r>
        <w:rPr>
          <w:rStyle w:val="CharSectno"/>
        </w:rPr>
        <w:t>175M</w:t>
      </w:r>
      <w:r>
        <w:t>.</w:t>
      </w:r>
      <w:r>
        <w:tab/>
        <w:t>Application of penalties collected</w:t>
      </w:r>
      <w:bookmarkEnd w:id="666"/>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No. 42 of 2004 s. 129.]</w:t>
      </w:r>
    </w:p>
    <w:p>
      <w:pPr>
        <w:pStyle w:val="Heading2"/>
      </w:pPr>
      <w:bookmarkStart w:id="667" w:name="_Toc100238618"/>
      <w:bookmarkStart w:id="668" w:name="_Toc100239232"/>
      <w:bookmarkStart w:id="669" w:name="_Toc100562526"/>
      <w:bookmarkStart w:id="670" w:name="_Toc107310162"/>
      <w:bookmarkStart w:id="671" w:name="_Toc107480016"/>
      <w:bookmarkStart w:id="672" w:name="_Toc131501382"/>
      <w:bookmarkStart w:id="673" w:name="_Toc131502000"/>
      <w:bookmarkStart w:id="674" w:name="_Toc131514596"/>
      <w:r>
        <w:rPr>
          <w:rStyle w:val="CharPartNo"/>
        </w:rPr>
        <w:lastRenderedPageBreak/>
        <w:t>Part XI</w:t>
      </w:r>
      <w:r>
        <w:rPr>
          <w:b w:val="0"/>
        </w:rPr>
        <w:t> </w:t>
      </w:r>
      <w:r>
        <w:t>—</w:t>
      </w:r>
      <w:r>
        <w:rPr>
          <w:b w:val="0"/>
        </w:rPr>
        <w:t> </w:t>
      </w:r>
      <w:r>
        <w:rPr>
          <w:rStyle w:val="CharPartText"/>
        </w:rPr>
        <w:t>Dispute resolution</w:t>
      </w:r>
      <w:bookmarkEnd w:id="667"/>
      <w:bookmarkEnd w:id="668"/>
      <w:bookmarkEnd w:id="669"/>
      <w:bookmarkEnd w:id="670"/>
      <w:bookmarkEnd w:id="671"/>
      <w:bookmarkEnd w:id="672"/>
      <w:bookmarkEnd w:id="673"/>
      <w:bookmarkEnd w:id="674"/>
    </w:p>
    <w:p>
      <w:pPr>
        <w:pStyle w:val="Footnoteheading"/>
      </w:pPr>
      <w:r>
        <w:tab/>
        <w:t>[Heading inserted: No. 42 of 2004 s. 130.]</w:t>
      </w:r>
    </w:p>
    <w:p>
      <w:pPr>
        <w:pStyle w:val="Heading3"/>
      </w:pPr>
      <w:bookmarkStart w:id="675" w:name="_Toc100238619"/>
      <w:bookmarkStart w:id="676" w:name="_Toc100239233"/>
      <w:bookmarkStart w:id="677" w:name="_Toc100562527"/>
      <w:bookmarkStart w:id="678" w:name="_Toc107310163"/>
      <w:bookmarkStart w:id="679" w:name="_Toc107480017"/>
      <w:bookmarkStart w:id="680" w:name="_Toc131501383"/>
      <w:bookmarkStart w:id="681" w:name="_Toc131502001"/>
      <w:bookmarkStart w:id="682" w:name="_Toc131514597"/>
      <w:r>
        <w:rPr>
          <w:rStyle w:val="CharDivNo"/>
        </w:rPr>
        <w:t>Division 1</w:t>
      </w:r>
      <w:r>
        <w:t> — </w:t>
      </w:r>
      <w:r>
        <w:rPr>
          <w:rStyle w:val="CharDivText"/>
        </w:rPr>
        <w:t>General</w:t>
      </w:r>
      <w:bookmarkEnd w:id="675"/>
      <w:bookmarkEnd w:id="676"/>
      <w:bookmarkEnd w:id="677"/>
      <w:bookmarkEnd w:id="678"/>
      <w:bookmarkEnd w:id="679"/>
      <w:bookmarkEnd w:id="680"/>
      <w:bookmarkEnd w:id="681"/>
      <w:bookmarkEnd w:id="682"/>
    </w:p>
    <w:p>
      <w:pPr>
        <w:pStyle w:val="Footnoteheading"/>
      </w:pPr>
      <w:r>
        <w:tab/>
        <w:t>[Heading inserted: No. 42 of 2004 s. 130.]</w:t>
      </w:r>
    </w:p>
    <w:p>
      <w:pPr>
        <w:pStyle w:val="Heading5"/>
      </w:pPr>
      <w:bookmarkStart w:id="683" w:name="_Toc131514598"/>
      <w:r>
        <w:rPr>
          <w:rStyle w:val="CharSectno"/>
        </w:rPr>
        <w:t>176</w:t>
      </w:r>
      <w:r>
        <w:t>.</w:t>
      </w:r>
      <w:r>
        <w:tab/>
        <w:t>Exclusive jurisdiction of arbitrators</w:t>
      </w:r>
      <w:bookmarkEnd w:id="683"/>
    </w:p>
    <w:p>
      <w:pPr>
        <w:pStyle w:val="Subsection"/>
      </w:pPr>
      <w:r>
        <w:tab/>
        <w:t>(1)</w:t>
      </w:r>
      <w:r>
        <w:tab/>
        <w:t>In this Part —</w:t>
      </w:r>
    </w:p>
    <w:p>
      <w:pPr>
        <w:pStyle w:val="Defstart"/>
      </w:pPr>
      <w:r>
        <w:rPr>
          <w:b/>
        </w:rPr>
        <w:tab/>
      </w:r>
      <w:r>
        <w:rPr>
          <w:rStyle w:val="CharDefText"/>
        </w:rPr>
        <w:t>dispute</w:t>
      </w:r>
      <w:r>
        <w:t xml:space="preserve"> means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pPr>
      <w:r>
        <w:tab/>
        <w:t>(2)</w:t>
      </w:r>
      <w:r>
        <w:tab/>
        <w:t>A proceeding for the determination of a dispute is not capable of being brought other than under this Part.</w:t>
      </w:r>
    </w:p>
    <w:p>
      <w:pPr>
        <w:pStyle w:val="Subsection"/>
      </w:pPr>
      <w:r>
        <w:tab/>
        <w:t>(3)</w:t>
      </w:r>
      <w:r>
        <w:tab/>
        <w:t>Subject to this Act, arbitrators have exclusive jurisdiction to examine, hear and determine all disputes.</w:t>
      </w:r>
    </w:p>
    <w:p>
      <w:pPr>
        <w:pStyle w:val="Footnotesection"/>
      </w:pPr>
      <w:r>
        <w:tab/>
        <w:t>[Section 176 inserted: No. 42 of 2004 s. 130; amended: No. 31 of 2011 s. 41.]</w:t>
      </w:r>
    </w:p>
    <w:p>
      <w:pPr>
        <w:pStyle w:val="Heading5"/>
      </w:pPr>
      <w:bookmarkStart w:id="684" w:name="_Toc131514599"/>
      <w:r>
        <w:rPr>
          <w:rStyle w:val="CharSectno"/>
        </w:rPr>
        <w:t>177</w:t>
      </w:r>
      <w:r>
        <w:t>.</w:t>
      </w:r>
      <w:r>
        <w:tab/>
        <w:t>Object of this Part</w:t>
      </w:r>
      <w:bookmarkEnd w:id="684"/>
    </w:p>
    <w:p>
      <w:pPr>
        <w:pStyle w:val="Subsection"/>
      </w:pPr>
      <w:r>
        <w:tab/>
        <w:t>(1)</w:t>
      </w:r>
      <w:r>
        <w:tab/>
        <w:t xml:space="preserve">The object of this Part is to provide a fair and cost effective system for the resolution of disputes under this Act that — </w:t>
      </w:r>
    </w:p>
    <w:p>
      <w:pPr>
        <w:pStyle w:val="Indenta"/>
      </w:pPr>
      <w:r>
        <w:tab/>
        <w:t>(a)</w:t>
      </w:r>
      <w:r>
        <w:tab/>
        <w:t>is timely; and</w:t>
      </w:r>
    </w:p>
    <w:p>
      <w:pPr>
        <w:pStyle w:val="Indenta"/>
      </w:pPr>
      <w:r>
        <w:tab/>
        <w:t>(b)</w:t>
      </w:r>
      <w:r>
        <w:tab/>
        <w:t>is accessible, approachable and professional; and</w:t>
      </w:r>
    </w:p>
    <w:p>
      <w:pPr>
        <w:pStyle w:val="Indenta"/>
      </w:pPr>
      <w:r>
        <w:tab/>
        <w:t>(c)</w:t>
      </w:r>
      <w:r>
        <w:tab/>
        <w:t>minimises costs to parties to disputes; and</w:t>
      </w:r>
    </w:p>
    <w:p>
      <w:pPr>
        <w:pStyle w:val="Indenta"/>
      </w:pPr>
      <w:r>
        <w:tab/>
        <w:t>(d)</w:t>
      </w:r>
      <w:r>
        <w:tab/>
        <w:t>in the case of conciliation, leads to final and appropriate agreements between parties in relation to disputes; and</w:t>
      </w:r>
    </w:p>
    <w:p>
      <w:pPr>
        <w:pStyle w:val="Indenta"/>
      </w:pPr>
      <w:r>
        <w:lastRenderedPageBreak/>
        <w:tab/>
        <w:t>(e)</w:t>
      </w:r>
      <w:r>
        <w:tab/>
        <w:t>in the case of arbitration, enables disputes not resolved by conciliation to be determined according to their substantial merits with as little formality and technicality as practicable.</w:t>
      </w:r>
    </w:p>
    <w:p>
      <w:pPr>
        <w:pStyle w:val="Subsection"/>
        <w:spacing w:before="100"/>
      </w:pPr>
      <w:r>
        <w:tab/>
        <w:t>(2)</w:t>
      </w:r>
      <w:r>
        <w:tab/>
        <w:t>Dispute resolution authorities and officers of WorkCover WA mentioned in section 181(2)(b)(ii) or 182ZO(2)(b)(ii) are to have regard to the object of this Part when they perform their functions.</w:t>
      </w:r>
    </w:p>
    <w:p>
      <w:pPr>
        <w:pStyle w:val="Footnotesection"/>
      </w:pPr>
      <w:r>
        <w:tab/>
        <w:t>[Section 177 inserted: No. 31 of 2011 s. 4.]</w:t>
      </w:r>
    </w:p>
    <w:p>
      <w:pPr>
        <w:pStyle w:val="Heading3"/>
      </w:pPr>
      <w:bookmarkStart w:id="685" w:name="_Toc100238622"/>
      <w:bookmarkStart w:id="686" w:name="_Toc100239236"/>
      <w:bookmarkStart w:id="687" w:name="_Toc100562530"/>
      <w:bookmarkStart w:id="688" w:name="_Toc107310166"/>
      <w:bookmarkStart w:id="689" w:name="_Toc107480020"/>
      <w:bookmarkStart w:id="690" w:name="_Toc131501386"/>
      <w:bookmarkStart w:id="691" w:name="_Toc131502004"/>
      <w:bookmarkStart w:id="692" w:name="_Toc131514600"/>
      <w:r>
        <w:rPr>
          <w:rStyle w:val="CharDivNo"/>
        </w:rPr>
        <w:t>Division 2</w:t>
      </w:r>
      <w:r>
        <w:t> — </w:t>
      </w:r>
      <w:r>
        <w:rPr>
          <w:rStyle w:val="CharDivText"/>
        </w:rPr>
        <w:t>Requirements before commencing proceeding</w:t>
      </w:r>
      <w:bookmarkEnd w:id="685"/>
      <w:bookmarkEnd w:id="686"/>
      <w:bookmarkEnd w:id="687"/>
      <w:bookmarkEnd w:id="688"/>
      <w:bookmarkEnd w:id="689"/>
      <w:bookmarkEnd w:id="690"/>
      <w:bookmarkEnd w:id="691"/>
      <w:bookmarkEnd w:id="692"/>
    </w:p>
    <w:p>
      <w:pPr>
        <w:pStyle w:val="Footnoteheading"/>
      </w:pPr>
      <w:r>
        <w:tab/>
        <w:t>[Heading inserted: No. 42 of 2004 s. 130.]</w:t>
      </w:r>
    </w:p>
    <w:p>
      <w:pPr>
        <w:pStyle w:val="Heading5"/>
        <w:spacing w:before="120"/>
      </w:pPr>
      <w:bookmarkStart w:id="693" w:name="_Toc131514601"/>
      <w:r>
        <w:rPr>
          <w:rStyle w:val="CharSectno"/>
        </w:rPr>
        <w:t>178</w:t>
      </w:r>
      <w:r>
        <w:t>.</w:t>
      </w:r>
      <w:r>
        <w:tab/>
        <w:t>Notice of injury, and claim for compensation, requirements for</w:t>
      </w:r>
      <w:bookmarkEnd w:id="693"/>
    </w:p>
    <w:p>
      <w:pPr>
        <w:pStyle w:val="Subsection"/>
        <w:spacing w:before="100"/>
      </w:pPr>
      <w:r>
        <w:tab/>
        <w:t>(1)</w:t>
      </w:r>
      <w:r>
        <w:tab/>
        <w:t>Proceedings for the recovery under this Act of compensation for an injury are not maintainable unless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the claim for compensation with respect to such injury has been made within 12 months from the occurrence of the injury or, in case of death, within 12 months from the time of death,</w:t>
      </w:r>
    </w:p>
    <w:p>
      <w:pPr>
        <w:pStyle w:val="Subsection"/>
      </w:pPr>
      <w:r>
        <w:tab/>
      </w:r>
      <w:r>
        <w:tab/>
        <w:t>but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lastRenderedPageBreak/>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(2A)</w:t>
      </w:r>
      <w:r>
        <w:tab/>
        <w:t>For the purposes of showing that the employer has not been prejudiced in defending the proceedings for subsection (1)(d), the period from the occurrence of the injury, or from the time of death, to the time the claim is made is to be taken into account.</w:t>
      </w:r>
    </w:p>
    <w:p>
      <w:pPr>
        <w:pStyle w:val="Subsection"/>
      </w:pPr>
      <w:r>
        <w:tab/>
        <w:t>(2)</w:t>
      </w:r>
      <w:r>
        <w:tab/>
        <w:t>Notice in respect of an injury under this Act is to state —</w:t>
      </w:r>
    </w:p>
    <w:p>
      <w:pPr>
        <w:pStyle w:val="Indenta"/>
      </w:pPr>
      <w:r>
        <w:tab/>
        <w:t>(a)</w:t>
      </w:r>
      <w:r>
        <w:tab/>
        <w:t>the name and address of the person injured; and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r>
        <w:tab/>
        <w:t>[Section 178 inserted: No. 42 of 2004 s. 130; amended: No. 31 of 2011 s. 120.]</w:t>
      </w:r>
    </w:p>
    <w:p>
      <w:pPr>
        <w:pStyle w:val="Heading5"/>
      </w:pPr>
      <w:bookmarkStart w:id="694" w:name="_Toc131514602"/>
      <w:r>
        <w:rPr>
          <w:rStyle w:val="CharSectno"/>
        </w:rPr>
        <w:t>179</w:t>
      </w:r>
      <w:r>
        <w:t>.</w:t>
      </w:r>
      <w:r>
        <w:tab/>
        <w:t>Notice of injury, service of</w:t>
      </w:r>
      <w:bookmarkEnd w:id="694"/>
      <w:r>
        <w:t xml:space="preserve"> </w:t>
      </w:r>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lastRenderedPageBreak/>
        <w:tab/>
        <w:t>(4)</w:t>
      </w:r>
      <w:r>
        <w:tab/>
        <w:t>When the employer is —</w:t>
      </w:r>
    </w:p>
    <w:p>
      <w:pPr>
        <w:pStyle w:val="Indenta"/>
      </w:pPr>
      <w:r>
        <w:tab/>
        <w:t>(a)</w:t>
      </w:r>
      <w:r>
        <w:tab/>
        <w:t>the State, notice in respect of an injury under this Act is to be served on the State Solicitor, at Perth, or the manager of the work on which the worker was employed at the time the injury occurred; or</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 or</w:t>
      </w:r>
    </w:p>
    <w:p>
      <w:pPr>
        <w:pStyle w:val="Indenta"/>
        <w:rPr>
          <w:snapToGrid w:val="0"/>
        </w:rPr>
      </w:pPr>
      <w:r>
        <w:rPr>
          <w:snapToGrid w:val="0"/>
        </w:rPr>
        <w:tab/>
        <w:t>(c)</w:t>
      </w:r>
      <w:r>
        <w:rPr>
          <w:snapToGrid w:val="0"/>
        </w:rPr>
        <w:tab/>
        <w:t>the President of the Legislative Council,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Speaker of the Legislative Assembly,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w:t>
      </w:r>
    </w:p>
    <w:p>
      <w:pPr>
        <w:pStyle w:val="Indenti"/>
        <w:rPr>
          <w:snapToGrid w:val="0"/>
        </w:rPr>
      </w:pPr>
      <w:r>
        <w:rPr>
          <w:snapToGrid w:val="0"/>
        </w:rPr>
        <w:tab/>
        <w:t>(i)</w:t>
      </w:r>
      <w:r>
        <w:rPr>
          <w:snapToGrid w:val="0"/>
        </w:rPr>
        <w:tab/>
        <w:t>the Department of the Parliamentary Reporting Staff, on the Chief Hansard Reporter; or</w:t>
      </w:r>
    </w:p>
    <w:p>
      <w:pPr>
        <w:pStyle w:val="Indenti"/>
        <w:rPr>
          <w:snapToGrid w:val="0"/>
        </w:rPr>
      </w:pPr>
      <w:r>
        <w:rPr>
          <w:snapToGrid w:val="0"/>
        </w:rPr>
        <w:tab/>
        <w:t>(ii)</w:t>
      </w:r>
      <w:r>
        <w:rPr>
          <w:snapToGrid w:val="0"/>
        </w:rPr>
        <w:tab/>
        <w:t>the Department of the Parliamentary Library, on the Parliamentary Librarian; or</w:t>
      </w:r>
    </w:p>
    <w:p>
      <w:pPr>
        <w:pStyle w:val="Indenti"/>
        <w:rPr>
          <w:snapToGrid w:val="0"/>
        </w:rPr>
      </w:pPr>
      <w:r>
        <w:rPr>
          <w:snapToGrid w:val="0"/>
        </w:rPr>
        <w:lastRenderedPageBreak/>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r>
        <w:tab/>
        <w:t>[Section 179 inserted: No. 42 of 2004 s. 130.]</w:t>
      </w:r>
    </w:p>
    <w:p>
      <w:pPr>
        <w:pStyle w:val="Heading5"/>
      </w:pPr>
      <w:bookmarkStart w:id="695" w:name="_Toc131514603"/>
      <w:r>
        <w:rPr>
          <w:rStyle w:val="CharSectno"/>
        </w:rPr>
        <w:t>180</w:t>
      </w:r>
      <w:r>
        <w:t>.</w:t>
      </w:r>
      <w:r>
        <w:tab/>
        <w:t>Relevant documents to be provided by parties</w:t>
      </w:r>
      <w:bookmarkEnd w:id="695"/>
    </w:p>
    <w:p>
      <w:pPr>
        <w:pStyle w:val="Subsection"/>
      </w:pPr>
      <w:r>
        <w:tab/>
        <w:t>(1)</w:t>
      </w:r>
      <w:r>
        <w:tab/>
        <w:t>In this section —</w:t>
      </w:r>
    </w:p>
    <w:p>
      <w:pPr>
        <w:pStyle w:val="Defstart"/>
      </w:pPr>
      <w:r>
        <w:rPr>
          <w:b/>
        </w:rPr>
        <w:tab/>
      </w:r>
      <w:r>
        <w:rPr>
          <w:rStyle w:val="CharDefText"/>
        </w:rPr>
        <w:t>injury</w:t>
      </w:r>
      <w:r>
        <w:t xml:space="preserve"> includes alleged injury;</w:t>
      </w:r>
    </w:p>
    <w:p>
      <w:pPr>
        <w:pStyle w:val="Defstart"/>
        <w:keepNext/>
        <w:keepLines/>
      </w:pPr>
      <w:r>
        <w:rPr>
          <w:b/>
        </w:rPr>
        <w:tab/>
      </w:r>
      <w:r>
        <w:rPr>
          <w:rStyle w:val="CharDefText"/>
        </w:rPr>
        <w:t>relevant document</w:t>
      </w:r>
      <w:r>
        <w:t xml:space="preserve"> means any of the following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lastRenderedPageBreak/>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If a worker has made a claim for compensation with respect to noise induced hearing loss in accordance with section 178(1)(b), the worker’s employer or that employer’s insurer may request WorkCover WA to provide the person making the request with a copy of any documents in the possession of or under the control of WorkCover WA that —</w:t>
      </w:r>
    </w:p>
    <w:p>
      <w:pPr>
        <w:pStyle w:val="Indenta"/>
      </w:pPr>
      <w:r>
        <w:tab/>
        <w:t>(a)</w:t>
      </w:r>
      <w:r>
        <w:tab/>
        <w:t xml:space="preserve">are of a kind described in paragraph (d), (e) or (f) of the definition of </w:t>
      </w:r>
      <w:r>
        <w:rPr>
          <w:b/>
          <w:bCs/>
          <w:i/>
          <w:iCs/>
        </w:rPr>
        <w:t>relevant document</w:t>
      </w:r>
      <w:r>
        <w:t xml:space="preserve">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conciliation rules or arbitration rules and is to be complied with within the time prescribed by the relevant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r>
        <w:tab/>
        <w:t>[Section 180 inserted: No. 42 of 2004 s. 130; amended: No. 16 of 2005 s. 22; No. 31 of 2011 s. 42.]</w:t>
      </w:r>
    </w:p>
    <w:p>
      <w:pPr>
        <w:pStyle w:val="Heading3"/>
      </w:pPr>
      <w:bookmarkStart w:id="696" w:name="_Toc100238626"/>
      <w:bookmarkStart w:id="697" w:name="_Toc100239240"/>
      <w:bookmarkStart w:id="698" w:name="_Toc100562534"/>
      <w:bookmarkStart w:id="699" w:name="_Toc107310170"/>
      <w:bookmarkStart w:id="700" w:name="_Toc107480024"/>
      <w:bookmarkStart w:id="701" w:name="_Toc131501390"/>
      <w:bookmarkStart w:id="702" w:name="_Toc131502008"/>
      <w:bookmarkStart w:id="703" w:name="_Toc131514604"/>
      <w:r>
        <w:rPr>
          <w:rStyle w:val="CharDivNo"/>
        </w:rPr>
        <w:lastRenderedPageBreak/>
        <w:t>Division 3</w:t>
      </w:r>
      <w:r>
        <w:t> — </w:t>
      </w:r>
      <w:r>
        <w:rPr>
          <w:rStyle w:val="CharDivText"/>
        </w:rPr>
        <w:t>Conciliation</w:t>
      </w:r>
      <w:bookmarkEnd w:id="696"/>
      <w:bookmarkEnd w:id="697"/>
      <w:bookmarkEnd w:id="698"/>
      <w:bookmarkEnd w:id="699"/>
      <w:bookmarkEnd w:id="700"/>
      <w:bookmarkEnd w:id="701"/>
      <w:bookmarkEnd w:id="702"/>
      <w:bookmarkEnd w:id="703"/>
    </w:p>
    <w:p>
      <w:pPr>
        <w:pStyle w:val="Footnoteheading"/>
      </w:pPr>
      <w:r>
        <w:tab/>
        <w:t>[Heading inserted: No. 31 of 2011 s. 5.]</w:t>
      </w:r>
    </w:p>
    <w:p>
      <w:pPr>
        <w:pStyle w:val="Heading4"/>
      </w:pPr>
      <w:bookmarkStart w:id="704" w:name="_Toc100238627"/>
      <w:bookmarkStart w:id="705" w:name="_Toc100239241"/>
      <w:bookmarkStart w:id="706" w:name="_Toc100562535"/>
      <w:bookmarkStart w:id="707" w:name="_Toc107310171"/>
      <w:bookmarkStart w:id="708" w:name="_Toc107480025"/>
      <w:bookmarkStart w:id="709" w:name="_Toc131501391"/>
      <w:bookmarkStart w:id="710" w:name="_Toc131502009"/>
      <w:bookmarkStart w:id="711" w:name="_Toc131514605"/>
      <w:r>
        <w:t>Subdivision 1 — Workers’ Compensation Conciliation Service</w:t>
      </w:r>
      <w:bookmarkEnd w:id="704"/>
      <w:bookmarkEnd w:id="705"/>
      <w:bookmarkEnd w:id="706"/>
      <w:bookmarkEnd w:id="707"/>
      <w:bookmarkEnd w:id="708"/>
      <w:bookmarkEnd w:id="709"/>
      <w:bookmarkEnd w:id="710"/>
      <w:bookmarkEnd w:id="711"/>
    </w:p>
    <w:p>
      <w:pPr>
        <w:pStyle w:val="Footnoteheading"/>
      </w:pPr>
      <w:r>
        <w:tab/>
        <w:t>[Heading inserted: No. 31 of 2011 s. 5.]</w:t>
      </w:r>
    </w:p>
    <w:p>
      <w:pPr>
        <w:pStyle w:val="Heading5"/>
      </w:pPr>
      <w:bookmarkStart w:id="712" w:name="_Toc131514606"/>
      <w:r>
        <w:rPr>
          <w:rStyle w:val="CharSectno"/>
        </w:rPr>
        <w:t>181</w:t>
      </w:r>
      <w:r>
        <w:t>.</w:t>
      </w:r>
      <w:r>
        <w:tab/>
        <w:t>Workers’ Compensation Conciliation Service established</w:t>
      </w:r>
      <w:bookmarkEnd w:id="712"/>
    </w:p>
    <w:p>
      <w:pPr>
        <w:pStyle w:val="Subsection"/>
      </w:pPr>
      <w:r>
        <w:tab/>
        <w:t>(1)</w:t>
      </w:r>
      <w:r>
        <w:tab/>
        <w:t>A service called the Workers’ Compensation Conciliation Service is established.</w:t>
      </w:r>
    </w:p>
    <w:p>
      <w:pPr>
        <w:pStyle w:val="Subsection"/>
      </w:pPr>
      <w:r>
        <w:tab/>
        <w:t>(2)</w:t>
      </w:r>
      <w:r>
        <w:tab/>
        <w:t xml:space="preserve">The Conciliation Service consists of — </w:t>
      </w:r>
    </w:p>
    <w:p>
      <w:pPr>
        <w:pStyle w:val="Indenta"/>
      </w:pPr>
      <w:r>
        <w:tab/>
        <w:t>(a)</w:t>
      </w:r>
      <w:r>
        <w:tab/>
        <w:t>the Director; and</w:t>
      </w:r>
    </w:p>
    <w:p>
      <w:pPr>
        <w:pStyle w:val="Indenta"/>
      </w:pPr>
      <w:r>
        <w:tab/>
        <w:t>(b)</w:t>
      </w:r>
      <w:r>
        <w:tab/>
        <w:t xml:space="preserve">the staff of the Conciliation Service being — </w:t>
      </w:r>
    </w:p>
    <w:p>
      <w:pPr>
        <w:pStyle w:val="Indenti"/>
      </w:pPr>
      <w:r>
        <w:tab/>
        <w:t>(i)</w:t>
      </w:r>
      <w:r>
        <w:tab/>
        <w:t>the conciliation officers; and</w:t>
      </w:r>
    </w:p>
    <w:p>
      <w:pPr>
        <w:pStyle w:val="Indenti"/>
      </w:pPr>
      <w:r>
        <w:tab/>
        <w:t>(ii)</w:t>
      </w:r>
      <w:r>
        <w:tab/>
        <w:t>officers of WorkCover WA assisting in the administration of the Conciliation Service and the performance of its functions.</w:t>
      </w:r>
    </w:p>
    <w:p>
      <w:pPr>
        <w:pStyle w:val="Footnotesection"/>
      </w:pPr>
      <w:r>
        <w:tab/>
        <w:t>[Section 181 inserted: No. 31 of 2011 s. 6.]</w:t>
      </w:r>
    </w:p>
    <w:p>
      <w:pPr>
        <w:pStyle w:val="Heading5"/>
      </w:pPr>
      <w:bookmarkStart w:id="713" w:name="_Toc131514607"/>
      <w:r>
        <w:rPr>
          <w:rStyle w:val="CharSectno"/>
        </w:rPr>
        <w:t>182A</w:t>
      </w:r>
      <w:r>
        <w:t>.</w:t>
      </w:r>
      <w:r>
        <w:tab/>
        <w:t>Director, Conciliation, designation and functions of</w:t>
      </w:r>
      <w:bookmarkEnd w:id="713"/>
    </w:p>
    <w:p>
      <w:pPr>
        <w:pStyle w:val="Subsection"/>
      </w:pPr>
      <w:r>
        <w:tab/>
        <w:t>(1)</w:t>
      </w:r>
      <w:r>
        <w:tab/>
        <w:t xml:space="preserve">The </w:t>
      </w:r>
      <w:r>
        <w:rPr>
          <w:bCs/>
          <w:iCs/>
        </w:rPr>
        <w:t xml:space="preserve">chief executive officer </w:t>
      </w:r>
      <w:r>
        <w:t>is to designate a person who is an officer of WorkCover WA as the Director, Conciliation.</w:t>
      </w:r>
    </w:p>
    <w:p>
      <w:pPr>
        <w:pStyle w:val="Subsection"/>
        <w:rPr>
          <w:bCs/>
          <w:iCs/>
        </w:rPr>
      </w:pPr>
      <w:r>
        <w:rPr>
          <w:bCs/>
          <w:iCs/>
        </w:rPr>
        <w:tab/>
        <w:t>(2)</w:t>
      </w:r>
      <w:r>
        <w:rPr>
          <w:bCs/>
          <w:iCs/>
        </w:rPr>
        <w:tab/>
        <w:t xml:space="preserve">The Director — </w:t>
      </w:r>
    </w:p>
    <w:p>
      <w:pPr>
        <w:pStyle w:val="Indenta"/>
      </w:pPr>
      <w:r>
        <w:tab/>
        <w:t>(a)</w:t>
      </w:r>
      <w:r>
        <w:tab/>
        <w:t>is responsible for the administration of the Conciliation Service; and</w:t>
      </w:r>
    </w:p>
    <w:p>
      <w:pPr>
        <w:pStyle w:val="Indenta"/>
      </w:pPr>
      <w:r>
        <w:tab/>
        <w:t>(b)</w:t>
      </w:r>
      <w:r>
        <w:tab/>
        <w:t>is to allocate work to conciliation officers; and</w:t>
      </w:r>
    </w:p>
    <w:p>
      <w:pPr>
        <w:pStyle w:val="Indenta"/>
      </w:pPr>
      <w:r>
        <w:tab/>
        <w:t>(c)</w:t>
      </w:r>
      <w:r>
        <w:tab/>
        <w:t xml:space="preserve">without limiting the functions of the </w:t>
      </w:r>
      <w:r>
        <w:rPr>
          <w:bCs/>
          <w:iCs/>
        </w:rPr>
        <w:t xml:space="preserve">chief executive officer, is to manage and direct the staff of the </w:t>
      </w:r>
      <w:r>
        <w:t>Conciliation Service;</w:t>
      </w:r>
      <w:r>
        <w:rPr>
          <w:bCs/>
          <w:iCs/>
        </w:rPr>
        <w:t xml:space="preserve"> </w:t>
      </w:r>
      <w:r>
        <w:t>and</w:t>
      </w:r>
    </w:p>
    <w:p>
      <w:pPr>
        <w:pStyle w:val="Indenta"/>
      </w:pPr>
      <w:r>
        <w:tab/>
        <w:t>(d)</w:t>
      </w:r>
      <w:r>
        <w:tab/>
      </w:r>
      <w:r>
        <w:rPr>
          <w:bCs/>
          <w:iCs/>
        </w:rPr>
        <w:t xml:space="preserve">has, and may perform, all the functions of a </w:t>
      </w:r>
      <w:r>
        <w:t>conciliation officer; and</w:t>
      </w:r>
    </w:p>
    <w:p>
      <w:pPr>
        <w:pStyle w:val="Indenta"/>
      </w:pPr>
      <w:r>
        <w:lastRenderedPageBreak/>
        <w:tab/>
        <w:t>(e)</w:t>
      </w:r>
      <w:r>
        <w:tab/>
        <w:t>is to provide advice as to the content of the conciliation rules; and</w:t>
      </w:r>
    </w:p>
    <w:p>
      <w:pPr>
        <w:pStyle w:val="Indenta"/>
      </w:pPr>
      <w:r>
        <w:tab/>
        <w:t>(f)</w:t>
      </w:r>
      <w:r>
        <w:tab/>
        <w:t>has the other functions conferred on the Director by this Act or any other written law.</w:t>
      </w:r>
    </w:p>
    <w:p>
      <w:pPr>
        <w:pStyle w:val="Subsection"/>
      </w:pPr>
      <w:r>
        <w:rPr>
          <w:bCs/>
          <w:iCs/>
        </w:rPr>
        <w:tab/>
        <w:t>(3)</w:t>
      </w:r>
      <w:r>
        <w:rPr>
          <w:bCs/>
          <w:iCs/>
        </w:rPr>
        <w:tab/>
        <w:t>The Director is not subject to the management or direction of the chief executive officer as to any decision to be made, or discretion to be exercised, in relation to a particular dispute.</w:t>
      </w:r>
    </w:p>
    <w:p>
      <w:pPr>
        <w:pStyle w:val="Footnotesection"/>
      </w:pPr>
      <w:r>
        <w:tab/>
        <w:t>[Section 182A inserted: No. 31 of 2011 s. 6.]</w:t>
      </w:r>
    </w:p>
    <w:p>
      <w:pPr>
        <w:pStyle w:val="Heading5"/>
      </w:pPr>
      <w:bookmarkStart w:id="714" w:name="_Toc131514608"/>
      <w:r>
        <w:rPr>
          <w:rStyle w:val="CharSectno"/>
        </w:rPr>
        <w:t>182B</w:t>
      </w:r>
      <w:r>
        <w:t>.</w:t>
      </w:r>
      <w:r>
        <w:tab/>
        <w:t>Conciliation officers, designation of etc.</w:t>
      </w:r>
      <w:bookmarkEnd w:id="714"/>
    </w:p>
    <w:p>
      <w:pPr>
        <w:pStyle w:val="Subsection"/>
      </w:pPr>
      <w:r>
        <w:tab/>
        <w:t>(1)</w:t>
      </w:r>
      <w:r>
        <w:tab/>
        <w:t xml:space="preserve">The </w:t>
      </w:r>
      <w:r>
        <w:rPr>
          <w:bCs/>
          <w:iCs/>
        </w:rPr>
        <w:t>chief executive officer may</w:t>
      </w:r>
      <w:r>
        <w:t xml:space="preserve"> designate a person who is an officer of WorkCover WA as a conciliation officer.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 conciliation officer on a sessional basis.</w:t>
      </w:r>
    </w:p>
    <w:p>
      <w:pPr>
        <w:pStyle w:val="Subsection"/>
      </w:pPr>
      <w:r>
        <w:tab/>
        <w:t>(3)</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(4)</w:t>
      </w:r>
      <w:r>
        <w:rPr>
          <w:bCs/>
          <w:iCs/>
        </w:rPr>
        <w:tab/>
      </w:r>
      <w:r>
        <w:t xml:space="preserve">Conciliation officers are </w:t>
      </w:r>
      <w:r>
        <w:rPr>
          <w:bCs/>
          <w:iCs/>
        </w:rPr>
        <w:t>not subject to the management or direction of the chief executive officer</w:t>
      </w:r>
      <w:r>
        <w:t xml:space="preserve"> </w:t>
      </w:r>
      <w:r>
        <w:rPr>
          <w:bCs/>
          <w:iCs/>
        </w:rPr>
        <w:t>or the Director as to any decision to be made, or discretion to be exercised, in relation to a particular dispute.</w:t>
      </w:r>
    </w:p>
    <w:p>
      <w:pPr>
        <w:pStyle w:val="Footnotesection"/>
      </w:pPr>
      <w:r>
        <w:tab/>
        <w:t>[Section 182B inserted: No. 31 of 2011 s. 6.]</w:t>
      </w:r>
    </w:p>
    <w:p>
      <w:pPr>
        <w:pStyle w:val="Heading5"/>
      </w:pPr>
      <w:bookmarkStart w:id="715" w:name="_Toc131514609"/>
      <w:r>
        <w:rPr>
          <w:rStyle w:val="CharSectno"/>
        </w:rPr>
        <w:t>182C</w:t>
      </w:r>
      <w:r>
        <w:t>.</w:t>
      </w:r>
      <w:r>
        <w:tab/>
        <w:t>Provisions about designations</w:t>
      </w:r>
      <w:bookmarkEnd w:id="715"/>
    </w:p>
    <w:p>
      <w:pPr>
        <w:pStyle w:val="Subsection"/>
      </w:pPr>
      <w:r>
        <w:tab/>
        <w:t>(1)</w:t>
      </w:r>
      <w:r>
        <w:tab/>
        <w:t xml:space="preserve">In this section — </w:t>
      </w:r>
    </w:p>
    <w:p>
      <w:pPr>
        <w:pStyle w:val="Defstart"/>
      </w:pPr>
      <w:r>
        <w:tab/>
      </w:r>
      <w:r>
        <w:rPr>
          <w:rStyle w:val="CharDefText"/>
        </w:rPr>
        <w:t>designation</w:t>
      </w:r>
      <w:r>
        <w:t xml:space="preserve"> means a designation under section 182A(1) or 182B(1).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lastRenderedPageBreak/>
        <w:tab/>
        <w:t>(3)</w:t>
      </w:r>
      <w:r>
        <w:tab/>
        <w:t>The designation of a person ceases to have effect if the person ceases to be an officer of WorkCover WA.</w:t>
      </w:r>
    </w:p>
    <w:p>
      <w:pPr>
        <w:pStyle w:val="Footnotesection"/>
      </w:pPr>
      <w:r>
        <w:tab/>
        <w:t>[Section 182C inserted: No. 31 of 2011 s. 6.]</w:t>
      </w:r>
    </w:p>
    <w:p>
      <w:pPr>
        <w:pStyle w:val="Heading5"/>
      </w:pPr>
      <w:bookmarkStart w:id="716" w:name="_Toc131514610"/>
      <w:r>
        <w:rPr>
          <w:rStyle w:val="CharSectno"/>
        </w:rPr>
        <w:t>182D</w:t>
      </w:r>
      <w:r>
        <w:t>.</w:t>
      </w:r>
      <w:r>
        <w:tab/>
        <w:t>Delegation by Director</w:t>
      </w:r>
      <w:bookmarkEnd w:id="716"/>
    </w:p>
    <w:p>
      <w:pPr>
        <w:pStyle w:val="Subsection"/>
      </w:pPr>
      <w:r>
        <w:tab/>
        <w:t>(1)</w:t>
      </w:r>
      <w:r>
        <w:tab/>
        <w:t>The Director may delegate a power or duty given to the Director under this Act to an officer of WorkCover WA or a person engaged under section 182B(2).</w:t>
      </w:r>
    </w:p>
    <w:p>
      <w:pPr>
        <w:pStyle w:val="Subsection"/>
      </w:pPr>
      <w:r>
        <w:tab/>
        <w:t>(2)</w:t>
      </w:r>
      <w:r>
        <w:tab/>
        <w:t>The Director is to make the delegation in writing signed by the Director.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r>
        <w:tab/>
        <w:t>[Section 182D inserted: No. 31 of 2011 s. 6.]</w:t>
      </w:r>
    </w:p>
    <w:p>
      <w:pPr>
        <w:pStyle w:val="Heading4"/>
      </w:pPr>
      <w:bookmarkStart w:id="717" w:name="_Toc100238633"/>
      <w:bookmarkStart w:id="718" w:name="_Toc100239247"/>
      <w:bookmarkStart w:id="719" w:name="_Toc100562541"/>
      <w:bookmarkStart w:id="720" w:name="_Toc107310177"/>
      <w:bookmarkStart w:id="721" w:name="_Toc107480031"/>
      <w:bookmarkStart w:id="722" w:name="_Toc131501397"/>
      <w:bookmarkStart w:id="723" w:name="_Toc131502015"/>
      <w:bookmarkStart w:id="724" w:name="_Toc131514611"/>
      <w:r>
        <w:t>Subdivision 2 — Resolution of disputes by conciliation</w:t>
      </w:r>
      <w:bookmarkEnd w:id="717"/>
      <w:bookmarkEnd w:id="718"/>
      <w:bookmarkEnd w:id="719"/>
      <w:bookmarkEnd w:id="720"/>
      <w:bookmarkEnd w:id="721"/>
      <w:bookmarkEnd w:id="722"/>
      <w:bookmarkEnd w:id="723"/>
      <w:bookmarkEnd w:id="724"/>
    </w:p>
    <w:p>
      <w:pPr>
        <w:pStyle w:val="Footnoteheading"/>
      </w:pPr>
      <w:r>
        <w:tab/>
        <w:t>[Heading inserted: No. 31 of 2011 s. 6.]</w:t>
      </w:r>
    </w:p>
    <w:p>
      <w:pPr>
        <w:pStyle w:val="Heading5"/>
      </w:pPr>
      <w:bookmarkStart w:id="725" w:name="_Toc131514612"/>
      <w:r>
        <w:rPr>
          <w:rStyle w:val="CharSectno"/>
        </w:rPr>
        <w:t>182E</w:t>
      </w:r>
      <w:r>
        <w:t>.</w:t>
      </w:r>
      <w:r>
        <w:tab/>
        <w:t>Application for conciliation</w:t>
      </w:r>
      <w:bookmarkEnd w:id="725"/>
    </w:p>
    <w:p>
      <w:pPr>
        <w:pStyle w:val="Subsection"/>
      </w:pPr>
      <w:r>
        <w:tab/>
        <w:t>(1)</w:t>
      </w:r>
      <w:r>
        <w:tab/>
        <w:t xml:space="preserve">A party to a dispute (referred to in this Division as the </w:t>
      </w:r>
      <w:r>
        <w:rPr>
          <w:rStyle w:val="CharDefText"/>
        </w:rPr>
        <w:t>dispute</w:t>
      </w:r>
      <w:r>
        <w:t>) may apply to the Director in accordance with this Act and the conciliation rules for resolution of the dispute by conciliation.</w:t>
      </w:r>
    </w:p>
    <w:p>
      <w:pPr>
        <w:pStyle w:val="Subsection"/>
      </w:pPr>
      <w:r>
        <w:tab/>
        <w:t>(2)</w:t>
      </w:r>
      <w:r>
        <w:tab/>
        <w:t xml:space="preserve">Subsection (1) and section 182ZU(1) have effect despite any other provision of this Act — </w:t>
      </w:r>
    </w:p>
    <w:p>
      <w:pPr>
        <w:pStyle w:val="Indenta"/>
      </w:pPr>
      <w:r>
        <w:tab/>
        <w:t>(a)</w:t>
      </w:r>
      <w:r>
        <w:tab/>
        <w:t>enabling or requiring a party to make application for a dispute or matter to be heard and determined by an arbitrator; or</w:t>
      </w:r>
    </w:p>
    <w:p>
      <w:pPr>
        <w:pStyle w:val="Indenta"/>
      </w:pPr>
      <w:r>
        <w:lastRenderedPageBreak/>
        <w:tab/>
        <w:t>(b)</w:t>
      </w:r>
      <w:r>
        <w:tab/>
        <w:t>authorising an arbitrator to determine a dispute or matter.</w:t>
      </w:r>
    </w:p>
    <w:p>
      <w:pPr>
        <w:pStyle w:val="PermNoteHeading"/>
      </w:pPr>
      <w:r>
        <w:tab/>
        <w:t>Note for this section:</w:t>
      </w:r>
    </w:p>
    <w:p>
      <w:pPr>
        <w:pStyle w:val="PermNoteText"/>
      </w:pPr>
      <w:r>
        <w:tab/>
      </w:r>
      <w:r>
        <w:tab/>
        <w:t>For example, if an employer is ordered by the Director under section 58(2a) to make an application for an arbitrator to hear and determine the question of liability to make weekly payments, the employer must first make an application for conciliation.</w:t>
      </w:r>
    </w:p>
    <w:p>
      <w:pPr>
        <w:pStyle w:val="Footnotesection"/>
        <w:spacing w:before="100"/>
        <w:ind w:left="890" w:hanging="890"/>
      </w:pPr>
      <w:r>
        <w:tab/>
        <w:t>[Section 182E inserted: No. 31 of 2011 s. 6.]</w:t>
      </w:r>
    </w:p>
    <w:p>
      <w:pPr>
        <w:pStyle w:val="Heading5"/>
      </w:pPr>
      <w:bookmarkStart w:id="726" w:name="_Toc131514613"/>
      <w:r>
        <w:rPr>
          <w:rStyle w:val="CharSectno"/>
        </w:rPr>
        <w:t>182F</w:t>
      </w:r>
      <w:r>
        <w:t>.</w:t>
      </w:r>
      <w:r>
        <w:tab/>
        <w:t>Acceptance of application by Director</w:t>
      </w:r>
      <w:bookmarkEnd w:id="726"/>
    </w:p>
    <w:p>
      <w:pPr>
        <w:pStyle w:val="Subsection"/>
      </w:pPr>
      <w:r>
        <w:tab/>
        <w:t>(1)</w:t>
      </w:r>
      <w:r>
        <w:tab/>
        <w:t xml:space="preserve">An application for conciliation cannot be accepted by the Director unless the Director is satisfied — </w:t>
      </w:r>
    </w:p>
    <w:p>
      <w:pPr>
        <w:pStyle w:val="Indenta"/>
        <w:spacing w:before="60"/>
      </w:pPr>
      <w:r>
        <w:tab/>
        <w:t>(a)</w:t>
      </w:r>
      <w:r>
        <w:tab/>
        <w:t>that it relates to a dispute as defined in section 176; and</w:t>
      </w:r>
    </w:p>
    <w:p>
      <w:pPr>
        <w:pStyle w:val="Indenta"/>
        <w:spacing w:before="60"/>
      </w:pPr>
      <w:r>
        <w:tab/>
        <w:t>(b)</w:t>
      </w:r>
      <w:r>
        <w:tab/>
        <w:t>that reasonable attempts have been made to resolve the dispute by negotiation with the other party or parties to the dispute.</w:t>
      </w:r>
    </w:p>
    <w:p>
      <w:pPr>
        <w:pStyle w:val="Subsection"/>
      </w:pPr>
      <w:r>
        <w:tab/>
        <w:t>(2)</w:t>
      </w:r>
      <w:r>
        <w:tab/>
        <w:t>The onus is on the applicant to satisfy the Director for the purposes of subsection (1).</w:t>
      </w:r>
    </w:p>
    <w:p>
      <w:pPr>
        <w:pStyle w:val="Subsection"/>
      </w:pPr>
      <w:r>
        <w:tab/>
        <w:t>(3)</w:t>
      </w:r>
      <w:r>
        <w:tab/>
        <w:t>The Director may reject an application for conciliation if it does not comply with the conciliation rules.</w:t>
      </w:r>
    </w:p>
    <w:p>
      <w:pPr>
        <w:pStyle w:val="Subsection"/>
      </w:pPr>
      <w:r>
        <w:tab/>
        <w:t>(4)</w:t>
      </w:r>
      <w:r>
        <w:tab/>
        <w:t>Conciliation commences when an application for conciliation is accepted by the Director.</w:t>
      </w:r>
    </w:p>
    <w:p>
      <w:pPr>
        <w:pStyle w:val="Footnotesection"/>
        <w:spacing w:before="100"/>
        <w:ind w:left="890" w:hanging="890"/>
      </w:pPr>
      <w:r>
        <w:tab/>
        <w:t>[Section 182F inserted: No. 31 of 2011 s. 6.]</w:t>
      </w:r>
    </w:p>
    <w:p>
      <w:pPr>
        <w:pStyle w:val="Heading5"/>
      </w:pPr>
      <w:bookmarkStart w:id="727" w:name="_Toc131514614"/>
      <w:r>
        <w:rPr>
          <w:rStyle w:val="CharSectno"/>
        </w:rPr>
        <w:t>182G</w:t>
      </w:r>
      <w:r>
        <w:t>.</w:t>
      </w:r>
      <w:r>
        <w:tab/>
        <w:t>Director to allocate dispute</w:t>
      </w:r>
      <w:bookmarkEnd w:id="727"/>
    </w:p>
    <w:p>
      <w:pPr>
        <w:pStyle w:val="Subsection"/>
      </w:pPr>
      <w:r>
        <w:tab/>
        <w:t>(1)</w:t>
      </w:r>
      <w:r>
        <w:tab/>
        <w:t>Subject to section 182H, when an application for conciliation is accepted the Director is to allocate the dispute to a conciliation officer.</w:t>
      </w:r>
    </w:p>
    <w:p>
      <w:pPr>
        <w:pStyle w:val="Subsection"/>
      </w:pPr>
      <w:r>
        <w:tab/>
        <w:t>(2)</w:t>
      </w:r>
      <w:r>
        <w:tab/>
        <w:t>The Director may reallocate the dispute to another conciliation officer at any time.</w:t>
      </w:r>
    </w:p>
    <w:p>
      <w:pPr>
        <w:pStyle w:val="Subsection"/>
        <w:keepNext/>
      </w:pPr>
      <w:r>
        <w:lastRenderedPageBreak/>
        <w:tab/>
        <w:t>(3)</w:t>
      </w:r>
      <w:r>
        <w:tab/>
        <w:t xml:space="preserve">The conciliation officer to whom the dispute is allocated for the time being is referred to in this Division as the </w:t>
      </w:r>
      <w:r>
        <w:rPr>
          <w:rStyle w:val="CharDefText"/>
        </w:rPr>
        <w:t>conciliation officer</w:t>
      </w:r>
      <w:r>
        <w:t>.</w:t>
      </w:r>
    </w:p>
    <w:p>
      <w:pPr>
        <w:pStyle w:val="Footnotesection"/>
        <w:spacing w:before="100"/>
        <w:ind w:left="890" w:hanging="890"/>
      </w:pPr>
      <w:r>
        <w:tab/>
        <w:t>[Section 182G inserted: No. 31 of 2011 s. 6.]</w:t>
      </w:r>
    </w:p>
    <w:p>
      <w:pPr>
        <w:pStyle w:val="Heading5"/>
      </w:pPr>
      <w:bookmarkStart w:id="728" w:name="_Toc131514615"/>
      <w:r>
        <w:rPr>
          <w:rStyle w:val="CharSectno"/>
        </w:rPr>
        <w:t>182H</w:t>
      </w:r>
      <w:r>
        <w:t>.</w:t>
      </w:r>
      <w:r>
        <w:tab/>
        <w:t>Director may certify dispute is not suitable for conciliation</w:t>
      </w:r>
      <w:bookmarkEnd w:id="728"/>
    </w:p>
    <w:p>
      <w:pPr>
        <w:pStyle w:val="Subsection"/>
      </w:pPr>
      <w:r>
        <w:tab/>
      </w:r>
      <w:r>
        <w:tab/>
        <w:t>The Director may, without allocating the dispute, determine that no matter in dispute is suitable for conciliation and issue a certificate to that effect.</w:t>
      </w:r>
    </w:p>
    <w:p>
      <w:pPr>
        <w:pStyle w:val="Footnotesection"/>
      </w:pPr>
      <w:r>
        <w:tab/>
        <w:t>[Section 182H inserted: No. 31 of 2011 s. 6.]</w:t>
      </w:r>
    </w:p>
    <w:p>
      <w:pPr>
        <w:pStyle w:val="Heading5"/>
      </w:pPr>
      <w:bookmarkStart w:id="729" w:name="_Toc131514616"/>
      <w:r>
        <w:rPr>
          <w:rStyle w:val="CharSectno"/>
        </w:rPr>
        <w:t>182I</w:t>
      </w:r>
      <w:r>
        <w:t>.</w:t>
      </w:r>
      <w:r>
        <w:tab/>
        <w:t>Duties of conciliation officers</w:t>
      </w:r>
      <w:bookmarkEnd w:id="729"/>
    </w:p>
    <w:p>
      <w:pPr>
        <w:pStyle w:val="Subsection"/>
      </w:pPr>
      <w:r>
        <w:tab/>
        <w:t>(1)</w:t>
      </w:r>
      <w:r>
        <w:tab/>
        <w:t>The conciliation officer is to make all reasonable efforts to bring the parties to the dispute to an agreement acceptable to all of them.</w:t>
      </w:r>
    </w:p>
    <w:p>
      <w:pPr>
        <w:pStyle w:val="Subsection"/>
      </w:pPr>
      <w:r>
        <w:tab/>
        <w:t>(2)</w:t>
      </w:r>
      <w:r>
        <w:tab/>
        <w:t xml:space="preserve">The conciliation officer is to act — </w:t>
      </w:r>
    </w:p>
    <w:p>
      <w:pPr>
        <w:pStyle w:val="Indenta"/>
      </w:pPr>
      <w:r>
        <w:tab/>
        <w:t>(a)</w:t>
      </w:r>
      <w:r>
        <w:tab/>
        <w:t>fairly, economically, informally and quickly; and</w:t>
      </w:r>
    </w:p>
    <w:p>
      <w:pPr>
        <w:pStyle w:val="Indenta"/>
      </w:pPr>
      <w:r>
        <w:tab/>
        <w:t>(b)</w:t>
      </w:r>
      <w:r>
        <w:tab/>
        <w:t>according to the substantial merits of the case without regard to technicalities and legal forms.</w:t>
      </w:r>
    </w:p>
    <w:p>
      <w:pPr>
        <w:pStyle w:val="Footnotesection"/>
      </w:pPr>
      <w:r>
        <w:tab/>
        <w:t>[Section 182I inserted: No. 31 of 2011 s. 6.]</w:t>
      </w:r>
    </w:p>
    <w:p>
      <w:pPr>
        <w:pStyle w:val="Heading5"/>
      </w:pPr>
      <w:bookmarkStart w:id="730" w:name="_Toc131514617"/>
      <w:r>
        <w:rPr>
          <w:rStyle w:val="CharSectno"/>
        </w:rPr>
        <w:t>182J</w:t>
      </w:r>
      <w:r>
        <w:t>.</w:t>
      </w:r>
      <w:r>
        <w:tab/>
        <w:t>Powers of conciliation officers</w:t>
      </w:r>
      <w:bookmarkEnd w:id="730"/>
    </w:p>
    <w:p>
      <w:pPr>
        <w:pStyle w:val="Subsection"/>
      </w:pPr>
      <w:r>
        <w:tab/>
      </w:r>
      <w:r>
        <w:tab/>
        <w:t xml:space="preserve">The conciliation officer may — </w:t>
      </w:r>
    </w:p>
    <w:p>
      <w:pPr>
        <w:pStyle w:val="Indenta"/>
      </w:pPr>
      <w:r>
        <w:tab/>
        <w:t>(a)</w:t>
      </w:r>
      <w:r>
        <w:tab/>
        <w:t>require a party to the dispute to attend at a meeting with the conciliation officer;</w:t>
      </w:r>
    </w:p>
    <w:p>
      <w:pPr>
        <w:pStyle w:val="Indenta"/>
      </w:pPr>
      <w:r>
        <w:tab/>
        <w:t>(b)</w:t>
      </w:r>
      <w:r>
        <w:tab/>
        <w:t>require a party to the dispute to attend at a conciliation conference at which the conciliation officer and any other party to the dispute is present;</w:t>
      </w:r>
    </w:p>
    <w:p>
      <w:pPr>
        <w:pStyle w:val="Indenta"/>
      </w:pPr>
      <w:r>
        <w:tab/>
        <w:t>(c)</w:t>
      </w:r>
      <w:r>
        <w:tab/>
        <w:t>require a party to the dispute, or the representative of a party, to answer questions put by the conciliation officer;</w:t>
      </w:r>
    </w:p>
    <w:p>
      <w:pPr>
        <w:pStyle w:val="Indenta"/>
      </w:pPr>
      <w:r>
        <w:tab/>
        <w:t>(d)</w:t>
      </w:r>
      <w:r>
        <w:tab/>
        <w:t xml:space="preserve">require a party to the dispute, or the representative of a party, to produce documents to the conciliation officer, </w:t>
      </w:r>
      <w:r>
        <w:lastRenderedPageBreak/>
        <w:t>or consent to another person who has relevant documents producing them to the conciliation officer.</w:t>
      </w:r>
    </w:p>
    <w:p>
      <w:pPr>
        <w:pStyle w:val="Footnotesection"/>
      </w:pPr>
      <w:r>
        <w:tab/>
        <w:t>[Section 182J inserted: No. 31 of 2011 s. 6.]</w:t>
      </w:r>
    </w:p>
    <w:p>
      <w:pPr>
        <w:pStyle w:val="Heading5"/>
      </w:pPr>
      <w:bookmarkStart w:id="731" w:name="_Toc131514618"/>
      <w:r>
        <w:rPr>
          <w:rStyle w:val="CharSectno"/>
        </w:rPr>
        <w:t>182K</w:t>
      </w:r>
      <w:r>
        <w:t>.</w:t>
      </w:r>
      <w:r>
        <w:tab/>
        <w:t>Weekly payments etc., conciliation officers may direct etc.</w:t>
      </w:r>
      <w:bookmarkEnd w:id="731"/>
    </w:p>
    <w:p>
      <w:pPr>
        <w:pStyle w:val="Subsection"/>
      </w:pPr>
      <w:r>
        <w:tab/>
        <w:t>(1)</w:t>
      </w:r>
      <w:r>
        <w:tab/>
        <w:t>This section applies in relation to the employer and worker who are parties to the dispute.</w:t>
      </w:r>
    </w:p>
    <w:p>
      <w:pPr>
        <w:pStyle w:val="Subsection"/>
      </w:pPr>
      <w:r>
        <w:tab/>
        <w:t>(2)</w:t>
      </w:r>
      <w:r>
        <w:tab/>
        <w:t>The conciliation officer may direct that weekly payments of compensation be made by the employer to the worker if the conciliation officer considers that it would be reasonable to expect that the resolution or determination of the dispute under this Part would result in weekly payments of compensation becoming payable.</w:t>
      </w:r>
    </w:p>
    <w:p>
      <w:pPr>
        <w:pStyle w:val="Subsection"/>
      </w:pPr>
      <w:r>
        <w:tab/>
        <w:t>(3)</w:t>
      </w:r>
      <w:r>
        <w:tab/>
        <w:t xml:space="preserve">The conciliation officer is not to direct that weekly payments of compensation be made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may direct that a payment be made by the employer in respect of a compensation entitlement under clause 17 or 19 (</w:t>
      </w:r>
      <w:r>
        <w:rPr>
          <w:rStyle w:val="CharDefText"/>
        </w:rPr>
        <w:t>statutory expenses</w:t>
      </w:r>
      <w:r>
        <w:t>) if the conciliation officer considers that it would be reasonable to expect that the resolution or determination of the dispute under this Part would result in statutory expenses becoming payable.</w:t>
      </w:r>
    </w:p>
    <w:p>
      <w:pPr>
        <w:pStyle w:val="Subsection"/>
      </w:pPr>
      <w:r>
        <w:tab/>
        <w:t>(5)</w:t>
      </w:r>
      <w:r>
        <w:tab/>
        <w:t xml:space="preserve">The conciliation officer is not to direct payment in respect of statutory expenses — </w:t>
      </w:r>
    </w:p>
    <w:p>
      <w:pPr>
        <w:pStyle w:val="Indenta"/>
      </w:pPr>
      <w:r>
        <w:tab/>
        <w:t>(a)</w:t>
      </w:r>
      <w:r>
        <w:tab/>
        <w:t>of an amount that exceeds 5% of the prescribed amount; or</w:t>
      </w:r>
    </w:p>
    <w:p>
      <w:pPr>
        <w:pStyle w:val="Indenta"/>
      </w:pPr>
      <w:r>
        <w:tab/>
        <w:t>(b)</w:t>
      </w:r>
      <w:r>
        <w:tab/>
        <w:t>if 2 or more directions are given: of amounts the aggregate of which exceeds 5% of the prescribed amount.</w:t>
      </w:r>
    </w:p>
    <w:p>
      <w:pPr>
        <w:pStyle w:val="Subsection"/>
      </w:pPr>
      <w:r>
        <w:lastRenderedPageBreak/>
        <w:tab/>
        <w:t>(6)</w:t>
      </w:r>
      <w:r>
        <w:tab/>
        <w:t xml:space="preserve">A payment made by a party in accordance with a direction under subsection (2) or (4) — </w:t>
      </w:r>
    </w:p>
    <w:p>
      <w:pPr>
        <w:pStyle w:val="Indenta"/>
      </w:pPr>
      <w:r>
        <w:tab/>
        <w:t>(a)</w:t>
      </w:r>
      <w:r>
        <w:tab/>
        <w:t>is not an admission of liability by the party; and</w:t>
      </w:r>
    </w:p>
    <w:p>
      <w:pPr>
        <w:pStyle w:val="Indenta"/>
        <w:keepNext/>
        <w:keepLines/>
      </w:pPr>
      <w:r>
        <w:tab/>
        <w:t>(b)</w:t>
      </w:r>
      <w:r>
        <w:tab/>
        <w:t>does not prevent a question of liability from being heard and determined on an application under section 58 or otherwise under this Act as if the payment had not been made.</w:t>
      </w:r>
    </w:p>
    <w:p>
      <w:pPr>
        <w:pStyle w:val="Subsection"/>
      </w:pPr>
      <w:r>
        <w:tab/>
        <w:t>(7)</w:t>
      </w:r>
      <w:r>
        <w:tab/>
        <w:t>The conciliation officer, or another conciliation officer, may, by further direction, vary, suspend or revoke a direction previously given under subsection (2) or (4) or this subsection.</w:t>
      </w:r>
    </w:p>
    <w:p>
      <w:pPr>
        <w:pStyle w:val="Subsection"/>
      </w:pPr>
      <w:r>
        <w:tab/>
        <w:t>(8)</w:t>
      </w:r>
      <w:r>
        <w:tab/>
        <w:t>When a direction under subsection (2) or (4) is revoked the obligation to pay compensation under the direction ceases.</w:t>
      </w:r>
    </w:p>
    <w:p>
      <w:pPr>
        <w:pStyle w:val="Subsection"/>
      </w:pPr>
      <w:r>
        <w:tab/>
        <w:t>(9)</w:t>
      </w:r>
      <w:r>
        <w:tab/>
        <w:t>The revocation of a direction given under subsection (2) or (4) does not affect the requirement to pay the compensation before the revocation.</w:t>
      </w:r>
    </w:p>
    <w:p>
      <w:pPr>
        <w:pStyle w:val="Footnotesection"/>
      </w:pPr>
      <w:r>
        <w:tab/>
        <w:t>[Section 182K inserted: No. 31 of 2011 s. 6.]</w:t>
      </w:r>
    </w:p>
    <w:p>
      <w:pPr>
        <w:pStyle w:val="Heading5"/>
      </w:pPr>
      <w:bookmarkStart w:id="732" w:name="_Toc131514619"/>
      <w:r>
        <w:rPr>
          <w:rStyle w:val="CharSectno"/>
        </w:rPr>
        <w:t>182L</w:t>
      </w:r>
      <w:r>
        <w:t>.</w:t>
      </w:r>
      <w:r>
        <w:tab/>
        <w:t>Suspending and reducing weekly payments, conciliation officers’ powers for etc.</w:t>
      </w:r>
      <w:bookmarkEnd w:id="732"/>
    </w:p>
    <w:p>
      <w:pPr>
        <w:pStyle w:val="Subsection"/>
      </w:pPr>
      <w:r>
        <w:tab/>
        <w:t>(1)</w:t>
      </w:r>
      <w:r>
        <w:tab/>
        <w:t>This section applies in relation to the employer and worker who are parties to the dispute in a case where weekly payments are being made otherwise than by direction under section 182K.</w:t>
      </w:r>
    </w:p>
    <w:p>
      <w:pPr>
        <w:pStyle w:val="Subsection"/>
      </w:pPr>
      <w:r>
        <w:tab/>
        <w:t>(2)</w:t>
      </w:r>
      <w:r>
        <w:tab/>
        <w:t>The conciliation officer may direct that weekly payments of compensation are to be suspended or reduced if the conciliation officer considers that it would be reasonable to expect that the resolution or determination of the dispute under this Part would result in the payments being suspended or reduced.</w:t>
      </w:r>
    </w:p>
    <w:p>
      <w:pPr>
        <w:pStyle w:val="Subsection"/>
      </w:pPr>
      <w:r>
        <w:tab/>
        <w:t>(3)</w:t>
      </w:r>
      <w:r>
        <w:tab/>
        <w:t xml:space="preserve">The conciliation officer is not to direct the suspension or reduction of weekly payments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lastRenderedPageBreak/>
        <w:tab/>
        <w:t>(4)</w:t>
      </w:r>
      <w:r>
        <w:tab/>
        <w:t>The conciliation officer, or another conciliation officer, may, by further direction, amend, suspend or revoke a direction previously given under subsection (2) or this subsection.</w:t>
      </w:r>
    </w:p>
    <w:p>
      <w:pPr>
        <w:pStyle w:val="Subsection"/>
        <w:keepNext/>
      </w:pPr>
      <w:r>
        <w:tab/>
        <w:t>(5)</w:t>
      </w:r>
      <w:r>
        <w:tab/>
        <w:t xml:space="preserve">When a direction suspending weekly payments is revoked —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conciliation officer directs otherwise.</w:t>
      </w:r>
    </w:p>
    <w:p>
      <w:pPr>
        <w:pStyle w:val="Subsection"/>
      </w:pPr>
      <w:r>
        <w:tab/>
        <w:t>(6)</w:t>
      </w:r>
      <w:r>
        <w:tab/>
        <w:t xml:space="preserve">When a direction reducing weekly payments is revoked — </w:t>
      </w:r>
    </w:p>
    <w:p>
      <w:pPr>
        <w:pStyle w:val="Indenta"/>
      </w:pPr>
      <w:r>
        <w:tab/>
        <w:t>(a)</w:t>
      </w:r>
      <w:r>
        <w:tab/>
        <w:t>the obligation to make weekly payments as if the direction had not been made recommences from the date on which the direction is revoked; and</w:t>
      </w:r>
    </w:p>
    <w:p>
      <w:pPr>
        <w:pStyle w:val="Indenta"/>
      </w:pPr>
      <w:r>
        <w:tab/>
        <w:t>(b)</w:t>
      </w:r>
      <w:r>
        <w:tab/>
        <w:t>the worker is to be paid any amount of weekly payments to which the worker would have been entitled if the direction had not been made unless the conciliation officer directs otherwise.</w:t>
      </w:r>
    </w:p>
    <w:p>
      <w:pPr>
        <w:pStyle w:val="Footnotesection"/>
      </w:pPr>
      <w:r>
        <w:tab/>
        <w:t>[Section 182L inserted: No. 31 of 2011 s. 6.]</w:t>
      </w:r>
    </w:p>
    <w:p>
      <w:pPr>
        <w:pStyle w:val="Heading5"/>
      </w:pPr>
      <w:bookmarkStart w:id="733" w:name="_Toc131514620"/>
      <w:r>
        <w:rPr>
          <w:rStyle w:val="CharSectno"/>
        </w:rPr>
        <w:t>182M</w:t>
      </w:r>
      <w:r>
        <w:t>.</w:t>
      </w:r>
      <w:r>
        <w:tab/>
        <w:t>Provisions about directions</w:t>
      </w:r>
      <w:bookmarkEnd w:id="733"/>
    </w:p>
    <w:p>
      <w:pPr>
        <w:pStyle w:val="Subsection"/>
      </w:pPr>
      <w:r>
        <w:tab/>
        <w:t>(1)</w:t>
      </w:r>
      <w:r>
        <w:tab/>
        <w:t xml:space="preserve">In this section — </w:t>
      </w:r>
    </w:p>
    <w:p>
      <w:pPr>
        <w:pStyle w:val="Defstart"/>
      </w:pPr>
      <w:r>
        <w:tab/>
      </w:r>
      <w:r>
        <w:rPr>
          <w:rStyle w:val="CharDefText"/>
        </w:rPr>
        <w:t>direction</w:t>
      </w:r>
      <w:r>
        <w:t xml:space="preserve"> means a direction under section 182K(2), (4) or (6) or 182L(2) or (4).</w:t>
      </w:r>
    </w:p>
    <w:p>
      <w:pPr>
        <w:pStyle w:val="Subsection"/>
      </w:pPr>
      <w:r>
        <w:tab/>
        <w:t>(2)</w:t>
      </w:r>
      <w:r>
        <w:tab/>
        <w:t>The conciliation officer is not required to give reasons in writing for a direction.</w:t>
      </w:r>
    </w:p>
    <w:p>
      <w:pPr>
        <w:pStyle w:val="Subsection"/>
      </w:pPr>
      <w:r>
        <w:tab/>
        <w:t>(3)</w:t>
      </w:r>
      <w:r>
        <w:tab/>
        <w:t>A direction can be given subject to conditions.</w:t>
      </w:r>
    </w:p>
    <w:p>
      <w:pPr>
        <w:pStyle w:val="Subsection"/>
      </w:pPr>
      <w:r>
        <w:tab/>
        <w:t>(4)</w:t>
      </w:r>
      <w:r>
        <w:tab/>
        <w:t>A decision of the conciliation officer to give, or not to give, a direction is not a determination of liability.</w:t>
      </w:r>
    </w:p>
    <w:p>
      <w:pPr>
        <w:pStyle w:val="Subsection"/>
      </w:pPr>
      <w:r>
        <w:tab/>
        <w:t>(5)</w:t>
      </w:r>
      <w:r>
        <w:tab/>
        <w:t>The conciliation rules may regulate the giving of directions.</w:t>
      </w:r>
    </w:p>
    <w:p>
      <w:pPr>
        <w:pStyle w:val="Footnotesection"/>
      </w:pPr>
      <w:r>
        <w:tab/>
        <w:t>[Section 182M inserted: No. 31 of 2011 s. 6.]</w:t>
      </w:r>
    </w:p>
    <w:p>
      <w:pPr>
        <w:pStyle w:val="Heading5"/>
      </w:pPr>
      <w:bookmarkStart w:id="734" w:name="_Toc131514621"/>
      <w:r>
        <w:rPr>
          <w:rStyle w:val="CharSectno"/>
        </w:rPr>
        <w:lastRenderedPageBreak/>
        <w:t>182N</w:t>
      </w:r>
      <w:r>
        <w:t>.</w:t>
      </w:r>
      <w:r>
        <w:tab/>
        <w:t>Finalising orders</w:t>
      </w:r>
      <w:bookmarkEnd w:id="734"/>
    </w:p>
    <w:p>
      <w:pPr>
        <w:pStyle w:val="Subsection"/>
      </w:pPr>
      <w:r>
        <w:tab/>
        <w:t>(1)</w:t>
      </w:r>
      <w:r>
        <w:tab/>
        <w:t>The conciliation officer may, with the consent of the parties to the dispute, issue an order of the kind that an arbitrator could issue setting out matters that have been agreed to during conciliation.</w:t>
      </w:r>
    </w:p>
    <w:p>
      <w:pPr>
        <w:pStyle w:val="Subsection"/>
      </w:pPr>
      <w:r>
        <w:tab/>
        <w:t>(2)</w:t>
      </w:r>
      <w:r>
        <w:tab/>
        <w:t xml:space="preserve">An order is not to be made under this section unless — </w:t>
      </w:r>
    </w:p>
    <w:p>
      <w:pPr>
        <w:pStyle w:val="Indenta"/>
      </w:pPr>
      <w:r>
        <w:tab/>
        <w:t>(a)</w:t>
      </w:r>
      <w:r>
        <w:tab/>
        <w:t>the parties have lodged with the Conciliation Service a memorandum of consent that sets out the terms of the order consented to by the parties; and</w:t>
      </w:r>
    </w:p>
    <w:p>
      <w:pPr>
        <w:pStyle w:val="Indenta"/>
      </w:pPr>
      <w:r>
        <w:tab/>
        <w:t>(b)</w:t>
      </w:r>
      <w:r>
        <w:tab/>
        <w:t xml:space="preserve">the conciliation officer is satisfied that — </w:t>
      </w:r>
    </w:p>
    <w:p>
      <w:pPr>
        <w:pStyle w:val="Indenti"/>
      </w:pPr>
      <w:r>
        <w:tab/>
        <w:t>(i)</w:t>
      </w:r>
      <w:r>
        <w:tab/>
        <w:t>the parties have given their consent by free exercise of their will and without being induced by fraud or misrepresentation; and</w:t>
      </w:r>
    </w:p>
    <w:p>
      <w:pPr>
        <w:pStyle w:val="Indenti"/>
      </w:pPr>
      <w:r>
        <w:tab/>
        <w:t>(ii)</w:t>
      </w:r>
      <w:r>
        <w:tab/>
        <w:t>the parties understand the effect of giving their consent; and</w:t>
      </w:r>
    </w:p>
    <w:p>
      <w:pPr>
        <w:pStyle w:val="Indenti"/>
      </w:pPr>
      <w:r>
        <w:tab/>
        <w:t>(iii)</w:t>
      </w:r>
      <w:r>
        <w:tab/>
        <w:t>the terms of the order consented to by the parties are terms that can be given effect to under this Act.</w:t>
      </w:r>
    </w:p>
    <w:p>
      <w:pPr>
        <w:pStyle w:val="Footnotesection"/>
      </w:pPr>
      <w:r>
        <w:tab/>
        <w:t>[Section 182N inserted: No. 31 of 2011 s. 6.]</w:t>
      </w:r>
    </w:p>
    <w:p>
      <w:pPr>
        <w:pStyle w:val="Heading5"/>
      </w:pPr>
      <w:bookmarkStart w:id="735" w:name="_Toc131514622"/>
      <w:r>
        <w:rPr>
          <w:rStyle w:val="CharSectno"/>
        </w:rPr>
        <w:t>182O</w:t>
      </w:r>
      <w:r>
        <w:t>.</w:t>
      </w:r>
      <w:r>
        <w:tab/>
        <w:t>Conclusion of conciliation and certificate of outcome</w:t>
      </w:r>
      <w:bookmarkEnd w:id="735"/>
    </w:p>
    <w:p>
      <w:pPr>
        <w:pStyle w:val="Subsection"/>
      </w:pPr>
      <w:r>
        <w:tab/>
        <w:t>(1)</w:t>
      </w:r>
      <w:r>
        <w:tab/>
        <w:t xml:space="preserve">Conciliation of the dispute ends when — </w:t>
      </w:r>
    </w:p>
    <w:p>
      <w:pPr>
        <w:pStyle w:val="Indenta"/>
      </w:pPr>
      <w:r>
        <w:tab/>
        <w:t>(a)</w:t>
      </w:r>
      <w:r>
        <w:tab/>
        <w:t>agreement is reached by the parties on all matters in dispute; or</w:t>
      </w:r>
    </w:p>
    <w:p>
      <w:pPr>
        <w:pStyle w:val="Indenta"/>
      </w:pPr>
      <w:r>
        <w:tab/>
        <w:t>(b)</w:t>
      </w:r>
      <w:r>
        <w:tab/>
        <w:t>the conciliation officer believes that there is minimal chance of agreement or further agreement, as the case may be, being reached; or</w:t>
      </w:r>
    </w:p>
    <w:p>
      <w:pPr>
        <w:pStyle w:val="Indenta"/>
      </w:pPr>
      <w:r>
        <w:tab/>
        <w:t>(c)</w:t>
      </w:r>
      <w:r>
        <w:tab/>
        <w:t>the time limit for conciliation, as provided or extended under the conciliation rules, has expired.</w:t>
      </w:r>
    </w:p>
    <w:p>
      <w:pPr>
        <w:pStyle w:val="Subsection"/>
        <w:keepNext/>
      </w:pPr>
      <w:r>
        <w:lastRenderedPageBreak/>
        <w:tab/>
        <w:t>(2)</w:t>
      </w:r>
      <w:r>
        <w:tab/>
        <w:t xml:space="preserve">At the end of conciliation of the dispute the conciliation officer is to issue a certificate in accordance with the conciliation rules setting out — </w:t>
      </w:r>
    </w:p>
    <w:p>
      <w:pPr>
        <w:pStyle w:val="Indenta"/>
      </w:pPr>
      <w:r>
        <w:tab/>
        <w:t>(a)</w:t>
      </w:r>
      <w:r>
        <w:tab/>
        <w:t>the outcome of conciliation; and</w:t>
      </w:r>
    </w:p>
    <w:p>
      <w:pPr>
        <w:pStyle w:val="Indenta"/>
      </w:pPr>
      <w:r>
        <w:tab/>
        <w:t>(b)</w:t>
      </w:r>
      <w:r>
        <w:tab/>
        <w:t>the terms of any direction currently in force under section 182K or 182L.</w:t>
      </w:r>
    </w:p>
    <w:p>
      <w:pPr>
        <w:pStyle w:val="Subsection"/>
      </w:pPr>
      <w:r>
        <w:tab/>
        <w:t>(3)</w:t>
      </w:r>
      <w:r>
        <w:tab/>
        <w:t xml:space="preserve">The terms of an agreement reached by the parties are not to be included in the conciliation officer’s certificate unless they are terms that — </w:t>
      </w:r>
    </w:p>
    <w:p>
      <w:pPr>
        <w:pStyle w:val="Indenta"/>
      </w:pPr>
      <w:r>
        <w:tab/>
        <w:t>(a)</w:t>
      </w:r>
      <w:r>
        <w:tab/>
        <w:t xml:space="preserve">are of the kind that an arbitrator could determine; and </w:t>
      </w:r>
    </w:p>
    <w:p>
      <w:pPr>
        <w:pStyle w:val="Indenta"/>
      </w:pPr>
      <w:r>
        <w:tab/>
        <w:t>(b)</w:t>
      </w:r>
      <w:r>
        <w:tab/>
        <w:t>can be given effect to under this Act.</w:t>
      </w:r>
    </w:p>
    <w:p>
      <w:pPr>
        <w:pStyle w:val="Footnotesection"/>
      </w:pPr>
      <w:r>
        <w:tab/>
        <w:t>[Section 182O inserted: No. 31 of 2011 s. 6.]</w:t>
      </w:r>
    </w:p>
    <w:p>
      <w:pPr>
        <w:pStyle w:val="Heading4"/>
      </w:pPr>
      <w:bookmarkStart w:id="736" w:name="_Toc100238645"/>
      <w:bookmarkStart w:id="737" w:name="_Toc100239259"/>
      <w:bookmarkStart w:id="738" w:name="_Toc100562553"/>
      <w:bookmarkStart w:id="739" w:name="_Toc107310189"/>
      <w:bookmarkStart w:id="740" w:name="_Toc107480043"/>
      <w:bookmarkStart w:id="741" w:name="_Toc131501409"/>
      <w:bookmarkStart w:id="742" w:name="_Toc131502027"/>
      <w:bookmarkStart w:id="743" w:name="_Toc131514623"/>
      <w:r>
        <w:t>Subdivision 3 — Practice and procedure</w:t>
      </w:r>
      <w:bookmarkEnd w:id="736"/>
      <w:bookmarkEnd w:id="737"/>
      <w:bookmarkEnd w:id="738"/>
      <w:bookmarkEnd w:id="739"/>
      <w:bookmarkEnd w:id="740"/>
      <w:bookmarkEnd w:id="741"/>
      <w:bookmarkEnd w:id="742"/>
      <w:bookmarkEnd w:id="743"/>
    </w:p>
    <w:p>
      <w:pPr>
        <w:pStyle w:val="Footnoteheading"/>
      </w:pPr>
      <w:r>
        <w:tab/>
        <w:t>[Heading inserted: No. 31 of 2011 s. 6.]</w:t>
      </w:r>
    </w:p>
    <w:p>
      <w:pPr>
        <w:pStyle w:val="Heading5"/>
      </w:pPr>
      <w:bookmarkStart w:id="744" w:name="_Toc131514624"/>
      <w:r>
        <w:rPr>
          <w:rStyle w:val="CharSectno"/>
        </w:rPr>
        <w:t>182P</w:t>
      </w:r>
      <w:r>
        <w:t>.</w:t>
      </w:r>
      <w:r>
        <w:tab/>
        <w:t>Obtaining information</w:t>
      </w:r>
      <w:bookmarkEnd w:id="744"/>
    </w:p>
    <w:p>
      <w:pPr>
        <w:pStyle w:val="Subsection"/>
      </w:pPr>
      <w:r>
        <w:tab/>
      </w:r>
      <w:r>
        <w:tab/>
        <w:t>The conciliation officer is not bound by the rules of evidence and may use any means the conciliation officer thinks fit in order to be informed about any matter.</w:t>
      </w:r>
    </w:p>
    <w:p>
      <w:pPr>
        <w:pStyle w:val="Footnotesection"/>
      </w:pPr>
      <w:r>
        <w:tab/>
        <w:t>[Section 182P inserted: No. 31 of 2011 s. 6.]</w:t>
      </w:r>
    </w:p>
    <w:p>
      <w:pPr>
        <w:pStyle w:val="Heading5"/>
      </w:pPr>
      <w:bookmarkStart w:id="745" w:name="_Toc131514625"/>
      <w:r>
        <w:rPr>
          <w:rStyle w:val="CharSectno"/>
        </w:rPr>
        <w:t>182Q</w:t>
      </w:r>
      <w:r>
        <w:t>.</w:t>
      </w:r>
      <w:r>
        <w:tab/>
        <w:t>Scope of conciliation</w:t>
      </w:r>
      <w:bookmarkEnd w:id="745"/>
    </w:p>
    <w:p>
      <w:pPr>
        <w:pStyle w:val="Subsection"/>
      </w:pPr>
      <w:r>
        <w:tab/>
        <w:t>(1)</w:t>
      </w:r>
      <w:r>
        <w:tab/>
        <w:t>The matters that may be discussed and agreed on at conciliation or the subject of a direction under section 182K or 182L are not necessarily limited by the extent of the dispute as detailed in the application for conciliation.</w:t>
      </w:r>
    </w:p>
    <w:p>
      <w:pPr>
        <w:pStyle w:val="Subsection"/>
      </w:pPr>
      <w:r>
        <w:tab/>
        <w:t>(2)</w:t>
      </w:r>
      <w:r>
        <w:tab/>
        <w:t>However subsection (1) does not prevent the conciliation officer from determining that a matter is beyond the scope of the application for conciliation and should be the subject of another application for conciliation.</w:t>
      </w:r>
    </w:p>
    <w:p>
      <w:pPr>
        <w:pStyle w:val="Footnotesection"/>
      </w:pPr>
      <w:r>
        <w:tab/>
        <w:t>[Section 182Q inserted: No. 31 of 2011 s. 6.]</w:t>
      </w:r>
    </w:p>
    <w:p>
      <w:pPr>
        <w:pStyle w:val="Heading5"/>
      </w:pPr>
      <w:bookmarkStart w:id="746" w:name="_Toc131514626"/>
      <w:r>
        <w:rPr>
          <w:rStyle w:val="CharSectno"/>
        </w:rPr>
        <w:lastRenderedPageBreak/>
        <w:t>182R</w:t>
      </w:r>
      <w:r>
        <w:t>.</w:t>
      </w:r>
      <w:r>
        <w:tab/>
        <w:t>Conciliation officer may provide information to another party or a medical practitioner</w:t>
      </w:r>
      <w:bookmarkEnd w:id="746"/>
    </w:p>
    <w:p>
      <w:pPr>
        <w:pStyle w:val="Subsection"/>
      </w:pPr>
      <w:r>
        <w:tab/>
        <w:t>(1)</w:t>
      </w:r>
      <w:r>
        <w:tab/>
        <w:t xml:space="preserve">In this section — </w:t>
      </w:r>
    </w:p>
    <w:p>
      <w:pPr>
        <w:pStyle w:val="Defstart"/>
      </w:pPr>
      <w:r>
        <w:tab/>
      </w:r>
      <w:r>
        <w:rPr>
          <w:rStyle w:val="CharDefText"/>
        </w:rPr>
        <w:t>information</w:t>
      </w:r>
      <w:r>
        <w:t xml:space="preserve"> includes a document or other material.</w:t>
      </w:r>
    </w:p>
    <w:p>
      <w:pPr>
        <w:pStyle w:val="Subsection"/>
      </w:pPr>
      <w:r>
        <w:tab/>
        <w:t>(2)</w:t>
      </w:r>
      <w:r>
        <w:tab/>
        <w:t xml:space="preserve">When information is provided to the conciliation officer by a party to the dispute or another person (whether or not pursuant to a requirement by the conciliation officer), the conciliation officer may provide the information to — </w:t>
      </w:r>
    </w:p>
    <w:p>
      <w:pPr>
        <w:pStyle w:val="Indenta"/>
      </w:pPr>
      <w:r>
        <w:tab/>
        <w:t>(a)</w:t>
      </w:r>
      <w:r>
        <w:tab/>
        <w:t>any other party to the dispute; or</w:t>
      </w:r>
    </w:p>
    <w:p>
      <w:pPr>
        <w:pStyle w:val="Indenta"/>
      </w:pPr>
      <w:r>
        <w:tab/>
        <w:t>(b)</w:t>
      </w:r>
      <w:r>
        <w:tab/>
        <w:t>any other party’s legal representative or registered agent; or</w:t>
      </w:r>
    </w:p>
    <w:p>
      <w:pPr>
        <w:pStyle w:val="Indenta"/>
      </w:pPr>
      <w:r>
        <w:tab/>
        <w:t>(c)</w:t>
      </w:r>
      <w:r>
        <w:tab/>
        <w:t>a medical practitioner (including a medical assessment panel).</w:t>
      </w:r>
    </w:p>
    <w:p>
      <w:pPr>
        <w:pStyle w:val="Subsection"/>
      </w:pPr>
      <w:r>
        <w:tab/>
        <w:t>(3)</w:t>
      </w:r>
      <w:r>
        <w:tab/>
        <w:t>The conciliation officer may, when providing information to another person, prohibit or restrict the disclosure of the information to another person.</w:t>
      </w:r>
    </w:p>
    <w:p>
      <w:pPr>
        <w:pStyle w:val="Footnotesection"/>
      </w:pPr>
      <w:r>
        <w:tab/>
        <w:t>[Section 182R inserted: No. 31 of 2011 s. 6.]</w:t>
      </w:r>
    </w:p>
    <w:p>
      <w:pPr>
        <w:pStyle w:val="Heading5"/>
      </w:pPr>
      <w:bookmarkStart w:id="747" w:name="_Toc131514627"/>
      <w:r>
        <w:rPr>
          <w:rStyle w:val="CharSectno"/>
        </w:rPr>
        <w:t>182S</w:t>
      </w:r>
      <w:r>
        <w:t>.</w:t>
      </w:r>
      <w:r>
        <w:tab/>
        <w:t>Representation</w:t>
      </w:r>
      <w:bookmarkEnd w:id="747"/>
    </w:p>
    <w:p>
      <w:pPr>
        <w:pStyle w:val="Subsection"/>
      </w:pPr>
      <w:r>
        <w:tab/>
        <w:t>(1)</w:t>
      </w:r>
      <w:r>
        <w:tab/>
        <w:t xml:space="preserve">At any meeting with the conciliation officer or conciliation conference, a party to the dispute may appear in person or may be represented by — </w:t>
      </w:r>
    </w:p>
    <w:p>
      <w:pPr>
        <w:pStyle w:val="Indenta"/>
      </w:pPr>
      <w:r>
        <w:tab/>
        <w:t>(a)</w:t>
      </w:r>
      <w:r>
        <w:tab/>
        <w:t>a legal practitioner; or</w:t>
      </w:r>
    </w:p>
    <w:p>
      <w:pPr>
        <w:pStyle w:val="Indenta"/>
      </w:pPr>
      <w:r>
        <w:tab/>
        <w:t>(b)</w:t>
      </w:r>
      <w:r>
        <w:tab/>
        <w:t>a registered agent; or</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the </w:t>
      </w:r>
      <w:r>
        <w:rPr>
          <w:i/>
          <w:iCs/>
        </w:rPr>
        <w:t>Public Sector Management Act 1994</w:t>
      </w:r>
      <w:r>
        <w:t xml:space="preserve"> section 3(1), a public sector employee authorised by the party to represent the party.</w:t>
      </w:r>
    </w:p>
    <w:p>
      <w:pPr>
        <w:pStyle w:val="Subsection"/>
      </w:pPr>
      <w:r>
        <w:tab/>
        <w:t>(2)</w:t>
      </w:r>
      <w:r>
        <w:tab/>
        <w:t xml:space="preserve">The conciliation officer may refuse to permit an employer or an insurer to be represented by a legal practitioner or registered </w:t>
      </w:r>
      <w:r>
        <w:lastRenderedPageBreak/>
        <w:t>agent if a party who is a worker is not represented by a legal practitioner or registered agent.</w:t>
      </w:r>
    </w:p>
    <w:p>
      <w:pPr>
        <w:pStyle w:val="Subsection"/>
      </w:pPr>
      <w:r>
        <w:tab/>
        <w:t>(3)</w:t>
      </w:r>
      <w:r>
        <w:tab/>
        <w:t>A prohibited person cannot represent a party.</w:t>
      </w:r>
    </w:p>
    <w:p>
      <w:pPr>
        <w:pStyle w:val="Ednotesubsection"/>
      </w:pPr>
      <w:r>
        <w:tab/>
        <w:t>[(4)</w:t>
      </w:r>
      <w:r>
        <w:tab/>
        <w:t>deleted]</w:t>
      </w:r>
    </w:p>
    <w:p>
      <w:pPr>
        <w:pStyle w:val="Subsection"/>
      </w:pPr>
      <w:r>
        <w:tab/>
        <w:t>(5)</w:t>
      </w:r>
      <w:r>
        <w:tab/>
        <w:t>The conciliation officer may refuse to permit a party to be represented by an agent if of the opinion that the agent does not have sufficient authority to make binding decisions on behalf of the party.</w:t>
      </w:r>
    </w:p>
    <w:p>
      <w:pPr>
        <w:pStyle w:val="Subsection"/>
      </w:pPr>
      <w:r>
        <w:tab/>
        <w:t>(6)</w:t>
      </w:r>
      <w:r>
        <w:tab/>
        <w:t>The regulations or the conciliation rules may prevent specified persons, or persons of a specified class, from representing a party.</w:t>
      </w:r>
    </w:p>
    <w:p>
      <w:pPr>
        <w:pStyle w:val="Footnotesection"/>
      </w:pPr>
      <w:r>
        <w:tab/>
        <w:t>[Section 182S inserted: No. 31 of 2011 s. 6; amended: No. 9 of 2022 s. 413.]</w:t>
      </w:r>
    </w:p>
    <w:p>
      <w:pPr>
        <w:pStyle w:val="Heading5"/>
      </w:pPr>
      <w:bookmarkStart w:id="748" w:name="_Toc131514628"/>
      <w:r>
        <w:rPr>
          <w:rStyle w:val="CharSectno"/>
        </w:rPr>
        <w:t>182T</w:t>
      </w:r>
      <w:r>
        <w:t>.</w:t>
      </w:r>
      <w:r>
        <w:tab/>
        <w:t>Litigation guardians, rules about</w:t>
      </w:r>
      <w:bookmarkEnd w:id="748"/>
    </w:p>
    <w:p>
      <w:pPr>
        <w:pStyle w:val="Subsection"/>
      </w:pPr>
      <w:r>
        <w:tab/>
        <w:t>(1)</w:t>
      </w:r>
      <w:r>
        <w:tab/>
        <w:t>The conciliation rules may provide that, if a child is a party to a dispute, the conciliation officer may appoint a litigation guardian to act on the child’s behalf.</w:t>
      </w:r>
    </w:p>
    <w:p>
      <w:pPr>
        <w:pStyle w:val="Subsection"/>
      </w:pPr>
      <w:r>
        <w:tab/>
        <w:t>(2)</w:t>
      </w:r>
      <w:r>
        <w:tab/>
        <w:t xml:space="preserve">The conciliation rules may provide that, if a party to a dispute is under a legal disability (otherwise than because of being a child), the conciliation officer may defer making efforts to resolve the dispute until a litigation guardian is appointed to act on the party’s behalf, whether under the </w:t>
      </w:r>
      <w:r>
        <w:rPr>
          <w:i/>
        </w:rPr>
        <w:t>Guardianship and Administration Act </w:t>
      </w:r>
      <w:r>
        <w:rPr>
          <w:i/>
          <w:iCs/>
        </w:rPr>
        <w:t>1990</w:t>
      </w:r>
      <w:r>
        <w:t xml:space="preserve"> or otherwise.</w:t>
      </w:r>
    </w:p>
    <w:p>
      <w:pPr>
        <w:pStyle w:val="Footnotesection"/>
      </w:pPr>
      <w:r>
        <w:tab/>
        <w:t>[Section 182T inserted: No. 31 of 2011 s. 6.]</w:t>
      </w:r>
    </w:p>
    <w:p>
      <w:pPr>
        <w:pStyle w:val="Heading5"/>
      </w:pPr>
      <w:bookmarkStart w:id="749" w:name="_Toc131514629"/>
      <w:r>
        <w:rPr>
          <w:rStyle w:val="CharSectno"/>
        </w:rPr>
        <w:t>182U</w:t>
      </w:r>
      <w:r>
        <w:t>.</w:t>
      </w:r>
      <w:r>
        <w:tab/>
        <w:t>Interpreters and assistants</w:t>
      </w:r>
      <w:bookmarkEnd w:id="749"/>
    </w:p>
    <w:p>
      <w:pPr>
        <w:pStyle w:val="Subsection"/>
      </w:pPr>
      <w:r>
        <w:tab/>
        <w:t>(1)</w:t>
      </w:r>
      <w:r>
        <w:tab/>
        <w:t>Unless the conciliation officer directs otherwise, a party to the dispute or the party’s representative may be assisted in the course of a meeting or conciliation conference by an interpreter or another person necessary or desirable to make the meeting or conciliation conference intelligible to that party and to enable the party to communicate adequately.</w:t>
      </w:r>
    </w:p>
    <w:p>
      <w:pPr>
        <w:pStyle w:val="Subsection"/>
      </w:pPr>
      <w:r>
        <w:lastRenderedPageBreak/>
        <w:tab/>
        <w:t>(2)</w:t>
      </w:r>
      <w:r>
        <w:tab/>
        <w:t>A person may present a written submission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10"/>
        <w:ind w:left="890" w:hanging="890"/>
      </w:pPr>
      <w:r>
        <w:tab/>
        <w:t>[Section 182U inserted: No. 31 of 2011 s. 6.]</w:t>
      </w:r>
    </w:p>
    <w:p>
      <w:pPr>
        <w:pStyle w:val="Heading5"/>
      </w:pPr>
      <w:bookmarkStart w:id="750" w:name="_Toc131514630"/>
      <w:r>
        <w:rPr>
          <w:rStyle w:val="CharSectno"/>
        </w:rPr>
        <w:t>182V</w:t>
      </w:r>
      <w:r>
        <w:t>.</w:t>
      </w:r>
      <w:r>
        <w:tab/>
        <w:t>Ways of conducting conciliation</w:t>
      </w:r>
      <w:bookmarkEnd w:id="750"/>
    </w:p>
    <w:p>
      <w:pPr>
        <w:pStyle w:val="Subsection"/>
      </w:pPr>
      <w:r>
        <w:tab/>
        <w:t>(1)</w:t>
      </w:r>
      <w:r>
        <w:tab/>
        <w:t>If the conciliation officer thinks it appropriate, the conciliation officer is to allow the parties and their representatives (or one or more of them) to participate in a meeting or conciliation conference by means of telephones, video links, or any other system or method of communication.</w:t>
      </w:r>
    </w:p>
    <w:p>
      <w:pPr>
        <w:pStyle w:val="Subsection"/>
      </w:pPr>
      <w:r>
        <w:tab/>
        <w:t>(2)</w:t>
      </w:r>
      <w:r>
        <w:tab/>
        <w:t>If the conciliation officer thinks it appropriate, the conciliation officer may conduct all or part of a meeting or conciliation conference entirely on the basis of documents without the parties or their representatives attending or participating in a meeting or conciliation conference.</w:t>
      </w:r>
    </w:p>
    <w:p>
      <w:pPr>
        <w:pStyle w:val="Subsection"/>
      </w:pPr>
      <w:r>
        <w:tab/>
        <w:t>(3)</w:t>
      </w:r>
      <w:r>
        <w:tab/>
        <w:t>The conciliation officer may take into account a written submission prepared by a legal practitioner or registered agent acting for a party to a dispute and submitted by or on behalf of the party, whether or not the party is represented by a legal practitioner or registered agent at a meeting or conciliation conference.</w:t>
      </w:r>
    </w:p>
    <w:p>
      <w:pPr>
        <w:pStyle w:val="Footnotesection"/>
        <w:spacing w:before="110"/>
        <w:ind w:left="890" w:hanging="890"/>
      </w:pPr>
      <w:r>
        <w:tab/>
        <w:t>[Section 182V inserted: No. 31 of 2011 s. 6.]</w:t>
      </w:r>
    </w:p>
    <w:p>
      <w:pPr>
        <w:pStyle w:val="Heading5"/>
      </w:pPr>
      <w:bookmarkStart w:id="751" w:name="_Toc131514631"/>
      <w:r>
        <w:rPr>
          <w:rStyle w:val="CharSectno"/>
        </w:rPr>
        <w:t>182W</w:t>
      </w:r>
      <w:r>
        <w:t>.</w:t>
      </w:r>
      <w:r>
        <w:tab/>
        <w:t>Conciliation to be in private</w:t>
      </w:r>
      <w:bookmarkEnd w:id="751"/>
    </w:p>
    <w:p>
      <w:pPr>
        <w:pStyle w:val="Subsection"/>
        <w:keepNext/>
      </w:pPr>
      <w:r>
        <w:tab/>
      </w:r>
      <w:r>
        <w:tab/>
        <w:t xml:space="preserve">Meetings with the conciliation officer and conciliation conference are to be conducted in private unless — </w:t>
      </w:r>
    </w:p>
    <w:p>
      <w:pPr>
        <w:pStyle w:val="Indenta"/>
        <w:spacing w:before="60"/>
      </w:pPr>
      <w:r>
        <w:tab/>
        <w:t>(a)</w:t>
      </w:r>
      <w:r>
        <w:tab/>
        <w:t>the conciliation officer decides that the meeting or conciliation conference should be conducted in public; or</w:t>
      </w:r>
    </w:p>
    <w:p>
      <w:pPr>
        <w:pStyle w:val="Indenta"/>
        <w:spacing w:before="60"/>
      </w:pPr>
      <w:r>
        <w:tab/>
        <w:t>(b)</w:t>
      </w:r>
      <w:r>
        <w:tab/>
        <w:t>the conciliation rules otherwise provide.</w:t>
      </w:r>
    </w:p>
    <w:p>
      <w:pPr>
        <w:pStyle w:val="Footnotesection"/>
      </w:pPr>
      <w:r>
        <w:tab/>
        <w:t>[Section 182W inserted: No. 31 of 2011 s. 6.]</w:t>
      </w:r>
    </w:p>
    <w:p>
      <w:pPr>
        <w:pStyle w:val="Heading5"/>
      </w:pPr>
      <w:bookmarkStart w:id="752" w:name="_Toc131514632"/>
      <w:r>
        <w:rPr>
          <w:rStyle w:val="CharSectno"/>
        </w:rPr>
        <w:lastRenderedPageBreak/>
        <w:t>182X</w:t>
      </w:r>
      <w:r>
        <w:t>.</w:t>
      </w:r>
      <w:r>
        <w:tab/>
        <w:t>Meetings and conferences, notice of and failure to attend</w:t>
      </w:r>
      <w:bookmarkEnd w:id="752"/>
    </w:p>
    <w:p>
      <w:pPr>
        <w:pStyle w:val="Subsection"/>
      </w:pPr>
      <w:r>
        <w:tab/>
        <w:t>(1)</w:t>
      </w:r>
      <w:r>
        <w:tab/>
        <w:t>Notice of the time and place at which a party to the dispute is required to attend a meeting with the conciliation officer is to be given to the party in accordance with the conciliation rules.</w:t>
      </w:r>
    </w:p>
    <w:p>
      <w:pPr>
        <w:pStyle w:val="Subsection"/>
      </w:pPr>
      <w:r>
        <w:tab/>
        <w:t>(2)</w:t>
      </w:r>
      <w:r>
        <w:tab/>
        <w:t xml:space="preserve">Notice of the time and place for a conciliation conference is to be given in accordance with the conciliation rules — </w:t>
      </w:r>
    </w:p>
    <w:p>
      <w:pPr>
        <w:pStyle w:val="Indenta"/>
      </w:pPr>
      <w:r>
        <w:tab/>
        <w:t>(a)</w:t>
      </w:r>
      <w:r>
        <w:tab/>
        <w:t>to each party to the dispute; and</w:t>
      </w:r>
    </w:p>
    <w:p>
      <w:pPr>
        <w:pStyle w:val="Indenta"/>
      </w:pPr>
      <w:r>
        <w:tab/>
        <w:t>(b)</w:t>
      </w:r>
      <w:r>
        <w:tab/>
        <w:t>if the conciliation officer considers that it is appropriate in the circumstances for another person to receive notice of the conference: to that other person.</w:t>
      </w:r>
    </w:p>
    <w:p>
      <w:pPr>
        <w:pStyle w:val="Subsection"/>
      </w:pPr>
      <w:r>
        <w:tab/>
        <w:t>(3)</w:t>
      </w:r>
      <w:r>
        <w:tab/>
        <w:t>If a person, including a party, to whom notice has been given in accordance with the conciliation rules fails to attend a conciliation conference, the conciliation conference may be held in the absence of that person.</w:t>
      </w:r>
    </w:p>
    <w:p>
      <w:pPr>
        <w:pStyle w:val="Subsection"/>
      </w:pPr>
      <w:r>
        <w:tab/>
        <w:t>(4)</w:t>
      </w:r>
      <w:r>
        <w:tab/>
        <w:t>The failure of a party to attend before the conciliation officer when required to do so does not prevent a direction that affects the party from being given under section 182K or 182L.</w:t>
      </w:r>
    </w:p>
    <w:p>
      <w:pPr>
        <w:pStyle w:val="Footnotesection"/>
      </w:pPr>
      <w:r>
        <w:tab/>
        <w:t>[Section 182X inserted: No. 31 of 2011 s. 6.]</w:t>
      </w:r>
    </w:p>
    <w:p>
      <w:pPr>
        <w:pStyle w:val="Heading5"/>
      </w:pPr>
      <w:bookmarkStart w:id="753" w:name="_Toc131514633"/>
      <w:r>
        <w:rPr>
          <w:rStyle w:val="CharSectno"/>
        </w:rPr>
        <w:t>182Y</w:t>
      </w:r>
      <w:r>
        <w:t>.</w:t>
      </w:r>
      <w:r>
        <w:tab/>
        <w:t>Privilege against self-incrimination</w:t>
      </w:r>
      <w:bookmarkEnd w:id="753"/>
    </w:p>
    <w:p>
      <w:pPr>
        <w:pStyle w:val="Subsection"/>
      </w:pPr>
      <w:r>
        <w:tab/>
        <w:t>(1)</w:t>
      </w:r>
      <w:r>
        <w:tab/>
        <w:t>A person is not excused from complying with a requirement under this Division to answer a question or produce a document on the ground that the answer or the production of the document might incriminate the person or render the person liable to a penalty.</w:t>
      </w:r>
    </w:p>
    <w:p>
      <w:pPr>
        <w:pStyle w:val="Subsection"/>
      </w:pPr>
      <w:r>
        <w:tab/>
        <w:t>(2)</w:t>
      </w:r>
      <w:r>
        <w:tab/>
        <w:t xml:space="preserve">However neither — </w:t>
      </w:r>
    </w:p>
    <w:p>
      <w:pPr>
        <w:pStyle w:val="Indenta"/>
      </w:pPr>
      <w:r>
        <w:tab/>
        <w:t>(a)</w:t>
      </w:r>
      <w:r>
        <w:tab/>
        <w:t>an answer given by that person that was given to comply with the requirement; nor</w:t>
      </w:r>
    </w:p>
    <w:p>
      <w:pPr>
        <w:pStyle w:val="Indenta"/>
      </w:pPr>
      <w:r>
        <w:tab/>
        <w:t>(b)</w:t>
      </w:r>
      <w:r>
        <w:tab/>
        <w:t>the fact that a document produced by the person to comply with the requirement was produced,</w:t>
      </w:r>
    </w:p>
    <w:p>
      <w:pPr>
        <w:pStyle w:val="Subsection"/>
      </w:pPr>
      <w:r>
        <w:tab/>
      </w:r>
      <w:r>
        <w:tab/>
        <w:t xml:space="preserve">is admissible in evidence in any criminal proceedings against the person other than proceedings for perjury or for an offence </w:t>
      </w:r>
      <w:r>
        <w:lastRenderedPageBreak/>
        <w:t>against this Act arising out of the false or misleading nature of an answer.</w:t>
      </w:r>
    </w:p>
    <w:p>
      <w:pPr>
        <w:pStyle w:val="Footnotesection"/>
      </w:pPr>
      <w:r>
        <w:tab/>
        <w:t>[Section 182Y inserted: No. 31 of 2011 s. 6.]</w:t>
      </w:r>
    </w:p>
    <w:p>
      <w:pPr>
        <w:pStyle w:val="Heading5"/>
      </w:pPr>
      <w:bookmarkStart w:id="754" w:name="_Toc131514634"/>
      <w:r>
        <w:rPr>
          <w:rStyle w:val="CharSectno"/>
        </w:rPr>
        <w:t>182ZA</w:t>
      </w:r>
      <w:r>
        <w:t>.</w:t>
      </w:r>
      <w:r>
        <w:tab/>
        <w:t>Legal professional privilege in relation to medical reports</w:t>
      </w:r>
      <w:bookmarkEnd w:id="754"/>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or her capacity as a legal practitioner.</w:t>
      </w:r>
    </w:p>
    <w:p>
      <w:pPr>
        <w:pStyle w:val="Subsection"/>
      </w:pPr>
      <w:r>
        <w:tab/>
        <w:t>(2)</w:t>
      </w:r>
      <w:r>
        <w:tab/>
        <w:t>Subsection (1) does not apply in respect of a question that does not relate directly to the treatment, or nature or extent of impairment, or assessment of degree of impairment, of a worker.</w:t>
      </w:r>
    </w:p>
    <w:p>
      <w:pPr>
        <w:pStyle w:val="Subsection"/>
      </w:pPr>
      <w:r>
        <w:tab/>
        <w:t>(3)</w:t>
      </w:r>
      <w:r>
        <w:tab/>
        <w:t xml:space="preserve">A medical report may be produced by the legal practitioner in compliance with a requirement under this Division with the omission of passages that — </w:t>
      </w:r>
    </w:p>
    <w:p>
      <w:pPr>
        <w:pStyle w:val="Indenta"/>
      </w:pPr>
      <w:r>
        <w:tab/>
        <w:t>(a)</w:t>
      </w:r>
      <w:r>
        <w:tab/>
        <w:t>do not relate directly to the treatment, or nature or extent of impairment, or assessment of degree of impairment, of a worker; and</w:t>
      </w:r>
    </w:p>
    <w:p>
      <w:pPr>
        <w:pStyle w:val="Indenta"/>
        <w:keepNext/>
      </w:pPr>
      <w:r>
        <w:tab/>
        <w:t>(b)</w:t>
      </w:r>
      <w:r>
        <w:tab/>
        <w:t>contain a privileged communication made by or to the legal practitioner in his or her capacity as a legal practitioner.</w:t>
      </w:r>
    </w:p>
    <w:p>
      <w:pPr>
        <w:pStyle w:val="Footnotesection"/>
      </w:pPr>
      <w:r>
        <w:tab/>
        <w:t>[Section 182ZA inserted: No. 31 of 2011 s. 6.]</w:t>
      </w:r>
    </w:p>
    <w:p>
      <w:pPr>
        <w:pStyle w:val="Heading5"/>
      </w:pPr>
      <w:bookmarkStart w:id="755" w:name="_Toc131514635"/>
      <w:r>
        <w:rPr>
          <w:rStyle w:val="CharSectno"/>
        </w:rPr>
        <w:t>182ZB</w:t>
      </w:r>
      <w:r>
        <w:t>.</w:t>
      </w:r>
      <w:r>
        <w:tab/>
        <w:t>Other claims of privilege</w:t>
      </w:r>
      <w:bookmarkEnd w:id="755"/>
    </w:p>
    <w:p>
      <w:pPr>
        <w:pStyle w:val="Subsection"/>
      </w:pPr>
      <w:r>
        <w:tab/>
        <w:t>(1)</w:t>
      </w:r>
      <w:r>
        <w:tab/>
        <w:t>Unless it would be contrary to section 182Y or 182ZA, a person is excused from answering a question or producing a document under this Division if the person could not be compelled to answer the question or produce the document in proceedings in the Supreme Court.</w:t>
      </w:r>
    </w:p>
    <w:p>
      <w:pPr>
        <w:pStyle w:val="Subsection"/>
      </w:pPr>
      <w:r>
        <w:lastRenderedPageBreak/>
        <w:tab/>
        <w:t>(2)</w:t>
      </w:r>
      <w:r>
        <w:tab/>
        <w:t>The conciliation officer may require a person to produce a document to the conciliation officer for the purpose of determining whether or not it is a document that the conciliation officer has power to require the person to produce.</w:t>
      </w:r>
    </w:p>
    <w:p>
      <w:pPr>
        <w:pStyle w:val="Footnotesection"/>
      </w:pPr>
      <w:r>
        <w:tab/>
        <w:t>[Section 182ZB inserted: No. 31 of 2011 s. 6.]</w:t>
      </w:r>
    </w:p>
    <w:p>
      <w:pPr>
        <w:pStyle w:val="Heading5"/>
      </w:pPr>
      <w:bookmarkStart w:id="756" w:name="_Toc131514636"/>
      <w:r>
        <w:rPr>
          <w:rStyle w:val="CharSectno"/>
        </w:rPr>
        <w:t>182ZC</w:t>
      </w:r>
      <w:r>
        <w:t>.</w:t>
      </w:r>
      <w:r>
        <w:tab/>
        <w:t>Documents produced, use of etc. by conciliation officer</w:t>
      </w:r>
      <w:bookmarkEnd w:id="756"/>
    </w:p>
    <w:p>
      <w:pPr>
        <w:pStyle w:val="Subsection"/>
        <w:spacing w:before="100"/>
      </w:pPr>
      <w:r>
        <w:tab/>
      </w:r>
      <w:r>
        <w:tab/>
        <w:t>The conciliation officer may inspect any document produced before the conciliation officer, and retain it for as long as the conciliation officer reasonably thinks fit, and make copies of any document or any of its contents.</w:t>
      </w:r>
    </w:p>
    <w:p>
      <w:pPr>
        <w:pStyle w:val="Footnotesection"/>
      </w:pPr>
      <w:r>
        <w:tab/>
        <w:t>[Section 182ZC inserted: No. 31 of 2011 s. 6.]</w:t>
      </w:r>
    </w:p>
    <w:p>
      <w:pPr>
        <w:pStyle w:val="Heading5"/>
      </w:pPr>
      <w:bookmarkStart w:id="757" w:name="_Toc131514637"/>
      <w:r>
        <w:rPr>
          <w:rStyle w:val="CharSectno"/>
        </w:rPr>
        <w:t>182ZD</w:t>
      </w:r>
      <w:r>
        <w:t>.</w:t>
      </w:r>
      <w:r>
        <w:tab/>
        <w:t>Medical dispute may be referred to medical assessment panel</w:t>
      </w:r>
      <w:bookmarkEnd w:id="757"/>
    </w:p>
    <w:p>
      <w:pPr>
        <w:pStyle w:val="Subsection"/>
        <w:spacing w:before="100"/>
      </w:pPr>
      <w:r>
        <w:tab/>
        <w:t>(1)</w:t>
      </w:r>
      <w:r>
        <w:tab/>
        <w:t xml:space="preserve">If permitted by section 145A to do so, the conciliation officer may refer a question as to —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spacing w:before="100"/>
      </w:pPr>
      <w:r>
        <w:tab/>
      </w:r>
      <w:r>
        <w:tab/>
        <w:t>for determination by a medical assessment panel.</w:t>
      </w:r>
    </w:p>
    <w:p>
      <w:pPr>
        <w:pStyle w:val="Subsection"/>
        <w:keepNext/>
        <w:spacing w:before="100"/>
      </w:pPr>
      <w:r>
        <w:tab/>
        <w:t>(2)</w:t>
      </w:r>
      <w:r>
        <w:tab/>
        <w:t xml:space="preserve">Without limiting subsection (1), it applies to — </w:t>
      </w:r>
    </w:p>
    <w:p>
      <w:pPr>
        <w:pStyle w:val="Indenta"/>
      </w:pPr>
      <w:r>
        <w:tab/>
        <w:t>(a)</w:t>
      </w:r>
      <w:r>
        <w:tab/>
        <w:t>questions as to the permanent or other loss of the efficient use of any part or faculty of the body for the purposes of Part III Division 2, or to the degree of that loss; and</w:t>
      </w:r>
    </w:p>
    <w:p>
      <w:pPr>
        <w:pStyle w:val="Indenta"/>
      </w:pPr>
      <w:r>
        <w:tab/>
        <w:t>(b)</w:t>
      </w:r>
      <w:r>
        <w:tab/>
        <w:t>questions as to the degree of disability assessed in accordance with section 93D(2); and</w:t>
      </w:r>
    </w:p>
    <w:p>
      <w:pPr>
        <w:pStyle w:val="Indenta"/>
      </w:pPr>
      <w:r>
        <w:tab/>
        <w:t>(c)</w:t>
      </w:r>
      <w:r>
        <w:tab/>
        <w:t>questions for the purposes of section 31F as to whether a worker has contracted AIDS.</w:t>
      </w:r>
    </w:p>
    <w:p>
      <w:pPr>
        <w:pStyle w:val="Subsection"/>
        <w:spacing w:before="100"/>
      </w:pPr>
      <w:r>
        <w:tab/>
        <w:t>(3)</w:t>
      </w:r>
      <w:r>
        <w:tab/>
        <w:t xml:space="preserve">Subsection (1) does not apply to questions as to — </w:t>
      </w:r>
    </w:p>
    <w:p>
      <w:pPr>
        <w:pStyle w:val="Indenta"/>
      </w:pPr>
      <w:r>
        <w:tab/>
        <w:t>(a)</w:t>
      </w:r>
      <w:r>
        <w:tab/>
        <w:t xml:space="preserve">the permanent or other impairment of the efficient use of any part or faculty of the body for the purposes of </w:t>
      </w:r>
      <w:r>
        <w:lastRenderedPageBreak/>
        <w:t>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r>
        <w:tab/>
        <w:t>[Section 182ZD inserted: No. 31 of 2011 s. 6.]</w:t>
      </w:r>
    </w:p>
    <w:p>
      <w:pPr>
        <w:pStyle w:val="Heading4"/>
      </w:pPr>
      <w:bookmarkStart w:id="758" w:name="_Toc100238660"/>
      <w:bookmarkStart w:id="759" w:name="_Toc100239274"/>
      <w:bookmarkStart w:id="760" w:name="_Toc100562568"/>
      <w:bookmarkStart w:id="761" w:name="_Toc107310204"/>
      <w:bookmarkStart w:id="762" w:name="_Toc107480058"/>
      <w:bookmarkStart w:id="763" w:name="_Toc131501424"/>
      <w:bookmarkStart w:id="764" w:name="_Toc131502042"/>
      <w:bookmarkStart w:id="765" w:name="_Toc131514638"/>
      <w:r>
        <w:t>Subdivision 4 — General provisions about directions, orders and conciliation agreements</w:t>
      </w:r>
      <w:bookmarkEnd w:id="758"/>
      <w:bookmarkEnd w:id="759"/>
      <w:bookmarkEnd w:id="760"/>
      <w:bookmarkEnd w:id="761"/>
      <w:bookmarkEnd w:id="762"/>
      <w:bookmarkEnd w:id="763"/>
      <w:bookmarkEnd w:id="764"/>
      <w:bookmarkEnd w:id="765"/>
    </w:p>
    <w:p>
      <w:pPr>
        <w:pStyle w:val="Footnoteheading"/>
      </w:pPr>
      <w:r>
        <w:tab/>
        <w:t>[Heading inserted: No. 31 of 2011 s. 6.]</w:t>
      </w:r>
    </w:p>
    <w:p>
      <w:pPr>
        <w:pStyle w:val="Heading5"/>
      </w:pPr>
      <w:bookmarkStart w:id="766" w:name="_Toc131514639"/>
      <w:r>
        <w:rPr>
          <w:rStyle w:val="CharSectno"/>
        </w:rPr>
        <w:t>182ZE</w:t>
      </w:r>
      <w:r>
        <w:t>.</w:t>
      </w:r>
      <w:r>
        <w:tab/>
        <w:t>Terms used</w:t>
      </w:r>
      <w:bookmarkEnd w:id="766"/>
    </w:p>
    <w:p>
      <w:pPr>
        <w:pStyle w:val="Subsection"/>
      </w:pPr>
      <w:r>
        <w:tab/>
      </w:r>
      <w:r>
        <w:tab/>
        <w:t xml:space="preserve">In this Subdivision — </w:t>
      </w:r>
    </w:p>
    <w:p>
      <w:pPr>
        <w:pStyle w:val="Defstart"/>
      </w:pPr>
      <w:r>
        <w:tab/>
      </w:r>
      <w:r>
        <w:rPr>
          <w:rStyle w:val="CharDefText"/>
        </w:rPr>
        <w:t>certificate of outcome</w:t>
      </w:r>
      <w:r>
        <w:t xml:space="preserve"> means the conciliation officer’s certificate under section 182O;</w:t>
      </w:r>
    </w:p>
    <w:p>
      <w:pPr>
        <w:pStyle w:val="Defstart"/>
        <w:keepNext/>
      </w:pPr>
      <w:r>
        <w:tab/>
      </w:r>
      <w:r>
        <w:rPr>
          <w:rStyle w:val="CharDefText"/>
        </w:rPr>
        <w:t>conciliation agreement</w:t>
      </w:r>
      <w:r>
        <w:t xml:space="preserve"> means an agreement reached by the parties to the dispute during conciliation and recorded in the certificate of outcome;</w:t>
      </w:r>
    </w:p>
    <w:p>
      <w:pPr>
        <w:pStyle w:val="Defstart"/>
      </w:pPr>
      <w:r>
        <w:tab/>
      </w:r>
      <w:r>
        <w:rPr>
          <w:rStyle w:val="CharDefText"/>
        </w:rPr>
        <w:t>conciliation decision</w:t>
      </w:r>
      <w:r>
        <w:t xml:space="preserve"> means a direction under section 182K or 182L, an order under section 182N or a referral under section 182ZD.</w:t>
      </w:r>
    </w:p>
    <w:p>
      <w:pPr>
        <w:pStyle w:val="Footnotesection"/>
      </w:pPr>
      <w:r>
        <w:tab/>
        <w:t>[Section 182ZE inserted: No. 31 of 2011 s. 6.]</w:t>
      </w:r>
    </w:p>
    <w:p>
      <w:pPr>
        <w:pStyle w:val="Heading5"/>
      </w:pPr>
      <w:bookmarkStart w:id="767" w:name="_Toc131514640"/>
      <w:r>
        <w:rPr>
          <w:rStyle w:val="CharSectno"/>
        </w:rPr>
        <w:t>182ZF</w:t>
      </w:r>
      <w:r>
        <w:t>.</w:t>
      </w:r>
      <w:r>
        <w:tab/>
        <w:t>When decision or conciliation agreement has effect</w:t>
      </w:r>
      <w:bookmarkEnd w:id="767"/>
    </w:p>
    <w:p>
      <w:pPr>
        <w:pStyle w:val="Subsection"/>
      </w:pPr>
      <w:r>
        <w:tab/>
      </w:r>
      <w:r>
        <w:tab/>
        <w:t>A conciliation decision or conciliation agreement comes into effect immediately after it is given or made, or at such later time as is specified in it.</w:t>
      </w:r>
    </w:p>
    <w:p>
      <w:pPr>
        <w:pStyle w:val="Footnotesection"/>
      </w:pPr>
      <w:r>
        <w:tab/>
        <w:t>[Section 182ZF inserted: No. 31 of 2011 s. 6.]</w:t>
      </w:r>
    </w:p>
    <w:p>
      <w:pPr>
        <w:pStyle w:val="Heading5"/>
      </w:pPr>
      <w:bookmarkStart w:id="768" w:name="_Toc131514641"/>
      <w:r>
        <w:rPr>
          <w:rStyle w:val="CharSectno"/>
        </w:rPr>
        <w:lastRenderedPageBreak/>
        <w:t>182ZG</w:t>
      </w:r>
      <w:r>
        <w:t>.</w:t>
      </w:r>
      <w:r>
        <w:tab/>
        <w:t>Correcting mistakes</w:t>
      </w:r>
      <w:bookmarkEnd w:id="768"/>
    </w:p>
    <w:p>
      <w:pPr>
        <w:pStyle w:val="Subsection"/>
      </w:pPr>
      <w:r>
        <w:tab/>
      </w:r>
      <w:r>
        <w:tab/>
        <w:t xml:space="preserve">The conciliation officer may correct a conciliation decision or the certificate of outcome to the extent necessary to rectify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 certificate; or</w:t>
      </w:r>
    </w:p>
    <w:p>
      <w:pPr>
        <w:pStyle w:val="Indenta"/>
      </w:pPr>
      <w:r>
        <w:tab/>
        <w:t>(d)</w:t>
      </w:r>
      <w:r>
        <w:tab/>
        <w:t>a defect of form.</w:t>
      </w:r>
    </w:p>
    <w:p>
      <w:pPr>
        <w:pStyle w:val="Footnotesection"/>
      </w:pPr>
      <w:r>
        <w:tab/>
        <w:t>[Section 182ZG inserted: No. 31 of 2011 s. 6.]</w:t>
      </w:r>
    </w:p>
    <w:p>
      <w:pPr>
        <w:pStyle w:val="Heading5"/>
      </w:pPr>
      <w:bookmarkStart w:id="769" w:name="_Toc131514642"/>
      <w:r>
        <w:rPr>
          <w:rStyle w:val="CharSectno"/>
        </w:rPr>
        <w:t>182ZH</w:t>
      </w:r>
      <w:r>
        <w:t>.</w:t>
      </w:r>
      <w:r>
        <w:tab/>
        <w:t>Enforcing decisions and conciliation agreements</w:t>
      </w:r>
      <w:bookmarkEnd w:id="769"/>
    </w:p>
    <w:p>
      <w:pPr>
        <w:pStyle w:val="Subsection"/>
      </w:pPr>
      <w:r>
        <w:tab/>
        <w:t>(1)</w:t>
      </w:r>
      <w:r>
        <w:tab/>
        <w:t xml:space="preserve">A person to whom money is to be paid under a conciliation decision or a conciliation agreement may enforce the conciliation decision or conciliation agreement by filing in a court of competent jurisdiction (the </w:t>
      </w:r>
      <w:r>
        <w:rPr>
          <w:rStyle w:val="CharDefText"/>
        </w:rPr>
        <w:t>court</w:t>
      </w:r>
      <w:r>
        <w:t xml:space="preserve">) — </w:t>
      </w:r>
    </w:p>
    <w:p>
      <w:pPr>
        <w:pStyle w:val="Indenta"/>
      </w:pPr>
      <w:r>
        <w:tab/>
        <w:t>(a)</w:t>
      </w:r>
      <w:r>
        <w:tab/>
        <w:t>a copy of the conciliation decision or certificate of outcome that the Director has certified to be a true copy; and</w:t>
      </w:r>
    </w:p>
    <w:p>
      <w:pPr>
        <w:pStyle w:val="Indenta"/>
      </w:pPr>
      <w:r>
        <w:tab/>
        <w:t>(b)</w:t>
      </w:r>
      <w:r>
        <w:tab/>
        <w:t>an affidavit as to the amount not paid under the conciliation decision or conciliation agreement.</w:t>
      </w:r>
    </w:p>
    <w:p>
      <w:pPr>
        <w:pStyle w:val="Subsection"/>
      </w:pPr>
      <w:r>
        <w:tab/>
        <w:t>(2)</w:t>
      </w:r>
      <w:r>
        <w:tab/>
        <w:t>No charge is to be made for filing the documents under subsection (1).</w:t>
      </w:r>
    </w:p>
    <w:p>
      <w:pPr>
        <w:pStyle w:val="Subsection"/>
      </w:pPr>
      <w:r>
        <w:tab/>
        <w:t>(3)</w:t>
      </w:r>
      <w:r>
        <w:tab/>
        <w:t>On the filing of the documents under subsection (1), the conciliation decision or conciliation agreement is to be taken to be an order of the court and, subject to subsection (4), may be enforced accordingly.</w:t>
      </w:r>
    </w:p>
    <w:p>
      <w:pPr>
        <w:pStyle w:val="Subsection"/>
      </w:pPr>
      <w:r>
        <w:tab/>
        <w:t>(4)</w:t>
      </w:r>
      <w:r>
        <w:tab/>
        <w:t>A conciliation agreement cannot be enforced under subsection (3) before the expiration of the period of 21 days starting on the day on which the certificate of outcome is issued.</w:t>
      </w:r>
    </w:p>
    <w:p>
      <w:pPr>
        <w:pStyle w:val="Footnotesection"/>
      </w:pPr>
      <w:r>
        <w:tab/>
        <w:t>[Section 182ZH inserted: No. 31 of 2011 s. 6.]</w:t>
      </w:r>
    </w:p>
    <w:p>
      <w:pPr>
        <w:pStyle w:val="Heading5"/>
      </w:pPr>
      <w:bookmarkStart w:id="770" w:name="_Toc131514643"/>
      <w:r>
        <w:rPr>
          <w:rStyle w:val="CharSectno"/>
        </w:rPr>
        <w:lastRenderedPageBreak/>
        <w:t>182ZI</w:t>
      </w:r>
      <w:r>
        <w:t>.</w:t>
      </w:r>
      <w:r>
        <w:tab/>
        <w:t>Conciliation decisions not reviewable</w:t>
      </w:r>
      <w:bookmarkEnd w:id="770"/>
    </w:p>
    <w:p>
      <w:pPr>
        <w:pStyle w:val="Subsection"/>
      </w:pPr>
      <w:r>
        <w:tab/>
      </w:r>
      <w:r>
        <w:tab/>
        <w:t>Subject to sections 182ZJ and 182ZK a conciliation decision is not subject to an appeal or amenable to judicial review.</w:t>
      </w:r>
    </w:p>
    <w:p>
      <w:pPr>
        <w:pStyle w:val="Footnotesection"/>
      </w:pPr>
      <w:r>
        <w:tab/>
        <w:t>[Section 182ZI inserted: No. 31 of 2011 s. 6.]</w:t>
      </w:r>
    </w:p>
    <w:p>
      <w:pPr>
        <w:pStyle w:val="Heading5"/>
      </w:pPr>
      <w:bookmarkStart w:id="771" w:name="_Toc131514644"/>
      <w:r>
        <w:rPr>
          <w:rStyle w:val="CharSectno"/>
        </w:rPr>
        <w:t>182ZJ</w:t>
      </w:r>
      <w:r>
        <w:t>.</w:t>
      </w:r>
      <w:r>
        <w:tab/>
        <w:t>Provisions about revoked directions</w:t>
      </w:r>
      <w:bookmarkEnd w:id="771"/>
    </w:p>
    <w:p>
      <w:pPr>
        <w:pStyle w:val="Subsection"/>
      </w:pPr>
      <w:r>
        <w:tab/>
        <w:t>(1)</w:t>
      </w:r>
      <w:r>
        <w:tab/>
        <w:t>If a direction under section 182K(2) or (4) is revoked by an arbitrator under section 211(2), section 182K(8) and (9) apply to the revocation.</w:t>
      </w:r>
    </w:p>
    <w:p>
      <w:pPr>
        <w:pStyle w:val="Subsection"/>
      </w:pPr>
      <w:r>
        <w:tab/>
        <w:t>(2)</w:t>
      </w:r>
      <w:r>
        <w:tab/>
        <w:t>If a direction under section 182L(2) is revoked by an arbitrator under section 211(2), section 182L(5) and (6) apply to the revocation as if references in them to the conciliation officer were references to the arbitrator.</w:t>
      </w:r>
    </w:p>
    <w:p>
      <w:pPr>
        <w:pStyle w:val="Footnotesection"/>
      </w:pPr>
      <w:r>
        <w:tab/>
        <w:t>[Section 182ZJ inserted: No. 31 of 2011 s. 6.]</w:t>
      </w:r>
    </w:p>
    <w:p>
      <w:pPr>
        <w:pStyle w:val="Heading5"/>
      </w:pPr>
      <w:bookmarkStart w:id="772" w:name="_Toc131514645"/>
      <w:r>
        <w:rPr>
          <w:rStyle w:val="CharSectno"/>
        </w:rPr>
        <w:t>182ZK</w:t>
      </w:r>
      <w:r>
        <w:t>.</w:t>
      </w:r>
      <w:r>
        <w:tab/>
        <w:t>Recovery of payments made under s. 182K direction</w:t>
      </w:r>
      <w:bookmarkEnd w:id="772"/>
    </w:p>
    <w:p>
      <w:pPr>
        <w:pStyle w:val="Subsection"/>
      </w:pPr>
      <w:r>
        <w:tab/>
      </w:r>
      <w:r>
        <w:tab/>
        <w:t xml:space="preserve">If an arbitrator determines under Division 4 that a person was not liable to pay compensation by way of the weekly payments or statutory expenses that have been paid in accordance with a direction of the conciliation officer under section 182K(2) or (4), the following provisions apply —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 xml:space="preserve">the arbitrator may (instead of making an order for a refund) order any other person whom the arbitrator determines was liable for the whole or any part of the </w:t>
      </w:r>
      <w:r>
        <w:lastRenderedPageBreak/>
        <w:t>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r>
        <w:tab/>
        <w:t>[Section 182ZK inserted: No. 31 of 2011 s. 6.]</w:t>
      </w:r>
    </w:p>
    <w:p>
      <w:pPr>
        <w:pStyle w:val="Heading5"/>
      </w:pPr>
      <w:bookmarkStart w:id="773" w:name="_Toc131514646"/>
      <w:r>
        <w:rPr>
          <w:rStyle w:val="CharSectno"/>
        </w:rPr>
        <w:t>182ZL</w:t>
      </w:r>
      <w:r>
        <w:t>.</w:t>
      </w:r>
      <w:r>
        <w:tab/>
        <w:t>Director may order insurer to make payment directed under s. 182K</w:t>
      </w:r>
      <w:bookmarkEnd w:id="773"/>
    </w:p>
    <w:p>
      <w:pPr>
        <w:pStyle w:val="Subsection"/>
        <w:spacing w:before="100"/>
      </w:pPr>
      <w:r>
        <w:tab/>
        <w:t>(1)</w:t>
      </w:r>
      <w:r>
        <w:tab/>
        <w:t xml:space="preserve">Without affecting section 182ZH, if an employer has failed to make a payment required by a direction under section 182K(2) or (4), the Director, on application made by the worker — </w:t>
      </w:r>
    </w:p>
    <w:p>
      <w:pPr>
        <w:pStyle w:val="Indenta"/>
      </w:pPr>
      <w:r>
        <w:tab/>
        <w:t>(a)</w:t>
      </w:r>
      <w:r>
        <w:tab/>
        <w:t>may order the insurer to make the payment; and</w:t>
      </w:r>
    </w:p>
    <w:p>
      <w:pPr>
        <w:pStyle w:val="Indenta"/>
      </w:pPr>
      <w:r>
        <w:tab/>
        <w:t>(b)</w:t>
      </w:r>
      <w:r>
        <w:tab/>
        <w:t>may, if the Director considers it necessary, order the insurer to make any remaining payments required under the direction.</w:t>
      </w:r>
    </w:p>
    <w:p>
      <w:pPr>
        <w:pStyle w:val="Subsection"/>
        <w:spacing w:before="100"/>
      </w:pPr>
      <w:r>
        <w:tab/>
        <w:t>(2)</w:t>
      </w:r>
      <w:r>
        <w:tab/>
        <w:t>An order under subsection (1) may be enforced in accordance with section 182ZH.</w:t>
      </w:r>
    </w:p>
    <w:p>
      <w:pPr>
        <w:pStyle w:val="Footnotesection"/>
      </w:pPr>
      <w:r>
        <w:tab/>
        <w:t>[Section 182ZL inserted: No. 31 of 2011 s. 6.]</w:t>
      </w:r>
    </w:p>
    <w:p>
      <w:pPr>
        <w:pStyle w:val="Heading4"/>
      </w:pPr>
      <w:bookmarkStart w:id="774" w:name="_Toc100238669"/>
      <w:bookmarkStart w:id="775" w:name="_Toc100239283"/>
      <w:bookmarkStart w:id="776" w:name="_Toc100562577"/>
      <w:bookmarkStart w:id="777" w:name="_Toc107310213"/>
      <w:bookmarkStart w:id="778" w:name="_Toc107480067"/>
      <w:bookmarkStart w:id="779" w:name="_Toc131501433"/>
      <w:bookmarkStart w:id="780" w:name="_Toc131502051"/>
      <w:bookmarkStart w:id="781" w:name="_Toc131514647"/>
      <w:r>
        <w:t>Subdivision 5 — Miscellaneous</w:t>
      </w:r>
      <w:bookmarkEnd w:id="774"/>
      <w:bookmarkEnd w:id="775"/>
      <w:bookmarkEnd w:id="776"/>
      <w:bookmarkEnd w:id="777"/>
      <w:bookmarkEnd w:id="778"/>
      <w:bookmarkEnd w:id="779"/>
      <w:bookmarkEnd w:id="780"/>
      <w:bookmarkEnd w:id="781"/>
    </w:p>
    <w:p>
      <w:pPr>
        <w:pStyle w:val="Footnoteheading"/>
      </w:pPr>
      <w:r>
        <w:tab/>
        <w:t>[Heading inserted: No. 31 of 2011 s. 6.]</w:t>
      </w:r>
    </w:p>
    <w:p>
      <w:pPr>
        <w:pStyle w:val="Heading5"/>
      </w:pPr>
      <w:bookmarkStart w:id="782" w:name="_Toc131514648"/>
      <w:r>
        <w:rPr>
          <w:rStyle w:val="CharSectno"/>
        </w:rPr>
        <w:t>182ZM</w:t>
      </w:r>
      <w:r>
        <w:t>.</w:t>
      </w:r>
      <w:r>
        <w:tab/>
        <w:t>Statement made to conciliation officer not admissible in subsequent proceedings</w:t>
      </w:r>
      <w:bookmarkEnd w:id="782"/>
    </w:p>
    <w:p>
      <w:pPr>
        <w:pStyle w:val="Subsection"/>
        <w:spacing w:before="100"/>
      </w:pPr>
      <w:r>
        <w:tab/>
        <w:t>(1)</w:t>
      </w:r>
      <w:r>
        <w:tab/>
        <w:t xml:space="preserve">In this section — </w:t>
      </w:r>
    </w:p>
    <w:p>
      <w:pPr>
        <w:pStyle w:val="Defstart"/>
      </w:pPr>
      <w:r>
        <w:tab/>
      </w:r>
      <w:r>
        <w:rPr>
          <w:rStyle w:val="CharDefText"/>
        </w:rPr>
        <w:t>subsequent proceeding</w:t>
      </w:r>
      <w:r>
        <w:t xml:space="preserve"> means a proceeding before an arbitrator or an action brought by the worker for damages independently of this Act.</w:t>
      </w:r>
    </w:p>
    <w:p>
      <w:pPr>
        <w:pStyle w:val="Subsection"/>
        <w:spacing w:before="100"/>
      </w:pPr>
      <w:r>
        <w:tab/>
        <w:t>(2)</w:t>
      </w:r>
      <w:r>
        <w:tab/>
        <w:t>Evidence of a statement made to the conciliation officer or in a conciliation conference is not admissible in a subsequent proceeding unless the person who made the statement agrees to the evidence being admitted.</w:t>
      </w:r>
    </w:p>
    <w:p>
      <w:pPr>
        <w:pStyle w:val="Subsection"/>
      </w:pPr>
      <w:r>
        <w:lastRenderedPageBreak/>
        <w:tab/>
        <w:t>(3)</w:t>
      </w:r>
      <w:r>
        <w:tab/>
        <w:t>The conciliation officer is not to be called as a witness in a subsequent proceeding.</w:t>
      </w:r>
    </w:p>
    <w:p>
      <w:pPr>
        <w:pStyle w:val="Footnotesection"/>
      </w:pPr>
      <w:r>
        <w:tab/>
        <w:t>[Section 182ZM inserted: No. 31 of 2011 s. 6.]</w:t>
      </w:r>
    </w:p>
    <w:p>
      <w:pPr>
        <w:pStyle w:val="Heading5"/>
      </w:pPr>
      <w:bookmarkStart w:id="783" w:name="_Toc131514649"/>
      <w:r>
        <w:rPr>
          <w:rStyle w:val="CharSectno"/>
        </w:rPr>
        <w:t>182ZN</w:t>
      </w:r>
      <w:r>
        <w:t>.</w:t>
      </w:r>
      <w:r>
        <w:tab/>
        <w:t>To whom compensation is to be paid</w:t>
      </w:r>
      <w:bookmarkEnd w:id="783"/>
    </w:p>
    <w:p>
      <w:pPr>
        <w:pStyle w:val="Subsection"/>
      </w:pPr>
      <w:r>
        <w:tab/>
      </w:r>
      <w:r>
        <w:tab/>
        <w:t>A sum directed or agreed to be payable as compensation is to be paid to the person to whom it is payable under the direction or conciliation agreement unless it is paid into the custody of WorkCover WA.</w:t>
      </w:r>
    </w:p>
    <w:p>
      <w:pPr>
        <w:pStyle w:val="Footnotesection"/>
      </w:pPr>
      <w:r>
        <w:tab/>
        <w:t>[Section 182ZN inserted: No. 31 of 2011 s. 6.]</w:t>
      </w:r>
    </w:p>
    <w:p>
      <w:pPr>
        <w:pStyle w:val="Heading3"/>
      </w:pPr>
      <w:bookmarkStart w:id="784" w:name="_Toc100238672"/>
      <w:bookmarkStart w:id="785" w:name="_Toc100239286"/>
      <w:bookmarkStart w:id="786" w:name="_Toc100562580"/>
      <w:bookmarkStart w:id="787" w:name="_Toc107310216"/>
      <w:bookmarkStart w:id="788" w:name="_Toc107480070"/>
      <w:bookmarkStart w:id="789" w:name="_Toc131501436"/>
      <w:bookmarkStart w:id="790" w:name="_Toc131502054"/>
      <w:bookmarkStart w:id="791" w:name="_Toc131514650"/>
      <w:r>
        <w:rPr>
          <w:rStyle w:val="CharDivNo"/>
        </w:rPr>
        <w:t>Division 4</w:t>
      </w:r>
      <w:r>
        <w:t> — </w:t>
      </w:r>
      <w:r>
        <w:rPr>
          <w:rStyle w:val="CharDivText"/>
        </w:rPr>
        <w:t>Arbitration</w:t>
      </w:r>
      <w:bookmarkEnd w:id="784"/>
      <w:bookmarkEnd w:id="785"/>
      <w:bookmarkEnd w:id="786"/>
      <w:bookmarkEnd w:id="787"/>
      <w:bookmarkEnd w:id="788"/>
      <w:bookmarkEnd w:id="789"/>
      <w:bookmarkEnd w:id="790"/>
      <w:bookmarkEnd w:id="791"/>
    </w:p>
    <w:p>
      <w:pPr>
        <w:pStyle w:val="Footnoteheading"/>
      </w:pPr>
      <w:r>
        <w:tab/>
        <w:t>[Heading inserted: No. 31 of 2011 s. 6.]</w:t>
      </w:r>
    </w:p>
    <w:p>
      <w:pPr>
        <w:pStyle w:val="Heading4"/>
      </w:pPr>
      <w:bookmarkStart w:id="792" w:name="_Toc100238673"/>
      <w:bookmarkStart w:id="793" w:name="_Toc100239287"/>
      <w:bookmarkStart w:id="794" w:name="_Toc100562581"/>
      <w:bookmarkStart w:id="795" w:name="_Toc107310217"/>
      <w:bookmarkStart w:id="796" w:name="_Toc107480071"/>
      <w:bookmarkStart w:id="797" w:name="_Toc131501437"/>
      <w:bookmarkStart w:id="798" w:name="_Toc131502055"/>
      <w:bookmarkStart w:id="799" w:name="_Toc131514651"/>
      <w:r>
        <w:t>Subdivision 1 — Workers’ Compensation Arbitration Service</w:t>
      </w:r>
      <w:bookmarkEnd w:id="792"/>
      <w:bookmarkEnd w:id="793"/>
      <w:bookmarkEnd w:id="794"/>
      <w:bookmarkEnd w:id="795"/>
      <w:bookmarkEnd w:id="796"/>
      <w:bookmarkEnd w:id="797"/>
      <w:bookmarkEnd w:id="798"/>
      <w:bookmarkEnd w:id="799"/>
    </w:p>
    <w:p>
      <w:pPr>
        <w:pStyle w:val="Footnoteheading"/>
      </w:pPr>
      <w:r>
        <w:tab/>
        <w:t>[Heading inserted: No. 31 of 2011 s. 6.]</w:t>
      </w:r>
    </w:p>
    <w:p>
      <w:pPr>
        <w:pStyle w:val="Heading5"/>
      </w:pPr>
      <w:bookmarkStart w:id="800" w:name="_Toc131514652"/>
      <w:r>
        <w:rPr>
          <w:rStyle w:val="CharSectno"/>
        </w:rPr>
        <w:t>182ZO</w:t>
      </w:r>
      <w:r>
        <w:t>.</w:t>
      </w:r>
      <w:r>
        <w:tab/>
        <w:t>Workers’ Compensation Arbitration Service established</w:t>
      </w:r>
      <w:bookmarkEnd w:id="800"/>
    </w:p>
    <w:p>
      <w:pPr>
        <w:pStyle w:val="Subsection"/>
      </w:pPr>
      <w:r>
        <w:tab/>
        <w:t>(1)</w:t>
      </w:r>
      <w:r>
        <w:tab/>
        <w:t>A service called the Workers’ Compensation Arbitration Service is established.</w:t>
      </w:r>
    </w:p>
    <w:p>
      <w:pPr>
        <w:pStyle w:val="Subsection"/>
      </w:pPr>
      <w:r>
        <w:tab/>
        <w:t>(2)</w:t>
      </w:r>
      <w:r>
        <w:tab/>
        <w:t xml:space="preserve">The Arbitration Service consists of — </w:t>
      </w:r>
    </w:p>
    <w:p>
      <w:pPr>
        <w:pStyle w:val="Indenta"/>
      </w:pPr>
      <w:r>
        <w:tab/>
        <w:t>(a)</w:t>
      </w:r>
      <w:r>
        <w:tab/>
        <w:t>the Registrar; and</w:t>
      </w:r>
    </w:p>
    <w:p>
      <w:pPr>
        <w:pStyle w:val="Indenta"/>
      </w:pPr>
      <w:r>
        <w:tab/>
        <w:t>(b)</w:t>
      </w:r>
      <w:r>
        <w:tab/>
        <w:t xml:space="preserve">the staff of the Arbitration Service being — </w:t>
      </w:r>
    </w:p>
    <w:p>
      <w:pPr>
        <w:pStyle w:val="Indenti"/>
      </w:pPr>
      <w:r>
        <w:tab/>
        <w:t>(i)</w:t>
      </w:r>
      <w:r>
        <w:tab/>
        <w:t>the arbitrators; and</w:t>
      </w:r>
    </w:p>
    <w:p>
      <w:pPr>
        <w:pStyle w:val="Indenti"/>
      </w:pPr>
      <w:r>
        <w:tab/>
        <w:t>(ii)</w:t>
      </w:r>
      <w:r>
        <w:tab/>
        <w:t>officers of WorkCover WA assisting in the administration of the Arbitration Service and the performance of its functions.</w:t>
      </w:r>
    </w:p>
    <w:p>
      <w:pPr>
        <w:pStyle w:val="Footnotesection"/>
      </w:pPr>
      <w:r>
        <w:tab/>
        <w:t>[Section 182ZO inserted: No. 31 of 2011 s. 6.]</w:t>
      </w:r>
    </w:p>
    <w:p>
      <w:pPr>
        <w:pStyle w:val="Heading5"/>
      </w:pPr>
      <w:bookmarkStart w:id="801" w:name="_Toc131514653"/>
      <w:r>
        <w:rPr>
          <w:rStyle w:val="CharSectno"/>
        </w:rPr>
        <w:t>182ZP</w:t>
      </w:r>
      <w:r>
        <w:t>.</w:t>
      </w:r>
      <w:r>
        <w:tab/>
        <w:t>Registrar, Arbitration, designation and functions of</w:t>
      </w:r>
      <w:bookmarkEnd w:id="801"/>
    </w:p>
    <w:p>
      <w:pPr>
        <w:pStyle w:val="Subsection"/>
      </w:pPr>
      <w:r>
        <w:tab/>
        <w:t>(1)</w:t>
      </w:r>
      <w:r>
        <w:tab/>
        <w:t xml:space="preserve">The </w:t>
      </w:r>
      <w:r>
        <w:rPr>
          <w:bCs/>
          <w:iCs/>
        </w:rPr>
        <w:t xml:space="preserve">chief executive officer </w:t>
      </w:r>
      <w:r>
        <w:t>is to designate a person who is an officer of WorkCover WA as the Registrar, Arbitration.</w:t>
      </w:r>
    </w:p>
    <w:p>
      <w:pPr>
        <w:pStyle w:val="Subsection"/>
      </w:pPr>
      <w:r>
        <w:lastRenderedPageBreak/>
        <w:tab/>
        <w:t>(2)</w:t>
      </w:r>
      <w:r>
        <w:tab/>
        <w:t>A person cannot be designated under this section unless the person is a legal practitioner.</w:t>
      </w:r>
    </w:p>
    <w:p>
      <w:pPr>
        <w:pStyle w:val="Subsection"/>
        <w:rPr>
          <w:bCs/>
          <w:iCs/>
        </w:rPr>
      </w:pPr>
      <w:r>
        <w:rPr>
          <w:bCs/>
          <w:iCs/>
        </w:rPr>
        <w:tab/>
        <w:t>(3)</w:t>
      </w:r>
      <w:r>
        <w:rPr>
          <w:bCs/>
          <w:iCs/>
        </w:rPr>
        <w:tab/>
        <w:t xml:space="preserve">The Registrar — </w:t>
      </w:r>
    </w:p>
    <w:p>
      <w:pPr>
        <w:pStyle w:val="Indenta"/>
      </w:pPr>
      <w:r>
        <w:tab/>
        <w:t>(a)</w:t>
      </w:r>
      <w:r>
        <w:tab/>
        <w:t>is responsible for the administration of the Arbitration Service; and</w:t>
      </w:r>
    </w:p>
    <w:p>
      <w:pPr>
        <w:pStyle w:val="Indenta"/>
      </w:pPr>
      <w:r>
        <w:tab/>
        <w:t>(b)</w:t>
      </w:r>
      <w:r>
        <w:tab/>
        <w:t>is to allocate work to arbitrators; and</w:t>
      </w:r>
    </w:p>
    <w:p>
      <w:pPr>
        <w:pStyle w:val="Indenta"/>
      </w:pPr>
      <w:r>
        <w:tab/>
        <w:t>(c)</w:t>
      </w:r>
      <w:r>
        <w:tab/>
        <w:t xml:space="preserve">without limiting the functions of the </w:t>
      </w:r>
      <w:r>
        <w:rPr>
          <w:bCs/>
          <w:iCs/>
        </w:rPr>
        <w:t xml:space="preserve">chief executive officer, is to manage and direct the staff of the </w:t>
      </w:r>
      <w:r>
        <w:t>Arbitration Service;</w:t>
      </w:r>
      <w:r>
        <w:rPr>
          <w:bCs/>
          <w:iCs/>
        </w:rPr>
        <w:t xml:space="preserve"> </w:t>
      </w:r>
      <w:r>
        <w:t>and</w:t>
      </w:r>
    </w:p>
    <w:p>
      <w:pPr>
        <w:pStyle w:val="Indenta"/>
        <w:rPr>
          <w:bCs/>
          <w:iCs/>
        </w:rPr>
      </w:pPr>
      <w:r>
        <w:tab/>
        <w:t>(d)</w:t>
      </w:r>
      <w:r>
        <w:tab/>
      </w:r>
      <w:r>
        <w:rPr>
          <w:bCs/>
          <w:iCs/>
        </w:rPr>
        <w:t>has, and may perform, all the functions of an arbitrator; and</w:t>
      </w:r>
    </w:p>
    <w:p>
      <w:pPr>
        <w:pStyle w:val="Indenta"/>
      </w:pPr>
      <w:r>
        <w:tab/>
        <w:t>(e)</w:t>
      </w:r>
      <w:r>
        <w:tab/>
        <w:t>is to provide advice as to the content of the arbitration rules; and</w:t>
      </w:r>
    </w:p>
    <w:p>
      <w:pPr>
        <w:pStyle w:val="Indenta"/>
      </w:pPr>
      <w:r>
        <w:tab/>
        <w:t>(f)</w:t>
      </w:r>
      <w:r>
        <w:tab/>
        <w:t>has the other functions conferred on the Registrar by this Act or any other written law.</w:t>
      </w:r>
    </w:p>
    <w:p>
      <w:pPr>
        <w:pStyle w:val="Subsection"/>
      </w:pPr>
      <w:r>
        <w:rPr>
          <w:bCs/>
          <w:iCs/>
        </w:rPr>
        <w:tab/>
        <w:t>(4)</w:t>
      </w:r>
      <w:r>
        <w:rPr>
          <w:bCs/>
          <w:iCs/>
        </w:rPr>
        <w:tab/>
        <w:t>The Registrar is not subject to the management or direction of the chief executive officer as to any decision to be made, or discretion to be exercised, in relation to a particular dispute.</w:t>
      </w:r>
    </w:p>
    <w:p>
      <w:pPr>
        <w:pStyle w:val="Footnotesection"/>
      </w:pPr>
      <w:r>
        <w:tab/>
        <w:t>[Section 182ZP inserted: No. 31 of 2011 s. 6.]</w:t>
      </w:r>
    </w:p>
    <w:p>
      <w:pPr>
        <w:pStyle w:val="Heading5"/>
      </w:pPr>
      <w:bookmarkStart w:id="802" w:name="_Toc131514654"/>
      <w:r>
        <w:rPr>
          <w:rStyle w:val="CharSectno"/>
        </w:rPr>
        <w:t>182ZQ</w:t>
      </w:r>
      <w:r>
        <w:t>.</w:t>
      </w:r>
      <w:r>
        <w:tab/>
        <w:t>Arbitrators, designation of etc.</w:t>
      </w:r>
      <w:bookmarkEnd w:id="802"/>
    </w:p>
    <w:p>
      <w:pPr>
        <w:pStyle w:val="Subsection"/>
      </w:pPr>
      <w:r>
        <w:tab/>
        <w:t>(1)</w:t>
      </w:r>
      <w:r>
        <w:tab/>
        <w:t xml:space="preserve">The </w:t>
      </w:r>
      <w:r>
        <w:rPr>
          <w:bCs/>
          <w:iCs/>
        </w:rPr>
        <w:t xml:space="preserve">chief executive officer may designate a person who </w:t>
      </w:r>
      <w:r>
        <w:t>is an officer of WorkCover WA as an arbitrator.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an arbitrator on a sessional basis.</w:t>
      </w:r>
    </w:p>
    <w:p>
      <w:pPr>
        <w:pStyle w:val="Subsection"/>
      </w:pPr>
      <w:r>
        <w:tab/>
        <w:t>(3)</w:t>
      </w:r>
      <w:r>
        <w:tab/>
        <w:t>A person cannot be designated or engaged under this section unless the person is a legal practitioner.</w:t>
      </w:r>
    </w:p>
    <w:p>
      <w:pPr>
        <w:pStyle w:val="Subsection"/>
      </w:pPr>
      <w:r>
        <w:tab/>
        <w:t>(4)</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lastRenderedPageBreak/>
        <w:tab/>
        <w:t>(5)</w:t>
      </w:r>
      <w:r>
        <w:rPr>
          <w:bCs/>
          <w:iCs/>
        </w:rPr>
        <w:tab/>
        <w:t>A</w:t>
      </w:r>
      <w:r>
        <w:t xml:space="preserve">rbitrators are </w:t>
      </w:r>
      <w:r>
        <w:rPr>
          <w:bCs/>
          <w:iCs/>
        </w:rPr>
        <w:t>not subject to the management or direction of the chief executive officer or the Registrar as to any decision to be made, or discretion to be exercised, in relation to a particular dispute.</w:t>
      </w:r>
    </w:p>
    <w:p>
      <w:pPr>
        <w:pStyle w:val="Footnotesection"/>
        <w:spacing w:before="100"/>
        <w:ind w:left="890" w:hanging="890"/>
      </w:pPr>
      <w:r>
        <w:tab/>
        <w:t>[Section 182ZQ inserted: No. 31 of 2011 s. 6.]</w:t>
      </w:r>
    </w:p>
    <w:p>
      <w:pPr>
        <w:pStyle w:val="Heading5"/>
      </w:pPr>
      <w:bookmarkStart w:id="803" w:name="_Toc131514655"/>
      <w:r>
        <w:rPr>
          <w:rStyle w:val="CharSectno"/>
        </w:rPr>
        <w:t>182ZR</w:t>
      </w:r>
      <w:r>
        <w:t>.</w:t>
      </w:r>
      <w:r>
        <w:tab/>
        <w:t>Provisions about designations</w:t>
      </w:r>
      <w:bookmarkEnd w:id="803"/>
    </w:p>
    <w:p>
      <w:pPr>
        <w:pStyle w:val="Subsection"/>
      </w:pPr>
      <w:r>
        <w:tab/>
        <w:t>(1)</w:t>
      </w:r>
      <w:r>
        <w:tab/>
        <w:t xml:space="preserve">In this section — </w:t>
      </w:r>
    </w:p>
    <w:p>
      <w:pPr>
        <w:pStyle w:val="Defstart"/>
      </w:pPr>
      <w:r>
        <w:tab/>
      </w:r>
      <w:r>
        <w:rPr>
          <w:rStyle w:val="CharDefText"/>
        </w:rPr>
        <w:t>designation</w:t>
      </w:r>
      <w:r>
        <w:t xml:space="preserve"> means a designation under section 182ZP(1) or 182ZQ(1).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The designation of a person ceases to have effect if the person ceases to be an officer of WorkCover WA.</w:t>
      </w:r>
    </w:p>
    <w:p>
      <w:pPr>
        <w:pStyle w:val="Footnotesection"/>
        <w:spacing w:before="100"/>
        <w:ind w:left="890" w:hanging="890"/>
      </w:pPr>
      <w:r>
        <w:tab/>
        <w:t>[Section 182ZR inserted: No. 31 of 2011 s. 6.]</w:t>
      </w:r>
    </w:p>
    <w:p>
      <w:pPr>
        <w:pStyle w:val="Heading5"/>
      </w:pPr>
      <w:bookmarkStart w:id="804" w:name="_Toc131514656"/>
      <w:r>
        <w:rPr>
          <w:rStyle w:val="CharSectno"/>
        </w:rPr>
        <w:t>182ZS</w:t>
      </w:r>
      <w:r>
        <w:t>.</w:t>
      </w:r>
      <w:r>
        <w:tab/>
        <w:t xml:space="preserve">Delegation by </w:t>
      </w:r>
      <w:r>
        <w:rPr>
          <w:bCs/>
          <w:iCs/>
        </w:rPr>
        <w:t>Registrar</w:t>
      </w:r>
      <w:bookmarkEnd w:id="804"/>
    </w:p>
    <w:p>
      <w:pPr>
        <w:pStyle w:val="Subsection"/>
        <w:spacing w:before="150"/>
      </w:pPr>
      <w:r>
        <w:tab/>
        <w:t>(1)</w:t>
      </w:r>
      <w:r>
        <w:tab/>
        <w:t xml:space="preserve">The </w:t>
      </w:r>
      <w:r>
        <w:rPr>
          <w:bCs/>
          <w:iCs/>
        </w:rPr>
        <w:t>Registrar</w:t>
      </w:r>
      <w:r>
        <w:t xml:space="preserve"> may delegate a power or duty given to the </w:t>
      </w:r>
      <w:r>
        <w:rPr>
          <w:bCs/>
          <w:iCs/>
        </w:rPr>
        <w:t>Registrar</w:t>
      </w:r>
      <w:r>
        <w:t xml:space="preserve"> under this Act to an officer of WorkCover WA or a person engaged under section 182ZQ(2).</w:t>
      </w:r>
    </w:p>
    <w:p>
      <w:pPr>
        <w:pStyle w:val="Subsection"/>
        <w:spacing w:before="150"/>
      </w:pPr>
      <w:r>
        <w:tab/>
        <w:t>(2)</w:t>
      </w:r>
      <w:r>
        <w:tab/>
        <w:t xml:space="preserve">The </w:t>
      </w:r>
      <w:r>
        <w:rPr>
          <w:bCs/>
          <w:iCs/>
        </w:rPr>
        <w:t>Registrar</w:t>
      </w:r>
      <w:r>
        <w:t xml:space="preserve"> is to make the delegation in writing signed by the </w:t>
      </w:r>
      <w:r>
        <w:rPr>
          <w:bCs/>
          <w:iCs/>
        </w:rPr>
        <w:t>Registrar</w:t>
      </w:r>
      <w:r>
        <w:t>.</w:t>
      </w:r>
    </w:p>
    <w:p>
      <w:pPr>
        <w:pStyle w:val="Subsection"/>
        <w:spacing w:before="150"/>
      </w:pPr>
      <w:r>
        <w:tab/>
        <w:t>(3)</w:t>
      </w:r>
      <w:r>
        <w:tab/>
        <w:t>A person to whom a power or duty is delegated under this section cannot delegate that power or duty.</w:t>
      </w:r>
    </w:p>
    <w:p>
      <w:pPr>
        <w:pStyle w:val="Subsection"/>
        <w:spacing w:before="150"/>
      </w:pPr>
      <w:r>
        <w:tab/>
        <w:t>(4)</w:t>
      </w:r>
      <w:r>
        <w:tab/>
        <w:t>A person exercising or performing a power or duty that has been delegated to the person under this section is taken to do so in accordance with the terms of the delegation unless the contrary is shown.</w:t>
      </w:r>
    </w:p>
    <w:p>
      <w:pPr>
        <w:pStyle w:val="Subsection"/>
        <w:spacing w:before="150"/>
      </w:pPr>
      <w:r>
        <w:tab/>
        <w:t>(5)</w:t>
      </w:r>
      <w:r>
        <w:tab/>
        <w:t xml:space="preserve">Nothing in this section limits the ability of the </w:t>
      </w:r>
      <w:r>
        <w:rPr>
          <w:bCs/>
          <w:iCs/>
        </w:rPr>
        <w:t>Registrar</w:t>
      </w:r>
      <w:r>
        <w:t xml:space="preserve"> to perform a function through an officer or agent.</w:t>
      </w:r>
    </w:p>
    <w:p>
      <w:pPr>
        <w:pStyle w:val="Footnotesection"/>
        <w:spacing w:before="100"/>
        <w:ind w:left="890" w:hanging="890"/>
      </w:pPr>
      <w:r>
        <w:tab/>
        <w:t>[Section 182ZS inserted: No. 31 of 2011 s. 6.]</w:t>
      </w:r>
    </w:p>
    <w:p>
      <w:pPr>
        <w:pStyle w:val="Heading4"/>
      </w:pPr>
      <w:bookmarkStart w:id="805" w:name="_Toc100238679"/>
      <w:bookmarkStart w:id="806" w:name="_Toc100239293"/>
      <w:bookmarkStart w:id="807" w:name="_Toc100562587"/>
      <w:bookmarkStart w:id="808" w:name="_Toc107310223"/>
      <w:bookmarkStart w:id="809" w:name="_Toc107480077"/>
      <w:bookmarkStart w:id="810" w:name="_Toc131501443"/>
      <w:bookmarkStart w:id="811" w:name="_Toc131502061"/>
      <w:bookmarkStart w:id="812" w:name="_Toc131514657"/>
      <w:r>
        <w:lastRenderedPageBreak/>
        <w:t>Subdivision 2 — Determination of disputes by arbitration</w:t>
      </w:r>
      <w:bookmarkEnd w:id="805"/>
      <w:bookmarkEnd w:id="806"/>
      <w:bookmarkEnd w:id="807"/>
      <w:bookmarkEnd w:id="808"/>
      <w:bookmarkEnd w:id="809"/>
      <w:bookmarkEnd w:id="810"/>
      <w:bookmarkEnd w:id="811"/>
      <w:bookmarkEnd w:id="812"/>
    </w:p>
    <w:p>
      <w:pPr>
        <w:pStyle w:val="Footnoteheading"/>
      </w:pPr>
      <w:r>
        <w:tab/>
        <w:t>[Heading inserted: No. 31 of 2011 s. 6.]</w:t>
      </w:r>
    </w:p>
    <w:p>
      <w:pPr>
        <w:pStyle w:val="Heading5"/>
      </w:pPr>
      <w:bookmarkStart w:id="813" w:name="_Toc131514658"/>
      <w:r>
        <w:rPr>
          <w:rStyle w:val="CharSectno"/>
        </w:rPr>
        <w:t>182ZT</w:t>
      </w:r>
      <w:r>
        <w:t>.</w:t>
      </w:r>
      <w:r>
        <w:tab/>
        <w:t>Application for arbitration</w:t>
      </w:r>
      <w:bookmarkEnd w:id="813"/>
    </w:p>
    <w:p>
      <w:pPr>
        <w:pStyle w:val="Subsection"/>
      </w:pPr>
      <w:r>
        <w:tab/>
      </w:r>
      <w:r>
        <w:tab/>
        <w:t>If a dispute has not been resolved by conciliation, a party to the dispute may apply to the Registrar in accordance with this Act and the arbitration rules for determination of the dispute by arbitration.</w:t>
      </w:r>
    </w:p>
    <w:p>
      <w:pPr>
        <w:pStyle w:val="Footnotesection"/>
      </w:pPr>
      <w:r>
        <w:tab/>
        <w:t>[Section 182ZT inserted: No. 31 of 2011 s. 6.]</w:t>
      </w:r>
    </w:p>
    <w:p>
      <w:pPr>
        <w:pStyle w:val="Heading5"/>
      </w:pPr>
      <w:bookmarkStart w:id="814" w:name="_Toc131514659"/>
      <w:r>
        <w:rPr>
          <w:rStyle w:val="CharSectno"/>
        </w:rPr>
        <w:t>182ZU</w:t>
      </w:r>
      <w:r>
        <w:t>.</w:t>
      </w:r>
      <w:r>
        <w:tab/>
        <w:t>Acceptance of application by Registrar</w:t>
      </w:r>
      <w:bookmarkEnd w:id="814"/>
    </w:p>
    <w:p>
      <w:pPr>
        <w:pStyle w:val="Subsection"/>
      </w:pPr>
      <w:r>
        <w:tab/>
        <w:t>(1)</w:t>
      </w:r>
      <w:r>
        <w:tab/>
        <w:t xml:space="preserve">An application for arbitration cannot be accepted by the Registrar unless it is accompanied by — </w:t>
      </w:r>
    </w:p>
    <w:p>
      <w:pPr>
        <w:pStyle w:val="Indenta"/>
      </w:pPr>
      <w:r>
        <w:tab/>
        <w:t>(a)</w:t>
      </w:r>
      <w:r>
        <w:tab/>
        <w:t>a certificate issued by the Director under section 182H stating that no matter in dispute is suitable for conciliation; or</w:t>
      </w:r>
    </w:p>
    <w:p>
      <w:pPr>
        <w:pStyle w:val="Indenta"/>
      </w:pPr>
      <w:r>
        <w:tab/>
        <w:t>(b)</w:t>
      </w:r>
      <w:r>
        <w:tab/>
        <w:t>a certificate issued by a conciliation officer under section 182O identifying the matter or matters in dispute that have not been resolved by conciliation.</w:t>
      </w:r>
    </w:p>
    <w:p>
      <w:pPr>
        <w:pStyle w:val="Subsection"/>
      </w:pPr>
      <w:r>
        <w:tab/>
        <w:t>(2)</w:t>
      </w:r>
      <w:r>
        <w:tab/>
        <w:t>The Registrar may reject an application for arbitration if it does not comply with the arbitration rules.</w:t>
      </w:r>
    </w:p>
    <w:p>
      <w:pPr>
        <w:pStyle w:val="Subsection"/>
      </w:pPr>
      <w:r>
        <w:tab/>
        <w:t>(3)</w:t>
      </w:r>
      <w:r>
        <w:tab/>
        <w:t>Arbitration commences when an application for arbitration is accepted by the Registrar.</w:t>
      </w:r>
    </w:p>
    <w:p>
      <w:pPr>
        <w:pStyle w:val="Footnotesection"/>
      </w:pPr>
      <w:r>
        <w:tab/>
        <w:t>[Section 182ZU inserted: No. 31 of 2011 s. 6.]</w:t>
      </w:r>
    </w:p>
    <w:p>
      <w:pPr>
        <w:pStyle w:val="Heading5"/>
      </w:pPr>
      <w:bookmarkStart w:id="815" w:name="_Toc131514660"/>
      <w:r>
        <w:rPr>
          <w:rStyle w:val="CharSectno"/>
        </w:rPr>
        <w:t>182ZV</w:t>
      </w:r>
      <w:r>
        <w:t>.</w:t>
      </w:r>
      <w:r>
        <w:tab/>
        <w:t>Registrar to allocate dispute</w:t>
      </w:r>
      <w:bookmarkEnd w:id="815"/>
    </w:p>
    <w:p>
      <w:pPr>
        <w:pStyle w:val="Subsection"/>
      </w:pPr>
      <w:r>
        <w:tab/>
        <w:t>(1)</w:t>
      </w:r>
      <w:r>
        <w:tab/>
        <w:t>When an application for arbitration is accepted the Registrar is to allocate the dispute to which the application relates to an arbitrator for determination.</w:t>
      </w:r>
    </w:p>
    <w:p>
      <w:pPr>
        <w:pStyle w:val="Subsection"/>
      </w:pPr>
      <w:r>
        <w:tab/>
        <w:t>(2)</w:t>
      </w:r>
      <w:r>
        <w:tab/>
        <w:t>The Registrar may reallocate a dispute to another arbitrator at any time.</w:t>
      </w:r>
    </w:p>
    <w:p>
      <w:pPr>
        <w:pStyle w:val="Footnotesection"/>
      </w:pPr>
      <w:r>
        <w:tab/>
        <w:t>[Section 182ZV inserted: No. 31 of 2011 s. 6.]</w:t>
      </w:r>
    </w:p>
    <w:p>
      <w:pPr>
        <w:pStyle w:val="Heading5"/>
      </w:pPr>
      <w:bookmarkStart w:id="816" w:name="_Toc131514661"/>
      <w:r>
        <w:rPr>
          <w:rStyle w:val="CharSectno"/>
        </w:rPr>
        <w:lastRenderedPageBreak/>
        <w:t>182</w:t>
      </w:r>
      <w:r>
        <w:t>.</w:t>
      </w:r>
      <w:r>
        <w:tab/>
        <w:t>Who is to be given a copy of an application</w:t>
      </w:r>
      <w:bookmarkEnd w:id="816"/>
    </w:p>
    <w:p>
      <w:pPr>
        <w:pStyle w:val="Subsection"/>
      </w:pPr>
      <w:r>
        <w:tab/>
        <w:t>(1)</w:t>
      </w:r>
      <w:r>
        <w:tab/>
        <w:t>When an application for arbitration is accepted the applicant is to give a copy of the application to —</w:t>
      </w:r>
    </w:p>
    <w:p>
      <w:pPr>
        <w:pStyle w:val="Indenta"/>
        <w:spacing w:before="100"/>
      </w:pPr>
      <w:r>
        <w:tab/>
        <w:t>(a)</w:t>
      </w:r>
      <w:r>
        <w:tab/>
        <w:t>each other party; and</w:t>
      </w:r>
    </w:p>
    <w:p>
      <w:pPr>
        <w:pStyle w:val="Indenta"/>
        <w:spacing w:before="100"/>
      </w:pPr>
      <w:r>
        <w:tab/>
        <w:t>(b)</w:t>
      </w:r>
      <w:r>
        <w:tab/>
        <w:t>any other person entitled under this Act to a copy of, or notice of, the application; and</w:t>
      </w:r>
    </w:p>
    <w:p>
      <w:pPr>
        <w:pStyle w:val="Indenta"/>
        <w:spacing w:before="100"/>
      </w:pPr>
      <w:r>
        <w:tab/>
        <w:t>(c)</w:t>
      </w:r>
      <w:r>
        <w:tab/>
        <w:t>any person to whom the applicant is directed by the Registrar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if —</w:t>
      </w:r>
    </w:p>
    <w:p>
      <w:pPr>
        <w:pStyle w:val="Indenta"/>
        <w:spacing w:before="100"/>
      </w:pPr>
      <w:r>
        <w:tab/>
        <w:t>(a)</w:t>
      </w:r>
      <w:r>
        <w:tab/>
        <w:t>the Registrar has undertaken to give a copy of the application to the notifiable person; or</w:t>
      </w:r>
    </w:p>
    <w:p>
      <w:pPr>
        <w:pStyle w:val="Indenta"/>
        <w:spacing w:before="100"/>
      </w:pPr>
      <w:r>
        <w:tab/>
        <w:t>(b)</w:t>
      </w:r>
      <w:r>
        <w:tab/>
        <w:t>under subsection (3) an arbitrator dispenses with the requirement to give a copy of the application to a notifiable person.</w:t>
      </w:r>
    </w:p>
    <w:p>
      <w:pPr>
        <w:pStyle w:val="Subsection"/>
      </w:pPr>
      <w:r>
        <w:tab/>
        <w:t>(3)</w:t>
      </w:r>
      <w:r>
        <w:tab/>
        <w:t>An arbitrator may make an order dispensing with the requirement to give a copy of an application to a notifiable person specified in the order if satisfied —</w:t>
      </w:r>
    </w:p>
    <w:p>
      <w:pPr>
        <w:pStyle w:val="Indenta"/>
        <w:spacing w:before="100"/>
      </w:pPr>
      <w:r>
        <w:tab/>
        <w:t>(a)</w:t>
      </w:r>
      <w:r>
        <w:tab/>
        <w:t>that the applicant has made all reasonable attempts to give a copy of the application to the notifiable person but has been unsuccessful; or</w:t>
      </w:r>
    </w:p>
    <w:p>
      <w:pPr>
        <w:pStyle w:val="Indenta"/>
        <w:spacing w:before="100"/>
      </w:pPr>
      <w:r>
        <w:tab/>
        <w:t>(b)</w:t>
      </w:r>
      <w:r>
        <w:tab/>
        <w:t>that the hearing of the application without notice to the notifiable person would not cause injustice.</w:t>
      </w:r>
    </w:p>
    <w:p>
      <w:pPr>
        <w:pStyle w:val="Subsection"/>
      </w:pPr>
      <w:r>
        <w:tab/>
        <w:t>(4)</w:t>
      </w:r>
      <w:r>
        <w:tab/>
        <w:t>The arbitration rules may provide for the manner in which and time within which subsection (1) is to be complied with.</w:t>
      </w:r>
    </w:p>
    <w:p>
      <w:pPr>
        <w:pStyle w:val="Footnotesection"/>
      </w:pPr>
      <w:r>
        <w:tab/>
        <w:t>[Section 182 inserted: No. 42 of 2004 s. 130; amended: No. 31 of 2011 s. 43, 75 and 76.]</w:t>
      </w:r>
    </w:p>
    <w:p>
      <w:pPr>
        <w:pStyle w:val="Heading5"/>
      </w:pPr>
      <w:bookmarkStart w:id="817" w:name="_Toc131514662"/>
      <w:r>
        <w:rPr>
          <w:rStyle w:val="CharSectno"/>
        </w:rPr>
        <w:t>183</w:t>
      </w:r>
      <w:r>
        <w:t>.</w:t>
      </w:r>
      <w:r>
        <w:tab/>
        <w:t>Information exchange by parties</w:t>
      </w:r>
      <w:bookmarkEnd w:id="817"/>
    </w:p>
    <w:p>
      <w:pPr>
        <w:pStyle w:val="Subsection"/>
      </w:pPr>
      <w:r>
        <w:tab/>
        <w:t>(1)</w:t>
      </w:r>
      <w:r>
        <w:tab/>
        <w:t xml:space="preserve">If an application for arbitration is accepted a party to the dispute must comply with the provisions of the arbitration rules as to — </w:t>
      </w:r>
    </w:p>
    <w:p>
      <w:pPr>
        <w:pStyle w:val="Indenta"/>
      </w:pPr>
      <w:r>
        <w:lastRenderedPageBreak/>
        <w:tab/>
        <w:t>(a)</w:t>
      </w:r>
      <w:r>
        <w:tab/>
        <w:t>the documents, material and information that the party must provide to other parties and the Registrar; and</w:t>
      </w:r>
    </w:p>
    <w:p>
      <w:pPr>
        <w:pStyle w:val="Indenta"/>
      </w:pPr>
      <w:r>
        <w:tab/>
        <w:t>(b)</w:t>
      </w:r>
      <w:r>
        <w:tab/>
        <w:t>the time or times at which, and manner in which, the documents, material and information must be provided.</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The arbitration rules may provide for exceptions to subsections (4) and (5) and may authorise an arbitrator to permit —</w:t>
      </w:r>
    </w:p>
    <w:p>
      <w:pPr>
        <w:pStyle w:val="Indenta"/>
      </w:pPr>
      <w:r>
        <w:tab/>
        <w:t>(a)</w:t>
      </w:r>
      <w:r>
        <w:tab/>
        <w:t xml:space="preserve">the admission in a proceeding before the arbitrator in specified circumstances of any document, material or </w:t>
      </w:r>
      <w:r>
        <w:lastRenderedPageBreak/>
        <w:t>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If an arbitrator is satisfied that a party has failed without reasonable excuse to comply with a requirement of this section, the arbitrator may do any one or more of the following —</w:t>
      </w:r>
    </w:p>
    <w:p>
      <w:pPr>
        <w:pStyle w:val="Indenta"/>
      </w:pPr>
      <w:r>
        <w:tab/>
        <w:t>(a)</w:t>
      </w:r>
      <w:r>
        <w:tab/>
        <w:t>refer the matter to WorkCover WA;</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r>
        <w:tab/>
        <w:t>[Section 183 inserted: No. 42 of 2004 s. 130; amended: No. 31 of 2011 s. 44 and 76.]</w:t>
      </w:r>
    </w:p>
    <w:p>
      <w:pPr>
        <w:pStyle w:val="Ednotesection"/>
      </w:pPr>
      <w:r>
        <w:t>[</w:t>
      </w:r>
      <w:r>
        <w:rPr>
          <w:b/>
        </w:rPr>
        <w:t>184.</w:t>
      </w:r>
      <w:r>
        <w:tab/>
        <w:t>Deleted: No. 31 of 2011 s. 45.]</w:t>
      </w:r>
    </w:p>
    <w:p>
      <w:pPr>
        <w:pStyle w:val="Heading5"/>
      </w:pPr>
      <w:bookmarkStart w:id="818" w:name="_Toc131514663"/>
      <w:r>
        <w:rPr>
          <w:rStyle w:val="CharSectno"/>
        </w:rPr>
        <w:t>185</w:t>
      </w:r>
      <w:r>
        <w:t>.</w:t>
      </w:r>
      <w:r>
        <w:tab/>
        <w:t>Duties of arbitrators</w:t>
      </w:r>
      <w:bookmarkEnd w:id="818"/>
    </w:p>
    <w:p>
      <w:pPr>
        <w:pStyle w:val="Subsection"/>
      </w:pPr>
      <w:r>
        <w:tab/>
        <w:t>(1)</w:t>
      </w:r>
      <w:r>
        <w:tab/>
        <w:t>The arbitrator to whom a dispute is allocated is to determine the matter or matters in dispute in accordance with this Act and the arbitration rules.</w:t>
      </w:r>
    </w:p>
    <w:p>
      <w:pPr>
        <w:pStyle w:val="Subsection"/>
      </w:pPr>
      <w:r>
        <w:tab/>
        <w:t>(2)</w:t>
      </w:r>
      <w:r>
        <w:tab/>
        <w:t>The arbitrator is not to attempt to resolve any matter in dispute by conciliation.</w:t>
      </w:r>
    </w:p>
    <w:p>
      <w:pPr>
        <w:pStyle w:val="Subsection"/>
      </w:pPr>
      <w:r>
        <w:tab/>
        <w:t>(3)</w:t>
      </w:r>
      <w:r>
        <w:tab/>
        <w:t>Subsection (2) applies even if there was no conciliation of any matter in dispute because the Director issued a certificate under section 182H.</w:t>
      </w:r>
    </w:p>
    <w:p>
      <w:pPr>
        <w:pStyle w:val="Footnotesection"/>
      </w:pPr>
      <w:r>
        <w:tab/>
        <w:t>[Section 185 inserted: No. 31 of 2011 s. 7.]</w:t>
      </w:r>
    </w:p>
    <w:p>
      <w:pPr>
        <w:pStyle w:val="Ednotesection"/>
        <w:tabs>
          <w:tab w:val="clear" w:pos="893"/>
          <w:tab w:val="left" w:pos="1254"/>
        </w:tabs>
      </w:pPr>
      <w:r>
        <w:lastRenderedPageBreak/>
        <w:t>[</w:t>
      </w:r>
      <w:r>
        <w:rPr>
          <w:b/>
        </w:rPr>
        <w:t>186, 187.</w:t>
      </w:r>
      <w:r>
        <w:tab/>
        <w:t>Deleted: No. 31 of 2011 s. 46.]</w:t>
      </w:r>
    </w:p>
    <w:p>
      <w:pPr>
        <w:pStyle w:val="Heading4"/>
      </w:pPr>
      <w:bookmarkStart w:id="819" w:name="_Toc100238686"/>
      <w:bookmarkStart w:id="820" w:name="_Toc100239300"/>
      <w:bookmarkStart w:id="821" w:name="_Toc100562594"/>
      <w:bookmarkStart w:id="822" w:name="_Toc107310230"/>
      <w:bookmarkStart w:id="823" w:name="_Toc107480084"/>
      <w:bookmarkStart w:id="824" w:name="_Toc131501450"/>
      <w:bookmarkStart w:id="825" w:name="_Toc131502068"/>
      <w:bookmarkStart w:id="826" w:name="_Toc131514664"/>
      <w:r>
        <w:t>Subdivision 3 — Practice and procedure</w:t>
      </w:r>
      <w:bookmarkEnd w:id="819"/>
      <w:bookmarkEnd w:id="820"/>
      <w:bookmarkEnd w:id="821"/>
      <w:bookmarkEnd w:id="822"/>
      <w:bookmarkEnd w:id="823"/>
      <w:bookmarkEnd w:id="824"/>
      <w:bookmarkEnd w:id="825"/>
      <w:bookmarkEnd w:id="826"/>
    </w:p>
    <w:p>
      <w:pPr>
        <w:pStyle w:val="Footnoteheading"/>
      </w:pPr>
      <w:r>
        <w:tab/>
        <w:t>[Heading inserted: No. 31 of 2011 s. 47.]</w:t>
      </w:r>
    </w:p>
    <w:p>
      <w:pPr>
        <w:pStyle w:val="Heading5"/>
      </w:pPr>
      <w:bookmarkStart w:id="827" w:name="_Toc131514665"/>
      <w:r>
        <w:rPr>
          <w:rStyle w:val="CharSectno"/>
        </w:rPr>
        <w:t>188</w:t>
      </w:r>
      <w:r>
        <w:t>.</w:t>
      </w:r>
      <w:r>
        <w:tab/>
        <w:t>Practice and procedure, generally</w:t>
      </w:r>
      <w:bookmarkEnd w:id="827"/>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w:t>
      </w:r>
    </w:p>
    <w:p>
      <w:pPr>
        <w:pStyle w:val="Indenta"/>
      </w:pPr>
      <w:r>
        <w:tab/>
        <w:t>(a)</w:t>
      </w:r>
      <w:r>
        <w:tab/>
        <w:t>is not bound by the rules of evidence or any practice or procedure applicable to courts of record, except to the extent that the arbitration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An arbitrator may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r>
        <w:tab/>
        <w:t>[Section 188 inserted: No. 42 of 2004 s. 130; amended: No. 31 of 2011 s. 76.]</w:t>
      </w:r>
    </w:p>
    <w:p>
      <w:pPr>
        <w:pStyle w:val="Ednotesection"/>
        <w:outlineLvl w:val="9"/>
      </w:pPr>
      <w:r>
        <w:lastRenderedPageBreak/>
        <w:t>[</w:t>
      </w:r>
      <w:r>
        <w:rPr>
          <w:b/>
        </w:rPr>
        <w:t>188A.</w:t>
      </w:r>
      <w:r>
        <w:tab/>
        <w:t>Deleted: No. 42 of 2004 s. 136.]</w:t>
      </w:r>
    </w:p>
    <w:p>
      <w:pPr>
        <w:pStyle w:val="Heading5"/>
      </w:pPr>
      <w:bookmarkStart w:id="828" w:name="_Toc131514666"/>
      <w:r>
        <w:rPr>
          <w:rStyle w:val="CharSectno"/>
        </w:rPr>
        <w:t>189</w:t>
      </w:r>
      <w:r>
        <w:t>.</w:t>
      </w:r>
      <w:r>
        <w:tab/>
        <w:t>Relief or redress granted need not be restricted to claim</w:t>
      </w:r>
      <w:bookmarkEnd w:id="828"/>
    </w:p>
    <w:p>
      <w:pPr>
        <w:pStyle w:val="Subsection"/>
      </w:pPr>
      <w:r>
        <w:tab/>
        <w:t>(1)</w:t>
      </w:r>
      <w:r>
        <w:tab/>
        <w:t>The granting of relief or redress under this Act is not necessarily to be restricted to the specific claim made nor to the subject matter of the claim.</w:t>
      </w:r>
    </w:p>
    <w:p>
      <w:pPr>
        <w:pStyle w:val="Subsection"/>
      </w:pPr>
      <w:r>
        <w:tab/>
        <w:t>(2)</w:t>
      </w:r>
      <w:r>
        <w:tab/>
        <w:t>However subsection (1) does not prevent the arbitrator from determining that a matter is beyond the scope of the application for conciliation that preceded the application for arbitration and should be the subject of another application for conciliation.</w:t>
      </w:r>
    </w:p>
    <w:p>
      <w:pPr>
        <w:pStyle w:val="Footnotesection"/>
      </w:pPr>
      <w:r>
        <w:tab/>
        <w:t>[Section 189 inserted: No. 42 of 2004 s. 130; amended: No. 31 of 2011 s. 8.]</w:t>
      </w:r>
    </w:p>
    <w:p>
      <w:pPr>
        <w:pStyle w:val="Heading5"/>
      </w:pPr>
      <w:bookmarkStart w:id="829" w:name="_Toc131514667"/>
      <w:r>
        <w:rPr>
          <w:rStyle w:val="CharSectno"/>
        </w:rPr>
        <w:t>190</w:t>
      </w:r>
      <w:r>
        <w:t>.</w:t>
      </w:r>
      <w:r>
        <w:tab/>
        <w:t>Directions by arbitrator</w:t>
      </w:r>
      <w:bookmarkEnd w:id="829"/>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r>
        <w:tab/>
        <w:t>[Section 190 inserted: No. 42 of 2004 s. 130.]</w:t>
      </w:r>
    </w:p>
    <w:p>
      <w:pPr>
        <w:pStyle w:val="Heading5"/>
      </w:pPr>
      <w:bookmarkStart w:id="830" w:name="_Toc131514668"/>
      <w:r>
        <w:rPr>
          <w:rStyle w:val="CharSectno"/>
        </w:rPr>
        <w:t>191</w:t>
      </w:r>
      <w:r>
        <w:t>.</w:t>
      </w:r>
      <w:r>
        <w:tab/>
        <w:t>Dependants of workers, proof as to</w:t>
      </w:r>
      <w:bookmarkEnd w:id="830"/>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r>
        <w:tab/>
        <w:t>[Section 191 inserted: No. 42 of 2004 s. 130.]</w:t>
      </w:r>
    </w:p>
    <w:p>
      <w:pPr>
        <w:pStyle w:val="Heading5"/>
      </w:pPr>
      <w:bookmarkStart w:id="831" w:name="_Toc131514669"/>
      <w:r>
        <w:rPr>
          <w:rStyle w:val="CharSectno"/>
        </w:rPr>
        <w:lastRenderedPageBreak/>
        <w:t>192</w:t>
      </w:r>
      <w:r>
        <w:t>.</w:t>
      </w:r>
      <w:r>
        <w:tab/>
        <w:t>Illegal contracts of employment may be treated as valid</w:t>
      </w:r>
      <w:bookmarkEnd w:id="831"/>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r>
        <w:tab/>
        <w:t>[Section 192 inserted: No. 42 of 2004 s. 130.]</w:t>
      </w:r>
    </w:p>
    <w:p>
      <w:pPr>
        <w:pStyle w:val="Heading5"/>
      </w:pPr>
      <w:bookmarkStart w:id="832" w:name="_Toc131514670"/>
      <w:r>
        <w:rPr>
          <w:rStyle w:val="CharSectno"/>
        </w:rPr>
        <w:t>193</w:t>
      </w:r>
      <w:r>
        <w:t>.</w:t>
      </w:r>
      <w:r>
        <w:tab/>
        <w:t>Arbitrator’s powers to obtain information</w:t>
      </w:r>
      <w:bookmarkEnd w:id="832"/>
    </w:p>
    <w:p>
      <w:pPr>
        <w:pStyle w:val="Subsection"/>
      </w:pPr>
      <w:r>
        <w:tab/>
        <w:t>(1)</w:t>
      </w:r>
      <w:r>
        <w:tab/>
        <w:t>An arbitrator may order any person (whether or not a party to a dispute before the arbitrator)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The order may require the documents or material to be produced or the information to be furnished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the Registrar or an arbitrator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lastRenderedPageBreak/>
        <w:tab/>
        <w:t>(5)</w:t>
      </w:r>
      <w:r>
        <w:tab/>
        <w:t>The regulations or arbitration rules may make provision for or with respect to any of the following matters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r>
        <w:tab/>
        <w:t>[Section 193 inserted: No. 42 of 2004 s. 130; amended: No. 31 of 2011 s. 48 and 76.]</w:t>
      </w:r>
    </w:p>
    <w:p>
      <w:pPr>
        <w:pStyle w:val="Heading5"/>
      </w:pPr>
      <w:bookmarkStart w:id="833" w:name="_Toc131514671"/>
      <w:r>
        <w:rPr>
          <w:rStyle w:val="CharSectno"/>
        </w:rPr>
        <w:t>194</w:t>
      </w:r>
      <w:r>
        <w:t>.</w:t>
      </w:r>
      <w:r>
        <w:tab/>
        <w:t>Arbitrator may give information etc. to and restrict disclosure by other party or medical practitioner</w:t>
      </w:r>
      <w:bookmarkEnd w:id="833"/>
    </w:p>
    <w:p>
      <w:pPr>
        <w:pStyle w:val="Subsection"/>
      </w:pPr>
      <w:r>
        <w:tab/>
        <w:t>(1)</w:t>
      </w:r>
      <w:r>
        <w:tab/>
        <w:t>When a document or other material or information relevant to a proceeding before an arbitrator is produced or furnished to the arbitrator by a party to the proceeding or another person (whether or not pursuant to a requirement under this Division), the arbitrator may produce or furnish the document, material or information to —</w:t>
      </w:r>
    </w:p>
    <w:p>
      <w:pPr>
        <w:pStyle w:val="Indenta"/>
      </w:pPr>
      <w:r>
        <w:tab/>
        <w:t>(a)</w:t>
      </w:r>
      <w:r>
        <w:tab/>
        <w:t>any other party to the proceeding; or</w:t>
      </w:r>
    </w:p>
    <w:p>
      <w:pPr>
        <w:pStyle w:val="Indenta"/>
      </w:pPr>
      <w:r>
        <w:tab/>
        <w:t>(b)</w:t>
      </w:r>
      <w:r>
        <w:tab/>
        <w:t>any other party’s legal representative or registered agent; or</w:t>
      </w:r>
    </w:p>
    <w:p>
      <w:pPr>
        <w:pStyle w:val="Indenta"/>
        <w:spacing w:before="60"/>
      </w:pPr>
      <w:r>
        <w:tab/>
        <w:t>(c)</w:t>
      </w:r>
      <w:r>
        <w:tab/>
        <w:t>a medical practitioner (including a medical assessment panel and an approved medical specialist panel).</w:t>
      </w:r>
    </w:p>
    <w:p>
      <w:pPr>
        <w:pStyle w:val="Subsection"/>
      </w:pPr>
      <w:r>
        <w:tab/>
        <w:t>(2)</w:t>
      </w:r>
      <w:r>
        <w:tab/>
        <w:t xml:space="preserve">The arbitrator may, when producing or furnishing documents, material or information, to another person direct that the person must not cause or permit disclosure of the information, or </w:t>
      </w:r>
      <w:r>
        <w:lastRenderedPageBreak/>
        <w:t>information in the documents or material, or any specified part of that information, to another person.</w:t>
      </w:r>
    </w:p>
    <w:p>
      <w:pPr>
        <w:pStyle w:val="Footnotesection"/>
      </w:pPr>
      <w:r>
        <w:tab/>
        <w:t>[Section 194 inserted: No. 42 of 2004 s. 130; amended: No. 31 of 2011 s. 49.]</w:t>
      </w:r>
    </w:p>
    <w:p>
      <w:pPr>
        <w:pStyle w:val="Heading5"/>
      </w:pPr>
      <w:bookmarkStart w:id="834" w:name="_Toc131514672"/>
      <w:r>
        <w:rPr>
          <w:rStyle w:val="CharSectno"/>
        </w:rPr>
        <w:t>195</w:t>
      </w:r>
      <w:r>
        <w:t>.</w:t>
      </w:r>
      <w:r>
        <w:tab/>
        <w:t>Representation</w:t>
      </w:r>
      <w:bookmarkEnd w:id="834"/>
    </w:p>
    <w:p>
      <w:pPr>
        <w:pStyle w:val="Subsection"/>
        <w:keepNext/>
      </w:pPr>
      <w:r>
        <w:tab/>
        <w:t>(1)</w:t>
      </w:r>
      <w:r>
        <w:tab/>
        <w:t>At any hearing or conference before an arbitrator, a party to the proceeding may appear in person or may be represented by —</w:t>
      </w:r>
    </w:p>
    <w:p>
      <w:pPr>
        <w:pStyle w:val="Indenta"/>
        <w:spacing w:before="60"/>
      </w:pPr>
      <w:r>
        <w:tab/>
        <w:t>(a)</w:t>
      </w:r>
      <w:r>
        <w:tab/>
        <w:t>a legal practitioner; or</w:t>
      </w:r>
    </w:p>
    <w:p>
      <w:pPr>
        <w:pStyle w:val="Indenta"/>
        <w:spacing w:before="60"/>
      </w:pPr>
      <w:r>
        <w:tab/>
        <w:t>(b)</w:t>
      </w:r>
      <w:r>
        <w:tab/>
        <w:t>a registered agent; or</w:t>
      </w:r>
    </w:p>
    <w:p>
      <w:pPr>
        <w:pStyle w:val="Indenta"/>
        <w:spacing w:before="60"/>
      </w:pPr>
      <w:r>
        <w:tab/>
        <w:t>(c)</w:t>
      </w:r>
      <w:r>
        <w:tab/>
        <w:t>if the party is a body corporate, a director, secretary, or other officer of the body corporate; or</w:t>
      </w:r>
    </w:p>
    <w:p>
      <w:pPr>
        <w:pStyle w:val="Indenta"/>
        <w:spacing w:before="60"/>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Ednotesubsection"/>
      </w:pPr>
      <w:r>
        <w:tab/>
        <w:t>[(4A)</w:t>
      </w:r>
      <w:r>
        <w:tab/>
        <w:t>deleted]</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arbitration rules may prevent specified persons, or persons of a specified class, from representing a party.</w:t>
      </w:r>
    </w:p>
    <w:p>
      <w:pPr>
        <w:pStyle w:val="Footnotesection"/>
        <w:spacing w:before="100"/>
        <w:ind w:left="890" w:hanging="890"/>
      </w:pPr>
      <w:r>
        <w:tab/>
        <w:t>[Section 195 inserted: No. 42 of 2004 s. 130; amended: No. 31 of 2011 s. 50 and 76; No. 9 of 2022 s. 414.]</w:t>
      </w:r>
    </w:p>
    <w:p>
      <w:pPr>
        <w:pStyle w:val="Heading5"/>
      </w:pPr>
      <w:bookmarkStart w:id="835" w:name="_Toc131514673"/>
      <w:r>
        <w:rPr>
          <w:rStyle w:val="CharSectno"/>
        </w:rPr>
        <w:lastRenderedPageBreak/>
        <w:t>196</w:t>
      </w:r>
      <w:r>
        <w:t>.</w:t>
      </w:r>
      <w:r>
        <w:tab/>
        <w:t>Litigation guardians, rules about</w:t>
      </w:r>
      <w:bookmarkEnd w:id="835"/>
    </w:p>
    <w:p>
      <w:pPr>
        <w:pStyle w:val="Subsection"/>
      </w:pPr>
      <w:r>
        <w:tab/>
        <w:t>(1)</w:t>
      </w:r>
      <w:r>
        <w:tab/>
        <w:t>The arbitration rules may provide that, if a child is a party or potential party to a proceeding or proposed proceeding, an arbitrator may appoint a litigation guardian to act on the child’s behalf.</w:t>
      </w:r>
    </w:p>
    <w:p>
      <w:pPr>
        <w:pStyle w:val="Subsection"/>
      </w:pPr>
      <w:r>
        <w:tab/>
        <w:t>(2)</w:t>
      </w:r>
      <w:r>
        <w:tab/>
        <w:t xml:space="preserve">The arbitration rules may provide that, if a party to a dispute is under a legal disability (otherwise than because of being a child), an arbitrator may adjourn or defer the proceeding or proposed proceeding until a litigation guardian is appointed to act on the party’s behalf, whether under the </w:t>
      </w:r>
      <w:r>
        <w:rPr>
          <w:i/>
        </w:rPr>
        <w:t>Guardianship and Administration Act </w:t>
      </w:r>
      <w:r>
        <w:rPr>
          <w:i/>
          <w:iCs/>
        </w:rPr>
        <w:t>1990</w:t>
      </w:r>
      <w:r>
        <w:t xml:space="preserve"> or otherwise.</w:t>
      </w:r>
    </w:p>
    <w:p>
      <w:pPr>
        <w:pStyle w:val="Footnotesection"/>
        <w:spacing w:before="100"/>
        <w:ind w:left="890" w:hanging="890"/>
      </w:pPr>
      <w:r>
        <w:tab/>
        <w:t>[Section 196 inserted: No. 31 of 2011 s. 51.]</w:t>
      </w:r>
    </w:p>
    <w:p>
      <w:pPr>
        <w:pStyle w:val="Heading5"/>
      </w:pPr>
      <w:bookmarkStart w:id="836" w:name="_Toc131514674"/>
      <w:r>
        <w:rPr>
          <w:rStyle w:val="CharSectno"/>
        </w:rPr>
        <w:t>197</w:t>
      </w:r>
      <w:r>
        <w:t>.</w:t>
      </w:r>
      <w:r>
        <w:tab/>
        <w:t>Interpreters and assistants</w:t>
      </w:r>
      <w:bookmarkEnd w:id="836"/>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00"/>
        <w:ind w:left="890" w:hanging="890"/>
      </w:pPr>
      <w:r>
        <w:tab/>
        <w:t>[Section 197 inserted: No. 42 of 2004 s. 130.]</w:t>
      </w:r>
    </w:p>
    <w:p>
      <w:pPr>
        <w:pStyle w:val="Heading5"/>
      </w:pPr>
      <w:bookmarkStart w:id="837" w:name="_Toc131514675"/>
      <w:r>
        <w:rPr>
          <w:rStyle w:val="CharSectno"/>
        </w:rPr>
        <w:t>198</w:t>
      </w:r>
      <w:r>
        <w:t>.</w:t>
      </w:r>
      <w:r>
        <w:tab/>
        <w:t>Ways of conducting arbitration proceedings</w:t>
      </w:r>
      <w:bookmarkEnd w:id="837"/>
    </w:p>
    <w:p>
      <w:pPr>
        <w:pStyle w:val="Ednotesubsection"/>
      </w:pPr>
      <w:r>
        <w:tab/>
        <w:t>[(1)</w:t>
      </w:r>
      <w:r>
        <w:tab/>
        <w:t>deleted]</w:t>
      </w:r>
    </w:p>
    <w:p>
      <w:pPr>
        <w:pStyle w:val="Subsection"/>
      </w:pPr>
      <w:r>
        <w:tab/>
        <w:t>(2)</w:t>
      </w:r>
      <w:r>
        <w:tab/>
        <w:t>If an arbitrator thinks it appropriate, the arbitrator is to allow the parties and their representatives and any witnesses (or one or more of them) to participate in a hearing of a proceeding by means of telephones, video links, or any other system or method of communication.</w:t>
      </w:r>
    </w:p>
    <w:p>
      <w:pPr>
        <w:pStyle w:val="Subsection"/>
      </w:pPr>
      <w:r>
        <w:lastRenderedPageBreak/>
        <w:tab/>
        <w:t>(3)</w:t>
      </w:r>
      <w:r>
        <w:tab/>
        <w:t>If an arbitrator thinks it appropriate, the arbitrator may conduct all or part of a proceeding entirely on the basis of documents without the parties or their representatives or any witnesses attending or participating in a hearing.</w:t>
      </w:r>
    </w:p>
    <w:p>
      <w:pPr>
        <w:pStyle w:val="Subsection"/>
      </w:pPr>
      <w:r>
        <w:tab/>
        <w:t>(4)</w:t>
      </w:r>
      <w:r>
        <w:tab/>
        <w:t>An arbitrator may take into account a written submission prepared by a legal practitioner or registered agent acting for a party to a proceeding and submitted by or on behalf of the party, whether or not the party is represented by a legal practitioner or registered agent at any hearing of the proceeding.</w:t>
      </w:r>
    </w:p>
    <w:p>
      <w:pPr>
        <w:pStyle w:val="Subsection"/>
        <w:spacing w:before="13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30"/>
      </w:pPr>
      <w:r>
        <w:tab/>
        <w:t>(6)</w:t>
      </w:r>
      <w:r>
        <w:tab/>
        <w:t>Provisions of this Act applying to hearings apply with any necessary modifications in relation to a proceeding conducted in accordance with subsection (3).</w:t>
      </w:r>
    </w:p>
    <w:p>
      <w:pPr>
        <w:pStyle w:val="Footnotesection"/>
      </w:pPr>
      <w:r>
        <w:tab/>
        <w:t>[Section 198 inserted: No. 42 of 2004 s. 130; amended: No. 16 of 2005 s. 23; No. 31 of 2011 s. 52.]</w:t>
      </w:r>
    </w:p>
    <w:p>
      <w:pPr>
        <w:pStyle w:val="Heading5"/>
      </w:pPr>
      <w:bookmarkStart w:id="838" w:name="_Toc131514676"/>
      <w:r>
        <w:rPr>
          <w:rStyle w:val="CharSectno"/>
        </w:rPr>
        <w:t>199</w:t>
      </w:r>
      <w:r>
        <w:t>.</w:t>
      </w:r>
      <w:r>
        <w:tab/>
        <w:t>Hearings to be in private</w:t>
      </w:r>
      <w:bookmarkEnd w:id="838"/>
    </w:p>
    <w:p>
      <w:pPr>
        <w:pStyle w:val="Subsection"/>
        <w:spacing w:before="130"/>
      </w:pPr>
      <w:r>
        <w:tab/>
      </w:r>
      <w:r>
        <w:tab/>
        <w:t>Hearings before an arbitrator are to be conducted in private unless —</w:t>
      </w:r>
    </w:p>
    <w:p>
      <w:pPr>
        <w:pStyle w:val="Indenta"/>
      </w:pPr>
      <w:r>
        <w:tab/>
        <w:t>(a)</w:t>
      </w:r>
      <w:r>
        <w:tab/>
        <w:t>the arbitrator conducting the hearing decides that it should be conducted in public; or</w:t>
      </w:r>
    </w:p>
    <w:p>
      <w:pPr>
        <w:pStyle w:val="Indenta"/>
      </w:pPr>
      <w:r>
        <w:tab/>
        <w:t>(b)</w:t>
      </w:r>
      <w:r>
        <w:tab/>
        <w:t>the arbitration rules otherwise provide.</w:t>
      </w:r>
    </w:p>
    <w:p>
      <w:pPr>
        <w:pStyle w:val="Footnotesection"/>
      </w:pPr>
      <w:r>
        <w:tab/>
        <w:t>[Section 199 inserted: No. 42 of 2004 s. 130; amended: No. 31 of 2011 s. 53 and 76.]</w:t>
      </w:r>
    </w:p>
    <w:p>
      <w:pPr>
        <w:pStyle w:val="Heading5"/>
      </w:pPr>
      <w:bookmarkStart w:id="839" w:name="_Toc131514677"/>
      <w:r>
        <w:rPr>
          <w:rStyle w:val="CharSectno"/>
        </w:rPr>
        <w:lastRenderedPageBreak/>
        <w:t>200</w:t>
      </w:r>
      <w:r>
        <w:t>.</w:t>
      </w:r>
      <w:r>
        <w:tab/>
        <w:t>Hearings, notice of and failure to attend</w:t>
      </w:r>
      <w:bookmarkEnd w:id="839"/>
    </w:p>
    <w:p>
      <w:pPr>
        <w:pStyle w:val="Subsection"/>
        <w:keepNext/>
        <w:spacing w:before="130"/>
      </w:pPr>
      <w:r>
        <w:tab/>
        <w:t>(1)</w:t>
      </w:r>
      <w:r>
        <w:tab/>
        <w:t>Notice of the time and place for the hearing of a proceeding is to be given in accordance with the arbitration rules to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30"/>
      </w:pPr>
      <w:r>
        <w:tab/>
        <w:t>(2)</w:t>
      </w:r>
      <w:r>
        <w:tab/>
        <w:t>If a person, including a party, to whom notice has been given in accordance with the arbitration rules fails to attend, the hearing may be held in the absence of that person.</w:t>
      </w:r>
    </w:p>
    <w:p>
      <w:pPr>
        <w:pStyle w:val="Subsection"/>
        <w:spacing w:before="130"/>
      </w:pPr>
      <w:r>
        <w:tab/>
        <w:t>(3)</w:t>
      </w:r>
      <w:r>
        <w:tab/>
        <w:t>The failure of a party to attend a hearing of a proceeding does not affect the validity of any decision made in relation to the proceeding.</w:t>
      </w:r>
    </w:p>
    <w:p>
      <w:pPr>
        <w:pStyle w:val="Footnotesection"/>
      </w:pPr>
      <w:r>
        <w:tab/>
        <w:t>[Section 200 inserted: No. 42 of 2004 s. 130; amended: No. 31 of 2011 s. 76.]</w:t>
      </w:r>
    </w:p>
    <w:p>
      <w:pPr>
        <w:pStyle w:val="Heading5"/>
      </w:pPr>
      <w:bookmarkStart w:id="840" w:name="_Toc131514678"/>
      <w:r>
        <w:rPr>
          <w:rStyle w:val="CharSectno"/>
        </w:rPr>
        <w:t>201</w:t>
      </w:r>
      <w:r>
        <w:t>.</w:t>
      </w:r>
      <w:r>
        <w:tab/>
        <w:t>Experts, use of by arbitrators</w:t>
      </w:r>
      <w:bookmarkEnd w:id="840"/>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r>
        <w:tab/>
        <w:t>[Section 201 inserted: No. 42 of 2004 s. 130.]</w:t>
      </w:r>
    </w:p>
    <w:p>
      <w:pPr>
        <w:pStyle w:val="Heading5"/>
      </w:pPr>
      <w:bookmarkStart w:id="841" w:name="_Toc131514679"/>
      <w:r>
        <w:rPr>
          <w:rStyle w:val="CharSectno"/>
        </w:rPr>
        <w:t>202</w:t>
      </w:r>
      <w:r>
        <w:t>.</w:t>
      </w:r>
      <w:r>
        <w:tab/>
        <w:t>Summoning witnesses</w:t>
      </w:r>
      <w:bookmarkEnd w:id="841"/>
    </w:p>
    <w:p>
      <w:pPr>
        <w:pStyle w:val="Subsection"/>
      </w:pPr>
      <w:r>
        <w:tab/>
      </w:r>
      <w:r>
        <w:tab/>
        <w:t>The Registrar or an arbitrator may issue a summons requiring the attendance of a person before an arbitrator.</w:t>
      </w:r>
    </w:p>
    <w:p>
      <w:pPr>
        <w:pStyle w:val="Footnotesection"/>
      </w:pPr>
      <w:r>
        <w:tab/>
        <w:t>[Section 202 inserted: No. 42 of 2004 s. 130; amended: No. 31 of 2011 s. 75.]</w:t>
      </w:r>
    </w:p>
    <w:p>
      <w:pPr>
        <w:pStyle w:val="Heading5"/>
      </w:pPr>
      <w:bookmarkStart w:id="842" w:name="_Toc131514680"/>
      <w:r>
        <w:rPr>
          <w:rStyle w:val="CharSectno"/>
        </w:rPr>
        <w:t>203</w:t>
      </w:r>
      <w:r>
        <w:t>.</w:t>
      </w:r>
      <w:r>
        <w:tab/>
        <w:t>Arbitrator’s powers as to witnesses</w:t>
      </w:r>
      <w:bookmarkEnd w:id="842"/>
    </w:p>
    <w:p>
      <w:pPr>
        <w:pStyle w:val="Subsection"/>
      </w:pPr>
      <w:r>
        <w:tab/>
        <w:t>(1)</w:t>
      </w:r>
      <w:r>
        <w:tab/>
        <w:t>In any proceeding before an arbitrator, the arbitrator may —</w:t>
      </w:r>
    </w:p>
    <w:p>
      <w:pPr>
        <w:pStyle w:val="Indenta"/>
      </w:pPr>
      <w:r>
        <w:tab/>
        <w:t>(a)</w:t>
      </w:r>
      <w:r>
        <w:tab/>
        <w:t>call any person to give evidence; and</w:t>
      </w:r>
    </w:p>
    <w:p>
      <w:pPr>
        <w:pStyle w:val="Indenta"/>
      </w:pPr>
      <w:r>
        <w:lastRenderedPageBreak/>
        <w:tab/>
        <w:t>(b)</w:t>
      </w:r>
      <w:r>
        <w:tab/>
        <w:t>examine any witness on oath or affirmation, or by use of a statutory declaration; and</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Nothing in subsection (1) enables an arbitrator to require a witness to answer a question if the witness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r>
        <w:tab/>
        <w:t>[Section 203 inserted: No. 42 of 2004 s. 130.]</w:t>
      </w:r>
    </w:p>
    <w:p>
      <w:pPr>
        <w:pStyle w:val="Heading5"/>
      </w:pPr>
      <w:bookmarkStart w:id="843" w:name="_Toc131514681"/>
      <w:r>
        <w:rPr>
          <w:rStyle w:val="CharSectno"/>
        </w:rPr>
        <w:t>204A</w:t>
      </w:r>
      <w:r>
        <w:t>.</w:t>
      </w:r>
      <w:r>
        <w:tab/>
        <w:t>Communication between worker and WorkCover WA employee not admissible</w:t>
      </w:r>
      <w:bookmarkEnd w:id="843"/>
    </w:p>
    <w:p>
      <w:pPr>
        <w:pStyle w:val="Subsection"/>
      </w:pPr>
      <w:r>
        <w:tab/>
      </w:r>
      <w:r>
        <w:tab/>
        <w:t xml:space="preserve">Evidence of any communication between — </w:t>
      </w:r>
    </w:p>
    <w:p>
      <w:pPr>
        <w:pStyle w:val="Indenta"/>
      </w:pPr>
      <w:r>
        <w:tab/>
        <w:t>(a)</w:t>
      </w:r>
      <w:r>
        <w:tab/>
        <w:t>a worker; and</w:t>
      </w:r>
    </w:p>
    <w:p>
      <w:pPr>
        <w:pStyle w:val="Indenta"/>
      </w:pPr>
      <w:r>
        <w:tab/>
        <w:t>(b)</w:t>
      </w:r>
      <w:r>
        <w:tab/>
        <w:t>a person employed by WorkCover WA and acting in the course of that employment,</w:t>
      </w:r>
    </w:p>
    <w:p>
      <w:pPr>
        <w:pStyle w:val="Subsection"/>
      </w:pPr>
      <w:r>
        <w:tab/>
      </w:r>
      <w:r>
        <w:tab/>
        <w:t>is not admissible in a proceeding before an arbitrator unless, during the course of the proceeding, the worker consents to the evidence being so admitted.</w:t>
      </w:r>
    </w:p>
    <w:p>
      <w:pPr>
        <w:pStyle w:val="Footnotesection"/>
      </w:pPr>
      <w:r>
        <w:tab/>
        <w:t>[Section 204A inserted: No. 31 of 2011 s. 9.]</w:t>
      </w:r>
    </w:p>
    <w:p>
      <w:pPr>
        <w:pStyle w:val="Heading5"/>
      </w:pPr>
      <w:bookmarkStart w:id="844" w:name="_Toc131514682"/>
      <w:r>
        <w:rPr>
          <w:rStyle w:val="CharSectno"/>
        </w:rPr>
        <w:t>204</w:t>
      </w:r>
      <w:r>
        <w:t>.</w:t>
      </w:r>
      <w:r>
        <w:tab/>
        <w:t>Privilege against self</w:t>
      </w:r>
      <w:r>
        <w:noBreakHyphen/>
        <w:t>incrimination</w:t>
      </w:r>
      <w:bookmarkEnd w:id="844"/>
    </w:p>
    <w:p>
      <w:pPr>
        <w:pStyle w:val="Subsection"/>
      </w:pPr>
      <w:r>
        <w:tab/>
        <w:t>(1)</w:t>
      </w:r>
      <w:r>
        <w:tab/>
        <w:t>A person is not excused from complying with a requirement under this Division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lastRenderedPageBreak/>
        <w:tab/>
        <w:t>(2)</w:t>
      </w:r>
      <w:r>
        <w:tab/>
        <w:t>However neither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r>
        <w:tab/>
        <w:t>[Section 204 inserted: No. 42 of 2004 s. 130; amended: No. 31 of 2011 s. 54.]</w:t>
      </w:r>
    </w:p>
    <w:p>
      <w:pPr>
        <w:pStyle w:val="Heading5"/>
      </w:pPr>
      <w:bookmarkStart w:id="845" w:name="_Toc131514683"/>
      <w:r>
        <w:rPr>
          <w:rStyle w:val="CharSectno"/>
        </w:rPr>
        <w:t>205</w:t>
      </w:r>
      <w:r>
        <w:t>.</w:t>
      </w:r>
      <w:r>
        <w:tab/>
        <w:t>Legal professional privilege in relation to medical reports</w:t>
      </w:r>
      <w:bookmarkEnd w:id="845"/>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keepLines/>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Division with the omission of passages that —</w:t>
      </w:r>
    </w:p>
    <w:p>
      <w:pPr>
        <w:pStyle w:val="Indenta"/>
      </w:pPr>
      <w:r>
        <w:tab/>
        <w:t>(a)</w:t>
      </w:r>
      <w:r>
        <w:tab/>
        <w:t>do not relate directly to the treatment, or nature or extent of impairment, or assessment of degree of impairment, of a worker; and</w:t>
      </w:r>
    </w:p>
    <w:p>
      <w:pPr>
        <w:pStyle w:val="Indenta"/>
        <w:keepNext/>
      </w:pPr>
      <w:r>
        <w:lastRenderedPageBreak/>
        <w:tab/>
        <w:t>(b)</w:t>
      </w:r>
      <w:r>
        <w:tab/>
        <w:t>contain a privileged communication made by or to the legal practitioner in his capacity as a legal practitioner.</w:t>
      </w:r>
    </w:p>
    <w:p>
      <w:pPr>
        <w:pStyle w:val="Footnotesection"/>
        <w:spacing w:before="100"/>
        <w:ind w:left="890" w:hanging="890"/>
      </w:pPr>
      <w:r>
        <w:tab/>
        <w:t>[Section 205 inserted: No. 42 of 2004 s. 130; amended: No. 31 of 2011 s. 55.]</w:t>
      </w:r>
    </w:p>
    <w:p>
      <w:pPr>
        <w:pStyle w:val="Heading5"/>
      </w:pPr>
      <w:bookmarkStart w:id="846" w:name="_Toc131514684"/>
      <w:r>
        <w:rPr>
          <w:rStyle w:val="CharSectno"/>
        </w:rPr>
        <w:t>206</w:t>
      </w:r>
      <w:r>
        <w:t>.</w:t>
      </w:r>
      <w:r>
        <w:tab/>
        <w:t>Other claims of privilege</w:t>
      </w:r>
      <w:bookmarkEnd w:id="846"/>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spacing w:before="100"/>
        <w:ind w:left="890" w:hanging="890"/>
      </w:pPr>
      <w:r>
        <w:tab/>
        <w:t>[Section 206 inserted: No. 42 of 2004 s. 130.]</w:t>
      </w:r>
    </w:p>
    <w:p>
      <w:pPr>
        <w:pStyle w:val="Heading5"/>
      </w:pPr>
      <w:bookmarkStart w:id="847" w:name="_Toc131514685"/>
      <w:r>
        <w:rPr>
          <w:rStyle w:val="CharSectno"/>
        </w:rPr>
        <w:t>207</w:t>
      </w:r>
      <w:r>
        <w:t>.</w:t>
      </w:r>
      <w:r>
        <w:tab/>
        <w:t>Oaths and affirmations</w:t>
      </w:r>
      <w:bookmarkEnd w:id="847"/>
    </w:p>
    <w:p>
      <w:pPr>
        <w:pStyle w:val="Subsection"/>
      </w:pPr>
      <w:r>
        <w:tab/>
      </w:r>
      <w:r>
        <w:tab/>
        <w:t>An arbitrator may administer an oath or take an affirmation for the purposes of this Act.</w:t>
      </w:r>
    </w:p>
    <w:p>
      <w:pPr>
        <w:pStyle w:val="Footnotesection"/>
        <w:spacing w:before="100"/>
        <w:ind w:left="890" w:hanging="890"/>
      </w:pPr>
      <w:r>
        <w:tab/>
        <w:t>[Section 207 inserted: No. 42 of 2004 s. 130.]</w:t>
      </w:r>
    </w:p>
    <w:p>
      <w:pPr>
        <w:pStyle w:val="Heading5"/>
      </w:pPr>
      <w:bookmarkStart w:id="848" w:name="_Toc131514686"/>
      <w:r>
        <w:rPr>
          <w:rStyle w:val="CharSectno"/>
        </w:rPr>
        <w:t>208</w:t>
      </w:r>
      <w:r>
        <w:t>.</w:t>
      </w:r>
      <w:r>
        <w:tab/>
        <w:t>Arbitrator may authorise another to take evidence</w:t>
      </w:r>
      <w:bookmarkEnd w:id="848"/>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The arbitrator may authorise evidence to be taken under this section outside Western Australia.</w:t>
      </w:r>
    </w:p>
    <w:p>
      <w:pPr>
        <w:pStyle w:val="Subsection"/>
      </w:pPr>
      <w:r>
        <w:tab/>
        <w:t>(3)</w:t>
      </w:r>
      <w:r>
        <w:tab/>
        <w:t>The arbitrator may give directions as to the taking of evidence under this section.</w:t>
      </w:r>
    </w:p>
    <w:p>
      <w:pPr>
        <w:pStyle w:val="Subsection"/>
      </w:pPr>
      <w:r>
        <w:lastRenderedPageBreak/>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r>
        <w:tab/>
        <w:t>[Section 208 inserted: No. 42 of 2004 s. 130.]</w:t>
      </w:r>
    </w:p>
    <w:p>
      <w:pPr>
        <w:pStyle w:val="Heading5"/>
      </w:pPr>
      <w:bookmarkStart w:id="849" w:name="_Toc131514687"/>
      <w:r>
        <w:rPr>
          <w:rStyle w:val="CharSectno"/>
        </w:rPr>
        <w:t>209</w:t>
      </w:r>
      <w:r>
        <w:t>.</w:t>
      </w:r>
      <w:r>
        <w:tab/>
        <w:t>Things produced, use of etc. by arbitrator</w:t>
      </w:r>
      <w:bookmarkEnd w:id="849"/>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r>
        <w:tab/>
        <w:t>[Section 209 inserted: No. 42 of 2004 s. 130.]</w:t>
      </w:r>
    </w:p>
    <w:p>
      <w:pPr>
        <w:pStyle w:val="Heading5"/>
      </w:pPr>
      <w:bookmarkStart w:id="850" w:name="_Toc131514688"/>
      <w:r>
        <w:rPr>
          <w:rStyle w:val="CharSectno"/>
        </w:rPr>
        <w:t>210</w:t>
      </w:r>
      <w:r>
        <w:t>.</w:t>
      </w:r>
      <w:r>
        <w:tab/>
        <w:t>Medical dispute may be referred to medical assessment panel</w:t>
      </w:r>
      <w:bookmarkEnd w:id="850"/>
    </w:p>
    <w:p>
      <w:pPr>
        <w:pStyle w:val="Subsection"/>
      </w:pPr>
      <w:r>
        <w:tab/>
        <w:t>(1)</w:t>
      </w:r>
      <w:r>
        <w:tab/>
        <w:t>If permitted by section 145A to do so, an arbitrator may refer a question as to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keepNext/>
      </w:pPr>
      <w:r>
        <w:tab/>
        <w:t>(2)</w:t>
      </w:r>
      <w:r>
        <w:tab/>
        <w:t>Without limiting subsection (1), that subsection applies to —</w:t>
      </w:r>
    </w:p>
    <w:p>
      <w:pPr>
        <w:pStyle w:val="Indenta"/>
      </w:pPr>
      <w:r>
        <w:tab/>
        <w:t>(a)</w:t>
      </w:r>
      <w:r>
        <w:tab/>
        <w:t>questions as to the permanent or other loss of the efficient use of any part or faculty of the body for the purposes of Part III Division 2, or to the degree of that loss;</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keepNext/>
      </w:pPr>
      <w:r>
        <w:lastRenderedPageBreak/>
        <w:tab/>
        <w:t>(3)</w:t>
      </w:r>
      <w:r>
        <w:tab/>
        <w:t>Subsection (1) does not apply to questions as to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r>
        <w:tab/>
        <w:t>[Section 210 inserted: No. 42 of 2004 s. 130.]</w:t>
      </w:r>
    </w:p>
    <w:p>
      <w:pPr>
        <w:pStyle w:val="Heading4"/>
      </w:pPr>
      <w:bookmarkStart w:id="851" w:name="_Toc100238711"/>
      <w:bookmarkStart w:id="852" w:name="_Toc100239325"/>
      <w:bookmarkStart w:id="853" w:name="_Toc100562619"/>
      <w:bookmarkStart w:id="854" w:name="_Toc107310255"/>
      <w:bookmarkStart w:id="855" w:name="_Toc107480109"/>
      <w:bookmarkStart w:id="856" w:name="_Toc131501475"/>
      <w:bookmarkStart w:id="857" w:name="_Toc131502093"/>
      <w:bookmarkStart w:id="858" w:name="_Toc131514689"/>
      <w:r>
        <w:t>Subdivision 4 — Decisions</w:t>
      </w:r>
      <w:bookmarkEnd w:id="851"/>
      <w:bookmarkEnd w:id="852"/>
      <w:bookmarkEnd w:id="853"/>
      <w:bookmarkEnd w:id="854"/>
      <w:bookmarkEnd w:id="855"/>
      <w:bookmarkEnd w:id="856"/>
      <w:bookmarkEnd w:id="857"/>
      <w:bookmarkEnd w:id="858"/>
    </w:p>
    <w:p>
      <w:pPr>
        <w:pStyle w:val="Footnoteheading"/>
      </w:pPr>
      <w:r>
        <w:tab/>
        <w:t>[Heading inserted: No. 31 of 2011 s. 56.]</w:t>
      </w:r>
    </w:p>
    <w:p>
      <w:pPr>
        <w:pStyle w:val="Footnoteheading"/>
      </w:pPr>
      <w:r>
        <w:tab/>
        <w:t>[Heading deleted: No. 31 of 2011 s. 57.]</w:t>
      </w:r>
    </w:p>
    <w:p>
      <w:pPr>
        <w:pStyle w:val="Heading5"/>
      </w:pPr>
      <w:bookmarkStart w:id="859" w:name="_Toc131514690"/>
      <w:r>
        <w:rPr>
          <w:rStyle w:val="CharSectno"/>
        </w:rPr>
        <w:t>211</w:t>
      </w:r>
      <w:r>
        <w:t>.</w:t>
      </w:r>
      <w:r>
        <w:tab/>
        <w:t>Decisions generally</w:t>
      </w:r>
      <w:bookmarkEnd w:id="859"/>
    </w:p>
    <w:p>
      <w:pPr>
        <w:pStyle w:val="Subsection"/>
      </w:pPr>
      <w:r>
        <w:tab/>
        <w:t>(1)</w:t>
      </w:r>
      <w:r>
        <w:tab/>
        <w:t>Subject to this Act, an arbitrator may make such decisions as the arbitrator thinks fit.</w:t>
      </w:r>
    </w:p>
    <w:p>
      <w:pPr>
        <w:pStyle w:val="Subsection"/>
      </w:pPr>
      <w:r>
        <w:tab/>
        <w:t>(2)</w:t>
      </w:r>
      <w:r>
        <w:tab/>
        <w:t>An arbitrator may confirm, vary or revoke a direction under section 182K(2) or (4) or 182L(2).</w:t>
      </w:r>
    </w:p>
    <w:p>
      <w:pPr>
        <w:pStyle w:val="Footnotesection"/>
      </w:pPr>
      <w:r>
        <w:tab/>
        <w:t>[Section 211 inserted: No. 42 of 2004 s. 130; amended: No. 31 of 2011 s. 10.]</w:t>
      </w:r>
    </w:p>
    <w:p>
      <w:pPr>
        <w:pStyle w:val="Heading5"/>
      </w:pPr>
      <w:bookmarkStart w:id="860" w:name="_Toc131514691"/>
      <w:r>
        <w:rPr>
          <w:rStyle w:val="CharSectno"/>
        </w:rPr>
        <w:t>212</w:t>
      </w:r>
      <w:r>
        <w:t>.</w:t>
      </w:r>
      <w:r>
        <w:tab/>
        <w:t>Conditional and ancillary orders and directions</w:t>
      </w:r>
      <w:bookmarkEnd w:id="860"/>
    </w:p>
    <w:p>
      <w:pPr>
        <w:pStyle w:val="Subsection"/>
      </w:pPr>
      <w:r>
        <w:tab/>
      </w:r>
      <w:r>
        <w:tab/>
        <w:t xml:space="preserve">A power of an arbitrator to make an order or give a direction (the </w:t>
      </w:r>
      <w:r>
        <w:rPr>
          <w:rStyle w:val="CharDefText"/>
        </w:rPr>
        <w:t>primary power</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r>
        <w:tab/>
        <w:t>[Section 212 inserted: No. 42 of 2004 s. 130.]</w:t>
      </w:r>
    </w:p>
    <w:p>
      <w:pPr>
        <w:pStyle w:val="Heading5"/>
      </w:pPr>
      <w:bookmarkStart w:id="861" w:name="_Toc131514692"/>
      <w:r>
        <w:rPr>
          <w:rStyle w:val="CharSectno"/>
        </w:rPr>
        <w:lastRenderedPageBreak/>
        <w:t>213</w:t>
      </w:r>
      <w:r>
        <w:t>.</w:t>
      </w:r>
      <w:r>
        <w:tab/>
        <w:t>Decisions and reasons, form and content of</w:t>
      </w:r>
      <w:bookmarkEnd w:id="861"/>
    </w:p>
    <w:p>
      <w:pPr>
        <w:pStyle w:val="Subsection"/>
      </w:pPr>
      <w:r>
        <w:tab/>
        <w:t>(1)</w:t>
      </w:r>
      <w:r>
        <w:tab/>
        <w:t>A decision of an arbitrator is to be given in writing to a party to a proceeding if —</w:t>
      </w:r>
    </w:p>
    <w:p>
      <w:pPr>
        <w:pStyle w:val="Indenta"/>
        <w:spacing w:before="60"/>
      </w:pPr>
      <w:r>
        <w:tab/>
        <w:t>(a)</w:t>
      </w:r>
      <w:r>
        <w:tab/>
        <w:t>the arbitration rules state that the decision is to be given in writing to that party; or</w:t>
      </w:r>
    </w:p>
    <w:p>
      <w:pPr>
        <w:pStyle w:val="Indenta"/>
        <w:spacing w:before="60"/>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The reasons for a decision of an arbitrator are to be given in writing to a party to a proceeding if —</w:t>
      </w:r>
    </w:p>
    <w:p>
      <w:pPr>
        <w:pStyle w:val="Indenta"/>
        <w:spacing w:before="60"/>
      </w:pPr>
      <w:r>
        <w:tab/>
        <w:t>(a)</w:t>
      </w:r>
      <w:r>
        <w:tab/>
        <w:t>the arbitration rules state that the reasons are to be given in writing to that party; or</w:t>
      </w:r>
    </w:p>
    <w:p>
      <w:pPr>
        <w:pStyle w:val="Indenta"/>
        <w:spacing w:before="60"/>
      </w:pPr>
      <w:r>
        <w:tab/>
        <w:t>(b)</w:t>
      </w:r>
      <w:r>
        <w:tab/>
        <w:t>within 14 days after the arbitrator makes the decision, the party requests that the reasons for the decision be given in writing.</w:t>
      </w:r>
    </w:p>
    <w:p>
      <w:pPr>
        <w:pStyle w:val="Subsection"/>
        <w:keepNext/>
      </w:pPr>
      <w:r>
        <w:tab/>
        <w:t>(4)</w:t>
      </w:r>
      <w:r>
        <w:tab/>
        <w:t>The reasons for an arbitrator’s decision —</w:t>
      </w:r>
    </w:p>
    <w:p>
      <w:pPr>
        <w:pStyle w:val="Indenta"/>
        <w:spacing w:before="60"/>
      </w:pPr>
      <w:r>
        <w:tab/>
        <w:t>(a)</w:t>
      </w:r>
      <w:r>
        <w:tab/>
        <w:t>need only identify the facts that the arbitrator has accepted in coming to the decision and give the reasons for doing so; and</w:t>
      </w:r>
    </w:p>
    <w:p>
      <w:pPr>
        <w:pStyle w:val="Indenta"/>
        <w:spacing w:before="60"/>
      </w:pPr>
      <w:r>
        <w:tab/>
        <w:t>(b)</w:t>
      </w:r>
      <w:r>
        <w:tab/>
        <w:t>need only identify the law that the arbitrator has applied in coming to the decision and give the reasons for doing so; and</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lastRenderedPageBreak/>
        <w:tab/>
        <w:t>(6)</w:t>
      </w:r>
      <w:r>
        <w:tab/>
        <w:t>The fact that a decision is, or reasons are, given orally or in accordance with subsection (4) or (5) is not of itself a ground for reversing or modifying the decision on an appeal.</w:t>
      </w:r>
    </w:p>
    <w:p>
      <w:pPr>
        <w:pStyle w:val="Footnotesection"/>
        <w:spacing w:before="100"/>
        <w:ind w:left="890" w:hanging="890"/>
      </w:pPr>
      <w:r>
        <w:tab/>
        <w:t>[Section 213 inserted: No. 42 of 2004 s. 130; amended: No. 31 of 2011 s. 76.]</w:t>
      </w:r>
    </w:p>
    <w:p>
      <w:pPr>
        <w:pStyle w:val="Heading5"/>
      </w:pPr>
      <w:bookmarkStart w:id="862" w:name="_Toc131514693"/>
      <w:r>
        <w:rPr>
          <w:rStyle w:val="CharSectno"/>
        </w:rPr>
        <w:t>214</w:t>
      </w:r>
      <w:r>
        <w:t>.</w:t>
      </w:r>
      <w:r>
        <w:tab/>
        <w:t>Validity of decision not affected by contravention of this Subdivision</w:t>
      </w:r>
      <w:bookmarkEnd w:id="862"/>
    </w:p>
    <w:p>
      <w:pPr>
        <w:pStyle w:val="Subsection"/>
      </w:pPr>
      <w:r>
        <w:tab/>
      </w:r>
      <w:r>
        <w:tab/>
        <w:t>A failure of an arbitrator to comply with a requirement of this Subdivision does not affect the validity of a decision.</w:t>
      </w:r>
    </w:p>
    <w:p>
      <w:pPr>
        <w:pStyle w:val="Footnotesection"/>
        <w:spacing w:before="100"/>
        <w:ind w:left="890" w:hanging="890"/>
      </w:pPr>
      <w:r>
        <w:tab/>
        <w:t>[Section 214 inserted: No. 42 of 2004 s. 130.]</w:t>
      </w:r>
    </w:p>
    <w:p>
      <w:pPr>
        <w:pStyle w:val="Heading5"/>
      </w:pPr>
      <w:bookmarkStart w:id="863" w:name="_Toc131514694"/>
      <w:r>
        <w:rPr>
          <w:rStyle w:val="CharSectno"/>
        </w:rPr>
        <w:t>215</w:t>
      </w:r>
      <w:r>
        <w:t>.</w:t>
      </w:r>
      <w:r>
        <w:tab/>
        <w:t>When decision has effect</w:t>
      </w:r>
      <w:bookmarkEnd w:id="863"/>
    </w:p>
    <w:p>
      <w:pPr>
        <w:pStyle w:val="Subsection"/>
        <w:spacing w:before="150"/>
      </w:pPr>
      <w:r>
        <w:tab/>
        <w:t>(1)</w:t>
      </w:r>
      <w:r>
        <w:tab/>
        <w:t>A decision of an arbitrator comes into effect immediately after it is given, or at such later time as is specified in it.</w:t>
      </w:r>
    </w:p>
    <w:p>
      <w:pPr>
        <w:pStyle w:val="Subsection"/>
        <w:spacing w:before="150"/>
      </w:pPr>
      <w:r>
        <w:tab/>
        <w:t>(2)</w:t>
      </w:r>
      <w:r>
        <w:tab/>
        <w:t>Subsection (1) does not prevent a stay of the effect of the decision from being given under section 250.</w:t>
      </w:r>
    </w:p>
    <w:p>
      <w:pPr>
        <w:pStyle w:val="Footnotesection"/>
        <w:spacing w:before="100"/>
        <w:ind w:left="890" w:hanging="890"/>
      </w:pPr>
      <w:r>
        <w:tab/>
        <w:t>[Section 215 inserted: No. 42 of 2004 s. 130.]</w:t>
      </w:r>
    </w:p>
    <w:p>
      <w:pPr>
        <w:pStyle w:val="Heading5"/>
      </w:pPr>
      <w:bookmarkStart w:id="864" w:name="_Toc131514695"/>
      <w:r>
        <w:rPr>
          <w:rStyle w:val="CharSectno"/>
        </w:rPr>
        <w:t>216</w:t>
      </w:r>
      <w:r>
        <w:t>.</w:t>
      </w:r>
      <w:r>
        <w:tab/>
        <w:t>Correcting mistakes</w:t>
      </w:r>
      <w:bookmarkEnd w:id="864"/>
    </w:p>
    <w:p>
      <w:pPr>
        <w:pStyle w:val="Subsection"/>
      </w:pPr>
      <w:r>
        <w:tab/>
      </w:r>
      <w:r>
        <w:tab/>
        <w:t>An arbitrator may correct a decision an arbitrator gives or a statement of the reasons an arbitrator has given for the decision to the extent necessary to rectify —</w:t>
      </w:r>
    </w:p>
    <w:p>
      <w:pPr>
        <w:pStyle w:val="Indenta"/>
        <w:spacing w:before="60"/>
      </w:pPr>
      <w:r>
        <w:tab/>
        <w:t>(a)</w:t>
      </w:r>
      <w:r>
        <w:tab/>
        <w:t>a clerical mistake; or</w:t>
      </w:r>
    </w:p>
    <w:p>
      <w:pPr>
        <w:pStyle w:val="Indenta"/>
        <w:spacing w:before="60"/>
      </w:pPr>
      <w:r>
        <w:tab/>
        <w:t>(b)</w:t>
      </w:r>
      <w:r>
        <w:tab/>
        <w:t>an error arising from an accidental slip or omission; or</w:t>
      </w:r>
    </w:p>
    <w:p>
      <w:pPr>
        <w:pStyle w:val="Indenta"/>
        <w:spacing w:before="60"/>
      </w:pPr>
      <w:r>
        <w:tab/>
        <w:t>(c)</w:t>
      </w:r>
      <w:r>
        <w:tab/>
        <w:t>a material miscalculation of figures or a material mistake in the description of any person, thing, or matter referred to in the decision; or</w:t>
      </w:r>
    </w:p>
    <w:p>
      <w:pPr>
        <w:pStyle w:val="Indenta"/>
        <w:keepNext/>
        <w:spacing w:before="60"/>
      </w:pPr>
      <w:r>
        <w:tab/>
        <w:t>(d)</w:t>
      </w:r>
      <w:r>
        <w:tab/>
        <w:t>a defect of form.</w:t>
      </w:r>
    </w:p>
    <w:p>
      <w:pPr>
        <w:pStyle w:val="Footnotesection"/>
        <w:spacing w:before="100"/>
        <w:ind w:left="890" w:hanging="890"/>
      </w:pPr>
      <w:r>
        <w:tab/>
        <w:t>[Section 216 inserted: No. 42 of 2004 s. 130.]</w:t>
      </w:r>
    </w:p>
    <w:p>
      <w:pPr>
        <w:pStyle w:val="Heading5"/>
      </w:pPr>
      <w:bookmarkStart w:id="865" w:name="_Toc131514696"/>
      <w:r>
        <w:rPr>
          <w:rStyle w:val="CharSectno"/>
        </w:rPr>
        <w:lastRenderedPageBreak/>
        <w:t>217A</w:t>
      </w:r>
      <w:r>
        <w:t>.</w:t>
      </w:r>
      <w:r>
        <w:tab/>
        <w:t>Arbitrator may reconsider decision if new information</w:t>
      </w:r>
      <w:bookmarkEnd w:id="865"/>
    </w:p>
    <w:p>
      <w:pPr>
        <w:pStyle w:val="Subsection"/>
        <w:keepNext/>
      </w:pPr>
      <w:r>
        <w:tab/>
        <w:t>(1)</w:t>
      </w:r>
      <w:r>
        <w:tab/>
        <w:t xml:space="preserve">In this section — </w:t>
      </w:r>
    </w:p>
    <w:p>
      <w:pPr>
        <w:pStyle w:val="Defstart"/>
      </w:pPr>
      <w:r>
        <w:tab/>
      </w:r>
      <w:r>
        <w:rPr>
          <w:rStyle w:val="CharDefText"/>
        </w:rPr>
        <w:t xml:space="preserve">new information </w:t>
      </w:r>
      <w:r>
        <w:t>means information relevant to a decision that, although available to a party at the time the decision was made, was not available to the arbitrator and, in the opinion of the arbitrator, justifies reconsideration of the matter.</w:t>
      </w:r>
    </w:p>
    <w:p>
      <w:pPr>
        <w:pStyle w:val="Subsection"/>
      </w:pPr>
      <w:r>
        <w:tab/>
        <w:t>(2)</w:t>
      </w:r>
      <w:r>
        <w:tab/>
        <w:t xml:space="preserve">If new information becomes available after an arbitrator makes a decision, the arbitrator may reconsider the decision and —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r>
        <w:tab/>
        <w:t>[Section 217A inserted: No. 31 of 2011 s. 11.]</w:t>
      </w:r>
    </w:p>
    <w:p>
      <w:pPr>
        <w:pStyle w:val="Heading5"/>
      </w:pPr>
      <w:bookmarkStart w:id="866" w:name="_Toc131514697"/>
      <w:r>
        <w:rPr>
          <w:rStyle w:val="CharSectno"/>
        </w:rPr>
        <w:t>217B</w:t>
      </w:r>
      <w:r>
        <w:t>.</w:t>
      </w:r>
      <w:r>
        <w:tab/>
        <w:t>Arbitration decisions not reviewable</w:t>
      </w:r>
      <w:bookmarkEnd w:id="866"/>
    </w:p>
    <w:p>
      <w:pPr>
        <w:pStyle w:val="Subsection"/>
        <w:spacing w:before="100"/>
      </w:pPr>
      <w:r>
        <w:tab/>
        <w:t>(1)</w:t>
      </w:r>
      <w:r>
        <w:tab/>
        <w:t>Except as otherwise provided by this Act a decision of an arbitrator is final and binding on the parties and is not subject to an appeal.</w:t>
      </w:r>
    </w:p>
    <w:p>
      <w:pPr>
        <w:pStyle w:val="Subsection"/>
      </w:pPr>
      <w:r>
        <w:tab/>
        <w:t>(2)</w:t>
      </w:r>
      <w:r>
        <w:tab/>
        <w:t>A decision of an arbitrator or anything done under this Act in the process of coming to a decision of an arbitrator is not amenable to judicial review.</w:t>
      </w:r>
    </w:p>
    <w:p>
      <w:pPr>
        <w:pStyle w:val="Footnotesection"/>
      </w:pPr>
      <w:r>
        <w:tab/>
        <w:t>[Section 217B inserted: No. 31 of 2011 s. 11.]</w:t>
      </w:r>
    </w:p>
    <w:p>
      <w:pPr>
        <w:pStyle w:val="Footnoteheading"/>
      </w:pPr>
      <w:r>
        <w:tab/>
        <w:t>[Heading deleted: No. 31 of 2011 s. 58.]</w:t>
      </w:r>
    </w:p>
    <w:p>
      <w:pPr>
        <w:pStyle w:val="Heading5"/>
      </w:pPr>
      <w:bookmarkStart w:id="867" w:name="_Toc131514698"/>
      <w:r>
        <w:rPr>
          <w:rStyle w:val="CharSectno"/>
        </w:rPr>
        <w:t>217</w:t>
      </w:r>
      <w:r>
        <w:t>.</w:t>
      </w:r>
      <w:r>
        <w:tab/>
        <w:t>Order as to total liability of employer</w:t>
      </w:r>
      <w:bookmarkEnd w:id="867"/>
    </w:p>
    <w:p>
      <w:pPr>
        <w:pStyle w:val="Subsection"/>
      </w:pPr>
      <w:r>
        <w:tab/>
        <w:t>(1)</w:t>
      </w:r>
      <w:r>
        <w:tab/>
        <w:t>This section applies where —</w:t>
      </w:r>
    </w:p>
    <w:p>
      <w:pPr>
        <w:pStyle w:val="Indenta"/>
        <w:spacing w:before="60"/>
      </w:pPr>
      <w:r>
        <w:tab/>
        <w:t>(a)</w:t>
      </w:r>
      <w:r>
        <w:tab/>
        <w:t>an arbitrator considers that an injury to a worker that is compensable under this Act has resulted in the permanent total incapacity for work of the worker; and</w:t>
      </w:r>
    </w:p>
    <w:p>
      <w:pPr>
        <w:pStyle w:val="Indenta"/>
        <w:spacing w:before="60"/>
      </w:pPr>
      <w:r>
        <w:tab/>
        <w:t>(b)</w:t>
      </w:r>
      <w:r>
        <w:tab/>
        <w:t>an order for redemption of the liability for the incapacity has not already been made under section 67; and</w:t>
      </w:r>
    </w:p>
    <w:p>
      <w:pPr>
        <w:pStyle w:val="Indenta"/>
        <w:spacing w:before="60"/>
      </w:pPr>
      <w:r>
        <w:lastRenderedPageBreak/>
        <w:tab/>
        <w:t>(c)</w:t>
      </w:r>
      <w:r>
        <w:tab/>
        <w:t>no memorandum of agreement for the payment of a lump sum in redemption of the liability for the incapacity has been recorded under section 76; and</w:t>
      </w:r>
    </w:p>
    <w:p>
      <w:pPr>
        <w:pStyle w:val="Indenta"/>
        <w:spacing w:before="60"/>
      </w:pPr>
      <w:r>
        <w:tab/>
        <w:t>(d)</w:t>
      </w:r>
      <w:r>
        <w:tab/>
        <w:t>the total weekly payments by way of compensation payable under clause 7 for that injury have reached the prescribed amount.</w:t>
      </w:r>
    </w:p>
    <w:p>
      <w:pPr>
        <w:pStyle w:val="Subsection"/>
      </w:pPr>
      <w:r>
        <w:tab/>
        <w:t>(2)</w:t>
      </w:r>
      <w:r>
        <w:tab/>
        <w:t>If this section applies, the arbitrator may, subject to this section, make any order as to the total liability of the employer for the incapacity that the arbitrator thinks proper in the circumstances.</w:t>
      </w:r>
    </w:p>
    <w:p>
      <w:pPr>
        <w:pStyle w:val="Subsection"/>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pPr>
      <w:r>
        <w:tab/>
        <w:t>(4)</w:t>
      </w:r>
      <w:r>
        <w:tab/>
        <w:t>The total liability of the employer ordered under this section is not to exceed the lesser of —</w:t>
      </w:r>
    </w:p>
    <w:p>
      <w:pPr>
        <w:pStyle w:val="Indenta"/>
      </w:pPr>
      <w:r>
        <w:tab/>
        <w:t>(a)</w:t>
      </w:r>
      <w:r>
        <w:tab/>
        <w:t>an amount equal to 75% of the prescribed amount; or</w:t>
      </w:r>
    </w:p>
    <w:p>
      <w:pPr>
        <w:pStyle w:val="Indenta"/>
      </w:pPr>
      <w:r>
        <w:tab/>
        <w:t>(b)</w:t>
      </w:r>
      <w:r>
        <w:tab/>
        <w:t>weekly payments at the rate to which the worker was entitled at the time when the total weekly payments for the injury of the worker reached the prescribed amount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spacing w:before="80"/>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spacing w:before="100"/>
      </w:pPr>
      <w:r>
        <w:lastRenderedPageBreak/>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r>
        <w:tab/>
        <w:t>[Section 217 inserted: No. 42 of 2004 s. 130.]</w:t>
      </w:r>
    </w:p>
    <w:p>
      <w:pPr>
        <w:pStyle w:val="Heading5"/>
      </w:pPr>
      <w:bookmarkStart w:id="868" w:name="_Toc131514699"/>
      <w:r>
        <w:rPr>
          <w:rStyle w:val="CharSectno"/>
        </w:rPr>
        <w:t>218</w:t>
      </w:r>
      <w:r>
        <w:t>.</w:t>
      </w:r>
      <w:r>
        <w:tab/>
        <w:t>Payment of compensation to person under legal disability</w:t>
      </w:r>
      <w:bookmarkEnd w:id="868"/>
    </w:p>
    <w:p>
      <w:pPr>
        <w:pStyle w:val="Subsection"/>
      </w:pPr>
      <w:r>
        <w:tab/>
        <w:t>(1)</w:t>
      </w:r>
      <w:r>
        <w:tab/>
        <w:t>A question as to the payment of compensation that is payable to a worker under a legal disability to give an effective discharge for payment may be determined on application under this Division as a dispute.</w:t>
      </w:r>
    </w:p>
    <w:p>
      <w:pPr>
        <w:pStyle w:val="Subsection"/>
      </w:pPr>
      <w:r>
        <w:tab/>
        <w:t>(2)</w:t>
      </w:r>
      <w:r>
        <w:tab/>
        <w:t>An arbitrator may order that compensation that is payable to a worker under a legal disability to give an effective discharge for payment is to be paid to WorkCover WA and applied in the manner specified in the order.</w:t>
      </w:r>
    </w:p>
    <w:p>
      <w:pPr>
        <w:pStyle w:val="Ednotesubsection"/>
      </w:pPr>
      <w:r>
        <w:tab/>
        <w:t>[(3)</w:t>
      </w:r>
      <w:r>
        <w:tab/>
        <w:t>deleted]</w:t>
      </w:r>
    </w:p>
    <w:p>
      <w:pPr>
        <w:pStyle w:val="Subsection"/>
      </w:pPr>
      <w:r>
        <w:tab/>
        <w:t>(4)</w:t>
      </w:r>
      <w:r>
        <w:tab/>
        <w:t>After it has been ordered under subsection (2) that compensation be paid to WorkCover WA, a question as to whether the compensation should be applied differently may be determined on application under this Division as a dispute.</w:t>
      </w:r>
    </w:p>
    <w:p>
      <w:pPr>
        <w:pStyle w:val="Subsection"/>
      </w:pPr>
      <w:r>
        <w:tab/>
        <w:t>(5)</w:t>
      </w:r>
      <w:r>
        <w:tab/>
        <w:t>An arbitrator may make such orders under subsections (1) and (4) as the arbitrator thinks fit.</w:t>
      </w:r>
    </w:p>
    <w:p>
      <w:pPr>
        <w:pStyle w:val="Footnotesection"/>
        <w:spacing w:before="100"/>
        <w:ind w:left="890" w:hanging="890"/>
      </w:pPr>
      <w:r>
        <w:tab/>
        <w:t>[Section 218 inserted: No. 42 of 2004 s. 130; amended: No. 31 of 2011 s. 59; No. 8 of 2018 s. 9.]</w:t>
      </w:r>
    </w:p>
    <w:p>
      <w:pPr>
        <w:pStyle w:val="Footnoteheading"/>
      </w:pPr>
      <w:r>
        <w:tab/>
        <w:t>[Heading deleted: No. 31 of 2011 s. 60.]</w:t>
      </w:r>
    </w:p>
    <w:p>
      <w:pPr>
        <w:pStyle w:val="Heading5"/>
        <w:keepLines w:val="0"/>
      </w:pPr>
      <w:bookmarkStart w:id="869" w:name="_Toc131514700"/>
      <w:r>
        <w:rPr>
          <w:rStyle w:val="CharSectno"/>
        </w:rPr>
        <w:t>219</w:t>
      </w:r>
      <w:r>
        <w:t>.</w:t>
      </w:r>
      <w:r>
        <w:tab/>
        <w:t>Enforcing decisions</w:t>
      </w:r>
      <w:bookmarkEnd w:id="869"/>
    </w:p>
    <w:p>
      <w:pPr>
        <w:pStyle w:val="Subsection"/>
      </w:pPr>
      <w:r>
        <w:tab/>
        <w:t>(1)</w:t>
      </w:r>
      <w:r>
        <w:tab/>
        <w:t>A person to whom money is to be paid under a decision of an arbitrator may enforce the decision by filing in a court of competent jurisdiction —</w:t>
      </w:r>
    </w:p>
    <w:p>
      <w:pPr>
        <w:pStyle w:val="Indenta"/>
        <w:spacing w:before="60"/>
      </w:pPr>
      <w:r>
        <w:tab/>
        <w:t>(a)</w:t>
      </w:r>
      <w:r>
        <w:tab/>
        <w:t>a copy of the decision that the Registrar has certified to be a true copy; and</w:t>
      </w:r>
    </w:p>
    <w:p>
      <w:pPr>
        <w:pStyle w:val="Indenta"/>
        <w:spacing w:before="60"/>
      </w:pPr>
      <w:r>
        <w:lastRenderedPageBreak/>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r>
        <w:tab/>
        <w:t>[Section 219 inserted: No. 42 of 2004 s. 130; amended: No. 16 of 2005 s. 24; No. 31 of 2011 s. 75.]</w:t>
      </w:r>
    </w:p>
    <w:p>
      <w:pPr>
        <w:pStyle w:val="Heading4"/>
      </w:pPr>
      <w:bookmarkStart w:id="870" w:name="_Toc100238723"/>
      <w:bookmarkStart w:id="871" w:name="_Toc100239337"/>
      <w:bookmarkStart w:id="872" w:name="_Toc100562631"/>
      <w:bookmarkStart w:id="873" w:name="_Toc107310267"/>
      <w:bookmarkStart w:id="874" w:name="_Toc107480121"/>
      <w:bookmarkStart w:id="875" w:name="_Toc131501487"/>
      <w:bookmarkStart w:id="876" w:name="_Toc131502105"/>
      <w:bookmarkStart w:id="877" w:name="_Toc131514701"/>
      <w:r>
        <w:t>Subdivision 5 — Miscellaneous</w:t>
      </w:r>
      <w:bookmarkEnd w:id="870"/>
      <w:bookmarkEnd w:id="871"/>
      <w:bookmarkEnd w:id="872"/>
      <w:bookmarkEnd w:id="873"/>
      <w:bookmarkEnd w:id="874"/>
      <w:bookmarkEnd w:id="875"/>
      <w:bookmarkEnd w:id="876"/>
      <w:bookmarkEnd w:id="877"/>
    </w:p>
    <w:p>
      <w:pPr>
        <w:pStyle w:val="Footnoteheading"/>
      </w:pPr>
      <w:r>
        <w:tab/>
        <w:t>[Heading inserted: No. 31 of 2011 s. 61.]</w:t>
      </w:r>
    </w:p>
    <w:p>
      <w:pPr>
        <w:pStyle w:val="Heading5"/>
      </w:pPr>
      <w:bookmarkStart w:id="878" w:name="_Toc131514702"/>
      <w:r>
        <w:rPr>
          <w:rStyle w:val="CharSectno"/>
        </w:rPr>
        <w:t>220</w:t>
      </w:r>
      <w:r>
        <w:t>.</w:t>
      </w:r>
      <w:r>
        <w:tab/>
        <w:t>Statements to arbitrators not admissible in common law proceedings</w:t>
      </w:r>
      <w:bookmarkEnd w:id="878"/>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r>
        <w:tab/>
        <w:t>[Section 220 inserted: No. 42 of 2004 s. 130.]</w:t>
      </w:r>
    </w:p>
    <w:p>
      <w:pPr>
        <w:pStyle w:val="Heading5"/>
        <w:rPr>
          <w:snapToGrid w:val="0"/>
        </w:rPr>
      </w:pPr>
      <w:bookmarkStart w:id="879" w:name="_Toc131514703"/>
      <w:r>
        <w:rPr>
          <w:rStyle w:val="CharSectno"/>
        </w:rPr>
        <w:t>221</w:t>
      </w:r>
      <w:r>
        <w:rPr>
          <w:snapToGrid w:val="0"/>
        </w:rPr>
        <w:t>.</w:t>
      </w:r>
      <w:r>
        <w:rPr>
          <w:snapToGrid w:val="0"/>
        </w:rPr>
        <w:tab/>
        <w:t>To whom compensation is to be paid</w:t>
      </w:r>
      <w:bookmarkEnd w:id="879"/>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spacing w:before="80"/>
        <w:ind w:left="890" w:hanging="890"/>
      </w:pPr>
      <w:r>
        <w:tab/>
        <w:t>[Section 221 inserted: No. 42 of 2004 s. 130.]</w:t>
      </w:r>
    </w:p>
    <w:p>
      <w:pPr>
        <w:pStyle w:val="Heading5"/>
      </w:pPr>
      <w:bookmarkStart w:id="880" w:name="_Toc131514704"/>
      <w:r>
        <w:rPr>
          <w:rStyle w:val="CharSectno"/>
        </w:rPr>
        <w:t>222</w:t>
      </w:r>
      <w:r>
        <w:t>.</w:t>
      </w:r>
      <w:r>
        <w:tab/>
        <w:t>Interest on sums to be paid</w:t>
      </w:r>
      <w:bookmarkEnd w:id="880"/>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lastRenderedPageBreak/>
        <w:tab/>
        <w:t>(2)</w:t>
      </w:r>
      <w:r>
        <w:tab/>
        <w:t>Interest payable under an order made under subsection (1) is to be calculated at a rate prescribed by or determined under the regulations.</w:t>
      </w:r>
    </w:p>
    <w:p>
      <w:pPr>
        <w:pStyle w:val="Subsection"/>
        <w:keepNext/>
      </w:pPr>
      <w:r>
        <w:tab/>
        <w:t>(3)</w:t>
      </w:r>
      <w:r>
        <w:tab/>
        <w:t>This section does not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r>
        <w:tab/>
        <w:t>[Section 222 inserted: No. 42 of 2004 s. 130.]</w:t>
      </w:r>
    </w:p>
    <w:p>
      <w:pPr>
        <w:pStyle w:val="Heading5"/>
      </w:pPr>
      <w:bookmarkStart w:id="881" w:name="_Toc131514705"/>
      <w:r>
        <w:rPr>
          <w:rStyle w:val="CharSectno"/>
        </w:rPr>
        <w:t>223</w:t>
      </w:r>
      <w:r>
        <w:t>.</w:t>
      </w:r>
      <w:r>
        <w:tab/>
        <w:t>Interest on unpaid sums</w:t>
      </w:r>
      <w:bookmarkEnd w:id="881"/>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keepNext/>
      </w:pPr>
      <w:r>
        <w:tab/>
        <w:t>(2)</w:t>
      </w:r>
      <w:r>
        <w:tab/>
        <w:t>Interest payable under subsection (1) in respect of any sum ordered to be paid —</w:t>
      </w:r>
    </w:p>
    <w:p>
      <w:pPr>
        <w:pStyle w:val="Indenta"/>
      </w:pPr>
      <w:r>
        <w:tab/>
        <w:t>(a)</w:t>
      </w:r>
      <w:r>
        <w:tab/>
        <w:t>is to be calculated as from the date when the order was made or from such later date as an arbitrator in any particular case fixes; and</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keepLines/>
      </w:pPr>
      <w:r>
        <w:tab/>
        <w:t>(3)</w:t>
      </w:r>
      <w:r>
        <w:tab/>
        <w:t>Despite subsections (1) and (2), where an amount ordered to be paid is paid in full within the period prescribed or determined under the regulations, interest is not payable on the amount so paid.</w:t>
      </w:r>
    </w:p>
    <w:p>
      <w:pPr>
        <w:pStyle w:val="Footnotesection"/>
      </w:pPr>
      <w:r>
        <w:tab/>
        <w:t>[Section 223 inserted: No. 42 of 2004 s. 130.]</w:t>
      </w:r>
    </w:p>
    <w:p>
      <w:pPr>
        <w:pStyle w:val="Heading5"/>
      </w:pPr>
      <w:bookmarkStart w:id="882" w:name="_Toc131514706"/>
      <w:r>
        <w:rPr>
          <w:rStyle w:val="CharSectno"/>
        </w:rPr>
        <w:lastRenderedPageBreak/>
        <w:t>224</w:t>
      </w:r>
      <w:r>
        <w:t>.</w:t>
      </w:r>
      <w:r>
        <w:tab/>
        <w:t>Interest on unpaid amount of agreed sum</w:t>
      </w:r>
      <w:bookmarkEnd w:id="882"/>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Interest payable under subsection (1) in respect of any sum so agreed to be paid —</w:t>
      </w:r>
    </w:p>
    <w:p>
      <w:pPr>
        <w:pStyle w:val="Indenta"/>
      </w:pPr>
      <w:r>
        <w:tab/>
        <w:t>(a)</w:t>
      </w:r>
      <w:r>
        <w:tab/>
        <w:t>is to be calculated as from the date provided by the agreement as the date when the sum is due to be paid or, if the agreement does not so provide, the date that is 21 days after the date the agreement was made; and</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r>
        <w:tab/>
        <w:t>[Section 224 inserted: No. 42 of 2004 s. 130.]</w:t>
      </w:r>
    </w:p>
    <w:p>
      <w:pPr>
        <w:pStyle w:val="Heading5"/>
      </w:pPr>
      <w:bookmarkStart w:id="883" w:name="_Toc131514707"/>
      <w:r>
        <w:rPr>
          <w:rStyle w:val="CharSectno"/>
        </w:rPr>
        <w:t>225</w:t>
      </w:r>
      <w:r>
        <w:t>.</w:t>
      </w:r>
      <w:r>
        <w:tab/>
        <w:t>Regulations may exclude interest</w:t>
      </w:r>
      <w:bookmarkEnd w:id="883"/>
    </w:p>
    <w:p>
      <w:pPr>
        <w:pStyle w:val="Subsection"/>
      </w:pPr>
      <w:r>
        <w:tab/>
      </w:r>
      <w:r>
        <w:tab/>
        <w:t>Interest is not payable under section 222, 223 or 224 in the circumstances prescribed in the regulations.</w:t>
      </w:r>
    </w:p>
    <w:p>
      <w:pPr>
        <w:pStyle w:val="Footnotesection"/>
      </w:pPr>
      <w:r>
        <w:tab/>
        <w:t>[Section 225 inserted: No. 42 of 2004 s. 130.]</w:t>
      </w:r>
    </w:p>
    <w:p>
      <w:pPr>
        <w:pStyle w:val="Ednotepart"/>
      </w:pPr>
      <w:r>
        <w:t>[Part XII (s. 226-244) deleted: No. 31 of 2011 s. 12.]</w:t>
      </w:r>
    </w:p>
    <w:p>
      <w:pPr>
        <w:pStyle w:val="Heading2"/>
      </w:pPr>
      <w:bookmarkStart w:id="884" w:name="_Toc100238730"/>
      <w:bookmarkStart w:id="885" w:name="_Toc100239344"/>
      <w:bookmarkStart w:id="886" w:name="_Toc100562638"/>
      <w:bookmarkStart w:id="887" w:name="_Toc107310274"/>
      <w:bookmarkStart w:id="888" w:name="_Toc107480128"/>
      <w:bookmarkStart w:id="889" w:name="_Toc131501494"/>
      <w:bookmarkStart w:id="890" w:name="_Toc131502112"/>
      <w:bookmarkStart w:id="891" w:name="_Toc131514708"/>
      <w:r>
        <w:rPr>
          <w:rStyle w:val="CharPartNo"/>
        </w:rPr>
        <w:lastRenderedPageBreak/>
        <w:t>Part XIII</w:t>
      </w:r>
      <w:r>
        <w:rPr>
          <w:rStyle w:val="CharDivNo"/>
        </w:rPr>
        <w:t> </w:t>
      </w:r>
      <w:r>
        <w:t>—</w:t>
      </w:r>
      <w:r>
        <w:rPr>
          <w:rStyle w:val="CharDivText"/>
        </w:rPr>
        <w:t> </w:t>
      </w:r>
      <w:r>
        <w:rPr>
          <w:rStyle w:val="CharPartText"/>
        </w:rPr>
        <w:t>Appeals to District Court</w:t>
      </w:r>
      <w:bookmarkEnd w:id="884"/>
      <w:bookmarkEnd w:id="885"/>
      <w:bookmarkEnd w:id="886"/>
      <w:bookmarkEnd w:id="887"/>
      <w:bookmarkEnd w:id="888"/>
      <w:bookmarkEnd w:id="889"/>
      <w:bookmarkEnd w:id="890"/>
      <w:bookmarkEnd w:id="891"/>
    </w:p>
    <w:p>
      <w:pPr>
        <w:pStyle w:val="Footnoteheading"/>
      </w:pPr>
      <w:r>
        <w:tab/>
        <w:t>[Heading inserted: No. 42 of 2004 s. 130; amended: No. 31 of 2011 s. 13.]</w:t>
      </w:r>
    </w:p>
    <w:p>
      <w:pPr>
        <w:pStyle w:val="Ednotesection"/>
      </w:pPr>
      <w:r>
        <w:t>[</w:t>
      </w:r>
      <w:r>
        <w:rPr>
          <w:b/>
        </w:rPr>
        <w:t>245, 246.</w:t>
      </w:r>
      <w:r>
        <w:tab/>
        <w:t>Deleted: No. 31 of 2011 s. 14.]</w:t>
      </w:r>
    </w:p>
    <w:p>
      <w:pPr>
        <w:pStyle w:val="Heading5"/>
      </w:pPr>
      <w:bookmarkStart w:id="892" w:name="_Toc131514709"/>
      <w:r>
        <w:rPr>
          <w:rStyle w:val="CharSectno"/>
        </w:rPr>
        <w:t>247</w:t>
      </w:r>
      <w:r>
        <w:t>.</w:t>
      </w:r>
      <w:r>
        <w:tab/>
        <w:t>Appeal against arbitrator’s decision made under Part XI</w:t>
      </w:r>
      <w:bookmarkEnd w:id="892"/>
    </w:p>
    <w:p>
      <w:pPr>
        <w:pStyle w:val="Subsection"/>
      </w:pPr>
      <w:r>
        <w:tab/>
        <w:t>(1)</w:t>
      </w:r>
      <w:r>
        <w:tab/>
        <w:t>If written reasons for an arbitrator’s decision under Part XI in respect of a dispute are given to a party to the dispute (whether as required by section 213(3) or otherwise), the party may, with the leave of the District Court, appeal to the District Court against the decision.</w:t>
      </w:r>
    </w:p>
    <w:p>
      <w:pPr>
        <w:pStyle w:val="Subsection"/>
      </w:pPr>
      <w:r>
        <w:tab/>
        <w:t>(2)</w:t>
      </w:r>
      <w:r>
        <w:tab/>
        <w:t>Subject to subsection (3), the District Court is not to grant leave to appeal unless —</w:t>
      </w:r>
    </w:p>
    <w:p>
      <w:pPr>
        <w:pStyle w:val="Indenta"/>
        <w:spacing w:before="60"/>
      </w:pPr>
      <w:r>
        <w:tab/>
        <w:t>(a)</w:t>
      </w:r>
      <w:r>
        <w:tab/>
        <w:t>in the case of an appeal in which an amount of compensation is at issue —</w:t>
      </w:r>
    </w:p>
    <w:p>
      <w:pPr>
        <w:pStyle w:val="Indenti"/>
        <w:spacing w:before="60"/>
      </w:pPr>
      <w:r>
        <w:tab/>
        <w:t>(i)</w:t>
      </w:r>
      <w:r>
        <w:tab/>
        <w:t>a question of law is involved and the amount at issue in the appeal is both —</w:t>
      </w:r>
    </w:p>
    <w:p>
      <w:pPr>
        <w:pStyle w:val="IndentI0"/>
        <w:spacing w:before="60"/>
      </w:pPr>
      <w:r>
        <w:tab/>
        <w:t>(I)</w:t>
      </w:r>
      <w:r>
        <w:tab/>
        <w:t>at least $5 000 or such other amount as may be prescribed by the regulations; and</w:t>
      </w:r>
    </w:p>
    <w:p>
      <w:pPr>
        <w:pStyle w:val="IndentI0"/>
        <w:spacing w:before="60"/>
      </w:pPr>
      <w:r>
        <w:tab/>
        <w:t>(II)</w:t>
      </w:r>
      <w:r>
        <w:tab/>
        <w:t>at least 20% of the amount awarded in the decision appealed against;</w:t>
      </w:r>
    </w:p>
    <w:p>
      <w:pPr>
        <w:pStyle w:val="Indenti"/>
        <w:spacing w:before="60"/>
      </w:pPr>
      <w:r>
        <w:tab/>
      </w:r>
      <w:r>
        <w:tab/>
        <w:t>or</w:t>
      </w:r>
    </w:p>
    <w:p>
      <w:pPr>
        <w:pStyle w:val="Indenti"/>
        <w:spacing w:before="60"/>
      </w:pPr>
      <w:r>
        <w:tab/>
        <w:t>(ii)</w:t>
      </w:r>
      <w:r>
        <w:tab/>
        <w:t>a question of law is involved and, in the opinion of the District Court, the matter is of such importance that, in the public interest, an appeal should lie;</w:t>
      </w:r>
    </w:p>
    <w:p>
      <w:pPr>
        <w:pStyle w:val="Indenta"/>
        <w:spacing w:before="60"/>
      </w:pPr>
      <w:r>
        <w:tab/>
      </w:r>
      <w:r>
        <w:tab/>
        <w:t>and</w:t>
      </w:r>
    </w:p>
    <w:p>
      <w:pPr>
        <w:pStyle w:val="Indenta"/>
        <w:spacing w:before="60"/>
      </w:pPr>
      <w:r>
        <w:tab/>
        <w:t>(b)</w:t>
      </w:r>
      <w:r>
        <w:tab/>
        <w:t>in any other case, a question of law is involved.</w:t>
      </w:r>
    </w:p>
    <w:p>
      <w:pPr>
        <w:pStyle w:val="Ednotesubsection"/>
      </w:pPr>
      <w:r>
        <w:tab/>
        <w:t>[(3)</w:t>
      </w:r>
      <w:r>
        <w:tab/>
        <w:t>deleted]</w:t>
      </w:r>
    </w:p>
    <w:p>
      <w:pPr>
        <w:pStyle w:val="Subsection"/>
        <w:keepLines/>
      </w:pPr>
      <w:r>
        <w:lastRenderedPageBreak/>
        <w:tab/>
        <w:t>(4)</w:t>
      </w:r>
      <w:r>
        <w:tab/>
        <w:t>An application for leave to appeal cannot be made later than 28 days after the day on which the written reasons for the decision appealed against were given to the party making the application.</w:t>
      </w:r>
    </w:p>
    <w:p>
      <w:pPr>
        <w:pStyle w:val="Subsection"/>
      </w:pPr>
      <w:r>
        <w:tab/>
        <w:t>(5)</w:t>
      </w:r>
      <w:r>
        <w:tab/>
        <w:t>An appeal under this section is to be by way of review of the decision appealed against and, except as provided by this Part or section 267, is to be conducted in accordance with the rules of court of the District Court.</w:t>
      </w:r>
    </w:p>
    <w:p>
      <w:pPr>
        <w:pStyle w:val="Subsection"/>
      </w:pPr>
      <w:r>
        <w:tab/>
        <w:t>(6)</w:t>
      </w:r>
      <w:r>
        <w:tab/>
        <w:t>Evidence that is fresh evidence or evidence in addition to or in substitution for the evidence received in relation to the decision appealed against cannot be given on an appeal to the District Court except with the leave of the District Court.</w:t>
      </w:r>
    </w:p>
    <w:p>
      <w:pPr>
        <w:pStyle w:val="Subsection"/>
      </w:pPr>
      <w:r>
        <w:tab/>
        <w:t>(7)</w:t>
      </w:r>
      <w:r>
        <w:tab/>
        <w:t>On hearing an appeal made under this section, the District Court may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District Court thinks fit.</w:t>
      </w:r>
    </w:p>
    <w:p>
      <w:pPr>
        <w:pStyle w:val="Footnotesection"/>
      </w:pPr>
      <w:r>
        <w:tab/>
        <w:t>[Section 247 inserted: No. 42 of 2004 s. 130; amended: No. 16 of 2005 s. 27; No. 31 of 2011 s. 15.]</w:t>
      </w:r>
    </w:p>
    <w:p>
      <w:pPr>
        <w:pStyle w:val="Ednotesection"/>
        <w:tabs>
          <w:tab w:val="clear" w:pos="893"/>
          <w:tab w:val="left" w:pos="1197"/>
        </w:tabs>
      </w:pPr>
      <w:r>
        <w:t>[</w:t>
      </w:r>
      <w:r>
        <w:rPr>
          <w:b/>
        </w:rPr>
        <w:t>248, 249.</w:t>
      </w:r>
      <w:r>
        <w:tab/>
        <w:t>Deleted: No. 31 of 2011 s. 16.]</w:t>
      </w:r>
    </w:p>
    <w:p>
      <w:pPr>
        <w:pStyle w:val="Heading5"/>
      </w:pPr>
      <w:bookmarkStart w:id="893" w:name="_Toc131514710"/>
      <w:r>
        <w:rPr>
          <w:rStyle w:val="CharSectno"/>
        </w:rPr>
        <w:t>250</w:t>
      </w:r>
      <w:r>
        <w:t>.</w:t>
      </w:r>
      <w:r>
        <w:tab/>
        <w:t>Effect of appeal on decision under appeal</w:t>
      </w:r>
      <w:bookmarkEnd w:id="893"/>
    </w:p>
    <w:p>
      <w:pPr>
        <w:pStyle w:val="Subsection"/>
      </w:pPr>
      <w:r>
        <w:tab/>
        <w:t>(1)</w:t>
      </w:r>
      <w:r>
        <w:tab/>
        <w:t>The District Court may, by order, stay the operation of a decision of an arbitrator pending the determination of an application for leave to appeal from the decision and of any appeal.</w:t>
      </w:r>
    </w:p>
    <w:p>
      <w:pPr>
        <w:pStyle w:val="Subsection"/>
      </w:pPr>
      <w:r>
        <w:tab/>
        <w:t>(2)</w:t>
      </w:r>
      <w:r>
        <w:tab/>
        <w:t>Subject to any order made by the District Court, an appeal does not affect the operation of the decision appealed against or prevent the taking of action to implement the decision.</w:t>
      </w:r>
    </w:p>
    <w:p>
      <w:pPr>
        <w:pStyle w:val="Subsection"/>
      </w:pPr>
      <w:r>
        <w:lastRenderedPageBreak/>
        <w:tab/>
        <w:t>(3)</w:t>
      </w:r>
      <w:r>
        <w:tab/>
        <w:t>This section does not limit the powers of the District Court under other written laws.</w:t>
      </w:r>
    </w:p>
    <w:p>
      <w:pPr>
        <w:pStyle w:val="Footnotesection"/>
      </w:pPr>
      <w:r>
        <w:tab/>
        <w:t>[Section 250 inserted: No. 42 of 2004 s. 130; amended: No. 31 of 2011 s. 17.]</w:t>
      </w:r>
    </w:p>
    <w:p>
      <w:pPr>
        <w:pStyle w:val="Ednotesection"/>
        <w:tabs>
          <w:tab w:val="clear" w:pos="893"/>
          <w:tab w:val="left" w:pos="1197"/>
        </w:tabs>
      </w:pPr>
      <w:r>
        <w:t>[</w:t>
      </w:r>
      <w:r>
        <w:rPr>
          <w:b/>
        </w:rPr>
        <w:t>251</w:t>
      </w:r>
      <w:r>
        <w:rPr>
          <w:b/>
        </w:rPr>
        <w:noBreakHyphen/>
        <w:t>253.</w:t>
      </w:r>
      <w:r>
        <w:tab/>
        <w:t>Deleted: No. 31 of 2011 s. 18.]</w:t>
      </w:r>
    </w:p>
    <w:p>
      <w:pPr>
        <w:pStyle w:val="Heading5"/>
      </w:pPr>
      <w:bookmarkStart w:id="894" w:name="_Toc131514711"/>
      <w:r>
        <w:rPr>
          <w:rStyle w:val="CharSectno"/>
        </w:rPr>
        <w:t>254</w:t>
      </w:r>
      <w:r>
        <w:t>.</w:t>
      </w:r>
      <w:r>
        <w:tab/>
        <w:t>Appeal from District Court to Court of Appeal</w:t>
      </w:r>
      <w:bookmarkEnd w:id="894"/>
    </w:p>
    <w:p>
      <w:pPr>
        <w:pStyle w:val="Subsection"/>
      </w:pPr>
      <w:r>
        <w:tab/>
      </w:r>
      <w:r>
        <w:tab/>
        <w:t xml:space="preserve">Under the </w:t>
      </w:r>
      <w:r>
        <w:rPr>
          <w:i/>
        </w:rPr>
        <w:t>District Court of Western Australia Act 1969</w:t>
      </w:r>
      <w:r>
        <w:t xml:space="preserve"> section 79, an appeal may be made to the Court of Appeal in respect of a judgment, order or determination in proceedings in the District Court under this Part but — </w:t>
      </w:r>
    </w:p>
    <w:p>
      <w:pPr>
        <w:pStyle w:val="Indenta"/>
      </w:pPr>
      <w:r>
        <w:tab/>
        <w:t>(a)</w:t>
      </w:r>
      <w:r>
        <w:tab/>
        <w:t xml:space="preserve">the appeal must relate to a question of law; and </w:t>
      </w:r>
    </w:p>
    <w:p>
      <w:pPr>
        <w:pStyle w:val="Indenta"/>
      </w:pPr>
      <w:r>
        <w:tab/>
        <w:t>(b)</w:t>
      </w:r>
      <w:r>
        <w:tab/>
        <w:t>leave to appeal must be obtained from the Court of Appeal.</w:t>
      </w:r>
    </w:p>
    <w:p>
      <w:pPr>
        <w:pStyle w:val="Footnotesection"/>
      </w:pPr>
      <w:r>
        <w:tab/>
        <w:t>[Section 254 inserted: No. 31 of 2011 s. 19.]</w:t>
      </w:r>
    </w:p>
    <w:p>
      <w:pPr>
        <w:pStyle w:val="Heading2"/>
      </w:pPr>
      <w:bookmarkStart w:id="895" w:name="_Toc100238734"/>
      <w:bookmarkStart w:id="896" w:name="_Toc100239348"/>
      <w:bookmarkStart w:id="897" w:name="_Toc100562642"/>
      <w:bookmarkStart w:id="898" w:name="_Toc107310278"/>
      <w:bookmarkStart w:id="899" w:name="_Toc107480132"/>
      <w:bookmarkStart w:id="900" w:name="_Toc131501498"/>
      <w:bookmarkStart w:id="901" w:name="_Toc131502116"/>
      <w:bookmarkStart w:id="902" w:name="_Toc131514712"/>
      <w:r>
        <w:rPr>
          <w:rStyle w:val="CharPartNo"/>
        </w:rPr>
        <w:lastRenderedPageBreak/>
        <w:t>Part XIV</w:t>
      </w:r>
      <w:r>
        <w:rPr>
          <w:b w:val="0"/>
        </w:rPr>
        <w:t> </w:t>
      </w:r>
      <w:r>
        <w:t>—</w:t>
      </w:r>
      <w:r>
        <w:rPr>
          <w:b w:val="0"/>
        </w:rPr>
        <w:t> </w:t>
      </w:r>
      <w:r>
        <w:rPr>
          <w:rStyle w:val="CharPartText"/>
        </w:rPr>
        <w:t>Offences</w:t>
      </w:r>
      <w:bookmarkEnd w:id="895"/>
      <w:bookmarkEnd w:id="896"/>
      <w:bookmarkEnd w:id="897"/>
      <w:bookmarkEnd w:id="898"/>
      <w:bookmarkEnd w:id="899"/>
      <w:bookmarkEnd w:id="900"/>
      <w:bookmarkEnd w:id="901"/>
      <w:bookmarkEnd w:id="902"/>
    </w:p>
    <w:p>
      <w:pPr>
        <w:pStyle w:val="Footnoteheading"/>
        <w:spacing w:before="100"/>
      </w:pPr>
      <w:r>
        <w:tab/>
        <w:t>[Heading inserted: No. 42 of 2004 s. 130.]</w:t>
      </w:r>
    </w:p>
    <w:p>
      <w:pPr>
        <w:pStyle w:val="Heading5"/>
        <w:spacing w:before="120"/>
      </w:pPr>
      <w:bookmarkStart w:id="903" w:name="_Toc131514713"/>
      <w:r>
        <w:rPr>
          <w:rStyle w:val="CharSectno"/>
        </w:rPr>
        <w:t>255</w:t>
      </w:r>
      <w:r>
        <w:t>.</w:t>
      </w:r>
      <w:r>
        <w:tab/>
        <w:t>Failing to comply with decision of dispute resolution authority</w:t>
      </w:r>
      <w:bookmarkEnd w:id="903"/>
    </w:p>
    <w:p>
      <w:pPr>
        <w:pStyle w:val="Subsection"/>
        <w:spacing w:before="100"/>
      </w:pPr>
      <w:r>
        <w:tab/>
        <w:t>(1)</w:t>
      </w:r>
      <w:r>
        <w:tab/>
        <w:t>A person who fails to comply with a decision of a dispute resolution authority commits an offence.</w:t>
      </w:r>
    </w:p>
    <w:p>
      <w:pPr>
        <w:pStyle w:val="Penstart"/>
      </w:pPr>
      <w:r>
        <w:tab/>
        <w:t>Penalty: $5 000.</w:t>
      </w:r>
    </w:p>
    <w:p>
      <w:pPr>
        <w:pStyle w:val="Subsection"/>
        <w:spacing w:before="100"/>
      </w:pPr>
      <w:r>
        <w:tab/>
        <w:t>(2A)</w:t>
      </w:r>
      <w:r>
        <w:tab/>
        <w:t xml:space="preserve">Without limiting the application of subsection (1) it extends to a decision of a conciliation officer to — </w:t>
      </w:r>
    </w:p>
    <w:p>
      <w:pPr>
        <w:pStyle w:val="Indenta"/>
        <w:spacing w:before="60"/>
      </w:pPr>
      <w:r>
        <w:tab/>
        <w:t>(a)</w:t>
      </w:r>
      <w:r>
        <w:tab/>
        <w:t xml:space="preserve">make a requirement under section 182J; or </w:t>
      </w:r>
    </w:p>
    <w:p>
      <w:pPr>
        <w:pStyle w:val="Indenta"/>
        <w:spacing w:before="60"/>
      </w:pPr>
      <w:r>
        <w:tab/>
        <w:t>(b)</w:t>
      </w:r>
      <w:r>
        <w:tab/>
        <w:t xml:space="preserve">give a direction under section 182K or 182L; or </w:t>
      </w:r>
    </w:p>
    <w:p>
      <w:pPr>
        <w:pStyle w:val="Indenta"/>
        <w:spacing w:before="60"/>
      </w:pPr>
      <w:r>
        <w:tab/>
        <w:t>(c)</w:t>
      </w:r>
      <w:r>
        <w:tab/>
        <w:t>issue an order under section 182N.</w:t>
      </w:r>
    </w:p>
    <w:p>
      <w:pPr>
        <w:pStyle w:val="Subsection"/>
        <w:spacing w:before="100"/>
      </w:pPr>
      <w:r>
        <w:tab/>
        <w:t>(2)</w:t>
      </w:r>
      <w:r>
        <w:tab/>
        <w:t xml:space="preserve">Subsection (1) does not apply if, or to the extent that — </w:t>
      </w:r>
    </w:p>
    <w:p>
      <w:pPr>
        <w:pStyle w:val="Indenta"/>
        <w:spacing w:before="60"/>
      </w:pPr>
      <w:r>
        <w:tab/>
        <w:t>(a)</w:t>
      </w:r>
      <w:r>
        <w:tab/>
        <w:t>the person is excused by section 182ZB or 206 from complying with the decision; or</w:t>
      </w:r>
    </w:p>
    <w:p>
      <w:pPr>
        <w:pStyle w:val="Indenta"/>
        <w:spacing w:before="60"/>
      </w:pPr>
      <w:r>
        <w:tab/>
        <w:t>(b)</w:t>
      </w:r>
      <w:r>
        <w:tab/>
        <w:t>the person has a reasonable excuse (other than an excuse mentioned in section 182Y(1), 182ZA, 204(1) or 205) for failing to comply with the decision.</w:t>
      </w:r>
    </w:p>
    <w:p>
      <w:pPr>
        <w:pStyle w:val="Subsection"/>
      </w:pPr>
      <w:r>
        <w:tab/>
        <w:t>(3)</w:t>
      </w:r>
      <w:r>
        <w:tab/>
        <w:t>If the dispute resolution authority made the decision without giving a person an opportunity to be heard, subsection (1) only applies to that person on the person being given personally or in accordance with subsection (4) —</w:t>
      </w:r>
    </w:p>
    <w:p>
      <w:pPr>
        <w:pStyle w:val="Indenta"/>
        <w:spacing w:before="60"/>
      </w:pPr>
      <w:r>
        <w:tab/>
        <w:t>(a)</w:t>
      </w:r>
      <w:r>
        <w:tab/>
        <w:t>a copy of the decision that the Director or Registrar has certified to be a true copy; and</w:t>
      </w:r>
    </w:p>
    <w:p>
      <w:pPr>
        <w:pStyle w:val="Indenta"/>
        <w:spacing w:before="60"/>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spacing w:before="100"/>
        <w:ind w:left="890" w:hanging="890"/>
      </w:pPr>
      <w:r>
        <w:tab/>
        <w:t>[Section 255 inserted: No. 42 of 2004 s. 130; amended: No. 31 of 2011 s. 62.]</w:t>
      </w:r>
    </w:p>
    <w:p>
      <w:pPr>
        <w:pStyle w:val="Heading5"/>
      </w:pPr>
      <w:bookmarkStart w:id="904" w:name="_Toc131514714"/>
      <w:r>
        <w:rPr>
          <w:rStyle w:val="CharSectno"/>
        </w:rPr>
        <w:lastRenderedPageBreak/>
        <w:t>256</w:t>
      </w:r>
      <w:r>
        <w:t>.</w:t>
      </w:r>
      <w:r>
        <w:tab/>
        <w:t>Failing to comply with summons or requirement to attend</w:t>
      </w:r>
      <w:bookmarkEnd w:id="904"/>
    </w:p>
    <w:p>
      <w:pPr>
        <w:pStyle w:val="Subsection"/>
      </w:pPr>
      <w:r>
        <w:tab/>
      </w:r>
      <w:r>
        <w:tab/>
        <w:t xml:space="preserve">A person must not, without reasonable excuse, fail to comply with — </w:t>
      </w:r>
    </w:p>
    <w:p>
      <w:pPr>
        <w:pStyle w:val="Indenta"/>
      </w:pPr>
      <w:r>
        <w:tab/>
        <w:t>(a)</w:t>
      </w:r>
      <w:r>
        <w:tab/>
        <w:t>a summons issued by the Registrar or an arbitrator; or</w:t>
      </w:r>
    </w:p>
    <w:p>
      <w:pPr>
        <w:pStyle w:val="Indenta"/>
      </w:pPr>
      <w:r>
        <w:tab/>
        <w:t>(b)</w:t>
      </w:r>
      <w:r>
        <w:tab/>
        <w:t>a requirement made by a conciliation officer under section 182J(a) or (b).</w:t>
      </w:r>
    </w:p>
    <w:p>
      <w:pPr>
        <w:pStyle w:val="Penstart"/>
      </w:pPr>
      <w:r>
        <w:tab/>
        <w:t>Penalty: a fine of $2 000.</w:t>
      </w:r>
    </w:p>
    <w:p>
      <w:pPr>
        <w:pStyle w:val="Footnotesection"/>
      </w:pPr>
      <w:r>
        <w:tab/>
        <w:t>[Section 256 inserted: No. 31 of 2011 s. 63.]</w:t>
      </w:r>
    </w:p>
    <w:p>
      <w:pPr>
        <w:pStyle w:val="Heading5"/>
      </w:pPr>
      <w:bookmarkStart w:id="905" w:name="_Toc131514715"/>
      <w:r>
        <w:rPr>
          <w:rStyle w:val="CharSectno"/>
        </w:rPr>
        <w:t>257</w:t>
      </w:r>
      <w:r>
        <w:t>.</w:t>
      </w:r>
      <w:r>
        <w:tab/>
        <w:t>Failing to give evidence as required</w:t>
      </w:r>
      <w:bookmarkEnd w:id="905"/>
    </w:p>
    <w:p>
      <w:pPr>
        <w:pStyle w:val="Subsection"/>
      </w:pPr>
      <w:r>
        <w:tab/>
      </w:r>
      <w:r>
        <w:tab/>
        <w:t>A person appearing before the Registrar or an arbitrator commits an offence if the person —</w:t>
      </w:r>
    </w:p>
    <w:p>
      <w:pPr>
        <w:pStyle w:val="Indenta"/>
      </w:pPr>
      <w:r>
        <w:tab/>
        <w:t>(a)</w:t>
      </w:r>
      <w:r>
        <w:tab/>
        <w:t>refuses to swear an oath or make an affirmation or statutory declaration when required by the Registrar or an arbitrator to do so; or</w:t>
      </w:r>
    </w:p>
    <w:p>
      <w:pPr>
        <w:pStyle w:val="Indenta"/>
      </w:pPr>
      <w:r>
        <w:tab/>
        <w:t>(b)</w:t>
      </w:r>
      <w:r>
        <w:tab/>
        <w:t>when required by the Registrar or an arbitrator to give evidence that the person is competent and compellable to give, does not do so.</w:t>
      </w:r>
    </w:p>
    <w:p>
      <w:pPr>
        <w:pStyle w:val="Penstart"/>
      </w:pPr>
      <w:r>
        <w:tab/>
        <w:t>Penalty: $2 000.</w:t>
      </w:r>
    </w:p>
    <w:p>
      <w:pPr>
        <w:pStyle w:val="Footnotesection"/>
      </w:pPr>
      <w:r>
        <w:tab/>
        <w:t>[Section 257 inserted: No. 42 of 2004 s. 130; amended: No. 31 of 2011 s. 64.]</w:t>
      </w:r>
    </w:p>
    <w:p>
      <w:pPr>
        <w:pStyle w:val="Heading5"/>
      </w:pPr>
      <w:bookmarkStart w:id="906" w:name="_Toc131514716"/>
      <w:r>
        <w:rPr>
          <w:rStyle w:val="CharSectno"/>
        </w:rPr>
        <w:t>258</w:t>
      </w:r>
      <w:r>
        <w:t>.</w:t>
      </w:r>
      <w:r>
        <w:tab/>
        <w:t>Giving false or misleading information</w:t>
      </w:r>
      <w:bookmarkEnd w:id="906"/>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r>
        <w:tab/>
        <w:t>[Section 258 inserted: No. 42 of 2004 s. 130.]</w:t>
      </w:r>
    </w:p>
    <w:p>
      <w:pPr>
        <w:pStyle w:val="Heading5"/>
      </w:pPr>
      <w:bookmarkStart w:id="907" w:name="_Toc131514717"/>
      <w:r>
        <w:rPr>
          <w:rStyle w:val="CharSectno"/>
        </w:rPr>
        <w:lastRenderedPageBreak/>
        <w:t>259</w:t>
      </w:r>
      <w:r>
        <w:t>.</w:t>
      </w:r>
      <w:r>
        <w:tab/>
        <w:t>Misbehaviour and other conduct</w:t>
      </w:r>
      <w:bookmarkEnd w:id="907"/>
    </w:p>
    <w:p>
      <w:pPr>
        <w:pStyle w:val="Subsection"/>
        <w:keepNext/>
      </w:pPr>
      <w:r>
        <w:tab/>
        <w:t>(1)</w:t>
      </w:r>
      <w:r>
        <w:tab/>
        <w:t xml:space="preserve">In this section — </w:t>
      </w:r>
    </w:p>
    <w:p>
      <w:pPr>
        <w:pStyle w:val="Defstart"/>
        <w:keepNext/>
      </w:pPr>
      <w:r>
        <w:tab/>
      </w:r>
      <w:r>
        <w:rPr>
          <w:rStyle w:val="CharDefText"/>
        </w:rPr>
        <w:t>hearing</w:t>
      </w:r>
      <w:r>
        <w:t xml:space="preserve"> includes — </w:t>
      </w:r>
    </w:p>
    <w:p>
      <w:pPr>
        <w:pStyle w:val="Defpara"/>
      </w:pPr>
      <w:r>
        <w:tab/>
        <w:t>(a)</w:t>
      </w:r>
      <w:r>
        <w:tab/>
        <w:t xml:space="preserve">a meeting with a conciliation officer; and </w:t>
      </w:r>
    </w:p>
    <w:p>
      <w:pPr>
        <w:pStyle w:val="Defpara"/>
      </w:pPr>
      <w:r>
        <w:tab/>
        <w:t>(b)</w:t>
      </w:r>
      <w:r>
        <w:tab/>
        <w:t>a conciliation conference.</w:t>
      </w:r>
    </w:p>
    <w:p>
      <w:pPr>
        <w:pStyle w:val="Subsection"/>
      </w:pPr>
      <w:r>
        <w:tab/>
        <w:t>(2)</w:t>
      </w:r>
      <w:r>
        <w:tab/>
        <w:t>A person who —</w:t>
      </w:r>
    </w:p>
    <w:p>
      <w:pPr>
        <w:pStyle w:val="Indenta"/>
      </w:pPr>
      <w:r>
        <w:tab/>
        <w:t>(a)</w:t>
      </w:r>
      <w:r>
        <w:tab/>
        <w:t>insults, or obstructs or hinders the performance of the functions of, a dispute resolution authority; or</w:t>
      </w:r>
    </w:p>
    <w:p>
      <w:pPr>
        <w:pStyle w:val="Indenta"/>
      </w:pPr>
      <w:r>
        <w:tab/>
        <w:t>(b)</w:t>
      </w:r>
      <w:r>
        <w:tab/>
        <w:t>insults, obstructs or hinders a person attending a hearing before a dispute resolution authority; or</w:t>
      </w:r>
    </w:p>
    <w:p>
      <w:pPr>
        <w:pStyle w:val="Indenta"/>
      </w:pPr>
      <w:r>
        <w:tab/>
        <w:t>(c)</w:t>
      </w:r>
      <w:r>
        <w:tab/>
        <w:t>misbehaves at a hearing before a dispute resolution authority; or</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r>
        <w:tab/>
        <w:t>[Section 259 inserted: No. 42 of 2004 s. 130; amended: No. 31 of 2011 s. 65.]</w:t>
      </w:r>
    </w:p>
    <w:p>
      <w:pPr>
        <w:pStyle w:val="Ednotesection"/>
      </w:pPr>
      <w:r>
        <w:t>[</w:t>
      </w:r>
      <w:r>
        <w:rPr>
          <w:b/>
        </w:rPr>
        <w:t>260.</w:t>
      </w:r>
      <w:r>
        <w:tab/>
        <w:t>Deleted: No. 31 of 2011 s. 66.]</w:t>
      </w:r>
    </w:p>
    <w:p>
      <w:pPr>
        <w:pStyle w:val="Heading2"/>
      </w:pPr>
      <w:bookmarkStart w:id="908" w:name="_Toc100238740"/>
      <w:bookmarkStart w:id="909" w:name="_Toc100239354"/>
      <w:bookmarkStart w:id="910" w:name="_Toc100562648"/>
      <w:bookmarkStart w:id="911" w:name="_Toc107310284"/>
      <w:bookmarkStart w:id="912" w:name="_Toc107480138"/>
      <w:bookmarkStart w:id="913" w:name="_Toc131501504"/>
      <w:bookmarkStart w:id="914" w:name="_Toc131502122"/>
      <w:bookmarkStart w:id="915" w:name="_Toc131514718"/>
      <w:r>
        <w:rPr>
          <w:rStyle w:val="CharPartNo"/>
        </w:rPr>
        <w:lastRenderedPageBreak/>
        <w:t>Part XV</w:t>
      </w:r>
      <w:r>
        <w:rPr>
          <w:b w:val="0"/>
        </w:rPr>
        <w:t> </w:t>
      </w:r>
      <w:r>
        <w:t>—</w:t>
      </w:r>
      <w:r>
        <w:rPr>
          <w:b w:val="0"/>
        </w:rPr>
        <w:t> </w:t>
      </w:r>
      <w:r>
        <w:rPr>
          <w:rStyle w:val="CharPartText"/>
        </w:rPr>
        <w:t>Costs</w:t>
      </w:r>
      <w:bookmarkEnd w:id="908"/>
      <w:bookmarkEnd w:id="909"/>
      <w:bookmarkEnd w:id="910"/>
      <w:bookmarkEnd w:id="911"/>
      <w:bookmarkEnd w:id="912"/>
      <w:bookmarkEnd w:id="913"/>
      <w:bookmarkEnd w:id="914"/>
      <w:bookmarkEnd w:id="915"/>
    </w:p>
    <w:p>
      <w:pPr>
        <w:pStyle w:val="Footnoteheading"/>
      </w:pPr>
      <w:r>
        <w:tab/>
        <w:t>[Heading inserted: No. 42 of 2004 s. 130.]</w:t>
      </w:r>
    </w:p>
    <w:p>
      <w:pPr>
        <w:pStyle w:val="Heading3"/>
      </w:pPr>
      <w:bookmarkStart w:id="916" w:name="_Toc100238741"/>
      <w:bookmarkStart w:id="917" w:name="_Toc100239355"/>
      <w:bookmarkStart w:id="918" w:name="_Toc100562649"/>
      <w:bookmarkStart w:id="919" w:name="_Toc107310285"/>
      <w:bookmarkStart w:id="920" w:name="_Toc107480139"/>
      <w:bookmarkStart w:id="921" w:name="_Toc131501505"/>
      <w:bookmarkStart w:id="922" w:name="_Toc131502123"/>
      <w:bookmarkStart w:id="923" w:name="_Toc131514719"/>
      <w:r>
        <w:rPr>
          <w:rStyle w:val="CharDivNo"/>
        </w:rPr>
        <w:t>Division 1</w:t>
      </w:r>
      <w:r>
        <w:t> — </w:t>
      </w:r>
      <w:r>
        <w:rPr>
          <w:rStyle w:val="CharDivText"/>
        </w:rPr>
        <w:t>General</w:t>
      </w:r>
      <w:bookmarkEnd w:id="916"/>
      <w:bookmarkEnd w:id="917"/>
      <w:bookmarkEnd w:id="918"/>
      <w:bookmarkEnd w:id="919"/>
      <w:bookmarkEnd w:id="920"/>
      <w:bookmarkEnd w:id="921"/>
      <w:bookmarkEnd w:id="922"/>
      <w:bookmarkEnd w:id="923"/>
    </w:p>
    <w:p>
      <w:pPr>
        <w:pStyle w:val="Footnoteheading"/>
      </w:pPr>
      <w:r>
        <w:tab/>
        <w:t>[Heading inserted: No. 42 of 2004 s. 130.]</w:t>
      </w:r>
    </w:p>
    <w:p>
      <w:pPr>
        <w:pStyle w:val="Heading5"/>
      </w:pPr>
      <w:bookmarkStart w:id="924" w:name="_Toc131514720"/>
      <w:r>
        <w:rPr>
          <w:rStyle w:val="CharSectno"/>
        </w:rPr>
        <w:t>261</w:t>
      </w:r>
      <w:r>
        <w:t>.</w:t>
      </w:r>
      <w:r>
        <w:tab/>
        <w:t>Terms used</w:t>
      </w:r>
      <w:bookmarkEnd w:id="924"/>
    </w:p>
    <w:p>
      <w:pPr>
        <w:pStyle w:val="Subsection"/>
      </w:pPr>
      <w:r>
        <w:tab/>
      </w:r>
      <w:r>
        <w:tab/>
        <w:t>In this Part —</w:t>
      </w:r>
    </w:p>
    <w:p>
      <w:pPr>
        <w:pStyle w:val="Defstart"/>
      </w:pPr>
      <w:r>
        <w:rPr>
          <w:b/>
        </w:rPr>
        <w:tab/>
      </w:r>
      <w:r>
        <w:rPr>
          <w:rStyle w:val="CharDefText"/>
        </w:rPr>
        <w:t>agent</w:t>
      </w:r>
      <w:r>
        <w:t xml:space="preserve"> means a person who acts as agent for a person in connection with a dispute under this Act;</w:t>
      </w:r>
    </w:p>
    <w:p>
      <w:pPr>
        <w:pStyle w:val="Defstart"/>
      </w:pPr>
      <w:r>
        <w:rPr>
          <w:b/>
        </w:rPr>
        <w:tab/>
      </w:r>
      <w:r>
        <w:rPr>
          <w:rStyle w:val="CharDefText"/>
        </w:rPr>
        <w:t>agent service</w:t>
      </w:r>
      <w:r>
        <w:t xml:space="preserve"> means any service performed by a person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r>
      <w:r>
        <w:rPr>
          <w:rStyle w:val="CharDefText"/>
        </w:rPr>
        <w:t>costs</w:t>
      </w:r>
      <w:r>
        <w:t xml:space="preserve"> means —</w:t>
      </w:r>
    </w:p>
    <w:p>
      <w:pPr>
        <w:pStyle w:val="Defpara"/>
      </w:pPr>
      <w:r>
        <w:tab/>
        <w:t>(a)</w:t>
      </w:r>
      <w:r>
        <w:tab/>
        <w:t>costs of a party (including fees, charges and disbursements); and</w:t>
      </w:r>
    </w:p>
    <w:p>
      <w:pPr>
        <w:pStyle w:val="Defpara"/>
      </w:pPr>
      <w:r>
        <w:tab/>
        <w:t>(b)</w:t>
      </w:r>
      <w:r>
        <w:tab/>
        <w:t>costs of a proceeding; and</w:t>
      </w:r>
    </w:p>
    <w:p>
      <w:pPr>
        <w:pStyle w:val="Defpara"/>
      </w:pPr>
      <w:r>
        <w:tab/>
        <w:t>(c)</w:t>
      </w:r>
      <w:r>
        <w:tab/>
        <w:t>such other costs as may be prescribed by regulation;</w:t>
      </w:r>
    </w:p>
    <w:p>
      <w:pPr>
        <w:pStyle w:val="Defstart"/>
      </w:pPr>
      <w:r>
        <w:rPr>
          <w:b/>
        </w:rPr>
        <w:tab/>
      </w:r>
      <w:r>
        <w:rPr>
          <w:rStyle w:val="CharDefText"/>
        </w:rPr>
        <w:t>costs determination</w:t>
      </w:r>
      <w:r>
        <w:t xml:space="preserve"> means a determination published under section 273;</w:t>
      </w:r>
    </w:p>
    <w:p>
      <w:pPr>
        <w:pStyle w:val="Defstart"/>
      </w:pPr>
      <w:r>
        <w:rPr>
          <w:b/>
        </w:rPr>
        <w:tab/>
      </w:r>
      <w:r>
        <w:rPr>
          <w:rStyle w:val="CharDefText"/>
        </w:rPr>
        <w:t>costs of a proceeding</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r>
      <w:r>
        <w:rPr>
          <w:rStyle w:val="CharDefText"/>
        </w:rPr>
        <w:t>legal service</w:t>
      </w:r>
      <w:r>
        <w:t xml:space="preserve"> means any service performed by a person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r>
        <w:tab/>
        <w:t>[Section 261 inserted: No. 42 of 2004 s. 130.]</w:t>
      </w:r>
    </w:p>
    <w:p>
      <w:pPr>
        <w:pStyle w:val="Heading5"/>
      </w:pPr>
      <w:bookmarkStart w:id="925" w:name="_Toc131514721"/>
      <w:r>
        <w:rPr>
          <w:rStyle w:val="CharSectno"/>
        </w:rPr>
        <w:lastRenderedPageBreak/>
        <w:t>262</w:t>
      </w:r>
      <w:r>
        <w:t>.</w:t>
      </w:r>
      <w:r>
        <w:tab/>
        <w:t>Costs to which this Part applies</w:t>
      </w:r>
      <w:bookmarkEnd w:id="925"/>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r>
        <w:tab/>
        <w:t>[Section 262 inserted: No. 42 of 2004 s. 130.]</w:t>
      </w:r>
    </w:p>
    <w:p>
      <w:pPr>
        <w:pStyle w:val="Heading5"/>
      </w:pPr>
      <w:bookmarkStart w:id="926" w:name="_Toc131514722"/>
      <w:r>
        <w:rPr>
          <w:rStyle w:val="CharSectno"/>
        </w:rPr>
        <w:t>263</w:t>
      </w:r>
      <w:r>
        <w:t>.</w:t>
      </w:r>
      <w:r>
        <w:tab/>
        <w:t xml:space="preserve">This Part prevails over </w:t>
      </w:r>
      <w:r>
        <w:rPr>
          <w:i/>
        </w:rPr>
        <w:t>Legal Profession Uniform Law (WA)</w:t>
      </w:r>
      <w:bookmarkEnd w:id="926"/>
    </w:p>
    <w:p>
      <w:pPr>
        <w:pStyle w:val="Subsection"/>
      </w:pPr>
      <w:r>
        <w:tab/>
      </w:r>
      <w:r>
        <w:tab/>
        <w:t xml:space="preserve">This Part and any regulations under this Part prevail to the extent of any inconsistency with the </w:t>
      </w:r>
      <w:r>
        <w:rPr>
          <w:i/>
        </w:rPr>
        <w:t>Legal Profession Uniform Law (WA)</w:t>
      </w:r>
      <w:r>
        <w:t>, and in particular Part 4.3 of the Law.</w:t>
      </w:r>
    </w:p>
    <w:p>
      <w:pPr>
        <w:pStyle w:val="Footnotesection"/>
      </w:pPr>
      <w:r>
        <w:tab/>
        <w:t>[Section 263 inserted: No. 42 of 2004 s. 130; amended: No. 21 of 2008 s. 713(3); No. 9 of 2022 s. 415.]</w:t>
      </w:r>
    </w:p>
    <w:p>
      <w:pPr>
        <w:pStyle w:val="Heading3"/>
      </w:pPr>
      <w:bookmarkStart w:id="927" w:name="_Toc100238745"/>
      <w:bookmarkStart w:id="928" w:name="_Toc100239359"/>
      <w:bookmarkStart w:id="929" w:name="_Toc100562653"/>
      <w:bookmarkStart w:id="930" w:name="_Toc107310289"/>
      <w:bookmarkStart w:id="931" w:name="_Toc107480143"/>
      <w:bookmarkStart w:id="932" w:name="_Toc131501509"/>
      <w:bookmarkStart w:id="933" w:name="_Toc131502127"/>
      <w:bookmarkStart w:id="934" w:name="_Toc131514723"/>
      <w:r>
        <w:rPr>
          <w:rStyle w:val="CharDivNo"/>
        </w:rPr>
        <w:t>Division 2</w:t>
      </w:r>
      <w:r>
        <w:t> — </w:t>
      </w:r>
      <w:r>
        <w:rPr>
          <w:rStyle w:val="CharDivText"/>
        </w:rPr>
        <w:t>Costs of parties in proceedings and costs of proceedings</w:t>
      </w:r>
      <w:bookmarkEnd w:id="927"/>
      <w:bookmarkEnd w:id="928"/>
      <w:bookmarkEnd w:id="929"/>
      <w:bookmarkEnd w:id="930"/>
      <w:bookmarkEnd w:id="931"/>
      <w:bookmarkEnd w:id="932"/>
      <w:bookmarkEnd w:id="933"/>
      <w:bookmarkEnd w:id="934"/>
    </w:p>
    <w:p>
      <w:pPr>
        <w:pStyle w:val="Footnoteheading"/>
      </w:pPr>
      <w:r>
        <w:tab/>
        <w:t>[Heading inserted: No. 42 of 2004 s. 130.]</w:t>
      </w:r>
    </w:p>
    <w:p>
      <w:pPr>
        <w:pStyle w:val="Heading5"/>
      </w:pPr>
      <w:bookmarkStart w:id="935" w:name="_Toc131514724"/>
      <w:r>
        <w:rPr>
          <w:rStyle w:val="CharSectno"/>
        </w:rPr>
        <w:t>264</w:t>
      </w:r>
      <w:r>
        <w:t>.</w:t>
      </w:r>
      <w:r>
        <w:tab/>
        <w:t>Costs to be determined by dispute resolution authority</w:t>
      </w:r>
      <w:bookmarkEnd w:id="935"/>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the </w:t>
      </w:r>
      <w:r>
        <w:rPr>
          <w:i/>
        </w:rPr>
        <w:t>Legal Profession Uniform Law (WA)</w:t>
      </w:r>
      <w:r>
        <w:t xml:space="preserve"> Part 4.3 Division 7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lastRenderedPageBreak/>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Without limiting section 265, the regulations may make provision in relation to the making of orders for the payment by a party of the costs of another party so as to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r>
        <w:tab/>
        <w:t>[Section 264 inserted: No. 42 of 2004 s. 130; amended: No. 21 of 2008 s. 713(4); No. 9 of 2022 s. 416.]</w:t>
      </w:r>
    </w:p>
    <w:p>
      <w:pPr>
        <w:pStyle w:val="Heading5"/>
      </w:pPr>
      <w:bookmarkStart w:id="936" w:name="_Toc131514725"/>
      <w:r>
        <w:rPr>
          <w:rStyle w:val="CharSectno"/>
        </w:rPr>
        <w:t>265</w:t>
      </w:r>
      <w:r>
        <w:t>.</w:t>
      </w:r>
      <w:r>
        <w:tab/>
        <w:t>Costs unreasonably incurred by representative</w:t>
      </w:r>
      <w:bookmarkEnd w:id="936"/>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rStyle w:val="CharDefText"/>
        </w:rPr>
        <w:t>representative</w:t>
      </w:r>
      <w:r>
        <w:t>), a dispute resolution authority may make an order —</w:t>
      </w:r>
    </w:p>
    <w:p>
      <w:pPr>
        <w:pStyle w:val="Indenta"/>
      </w:pPr>
      <w:r>
        <w:tab/>
        <w:t>(a)</w:t>
      </w:r>
      <w:r>
        <w:tab/>
        <w:t>disallowing the costs, as between the representative and the client; and</w:t>
      </w:r>
    </w:p>
    <w:p>
      <w:pPr>
        <w:pStyle w:val="Indenta"/>
      </w:pPr>
      <w:r>
        <w:tab/>
        <w:t>(b)</w:t>
      </w:r>
      <w:r>
        <w:tab/>
        <w:t>directing the representative to repay the client costs which the client has been ordered to pay to any other party to the proceeding; and</w:t>
      </w:r>
    </w:p>
    <w:p>
      <w:pPr>
        <w:pStyle w:val="Indenta"/>
      </w:pPr>
      <w:r>
        <w:lastRenderedPageBreak/>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r>
        <w:tab/>
        <w:t>[Section 265 inserted: No. 42 of 2004 s. 130.]</w:t>
      </w:r>
    </w:p>
    <w:p>
      <w:pPr>
        <w:pStyle w:val="Heading5"/>
      </w:pPr>
      <w:bookmarkStart w:id="937" w:name="_Toc131514726"/>
      <w:r>
        <w:rPr>
          <w:rStyle w:val="CharSectno"/>
        </w:rPr>
        <w:t>266</w:t>
      </w:r>
      <w:r>
        <w:t>.</w:t>
      </w:r>
      <w:r>
        <w:tab/>
        <w:t>Agent’s costs</w:t>
      </w:r>
      <w:bookmarkEnd w:id="937"/>
    </w:p>
    <w:p>
      <w:pPr>
        <w:pStyle w:val="Subsection"/>
      </w:pPr>
      <w:r>
        <w:tab/>
      </w:r>
      <w:r>
        <w:tab/>
        <w:t>An agent is not entitled to be paid or recover any amount for an agent service unless the agent is a registered agent.</w:t>
      </w:r>
    </w:p>
    <w:p>
      <w:pPr>
        <w:pStyle w:val="Footnotesection"/>
      </w:pPr>
      <w:r>
        <w:tab/>
        <w:t>[Section 266 inserted: No. 42 of 2004 s. 130.]</w:t>
      </w:r>
    </w:p>
    <w:p>
      <w:pPr>
        <w:pStyle w:val="Heading5"/>
      </w:pPr>
      <w:bookmarkStart w:id="938" w:name="_Toc131514727"/>
      <w:r>
        <w:rPr>
          <w:rStyle w:val="CharSectno"/>
        </w:rPr>
        <w:t>267</w:t>
      </w:r>
      <w:r>
        <w:t>.</w:t>
      </w:r>
      <w:r>
        <w:tab/>
        <w:t>Appeal costs</w:t>
      </w:r>
      <w:bookmarkEnd w:id="938"/>
    </w:p>
    <w:p>
      <w:pPr>
        <w:pStyle w:val="Subsection"/>
      </w:pPr>
      <w:r>
        <w:tab/>
        <w:t>(1)</w:t>
      </w:r>
      <w:r>
        <w:tab/>
        <w:t>The District Court is not to make an order for costs against a worker on the ground that an appeal under Part XIII was successful.</w:t>
      </w:r>
    </w:p>
    <w:p>
      <w:pPr>
        <w:pStyle w:val="Subsection"/>
      </w:pPr>
      <w:r>
        <w:tab/>
        <w:t>(2)</w:t>
      </w:r>
      <w:r>
        <w:tab/>
        <w:t>If the appellant in an appeal under Part XIII is a worker and is unsuccessful on the appeal, the District Court is not to make an order for the payment of the appellant’s costs on the appeal by any other party to the appeal.</w:t>
      </w:r>
    </w:p>
    <w:p>
      <w:pPr>
        <w:pStyle w:val="Footnotesection"/>
      </w:pPr>
      <w:r>
        <w:tab/>
        <w:t>[Section 267 inserted: No. 31 of 2011 s. 20.]</w:t>
      </w:r>
    </w:p>
    <w:p>
      <w:pPr>
        <w:pStyle w:val="Heading5"/>
      </w:pPr>
      <w:bookmarkStart w:id="939" w:name="_Toc131514728"/>
      <w:r>
        <w:rPr>
          <w:rStyle w:val="CharSectno"/>
        </w:rPr>
        <w:t>268</w:t>
      </w:r>
      <w:r>
        <w:t>.</w:t>
      </w:r>
      <w:r>
        <w:tab/>
        <w:t>Regulations for assessment of costs</w:t>
      </w:r>
      <w:bookmarkEnd w:id="939"/>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keepNext/>
      </w:pPr>
      <w:r>
        <w:lastRenderedPageBreak/>
        <w:tab/>
        <w:t>(2)</w:t>
      </w:r>
      <w:r>
        <w:tab/>
        <w:t>Without limiting subsection (1), the regulations may —</w:t>
      </w:r>
    </w:p>
    <w:p>
      <w:pPr>
        <w:pStyle w:val="Indenta"/>
      </w:pPr>
      <w:r>
        <w:tab/>
        <w:t>(a)</w:t>
      </w:r>
      <w:r>
        <w:tab/>
        <w:t xml:space="preserve">make provision for or with respect to any matter for or in connection with which provision is made by the </w:t>
      </w:r>
      <w:r>
        <w:rPr>
          <w:i/>
        </w:rPr>
        <w:t>Legal Profession Uniform Law (WA)</w:t>
      </w:r>
      <w:r>
        <w:t xml:space="preserve"> Part 4.3 Division 7; and</w:t>
      </w:r>
    </w:p>
    <w:p>
      <w:pPr>
        <w:pStyle w:val="Indenta"/>
        <w:spacing w:before="60"/>
      </w:pPr>
      <w:r>
        <w:tab/>
        <w:t>(b)</w:t>
      </w:r>
      <w:r>
        <w:tab/>
        <w:t xml:space="preserve">adopt, with or without modification, any of the provisions of the </w:t>
      </w:r>
      <w:r>
        <w:rPr>
          <w:i/>
        </w:rPr>
        <w:t>Legal Profession Uniform Law (WA)</w:t>
      </w:r>
      <w:r>
        <w:t xml:space="preserve"> Part 4.3 Division 7; and</w:t>
      </w:r>
    </w:p>
    <w:p>
      <w:pPr>
        <w:pStyle w:val="Indenta"/>
        <w:spacing w:before="60"/>
      </w:pPr>
      <w:r>
        <w:tab/>
        <w:t>(c)</w:t>
      </w:r>
      <w:r>
        <w:tab/>
        <w:t>make provision for or with respect to the assessment of costs by a conciliation officer or an arbitrator.</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Profession Uniform Law (WA)</w:t>
      </w:r>
      <w:r>
        <w:t>.</w:t>
      </w:r>
    </w:p>
    <w:p>
      <w:pPr>
        <w:pStyle w:val="Footnotesection"/>
      </w:pPr>
      <w:r>
        <w:tab/>
        <w:t>[Section 268 inserted: No. 42 of 2004 s. 130; amended: No. 21 of 2008 s. 713(5) and (6); No. 31 of 2011 s. 67; No. 9 of 2022 s. 417.]</w:t>
      </w:r>
    </w:p>
    <w:p>
      <w:pPr>
        <w:pStyle w:val="Heading3"/>
        <w:spacing w:before="200"/>
      </w:pPr>
      <w:bookmarkStart w:id="940" w:name="_Toc100238751"/>
      <w:bookmarkStart w:id="941" w:name="_Toc100239365"/>
      <w:bookmarkStart w:id="942" w:name="_Toc100562659"/>
      <w:bookmarkStart w:id="943" w:name="_Toc107310295"/>
      <w:bookmarkStart w:id="944" w:name="_Toc107480149"/>
      <w:bookmarkStart w:id="945" w:name="_Toc131501515"/>
      <w:bookmarkStart w:id="946" w:name="_Toc131502133"/>
      <w:bookmarkStart w:id="947" w:name="_Toc131514729"/>
      <w:r>
        <w:rPr>
          <w:rStyle w:val="CharDivNo"/>
        </w:rPr>
        <w:t>Division 3</w:t>
      </w:r>
      <w:r>
        <w:t> — </w:t>
      </w:r>
      <w:r>
        <w:rPr>
          <w:rStyle w:val="CharDivText"/>
        </w:rPr>
        <w:t>Maximum costs</w:t>
      </w:r>
      <w:bookmarkEnd w:id="940"/>
      <w:bookmarkEnd w:id="941"/>
      <w:bookmarkEnd w:id="942"/>
      <w:bookmarkEnd w:id="943"/>
      <w:bookmarkEnd w:id="944"/>
      <w:bookmarkEnd w:id="945"/>
      <w:bookmarkEnd w:id="946"/>
      <w:bookmarkEnd w:id="947"/>
    </w:p>
    <w:p>
      <w:pPr>
        <w:pStyle w:val="Footnoteheading"/>
        <w:spacing w:before="100"/>
      </w:pPr>
      <w:r>
        <w:tab/>
        <w:t>[Heading inserted: No. 42 of 2004 s. 130.]</w:t>
      </w:r>
    </w:p>
    <w:p>
      <w:pPr>
        <w:pStyle w:val="Heading5"/>
        <w:spacing w:before="180"/>
      </w:pPr>
      <w:bookmarkStart w:id="948" w:name="_Toc131514730"/>
      <w:r>
        <w:rPr>
          <w:rStyle w:val="CharSectno"/>
        </w:rPr>
        <w:t>269</w:t>
      </w:r>
      <w:r>
        <w:t>.</w:t>
      </w:r>
      <w:r>
        <w:tab/>
        <w:t>Costs Committee, membership of</w:t>
      </w:r>
      <w:bookmarkEnd w:id="948"/>
    </w:p>
    <w:p>
      <w:pPr>
        <w:pStyle w:val="Subsection"/>
        <w:spacing w:before="120"/>
      </w:pPr>
      <w:r>
        <w:tab/>
        <w:t>(1)</w:t>
      </w:r>
      <w:r>
        <w:tab/>
        <w:t>In this section —</w:t>
      </w:r>
    </w:p>
    <w:p>
      <w:pPr>
        <w:pStyle w:val="Defstart"/>
        <w:spacing w:before="120"/>
      </w:pPr>
      <w:r>
        <w:rPr>
          <w:b/>
        </w:rPr>
        <w:tab/>
      </w:r>
      <w:r>
        <w:rPr>
          <w:rStyle w:val="CharDefText"/>
        </w:rPr>
        <w:t>Legal Costs Committee</w:t>
      </w:r>
      <w:r>
        <w:t xml:space="preserve"> means the Legal Costs Committee established under the </w:t>
      </w:r>
      <w:r>
        <w:rPr>
          <w:i/>
        </w:rPr>
        <w:t>Legal Profession Uniform Law Application Act 2022</w:t>
      </w:r>
      <w:r>
        <w:t xml:space="preserve"> section 83.</w:t>
      </w:r>
    </w:p>
    <w:p>
      <w:pPr>
        <w:pStyle w:val="Subsection"/>
        <w:spacing w:before="120"/>
      </w:pPr>
      <w:r>
        <w:tab/>
        <w:t>(2)</w:t>
      </w:r>
      <w:r>
        <w:tab/>
        <w:t>A committee called the Costs Committee is established.</w:t>
      </w:r>
    </w:p>
    <w:p>
      <w:pPr>
        <w:pStyle w:val="Subsection"/>
        <w:spacing w:before="120"/>
      </w:pPr>
      <w:r>
        <w:tab/>
        <w:t>(3)</w:t>
      </w:r>
      <w:r>
        <w:tab/>
        <w:t>The Costs Committee is to be constituted by the following members —</w:t>
      </w:r>
    </w:p>
    <w:p>
      <w:pPr>
        <w:pStyle w:val="Indenta"/>
        <w:spacing w:before="60"/>
      </w:pPr>
      <w:r>
        <w:tab/>
        <w:t>(a)</w:t>
      </w:r>
      <w:r>
        <w:tab/>
        <w:t>a presiding member who is to be a member of WorkCover WA; and</w:t>
      </w:r>
    </w:p>
    <w:p>
      <w:pPr>
        <w:pStyle w:val="Indenta"/>
        <w:spacing w:before="60"/>
      </w:pPr>
      <w:r>
        <w:tab/>
        <w:t>(b)</w:t>
      </w:r>
      <w:r>
        <w:tab/>
        <w:t>one or more other members of WorkCover WA; and</w:t>
      </w:r>
    </w:p>
    <w:p>
      <w:pPr>
        <w:pStyle w:val="Indenta"/>
        <w:spacing w:before="60"/>
      </w:pPr>
      <w:r>
        <w:tab/>
        <w:t>(c)</w:t>
      </w:r>
      <w:r>
        <w:tab/>
        <w:t>2 members of the Legal Costs Committee nominated by the chairperson of that Committee.</w:t>
      </w:r>
    </w:p>
    <w:p>
      <w:pPr>
        <w:pStyle w:val="Subsection"/>
        <w:spacing w:before="120"/>
      </w:pPr>
      <w:r>
        <w:lastRenderedPageBreak/>
        <w:tab/>
        <w:t>(4)</w:t>
      </w:r>
      <w:r>
        <w:tab/>
        <w:t>The members are to be appointed by WorkCover WA.</w:t>
      </w:r>
    </w:p>
    <w:p>
      <w:pPr>
        <w:pStyle w:val="Subsection"/>
        <w:spacing w:before="120"/>
      </w:pPr>
      <w:r>
        <w:tab/>
        <w:t>(5)</w:t>
      </w:r>
      <w:r>
        <w:tab/>
        <w:t>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w:t>
      </w:r>
    </w:p>
    <w:p>
      <w:pPr>
        <w:pStyle w:val="Footnotesection"/>
        <w:spacing w:before="100"/>
        <w:ind w:left="890" w:hanging="890"/>
      </w:pPr>
      <w:r>
        <w:tab/>
        <w:t>[Section 269 inserted: No. 42 of 2004 s. 130; amended: No. 21 of 2008 s. 713(7); No. 9 of 2022 s. 418.]</w:t>
      </w:r>
    </w:p>
    <w:p>
      <w:pPr>
        <w:pStyle w:val="Heading5"/>
      </w:pPr>
      <w:bookmarkStart w:id="949" w:name="_Toc131514731"/>
      <w:r>
        <w:rPr>
          <w:rStyle w:val="CharSectno"/>
        </w:rPr>
        <w:t>270A</w:t>
      </w:r>
      <w:r>
        <w:t>.</w:t>
      </w:r>
      <w:r>
        <w:tab/>
        <w:t>Remuneration of Committee members</w:t>
      </w:r>
      <w:bookmarkEnd w:id="949"/>
    </w:p>
    <w:p>
      <w:pPr>
        <w:pStyle w:val="Subsection"/>
      </w:pPr>
      <w:r>
        <w:tab/>
        <w:t>(1)</w:t>
      </w:r>
      <w:r>
        <w:tab/>
        <w:t>A member of the Costs Committee is entitled to be paid such fees and allowances as may be determined by the Minister on the recommendation of the Public Sector Commissioner.</w:t>
      </w:r>
    </w:p>
    <w:p>
      <w:pPr>
        <w:pStyle w:val="Subsection"/>
      </w:pPr>
      <w:r>
        <w:tab/>
        <w:t>(2)</w:t>
      </w:r>
      <w:r>
        <w:tab/>
        <w:t>The fees and allowances mentioned in subsection (1) are to be paid by WorkCover WA from moneys standing to the credit of the General Account.</w:t>
      </w:r>
    </w:p>
    <w:p>
      <w:pPr>
        <w:pStyle w:val="Footnotesection"/>
        <w:spacing w:before="100"/>
        <w:ind w:left="890" w:hanging="890"/>
      </w:pPr>
      <w:r>
        <w:tab/>
        <w:t>[Section 270A inserted: No. 31 of 2011 s. 121.]</w:t>
      </w:r>
    </w:p>
    <w:p>
      <w:pPr>
        <w:pStyle w:val="Heading5"/>
        <w:spacing w:before="200"/>
      </w:pPr>
      <w:bookmarkStart w:id="950" w:name="_Toc131514732"/>
      <w:r>
        <w:rPr>
          <w:rStyle w:val="CharSectno"/>
        </w:rPr>
        <w:t>270</w:t>
      </w:r>
      <w:r>
        <w:t>.</w:t>
      </w:r>
      <w:r>
        <w:tab/>
        <w:t>Constitution and procedure of Costs Committee</w:t>
      </w:r>
      <w:bookmarkEnd w:id="950"/>
    </w:p>
    <w:p>
      <w:pPr>
        <w:pStyle w:val="Subsection"/>
        <w:spacing w:before="140"/>
      </w:pPr>
      <w:r>
        <w:tab/>
        <w:t>(1)</w:t>
      </w:r>
      <w:r>
        <w:tab/>
        <w:t>Subject to section 269, the constitution and procedure of, and other matters relating to, the Costs Committee —</w:t>
      </w:r>
    </w:p>
    <w:p>
      <w:pPr>
        <w:pStyle w:val="Indenta"/>
        <w:spacing w:before="60"/>
      </w:pPr>
      <w:r>
        <w:tab/>
        <w:t>(a)</w:t>
      </w:r>
      <w:r>
        <w:tab/>
        <w:t>may be prescribed by the regulations;</w:t>
      </w:r>
    </w:p>
    <w:p>
      <w:pPr>
        <w:pStyle w:val="Indenta"/>
        <w:spacing w:before="60"/>
      </w:pPr>
      <w:r>
        <w:tab/>
        <w:t>(b)</w:t>
      </w:r>
      <w:r>
        <w:tab/>
        <w:t>if not prescribed by the regulations, may be as directed in writing by WorkCover WA.</w:t>
      </w:r>
    </w:p>
    <w:p>
      <w:pPr>
        <w:pStyle w:val="Subsection"/>
        <w:spacing w:before="140"/>
      </w:pPr>
      <w:r>
        <w:tab/>
        <w:t>(2)</w:t>
      </w:r>
      <w:r>
        <w:tab/>
        <w:t>To the extent that the procedure of the Costs Committee is not prescribed by the regulations or directed by WorkCover WA, the Costs Committee may determine its own procedure.</w:t>
      </w:r>
    </w:p>
    <w:p>
      <w:pPr>
        <w:pStyle w:val="Footnotesection"/>
        <w:spacing w:before="100"/>
        <w:ind w:left="890" w:hanging="890"/>
      </w:pPr>
      <w:r>
        <w:tab/>
        <w:t>[Section 270 inserted: No. 42 of 2004 s. 130.]</w:t>
      </w:r>
    </w:p>
    <w:p>
      <w:pPr>
        <w:pStyle w:val="Heading5"/>
        <w:spacing w:before="200"/>
      </w:pPr>
      <w:bookmarkStart w:id="951" w:name="_Toc131514733"/>
      <w:r>
        <w:rPr>
          <w:rStyle w:val="CharSectno"/>
        </w:rPr>
        <w:t>271</w:t>
      </w:r>
      <w:r>
        <w:t>.</w:t>
      </w:r>
      <w:r>
        <w:tab/>
        <w:t>Determinations as to maximum costs</w:t>
      </w:r>
      <w:bookmarkEnd w:id="951"/>
    </w:p>
    <w:p>
      <w:pPr>
        <w:pStyle w:val="Subsection"/>
        <w:spacing w:before="140"/>
      </w:pPr>
      <w:r>
        <w:tab/>
        <w:t>(1)</w:t>
      </w:r>
      <w:r>
        <w:tab/>
        <w:t>The Costs Committee may make a determination —</w:t>
      </w:r>
    </w:p>
    <w:p>
      <w:pPr>
        <w:pStyle w:val="Indenta"/>
        <w:spacing w:before="60"/>
      </w:pPr>
      <w:r>
        <w:lastRenderedPageBreak/>
        <w:tab/>
        <w:t>(a)</w:t>
      </w:r>
      <w:r>
        <w:tab/>
        <w:t>fixing maximum costs for legal services and agent services;</w:t>
      </w:r>
    </w:p>
    <w:p>
      <w:pPr>
        <w:pStyle w:val="Indenta"/>
        <w:spacing w:before="60"/>
      </w:pPr>
      <w:r>
        <w:tab/>
        <w:t>(b)</w:t>
      </w:r>
      <w:r>
        <w:tab/>
        <w:t>fixing maximum costs for matters that are not legal services or agent services but are related to a claim for compensation (for example, expenses for witnesses or medical reports).</w:t>
      </w:r>
    </w:p>
    <w:p>
      <w:pPr>
        <w:pStyle w:val="Subsection"/>
        <w:spacing w:before="140"/>
      </w:pPr>
      <w:r>
        <w:tab/>
        <w:t>(2)</w:t>
      </w:r>
      <w:r>
        <w:tab/>
        <w:t>A provision of the determination —</w:t>
      </w:r>
    </w:p>
    <w:p>
      <w:pPr>
        <w:pStyle w:val="Indenta"/>
        <w:spacing w:before="60"/>
      </w:pPr>
      <w:r>
        <w:tab/>
        <w:t>(a)</w:t>
      </w:r>
      <w:r>
        <w:tab/>
        <w:t>may authorise any matter or thing to be determined, applied or regulated by a specified person or body;</w:t>
      </w:r>
    </w:p>
    <w:p>
      <w:pPr>
        <w:pStyle w:val="Indenta"/>
        <w:spacing w:before="60"/>
      </w:pPr>
      <w:r>
        <w:tab/>
        <w:t>(b)</w:t>
      </w:r>
      <w:r>
        <w:tab/>
        <w:t xml:space="preserve">may fix a cost or amount by reference to a cost or amount fixed by a legal costs determination made under the </w:t>
      </w:r>
      <w:r>
        <w:rPr>
          <w:i/>
        </w:rPr>
        <w:t>Legal Profession Uniform Law Application Act 2022</w:t>
      </w:r>
      <w:r>
        <w:t xml:space="preserve"> section 133.</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r>
        <w:tab/>
        <w:t>[Section 271 inserted: No. 42 of 2004 s. 130; amended: No. 21 of 2008 s. 713(8); No. 9 of 2022 s. 419.]</w:t>
      </w:r>
    </w:p>
    <w:p>
      <w:pPr>
        <w:pStyle w:val="Heading5"/>
      </w:pPr>
      <w:bookmarkStart w:id="952" w:name="_Toc131514734"/>
      <w:r>
        <w:rPr>
          <w:rStyle w:val="CharSectno"/>
        </w:rPr>
        <w:t>272</w:t>
      </w:r>
      <w:r>
        <w:t>.</w:t>
      </w:r>
      <w:r>
        <w:tab/>
        <w:t>Making determinations</w:t>
      </w:r>
      <w:bookmarkEnd w:id="952"/>
    </w:p>
    <w:p>
      <w:pPr>
        <w:pStyle w:val="Subsection"/>
      </w:pPr>
      <w:r>
        <w:tab/>
        <w:t>(1)</w:t>
      </w:r>
      <w:r>
        <w:tab/>
        <w:t>Before making a determination the Costs Committee may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In making a determination the Costs Committee —</w:t>
      </w:r>
    </w:p>
    <w:p>
      <w:pPr>
        <w:pStyle w:val="Indenta"/>
      </w:pPr>
      <w:r>
        <w:lastRenderedPageBreak/>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spacing w:before="110"/>
        <w:ind w:left="890" w:hanging="890"/>
      </w:pPr>
      <w:r>
        <w:tab/>
        <w:t>[Section 272 inserted: No. 42 of 2004 s. 130.]</w:t>
      </w:r>
    </w:p>
    <w:p>
      <w:pPr>
        <w:pStyle w:val="Heading5"/>
      </w:pPr>
      <w:bookmarkStart w:id="953" w:name="_Toc131514735"/>
      <w:r>
        <w:rPr>
          <w:rStyle w:val="CharSectno"/>
        </w:rPr>
        <w:t>273</w:t>
      </w:r>
      <w:r>
        <w:t>.</w:t>
      </w:r>
      <w:r>
        <w:tab/>
        <w:t>Approval and publication of determinations</w:t>
      </w:r>
      <w:bookmarkEnd w:id="953"/>
    </w:p>
    <w:p>
      <w:pPr>
        <w:pStyle w:val="Subsection"/>
        <w:spacing w:before="140"/>
      </w:pPr>
      <w:r>
        <w:tab/>
        <w:t>(1)</w:t>
      </w:r>
      <w:r>
        <w:tab/>
        <w:t>The Costs Committee is to report to the Minister —</w:t>
      </w:r>
    </w:p>
    <w:p>
      <w:pPr>
        <w:pStyle w:val="Indenta"/>
        <w:spacing w:before="60"/>
      </w:pPr>
      <w:r>
        <w:tab/>
        <w:t>(a)</w:t>
      </w:r>
      <w:r>
        <w:tab/>
        <w:t>a determination under section 271; and</w:t>
      </w:r>
    </w:p>
    <w:p>
      <w:pPr>
        <w:pStyle w:val="Indenta"/>
        <w:spacing w:before="60"/>
      </w:pPr>
      <w:r>
        <w:tab/>
        <w:t>(b)</w:t>
      </w:r>
      <w:r>
        <w:tab/>
        <w:t>the reasons for its decisions in respect of the determination.</w:t>
      </w:r>
    </w:p>
    <w:p>
      <w:pPr>
        <w:pStyle w:val="Subsection"/>
        <w:spacing w:before="140"/>
      </w:pPr>
      <w:r>
        <w:tab/>
        <w:t>(2)</w:t>
      </w:r>
      <w:r>
        <w:tab/>
        <w:t xml:space="preserve">If the Minister approves the determination, the determination is to be published in the </w:t>
      </w:r>
      <w:r>
        <w:rPr>
          <w:i/>
        </w:rPr>
        <w:t>Gazette</w:t>
      </w:r>
      <w:r>
        <w:t>.</w:t>
      </w:r>
    </w:p>
    <w:p>
      <w:pPr>
        <w:pStyle w:val="Subsection"/>
        <w:spacing w:before="140"/>
      </w:pPr>
      <w:r>
        <w:tab/>
        <w:t>(3)</w:t>
      </w:r>
      <w:r>
        <w:tab/>
        <w:t>A costs determination takes effect on and from —</w:t>
      </w:r>
    </w:p>
    <w:p>
      <w:pPr>
        <w:pStyle w:val="Indenta"/>
        <w:spacing w:before="60"/>
      </w:pPr>
      <w:r>
        <w:tab/>
        <w:t>(a)</w:t>
      </w:r>
      <w:r>
        <w:tab/>
        <w:t xml:space="preserve">the day on which it is published in the </w:t>
      </w:r>
      <w:r>
        <w:rPr>
          <w:i/>
        </w:rPr>
        <w:t>Gazette</w:t>
      </w:r>
      <w:r>
        <w:t>; or</w:t>
      </w:r>
    </w:p>
    <w:p>
      <w:pPr>
        <w:pStyle w:val="Indenta"/>
        <w:spacing w:before="60"/>
      </w:pPr>
      <w:r>
        <w:tab/>
        <w:t>(b)</w:t>
      </w:r>
      <w:r>
        <w:tab/>
        <w:t>if a later day is specified in the determination, the later day.</w:t>
      </w:r>
    </w:p>
    <w:p>
      <w:pPr>
        <w:pStyle w:val="Subsection"/>
        <w:spacing w:before="140"/>
      </w:pPr>
      <w:r>
        <w:tab/>
        <w:t>(4)</w:t>
      </w:r>
      <w:r>
        <w:tab/>
        <w:t>Judicial notice is to be taken of —</w:t>
      </w:r>
    </w:p>
    <w:p>
      <w:pPr>
        <w:pStyle w:val="Indenta"/>
        <w:spacing w:before="60"/>
      </w:pPr>
      <w:r>
        <w:tab/>
        <w:t>(a)</w:t>
      </w:r>
      <w:r>
        <w:tab/>
        <w:t xml:space="preserve">a costs determination published in the </w:t>
      </w:r>
      <w:r>
        <w:rPr>
          <w:i/>
        </w:rPr>
        <w:t>Gazette</w:t>
      </w:r>
      <w:r>
        <w:t>; and</w:t>
      </w:r>
    </w:p>
    <w:p>
      <w:pPr>
        <w:pStyle w:val="Indenta"/>
        <w:spacing w:before="60"/>
      </w:pPr>
      <w:r>
        <w:tab/>
        <w:t>(b)</w:t>
      </w:r>
      <w:r>
        <w:tab/>
        <w:t>the day of publication of the determination.</w:t>
      </w:r>
    </w:p>
    <w:p>
      <w:pPr>
        <w:pStyle w:val="Footnotesection"/>
        <w:spacing w:before="110"/>
        <w:ind w:left="890" w:hanging="890"/>
      </w:pPr>
      <w:r>
        <w:tab/>
        <w:t>[Section 273 inserted: No. 42 of 2004 s. 130.]</w:t>
      </w:r>
    </w:p>
    <w:p>
      <w:pPr>
        <w:pStyle w:val="Heading5"/>
        <w:spacing w:before="200"/>
      </w:pPr>
      <w:bookmarkStart w:id="954" w:name="_Toc131514736"/>
      <w:r>
        <w:rPr>
          <w:rStyle w:val="CharSectno"/>
        </w:rPr>
        <w:t>274</w:t>
      </w:r>
      <w:r>
        <w:t>.</w:t>
      </w:r>
      <w:r>
        <w:tab/>
        <w:t>Effect of costs determinations</w:t>
      </w:r>
      <w:bookmarkEnd w:id="954"/>
    </w:p>
    <w:p>
      <w:pPr>
        <w:pStyle w:val="Subsection"/>
        <w:spacing w:before="140"/>
      </w:pPr>
      <w:r>
        <w:tab/>
        <w:t>(1)</w:t>
      </w:r>
      <w:r>
        <w:tab/>
        <w:t>A legal practitioner is not entitled to be paid or recover for a legal service or other matter an amount that exceeds any maximum costs fixed for the service or matter by a costs determination.</w:t>
      </w:r>
    </w:p>
    <w:p>
      <w:pPr>
        <w:pStyle w:val="Subsection"/>
        <w:spacing w:before="140"/>
      </w:pPr>
      <w:r>
        <w:tab/>
        <w:t>(2)</w:t>
      </w:r>
      <w:r>
        <w:tab/>
        <w:t>An agent is not entitled to be paid or recover for an agent service or other matter an amount that exceeds any maximum costs fixed for the service or matter by a costs determination.</w:t>
      </w:r>
    </w:p>
    <w:p>
      <w:pPr>
        <w:pStyle w:val="Subsection"/>
        <w:spacing w:before="140"/>
      </w:pPr>
      <w:r>
        <w:lastRenderedPageBreak/>
        <w:tab/>
        <w:t>(3)</w:t>
      </w:r>
      <w:r>
        <w:tab/>
        <w:t>This section does not entitle a legal practitioner or agent to recover costs for a legal service or matter that a dispute resolution authority determines were unreasonably incurred.</w:t>
      </w:r>
    </w:p>
    <w:p>
      <w:pPr>
        <w:pStyle w:val="Footnotesection"/>
        <w:spacing w:before="110"/>
        <w:ind w:left="890" w:hanging="890"/>
      </w:pPr>
      <w:r>
        <w:tab/>
        <w:t>[Section 274 inserted: No. 42 of 2004 s. 130.]</w:t>
      </w:r>
    </w:p>
    <w:p>
      <w:pPr>
        <w:pStyle w:val="Heading5"/>
        <w:spacing w:before="200"/>
      </w:pPr>
      <w:bookmarkStart w:id="955" w:name="_Toc131514737"/>
      <w:r>
        <w:rPr>
          <w:rStyle w:val="CharSectno"/>
        </w:rPr>
        <w:t>275</w:t>
      </w:r>
      <w:r>
        <w:t>.</w:t>
      </w:r>
      <w:r>
        <w:tab/>
        <w:t>Agreement as to costs, limits on</w:t>
      </w:r>
      <w:bookmarkEnd w:id="955"/>
    </w:p>
    <w:p>
      <w:pPr>
        <w:pStyle w:val="Subsection"/>
      </w:pPr>
      <w:r>
        <w:tab/>
        <w:t>(1)</w:t>
      </w:r>
      <w:r>
        <w:tab/>
        <w:t>An agreement is not to be made for a legal practitioner or agent to receive, for any legal service or agent service, any greater reward than is provided for in a costs determination.</w:t>
      </w:r>
    </w:p>
    <w:p>
      <w:pPr>
        <w:pStyle w:val="Subsection"/>
        <w:keepNext/>
        <w:keepLines/>
      </w:pPr>
      <w:r>
        <w:tab/>
        <w:t>(2)</w:t>
      </w:r>
      <w:r>
        <w:tab/>
        <w:t>An agreement made contrary to this section is void.</w:t>
      </w:r>
    </w:p>
    <w:p>
      <w:pPr>
        <w:pStyle w:val="Footnotesection"/>
        <w:spacing w:before="90"/>
        <w:ind w:left="890" w:hanging="890"/>
      </w:pPr>
      <w:r>
        <w:tab/>
        <w:t>[Section 275 inserted: No. 42 of 2004 s. 130.]</w:t>
      </w:r>
    </w:p>
    <w:p>
      <w:pPr>
        <w:pStyle w:val="Heading5"/>
      </w:pPr>
      <w:bookmarkStart w:id="956" w:name="_Toc131514738"/>
      <w:r>
        <w:rPr>
          <w:rStyle w:val="CharSectno"/>
        </w:rPr>
        <w:t>276</w:t>
      </w:r>
      <w:r>
        <w:t>.</w:t>
      </w:r>
      <w:r>
        <w:tab/>
        <w:t>Division does not affect s. 87 in relation to Part IV actions</w:t>
      </w:r>
      <w:bookmarkEnd w:id="956"/>
    </w:p>
    <w:p>
      <w:pPr>
        <w:pStyle w:val="Subsection"/>
      </w:pPr>
      <w:r>
        <w:tab/>
      </w:r>
      <w:r>
        <w:tab/>
        <w:t>Nothing in this Division affects the operation of section 87 in relation to an action for damages independently of this Act.</w:t>
      </w:r>
    </w:p>
    <w:p>
      <w:pPr>
        <w:pStyle w:val="Footnotesection"/>
        <w:spacing w:before="90"/>
        <w:ind w:left="890" w:hanging="890"/>
      </w:pPr>
      <w:r>
        <w:tab/>
        <w:t>[Section 276 inserted: No. 42 of 2004 s. 130.]</w:t>
      </w:r>
    </w:p>
    <w:p>
      <w:pPr>
        <w:pStyle w:val="Heading2"/>
      </w:pPr>
      <w:bookmarkStart w:id="957" w:name="_Toc100238761"/>
      <w:bookmarkStart w:id="958" w:name="_Toc100239375"/>
      <w:bookmarkStart w:id="959" w:name="_Toc100562669"/>
      <w:bookmarkStart w:id="960" w:name="_Toc107310305"/>
      <w:bookmarkStart w:id="961" w:name="_Toc107480159"/>
      <w:bookmarkStart w:id="962" w:name="_Toc131501525"/>
      <w:bookmarkStart w:id="963" w:name="_Toc131502143"/>
      <w:bookmarkStart w:id="964" w:name="_Toc131514739"/>
      <w:r>
        <w:rPr>
          <w:rStyle w:val="CharPartNo"/>
        </w:rPr>
        <w:lastRenderedPageBreak/>
        <w:t>Part XVI</w:t>
      </w:r>
      <w:r>
        <w:rPr>
          <w:rStyle w:val="CharDivNo"/>
        </w:rPr>
        <w:t> </w:t>
      </w:r>
      <w:r>
        <w:t>—</w:t>
      </w:r>
      <w:r>
        <w:rPr>
          <w:rStyle w:val="CharDivText"/>
        </w:rPr>
        <w:t> </w:t>
      </w:r>
      <w:r>
        <w:rPr>
          <w:rStyle w:val="CharPartText"/>
        </w:rPr>
        <w:t>Registered agents</w:t>
      </w:r>
      <w:bookmarkEnd w:id="957"/>
      <w:bookmarkEnd w:id="958"/>
      <w:bookmarkEnd w:id="959"/>
      <w:bookmarkEnd w:id="960"/>
      <w:bookmarkEnd w:id="961"/>
      <w:bookmarkEnd w:id="962"/>
      <w:bookmarkEnd w:id="963"/>
      <w:bookmarkEnd w:id="964"/>
    </w:p>
    <w:p>
      <w:pPr>
        <w:pStyle w:val="Footnoteheading"/>
      </w:pPr>
      <w:r>
        <w:tab/>
        <w:t>[Heading inserted: No. 42 of 2004 s. 130.]</w:t>
      </w:r>
    </w:p>
    <w:p>
      <w:pPr>
        <w:pStyle w:val="Heading5"/>
      </w:pPr>
      <w:bookmarkStart w:id="965" w:name="_Toc131514740"/>
      <w:r>
        <w:rPr>
          <w:rStyle w:val="CharSectno"/>
        </w:rPr>
        <w:t>277</w:t>
      </w:r>
      <w:r>
        <w:t>.</w:t>
      </w:r>
      <w:r>
        <w:tab/>
        <w:t>Registration of agents</w:t>
      </w:r>
      <w:bookmarkEnd w:id="965"/>
    </w:p>
    <w:p>
      <w:pPr>
        <w:pStyle w:val="Subsection"/>
      </w:pPr>
      <w:r>
        <w:tab/>
        <w:t>(1)</w:t>
      </w:r>
      <w:r>
        <w:tab/>
        <w:t>This section applies to the following persons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iCs/>
        </w:rPr>
        <w:t>Fair Work (Registered Organisations) Act 2009</w:t>
      </w:r>
      <w:r>
        <w:t xml:space="preserve"> (Commonwealth) or under another law of the Commonwealth prescribed by the regulations;</w:t>
      </w:r>
    </w:p>
    <w:p>
      <w:pPr>
        <w:pStyle w:val="Indenta"/>
      </w:pPr>
      <w:r>
        <w:tab/>
        <w:t>(c)</w:t>
      </w:r>
      <w:r>
        <w:tab/>
        <w:t>a person employed by an insurer or self</w:t>
      </w:r>
      <w:r>
        <w:noBreakHyphen/>
        <w:t>insurer;</w:t>
      </w:r>
    </w:p>
    <w:p>
      <w:pPr>
        <w:pStyle w:val="Indenta"/>
      </w:pPr>
      <w:r>
        <w:tab/>
        <w:t>(d)</w:t>
      </w:r>
      <w:r>
        <w:tab/>
        <w:t xml:space="preserve">a person (other than a legal practitioner) employed by a law practice as defined in the </w:t>
      </w:r>
      <w:r>
        <w:rPr>
          <w:i/>
        </w:rPr>
        <w:t>Legal Profession Uniform Law (WA)</w:t>
      </w:r>
      <w:r>
        <w:t xml:space="preserve"> section 6(1);</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Regulations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the circumstances in which, and the procedures by which, a person may be refused registration, or registered subject to conditions, or the registration may be suspended or cancelled; and</w:t>
      </w:r>
    </w:p>
    <w:p>
      <w:pPr>
        <w:pStyle w:val="Indenta"/>
      </w:pPr>
      <w:r>
        <w:tab/>
        <w:t>(c)</w:t>
      </w:r>
      <w:r>
        <w:tab/>
        <w:t xml:space="preserve">provide for applications for review by the State Administrative Tribunal of decisions refusing, </w:t>
      </w:r>
      <w:r>
        <w:lastRenderedPageBreak/>
        <w:t>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r>
        <w:tab/>
        <w:t>[Section 277 inserted: No. 42 of 2004 s. 130; amended: No. 16 of 2005 s. 28; No. 31 of 2011 s. 122; No. 9 of 2022 s. 420.]</w:t>
      </w:r>
    </w:p>
    <w:p>
      <w:pPr>
        <w:pStyle w:val="Ednotepart"/>
      </w:pPr>
      <w:r>
        <w:t>[Part XVII (s. 278-291) deleted: No. 31 of 2011 s. 21.]</w:t>
      </w:r>
    </w:p>
    <w:p>
      <w:pPr>
        <w:pStyle w:val="Heading2"/>
      </w:pPr>
      <w:bookmarkStart w:id="966" w:name="_Toc100238763"/>
      <w:bookmarkStart w:id="967" w:name="_Toc100239377"/>
      <w:bookmarkStart w:id="968" w:name="_Toc100562671"/>
      <w:bookmarkStart w:id="969" w:name="_Toc107310307"/>
      <w:bookmarkStart w:id="970" w:name="_Toc107480161"/>
      <w:bookmarkStart w:id="971" w:name="_Toc131501527"/>
      <w:bookmarkStart w:id="972" w:name="_Toc131502145"/>
      <w:bookmarkStart w:id="973" w:name="_Toc131514741"/>
      <w:r>
        <w:rPr>
          <w:rStyle w:val="CharPartNo"/>
        </w:rPr>
        <w:lastRenderedPageBreak/>
        <w:t>Part XVIII</w:t>
      </w:r>
      <w:r>
        <w:rPr>
          <w:rStyle w:val="CharDivNo"/>
        </w:rPr>
        <w:t> </w:t>
      </w:r>
      <w:r>
        <w:t>—</w:t>
      </w:r>
      <w:r>
        <w:rPr>
          <w:rStyle w:val="CharDivText"/>
        </w:rPr>
        <w:t> </w:t>
      </w:r>
      <w:r>
        <w:rPr>
          <w:rStyle w:val="CharPartText"/>
        </w:rPr>
        <w:t>Regulations, rules and practice notes</w:t>
      </w:r>
      <w:bookmarkEnd w:id="966"/>
      <w:bookmarkEnd w:id="967"/>
      <w:bookmarkEnd w:id="968"/>
      <w:bookmarkEnd w:id="969"/>
      <w:bookmarkEnd w:id="970"/>
      <w:bookmarkEnd w:id="971"/>
      <w:bookmarkEnd w:id="972"/>
      <w:bookmarkEnd w:id="973"/>
    </w:p>
    <w:p>
      <w:pPr>
        <w:pStyle w:val="Footnoteheading"/>
      </w:pPr>
      <w:r>
        <w:tab/>
        <w:t>[Heading inserted: No. 42 of 2004 s. 130.]</w:t>
      </w:r>
    </w:p>
    <w:p>
      <w:pPr>
        <w:pStyle w:val="Heading5"/>
      </w:pPr>
      <w:bookmarkStart w:id="974" w:name="_Toc131514742"/>
      <w:r>
        <w:rPr>
          <w:rStyle w:val="CharSectno"/>
        </w:rPr>
        <w:t>292</w:t>
      </w:r>
      <w:r>
        <w:t>.</w:t>
      </w:r>
      <w:r>
        <w:tab/>
        <w:t>Regulations</w:t>
      </w:r>
      <w:bookmarkEnd w:id="974"/>
    </w:p>
    <w:p>
      <w:pPr>
        <w:pStyle w:val="Subsection"/>
      </w:pPr>
      <w:r>
        <w:tab/>
        <w:t>(1)</w:t>
      </w:r>
      <w:r>
        <w:tab/>
        <w:t>The Governor may make regulations —</w:t>
      </w:r>
    </w:p>
    <w:p>
      <w:pPr>
        <w:pStyle w:val="Indenta"/>
      </w:pPr>
      <w:r>
        <w:tab/>
        <w:t>(a)</w:t>
      </w:r>
      <w:r>
        <w:tab/>
        <w:t>prescribing such forms as may be necessary or expedient for the purposes of this Act;</w:t>
      </w:r>
    </w:p>
    <w:p>
      <w:pPr>
        <w:pStyle w:val="Indenta"/>
      </w:pPr>
      <w:r>
        <w:tab/>
        <w:t>(b)</w:t>
      </w:r>
      <w:r>
        <w:tab/>
        <w:t>regulating the operations of the Conciliation Service and the Arbitration Service and the persons who constitute the Conciliation Service and the Arbitration Service;</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lastRenderedPageBreak/>
        <w:tab/>
        <w:t>(j)</w:t>
      </w:r>
      <w:r>
        <w:tab/>
        <w:t>regulating the meetings and proceedings of WorkCover WA’s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The Governor, on the recommendation of WorkCover WA, may make regulations —</w:t>
      </w:r>
    </w:p>
    <w:p>
      <w:pPr>
        <w:pStyle w:val="Indenta"/>
      </w:pPr>
      <w:r>
        <w:tab/>
        <w:t>(a)</w:t>
      </w:r>
      <w:r>
        <w:tab/>
        <w:t>fixing scales of fees to be paid to —</w:t>
      </w:r>
    </w:p>
    <w:p>
      <w:pPr>
        <w:pStyle w:val="Indenti"/>
      </w:pPr>
      <w:r>
        <w:tab/>
        <w:t>(i)</w:t>
      </w:r>
      <w:r>
        <w:tab/>
        <w:t>medical specialists and other medical practitioners; and</w:t>
      </w:r>
    </w:p>
    <w:p>
      <w:pPr>
        <w:pStyle w:val="Indenti"/>
      </w:pPr>
      <w:r>
        <w:tab/>
        <w:t>(ii)</w:t>
      </w:r>
      <w:r>
        <w:tab/>
        <w:t>dentists; and</w:t>
      </w:r>
    </w:p>
    <w:p>
      <w:pPr>
        <w:pStyle w:val="Indenti"/>
      </w:pPr>
      <w:r>
        <w:tab/>
        <w:t>(iii)</w:t>
      </w:r>
      <w:r>
        <w:tab/>
        <w:t>physiotherapists; and</w:t>
      </w:r>
    </w:p>
    <w:p>
      <w:pPr>
        <w:pStyle w:val="Indenti"/>
      </w:pPr>
      <w:r>
        <w:tab/>
        <w:t>(iv)</w:t>
      </w:r>
      <w:r>
        <w:tab/>
        <w:t>chiropractors; and</w:t>
      </w:r>
    </w:p>
    <w:p>
      <w:pPr>
        <w:pStyle w:val="Indenti"/>
      </w:pPr>
      <w:r>
        <w:tab/>
        <w:t>(v)</w:t>
      </w:r>
      <w:r>
        <w:tab/>
        <w:t>occupational therapists; and</w:t>
      </w:r>
    </w:p>
    <w:p>
      <w:pPr>
        <w:pStyle w:val="Indenti"/>
      </w:pPr>
      <w:r>
        <w:tab/>
        <w:t>(vi)</w:t>
      </w:r>
      <w:r>
        <w:tab/>
        <w:t>clinical psychologists; and</w:t>
      </w:r>
    </w:p>
    <w:p>
      <w:pPr>
        <w:pStyle w:val="Indenti"/>
      </w:pPr>
      <w:r>
        <w:tab/>
        <w:t>(vii)</w:t>
      </w:r>
      <w:r>
        <w:tab/>
        <w:t>speech pathologists; and</w:t>
      </w:r>
    </w:p>
    <w:p>
      <w:pPr>
        <w:pStyle w:val="Indenti"/>
      </w:pPr>
      <w:r>
        <w:tab/>
        <w:t>(viii)</w:t>
      </w:r>
      <w:r>
        <w:tab/>
        <w:t xml:space="preserve">persons providing treatment of a kind approved for the purposes of the definition of </w:t>
      </w:r>
      <w:r>
        <w:rPr>
          <w:b/>
          <w:bCs/>
          <w:i/>
          <w:iCs/>
        </w:rPr>
        <w:t>approved treatment</w:t>
      </w:r>
      <w:r>
        <w:t xml:space="preserve">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 xml:space="preserve">The Governor, on the recommendation of WorkCover WA, may make regulations fixing scales of the maximum fees to be paid </w:t>
      </w:r>
      <w:r>
        <w:lastRenderedPageBreak/>
        <w:t>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Without limiting subsection (4), WorkCover WA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r>
        <w:tab/>
        <w:t>[Section 292 inserted: No. 42 of 2004 s. 130; amended: No. 77 of 2006 Sch. 1 cl. 189(9); No. 31 of 2011 s. 68.]</w:t>
      </w:r>
    </w:p>
    <w:p>
      <w:pPr>
        <w:pStyle w:val="Heading5"/>
      </w:pPr>
      <w:bookmarkStart w:id="975" w:name="_Toc131514743"/>
      <w:r>
        <w:rPr>
          <w:rStyle w:val="CharSectno"/>
        </w:rPr>
        <w:t>293A</w:t>
      </w:r>
      <w:r>
        <w:t>.</w:t>
      </w:r>
      <w:r>
        <w:tab/>
        <w:t>Conciliation rules</w:t>
      </w:r>
      <w:bookmarkEnd w:id="975"/>
    </w:p>
    <w:p>
      <w:pPr>
        <w:pStyle w:val="Subsection"/>
      </w:pPr>
      <w:r>
        <w:tab/>
        <w:t>(1)</w:t>
      </w:r>
      <w:r>
        <w:tab/>
        <w:t xml:space="preserve">The Minister may make rules (the </w:t>
      </w:r>
      <w:r>
        <w:rPr>
          <w:rStyle w:val="CharDefText"/>
        </w:rPr>
        <w:t>conciliation rules</w:t>
      </w:r>
      <w:r>
        <w:t>) prescribing all matters that are required or permitted by this Act to be prescribed by conciliation rules, or are necessary or convenient to be prescribed by conciliation rules for giving effect to the purposes of this Act.</w:t>
      </w:r>
    </w:p>
    <w:p>
      <w:pPr>
        <w:pStyle w:val="Subsection"/>
      </w:pPr>
      <w:r>
        <w:tab/>
        <w:t>(2)</w:t>
      </w:r>
      <w:r>
        <w:tab/>
        <w:t xml:space="preserve">Without limiting subsection (1), conciliation rules may make provision for or with respect to — </w:t>
      </w:r>
    </w:p>
    <w:p>
      <w:pPr>
        <w:pStyle w:val="Indenta"/>
      </w:pPr>
      <w:r>
        <w:tab/>
        <w:t>(a)</w:t>
      </w:r>
      <w:r>
        <w:tab/>
        <w:t>the organisation and management of the business of the Conciliation Service; and</w:t>
      </w:r>
    </w:p>
    <w:p>
      <w:pPr>
        <w:pStyle w:val="Indenta"/>
      </w:pPr>
      <w:r>
        <w:tab/>
        <w:t>(b)</w:t>
      </w:r>
      <w:r>
        <w:tab/>
        <w:t>records of the Conciliation Service; and</w:t>
      </w:r>
    </w:p>
    <w:p>
      <w:pPr>
        <w:pStyle w:val="Indenta"/>
      </w:pPr>
      <w:r>
        <w:lastRenderedPageBreak/>
        <w:tab/>
        <w:t>(c)</w:t>
      </w:r>
      <w:r>
        <w:tab/>
        <w:t>the practice and procedure governing the jurisdiction, functions and proceedings of conciliation officers; and</w:t>
      </w:r>
    </w:p>
    <w:p>
      <w:pPr>
        <w:pStyle w:val="Indenta"/>
      </w:pPr>
      <w:r>
        <w:tab/>
        <w:t>(d)</w:t>
      </w:r>
      <w:r>
        <w:tab/>
        <w:t>assessment of, and orders as to, costs as defined in section 261; and</w:t>
      </w:r>
    </w:p>
    <w:p>
      <w:pPr>
        <w:pStyle w:val="Indenta"/>
      </w:pPr>
      <w:r>
        <w:tab/>
        <w:t>(e)</w:t>
      </w:r>
      <w:r>
        <w:tab/>
        <w:t>the practice and procedure governing medical assessment panels.</w:t>
      </w:r>
    </w:p>
    <w:p>
      <w:pPr>
        <w:pStyle w:val="Footnotesection"/>
      </w:pPr>
      <w:r>
        <w:tab/>
        <w:t>[Section 293A inserted: No. 31 of 2011 s. 22.]</w:t>
      </w:r>
    </w:p>
    <w:p>
      <w:pPr>
        <w:pStyle w:val="Heading5"/>
      </w:pPr>
      <w:bookmarkStart w:id="976" w:name="_Toc131514744"/>
      <w:r>
        <w:rPr>
          <w:rStyle w:val="CharSectno"/>
        </w:rPr>
        <w:t>293B</w:t>
      </w:r>
      <w:r>
        <w:t>.</w:t>
      </w:r>
      <w:r>
        <w:tab/>
        <w:t>Arbitration rules</w:t>
      </w:r>
      <w:bookmarkEnd w:id="976"/>
    </w:p>
    <w:p>
      <w:pPr>
        <w:pStyle w:val="Subsection"/>
      </w:pPr>
      <w:r>
        <w:tab/>
        <w:t>(1)</w:t>
      </w:r>
      <w:r>
        <w:tab/>
        <w:t xml:space="preserve">The Minister may make rules (the </w:t>
      </w:r>
      <w:r>
        <w:rPr>
          <w:rStyle w:val="CharDefText"/>
        </w:rPr>
        <w:t>arbitration rules</w:t>
      </w:r>
      <w:r>
        <w:t>) prescribing all matters that are required or permitted by this Act to be prescribed by arbitration rules, or are necessary or convenient to be prescribed by arbitration rules for giving effect to the purposes of this Act.</w:t>
      </w:r>
    </w:p>
    <w:p>
      <w:pPr>
        <w:pStyle w:val="Subsection"/>
      </w:pPr>
      <w:r>
        <w:tab/>
        <w:t>(2)</w:t>
      </w:r>
      <w:r>
        <w:tab/>
        <w:t xml:space="preserve">Without limiting subsection (1), arbitration rules may make provision for or with respect to — </w:t>
      </w:r>
    </w:p>
    <w:p>
      <w:pPr>
        <w:pStyle w:val="Indenta"/>
      </w:pPr>
      <w:r>
        <w:tab/>
        <w:t>(a)</w:t>
      </w:r>
      <w:r>
        <w:tab/>
        <w:t>the organisation and management of the business of the Arbitration Service; and</w:t>
      </w:r>
    </w:p>
    <w:p>
      <w:pPr>
        <w:pStyle w:val="Indenta"/>
      </w:pPr>
      <w:r>
        <w:tab/>
        <w:t>(b)</w:t>
      </w:r>
      <w:r>
        <w:tab/>
        <w:t>records of the Arbitration Service; and</w:t>
      </w:r>
    </w:p>
    <w:p>
      <w:pPr>
        <w:pStyle w:val="Indenta"/>
      </w:pPr>
      <w:r>
        <w:tab/>
        <w:t>(c)</w:t>
      </w:r>
      <w:r>
        <w:tab/>
        <w:t>the practice and procedure governing the jurisdiction, functions and proceedings of arbitrators; and</w:t>
      </w:r>
    </w:p>
    <w:p>
      <w:pPr>
        <w:pStyle w:val="Indenta"/>
      </w:pPr>
      <w:r>
        <w:tab/>
        <w:t>(d)</w:t>
      </w:r>
      <w:r>
        <w:tab/>
        <w:t>assessment of, and orders as to, costs as defined in section 261; and</w:t>
      </w:r>
    </w:p>
    <w:p>
      <w:pPr>
        <w:pStyle w:val="Indenta"/>
      </w:pPr>
      <w:r>
        <w:tab/>
        <w:t>(e)</w:t>
      </w:r>
      <w:r>
        <w:tab/>
        <w:t>limiting the number of medical reports in connection with a claim or any aspect of a claim and, in particular, limiting the number of medical reports that may be admitted in evidence in a proceeding before an arbitrator; and</w:t>
      </w:r>
    </w:p>
    <w:p>
      <w:pPr>
        <w:pStyle w:val="Indenta"/>
      </w:pPr>
      <w:r>
        <w:tab/>
        <w:t>(f)</w:t>
      </w:r>
      <w:r>
        <w:tab/>
        <w:t>limiting the number of expert witnesses that may be called by any party in a proceeding before an arbitrator and otherwise restricting the calling of expert witnesses by a party; and</w:t>
      </w:r>
    </w:p>
    <w:p>
      <w:pPr>
        <w:pStyle w:val="Indenta"/>
      </w:pPr>
      <w:r>
        <w:lastRenderedPageBreak/>
        <w:tab/>
        <w:t>(g)</w:t>
      </w:r>
      <w:r>
        <w:tab/>
        <w:t>the practice and procedure governing medical assessment panels, approved medical specialist panels and specialised retraining assessment panels.</w:t>
      </w:r>
    </w:p>
    <w:p>
      <w:pPr>
        <w:pStyle w:val="Footnotesection"/>
        <w:spacing w:before="100"/>
        <w:ind w:left="890" w:hanging="890"/>
      </w:pPr>
      <w:r>
        <w:tab/>
        <w:t>[Section 293B inserted: No. 31 of 2011 s. 22.]</w:t>
      </w:r>
    </w:p>
    <w:p>
      <w:pPr>
        <w:pStyle w:val="Heading5"/>
      </w:pPr>
      <w:bookmarkStart w:id="977" w:name="_Toc131514745"/>
      <w:r>
        <w:rPr>
          <w:rStyle w:val="CharSectno"/>
        </w:rPr>
        <w:t>293</w:t>
      </w:r>
      <w:r>
        <w:t>.</w:t>
      </w:r>
      <w:r>
        <w:tab/>
      </w:r>
      <w:r>
        <w:rPr>
          <w:bCs/>
        </w:rPr>
        <w:t>General provisions about rules</w:t>
      </w:r>
      <w:bookmarkEnd w:id="977"/>
    </w:p>
    <w:p>
      <w:pPr>
        <w:pStyle w:val="Subsection"/>
        <w:spacing w:before="140"/>
      </w:pPr>
      <w:r>
        <w:tab/>
        <w:t>(1)</w:t>
      </w:r>
      <w:r>
        <w:tab/>
        <w:t xml:space="preserve">In this section — </w:t>
      </w:r>
    </w:p>
    <w:p>
      <w:pPr>
        <w:pStyle w:val="Defstart"/>
      </w:pPr>
      <w:r>
        <w:tab/>
      </w:r>
      <w:r>
        <w:rPr>
          <w:rStyle w:val="CharDefText"/>
        </w:rPr>
        <w:t>rule</w:t>
      </w:r>
      <w:r>
        <w:t xml:space="preserve"> means a conciliation rule or an arbitration rule and </w:t>
      </w:r>
      <w:r>
        <w:rPr>
          <w:rStyle w:val="CharDefText"/>
        </w:rPr>
        <w:t>rules</w:t>
      </w:r>
      <w:r>
        <w:t xml:space="preserve"> has a corresponding meaning.</w:t>
      </w:r>
    </w:p>
    <w:p>
      <w:pPr>
        <w:pStyle w:val="Ednotesubsection"/>
        <w:spacing w:before="150"/>
      </w:pPr>
      <w:r>
        <w:tab/>
        <w:t>[(2)</w:t>
      </w:r>
      <w:r>
        <w:tab/>
        <w:t>deleted]</w:t>
      </w:r>
    </w:p>
    <w:p>
      <w:pPr>
        <w:pStyle w:val="Subsection"/>
        <w:spacing w:before="150"/>
      </w:pPr>
      <w:r>
        <w:tab/>
        <w:t>(3)</w:t>
      </w:r>
      <w:r>
        <w:tab/>
        <w:t>A rule may require any matter or thing to be verified by statutory declaration.</w:t>
      </w:r>
    </w:p>
    <w:p>
      <w:pPr>
        <w:pStyle w:val="Subsection"/>
        <w:spacing w:before="150"/>
      </w:pPr>
      <w:r>
        <w:tab/>
        <w:t>(4)</w:t>
      </w:r>
      <w:r>
        <w:tab/>
        <w:t>Rules —</w:t>
      </w:r>
    </w:p>
    <w:p>
      <w:pPr>
        <w:pStyle w:val="Indenta"/>
        <w:spacing w:before="60"/>
      </w:pPr>
      <w:r>
        <w:tab/>
        <w:t>(a)</w:t>
      </w:r>
      <w:r>
        <w:tab/>
        <w:t xml:space="preserve">are rules of court under the </w:t>
      </w:r>
      <w:r>
        <w:rPr>
          <w:i/>
        </w:rPr>
        <w:t>Interpretation Act 1984</w:t>
      </w:r>
      <w:r>
        <w:t>; and</w:t>
      </w:r>
    </w:p>
    <w:p>
      <w:pPr>
        <w:pStyle w:val="Indenta"/>
        <w:spacing w:before="60"/>
      </w:pPr>
      <w:r>
        <w:tab/>
        <w:t>(b)</w:t>
      </w:r>
      <w:r>
        <w:tab/>
        <w:t xml:space="preserve">must be published in the </w:t>
      </w:r>
      <w:r>
        <w:rPr>
          <w:i/>
        </w:rPr>
        <w:t>Gazette</w:t>
      </w:r>
      <w:r>
        <w:t>; and</w:t>
      </w:r>
    </w:p>
    <w:p>
      <w:pPr>
        <w:pStyle w:val="Indenta"/>
        <w:spacing w:before="60"/>
      </w:pPr>
      <w:r>
        <w:tab/>
        <w:t>(c)</w:t>
      </w:r>
      <w:r>
        <w:tab/>
        <w:t>take effect from the date of publication or from any later date or dates that are specified in the rules; and</w:t>
      </w:r>
    </w:p>
    <w:p>
      <w:pPr>
        <w:pStyle w:val="Indenta"/>
        <w:spacing w:before="60"/>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pPr>
      <w:r>
        <w:tab/>
        <w:t>(7)</w:t>
      </w:r>
      <w:r>
        <w:tab/>
        <w:t xml:space="preserve">If such a resolution is passed, notice of the fact must be published in the </w:t>
      </w:r>
      <w:r>
        <w:rPr>
          <w:i/>
        </w:rPr>
        <w:t>Gazette</w:t>
      </w:r>
      <w:r>
        <w:t xml:space="preserve"> as soon as is practicable.</w:t>
      </w:r>
    </w:p>
    <w:p>
      <w:pPr>
        <w:pStyle w:val="Footnotesection"/>
        <w:spacing w:before="100"/>
        <w:ind w:left="890" w:hanging="890"/>
      </w:pPr>
      <w:r>
        <w:tab/>
        <w:t>[Section 293 inserted: No. 42 of 2004 s. 130; amended: No. 31 of 2011 s. 23.]</w:t>
      </w:r>
    </w:p>
    <w:p>
      <w:pPr>
        <w:pStyle w:val="Heading5"/>
      </w:pPr>
      <w:bookmarkStart w:id="978" w:name="_Toc131514746"/>
      <w:r>
        <w:rPr>
          <w:rStyle w:val="CharSectno"/>
        </w:rPr>
        <w:lastRenderedPageBreak/>
        <w:t>294</w:t>
      </w:r>
      <w:r>
        <w:t>.</w:t>
      </w:r>
      <w:r>
        <w:tab/>
        <w:t>Practice notes</w:t>
      </w:r>
      <w:bookmarkEnd w:id="978"/>
    </w:p>
    <w:p>
      <w:pPr>
        <w:pStyle w:val="Subsection"/>
      </w:pPr>
      <w:r>
        <w:tab/>
        <w:t>(1)</w:t>
      </w:r>
      <w:r>
        <w:tab/>
        <w:t>The Director may issue conciliation practice notes about the practice and procedure of conciliation officers.</w:t>
      </w:r>
    </w:p>
    <w:p>
      <w:pPr>
        <w:pStyle w:val="Subsection"/>
      </w:pPr>
      <w:r>
        <w:tab/>
        <w:t>(2)</w:t>
      </w:r>
      <w:r>
        <w:tab/>
        <w:t>The Director is to give the Minister a copy of each conciliation practice note the Director issues as soon as practicable after issuing it.</w:t>
      </w:r>
    </w:p>
    <w:p>
      <w:pPr>
        <w:pStyle w:val="Subsection"/>
      </w:pPr>
      <w:r>
        <w:tab/>
        <w:t>(3)</w:t>
      </w:r>
      <w:r>
        <w:tab/>
        <w:t>A conciliation practice note is not a conciliation rule and does not form part of the conciliation rules.</w:t>
      </w:r>
    </w:p>
    <w:p>
      <w:pPr>
        <w:pStyle w:val="Subsection"/>
      </w:pPr>
      <w:r>
        <w:tab/>
        <w:t>(4)</w:t>
      </w:r>
      <w:r>
        <w:tab/>
        <w:t>The Registrar may issue arbitration practice notes about the practice and procedure of arbitrators.</w:t>
      </w:r>
    </w:p>
    <w:p>
      <w:pPr>
        <w:pStyle w:val="Subsection"/>
      </w:pPr>
      <w:r>
        <w:tab/>
        <w:t>(5)</w:t>
      </w:r>
      <w:r>
        <w:tab/>
        <w:t>The Registrar is to give the Minister a copy of each arbitration practice note the Registrar issues as soon as practicable after issuing it.</w:t>
      </w:r>
    </w:p>
    <w:p>
      <w:pPr>
        <w:pStyle w:val="Subsection"/>
      </w:pPr>
      <w:r>
        <w:tab/>
        <w:t>(6)</w:t>
      </w:r>
      <w:r>
        <w:tab/>
        <w:t>An arbitration practice note is not an arbitration rule and does not form part of the arbitration rules.</w:t>
      </w:r>
    </w:p>
    <w:p>
      <w:pPr>
        <w:pStyle w:val="Footnotesection"/>
      </w:pPr>
      <w:r>
        <w:tab/>
        <w:t>[Section 294 inserted: No. 31 of 2011 s. 24.]</w:t>
      </w:r>
    </w:p>
    <w:p>
      <w:pPr>
        <w:pStyle w:val="Heading2"/>
      </w:pPr>
      <w:bookmarkStart w:id="979" w:name="_Toc100238769"/>
      <w:bookmarkStart w:id="980" w:name="_Toc100239383"/>
      <w:bookmarkStart w:id="981" w:name="_Toc100562677"/>
      <w:bookmarkStart w:id="982" w:name="_Toc107310313"/>
      <w:bookmarkStart w:id="983" w:name="_Toc107480167"/>
      <w:bookmarkStart w:id="984" w:name="_Toc131501533"/>
      <w:bookmarkStart w:id="985" w:name="_Toc131502151"/>
      <w:bookmarkStart w:id="986" w:name="_Toc131514747"/>
      <w:r>
        <w:rPr>
          <w:rStyle w:val="CharPartNo"/>
        </w:rPr>
        <w:lastRenderedPageBreak/>
        <w:t>Part XIX</w:t>
      </w:r>
      <w:r>
        <w:rPr>
          <w:rStyle w:val="CharDivNo"/>
        </w:rPr>
        <w:t> </w:t>
      </w:r>
      <w:r>
        <w:t>—</w:t>
      </w:r>
      <w:r>
        <w:rPr>
          <w:rStyle w:val="CharDivText"/>
        </w:rPr>
        <w:t> </w:t>
      </w:r>
      <w:r>
        <w:rPr>
          <w:rStyle w:val="CharPartText"/>
        </w:rPr>
        <w:t>Miscellaneous</w:t>
      </w:r>
      <w:bookmarkEnd w:id="979"/>
      <w:bookmarkEnd w:id="980"/>
      <w:bookmarkEnd w:id="981"/>
      <w:bookmarkEnd w:id="982"/>
      <w:bookmarkEnd w:id="983"/>
      <w:bookmarkEnd w:id="984"/>
      <w:bookmarkEnd w:id="985"/>
      <w:bookmarkEnd w:id="986"/>
    </w:p>
    <w:p>
      <w:pPr>
        <w:pStyle w:val="Footnoteheading"/>
      </w:pPr>
      <w:r>
        <w:tab/>
        <w:t>[Part XIX heading, formerly Part XII heading, renumbered: No. 42 of 2004 s. 154(2).]</w:t>
      </w:r>
    </w:p>
    <w:p>
      <w:pPr>
        <w:pStyle w:val="Heading5"/>
        <w:rPr>
          <w:snapToGrid w:val="0"/>
        </w:rPr>
      </w:pPr>
      <w:bookmarkStart w:id="987" w:name="_Toc131514748"/>
      <w:r>
        <w:rPr>
          <w:rStyle w:val="CharSectno"/>
        </w:rPr>
        <w:t>295</w:t>
      </w:r>
      <w:r>
        <w:rPr>
          <w:snapToGrid w:val="0"/>
        </w:rPr>
        <w:t>.</w:t>
      </w:r>
      <w:r>
        <w:rPr>
          <w:snapToGrid w:val="0"/>
        </w:rPr>
        <w:tab/>
        <w:t>WorkCover WA’s staff etc.</w:t>
      </w:r>
      <w:bookmarkEnd w:id="987"/>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r>
        <w:t>WorkCover WA</w:t>
      </w:r>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r>
        <w:t>WorkCover WA</w:t>
      </w:r>
      <w:r>
        <w:rPr>
          <w:snapToGrid w:val="0"/>
        </w:rPr>
        <w:t xml:space="preserve"> shall include such duties as are prescribed and as are directed by</w:t>
      </w:r>
      <w:r>
        <w:t xml:space="preserve"> WorkCover WA</w:t>
      </w:r>
      <w:r>
        <w:rPr>
          <w:snapToGrid w:val="0"/>
        </w:rPr>
        <w:t>.</w:t>
      </w:r>
    </w:p>
    <w:p>
      <w:pPr>
        <w:pStyle w:val="Footnotesection"/>
      </w:pPr>
      <w:r>
        <w:tab/>
        <w:t>[Section 295, formerly section 177, amended: No. 86 of 1986 s. 5; No. 72 of 1992 s. 16(5); No. 32 of 1994 s. 19; No. 42 of 2004 s. 150 and 152 and renumbered as section 295: No. 42 of 2004 s. 154(1).]</w:t>
      </w:r>
    </w:p>
    <w:p>
      <w:pPr>
        <w:pStyle w:val="Heading5"/>
      </w:pPr>
      <w:bookmarkStart w:id="988" w:name="_Toc131514749"/>
      <w:r>
        <w:rPr>
          <w:rStyle w:val="CharSectno"/>
        </w:rPr>
        <w:t>296</w:t>
      </w:r>
      <w:r>
        <w:t>.</w:t>
      </w:r>
      <w:r>
        <w:tab/>
        <w:t>Delegation by chief executive officer</w:t>
      </w:r>
      <w:bookmarkEnd w:id="988"/>
    </w:p>
    <w:p>
      <w:pPr>
        <w:pStyle w:val="Subsection"/>
      </w:pPr>
      <w:r>
        <w:tab/>
        <w:t>(1)</w:t>
      </w:r>
      <w:r>
        <w:tab/>
        <w:t xml:space="preserve">The </w:t>
      </w:r>
      <w:r>
        <w:rPr>
          <w:snapToGrid w:val="0"/>
        </w:rPr>
        <w:t xml:space="preserve">chief executive officer </w:t>
      </w:r>
      <w:r>
        <w:t>may delegate to another officer of</w:t>
      </w:r>
      <w:r>
        <w:rPr>
          <w:snapToGrid w:val="0"/>
        </w:rPr>
        <w:t xml:space="preserve"> WorkCover WA</w:t>
      </w:r>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lastRenderedPageBreak/>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No. 42 of 2004 s. 131 and renumbered as section 296: No. 42 of 2004 s. 154(1).]</w:t>
      </w:r>
    </w:p>
    <w:p>
      <w:pPr>
        <w:pStyle w:val="Heading5"/>
        <w:spacing w:before="120"/>
        <w:rPr>
          <w:snapToGrid w:val="0"/>
        </w:rPr>
      </w:pPr>
      <w:bookmarkStart w:id="989" w:name="_Toc131514750"/>
      <w:r>
        <w:rPr>
          <w:rStyle w:val="CharSectno"/>
        </w:rPr>
        <w:t>297</w:t>
      </w:r>
      <w:r>
        <w:rPr>
          <w:snapToGrid w:val="0"/>
        </w:rPr>
        <w:t>.</w:t>
      </w:r>
      <w:r>
        <w:rPr>
          <w:snapToGrid w:val="0"/>
        </w:rPr>
        <w:tab/>
        <w:t>Agreements and receipts under this Act exempt from duty</w:t>
      </w:r>
      <w:bookmarkEnd w:id="989"/>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w:t>
      </w:r>
      <w:r>
        <w:t xml:space="preserve">duty chargeable under the </w:t>
      </w:r>
      <w:r>
        <w:rPr>
          <w:i/>
          <w:iCs/>
        </w:rPr>
        <w:t>Duties Act 2008</w:t>
      </w:r>
      <w:r>
        <w:t>.</w:t>
      </w:r>
    </w:p>
    <w:p>
      <w:pPr>
        <w:pStyle w:val="Footnotesection"/>
      </w:pPr>
      <w:r>
        <w:tab/>
        <w:t>[Section 297, formerly section 178, renumbered as section 297: No. 42 of 2004 s. 154(1); amended: No. 12 of 2008 Sch. 1 cl. 42.]</w:t>
      </w:r>
    </w:p>
    <w:p>
      <w:pPr>
        <w:pStyle w:val="Heading5"/>
        <w:spacing w:before="120"/>
        <w:rPr>
          <w:snapToGrid w:val="0"/>
        </w:rPr>
      </w:pPr>
      <w:bookmarkStart w:id="990" w:name="_Toc131514751"/>
      <w:r>
        <w:rPr>
          <w:rStyle w:val="CharSectno"/>
        </w:rPr>
        <w:t>298</w:t>
      </w:r>
      <w:r>
        <w:rPr>
          <w:snapToGrid w:val="0"/>
        </w:rPr>
        <w:t>.</w:t>
      </w:r>
      <w:r>
        <w:rPr>
          <w:snapToGrid w:val="0"/>
        </w:rPr>
        <w:tab/>
        <w:t>Ships, detention of</w:t>
      </w:r>
      <w:bookmarkEnd w:id="990"/>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lastRenderedPageBreak/>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No. 34 of 1999 s. 57; No. 42 of 2004 s. 150 and renumbered as section 298: No. 42 of 2004 s. 154(1); amended: No. 59 of 2004 s. 133.]</w:t>
      </w:r>
    </w:p>
    <w:p>
      <w:pPr>
        <w:pStyle w:val="Heading5"/>
        <w:spacing w:before="120"/>
        <w:rPr>
          <w:snapToGrid w:val="0"/>
        </w:rPr>
      </w:pPr>
      <w:bookmarkStart w:id="991" w:name="_Toc131514752"/>
      <w:r>
        <w:rPr>
          <w:rStyle w:val="CharSectno"/>
        </w:rPr>
        <w:t>299</w:t>
      </w:r>
      <w:r>
        <w:rPr>
          <w:snapToGrid w:val="0"/>
        </w:rPr>
        <w:t>.</w:t>
      </w:r>
      <w:r>
        <w:rPr>
          <w:snapToGrid w:val="0"/>
        </w:rPr>
        <w:tab/>
        <w:t>Judicial notice</w:t>
      </w:r>
      <w:bookmarkEnd w:id="991"/>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w:t>
      </w:r>
    </w:p>
    <w:p>
      <w:pPr>
        <w:pStyle w:val="Indenta"/>
      </w:pPr>
      <w:r>
        <w:tab/>
        <w:t>(a)</w:t>
      </w:r>
      <w:r>
        <w:tab/>
        <w:t>the signature of a person who is, or was the Director, the Registrar, a conciliation officer or an arbitrator;</w:t>
      </w:r>
    </w:p>
    <w:p>
      <w:pPr>
        <w:pStyle w:val="Indenta"/>
      </w:pPr>
      <w:r>
        <w:tab/>
        <w:t>(aa)</w:t>
      </w:r>
      <w:r>
        <w:tab/>
        <w:t>the fact that a person referred to in paragraph (a) is or was the Director, the Registrar, a conciliation officer or an arbitrator, as the case requires;</w:t>
      </w:r>
    </w:p>
    <w:p>
      <w:pPr>
        <w:pStyle w:val="Indenta"/>
        <w:rPr>
          <w:snapToGrid w:val="0"/>
        </w:rPr>
      </w:pPr>
      <w:r>
        <w:rPr>
          <w:snapToGrid w:val="0"/>
        </w:rPr>
        <w:lastRenderedPageBreak/>
        <w:tab/>
        <w:t>(b)</w:t>
      </w:r>
      <w:r>
        <w:rPr>
          <w:snapToGrid w:val="0"/>
        </w:rPr>
        <w:tab/>
        <w:t>the seal of</w:t>
      </w:r>
      <w:r>
        <w:t xml:space="preserve"> WorkCover WA</w:t>
      </w:r>
      <w:r>
        <w:rPr>
          <w:snapToGrid w:val="0"/>
        </w:rPr>
        <w:t>;</w:t>
      </w:r>
    </w:p>
    <w:p>
      <w:pPr>
        <w:pStyle w:val="Indenta"/>
        <w:rPr>
          <w:snapToGrid w:val="0"/>
        </w:rPr>
      </w:pPr>
      <w:r>
        <w:rPr>
          <w:snapToGrid w:val="0"/>
        </w:rPr>
        <w:tab/>
        <w:t>(c)</w:t>
      </w:r>
      <w:r>
        <w:rPr>
          <w:snapToGrid w:val="0"/>
        </w:rPr>
        <w:tab/>
        <w:t>the official signature of a person holding or acting in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vertAlign w:val="superscript"/>
        </w:rPr>
        <w:t> 6</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[Section 299, formerly section 180, amended: No. 48 of 1993 s. 28(1); No. 42 of 2004 s. 132 and 150 and renumbered as section 299: No. 42 of 2004 s. 154(1); No. 31 of 2011 s. 69.]</w:t>
      </w:r>
    </w:p>
    <w:p>
      <w:pPr>
        <w:pStyle w:val="Heading5"/>
      </w:pPr>
      <w:bookmarkStart w:id="992" w:name="_Toc131514753"/>
      <w:r>
        <w:rPr>
          <w:rStyle w:val="CharSectno"/>
        </w:rPr>
        <w:t>300</w:t>
      </w:r>
      <w:r>
        <w:t>.</w:t>
      </w:r>
      <w:r>
        <w:tab/>
        <w:t>District Court to give information to WorkCover WA</w:t>
      </w:r>
      <w:bookmarkEnd w:id="992"/>
    </w:p>
    <w:p>
      <w:pPr>
        <w:pStyle w:val="Subsection"/>
      </w:pPr>
      <w:r>
        <w:tab/>
      </w:r>
      <w:r>
        <w:tab/>
        <w:t>WorkCover WA may make a written request to the Registrar of the District Court to provide WorkCover WA with such information concerning actions to which Part IV applies as WorkCover WA specifies and the Registrar of the District Court is to provide that information to WorkCover WA.</w:t>
      </w:r>
    </w:p>
    <w:p>
      <w:pPr>
        <w:pStyle w:val="Footnotesection"/>
      </w:pPr>
      <w:r>
        <w:tab/>
        <w:t>[Section 300, inserted as section 180A: No. 42 of 2004 s. 133 and renumbered as section 300: No. 42 of 2004 s. 154(1).]</w:t>
      </w:r>
    </w:p>
    <w:p>
      <w:pPr>
        <w:pStyle w:val="Heading5"/>
        <w:rPr>
          <w:snapToGrid w:val="0"/>
        </w:rPr>
      </w:pPr>
      <w:bookmarkStart w:id="993" w:name="_Toc131514754"/>
      <w:r>
        <w:rPr>
          <w:rStyle w:val="CharSectno"/>
        </w:rPr>
        <w:t>301</w:t>
      </w:r>
      <w:r>
        <w:rPr>
          <w:snapToGrid w:val="0"/>
        </w:rPr>
        <w:t>.</w:t>
      </w:r>
      <w:r>
        <w:rPr>
          <w:snapToGrid w:val="0"/>
        </w:rPr>
        <w:tab/>
        <w:t>Contracting out prohibited</w:t>
      </w:r>
      <w:bookmarkEnd w:id="993"/>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r>
        <w:tab/>
        <w:t>[Section 301, formerly section 181, renumbered as section 301: No. 42 of 2004 s. 154(1).]</w:t>
      </w:r>
    </w:p>
    <w:p>
      <w:pPr>
        <w:pStyle w:val="Heading5"/>
        <w:rPr>
          <w:snapToGrid w:val="0"/>
        </w:rPr>
      </w:pPr>
      <w:bookmarkStart w:id="994" w:name="_Toc131514755"/>
      <w:r>
        <w:rPr>
          <w:rStyle w:val="CharSectno"/>
        </w:rPr>
        <w:t>302</w:t>
      </w:r>
      <w:r>
        <w:rPr>
          <w:snapToGrid w:val="0"/>
        </w:rPr>
        <w:t>.</w:t>
      </w:r>
      <w:r>
        <w:rPr>
          <w:snapToGrid w:val="0"/>
        </w:rPr>
        <w:tab/>
        <w:t>Deductions from wages towards compensation not lawful</w:t>
      </w:r>
      <w:bookmarkEnd w:id="994"/>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lastRenderedPageBreak/>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No. 34 of 1999 s. 49; renumbered as section 302: No. 42 of 2004 s. 154(1).]</w:t>
      </w:r>
    </w:p>
    <w:p>
      <w:pPr>
        <w:pStyle w:val="Heading5"/>
        <w:rPr>
          <w:snapToGrid w:val="0"/>
        </w:rPr>
      </w:pPr>
      <w:bookmarkStart w:id="995" w:name="_Toc131514756"/>
      <w:r>
        <w:rPr>
          <w:rStyle w:val="CharSectno"/>
        </w:rPr>
        <w:t>303</w:t>
      </w:r>
      <w:r>
        <w:rPr>
          <w:snapToGrid w:val="0"/>
        </w:rPr>
        <w:t>.</w:t>
      </w:r>
      <w:r>
        <w:rPr>
          <w:snapToGrid w:val="0"/>
        </w:rPr>
        <w:tab/>
        <w:t>Compensation payments not assignable</w:t>
      </w:r>
      <w:bookmarkEnd w:id="995"/>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[Section 303, formerly section 183, amended: No. 48 of 1993 s. 28(1); No. 34 of 1999 s. 50; No. 42 of 2004 s. 134 and renumbered as section 303: No. 42 of 2004 s. 154(1).]</w:t>
      </w:r>
    </w:p>
    <w:p>
      <w:pPr>
        <w:pStyle w:val="Heading5"/>
      </w:pPr>
      <w:bookmarkStart w:id="996" w:name="_Toc131514757"/>
      <w:r>
        <w:rPr>
          <w:rStyle w:val="CharSectno"/>
        </w:rPr>
        <w:t>303A</w:t>
      </w:r>
      <w:r>
        <w:t>.</w:t>
      </w:r>
      <w:r>
        <w:tab/>
        <w:t>Making employment conditional on avoidance arrangement</w:t>
      </w:r>
      <w:bookmarkEnd w:id="996"/>
    </w:p>
    <w:p>
      <w:pPr>
        <w:pStyle w:val="Subsection"/>
      </w:pPr>
      <w:r>
        <w:tab/>
        <w:t>(1)</w:t>
      </w:r>
      <w:r>
        <w:tab/>
        <w:t>If a person executes work for another person (</w:t>
      </w:r>
      <w:r>
        <w:rPr>
          <w:rStyle w:val="CharDefText"/>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[Section 303A inserted: No. 16 of 2005 s. 14.]</w:t>
      </w:r>
    </w:p>
    <w:p>
      <w:pPr>
        <w:pStyle w:val="Heading5"/>
      </w:pPr>
      <w:bookmarkStart w:id="997" w:name="_Toc131514758"/>
      <w:r>
        <w:rPr>
          <w:rStyle w:val="CharSectno"/>
        </w:rPr>
        <w:lastRenderedPageBreak/>
        <w:t>304</w:t>
      </w:r>
      <w:r>
        <w:t>.</w:t>
      </w:r>
      <w:r>
        <w:tab/>
        <w:t>Protection from personal liability</w:t>
      </w:r>
      <w:bookmarkEnd w:id="997"/>
    </w:p>
    <w:p>
      <w:pPr>
        <w:pStyle w:val="Subsection"/>
      </w:pPr>
      <w:r>
        <w:tab/>
        <w:t>(1)</w:t>
      </w:r>
      <w:r>
        <w:tab/>
        <w:t>This section applies to —</w:t>
      </w:r>
    </w:p>
    <w:p>
      <w:pPr>
        <w:pStyle w:val="Indenta"/>
      </w:pPr>
      <w:r>
        <w:tab/>
        <w:t>(a)</w:t>
      </w:r>
      <w:r>
        <w:tab/>
        <w:t>WorkCover WA; and</w:t>
      </w:r>
    </w:p>
    <w:p>
      <w:pPr>
        <w:pStyle w:val="Indenta"/>
      </w:pPr>
      <w:r>
        <w:tab/>
        <w:t>(b)</w:t>
      </w:r>
      <w:r>
        <w:tab/>
        <w:t>a member of the governing body of WorkCover WA; and</w:t>
      </w:r>
    </w:p>
    <w:p>
      <w:pPr>
        <w:pStyle w:val="Indenta"/>
      </w:pPr>
      <w:r>
        <w:tab/>
        <w:t>(c)</w:t>
      </w:r>
      <w:r>
        <w:tab/>
        <w:t>an officer of WorkCover WA; and</w:t>
      </w:r>
    </w:p>
    <w:p>
      <w:pPr>
        <w:pStyle w:val="Indenta"/>
      </w:pPr>
      <w:r>
        <w:tab/>
        <w:t>(d)</w:t>
      </w:r>
      <w:r>
        <w:tab/>
        <w:t>a person engaged under section 182B(2) as a conciliation officer or under section 182ZQ(2) as an arbitrator; and</w:t>
      </w:r>
    </w:p>
    <w:p>
      <w:pPr>
        <w:pStyle w:val="Indenta"/>
      </w:pPr>
      <w:r>
        <w:tab/>
        <w:t>(e)</w:t>
      </w:r>
      <w:r>
        <w:tab/>
        <w:t>a member of a medical assessment panel; and</w:t>
      </w:r>
    </w:p>
    <w:p>
      <w:pPr>
        <w:pStyle w:val="Indenta"/>
      </w:pPr>
      <w:r>
        <w:tab/>
        <w:t>(f)</w:t>
      </w:r>
      <w:r>
        <w:tab/>
        <w:t>an approved medical specialist; and</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No. 42 of 2004 s. 135 and renumbered as section 304: No. 42 of 2004 s. 154(1); amended: No. 31 of 2011 s. 70.]</w:t>
      </w:r>
    </w:p>
    <w:p>
      <w:pPr>
        <w:pStyle w:val="Heading5"/>
      </w:pPr>
      <w:bookmarkStart w:id="998" w:name="_Toc131514759"/>
      <w:r>
        <w:rPr>
          <w:rStyle w:val="CharSectno"/>
        </w:rPr>
        <w:lastRenderedPageBreak/>
        <w:t>305</w:t>
      </w:r>
      <w:r>
        <w:t>.</w:t>
      </w:r>
      <w:r>
        <w:tab/>
        <w:t>Immunity of conciliation officers, arbitrators etc.</w:t>
      </w:r>
      <w:bookmarkEnd w:id="998"/>
    </w:p>
    <w:p>
      <w:pPr>
        <w:pStyle w:val="Subsection"/>
      </w:pPr>
      <w:r>
        <w:tab/>
        <w:t>(1)</w:t>
      </w:r>
      <w:r>
        <w:tab/>
        <w:t>To the extent that this section is inconsistent with anything expressly stated in another provision of this Act, this section does not apply.</w:t>
      </w:r>
    </w:p>
    <w:p>
      <w:pPr>
        <w:pStyle w:val="Subsection"/>
      </w:pPr>
      <w:r>
        <w:tab/>
        <w:t>(2)</w:t>
      </w:r>
      <w:r>
        <w:tab/>
        <w:t>Each of the following persons has the same protection and immunity as a judge of the District Court has in the performance of his duties as a judge —</w:t>
      </w:r>
    </w:p>
    <w:p>
      <w:pPr>
        <w:pStyle w:val="Indenta"/>
      </w:pPr>
      <w:r>
        <w:tab/>
        <w:t>(a)</w:t>
      </w:r>
      <w:r>
        <w:tab/>
        <w:t>a conciliation officer when performing the functions of a conciliation officer;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No. 42 of 2004 s. 135 and renumbered as section 305: No. 42 of 2004 s. 154(1); amended: No. 31 of 2011 s. 71.]</w:t>
      </w:r>
    </w:p>
    <w:p>
      <w:pPr>
        <w:pStyle w:val="Heading5"/>
      </w:pPr>
      <w:bookmarkStart w:id="999" w:name="_Toc131514760"/>
      <w:r>
        <w:rPr>
          <w:rStyle w:val="CharSectno"/>
        </w:rPr>
        <w:t>306</w:t>
      </w:r>
      <w:r>
        <w:t>.</w:t>
      </w:r>
      <w:r>
        <w:tab/>
        <w:t>Protection for compliance with this Act</w:t>
      </w:r>
      <w:bookmarkEnd w:id="999"/>
    </w:p>
    <w:p>
      <w:pPr>
        <w:pStyle w:val="Subsection"/>
      </w:pPr>
      <w:r>
        <w:tab/>
        <w:t>(1)</w:t>
      </w:r>
      <w:r>
        <w:tab/>
        <w:t>No civil or criminal liability attaches to a person for compliance, or purported compliance, in good faith, with a requirement of this Act.</w:t>
      </w:r>
    </w:p>
    <w:p>
      <w:pPr>
        <w:pStyle w:val="Subsection"/>
      </w:pPr>
      <w:r>
        <w:tab/>
        <w:t>(2)</w:t>
      </w:r>
      <w:r>
        <w:tab/>
        <w:t xml:space="preserve">In particular, if a person produced a document or other material as required under this Act, no civil liability attaches to the </w:t>
      </w:r>
      <w:r>
        <w:lastRenderedPageBreak/>
        <w:t>person for producing the document or material, whether the liability would arise under a contract or otherwise.</w:t>
      </w:r>
    </w:p>
    <w:p>
      <w:pPr>
        <w:pStyle w:val="Footnotesection"/>
        <w:spacing w:before="100"/>
      </w:pPr>
      <w:r>
        <w:tab/>
        <w:t>[Section 306, inserted as section 186: No. 42 of 2004 s. 135 and renumbered as section 306: No. 42 of 2004 s. 154(1).]</w:t>
      </w:r>
    </w:p>
    <w:p>
      <w:pPr>
        <w:pStyle w:val="Heading5"/>
        <w:spacing w:before="180"/>
      </w:pPr>
      <w:bookmarkStart w:id="1000" w:name="_Toc131514761"/>
      <w:r>
        <w:rPr>
          <w:rStyle w:val="CharSectno"/>
        </w:rPr>
        <w:t>307</w:t>
      </w:r>
      <w:r>
        <w:t>.</w:t>
      </w:r>
      <w:r>
        <w:tab/>
        <w:t>Protection from liability for publishing decisions etc. of dispute resolution authority</w:t>
      </w:r>
      <w:bookmarkEnd w:id="1000"/>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spacing w:before="100"/>
      </w:pPr>
      <w:r>
        <w:tab/>
        <w:t>[Section 307, inserted as section 187: No. 42 of 2004 s. 135 and renumbered as section 307: No. 42 of 2004 s. 154(1).]</w:t>
      </w:r>
    </w:p>
    <w:p>
      <w:pPr>
        <w:pStyle w:val="Heading5"/>
        <w:spacing w:before="180"/>
        <w:rPr>
          <w:snapToGrid w:val="0"/>
        </w:rPr>
      </w:pPr>
      <w:bookmarkStart w:id="1001" w:name="_Toc131514762"/>
      <w:r>
        <w:rPr>
          <w:rStyle w:val="CharSectno"/>
        </w:rPr>
        <w:t>308</w:t>
      </w:r>
      <w:r>
        <w:rPr>
          <w:snapToGrid w:val="0"/>
        </w:rPr>
        <w:t>.</w:t>
      </w:r>
      <w:r>
        <w:rPr>
          <w:snapToGrid w:val="0"/>
        </w:rPr>
        <w:tab/>
        <w:t>Fraud</w:t>
      </w:r>
      <w:bookmarkEnd w:id="1001"/>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spacing w:before="100"/>
      </w:pPr>
      <w:r>
        <w:tab/>
        <w:t>[Section 308, formerly section 188, amended: No. 34 of 1999 s. 51; renumbered as section 308: No. 42 of 2004 s. 154(1).]</w:t>
      </w:r>
    </w:p>
    <w:p>
      <w:pPr>
        <w:pStyle w:val="Heading5"/>
        <w:spacing w:before="180"/>
      </w:pPr>
      <w:bookmarkStart w:id="1002" w:name="_Toc131514763"/>
      <w:r>
        <w:rPr>
          <w:rStyle w:val="CharSectno"/>
        </w:rPr>
        <w:t>309</w:t>
      </w:r>
      <w:r>
        <w:t>.</w:t>
      </w:r>
      <w:r>
        <w:tab/>
        <w:t>Who can prosecute offences</w:t>
      </w:r>
      <w:bookmarkEnd w:id="1002"/>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 xml:space="preserve">If a prosecution notice alleging an offence against this Act purports to be made or sworn by a person authorised by the chief executive officer to take proceedings for offences of that kind, it is to be presumed, in the absence of proof to the </w:t>
      </w:r>
      <w:r>
        <w:lastRenderedPageBreak/>
        <w:t>contrary, that the prosecution notice was made or sworn by such a person.</w:t>
      </w:r>
    </w:p>
    <w:p>
      <w:pPr>
        <w:pStyle w:val="Footnotesection"/>
        <w:spacing w:before="110"/>
        <w:ind w:left="890" w:hanging="890"/>
      </w:pPr>
      <w:r>
        <w:tab/>
        <w:t>[Section 309, inserted as section 188B: No. 42 of 2004 s. 137 and renumbered as section 309: No. 42 of 2004 s. 154(1); amended: No. 84 of 2004 s. 80.]</w:t>
      </w:r>
    </w:p>
    <w:p>
      <w:pPr>
        <w:pStyle w:val="Heading5"/>
      </w:pPr>
      <w:bookmarkStart w:id="1003" w:name="_Toc131514764"/>
      <w:r>
        <w:rPr>
          <w:rStyle w:val="CharSectno"/>
        </w:rPr>
        <w:t>310</w:t>
      </w:r>
      <w:r>
        <w:t>.</w:t>
      </w:r>
      <w:r>
        <w:tab/>
        <w:t>Time limit for prosecutions</w:t>
      </w:r>
      <w:bookmarkEnd w:id="1003"/>
    </w:p>
    <w:p>
      <w:pPr>
        <w:pStyle w:val="Subsection"/>
      </w:pPr>
      <w:r>
        <w:tab/>
      </w:r>
      <w:r>
        <w:tab/>
        <w:t>Proceedings for an offence against this Act cannot be commenced more than 2 years after the date on which the offence is alleged to have been committed.</w:t>
      </w:r>
    </w:p>
    <w:p>
      <w:pPr>
        <w:pStyle w:val="Footnotesection"/>
        <w:spacing w:before="100"/>
        <w:ind w:left="890" w:hanging="890"/>
      </w:pPr>
      <w:r>
        <w:tab/>
        <w:t>[Section 310, inserted as section 188C: No. 42 of 2004 s. 137 and renumbered as section 310: No. 42 of 2004 s. 154(1).]</w:t>
      </w:r>
    </w:p>
    <w:p>
      <w:pPr>
        <w:pStyle w:val="Heading5"/>
        <w:rPr>
          <w:snapToGrid w:val="0"/>
        </w:rPr>
      </w:pPr>
      <w:bookmarkStart w:id="1004" w:name="_Toc131514765"/>
      <w:r>
        <w:rPr>
          <w:rStyle w:val="CharSectno"/>
        </w:rPr>
        <w:t>311</w:t>
      </w:r>
      <w:r>
        <w:rPr>
          <w:snapToGrid w:val="0"/>
        </w:rPr>
        <w:t>.</w:t>
      </w:r>
      <w:r>
        <w:rPr>
          <w:snapToGrid w:val="0"/>
        </w:rPr>
        <w:tab/>
        <w:t>General penalty</w:t>
      </w:r>
      <w:bookmarkEnd w:id="1004"/>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No. 34 of 1999 s. 57; renumbered as section 311: No. 42 of 2004 s. 154(1).]</w:t>
      </w:r>
    </w:p>
    <w:p>
      <w:pPr>
        <w:pStyle w:val="Heading5"/>
        <w:rPr>
          <w:snapToGrid w:val="0"/>
        </w:rPr>
      </w:pPr>
      <w:bookmarkStart w:id="1005" w:name="_Toc131514766"/>
      <w:r>
        <w:rPr>
          <w:rStyle w:val="CharSectno"/>
        </w:rPr>
        <w:t>312</w:t>
      </w:r>
      <w:r>
        <w:rPr>
          <w:snapToGrid w:val="0"/>
        </w:rPr>
        <w:t>.</w:t>
      </w:r>
      <w:r>
        <w:rPr>
          <w:snapToGrid w:val="0"/>
        </w:rPr>
        <w:tab/>
        <w:t>Fines, application of</w:t>
      </w:r>
      <w:bookmarkEnd w:id="1005"/>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WorkCover WA</w:t>
      </w:r>
      <w:r>
        <w:rPr>
          <w:snapToGrid w:val="0"/>
        </w:rPr>
        <w:t>.</w:t>
      </w:r>
    </w:p>
    <w:p>
      <w:pPr>
        <w:pStyle w:val="Footnotesection"/>
      </w:pPr>
      <w:r>
        <w:tab/>
        <w:t>[Section 312, formerly section 190, amended: No. 78 of 1995 s. 138; No. 42 of 2004 s. 150 and renumbered as section 312: No. 42 of 2004 s. 154(1); amended: No. 77 of 2006 Sch. 1 cl. 189(9).]</w:t>
      </w:r>
    </w:p>
    <w:p>
      <w:pPr>
        <w:pStyle w:val="Heading5"/>
        <w:rPr>
          <w:snapToGrid w:val="0"/>
        </w:rPr>
      </w:pPr>
      <w:bookmarkStart w:id="1006" w:name="_Toc131514767"/>
      <w:r>
        <w:rPr>
          <w:rStyle w:val="CharSectno"/>
        </w:rPr>
        <w:t>313</w:t>
      </w:r>
      <w:r>
        <w:rPr>
          <w:snapToGrid w:val="0"/>
        </w:rPr>
        <w:t>.</w:t>
      </w:r>
      <w:r>
        <w:rPr>
          <w:snapToGrid w:val="0"/>
        </w:rPr>
        <w:tab/>
        <w:t>Offences under Acts about workplace safety not affected</w:t>
      </w:r>
      <w:bookmarkEnd w:id="1006"/>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No. 42 of 2004 s. 154(1).]</w:t>
      </w:r>
    </w:p>
    <w:p>
      <w:pPr>
        <w:pStyle w:val="Heading5"/>
      </w:pPr>
      <w:bookmarkStart w:id="1007" w:name="_Toc131514768"/>
      <w:r>
        <w:rPr>
          <w:rStyle w:val="CharSectno"/>
        </w:rPr>
        <w:lastRenderedPageBreak/>
        <w:t>314</w:t>
      </w:r>
      <w:r>
        <w:t>.</w:t>
      </w:r>
      <w:r>
        <w:tab/>
        <w:t>WorkCover WA may specify form of sending information</w:t>
      </w:r>
      <w:bookmarkEnd w:id="1007"/>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r>
      <w:r>
        <w:rPr>
          <w:rStyle w:val="CharDefText"/>
        </w:rPr>
        <w:t>WorkCover WA</w:t>
      </w:r>
      <w:r>
        <w:t xml:space="preserve"> includes the chief executive officer.</w:t>
      </w:r>
    </w:p>
    <w:p>
      <w:pPr>
        <w:pStyle w:val="Footnotesection"/>
      </w:pPr>
      <w:r>
        <w:tab/>
        <w:t>[Section 314, inserted as section 192: No. 34 of 1999 s. 52; amended: No. 42 of 2004 s. 138 and 150 and renumbered as section 314: No. 42 of 2004 s. 154(1).]</w:t>
      </w:r>
    </w:p>
    <w:p>
      <w:pPr>
        <w:pStyle w:val="Heading5"/>
      </w:pPr>
      <w:bookmarkStart w:id="1008" w:name="_Toc131514769"/>
      <w:r>
        <w:rPr>
          <w:rStyle w:val="CharSectno"/>
        </w:rPr>
        <w:t>314A</w:t>
      </w:r>
      <w:r>
        <w:t>.</w:t>
      </w:r>
      <w:r>
        <w:tab/>
        <w:t>Facilitating electronic processes</w:t>
      </w:r>
      <w:bookmarkEnd w:id="1008"/>
    </w:p>
    <w:p>
      <w:pPr>
        <w:pStyle w:val="Subsection"/>
      </w:pPr>
      <w:r>
        <w:tab/>
        <w:t>(1)</w:t>
      </w:r>
      <w:r>
        <w:tab/>
        <w:t xml:space="preserve">In this section — </w:t>
      </w:r>
    </w:p>
    <w:p>
      <w:pPr>
        <w:pStyle w:val="Defstart"/>
      </w:pPr>
      <w:r>
        <w:tab/>
      </w:r>
      <w:r>
        <w:rPr>
          <w:rStyle w:val="CharDefText"/>
        </w:rPr>
        <w:t>document</w:t>
      </w:r>
      <w:r>
        <w:t xml:space="preserve"> includes a notice, notification, particulars or return required or permitted to be given under this Act, including a document for which a form is prescribed in the regulations.</w:t>
      </w:r>
    </w:p>
    <w:p>
      <w:pPr>
        <w:pStyle w:val="Subsection"/>
      </w:pPr>
      <w:r>
        <w:tab/>
        <w:t>(2)</w:t>
      </w:r>
      <w:r>
        <w:tab/>
        <w:t xml:space="preserve">A person who is required or permitted under this Act to give a document to a person other than WorkCover WA may — </w:t>
      </w:r>
    </w:p>
    <w:p>
      <w:pPr>
        <w:pStyle w:val="Indenta"/>
      </w:pPr>
      <w:r>
        <w:tab/>
        <w:t>(a)</w:t>
      </w:r>
      <w:r>
        <w:tab/>
        <w:t>create and record the document in the form (if any) specified under the regulations, which may include an electronic, paper or other form; and</w:t>
      </w:r>
    </w:p>
    <w:p>
      <w:pPr>
        <w:pStyle w:val="Indenta"/>
      </w:pPr>
      <w:r>
        <w:tab/>
        <w:t>(b)</w:t>
      </w:r>
      <w:r>
        <w:tab/>
        <w:t>give the document in the manner (if any) specified under the regulations.</w:t>
      </w:r>
    </w:p>
    <w:p>
      <w:pPr>
        <w:pStyle w:val="Footnotesection"/>
      </w:pPr>
      <w:r>
        <w:tab/>
        <w:t>[Section 314A inserted: No. 31 of 2020 s. 15.]</w:t>
      </w:r>
    </w:p>
    <w:p>
      <w:pPr>
        <w:pStyle w:val="Heading5"/>
      </w:pPr>
      <w:bookmarkStart w:id="1009" w:name="_Toc131514770"/>
      <w:r>
        <w:rPr>
          <w:rStyle w:val="CharSectno"/>
        </w:rPr>
        <w:lastRenderedPageBreak/>
        <w:t>314B</w:t>
      </w:r>
      <w:r>
        <w:t>.</w:t>
      </w:r>
      <w:r>
        <w:tab/>
        <w:t>Review of Act</w:t>
      </w:r>
      <w:bookmarkEnd w:id="1009"/>
    </w:p>
    <w:p>
      <w:pPr>
        <w:pStyle w:val="Subsection"/>
        <w:keepNext/>
      </w:pPr>
      <w:r>
        <w:tab/>
        <w:t>(1)</w:t>
      </w:r>
      <w:r>
        <w:tab/>
        <w:t>The Minister must review the operation and effectiveness of this Act, and prepare a report based on the review —</w:t>
      </w:r>
    </w:p>
    <w:p>
      <w:pPr>
        <w:pStyle w:val="Indenta"/>
      </w:pPr>
      <w:r>
        <w:tab/>
        <w:t>(a)</w:t>
      </w:r>
      <w:r>
        <w:tab/>
        <w:t>as soon as practicable after the 5</w:t>
      </w:r>
      <w:r>
        <w:rPr>
          <w:vertAlign w:val="superscript"/>
        </w:rPr>
        <w:t>th</w:t>
      </w:r>
      <w:r>
        <w:t xml:space="preserve"> anniversary of the day on which the </w:t>
      </w:r>
      <w:r>
        <w:rPr>
          <w:i/>
        </w:rPr>
        <w:t>Workers’ Compensation and Injury Management Amendment (COVID</w:t>
      </w:r>
      <w:r>
        <w:rPr>
          <w:i/>
        </w:rPr>
        <w:noBreakHyphen/>
        <w:t>19 Response) Act 2020</w:t>
      </w:r>
      <w:r>
        <w:t xml:space="preserve"> section 16 comes into operation; and</w:t>
      </w:r>
    </w:p>
    <w:p>
      <w:pPr>
        <w:pStyle w:val="Indenta"/>
      </w:pPr>
      <w:r>
        <w:tab/>
        <w:t>(b)</w:t>
      </w:r>
      <w:r>
        <w:tab/>
        <w:t>after that, at intervals of not more than 5 years.</w:t>
      </w:r>
    </w:p>
    <w:p>
      <w:pPr>
        <w:pStyle w:val="Subsection"/>
      </w:pPr>
      <w:r>
        <w:tab/>
        <w:t>(2)</w:t>
      </w:r>
      <w:r>
        <w:tab/>
        <w:t>The Minister must cause the report to be laid before each House of Parliament as soon as practicable after it is prepared, but not later than 12 months after the 5</w:t>
      </w:r>
      <w:r>
        <w:rPr>
          <w:vertAlign w:val="superscript"/>
        </w:rPr>
        <w:t>th</w:t>
      </w:r>
      <w:r>
        <w:t> anniversary or the expiry of the period of 5 years, as the case may be.</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314B inserted: No. 31 of 2020 s. 16.]</w:t>
      </w:r>
    </w:p>
    <w:p>
      <w:pPr>
        <w:pStyle w:val="Ednotesection"/>
        <w:tabs>
          <w:tab w:val="clear" w:pos="893"/>
          <w:tab w:val="left" w:pos="1197"/>
        </w:tabs>
      </w:pPr>
      <w:r>
        <w:t>[</w:t>
      </w:r>
      <w:r>
        <w:rPr>
          <w:b/>
        </w:rPr>
        <w:t>315.</w:t>
      </w:r>
      <w:r>
        <w:tab/>
        <w:t>Deleted: No. 31 of 2020 s. 17.]</w:t>
      </w:r>
    </w:p>
    <w:p>
      <w:pPr>
        <w:pStyle w:val="Heading2"/>
        <w:keepLines/>
      </w:pPr>
      <w:bookmarkStart w:id="1010" w:name="_Toc100238793"/>
      <w:bookmarkStart w:id="1011" w:name="_Toc100239407"/>
      <w:bookmarkStart w:id="1012" w:name="_Toc100562701"/>
      <w:bookmarkStart w:id="1013" w:name="_Toc107310337"/>
      <w:bookmarkStart w:id="1014" w:name="_Toc107480191"/>
      <w:bookmarkStart w:id="1015" w:name="_Toc131501557"/>
      <w:bookmarkStart w:id="1016" w:name="_Toc131502175"/>
      <w:bookmarkStart w:id="1017" w:name="_Toc131514771"/>
      <w:r>
        <w:rPr>
          <w:rStyle w:val="CharPartNo"/>
        </w:rPr>
        <w:lastRenderedPageBreak/>
        <w:t>Part XX</w:t>
      </w:r>
      <w:r>
        <w:rPr>
          <w:rStyle w:val="CharDivNo"/>
        </w:rPr>
        <w:t> </w:t>
      </w:r>
      <w:r>
        <w:t>—</w:t>
      </w:r>
      <w:r>
        <w:rPr>
          <w:rStyle w:val="CharDivText"/>
        </w:rPr>
        <w:t> </w:t>
      </w:r>
      <w:r>
        <w:rPr>
          <w:rStyle w:val="CharPartText"/>
        </w:rPr>
        <w:t>Repeal, savings, and transitional</w:t>
      </w:r>
      <w:bookmarkEnd w:id="1010"/>
      <w:bookmarkEnd w:id="1011"/>
      <w:bookmarkEnd w:id="1012"/>
      <w:bookmarkEnd w:id="1013"/>
      <w:bookmarkEnd w:id="1014"/>
      <w:bookmarkEnd w:id="1015"/>
      <w:bookmarkEnd w:id="1016"/>
      <w:bookmarkEnd w:id="1017"/>
    </w:p>
    <w:p>
      <w:pPr>
        <w:pStyle w:val="Footnoteheading"/>
        <w:keepLines/>
      </w:pPr>
      <w:r>
        <w:tab/>
        <w:t>[Part XX heading, formerly Part XIII heading, renumbered: No. 42 of 2004 s. 154(3).]</w:t>
      </w:r>
    </w:p>
    <w:p>
      <w:pPr>
        <w:pStyle w:val="Heading5"/>
        <w:rPr>
          <w:snapToGrid w:val="0"/>
        </w:rPr>
      </w:pPr>
      <w:bookmarkStart w:id="1018" w:name="_Toc131514772"/>
      <w:r>
        <w:rPr>
          <w:rStyle w:val="CharSectno"/>
        </w:rPr>
        <w:t>316</w:t>
      </w:r>
      <w:r>
        <w:rPr>
          <w:snapToGrid w:val="0"/>
        </w:rPr>
        <w:t>.</w:t>
      </w:r>
      <w:r>
        <w:rPr>
          <w:snapToGrid w:val="0"/>
        </w:rPr>
        <w:tab/>
        <w:t>Terms used</w:t>
      </w:r>
      <w:bookmarkEnd w:id="1018"/>
    </w:p>
    <w:p>
      <w:pPr>
        <w:pStyle w:val="Subsection"/>
        <w:rPr>
          <w:snapToGrid w:val="0"/>
        </w:rPr>
      </w:pPr>
      <w:r>
        <w:rPr>
          <w:snapToGrid w:val="0"/>
        </w:rPr>
        <w:tab/>
      </w:r>
      <w:r>
        <w:rPr>
          <w:snapToGrid w:val="0"/>
        </w:rPr>
        <w:tab/>
        <w:t>In this Part —</w:t>
      </w:r>
    </w:p>
    <w:p>
      <w:pPr>
        <w:pStyle w:val="Defstart"/>
      </w:pPr>
      <w:r>
        <w:rPr>
          <w:b/>
        </w:rPr>
        <w:tab/>
      </w:r>
      <w:r>
        <w:rPr>
          <w:rStyle w:val="CharDefText"/>
        </w:rPr>
        <w:t>former Board</w:t>
      </w:r>
      <w:r>
        <w:t xml:space="preserve"> means the Workers’ Compensation Board constituted under the repealed Act;</w:t>
      </w:r>
    </w:p>
    <w:p>
      <w:pPr>
        <w:pStyle w:val="Defstart"/>
      </w:pPr>
      <w:r>
        <w:rPr>
          <w:b/>
        </w:rPr>
        <w:tab/>
      </w:r>
      <w:r>
        <w:rPr>
          <w:rStyle w:val="CharDefText"/>
        </w:rPr>
        <w:t>former Supplementary Board</w:t>
      </w:r>
      <w:r>
        <w:t xml:space="preserve"> means the Workers’ Compensation Supplementary Board constituted under the repealed Act;</w:t>
      </w:r>
    </w:p>
    <w:p>
      <w:pPr>
        <w:pStyle w:val="Defstart"/>
      </w:pPr>
      <w:r>
        <w:rPr>
          <w:b/>
        </w:rPr>
        <w:tab/>
      </w:r>
      <w:r>
        <w:rPr>
          <w:rStyle w:val="CharDefText"/>
        </w:rPr>
        <w:t>new Board</w:t>
      </w:r>
      <w:r>
        <w:t xml:space="preserve"> means the Workers’ Compensation Board continued and constituted under this Act;</w:t>
      </w:r>
    </w:p>
    <w:p>
      <w:pPr>
        <w:pStyle w:val="Defstart"/>
      </w:pPr>
      <w:r>
        <w:rPr>
          <w:b/>
        </w:rPr>
        <w:tab/>
      </w:r>
      <w:r>
        <w:rPr>
          <w:rStyle w:val="CharDefText"/>
        </w:rPr>
        <w:t>new Supplementary Board</w:t>
      </w:r>
      <w:r>
        <w:t xml:space="preserve"> means the Workers’ Compensation Supplementary Board continued and constituted under this Act;</w:t>
      </w:r>
    </w:p>
    <w:p>
      <w:pPr>
        <w:pStyle w:val="Defstart"/>
      </w:pPr>
      <w:r>
        <w:rPr>
          <w:b/>
        </w:rPr>
        <w:tab/>
      </w:r>
      <w:r>
        <w:rPr>
          <w:rStyle w:val="CharDefText"/>
        </w:rPr>
        <w:t>proclaimed date</w:t>
      </w:r>
      <w:r>
        <w:t xml:space="preserve"> means the date on which this Part comes into operation.</w:t>
      </w:r>
    </w:p>
    <w:p>
      <w:pPr>
        <w:pStyle w:val="Footnotesection"/>
      </w:pPr>
      <w:r>
        <w:tab/>
        <w:t>[Section 316, formerly section 193, renumbered as section 316: No. 42 of 2004 s. 154(1).]</w:t>
      </w:r>
    </w:p>
    <w:p>
      <w:pPr>
        <w:pStyle w:val="Heading5"/>
      </w:pPr>
      <w:bookmarkStart w:id="1019" w:name="_Toc131514773"/>
      <w:r>
        <w:rPr>
          <w:rStyle w:val="CharSectno"/>
        </w:rPr>
        <w:t>317</w:t>
      </w:r>
      <w:r>
        <w:t>.</w:t>
      </w:r>
      <w:r>
        <w:tab/>
        <w:t>Repeal</w:t>
      </w:r>
      <w:bookmarkEnd w:id="1019"/>
    </w:p>
    <w:p>
      <w:pPr>
        <w:pStyle w:val="Subsection"/>
      </w:pPr>
      <w:r>
        <w:tab/>
      </w:r>
      <w:r>
        <w:tab/>
        <w:t xml:space="preserve">The </w:t>
      </w:r>
      <w:r>
        <w:rPr>
          <w:i/>
        </w:rPr>
        <w:t>Workers’ Compensation Act 1912</w:t>
      </w:r>
      <w:r>
        <w:t xml:space="preserve"> is repealed.</w:t>
      </w:r>
    </w:p>
    <w:p>
      <w:pPr>
        <w:pStyle w:val="Footnotesection"/>
      </w:pPr>
      <w:r>
        <w:tab/>
        <w:t>[Section 317, formerly section 194, renumbered as section 317: No. 42 of 2004 s. 154(1).]</w:t>
      </w:r>
    </w:p>
    <w:p>
      <w:pPr>
        <w:pStyle w:val="Heading5"/>
        <w:rPr>
          <w:snapToGrid w:val="0"/>
        </w:rPr>
      </w:pPr>
      <w:bookmarkStart w:id="1020" w:name="_Toc131514774"/>
      <w:r>
        <w:rPr>
          <w:rStyle w:val="CharSectno"/>
        </w:rPr>
        <w:t>318</w:t>
      </w:r>
      <w:r>
        <w:rPr>
          <w:snapToGrid w:val="0"/>
        </w:rPr>
        <w:t>.</w:t>
      </w:r>
      <w:r>
        <w:rPr>
          <w:snapToGrid w:val="0"/>
        </w:rPr>
        <w:tab/>
      </w:r>
      <w:r>
        <w:rPr>
          <w:i/>
          <w:snapToGrid w:val="0"/>
        </w:rPr>
        <w:t>Interpretation Act 1918</w:t>
      </w:r>
      <w:r>
        <w:rPr>
          <w:snapToGrid w:val="0"/>
        </w:rPr>
        <w:t>, application of</w:t>
      </w:r>
      <w:bookmarkEnd w:id="1020"/>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7</w:t>
      </w:r>
      <w:r>
        <w:rPr>
          <w:snapToGrid w:val="0"/>
        </w:rPr>
        <w:t>, and in particular sections 15 and 16 of that Act, apply to and in respect of the repealed Act except to the extent that this Act provides otherwise.</w:t>
      </w:r>
    </w:p>
    <w:p>
      <w:pPr>
        <w:pStyle w:val="Footnotesection"/>
      </w:pPr>
      <w:r>
        <w:tab/>
        <w:t>[Section 318, formerly section 195, renumbered as section 318: No. 42 of 2004 s. 154(1).]</w:t>
      </w:r>
    </w:p>
    <w:p>
      <w:pPr>
        <w:pStyle w:val="Heading5"/>
        <w:rPr>
          <w:snapToGrid w:val="0"/>
        </w:rPr>
      </w:pPr>
      <w:bookmarkStart w:id="1021" w:name="_Toc131514775"/>
      <w:r>
        <w:rPr>
          <w:rStyle w:val="CharSectno"/>
        </w:rPr>
        <w:lastRenderedPageBreak/>
        <w:t>319</w:t>
      </w:r>
      <w:r>
        <w:rPr>
          <w:snapToGrid w:val="0"/>
        </w:rPr>
        <w:t>.</w:t>
      </w:r>
      <w:r>
        <w:rPr>
          <w:snapToGrid w:val="0"/>
        </w:rPr>
        <w:tab/>
        <w:t>Act does not renew liability or entitlement</w:t>
      </w:r>
      <w:bookmarkEnd w:id="1021"/>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r>
        <w:tab/>
        <w:t>[Section 319, formerly section 196, renumbered as section 319: No. 42 of 2004 s. 154(1).]</w:t>
      </w:r>
    </w:p>
    <w:p>
      <w:pPr>
        <w:pStyle w:val="Heading5"/>
        <w:rPr>
          <w:snapToGrid w:val="0"/>
        </w:rPr>
      </w:pPr>
      <w:bookmarkStart w:id="1022" w:name="_Toc131514776"/>
      <w:r>
        <w:rPr>
          <w:rStyle w:val="CharSectno"/>
        </w:rPr>
        <w:t>320</w:t>
      </w:r>
      <w:r>
        <w:rPr>
          <w:snapToGrid w:val="0"/>
        </w:rPr>
        <w:t>.</w:t>
      </w:r>
      <w:r>
        <w:rPr>
          <w:snapToGrid w:val="0"/>
        </w:rPr>
        <w:tab/>
        <w:t>Moneys paid under repealed Act taken into account</w:t>
      </w:r>
      <w:bookmarkEnd w:id="1022"/>
    </w:p>
    <w:p>
      <w:pPr>
        <w:pStyle w:val="Subsection"/>
        <w:keepNext/>
        <w:spacing w:before="100"/>
        <w:rPr>
          <w:snapToGrid w:val="0"/>
        </w:rPr>
      </w:pPr>
      <w:r>
        <w:rPr>
          <w:snapToGrid w:val="0"/>
        </w:rPr>
        <w:tab/>
      </w:r>
      <w:r>
        <w:rPr>
          <w:snapToGrid w:val="0"/>
        </w:rPr>
        <w:tab/>
        <w:t>Where by virtue of section 4 there is under this Act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No. 42 of 2004 s. 146 and 147 and renumbered as section 320: No. 42 of 2004 s. 154(1).]</w:t>
      </w:r>
    </w:p>
    <w:p>
      <w:pPr>
        <w:pStyle w:val="Heading5"/>
        <w:rPr>
          <w:snapToGrid w:val="0"/>
        </w:rPr>
      </w:pPr>
      <w:bookmarkStart w:id="1023" w:name="_Toc131514777"/>
      <w:r>
        <w:rPr>
          <w:rStyle w:val="CharSectno"/>
        </w:rPr>
        <w:t>321</w:t>
      </w:r>
      <w:r>
        <w:rPr>
          <w:snapToGrid w:val="0"/>
        </w:rPr>
        <w:t>.</w:t>
      </w:r>
      <w:r>
        <w:rPr>
          <w:snapToGrid w:val="0"/>
        </w:rPr>
        <w:tab/>
        <w:t>Compensation for Sch. 2 injuries</w:t>
      </w:r>
      <w:bookmarkEnd w:id="1023"/>
    </w:p>
    <w:p>
      <w:pPr>
        <w:pStyle w:val="Subsection"/>
        <w:rPr>
          <w:snapToGrid w:val="0"/>
        </w:rPr>
      </w:pPr>
      <w:r>
        <w:rPr>
          <w:snapToGrid w:val="0"/>
        </w:rPr>
        <w:tab/>
      </w:r>
      <w:r>
        <w:rPr>
          <w:snapToGrid w:val="0"/>
        </w:rPr>
        <w:tab/>
        <w:t xml:space="preserve">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w:t>
      </w:r>
      <w:r>
        <w:rPr>
          <w:snapToGrid w:val="0"/>
        </w:rPr>
        <w:lastRenderedPageBreak/>
        <w:t>applies to and in respect of compensation payable for that injury.</w:t>
      </w:r>
    </w:p>
    <w:p>
      <w:pPr>
        <w:pStyle w:val="Footnotesection"/>
      </w:pPr>
      <w:r>
        <w:tab/>
        <w:t>[Section 321, formerly section 199, renumbered as section 321: No. 42 of 2004 s. 154(1).]</w:t>
      </w:r>
    </w:p>
    <w:p>
      <w:pPr>
        <w:pStyle w:val="Heading5"/>
        <w:rPr>
          <w:snapToGrid w:val="0"/>
        </w:rPr>
      </w:pPr>
      <w:bookmarkStart w:id="1024" w:name="_Toc131514778"/>
      <w:r>
        <w:rPr>
          <w:rStyle w:val="CharSectno"/>
        </w:rPr>
        <w:t>322</w:t>
      </w:r>
      <w:r>
        <w:rPr>
          <w:snapToGrid w:val="0"/>
        </w:rPr>
        <w:t>.</w:t>
      </w:r>
      <w:r>
        <w:rPr>
          <w:snapToGrid w:val="0"/>
        </w:rPr>
        <w:tab/>
        <w:t>Child’s allowance</w:t>
      </w:r>
      <w:bookmarkEnd w:id="1024"/>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r>
        <w:tab/>
        <w:t>[Section 322, formerly section 200, renumbered as section 322: No. 42 of 2004 s. 154(1).]</w:t>
      </w:r>
    </w:p>
    <w:p>
      <w:pPr>
        <w:pStyle w:val="Heading5"/>
        <w:rPr>
          <w:snapToGrid w:val="0"/>
        </w:rPr>
      </w:pPr>
      <w:bookmarkStart w:id="1025" w:name="_Toc131514779"/>
      <w:r>
        <w:rPr>
          <w:rStyle w:val="CharSectno"/>
        </w:rPr>
        <w:t>323</w:t>
      </w:r>
      <w:r>
        <w:rPr>
          <w:snapToGrid w:val="0"/>
        </w:rPr>
        <w:t>.</w:t>
      </w:r>
      <w:r>
        <w:rPr>
          <w:snapToGrid w:val="0"/>
        </w:rPr>
        <w:tab/>
        <w:t>Continuation of office holders, agreements etc.</w:t>
      </w:r>
      <w:bookmarkEnd w:id="1025"/>
    </w:p>
    <w:p>
      <w:pPr>
        <w:pStyle w:val="Subsection"/>
        <w:rPr>
          <w:snapToGrid w:val="0"/>
        </w:rPr>
      </w:pPr>
      <w:r>
        <w:rPr>
          <w:snapToGrid w:val="0"/>
        </w:rPr>
        <w:tab/>
        <w:t>(1)</w:t>
      </w:r>
      <w:r>
        <w:rPr>
          <w:snapToGrid w:val="0"/>
        </w:rPr>
        <w:tab/>
        <w:t>On and after the proclaimed date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 xml:space="preserve">a person who, immediately before the proclaimed date, held office as Chairman of the former Supplementary Board, is a judge of the new Supplementary Board and shall be deemed </w:t>
      </w:r>
      <w:r>
        <w:rPr>
          <w:snapToGrid w:val="0"/>
        </w:rPr>
        <w:lastRenderedPageBreak/>
        <w:t>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lastRenderedPageBreak/>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8</w:t>
      </w:r>
      <w:r>
        <w:rPr>
          <w:snapToGrid w:val="0"/>
        </w:rPr>
        <w:t xml:space="preserve"> as if his service under and subject to the repealed Act were service under and subject to this Act.</w:t>
      </w:r>
    </w:p>
    <w:p>
      <w:pPr>
        <w:pStyle w:val="Footnotesection"/>
      </w:pPr>
      <w:r>
        <w:tab/>
        <w:t>[Section 323, formerly section 201, amended: No. 42 of 2004 s. 150 and renumbered as section 323: No. 42 of 2004 s. 154(1); No. 77 of 2006 Sch. 1 cl. 189(8) and (9).]</w:t>
      </w:r>
    </w:p>
    <w:p>
      <w:pPr>
        <w:pStyle w:val="Heading5"/>
        <w:rPr>
          <w:snapToGrid w:val="0"/>
        </w:rPr>
      </w:pPr>
      <w:bookmarkStart w:id="1026" w:name="_Toc131514780"/>
      <w:r>
        <w:rPr>
          <w:rStyle w:val="CharSectno"/>
        </w:rPr>
        <w:t>324</w:t>
      </w:r>
      <w:r>
        <w:rPr>
          <w:snapToGrid w:val="0"/>
        </w:rPr>
        <w:t>.</w:t>
      </w:r>
      <w:r>
        <w:rPr>
          <w:snapToGrid w:val="0"/>
        </w:rPr>
        <w:tab/>
        <w:t>References to Board, Supplementary Board or officers</w:t>
      </w:r>
      <w:bookmarkEnd w:id="1026"/>
    </w:p>
    <w:p>
      <w:pPr>
        <w:pStyle w:val="Subsection"/>
        <w:rPr>
          <w:snapToGrid w:val="0"/>
        </w:rPr>
      </w:pPr>
      <w:r>
        <w:rPr>
          <w:snapToGrid w:val="0"/>
        </w:rPr>
        <w:tab/>
      </w:r>
      <w:r>
        <w:rPr>
          <w:snapToGrid w:val="0"/>
        </w:rPr>
        <w:tab/>
        <w:t xml:space="preserve">A reference, however expressed, in any other Act or in any regulation, notice, or statutory instrument of any kind made, published, or in force under this or any other Act to the Workers’ Compensation Board, the Workers’ Compensation </w:t>
      </w:r>
      <w:r>
        <w:rPr>
          <w:snapToGrid w:val="0"/>
        </w:rPr>
        <w:lastRenderedPageBreak/>
        <w:t>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No. 42 of 2004 s. 154(1).]</w:t>
      </w:r>
    </w:p>
    <w:p>
      <w:pPr>
        <w:pStyle w:val="Ednotesection"/>
        <w:outlineLvl w:val="9"/>
      </w:pPr>
      <w:r>
        <w:t>[Former s. 203 omitted under the Reprints Act 1984 s. 7(4)(e).]</w:t>
      </w:r>
    </w:p>
    <w:p>
      <w:pPr>
        <w:pStyle w:val="Heading5"/>
      </w:pPr>
      <w:bookmarkStart w:id="1027" w:name="_Toc131514781"/>
      <w:r>
        <w:rPr>
          <w:rStyle w:val="CharSectno"/>
        </w:rPr>
        <w:t>325</w:t>
      </w:r>
      <w:r>
        <w:t>.</w:t>
      </w:r>
      <w:r>
        <w:tab/>
        <w:t>Transitional provisions (Sch. 8)</w:t>
      </w:r>
      <w:bookmarkEnd w:id="1027"/>
    </w:p>
    <w:p>
      <w:pPr>
        <w:pStyle w:val="Subsection"/>
      </w:pPr>
      <w:r>
        <w:tab/>
        <w:t>(1)</w:t>
      </w:r>
      <w:r>
        <w:tab/>
        <w:t>Schedule 8 sets out transitional provisions in relation to amendments to this Act.</w:t>
      </w:r>
    </w:p>
    <w:p>
      <w:pPr>
        <w:pStyle w:val="Subsection"/>
      </w:pPr>
      <w:r>
        <w:tab/>
        <w:t>(2)</w:t>
      </w:r>
      <w:r>
        <w:tab/>
        <w:t xml:space="preserve">Schedule 8 does not affect the operation of the </w:t>
      </w:r>
      <w:r>
        <w:rPr>
          <w:i/>
          <w:iCs/>
        </w:rPr>
        <w:t>Interpretation Act 1984</w:t>
      </w:r>
      <w:r>
        <w:t xml:space="preserve"> Part V.</w:t>
      </w:r>
    </w:p>
    <w:p>
      <w:pPr>
        <w:pStyle w:val="Subsection"/>
      </w:pPr>
      <w:r>
        <w:tab/>
        <w:t>(3)</w:t>
      </w:r>
      <w:r>
        <w:tab/>
        <w:t>If Schedule 8 does not provide sufficiently for a matter or issue of a transitional nature that arises as a result of amendments to this Act, the Governor may make regulations prescribing all matters that are required, necessary or convenient to be prescribed for providing for the matter or issue.</w:t>
      </w:r>
    </w:p>
    <w:p>
      <w:pPr>
        <w:pStyle w:val="Subsection"/>
      </w:pPr>
      <w:r>
        <w:tab/>
        <w:t>(4)</w:t>
      </w:r>
      <w:r>
        <w:tab/>
        <w:t xml:space="preserve">If in the opinion of the Minister an anomaly arises in the carrying out of any provision — </w:t>
      </w:r>
    </w:p>
    <w:p>
      <w:pPr>
        <w:pStyle w:val="Indenta"/>
      </w:pPr>
      <w:r>
        <w:tab/>
        <w:t>(a)</w:t>
      </w:r>
      <w:r>
        <w:tab/>
        <w:t>of Schedule 8; or</w:t>
      </w:r>
    </w:p>
    <w:p>
      <w:pPr>
        <w:pStyle w:val="Indenta"/>
      </w:pPr>
      <w:r>
        <w:tab/>
        <w:t>(b)</w:t>
      </w:r>
      <w:r>
        <w:tab/>
        <w:t xml:space="preserve">of the </w:t>
      </w:r>
      <w:r>
        <w:rPr>
          <w:i/>
          <w:iCs/>
        </w:rPr>
        <w:t>Interpretation Act 1984</w:t>
      </w:r>
      <w:r>
        <w:t xml:space="preserve"> as it applies to the amendments made to this Act,</w:t>
      </w:r>
    </w:p>
    <w:p>
      <w:pPr>
        <w:pStyle w:val="Subsection"/>
      </w:pPr>
      <w:r>
        <w:tab/>
      </w:r>
      <w:r>
        <w:tab/>
        <w:t xml:space="preserve">the Governor may by regulation — </w:t>
      </w:r>
    </w:p>
    <w:p>
      <w:pPr>
        <w:pStyle w:val="Indenta"/>
      </w:pPr>
      <w:r>
        <w:tab/>
        <w:t>(c)</w:t>
      </w:r>
      <w:r>
        <w:tab/>
        <w:t>modify that provision to remove that anomaly; and</w:t>
      </w:r>
    </w:p>
    <w:p>
      <w:pPr>
        <w:pStyle w:val="Indenta"/>
      </w:pPr>
      <w:r>
        <w:tab/>
        <w:t>(d)</w:t>
      </w:r>
      <w:r>
        <w:tab/>
        <w:t>make such provision as is necessary or expedient to carry out the intention of that provision.</w:t>
      </w:r>
    </w:p>
    <w:p>
      <w:pPr>
        <w:pStyle w:val="Subsection"/>
      </w:pPr>
      <w:r>
        <w:tab/>
        <w:t>(5)</w:t>
      </w:r>
      <w:r>
        <w:tab/>
        <w:t xml:space="preserve">If regulations made under subsection (3) or (4) provide that a state of affairs specified or described in the regulations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lastRenderedPageBreak/>
        <w:tab/>
        <w:t>(6)</w:t>
      </w:r>
      <w:r>
        <w:tab/>
        <w:t xml:space="preserve">If regulations contain a provision referred to in subsection (5),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325 inserted: No. 31 of 2011 s. 72.]</w:t>
      </w:r>
    </w:p>
    <w:p>
      <w:pPr>
        <w:pStyle w:val="yFootnoteheading"/>
      </w:pPr>
      <w:r>
        <w:tab/>
        <w:t>[Heading deleted: No. 19 of 2010 s. 42(3).]</w:t>
      </w:r>
    </w:p>
    <w:p>
      <w:pPr>
        <w:rPr>
          <w:rStyle w:val="CharDivText"/>
        </w:rPr>
        <w:sectPr>
          <w:headerReference w:type="even" r:id="rId20"/>
          <w:headerReference w:type="default" r:id="rId21"/>
          <w:headerReference w:type="first" r:id="rId22"/>
          <w:pgSz w:w="11907" w:h="16840" w:code="9"/>
          <w:pgMar w:top="2381" w:right="2409" w:bottom="3543" w:left="2409" w:header="720" w:footer="3380" w:gutter="0"/>
          <w:pgNumType w:start="1"/>
          <w:cols w:space="720"/>
          <w:noEndnote/>
          <w:titlePg/>
          <w:docGrid w:linePitch="326"/>
        </w:sectPr>
      </w:pPr>
    </w:p>
    <w:p>
      <w:pPr>
        <w:pStyle w:val="yScheduleHeading"/>
        <w:pageBreakBefore w:val="0"/>
      </w:pPr>
      <w:bookmarkStart w:id="1028" w:name="_Toc100238804"/>
      <w:bookmarkStart w:id="1029" w:name="_Toc100239418"/>
      <w:bookmarkStart w:id="1030" w:name="_Toc100562712"/>
      <w:bookmarkStart w:id="1031" w:name="_Toc107310348"/>
      <w:bookmarkStart w:id="1032" w:name="_Toc107480202"/>
      <w:bookmarkStart w:id="1033" w:name="_Toc131501568"/>
      <w:bookmarkStart w:id="1034" w:name="_Toc131502186"/>
      <w:bookmarkStart w:id="1035" w:name="_Toc131514782"/>
      <w:r>
        <w:rPr>
          <w:rStyle w:val="CharSchNo"/>
        </w:rPr>
        <w:lastRenderedPageBreak/>
        <w:t>Schedule 1</w:t>
      </w:r>
      <w:r>
        <w:rPr>
          <w:rStyle w:val="CharSDivNo"/>
        </w:rPr>
        <w:t> </w:t>
      </w:r>
      <w:r>
        <w:t>—</w:t>
      </w:r>
      <w:r>
        <w:rPr>
          <w:rStyle w:val="CharSDivText"/>
        </w:rPr>
        <w:t> </w:t>
      </w:r>
      <w:r>
        <w:rPr>
          <w:rStyle w:val="CharSchText"/>
        </w:rPr>
        <w:t>Compensation entitlements</w:t>
      </w:r>
      <w:bookmarkEnd w:id="1028"/>
      <w:bookmarkEnd w:id="1029"/>
      <w:bookmarkEnd w:id="1030"/>
      <w:bookmarkEnd w:id="1031"/>
      <w:bookmarkEnd w:id="1032"/>
      <w:bookmarkEnd w:id="1033"/>
      <w:bookmarkEnd w:id="1034"/>
      <w:bookmarkEnd w:id="1035"/>
    </w:p>
    <w:p>
      <w:pPr>
        <w:pStyle w:val="yShoulderClause"/>
      </w:pPr>
      <w:r>
        <w:rPr>
          <w:szCs w:val="22"/>
        </w:rPr>
        <w:t>[s. 18(1)]</w:t>
      </w:r>
    </w:p>
    <w:p>
      <w:pPr>
        <w:pStyle w:val="yFootnoteheading"/>
      </w:pPr>
      <w:r>
        <w:tab/>
        <w:t xml:space="preserve">[Heading inserted: No. 42 of 2004 s. 141(1); </w:t>
      </w:r>
      <w:r>
        <w:rPr>
          <w:snapToGrid w:val="0"/>
        </w:rPr>
        <w:t>amended: No. 19 of 2010 s. 4; No. 8 of 2018 s. 10(1)</w:t>
      </w:r>
      <w:r>
        <w:t>.]</w:t>
      </w:r>
    </w:p>
    <w:p>
      <w:pPr>
        <w:pStyle w:val="yEdnotesection"/>
      </w:pPr>
      <w:r>
        <w:t>[(1)</w:t>
      </w:r>
      <w:r>
        <w:noBreakHyphen/>
        <w:t>(5)</w:t>
      </w:r>
      <w:r>
        <w:tab/>
        <w:t>Deleted: No. 8 of 2018 s. 10(2).]</w:t>
      </w:r>
    </w:p>
    <w:p>
      <w:pPr>
        <w:pStyle w:val="yEdnotesection"/>
      </w:pPr>
      <w:r>
        <w:t>[</w:t>
      </w:r>
      <w:r>
        <w:rPr>
          <w:b/>
        </w:rPr>
        <w:t>6.</w:t>
      </w:r>
      <w:r>
        <w:rPr>
          <w:b/>
        </w:rPr>
        <w:tab/>
      </w:r>
      <w:r>
        <w:t>Deleted: No. 34 of 1999 s. 53(b).]</w:t>
      </w:r>
    </w:p>
    <w:p>
      <w:pPr>
        <w:pStyle w:val="yHeading5"/>
        <w:rPr>
          <w:snapToGrid w:val="0"/>
        </w:rPr>
      </w:pPr>
      <w:bookmarkStart w:id="1036" w:name="_Toc131514783"/>
      <w:r>
        <w:rPr>
          <w:rStyle w:val="CharSClsNo"/>
        </w:rPr>
        <w:t>7</w:t>
      </w:r>
      <w:r>
        <w:rPr>
          <w:snapToGrid w:val="0"/>
        </w:rPr>
        <w:t>.</w:t>
      </w:r>
      <w:r>
        <w:rPr>
          <w:snapToGrid w:val="0"/>
        </w:rPr>
        <w:tab/>
        <w:t>Total or partial incapacity</w:t>
      </w:r>
      <w:bookmarkEnd w:id="1036"/>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18A(1CA) and (1C).</w:t>
      </w:r>
    </w:p>
    <w:p>
      <w:pPr>
        <w:pStyle w:val="ySubsection"/>
        <w:rPr>
          <w:snapToGrid w:val="0"/>
        </w:rPr>
      </w:pPr>
      <w:r>
        <w:rPr>
          <w:snapToGrid w:val="0"/>
        </w:rPr>
        <w:tab/>
        <w:t>(5)</w:t>
      </w:r>
      <w:r>
        <w:rPr>
          <w:snapToGrid w:val="0"/>
        </w:rPr>
        <w:tab/>
        <w:t>Unless otherwise authorised by</w:t>
      </w:r>
      <w:r>
        <w:t xml:space="preserve"> WorkCover WA</w:t>
      </w:r>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lastRenderedPageBreak/>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No. 85 of 1986 s. 12(1)(a); No. 48 of 1993 s. 28(1); No. 34 of 1999 s. 32(12); No. 42 of 2004 s. 141(5) and (6), 146, 147, 149, 150 and 154(4); No. 31 of 2011 s. 123(1).]</w:t>
      </w:r>
    </w:p>
    <w:p>
      <w:pPr>
        <w:pStyle w:val="yHeading5"/>
        <w:rPr>
          <w:snapToGrid w:val="0"/>
        </w:rPr>
      </w:pPr>
      <w:bookmarkStart w:id="1037" w:name="_Toc131514784"/>
      <w:r>
        <w:rPr>
          <w:rStyle w:val="CharSClsNo"/>
        </w:rPr>
        <w:t>8</w:t>
      </w:r>
      <w:r>
        <w:rPr>
          <w:snapToGrid w:val="0"/>
        </w:rPr>
        <w:t>.</w:t>
      </w:r>
      <w:r>
        <w:rPr>
          <w:snapToGrid w:val="0"/>
        </w:rPr>
        <w:tab/>
        <w:t>Deemed total incapacity</w:t>
      </w:r>
      <w:bookmarkEnd w:id="1037"/>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No. 42 of 2004 s. 141(7) and 147.]</w:t>
      </w:r>
    </w:p>
    <w:p>
      <w:pPr>
        <w:pStyle w:val="yHeading5"/>
        <w:rPr>
          <w:snapToGrid w:val="0"/>
        </w:rPr>
      </w:pPr>
      <w:bookmarkStart w:id="1038" w:name="_Toc131514785"/>
      <w:r>
        <w:rPr>
          <w:rStyle w:val="CharSClsNo"/>
        </w:rPr>
        <w:t>9</w:t>
      </w:r>
      <w:r>
        <w:rPr>
          <w:snapToGrid w:val="0"/>
        </w:rPr>
        <w:t>.</w:t>
      </w:r>
      <w:r>
        <w:rPr>
          <w:snapToGrid w:val="0"/>
        </w:rPr>
        <w:tab/>
        <w:t>No incapacity — medical expenses</w:t>
      </w:r>
      <w:bookmarkEnd w:id="1038"/>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No. 42 of 2004 s. 141(8) and 147.]</w:t>
      </w:r>
    </w:p>
    <w:p>
      <w:pPr>
        <w:pStyle w:val="yHeading5"/>
        <w:rPr>
          <w:snapToGrid w:val="0"/>
        </w:rPr>
      </w:pPr>
      <w:bookmarkStart w:id="1039" w:name="_Toc131514786"/>
      <w:r>
        <w:rPr>
          <w:rStyle w:val="CharSClsNo"/>
        </w:rPr>
        <w:t>10</w:t>
      </w:r>
      <w:r>
        <w:rPr>
          <w:snapToGrid w:val="0"/>
        </w:rPr>
        <w:t>.</w:t>
      </w:r>
      <w:r>
        <w:rPr>
          <w:snapToGrid w:val="0"/>
        </w:rPr>
        <w:tab/>
        <w:t>Absence from work for medical attendance</w:t>
      </w:r>
      <w:bookmarkEnd w:id="1039"/>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rPr>
          <w:snapToGrid w:val="0"/>
        </w:rPr>
      </w:pPr>
      <w:bookmarkStart w:id="1040" w:name="_Toc131514787"/>
      <w:r>
        <w:rPr>
          <w:rStyle w:val="CharSClsNo"/>
        </w:rPr>
        <w:t>11</w:t>
      </w:r>
      <w:r>
        <w:rPr>
          <w:snapToGrid w:val="0"/>
        </w:rPr>
        <w:t>.</w:t>
      </w:r>
      <w:r>
        <w:rPr>
          <w:snapToGrid w:val="0"/>
        </w:rPr>
        <w:tab/>
        <w:t>Terms used</w:t>
      </w:r>
      <w:bookmarkEnd w:id="1040"/>
    </w:p>
    <w:p>
      <w:pPr>
        <w:pStyle w:val="ySubsection"/>
        <w:rPr>
          <w:snapToGrid w:val="0"/>
        </w:rPr>
      </w:pPr>
      <w:r>
        <w:rPr>
          <w:snapToGrid w:val="0"/>
        </w:rPr>
        <w:tab/>
        <w:t>(1)</w:t>
      </w:r>
      <w:r>
        <w:rPr>
          <w:snapToGrid w:val="0"/>
        </w:rPr>
        <w:tab/>
        <w:t xml:space="preserve">Subject to clauses 12 to 16, for the purposes of this Schedule </w:t>
      </w:r>
      <w:r>
        <w:rPr>
          <w:rStyle w:val="CharDefText"/>
        </w:rPr>
        <w:t>weekly earnings</w:t>
      </w:r>
      <w:r>
        <w:rPr>
          <w:snapToGrid w:val="0"/>
        </w:rPr>
        <w:t xml:space="preserve"> has the meaning given by this clause.</w:t>
      </w:r>
    </w:p>
    <w:p>
      <w:pPr>
        <w:pStyle w:val="ySubsection"/>
        <w:rPr>
          <w:snapToGrid w:val="0"/>
        </w:rPr>
      </w:pPr>
      <w:r>
        <w:rPr>
          <w:snapToGrid w:val="0"/>
        </w:rPr>
        <w:lastRenderedPageBreak/>
        <w:tab/>
        <w:t>(2)</w:t>
      </w:r>
      <w:r>
        <w:rPr>
          <w:snapToGrid w:val="0"/>
        </w:rPr>
        <w:tab/>
        <w:t>In this Schedule —</w:t>
      </w:r>
    </w:p>
    <w:p>
      <w:pPr>
        <w:pStyle w:val="yDefstart"/>
      </w:pPr>
      <w:r>
        <w:rPr>
          <w:b/>
        </w:rPr>
        <w:tab/>
      </w:r>
      <w:r>
        <w:rPr>
          <w:rStyle w:val="CharDefText"/>
        </w:rPr>
        <w:t>Amount 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overtime; and</w:t>
      </w:r>
    </w:p>
    <w:p>
      <w:pPr>
        <w:pStyle w:val="yDefpara"/>
      </w:pPr>
      <w:r>
        <w:tab/>
        <w:t>(c)</w:t>
      </w:r>
      <w:r>
        <w:tab/>
        <w:t>any bonus or allowance;</w:t>
      </w:r>
    </w:p>
    <w:p>
      <w:pPr>
        <w:pStyle w:val="yDefstart"/>
      </w:pPr>
      <w:r>
        <w:rPr>
          <w:b/>
        </w:rPr>
        <w:tab/>
      </w:r>
      <w:r>
        <w:rPr>
          <w:rStyle w:val="CharDefText"/>
        </w:rPr>
        <w:t>Amount Aa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pPr>
      <w:r>
        <w:rPr>
          <w:b/>
        </w:rPr>
        <w:tab/>
      </w:r>
      <w:r>
        <w:rPr>
          <w:rStyle w:val="CharDefText"/>
        </w:rPr>
        <w:t>Amount B</w:t>
      </w:r>
      <w:r>
        <w:t xml:space="preserve"> means —</w:t>
      </w:r>
    </w:p>
    <w:p>
      <w:pPr>
        <w:pStyle w:val="yIndenta"/>
        <w:spacing w:before="60"/>
      </w:pPr>
      <w:r>
        <w:tab/>
        <w:t>(a)</w:t>
      </w:r>
      <w:r>
        <w:tab/>
        <w:t>in the case of a director who is a worker for a company other than a company that is exempt under section 164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Indenta"/>
        <w:spacing w:before="60"/>
      </w:pPr>
      <w:r>
        <w:tab/>
      </w:r>
      <w:r>
        <w:tab/>
        <w:t>and</w:t>
      </w:r>
    </w:p>
    <w:p>
      <w:pPr>
        <w:pStyle w:val="yIndenta"/>
        <w:spacing w:before="60"/>
      </w:pPr>
      <w:r>
        <w:tab/>
        <w:t>(b)</w:t>
      </w:r>
      <w:r>
        <w:tab/>
        <w:t>in the case of a director who is a worker for a company that is exempt under section 164, the average weekly earnings of the director determined under subclause (2b); and</w:t>
      </w:r>
    </w:p>
    <w:p>
      <w:pPr>
        <w:pStyle w:val="yIndenta"/>
        <w:spacing w:before="60"/>
      </w:pPr>
      <w:r>
        <w:lastRenderedPageBreak/>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pPr>
      <w:r>
        <w:tab/>
      </w:r>
      <w:r>
        <w:rPr>
          <w:rStyle w:val="CharDefText"/>
        </w:rPr>
        <w:t>Amount C</w:t>
      </w:r>
      <w:r>
        <w:t xml:space="preserve"> has the meaning given in section 5A(1A);</w:t>
      </w:r>
    </w:p>
    <w:p>
      <w:pPr>
        <w:pStyle w:val="yDefstart"/>
      </w:pPr>
      <w:r>
        <w:rPr>
          <w:b/>
        </w:rPr>
        <w:tab/>
      </w:r>
      <w:r>
        <w:rPr>
          <w:rStyle w:val="CharDefText"/>
        </w:rPr>
        <w:t>Amount D</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r>
      <w:r>
        <w:rPr>
          <w:rStyle w:val="CharDefText"/>
        </w:rPr>
        <w:t>Amount E</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r>
      <w:r>
        <w:rPr>
          <w:rStyle w:val="CharDefText"/>
        </w:rPr>
        <w:t>bonus or allowance</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r>
      <w:r>
        <w:rPr>
          <w:rStyle w:val="CharDefText"/>
        </w:rPr>
        <w:t>earnings</w:t>
      </w:r>
      <w:r>
        <w:t xml:space="preserve"> includes wages, salary and other remuneration;</w:t>
      </w:r>
    </w:p>
    <w:p>
      <w:pPr>
        <w:pStyle w:val="yDefstart"/>
      </w:pPr>
      <w:r>
        <w:rPr>
          <w:b/>
        </w:rPr>
        <w:tab/>
      </w:r>
      <w:r>
        <w:rPr>
          <w:rStyle w:val="CharDefText"/>
        </w:rPr>
        <w:t>overtime</w:t>
      </w:r>
      <w:r>
        <w:t xml:space="preserve"> means any payment for the hours in excess of the number of ordinary hours which constitute a week’s work.</w:t>
      </w:r>
    </w:p>
    <w:p>
      <w:pPr>
        <w:pStyle w:val="ySubsection"/>
        <w:keepNext/>
      </w:pPr>
      <w:r>
        <w:tab/>
        <w:t>(2a)</w:t>
      </w:r>
      <w:r>
        <w:tab/>
        <w:t xml:space="preserve">For the purposes of paragraph (a)(ii)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pPr>
      <w:r>
        <w:lastRenderedPageBreak/>
        <w:tab/>
        <w:t>(c)</w:t>
      </w:r>
      <w:r>
        <w:tab/>
        <w:t>otherwise, by averaging the earnings paid to the director by the company over the period of one year ending on the day before the injury occurs as a worker of the company.</w:t>
      </w:r>
    </w:p>
    <w:p>
      <w:pPr>
        <w:pStyle w:val="ySubsection"/>
      </w:pPr>
      <w:r>
        <w:tab/>
        <w:t>(2b)</w:t>
      </w:r>
      <w:r>
        <w:tab/>
        <w:t xml:space="preserve">For the purposes of paragraph (b)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spacing w:before="70"/>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spacing w:before="70"/>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w:t>
      </w:r>
    </w:p>
    <w:p>
      <w:pPr>
        <w:pStyle w:val="yIndenta"/>
        <w:spacing w:before="70"/>
        <w:rPr>
          <w:snapToGrid w:val="0"/>
        </w:rPr>
      </w:pPr>
      <w:r>
        <w:rPr>
          <w:snapToGrid w:val="0"/>
        </w:rPr>
        <w:tab/>
        <w:t>(a)</w:t>
      </w:r>
      <w:r>
        <w:rPr>
          <w:snapToGrid w:val="0"/>
        </w:rPr>
        <w:tab/>
        <w:t>for the 1</w:t>
      </w:r>
      <w:r>
        <w:rPr>
          <w:snapToGrid w:val="0"/>
          <w:vertAlign w:val="superscript"/>
        </w:rPr>
        <w:t>st</w:t>
      </w:r>
      <w:r>
        <w:rPr>
          <w:snapToGrid w:val="0"/>
        </w:rPr>
        <w:t xml:space="preserve"> to the </w:t>
      </w:r>
      <w:r>
        <w:t>13</w:t>
      </w:r>
      <w:r>
        <w:rPr>
          <w:vertAlign w:val="superscript"/>
        </w:rPr>
        <w:t>th</w:t>
      </w:r>
      <w:r>
        <w:t xml:space="preserve"> </w:t>
      </w:r>
      <w:r>
        <w:rPr>
          <w:snapToGrid w:val="0"/>
        </w:rPr>
        <w:t>weekly payments:  Amount A but not more than Amount C or less than Amount D;</w:t>
      </w:r>
    </w:p>
    <w:p>
      <w:pPr>
        <w:pStyle w:val="yIndenta"/>
        <w:spacing w:before="70"/>
        <w:rPr>
          <w:snapToGrid w:val="0"/>
        </w:rPr>
      </w:pPr>
      <w:r>
        <w:rPr>
          <w:snapToGrid w:val="0"/>
        </w:rPr>
        <w:tab/>
        <w:t>(b)</w:t>
      </w:r>
      <w:r>
        <w:rPr>
          <w:snapToGrid w:val="0"/>
        </w:rPr>
        <w:tab/>
        <w:t xml:space="preserve">for weekly payments after the </w:t>
      </w:r>
      <w:r>
        <w:t>13</w:t>
      </w:r>
      <w:r>
        <w:rPr>
          <w:vertAlign w:val="superscript"/>
        </w:rPr>
        <w:t>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In the case of a worker to whom subclause (3) does not apply, weekly earnings are —</w:t>
      </w:r>
    </w:p>
    <w:p>
      <w:pPr>
        <w:pStyle w:val="yIndenta"/>
        <w:spacing w:before="70"/>
        <w:rPr>
          <w:snapToGrid w:val="0"/>
        </w:rPr>
      </w:pPr>
      <w:r>
        <w:rPr>
          <w:snapToGrid w:val="0"/>
        </w:rPr>
        <w:tab/>
        <w:t>(a)</w:t>
      </w:r>
      <w:r>
        <w:rPr>
          <w:snapToGrid w:val="0"/>
        </w:rPr>
        <w:tab/>
        <w:t>for the 1</w:t>
      </w:r>
      <w:r>
        <w:rPr>
          <w:snapToGrid w:val="0"/>
          <w:vertAlign w:val="superscript"/>
        </w:rPr>
        <w:t>st</w:t>
      </w:r>
      <w:r>
        <w:rPr>
          <w:snapToGrid w:val="0"/>
        </w:rPr>
        <w:t xml:space="preserve"> to the </w:t>
      </w:r>
      <w:r>
        <w:t>13</w:t>
      </w:r>
      <w:r>
        <w:rPr>
          <w:vertAlign w:val="superscript"/>
        </w:rPr>
        <w:t>th</w:t>
      </w:r>
      <w:r>
        <w:rPr>
          <w:snapToGrid w:val="0"/>
        </w:rPr>
        <w:t xml:space="preserve"> weekly payments:  Amount B but not more than Amount C or less than Amount E;</w:t>
      </w:r>
    </w:p>
    <w:p>
      <w:pPr>
        <w:pStyle w:val="yIndenta"/>
        <w:spacing w:before="70"/>
        <w:rPr>
          <w:snapToGrid w:val="0"/>
        </w:rPr>
      </w:pPr>
      <w:r>
        <w:rPr>
          <w:snapToGrid w:val="0"/>
        </w:rPr>
        <w:tab/>
        <w:t>(b)</w:t>
      </w:r>
      <w:r>
        <w:rPr>
          <w:snapToGrid w:val="0"/>
        </w:rPr>
        <w:tab/>
        <w:t xml:space="preserve">for weekly payments after the </w:t>
      </w:r>
      <w:r>
        <w:t>13</w:t>
      </w:r>
      <w:r>
        <w:rPr>
          <w:vertAlign w:val="superscript"/>
        </w:rPr>
        <w:t>th</w:t>
      </w:r>
      <w:r>
        <w:rPr>
          <w:snapToGrid w:val="0"/>
        </w:rPr>
        <w:t>:  85% of Amount B, or a lesser amount determined in accordance with the regulations, but not more than Amount C or less than Amount E.</w:t>
      </w:r>
    </w:p>
    <w:p>
      <w:pPr>
        <w:pStyle w:val="ySubsection"/>
        <w:keepNext/>
      </w:pPr>
      <w:r>
        <w:lastRenderedPageBreak/>
        <w:tab/>
        <w:t>(5)</w:t>
      </w:r>
      <w:r>
        <w:tab/>
        <w:t>Subject to subclause (6) —</w:t>
      </w:r>
    </w:p>
    <w:p>
      <w:pPr>
        <w:pStyle w:val="yIndenta"/>
        <w:spacing w:before="70"/>
        <w:rPr>
          <w:snapToGrid w:val="0"/>
        </w:rPr>
      </w:pPr>
      <w:r>
        <w:rPr>
          <w:snapToGrid w:val="0"/>
        </w:rPr>
        <w:tab/>
        <w:t>(a)</w:t>
      </w:r>
      <w:r>
        <w:rPr>
          <w:snapToGrid w:val="0"/>
        </w:rPr>
        <w:tab/>
        <w:t xml:space="preserve">the references in the definition of </w:t>
      </w:r>
      <w:r>
        <w:rPr>
          <w:b/>
          <w:bCs/>
          <w:i/>
          <w:iCs/>
          <w:snapToGrid w:val="0"/>
        </w:rPr>
        <w:t>Amount A</w:t>
      </w:r>
      <w:r>
        <w:rPr>
          <w:snapToGrid w:val="0"/>
        </w:rPr>
        <w:t xml:space="preserve"> in subclause (2) to overtime and any bonus or allowances; and</w:t>
      </w:r>
    </w:p>
    <w:p>
      <w:pPr>
        <w:pStyle w:val="yIndenta"/>
        <w:spacing w:before="70"/>
        <w:rPr>
          <w:snapToGrid w:val="0"/>
        </w:rPr>
      </w:pPr>
      <w:r>
        <w:rPr>
          <w:snapToGrid w:val="0"/>
        </w:rPr>
        <w:tab/>
        <w:t>(b)</w:t>
      </w:r>
      <w:r>
        <w:rPr>
          <w:snapToGrid w:val="0"/>
        </w:rPr>
        <w:tab/>
        <w:t xml:space="preserve">the references in the definition of </w:t>
      </w:r>
      <w:r>
        <w:rPr>
          <w:b/>
          <w:bCs/>
          <w:i/>
          <w:iCs/>
          <w:snapToGrid w:val="0"/>
        </w:rPr>
        <w:t>Amount Aa</w:t>
      </w:r>
      <w:r>
        <w:rPr>
          <w:snapToGrid w:val="0"/>
        </w:rPr>
        <w:t xml:space="preserve"> in subclause (2) to allowances,</w:t>
      </w:r>
    </w:p>
    <w:p>
      <w:pPr>
        <w:pStyle w:val="ySubsection"/>
        <w:spacing w:before="100"/>
      </w:pPr>
      <w:r>
        <w:tab/>
      </w:r>
      <w:r>
        <w:tab/>
        <w:t>are references to those items averaged over the period of 13 weeks ending at the date of incapacity.</w:t>
      </w:r>
    </w:p>
    <w:p>
      <w:pPr>
        <w:pStyle w:val="ySubsection"/>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4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w:t>
      </w:r>
      <w:r>
        <w:rPr>
          <w:vertAlign w:val="superscript"/>
        </w:rPr>
        <w:t>th</w:t>
      </w:r>
      <w:r>
        <w:t>,</w:t>
      </w:r>
      <w:r>
        <w:rPr>
          <w:snapToGrid w:val="0"/>
        </w:rPr>
        <w:t xml:space="preserve"> 26</w:t>
      </w:r>
      <w:r>
        <w:rPr>
          <w:snapToGrid w:val="0"/>
          <w:vertAlign w:val="superscript"/>
        </w:rPr>
        <w:t>th</w:t>
      </w:r>
      <w:r>
        <w:rPr>
          <w:snapToGrid w:val="0"/>
        </w:rPr>
        <w:t xml:space="preserve"> or 52</w:t>
      </w:r>
      <w:r>
        <w:rPr>
          <w:snapToGrid w:val="0"/>
          <w:vertAlign w:val="superscript"/>
        </w:rPr>
        <w:t>nd</w:t>
      </w:r>
      <w:r>
        <w:rPr>
          <w:snapToGrid w:val="0"/>
        </w:rPr>
        <w:t>, or after such other numbers of weekly payments as are prescribed.</w:t>
      </w:r>
    </w:p>
    <w:p>
      <w:pPr>
        <w:pStyle w:val="yFootnotesection"/>
      </w:pPr>
      <w:r>
        <w:tab/>
        <w:t>[Clause 11 inserted: No. 34 of 1999 s. 32(13); amended: No. 42 of 2004 s. 141(9)</w:t>
      </w:r>
      <w:r>
        <w:noBreakHyphen/>
        <w:t>(14) and 147; No. 16 of 2005 s. 15; No. 31 of 2020 s. 18.]</w:t>
      </w:r>
    </w:p>
    <w:p>
      <w:pPr>
        <w:pStyle w:val="yEdnotesection"/>
        <w:outlineLvl w:val="9"/>
      </w:pPr>
      <w:r>
        <w:t>[</w:t>
      </w:r>
      <w:r>
        <w:rPr>
          <w:b/>
        </w:rPr>
        <w:t>11A.</w:t>
      </w:r>
      <w:r>
        <w:tab/>
        <w:t>Deleted: No. 34 of 1999 s. 32(13).]</w:t>
      </w:r>
    </w:p>
    <w:p>
      <w:pPr>
        <w:pStyle w:val="yHeading5"/>
        <w:rPr>
          <w:snapToGrid w:val="0"/>
        </w:rPr>
      </w:pPr>
      <w:bookmarkStart w:id="1041" w:name="_Toc131514788"/>
      <w:r>
        <w:rPr>
          <w:rStyle w:val="CharSClsNo"/>
        </w:rPr>
        <w:t>12</w:t>
      </w:r>
      <w:r>
        <w:rPr>
          <w:snapToGrid w:val="0"/>
        </w:rPr>
        <w:t>.</w:t>
      </w:r>
      <w:r>
        <w:rPr>
          <w:snapToGrid w:val="0"/>
        </w:rPr>
        <w:tab/>
        <w:t>Part</w:t>
      </w:r>
      <w:r>
        <w:rPr>
          <w:snapToGrid w:val="0"/>
        </w:rPr>
        <w:noBreakHyphen/>
        <w:t>time worker, deductions in respect of</w:t>
      </w:r>
      <w:bookmarkEnd w:id="1041"/>
    </w:p>
    <w:p>
      <w:pPr>
        <w:pStyle w:val="ySubsection"/>
        <w:spacing w:before="14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No. 34 of 1999 s. 32(14) and (19); No. 42 of 2004 s. 147.]</w:t>
      </w:r>
    </w:p>
    <w:p>
      <w:pPr>
        <w:pStyle w:val="yHeading5"/>
        <w:rPr>
          <w:snapToGrid w:val="0"/>
        </w:rPr>
      </w:pPr>
      <w:bookmarkStart w:id="1042" w:name="_Toc131514789"/>
      <w:r>
        <w:rPr>
          <w:rStyle w:val="CharSClsNo"/>
        </w:rPr>
        <w:t>13</w:t>
      </w:r>
      <w:r>
        <w:rPr>
          <w:snapToGrid w:val="0"/>
        </w:rPr>
        <w:t>.</w:t>
      </w:r>
      <w:r>
        <w:rPr>
          <w:snapToGrid w:val="0"/>
        </w:rPr>
        <w:tab/>
        <w:t>Concurrent contracts, deductions in respect of</w:t>
      </w:r>
      <w:bookmarkEnd w:id="1042"/>
    </w:p>
    <w:p>
      <w:pPr>
        <w:pStyle w:val="ySubsection"/>
        <w:rPr>
          <w:snapToGrid w:val="0"/>
        </w:rPr>
      </w:pPr>
      <w:r>
        <w:rPr>
          <w:snapToGrid w:val="0"/>
        </w:rPr>
        <w:tab/>
      </w:r>
      <w:r>
        <w:rPr>
          <w:snapToGrid w:val="0"/>
        </w:rPr>
        <w:tab/>
        <w:t xml:space="preserve">In respect of employment to which clause 11(3) applies, in the case of a worker who had entered into concurrent contracts of service with </w:t>
      </w:r>
      <w:r>
        <w:rPr>
          <w:snapToGrid w:val="0"/>
        </w:rPr>
        <w:lastRenderedPageBreak/>
        <w:t>2 or more employers under which he worked at one time for one such employer and at another time for another such employer and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spacing w:before="100"/>
      </w:pPr>
      <w:r>
        <w:tab/>
        <w:t>[Clause 13 amended: No. 34 of 1999 s. 32(15)</w:t>
      </w:r>
      <w:r>
        <w:noBreakHyphen/>
        <w:t>(17) and (19); No. 42 of 2004 s. 147.]</w:t>
      </w:r>
    </w:p>
    <w:p>
      <w:pPr>
        <w:pStyle w:val="yHeading5"/>
        <w:rPr>
          <w:snapToGrid w:val="0"/>
        </w:rPr>
      </w:pPr>
      <w:bookmarkStart w:id="1043" w:name="_Toc131514790"/>
      <w:r>
        <w:rPr>
          <w:rStyle w:val="CharSClsNo"/>
        </w:rPr>
        <w:t>14</w:t>
      </w:r>
      <w:r>
        <w:rPr>
          <w:snapToGrid w:val="0"/>
        </w:rPr>
        <w:t>.</w:t>
      </w:r>
      <w:r>
        <w:rPr>
          <w:snapToGrid w:val="0"/>
        </w:rPr>
        <w:tab/>
        <w:t>Casual or seasonal worker, weekly earnings of</w:t>
      </w:r>
      <w:bookmarkEnd w:id="1043"/>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rStyle w:val="CharDefText"/>
        </w:rPr>
        <w:t>weekly earnings</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rPr>
          <w:snapToGrid w:val="0"/>
        </w:rPr>
      </w:pPr>
      <w:bookmarkStart w:id="1044" w:name="_Toc131514791"/>
      <w:r>
        <w:rPr>
          <w:rStyle w:val="CharSClsNo"/>
        </w:rPr>
        <w:t>15</w:t>
      </w:r>
      <w:r>
        <w:rPr>
          <w:snapToGrid w:val="0"/>
        </w:rPr>
        <w:t>.</w:t>
      </w:r>
      <w:r>
        <w:rPr>
          <w:snapToGrid w:val="0"/>
        </w:rPr>
        <w:tab/>
        <w:t>Paid board and lodging, effect on earnings</w:t>
      </w:r>
      <w:bookmarkEnd w:id="1044"/>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spacing w:before="100"/>
      </w:pPr>
      <w:r>
        <w:tab/>
        <w:t>[Clause 15 amended: No. 34 of 1999 s. 53(c).]</w:t>
      </w:r>
    </w:p>
    <w:p>
      <w:pPr>
        <w:pStyle w:val="yHeading5"/>
      </w:pPr>
      <w:bookmarkStart w:id="1045" w:name="_Toc131514792"/>
      <w:r>
        <w:rPr>
          <w:rStyle w:val="CharSClsNo"/>
        </w:rPr>
        <w:lastRenderedPageBreak/>
        <w:t>16A</w:t>
      </w:r>
      <w:r>
        <w:t>.</w:t>
      </w:r>
      <w:r>
        <w:tab/>
        <w:t>Weekly earnings of jockeys</w:t>
      </w:r>
      <w:bookmarkEnd w:id="1045"/>
    </w:p>
    <w:p>
      <w:pPr>
        <w:pStyle w:val="ySubsection"/>
        <w:keepNext/>
      </w:pPr>
      <w:r>
        <w:tab/>
        <w:t>(1)</w:t>
      </w:r>
      <w:r>
        <w:tab/>
        <w:t xml:space="preserve">In this clause — </w:t>
      </w:r>
    </w:p>
    <w:p>
      <w:pPr>
        <w:pStyle w:val="yDefstart"/>
      </w:pPr>
      <w:r>
        <w:tab/>
      </w:r>
      <w:r>
        <w:rPr>
          <w:rStyle w:val="CharDefText"/>
        </w:rPr>
        <w:t>jockey</w:t>
      </w:r>
      <w:r>
        <w:rPr>
          <w:b/>
          <w:i/>
        </w:rPr>
        <w:t xml:space="preserve"> </w:t>
      </w:r>
      <w:r>
        <w:t>means a person who is included as a worker by section 11A(2);</w:t>
      </w:r>
    </w:p>
    <w:p>
      <w:pPr>
        <w:pStyle w:val="yDefstart"/>
      </w:pPr>
      <w:r>
        <w:tab/>
      </w:r>
      <w:r>
        <w:rPr>
          <w:rStyle w:val="CharDefText"/>
        </w:rPr>
        <w:t>relevant Commonwealth award</w:t>
      </w:r>
      <w:r>
        <w:t xml:space="preserve">, with respect to an injury, means the award under the </w:t>
      </w:r>
      <w:r>
        <w:rPr>
          <w:i/>
        </w:rPr>
        <w:t>Fair Work Act 2009</w:t>
      </w:r>
      <w:r>
        <w:t xml:space="preserve"> (Commonwealth) or another Commonwealth Act that, on the day the injury occurred, operated to prescribe the earnings of stable foremen.</w:t>
      </w:r>
    </w:p>
    <w:p>
      <w:pPr>
        <w:pStyle w:val="ySubsection"/>
      </w:pPr>
      <w:r>
        <w:tab/>
        <w:t>(2)</w:t>
      </w:r>
      <w:r>
        <w:tab/>
        <w:t xml:space="preserve">With respect to injuries occurring before the day on which the </w:t>
      </w:r>
      <w:r>
        <w:rPr>
          <w:i/>
        </w:rPr>
        <w:t xml:space="preserve">Workers’ Compensation and Injury Management Amendment (Jockeys) Act 2012 </w:t>
      </w:r>
      <w:r>
        <w:t>section 4 comes into operation, the weekly earnings of a jockey are taken to be an amount equal to the weekly rate of wages, including special allowances, prescribed for stable foremen under the relevant Commonwealth award.</w:t>
      </w:r>
    </w:p>
    <w:p>
      <w:pPr>
        <w:pStyle w:val="yFootnotesection"/>
        <w:spacing w:before="100"/>
      </w:pPr>
      <w:r>
        <w:tab/>
        <w:t>[Clause 16A in</w:t>
      </w:r>
      <w:r>
        <w:rPr>
          <w:snapToGrid/>
        </w:rPr>
        <w:t>s</w:t>
      </w:r>
      <w:r>
        <w:t>erted: No. 45 of 2012 s. 6.]</w:t>
      </w:r>
    </w:p>
    <w:p>
      <w:pPr>
        <w:pStyle w:val="yHeading5"/>
        <w:rPr>
          <w:snapToGrid w:val="0"/>
        </w:rPr>
      </w:pPr>
      <w:bookmarkStart w:id="1046" w:name="_Toc131514793"/>
      <w:r>
        <w:rPr>
          <w:rStyle w:val="CharSClsNo"/>
        </w:rPr>
        <w:t>16</w:t>
      </w:r>
      <w:r>
        <w:rPr>
          <w:snapToGrid w:val="0"/>
        </w:rPr>
        <w:t>.</w:t>
      </w:r>
      <w:r>
        <w:rPr>
          <w:snapToGrid w:val="0"/>
        </w:rPr>
        <w:tab/>
        <w:t>Varying weekly payments</w:t>
      </w:r>
      <w:bookmarkEnd w:id="1046"/>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w:t>
      </w:r>
      <w:r>
        <w:t xml:space="preserve">any percentage increase in minimum wages resulting from — </w:t>
      </w:r>
    </w:p>
    <w:p>
      <w:pPr>
        <w:pStyle w:val="yIndenta"/>
      </w:pPr>
      <w:r>
        <w:tab/>
        <w:t>(a)</w:t>
      </w:r>
      <w:r>
        <w:tab/>
        <w:t xml:space="preserve">a national minimum wage order made under the </w:t>
      </w:r>
      <w:r>
        <w:rPr>
          <w:i/>
          <w:iCs/>
        </w:rPr>
        <w:t xml:space="preserve">Fair Work Act 2009 </w:t>
      </w:r>
      <w:r>
        <w:t>(Commonwealth); or</w:t>
      </w:r>
    </w:p>
    <w:p>
      <w:pPr>
        <w:pStyle w:val="yIndenta"/>
        <w:rPr>
          <w:snapToGrid w:val="0"/>
        </w:rPr>
      </w:pPr>
      <w:r>
        <w:tab/>
        <w:t>(b)</w:t>
      </w:r>
      <w:r>
        <w:tab/>
        <w:t>any other instrument determining or regulating minimum wages prescribed by the regulations in place of national minimum wage orders.</w:t>
      </w:r>
    </w:p>
    <w:p>
      <w:pPr>
        <w:pStyle w:val="yFootnotesection"/>
      </w:pPr>
      <w:r>
        <w:tab/>
        <w:t>[Clause 16 in</w:t>
      </w:r>
      <w:r>
        <w:rPr>
          <w:snapToGrid/>
        </w:rPr>
        <w:t>s</w:t>
      </w:r>
      <w:r>
        <w:t>erted: No. 44 of 1985 s. 41; amended: No. 34 of 1999 s. 32(18) and (19); No. 42 of 2004 s. 147; No. 31 of 2011 s. 123(8).]</w:t>
      </w:r>
    </w:p>
    <w:p>
      <w:pPr>
        <w:pStyle w:val="yHeading5"/>
        <w:rPr>
          <w:snapToGrid w:val="0"/>
        </w:rPr>
      </w:pPr>
      <w:bookmarkStart w:id="1047" w:name="_Toc131514794"/>
      <w:r>
        <w:rPr>
          <w:rStyle w:val="CharSClsNo"/>
        </w:rPr>
        <w:lastRenderedPageBreak/>
        <w:t>17</w:t>
      </w:r>
      <w:r>
        <w:rPr>
          <w:snapToGrid w:val="0"/>
        </w:rPr>
        <w:t>.</w:t>
      </w:r>
      <w:r>
        <w:rPr>
          <w:snapToGrid w:val="0"/>
        </w:rPr>
        <w:tab/>
        <w:t>Medical and other expenses</w:t>
      </w:r>
      <w:bookmarkEnd w:id="1047"/>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 and</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 and</w:t>
      </w:r>
    </w:p>
    <w:p>
      <w:pPr>
        <w:pStyle w:val="yIndenta"/>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 and</w:t>
      </w:r>
    </w:p>
    <w:p>
      <w:pPr>
        <w:pStyle w:val="yEdnotepara"/>
      </w:pPr>
      <w:r>
        <w:tab/>
        <w:t>[(2)</w:t>
      </w:r>
      <w:r>
        <w:tab/>
        <w:t>deleted]</w:t>
      </w:r>
    </w:p>
    <w:p>
      <w:pPr>
        <w:pStyle w:val="yIndenta"/>
        <w:rPr>
          <w:snapToGrid w:val="0"/>
        </w:rPr>
      </w:pPr>
      <w:r>
        <w:rPr>
          <w:snapToGrid w:val="0"/>
        </w:rPr>
        <w:lastRenderedPageBreak/>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 and</w:t>
      </w:r>
    </w:p>
    <w:p>
      <w:pPr>
        <w:pStyle w:val="yIndenta"/>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 and</w:t>
      </w:r>
    </w:p>
    <w:p>
      <w:pPr>
        <w:pStyle w:val="yIndenta"/>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pPr>
      <w:r>
        <w:tab/>
        <w:t>[Clause 17 amended: No. 44 of 1985 s. 41(1)(c); No. 85 of 1986 s. 12(1)(b); No. 96 of 1990 s. 48(1)(b) and (c); No. 34 of 1999 s. 53(a); No. 42 of 2004 s. 141(15), 146 and 147; No. 8 of 2018 s. 10(3).]</w:t>
      </w:r>
    </w:p>
    <w:p>
      <w:pPr>
        <w:pStyle w:val="yHeading5"/>
        <w:rPr>
          <w:snapToGrid w:val="0"/>
        </w:rPr>
      </w:pPr>
      <w:bookmarkStart w:id="1048" w:name="_Toc131514795"/>
      <w:r>
        <w:rPr>
          <w:rStyle w:val="CharSClsNo"/>
        </w:rPr>
        <w:t>18</w:t>
      </w:r>
      <w:r>
        <w:rPr>
          <w:snapToGrid w:val="0"/>
        </w:rPr>
        <w:t>.</w:t>
      </w:r>
      <w:r>
        <w:rPr>
          <w:snapToGrid w:val="0"/>
        </w:rPr>
        <w:tab/>
        <w:t>Hospital charges, amount of</w:t>
      </w:r>
      <w:bookmarkEnd w:id="1048"/>
    </w:p>
    <w:p>
      <w:pPr>
        <w:pStyle w:val="ySubsection"/>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zCs w:val="22"/>
        </w:rPr>
        <w:t xml:space="preserve">Health Services Act 2016 </w:t>
      </w:r>
      <w:r>
        <w:rPr>
          <w:snapToGrid w:val="0"/>
        </w:rPr>
        <w:t>in relation to such cases.</w:t>
      </w:r>
    </w:p>
    <w:p>
      <w:pPr>
        <w:pStyle w:val="ySubsection"/>
        <w:rPr>
          <w:snapToGrid w:val="0"/>
        </w:rPr>
      </w:pPr>
      <w:r>
        <w:rPr>
          <w:snapToGrid w:val="0"/>
        </w:rPr>
        <w:tab/>
        <w:t>(2)</w:t>
      </w:r>
      <w:r>
        <w:rPr>
          <w:snapToGrid w:val="0"/>
        </w:rPr>
        <w:tab/>
        <w:t xml:space="preserve">Where, on the reasonable medical advice in the interests of the health of the worker or where by reason of the unavailability of hospital </w:t>
      </w:r>
      <w:r>
        <w:rPr>
          <w:snapToGrid w:val="0"/>
        </w:rPr>
        <w:lastRenderedPageBreak/>
        <w:t xml:space="preserve">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pPr>
      <w:r>
        <w:tab/>
        <w:t>[Clause 18 amended: No. 48 of 1993 s. 28(1); No. 103 of 1994 s. 18; No. 42 of 2004 s. 149; No. 11 of 2016 s. 306.]</w:t>
      </w:r>
    </w:p>
    <w:p>
      <w:pPr>
        <w:pStyle w:val="yHeading5"/>
        <w:rPr>
          <w:snapToGrid w:val="0"/>
        </w:rPr>
      </w:pPr>
      <w:bookmarkStart w:id="1049" w:name="_Toc131514796"/>
      <w:r>
        <w:rPr>
          <w:rStyle w:val="CharSClsNo"/>
        </w:rPr>
        <w:t>18A</w:t>
      </w:r>
      <w:r>
        <w:rPr>
          <w:snapToGrid w:val="0"/>
        </w:rPr>
        <w:t>.</w:t>
      </w:r>
      <w:r>
        <w:rPr>
          <w:snapToGrid w:val="0"/>
        </w:rPr>
        <w:tab/>
        <w:t>Expenses exceeding those provided by cl. 17(1)</w:t>
      </w:r>
      <w:bookmarkEnd w:id="1049"/>
    </w:p>
    <w:p>
      <w:pPr>
        <w:pStyle w:val="ySubsection"/>
      </w:pPr>
      <w:r>
        <w:tab/>
        <w:t>(1AA)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(2),</w:t>
      </w:r>
      <w:r>
        <w:rPr>
          <w:snapToGrid w:val="0"/>
        </w:rPr>
        <w:t xml:space="preserve">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 (2),</w:t>
      </w:r>
      <w:r>
        <w:rPr>
          <w:snapToGrid w:val="0"/>
        </w:rPr>
        <w:t xml:space="preserve">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pPr>
      <w:r>
        <w:tab/>
        <w:t>(1b)</w:t>
      </w:r>
      <w:r>
        <w:tab/>
        <w:t>Where —</w:t>
      </w:r>
    </w:p>
    <w:p>
      <w:pPr>
        <w:pStyle w:val="yIndenta"/>
        <w:spacing w:before="60"/>
      </w:pPr>
      <w:r>
        <w:tab/>
        <w:t>(a)</w:t>
      </w:r>
      <w:r>
        <w:tab/>
        <w:t>a worker has incurred reasonable expenses referred to in clause 17(1) in excess of the maximum amount provided for by that subclause; and</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lastRenderedPageBreak/>
        <w:tab/>
      </w:r>
      <w:r>
        <w:tab/>
        <w:t>an arbitrator may, subject to subclauses (1C) and (2aa), allow such further additional sum or sums as the arbitrator thinks proper in the circumstances.</w:t>
      </w:r>
    </w:p>
    <w:p>
      <w:pPr>
        <w:pStyle w:val="ySubsection"/>
      </w:pPr>
      <w:r>
        <w:tab/>
        <w:t>(1CA)</w:t>
      </w:r>
      <w:r>
        <w:tab/>
        <w:t xml:space="preserve">In the exercise of a discretion under subclause (1) or (1a), an arbitrator is not to allow an additional sum which exceeds, or additional sums which in aggregate exceed — </w:t>
      </w:r>
    </w:p>
    <w:p>
      <w:pPr>
        <w:pStyle w:val="yIndenta"/>
      </w:pPr>
      <w:r>
        <w:tab/>
        <w:t>(a)</w:t>
      </w:r>
      <w:r>
        <w:tab/>
        <w:t>$50 000;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pPr>
      <w:r>
        <w:tab/>
        <w:t>(1C)</w:t>
      </w:r>
      <w:r>
        <w:tab/>
        <w:t xml:space="preserve">In the exercise of a discretion under subclause (1b), an arbitrator is not to allow a further additional sum which exceeds, or further additional sums which in aggregate exceed — </w:t>
      </w:r>
    </w:p>
    <w:p>
      <w:pPr>
        <w:pStyle w:val="yIndenta"/>
      </w:pPr>
      <w:r>
        <w:tab/>
        <w:t>(a)</w:t>
      </w:r>
      <w:r>
        <w:tab/>
        <w:t>the prescribed amount;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keepNext/>
        <w:keepLines/>
      </w:pPr>
      <w:r>
        <w:tab/>
        <w:t>(1d)</w:t>
      </w:r>
      <w:r>
        <w:tab/>
        <w:t>In subclause (1C) —</w:t>
      </w:r>
    </w:p>
    <w:p>
      <w:pPr>
        <w:pStyle w:val="yDefstart"/>
      </w:pPr>
      <w:r>
        <w:tab/>
      </w:r>
      <w:r>
        <w:rPr>
          <w:rStyle w:val="CharDefText"/>
        </w:rPr>
        <w:t>prescribed amount</w:t>
      </w:r>
      <w:r>
        <w:t xml:space="preserve"> means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keepNext/>
      </w:pPr>
      <w:r>
        <w:tab/>
        <w:t>(2aa)</w:t>
      </w:r>
      <w:r>
        <w:tab/>
        <w:t>An arbitrator is not to allow a further additional sum in the exercise of a discretion under subclause (1b) unless —</w:t>
      </w:r>
    </w:p>
    <w:p>
      <w:pPr>
        <w:pStyle w:val="yIndenta"/>
      </w:pPr>
      <w:r>
        <w:tab/>
        <w:t>(a)</w:t>
      </w:r>
      <w:r>
        <w:tab/>
        <w:t xml:space="preserve">the worker and the worker’s employer agree that the worker’s degree of permanent whole of person impairment, as defined in clause 18C(3), is not less than 15%, or the worker has a certificate of an approved medical specialist given under </w:t>
      </w:r>
      <w:r>
        <w:lastRenderedPageBreak/>
        <w:t>section 146H indicating the worker has a degree of permanent whole of person impairment, as defined in clause 18C(3), of not less than 15%; and</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the arbitrator determines that —</w:t>
      </w:r>
    </w:p>
    <w:p>
      <w:pPr>
        <w:pStyle w:val="yIndenti0"/>
      </w:pPr>
      <w:r>
        <w:tab/>
        <w:t>(i)</w:t>
      </w:r>
      <w:r>
        <w:tab/>
        <w:t>such a sum ought to be allowed, having regard to the social and financial circumstances and the reasonable financial needs of the worker; and</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 xml:space="preserve">An application under subclause (1a) may be made at any time after the reasonable expenses referred to in clause 17(1) incurred by the </w:t>
      </w:r>
      <w:r>
        <w:rPr>
          <w:snapToGrid w:val="0"/>
        </w:rPr>
        <w:lastRenderedPageBreak/>
        <w:t>worker exceed 60% of the maximum amount provided for by that subclause.</w:t>
      </w:r>
    </w:p>
    <w:p>
      <w:pPr>
        <w:pStyle w:val="ySubsection"/>
        <w:keepNext/>
      </w:pPr>
      <w:r>
        <w:tab/>
        <w:t>(3)</w:t>
      </w:r>
      <w:r>
        <w:tab/>
        <w:t>An application under subclause (1b) —</w:t>
      </w:r>
    </w:p>
    <w:p>
      <w:pPr>
        <w:pStyle w:val="yIndenta"/>
        <w:keepNext/>
        <w:spacing w:before="70"/>
      </w:pPr>
      <w:r>
        <w:tab/>
        <w:t>(a)</w:t>
      </w:r>
      <w:r>
        <w:tab/>
        <w:t>may be made at any time after —</w:t>
      </w:r>
    </w:p>
    <w:p>
      <w:pPr>
        <w:pStyle w:val="yIndenti0"/>
        <w:spacing w:before="70"/>
      </w:pPr>
      <w:r>
        <w:tab/>
        <w:t>(i)</w:t>
      </w:r>
      <w:r>
        <w:tab/>
        <w:t>an additional sum has been allowed to the worker under subclause (1) or (1a); and</w:t>
      </w:r>
    </w:p>
    <w:p>
      <w:pPr>
        <w:pStyle w:val="yIndenti0"/>
        <w:spacing w:before="70"/>
      </w:pPr>
      <w:r>
        <w:tab/>
        <w:t>(ii)</w:t>
      </w:r>
      <w:r>
        <w:tab/>
        <w:t>that additional sum allowed exceeds, in whole or in aggregate, $30 000, less any sum or sums in excess of the maximum amount provided by clause 17(1) that the insurer or employer has voluntarily paid in respect of reasonable expenses referred to in that clause;</w:t>
      </w:r>
    </w:p>
    <w:p>
      <w:pPr>
        <w:pStyle w:val="yIndenta"/>
        <w:spacing w:before="70"/>
      </w:pPr>
      <w:r>
        <w:tab/>
      </w:r>
      <w:r>
        <w:tab/>
        <w:t>but</w:t>
      </w:r>
    </w:p>
    <w:p>
      <w:pPr>
        <w:pStyle w:val="yIndenta"/>
        <w:spacing w:before="70"/>
      </w:pPr>
      <w:r>
        <w:tab/>
        <w:t>(b)</w:t>
      </w:r>
      <w:r>
        <w:tab/>
        <w:t>may not be made after the final day within the meaning of clause 18B.</w:t>
      </w:r>
    </w:p>
    <w:p>
      <w:pPr>
        <w:pStyle w:val="ySubsection"/>
      </w:pPr>
      <w:r>
        <w:tab/>
        <w:t>(4)</w:t>
      </w:r>
      <w:r>
        <w:tab/>
        <w:t>The insurer of the employer, if the employer is insured in accordance with this Act, or otherwise the employer, is to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 less any sum or sums in excess of the maximum amount provided by clause 17(1) that the insurer or employer has voluntarily paid in respect of reasonable expenses referred to in that clause.</w:t>
      </w:r>
    </w:p>
    <w:p>
      <w:pPr>
        <w:pStyle w:val="yPenstart"/>
      </w:pPr>
      <w:r>
        <w:tab/>
        <w:t>Penalty: $1 000.</w:t>
      </w:r>
    </w:p>
    <w:p>
      <w:pPr>
        <w:pStyle w:val="yFootnotesection"/>
      </w:pPr>
      <w:r>
        <w:tab/>
        <w:t>[Clause 18A inserted: No. 85 of 1986 s. 12(1)(c); amended: No. 96 of 1990 s. 48(1)(d); No. 72 of 1992 s. 23; No. 48 of 1993 s. 28(1); No. 42 of 2004 s. 141(16)</w:t>
      </w:r>
      <w:r>
        <w:noBreakHyphen/>
        <w:t>(23) and 149; No. 31 of 2011 s. 123(9)</w:t>
      </w:r>
      <w:r>
        <w:noBreakHyphen/>
        <w:t>(16).]</w:t>
      </w:r>
    </w:p>
    <w:p>
      <w:pPr>
        <w:pStyle w:val="yHeading5"/>
      </w:pPr>
      <w:bookmarkStart w:id="1050" w:name="_Toc131514797"/>
      <w:r>
        <w:rPr>
          <w:rStyle w:val="CharSClsNo"/>
        </w:rPr>
        <w:t>18B</w:t>
      </w:r>
      <w:r>
        <w:t>.</w:t>
      </w:r>
      <w:r>
        <w:tab/>
        <w:t>Final day for cl. 18A(1b) application</w:t>
      </w:r>
      <w:bookmarkEnd w:id="1050"/>
    </w:p>
    <w:p>
      <w:pPr>
        <w:pStyle w:val="ySubsection"/>
      </w:pPr>
      <w:r>
        <w:tab/>
        <w:t>(1)</w:t>
      </w:r>
      <w:r>
        <w:tab/>
        <w:t xml:space="preserve">If a claim for compensation by way of weekly payments has been made in accordance with section 178(1)(b) with respect to an injury of a worker, the final day for making an application by that worker under </w:t>
      </w:r>
      <w:r>
        <w:lastRenderedPageBreak/>
        <w:t>clause 18A(1b) is the last day of the period of 5 years after the day on which the claim for compensation is made unless a later day is fixed under subclause (2) or (3).</w:t>
      </w:r>
    </w:p>
    <w:p>
      <w:pPr>
        <w:pStyle w:val="ySubsection"/>
        <w:keepNext/>
        <w:keepLines/>
      </w:pPr>
      <w:r>
        <w:tab/>
        <w:t>(2)</w:t>
      </w:r>
      <w:r>
        <w:tab/>
        <w:t>If, after the expiry of the period of 3 months after the day on which the claim is made —</w:t>
      </w:r>
    </w:p>
    <w:p>
      <w:pPr>
        <w:pStyle w:val="yIndenta"/>
      </w:pPr>
      <w:r>
        <w:tab/>
        <w:t>(a)</w:t>
      </w:r>
      <w:r>
        <w:tab/>
        <w:t>an arbitrator, acting under section 58(1) or (2), determines the question of liability to make the weekly payments claimed; or</w:t>
      </w:r>
    </w:p>
    <w:p>
      <w:pPr>
        <w:pStyle w:val="yIndenta"/>
        <w:keepNext/>
      </w:pPr>
      <w:r>
        <w:tab/>
        <w:t>(b)</w:t>
      </w:r>
      <w:r>
        <w:tab/>
        <w:t>the worker is first notified that liability is accepted in respect of the weekly payments claimed,</w:t>
      </w:r>
    </w:p>
    <w:p>
      <w:pPr>
        <w:pStyle w:val="ySubsection"/>
        <w:spacing w:before="100"/>
      </w:pPr>
      <w:r>
        <w:tab/>
      </w:r>
      <w:r>
        <w:tab/>
        <w:t>the final day is the last day of the period 4 years and 9 months after the day of the act described in paragraph (a) or (b) that was most recently done unless a later day is fixed under subclause (3).</w:t>
      </w:r>
    </w:p>
    <w:p>
      <w:pPr>
        <w:pStyle w:val="ySubsection"/>
        <w:spacing w:before="120"/>
      </w:pPr>
      <w:r>
        <w:tab/>
        <w:t>(3)</w:t>
      </w:r>
      <w:r>
        <w:tab/>
        <w:t>The Director may, in accordance with the regulations, from time to time extend the final day, but only if the Director is satisfied that —</w:t>
      </w:r>
    </w:p>
    <w:p>
      <w:pPr>
        <w:pStyle w:val="yIndenta"/>
        <w:spacing w:before="60"/>
      </w:pPr>
      <w:r>
        <w:tab/>
        <w:t>(a)</w:t>
      </w:r>
      <w:r>
        <w:tab/>
        <w:t xml:space="preserve">in the case of a worker whose final day, as determined under subclause (1) or (2), is within 8 weeks after the coming into operation of section 141(22) of the </w:t>
      </w:r>
      <w:r>
        <w:rPr>
          <w:i/>
        </w:rPr>
        <w:t>Workers’ Compensation Reform Act 2004</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spacing w:before="60"/>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spacing w:before="120"/>
      </w:pPr>
      <w:r>
        <w:tab/>
        <w:t>(4)</w:t>
      </w:r>
      <w:r>
        <w:tab/>
        <w:t>An extension under subclause (3) is to be to a day that is not more than one year after the day that would have been the final day had there been no extension under that subclause.</w:t>
      </w:r>
    </w:p>
    <w:p>
      <w:pPr>
        <w:pStyle w:val="ySubsection"/>
        <w:spacing w:before="120"/>
      </w:pPr>
      <w:r>
        <w:tab/>
        <w:t>(5)</w:t>
      </w:r>
      <w:r>
        <w:tab/>
        <w:t>An extension is to be in writing and the Director is required to give the worker and employer each a copy of the extension.</w:t>
      </w:r>
    </w:p>
    <w:p>
      <w:pPr>
        <w:pStyle w:val="ySubsection"/>
        <w:spacing w:before="120"/>
      </w:pPr>
      <w:r>
        <w:tab/>
        <w:t>(6)</w:t>
      </w:r>
      <w:r>
        <w:tab/>
        <w:t>An extension may be given even though the final day has passed.</w:t>
      </w:r>
    </w:p>
    <w:p>
      <w:pPr>
        <w:pStyle w:val="yFootnotesection"/>
      </w:pPr>
      <w:r>
        <w:lastRenderedPageBreak/>
        <w:tab/>
        <w:t>[Clause 18B inserted: No. 42 of 2004 s. 141(24).]</w:t>
      </w:r>
    </w:p>
    <w:p>
      <w:pPr>
        <w:pStyle w:val="yHeading5"/>
      </w:pPr>
      <w:bookmarkStart w:id="1051" w:name="_Toc131514798"/>
      <w:r>
        <w:rPr>
          <w:rStyle w:val="CharSClsNo"/>
        </w:rPr>
        <w:t>18C</w:t>
      </w:r>
      <w:r>
        <w:t>.</w:t>
      </w:r>
      <w:r>
        <w:tab/>
        <w:t>Degree of permanent whole of person impairment, dispute as to</w:t>
      </w:r>
      <w:bookmarkEnd w:id="1051"/>
    </w:p>
    <w:p>
      <w:pPr>
        <w:pStyle w:val="ySubsection"/>
        <w:spacing w:before="120"/>
      </w:pPr>
      <w:r>
        <w:tab/>
        <w:t>(1)</w:t>
      </w:r>
      <w:r>
        <w:tab/>
        <w:t>In the exercise of a discretion under clause 18A(1b), for the purposes of clause 18A(2aa)(b) an arbitrator may —</w:t>
      </w:r>
    </w:p>
    <w:p>
      <w:pPr>
        <w:pStyle w:val="yIndenta"/>
        <w:spacing w:before="60"/>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spacing w:before="140"/>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spacing w:before="140"/>
      </w:pPr>
      <w:r>
        <w:tab/>
        <w:t>(3)</w:t>
      </w:r>
      <w:r>
        <w:tab/>
        <w:t>In this clause, and in clauses 18A and 18B —</w:t>
      </w:r>
    </w:p>
    <w:p>
      <w:pPr>
        <w:pStyle w:val="yDefstart"/>
      </w:pPr>
      <w:r>
        <w:tab/>
      </w:r>
      <w:r>
        <w:rPr>
          <w:rStyle w:val="CharDefText"/>
        </w:rPr>
        <w:t>degree of permanent whole of person impairment</w:t>
      </w:r>
      <w:r>
        <w:t xml:space="preserve"> means the degree of permanent whole of person impairment, evaluated as described in sections 146A and 146E, resulting from the injury or injuries arising from a single event, as defined in subsection (4).</w:t>
      </w:r>
    </w:p>
    <w:p>
      <w:pPr>
        <w:pStyle w:val="ySubsection"/>
        <w:spacing w:before="140"/>
      </w:pPr>
      <w:r>
        <w:tab/>
        <w:t>(4)</w:t>
      </w:r>
      <w:r>
        <w:tab/>
        <w:t xml:space="preserve">In the definition of </w:t>
      </w:r>
      <w:r>
        <w:rPr>
          <w:b/>
          <w:bCs/>
          <w:i/>
          <w:iCs/>
        </w:rPr>
        <w:t xml:space="preserve">degree of permanent whole of person impairment </w:t>
      </w:r>
      <w:r>
        <w:t>in subclause (3) —</w:t>
      </w:r>
    </w:p>
    <w:p>
      <w:pPr>
        <w:pStyle w:val="yDefstart"/>
      </w:pPr>
      <w: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spacing w:before="100"/>
      </w:pPr>
      <w:r>
        <w:tab/>
        <w:t>[Clause 18C inserted: No. 42 of 2004 s. 141(24).]</w:t>
      </w:r>
    </w:p>
    <w:p>
      <w:pPr>
        <w:pStyle w:val="yHeading5"/>
      </w:pPr>
      <w:bookmarkStart w:id="1052" w:name="_Toc131514799"/>
      <w:r>
        <w:rPr>
          <w:rStyle w:val="CharSClsNo"/>
        </w:rPr>
        <w:t>18D</w:t>
      </w:r>
      <w:r>
        <w:t>.</w:t>
      </w:r>
      <w:r>
        <w:tab/>
        <w:t>Interim payment of expenses exceeding those provided by cl. 17(1)</w:t>
      </w:r>
      <w:bookmarkEnd w:id="1052"/>
    </w:p>
    <w:p>
      <w:pPr>
        <w:pStyle w:val="ySubsection"/>
        <w:spacing w:before="140"/>
      </w:pPr>
      <w:r>
        <w:tab/>
        <w:t>(1A)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keepNext/>
        <w:spacing w:before="140"/>
      </w:pPr>
      <w:r>
        <w:lastRenderedPageBreak/>
        <w:tab/>
        <w:t>(1)</w:t>
      </w:r>
      <w:r>
        <w:tab/>
        <w:t>If —</w:t>
      </w:r>
    </w:p>
    <w:p>
      <w:pPr>
        <w:pStyle w:val="yIndenta"/>
        <w:spacing w:before="60"/>
      </w:pPr>
      <w:r>
        <w:tab/>
        <w:t>(a)</w:t>
      </w:r>
      <w:r>
        <w:tab/>
        <w:t>the worker has incurred or is likely to incur reasonable expenses referred to in clause 17(1) in excess of the maximum amount provided for by that subclause; and</w:t>
      </w:r>
    </w:p>
    <w:p>
      <w:pPr>
        <w:pStyle w:val="yIndenta"/>
        <w:spacing w:before="60"/>
      </w:pPr>
      <w:r>
        <w:tab/>
        <w:t>(b)</w:t>
      </w:r>
      <w:r>
        <w:tab/>
        <w:t>an application is made under clause 18A(1) or (1a) for an additional sum in respect of those expenses,</w:t>
      </w:r>
    </w:p>
    <w:p>
      <w:pPr>
        <w:pStyle w:val="ySubsection"/>
        <w:spacing w:before="120"/>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No. 42 of 2004 s. 141(25); amended: No. 31 of 2011 s. 123(17).]</w:t>
      </w:r>
    </w:p>
    <w:p>
      <w:pPr>
        <w:pStyle w:val="yHeading5"/>
        <w:rPr>
          <w:snapToGrid w:val="0"/>
        </w:rPr>
      </w:pPr>
      <w:bookmarkStart w:id="1053" w:name="_Toc131514800"/>
      <w:r>
        <w:rPr>
          <w:rStyle w:val="CharSClsNo"/>
        </w:rPr>
        <w:t>19</w:t>
      </w:r>
      <w:r>
        <w:rPr>
          <w:snapToGrid w:val="0"/>
        </w:rPr>
        <w:t>.</w:t>
      </w:r>
      <w:r>
        <w:rPr>
          <w:snapToGrid w:val="0"/>
        </w:rPr>
        <w:tab/>
        <w:t>Travelling expenses</w:t>
      </w:r>
      <w:bookmarkEnd w:id="1053"/>
    </w:p>
    <w:p>
      <w:pPr>
        <w:pStyle w:val="ySubsection"/>
        <w:rPr>
          <w:snapToGrid w:val="0"/>
        </w:rPr>
      </w:pPr>
      <w:r>
        <w:rPr>
          <w:snapToGrid w:val="0"/>
        </w:rPr>
        <w:tab/>
        <w:t>(1)</w:t>
      </w:r>
      <w:r>
        <w:rPr>
          <w:snapToGrid w:val="0"/>
        </w:rPr>
        <w:tab/>
        <w:t xml:space="preserve">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w:t>
      </w:r>
      <w:r>
        <w:rPr>
          <w:snapToGrid w:val="0"/>
          <w:szCs w:val="22"/>
        </w:rPr>
        <w:t>treatment,</w:t>
      </w:r>
      <w:r>
        <w:rPr>
          <w:szCs w:val="22"/>
        </w:rPr>
        <w:t xml:space="preserve"> attendance,</w:t>
      </w:r>
      <w:r>
        <w:rPr>
          <w:snapToGrid w:val="0"/>
        </w:rPr>
        <w:t xml:space="preserv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pPr>
      <w:r>
        <w:lastRenderedPageBreak/>
        <w:tab/>
        <w:t>(3A)</w:t>
      </w:r>
      <w:r>
        <w:tab/>
        <w:t xml:space="preserve">In any case where a worker travels for the worker’s degree of impairment to be assessed by an approved medical specialist or an approved medical specialist panel, the employer is liable to pay the worker’s vehicle running expenses, reasonable fares and expenses and reasonable cost of meals and lodging — </w:t>
      </w:r>
    </w:p>
    <w:p>
      <w:pPr>
        <w:pStyle w:val="yIndenta"/>
      </w:pPr>
      <w:r>
        <w:tab/>
        <w:t>(a)</w:t>
      </w:r>
      <w:r>
        <w:tab/>
        <w:t>as if subclause (1), with any necessary modifications, applied to the travelling; and</w:t>
      </w:r>
    </w:p>
    <w:p>
      <w:pPr>
        <w:pStyle w:val="yIndenta"/>
      </w:pPr>
      <w:r>
        <w:tab/>
        <w:t>(b)</w:t>
      </w:r>
      <w:r>
        <w:tab/>
        <w:t>if the worker proves that the travelling was necessary in the circumstances of the case.</w:t>
      </w:r>
    </w:p>
    <w:p>
      <w:pPr>
        <w:pStyle w:val="ySubsection"/>
        <w:rPr>
          <w:snapToGrid w:val="0"/>
        </w:rPr>
      </w:pPr>
      <w:r>
        <w:rPr>
          <w:snapToGrid w:val="0"/>
        </w:rPr>
        <w:tab/>
        <w:t>(3)</w:t>
      </w:r>
      <w:r>
        <w:rPr>
          <w:snapToGrid w:val="0"/>
        </w:rPr>
        <w:tab/>
        <w:t xml:space="preserve">The amounts to cover the cost of meals and lodging shall not be payable to any worker who has no </w:t>
      </w:r>
      <w:r>
        <w:t>person mentioned in Schedule 1A clause 2 who is dependent on the earnings of the worker, unless the</w:t>
      </w:r>
      <w:r>
        <w:rPr>
          <w:snapToGrid w:val="0"/>
        </w:rPr>
        <w:t xml:space="preserve"> worker has incurred costs for meals and lodging in excess of that which he would have incurred had he remained at his home, and then only to the amount of that excess.</w:t>
      </w:r>
    </w:p>
    <w:p>
      <w:pPr>
        <w:pStyle w:val="yFootnotesection"/>
      </w:pPr>
      <w:r>
        <w:tab/>
        <w:t>[Clause 19 amended: No. 34 of 1999 s. 53(d); No. 31 of 2011 s. 123(18); No. 8 of 2018 s. 10(4) and 16.]</w:t>
      </w:r>
    </w:p>
    <w:p>
      <w:pPr>
        <w:pStyle w:val="yScheduleHeading"/>
        <w:outlineLvl w:val="9"/>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yScheduleHeading"/>
      </w:pPr>
      <w:bookmarkStart w:id="1055" w:name="_Toc100238823"/>
      <w:bookmarkStart w:id="1056" w:name="_Toc100239437"/>
      <w:bookmarkStart w:id="1057" w:name="_Toc100562731"/>
      <w:bookmarkStart w:id="1058" w:name="_Toc107310367"/>
      <w:bookmarkStart w:id="1059" w:name="_Toc107480221"/>
      <w:bookmarkStart w:id="1060" w:name="_Toc131501587"/>
      <w:bookmarkStart w:id="1061" w:name="_Toc131502205"/>
      <w:bookmarkStart w:id="1062" w:name="_Toc131514801"/>
      <w:r>
        <w:rPr>
          <w:rStyle w:val="CharSchNo"/>
        </w:rPr>
        <w:lastRenderedPageBreak/>
        <w:t>Schedule 1A</w:t>
      </w:r>
      <w:r>
        <w:t> — </w:t>
      </w:r>
      <w:r>
        <w:rPr>
          <w:rStyle w:val="CharSchText"/>
        </w:rPr>
        <w:t>Compensation entitlements when worker has died</w:t>
      </w:r>
      <w:bookmarkEnd w:id="1055"/>
      <w:bookmarkEnd w:id="1056"/>
      <w:bookmarkEnd w:id="1057"/>
      <w:bookmarkEnd w:id="1058"/>
      <w:bookmarkEnd w:id="1059"/>
      <w:bookmarkEnd w:id="1060"/>
      <w:bookmarkEnd w:id="1061"/>
      <w:bookmarkEnd w:id="1062"/>
    </w:p>
    <w:p>
      <w:pPr>
        <w:pStyle w:val="yShoulderClause"/>
      </w:pPr>
      <w:r>
        <w:t>[s. 18(2)]</w:t>
      </w:r>
    </w:p>
    <w:p>
      <w:pPr>
        <w:pStyle w:val="yFootnoteheading"/>
      </w:pPr>
      <w:r>
        <w:tab/>
        <w:t>[Heading inserted: No. 8 of 2018 s. 11.]</w:t>
      </w:r>
    </w:p>
    <w:p>
      <w:pPr>
        <w:pStyle w:val="yHeading3"/>
      </w:pPr>
      <w:bookmarkStart w:id="1063" w:name="_Toc100238824"/>
      <w:bookmarkStart w:id="1064" w:name="_Toc100239438"/>
      <w:bookmarkStart w:id="1065" w:name="_Toc100562732"/>
      <w:bookmarkStart w:id="1066" w:name="_Toc107310368"/>
      <w:bookmarkStart w:id="1067" w:name="_Toc107480222"/>
      <w:bookmarkStart w:id="1068" w:name="_Toc131501588"/>
      <w:bookmarkStart w:id="1069" w:name="_Toc131502206"/>
      <w:bookmarkStart w:id="1070" w:name="_Toc131514802"/>
      <w:r>
        <w:rPr>
          <w:rStyle w:val="CharSDivNo"/>
        </w:rPr>
        <w:t>Division 1</w:t>
      </w:r>
      <w:r>
        <w:t> — </w:t>
      </w:r>
      <w:r>
        <w:rPr>
          <w:rStyle w:val="CharSDivText"/>
        </w:rPr>
        <w:t>Application and terms used</w:t>
      </w:r>
      <w:bookmarkEnd w:id="1063"/>
      <w:bookmarkEnd w:id="1064"/>
      <w:bookmarkEnd w:id="1065"/>
      <w:bookmarkEnd w:id="1066"/>
      <w:bookmarkEnd w:id="1067"/>
      <w:bookmarkEnd w:id="1068"/>
      <w:bookmarkEnd w:id="1069"/>
      <w:bookmarkEnd w:id="1070"/>
    </w:p>
    <w:p>
      <w:pPr>
        <w:pStyle w:val="yFootnoteheading"/>
      </w:pPr>
      <w:r>
        <w:tab/>
        <w:t>[Heading inserted: No. 8 of 2018 s. 11.]</w:t>
      </w:r>
    </w:p>
    <w:p>
      <w:pPr>
        <w:pStyle w:val="yHeading5"/>
      </w:pPr>
      <w:bookmarkStart w:id="1071" w:name="_Toc131514803"/>
      <w:r>
        <w:rPr>
          <w:rStyle w:val="CharSClsNo"/>
        </w:rPr>
        <w:t>1</w:t>
      </w:r>
      <w:r>
        <w:t>.</w:t>
      </w:r>
      <w:r>
        <w:tab/>
        <w:t>Application of Schedule</w:t>
      </w:r>
      <w:bookmarkEnd w:id="1071"/>
    </w:p>
    <w:p>
      <w:pPr>
        <w:pStyle w:val="ySubsection"/>
      </w:pPr>
      <w:r>
        <w:tab/>
      </w:r>
      <w:r>
        <w:tab/>
        <w:t xml:space="preserve">This Schedule applies if — </w:t>
      </w:r>
    </w:p>
    <w:p>
      <w:pPr>
        <w:pStyle w:val="yIndenta"/>
      </w:pPr>
      <w:r>
        <w:tab/>
        <w:t>(a)</w:t>
      </w:r>
      <w:r>
        <w:tab/>
        <w:t xml:space="preserve">an </w:t>
      </w:r>
      <w:r>
        <w:rPr>
          <w:rStyle w:val="CharDefText"/>
        </w:rPr>
        <w:t>injury</w:t>
      </w:r>
      <w:r>
        <w:t xml:space="preserve"> of a </w:t>
      </w:r>
      <w:r>
        <w:rPr>
          <w:rStyle w:val="CharDefText"/>
        </w:rPr>
        <w:t>worker</w:t>
      </w:r>
      <w:r>
        <w:t xml:space="preserve"> occurs; and</w:t>
      </w:r>
    </w:p>
    <w:p>
      <w:pPr>
        <w:pStyle w:val="yIndenta"/>
      </w:pPr>
      <w:r>
        <w:tab/>
        <w:t>(b)</w:t>
      </w:r>
      <w:r>
        <w:tab/>
        <w:t xml:space="preserve">the worker dies on or after the day on which the </w:t>
      </w:r>
      <w:r>
        <w:rPr>
          <w:i/>
        </w:rPr>
        <w:t>Workers’ Compensation and Injury Management Amendment Act 2018</w:t>
      </w:r>
      <w:r>
        <w:t xml:space="preserve"> section 6 comes into operation.</w:t>
      </w:r>
    </w:p>
    <w:p>
      <w:pPr>
        <w:pStyle w:val="yFootnotesection"/>
      </w:pPr>
      <w:r>
        <w:tab/>
        <w:t>[Clause 1 inserted: No. 8 of 2018 s. 11.]</w:t>
      </w:r>
    </w:p>
    <w:p>
      <w:pPr>
        <w:pStyle w:val="yHeading5"/>
      </w:pPr>
      <w:bookmarkStart w:id="1072" w:name="_Toc131514804"/>
      <w:r>
        <w:rPr>
          <w:rStyle w:val="CharSClsNo"/>
        </w:rPr>
        <w:t>2</w:t>
      </w:r>
      <w:r>
        <w:t>.</w:t>
      </w:r>
      <w:r>
        <w:tab/>
        <w:t>Partners, children and prescribed family members</w:t>
      </w:r>
      <w:bookmarkEnd w:id="1072"/>
    </w:p>
    <w:p>
      <w:pPr>
        <w:pStyle w:val="ySubsection"/>
      </w:pPr>
      <w:r>
        <w:tab/>
        <w:t>(1)</w:t>
      </w:r>
      <w:r>
        <w:tab/>
        <w:t xml:space="preserve">A person is a </w:t>
      </w:r>
      <w:r>
        <w:rPr>
          <w:rStyle w:val="CharDefText"/>
        </w:rPr>
        <w:t>partner</w:t>
      </w:r>
      <w:r>
        <w:t xml:space="preserve"> if — </w:t>
      </w:r>
    </w:p>
    <w:p>
      <w:pPr>
        <w:pStyle w:val="yIndenta"/>
      </w:pPr>
      <w:r>
        <w:tab/>
        <w:t>(a)</w:t>
      </w:r>
      <w:r>
        <w:tab/>
        <w:t>the worker is the spouse or de facto partner of the person; or</w:t>
      </w:r>
    </w:p>
    <w:p>
      <w:pPr>
        <w:pStyle w:val="yIndenta"/>
      </w:pPr>
      <w:r>
        <w:tab/>
        <w:t>(b)</w:t>
      </w:r>
      <w:r>
        <w:tab/>
        <w:t>the worker has previously been a spouse or de facto partner of the person.</w:t>
      </w:r>
    </w:p>
    <w:p>
      <w:pPr>
        <w:pStyle w:val="ySubsection"/>
      </w:pPr>
      <w:r>
        <w:tab/>
        <w:t>(2)</w:t>
      </w:r>
      <w:r>
        <w:tab/>
        <w:t xml:space="preserve">A person, of any age, is a </w:t>
      </w:r>
      <w:r>
        <w:rPr>
          <w:rStyle w:val="CharDefText"/>
        </w:rPr>
        <w:t>child</w:t>
      </w:r>
      <w:r>
        <w:t xml:space="preserve"> if — </w:t>
      </w:r>
    </w:p>
    <w:p>
      <w:pPr>
        <w:pStyle w:val="yIndenta"/>
      </w:pPr>
      <w:r>
        <w:tab/>
        <w:t>(a)</w:t>
      </w:r>
      <w:r>
        <w:tab/>
        <w:t>the worker is a parent of the person; or</w:t>
      </w:r>
    </w:p>
    <w:p>
      <w:pPr>
        <w:pStyle w:val="yIndenta"/>
      </w:pPr>
      <w:r>
        <w:tab/>
        <w:t>(b)</w:t>
      </w:r>
      <w:r>
        <w:tab/>
        <w:t>the worker is a step</w:t>
      </w:r>
      <w:r>
        <w:noBreakHyphen/>
        <w:t>parent of the person (whether the person was legally adopted by the worker or not),</w:t>
      </w:r>
    </w:p>
    <w:p>
      <w:pPr>
        <w:pStyle w:val="ySubsection"/>
      </w:pPr>
      <w:r>
        <w:tab/>
      </w:r>
      <w:r>
        <w:tab/>
        <w:t xml:space="preserve">and </w:t>
      </w:r>
      <w:r>
        <w:rPr>
          <w:rStyle w:val="CharDefText"/>
        </w:rPr>
        <w:t>children</w:t>
      </w:r>
      <w:r>
        <w:t xml:space="preserve"> has a corresponding meaning.</w:t>
      </w:r>
    </w:p>
    <w:p>
      <w:pPr>
        <w:pStyle w:val="ySubsection"/>
      </w:pPr>
      <w:r>
        <w:tab/>
        <w:t>(3)</w:t>
      </w:r>
      <w:r>
        <w:tab/>
        <w:t xml:space="preserve">A person is a </w:t>
      </w:r>
      <w:r>
        <w:rPr>
          <w:rStyle w:val="CharDefText"/>
        </w:rPr>
        <w:t>prescribed family member</w:t>
      </w:r>
      <w:r>
        <w:t xml:space="preserve"> if — </w:t>
      </w:r>
    </w:p>
    <w:p>
      <w:pPr>
        <w:pStyle w:val="yIndenta"/>
      </w:pPr>
      <w:r>
        <w:tab/>
        <w:t>(a)</w:t>
      </w:r>
      <w:r>
        <w:tab/>
        <w:t>the person is a parent of the worker; or</w:t>
      </w:r>
    </w:p>
    <w:p>
      <w:pPr>
        <w:pStyle w:val="yIndenta"/>
      </w:pPr>
      <w:r>
        <w:tab/>
        <w:t>(b)</w:t>
      </w:r>
      <w:r>
        <w:tab/>
        <w:t>the person is a step</w:t>
      </w:r>
      <w:r>
        <w:noBreakHyphen/>
        <w:t>parent of the worker (whether the worker was legally adopted or not); or</w:t>
      </w:r>
    </w:p>
    <w:p>
      <w:pPr>
        <w:pStyle w:val="yIndenta"/>
      </w:pPr>
      <w:r>
        <w:tab/>
        <w:t>(c)</w:t>
      </w:r>
      <w:r>
        <w:tab/>
        <w:t>the worker stands in the place of a parent to the person; or</w:t>
      </w:r>
    </w:p>
    <w:p>
      <w:pPr>
        <w:pStyle w:val="yIndenta"/>
      </w:pPr>
      <w:r>
        <w:tab/>
        <w:t>(d)</w:t>
      </w:r>
      <w:r>
        <w:tab/>
        <w:t>the person stands in the place of a parent to the worker; or</w:t>
      </w:r>
    </w:p>
    <w:p>
      <w:pPr>
        <w:pStyle w:val="yIndenta"/>
      </w:pPr>
      <w:r>
        <w:lastRenderedPageBreak/>
        <w:tab/>
        <w:t>(e)</w:t>
      </w:r>
      <w:r>
        <w:tab/>
        <w:t>the person is a sibling or half</w:t>
      </w:r>
      <w:r>
        <w:noBreakHyphen/>
        <w:t>sibling of the worker; or</w:t>
      </w:r>
    </w:p>
    <w:p>
      <w:pPr>
        <w:pStyle w:val="yIndenta"/>
      </w:pPr>
      <w:r>
        <w:tab/>
        <w:t>(f)</w:t>
      </w:r>
      <w:r>
        <w:tab/>
        <w:t>the worker is a grandparent of the person; or</w:t>
      </w:r>
    </w:p>
    <w:p>
      <w:pPr>
        <w:pStyle w:val="yIndenta"/>
      </w:pPr>
      <w:r>
        <w:tab/>
        <w:t>(g)</w:t>
      </w:r>
      <w:r>
        <w:tab/>
        <w:t>the person is a grandparent of the worker.</w:t>
      </w:r>
    </w:p>
    <w:p>
      <w:pPr>
        <w:pStyle w:val="yFootnotesection"/>
      </w:pPr>
      <w:r>
        <w:tab/>
        <w:t>[Clause 2 inserted: No. 8 of 2018 s. 11.]</w:t>
      </w:r>
    </w:p>
    <w:p>
      <w:pPr>
        <w:pStyle w:val="yHeading5"/>
      </w:pPr>
      <w:bookmarkStart w:id="1073" w:name="_Toc131514805"/>
      <w:r>
        <w:rPr>
          <w:rStyle w:val="CharSClsNo"/>
        </w:rPr>
        <w:t>3</w:t>
      </w:r>
      <w:r>
        <w:t>.</w:t>
      </w:r>
      <w:r>
        <w:tab/>
        <w:t>Dependants</w:t>
      </w:r>
      <w:bookmarkEnd w:id="1073"/>
    </w:p>
    <w:p>
      <w:pPr>
        <w:pStyle w:val="ySubsection"/>
      </w:pPr>
      <w:r>
        <w:tab/>
      </w:r>
      <w:r>
        <w:tab/>
        <w:t xml:space="preserve">A person who is a partner, child or prescribed family member is a </w:t>
      </w:r>
      <w:r>
        <w:rPr>
          <w:rStyle w:val="CharDefText"/>
        </w:rPr>
        <w:t>dependant</w:t>
      </w:r>
      <w:r>
        <w:t xml:space="preserve"> if the person — </w:t>
      </w:r>
    </w:p>
    <w:p>
      <w:pPr>
        <w:pStyle w:val="yIndenta"/>
      </w:pPr>
      <w:r>
        <w:tab/>
        <w:t>(a)</w:t>
      </w:r>
      <w:r>
        <w:tab/>
        <w:t>was wholly or in part dependent upon the earnings of the worker at the time of the worker’s death; or</w:t>
      </w:r>
    </w:p>
    <w:p>
      <w:pPr>
        <w:pStyle w:val="yIndenta"/>
      </w:pPr>
      <w:r>
        <w:tab/>
        <w:t>(b)</w:t>
      </w:r>
      <w:r>
        <w:tab/>
        <w:t>would have been wholly or in part dependent upon the earnings of the worker at the time of the worker’s death if the injury had not occurred.</w:t>
      </w:r>
    </w:p>
    <w:p>
      <w:pPr>
        <w:pStyle w:val="yFootnotesection"/>
      </w:pPr>
      <w:r>
        <w:tab/>
        <w:t>[Clause 3 inserted: No. 8 of 2018 s. 11.]</w:t>
      </w:r>
    </w:p>
    <w:p>
      <w:pPr>
        <w:pStyle w:val="yHeading5"/>
      </w:pPr>
      <w:bookmarkStart w:id="1074" w:name="_Toc131514806"/>
      <w:r>
        <w:rPr>
          <w:rStyle w:val="CharSClsNo"/>
        </w:rPr>
        <w:t>4</w:t>
      </w:r>
      <w:r>
        <w:t>.</w:t>
      </w:r>
      <w:r>
        <w:tab/>
        <w:t>Lump sum entitlement</w:t>
      </w:r>
      <w:bookmarkEnd w:id="1074"/>
    </w:p>
    <w:p>
      <w:pPr>
        <w:pStyle w:val="ySubsection"/>
      </w:pPr>
      <w:r>
        <w:tab/>
      </w:r>
      <w:r>
        <w:tab/>
        <w:t xml:space="preserve">The </w:t>
      </w:r>
      <w:r>
        <w:rPr>
          <w:rStyle w:val="CharDefText"/>
        </w:rPr>
        <w:t>lump sum entitlement</w:t>
      </w:r>
      <w:r>
        <w:t xml:space="preserve"> (</w:t>
      </w:r>
      <w:r>
        <w:rPr>
          <w:rStyle w:val="CharDefText"/>
        </w:rPr>
        <w:t>LSE</w:t>
      </w:r>
      <w:r>
        <w:t>) is the amount equal to 250% of the prescribed amount calculated as at the date of the worker’s death.</w:t>
      </w:r>
    </w:p>
    <w:p>
      <w:pPr>
        <w:pStyle w:val="yFootnotesection"/>
      </w:pPr>
      <w:r>
        <w:tab/>
        <w:t>[Clause 4 inserted: No. 8 of 2018 s. 11.]</w:t>
      </w:r>
    </w:p>
    <w:p>
      <w:pPr>
        <w:pStyle w:val="yHeading5"/>
      </w:pPr>
      <w:bookmarkStart w:id="1075" w:name="_Toc131514807"/>
      <w:r>
        <w:rPr>
          <w:rStyle w:val="CharSClsNo"/>
        </w:rPr>
        <w:t>5</w:t>
      </w:r>
      <w:r>
        <w:t>.</w:t>
      </w:r>
      <w:r>
        <w:tab/>
        <w:t>Child’s allowance</w:t>
      </w:r>
      <w:bookmarkEnd w:id="1075"/>
    </w:p>
    <w:p>
      <w:pPr>
        <w:pStyle w:val="ySubsection"/>
      </w:pPr>
      <w:r>
        <w:tab/>
      </w:r>
      <w:r>
        <w:tab/>
        <w:t xml:space="preserve">The </w:t>
      </w:r>
      <w:r>
        <w:rPr>
          <w:rStyle w:val="CharDefText"/>
        </w:rPr>
        <w:t>child’s allowance</w:t>
      </w:r>
      <w:r>
        <w:t xml:space="preserve"> is — </w:t>
      </w:r>
    </w:p>
    <w:p>
      <w:pPr>
        <w:pStyle w:val="yIndenta"/>
      </w:pPr>
      <w:r>
        <w:tab/>
        <w:t>(a)</w:t>
      </w:r>
      <w:r>
        <w:tab/>
        <w:t>the amount of $133 per week; or</w:t>
      </w:r>
    </w:p>
    <w:p>
      <w:pPr>
        <w:pStyle w:val="yIndenta"/>
      </w:pPr>
      <w:r>
        <w:tab/>
        <w:t>(b)</w:t>
      </w:r>
      <w:r>
        <w:tab/>
        <w:t>if regulations made for the purposes of this clause prescribe a different amount per week or provide for a different amount per week to be determined in accordance with the regulations, that amount.</w:t>
      </w:r>
    </w:p>
    <w:p>
      <w:pPr>
        <w:pStyle w:val="yFootnotesection"/>
      </w:pPr>
      <w:r>
        <w:tab/>
        <w:t>[Clause 5 inserted: No. 8 of 2018 s. 11.]</w:t>
      </w:r>
    </w:p>
    <w:p>
      <w:pPr>
        <w:pStyle w:val="yHeading3"/>
      </w:pPr>
      <w:bookmarkStart w:id="1076" w:name="_Toc100238830"/>
      <w:bookmarkStart w:id="1077" w:name="_Toc100239444"/>
      <w:bookmarkStart w:id="1078" w:name="_Toc100562738"/>
      <w:bookmarkStart w:id="1079" w:name="_Toc107310374"/>
      <w:bookmarkStart w:id="1080" w:name="_Toc107480228"/>
      <w:bookmarkStart w:id="1081" w:name="_Toc131501594"/>
      <w:bookmarkStart w:id="1082" w:name="_Toc131502212"/>
      <w:bookmarkStart w:id="1083" w:name="_Toc131514808"/>
      <w:r>
        <w:rPr>
          <w:rStyle w:val="CharSDivNo"/>
        </w:rPr>
        <w:lastRenderedPageBreak/>
        <w:t>Division 2</w:t>
      </w:r>
      <w:r>
        <w:t> — </w:t>
      </w:r>
      <w:r>
        <w:rPr>
          <w:rStyle w:val="CharSDivText"/>
        </w:rPr>
        <w:t>Entitlements if the worker’s death results from the injury</w:t>
      </w:r>
      <w:bookmarkEnd w:id="1076"/>
      <w:bookmarkEnd w:id="1077"/>
      <w:bookmarkEnd w:id="1078"/>
      <w:bookmarkEnd w:id="1079"/>
      <w:bookmarkEnd w:id="1080"/>
      <w:bookmarkEnd w:id="1081"/>
      <w:bookmarkEnd w:id="1082"/>
      <w:bookmarkEnd w:id="1083"/>
    </w:p>
    <w:p>
      <w:pPr>
        <w:pStyle w:val="yFootnoteheading"/>
        <w:keepNext/>
      </w:pPr>
      <w:r>
        <w:tab/>
        <w:t>[Heading inserted: No. 8 of 2018 s. 11.]</w:t>
      </w:r>
    </w:p>
    <w:p>
      <w:pPr>
        <w:pStyle w:val="yHeading5"/>
      </w:pPr>
      <w:bookmarkStart w:id="1084" w:name="_Toc131514809"/>
      <w:r>
        <w:rPr>
          <w:rStyle w:val="CharSClsNo"/>
        </w:rPr>
        <w:t>6</w:t>
      </w:r>
      <w:r>
        <w:t>.</w:t>
      </w:r>
      <w:r>
        <w:tab/>
        <w:t>Application of this Division</w:t>
      </w:r>
      <w:bookmarkEnd w:id="1084"/>
    </w:p>
    <w:p>
      <w:pPr>
        <w:pStyle w:val="ySubsection"/>
      </w:pPr>
      <w:r>
        <w:tab/>
      </w:r>
      <w:r>
        <w:tab/>
        <w:t>This Division applies if the worker’s death results from the injury.</w:t>
      </w:r>
    </w:p>
    <w:p>
      <w:pPr>
        <w:pStyle w:val="yFootnotesection"/>
      </w:pPr>
      <w:r>
        <w:tab/>
        <w:t>[Clause 6 inserted: No. 8 of 2018 s. 11.]</w:t>
      </w:r>
    </w:p>
    <w:p>
      <w:pPr>
        <w:pStyle w:val="yHeading5"/>
      </w:pPr>
      <w:bookmarkStart w:id="1085" w:name="_Toc131514810"/>
      <w:r>
        <w:rPr>
          <w:rStyle w:val="CharSClsNo"/>
        </w:rPr>
        <w:t>7</w:t>
      </w:r>
      <w:r>
        <w:t>.</w:t>
      </w:r>
      <w:r>
        <w:tab/>
        <w:t>Lump sum compensation for partners, children and others</w:t>
      </w:r>
      <w:bookmarkEnd w:id="1085"/>
    </w:p>
    <w:p>
      <w:pPr>
        <w:pStyle w:val="ySubsection"/>
      </w:pPr>
      <w:r>
        <w:tab/>
        <w:t>(1)</w:t>
      </w:r>
      <w:r>
        <w:tab/>
        <w:t xml:space="preserve">If the worker dies leaving — </w:t>
      </w:r>
    </w:p>
    <w:p>
      <w:pPr>
        <w:pStyle w:val="yIndenta"/>
      </w:pPr>
      <w:r>
        <w:tab/>
        <w:t>(a)</w:t>
      </w:r>
      <w:r>
        <w:tab/>
        <w:t>a person described in column 1 of item 1 or 9 in the Table who is a dependant; or</w:t>
      </w:r>
    </w:p>
    <w:p>
      <w:pPr>
        <w:pStyle w:val="yIndenta"/>
      </w:pPr>
      <w:r>
        <w:tab/>
        <w:t>(b)</w:t>
      </w:r>
      <w:r>
        <w:tab/>
        <w:t xml:space="preserve">persons described in column 1 of item 2, 3, 4, 5, 6, 7, 8 or 10 in the Table each of whom is a dependant, </w:t>
      </w:r>
    </w:p>
    <w:p>
      <w:pPr>
        <w:pStyle w:val="ySubsection"/>
      </w:pPr>
      <w:r>
        <w:tab/>
      </w:r>
      <w:r>
        <w:tab/>
        <w:t>the person or each of those persons is entitled to, or to a portion of, the lump sum entitlement as determined in accordance with column 2 of that item.</w:t>
      </w:r>
    </w:p>
    <w:p>
      <w:pPr>
        <w:pStyle w:val="yTHeadingNAm"/>
      </w:pPr>
      <w:r>
        <w:t>Table</w:t>
      </w:r>
    </w:p>
    <w:tbl>
      <w:tblPr>
        <w:tblW w:w="607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8"/>
        <w:gridCol w:w="2835"/>
        <w:gridCol w:w="2533"/>
      </w:tblGrid>
      <w:tr>
        <w:trPr>
          <w:tblHeader/>
        </w:trPr>
        <w:tc>
          <w:tcPr>
            <w:tcW w:w="708" w:type="dxa"/>
          </w:tcPr>
          <w:p>
            <w:pPr>
              <w:pStyle w:val="yTableNAm"/>
            </w:pPr>
            <w:r>
              <w:rPr>
                <w:b/>
              </w:rPr>
              <w:t>Item</w:t>
            </w:r>
          </w:p>
        </w:tc>
        <w:tc>
          <w:tcPr>
            <w:tcW w:w="2835" w:type="dxa"/>
          </w:tcPr>
          <w:p>
            <w:pPr>
              <w:pStyle w:val="yTableNAm"/>
            </w:pPr>
            <w:r>
              <w:rPr>
                <w:b/>
              </w:rPr>
              <w:t>Column 1</w:t>
            </w:r>
          </w:p>
          <w:p>
            <w:pPr>
              <w:pStyle w:val="yTableNAm"/>
            </w:pPr>
            <w:r>
              <w:t>Dependant or dependants</w:t>
            </w:r>
          </w:p>
        </w:tc>
        <w:tc>
          <w:tcPr>
            <w:tcW w:w="2533" w:type="dxa"/>
          </w:tcPr>
          <w:p>
            <w:pPr>
              <w:pStyle w:val="yTableNAm"/>
            </w:pPr>
            <w:r>
              <w:rPr>
                <w:b/>
              </w:rPr>
              <w:t>Column 2</w:t>
            </w:r>
          </w:p>
          <w:p>
            <w:pPr>
              <w:pStyle w:val="yTableNAm"/>
            </w:pPr>
            <w:r>
              <w:t>Compensation</w:t>
            </w:r>
          </w:p>
        </w:tc>
      </w:tr>
      <w:tr>
        <w:tc>
          <w:tcPr>
            <w:tcW w:w="708" w:type="dxa"/>
          </w:tcPr>
          <w:p>
            <w:pPr>
              <w:pStyle w:val="yTableNAm"/>
            </w:pPr>
            <w:r>
              <w:t>1.</w:t>
            </w:r>
          </w:p>
        </w:tc>
        <w:tc>
          <w:tcPr>
            <w:tcW w:w="2835" w:type="dxa"/>
          </w:tcPr>
          <w:p>
            <w:pPr>
              <w:pStyle w:val="yTableNAm"/>
            </w:pPr>
            <w:r>
              <w:t>Partners: 1</w:t>
            </w:r>
            <w:r>
              <w:br/>
            </w:r>
          </w:p>
          <w:p>
            <w:pPr>
              <w:pStyle w:val="yTableNAm"/>
            </w:pPr>
            <w:r>
              <w:t>Children: 0</w:t>
            </w:r>
          </w:p>
        </w:tc>
        <w:tc>
          <w:tcPr>
            <w:tcW w:w="2533" w:type="dxa"/>
          </w:tcPr>
          <w:p>
            <w:pPr>
              <w:pStyle w:val="yTableNAm"/>
            </w:pPr>
            <w:r>
              <w:t>100% of the LSE to the partner</w:t>
            </w:r>
          </w:p>
        </w:tc>
      </w:tr>
      <w:tr>
        <w:tc>
          <w:tcPr>
            <w:tcW w:w="708" w:type="dxa"/>
          </w:tcPr>
          <w:p>
            <w:pPr>
              <w:pStyle w:val="yTableNAm"/>
            </w:pPr>
            <w:r>
              <w:t>2.</w:t>
            </w:r>
          </w:p>
        </w:tc>
        <w:tc>
          <w:tcPr>
            <w:tcW w:w="2835" w:type="dxa"/>
          </w:tcPr>
          <w:p>
            <w:pPr>
              <w:pStyle w:val="yTableNAm"/>
            </w:pPr>
            <w:r>
              <w:t>Partners: 1</w:t>
            </w:r>
            <w:r>
              <w:br/>
            </w:r>
          </w:p>
          <w:p>
            <w:pPr>
              <w:pStyle w:val="yTableNAm"/>
            </w:pPr>
            <w:r>
              <w:t>Children: 1</w:t>
            </w:r>
          </w:p>
        </w:tc>
        <w:tc>
          <w:tcPr>
            <w:tcW w:w="2533" w:type="dxa"/>
          </w:tcPr>
          <w:p>
            <w:pPr>
              <w:pStyle w:val="yTableNAm"/>
            </w:pPr>
            <w:r>
              <w:t>90% of the LSE to the partner</w:t>
            </w:r>
          </w:p>
          <w:p>
            <w:pPr>
              <w:pStyle w:val="yTableNAm"/>
            </w:pPr>
            <w:r>
              <w:t>10% of the LSE to the child</w:t>
            </w:r>
          </w:p>
        </w:tc>
      </w:tr>
      <w:tr>
        <w:tc>
          <w:tcPr>
            <w:tcW w:w="708" w:type="dxa"/>
          </w:tcPr>
          <w:p>
            <w:pPr>
              <w:pStyle w:val="yTableNAm"/>
            </w:pPr>
            <w:r>
              <w:t>3.</w:t>
            </w:r>
          </w:p>
        </w:tc>
        <w:tc>
          <w:tcPr>
            <w:tcW w:w="2835" w:type="dxa"/>
          </w:tcPr>
          <w:p>
            <w:pPr>
              <w:pStyle w:val="yTableNAm"/>
            </w:pPr>
            <w:r>
              <w:t>Partners: 1</w:t>
            </w:r>
            <w:r>
              <w:br/>
            </w:r>
          </w:p>
          <w:p>
            <w:pPr>
              <w:pStyle w:val="yTableNAm"/>
            </w:pPr>
            <w:r>
              <w:t>Children: 2 to 5</w:t>
            </w:r>
          </w:p>
        </w:tc>
        <w:tc>
          <w:tcPr>
            <w:tcW w:w="2533" w:type="dxa"/>
          </w:tcPr>
          <w:p>
            <w:pPr>
              <w:pStyle w:val="yTableNAm"/>
            </w:pPr>
            <w:r>
              <w:t>5% of the LSE to each child</w:t>
            </w:r>
          </w:p>
          <w:p>
            <w:pPr>
              <w:pStyle w:val="yTableNAm"/>
            </w:pPr>
            <w:r>
              <w:t>Balance of the LSE to the partner</w:t>
            </w:r>
          </w:p>
        </w:tc>
      </w:tr>
      <w:tr>
        <w:tc>
          <w:tcPr>
            <w:tcW w:w="708" w:type="dxa"/>
          </w:tcPr>
          <w:p>
            <w:pPr>
              <w:pStyle w:val="yTableNAm"/>
            </w:pPr>
            <w:r>
              <w:lastRenderedPageBreak/>
              <w:t>4.</w:t>
            </w:r>
          </w:p>
        </w:tc>
        <w:tc>
          <w:tcPr>
            <w:tcW w:w="2835" w:type="dxa"/>
          </w:tcPr>
          <w:p>
            <w:pPr>
              <w:pStyle w:val="yTableNAm"/>
            </w:pPr>
            <w:r>
              <w:t>Partners: 1</w:t>
            </w:r>
            <w:r>
              <w:br/>
            </w:r>
          </w:p>
          <w:p>
            <w:pPr>
              <w:pStyle w:val="yTableNAm"/>
            </w:pPr>
            <w:r>
              <w:t>Children: 6 or more</w:t>
            </w:r>
          </w:p>
        </w:tc>
        <w:tc>
          <w:tcPr>
            <w:tcW w:w="2533" w:type="dxa"/>
          </w:tcPr>
          <w:p>
            <w:pPr>
              <w:pStyle w:val="yTableNAm"/>
            </w:pPr>
            <w:r>
              <w:t>75% of the LSE to the partner</w:t>
            </w:r>
          </w:p>
          <w:p>
            <w:pPr>
              <w:pStyle w:val="yTableNAm"/>
            </w:pPr>
            <w:r>
              <w:t>25% of the LSE divided equally between the children</w:t>
            </w:r>
          </w:p>
        </w:tc>
      </w:tr>
      <w:tr>
        <w:tc>
          <w:tcPr>
            <w:tcW w:w="708" w:type="dxa"/>
          </w:tcPr>
          <w:p>
            <w:pPr>
              <w:pStyle w:val="yTableNAm"/>
            </w:pPr>
            <w:r>
              <w:t>5.</w:t>
            </w:r>
          </w:p>
        </w:tc>
        <w:tc>
          <w:tcPr>
            <w:tcW w:w="2835" w:type="dxa"/>
          </w:tcPr>
          <w:p>
            <w:pPr>
              <w:pStyle w:val="yTableNAm"/>
            </w:pPr>
            <w:r>
              <w:t>Partners: 2 or more</w:t>
            </w:r>
          </w:p>
          <w:p>
            <w:pPr>
              <w:pStyle w:val="yTableNAm"/>
            </w:pPr>
            <w:r>
              <w:t>Children: None</w:t>
            </w:r>
          </w:p>
        </w:tc>
        <w:tc>
          <w:tcPr>
            <w:tcW w:w="2533" w:type="dxa"/>
          </w:tcPr>
          <w:p>
            <w:pPr>
              <w:pStyle w:val="yTableNAm"/>
            </w:pPr>
            <w:r>
              <w:t>100% of the LSE divided so that each partner receives an amount proportionate to the loss of financial support suffered by that partner</w:t>
            </w:r>
          </w:p>
        </w:tc>
      </w:tr>
      <w:tr>
        <w:tc>
          <w:tcPr>
            <w:tcW w:w="708" w:type="dxa"/>
          </w:tcPr>
          <w:p>
            <w:pPr>
              <w:pStyle w:val="yTableNAm"/>
            </w:pPr>
            <w:r>
              <w:t>6.</w:t>
            </w:r>
          </w:p>
        </w:tc>
        <w:tc>
          <w:tcPr>
            <w:tcW w:w="2835" w:type="dxa"/>
          </w:tcPr>
          <w:p>
            <w:pPr>
              <w:pStyle w:val="yTableNAm"/>
            </w:pPr>
            <w:r>
              <w:t>Partners: 2 or more</w:t>
            </w:r>
            <w:r>
              <w:br/>
            </w:r>
            <w:r>
              <w:br/>
            </w:r>
            <w:r>
              <w:br/>
            </w:r>
            <w:r>
              <w:br/>
            </w:r>
            <w:r>
              <w:br/>
            </w:r>
            <w:r>
              <w:br/>
            </w:r>
          </w:p>
          <w:p>
            <w:pPr>
              <w:pStyle w:val="yTableNAm"/>
            </w:pPr>
            <w:r>
              <w:t>Children: 1</w:t>
            </w:r>
          </w:p>
        </w:tc>
        <w:tc>
          <w:tcPr>
            <w:tcW w:w="2533" w:type="dxa"/>
          </w:tcPr>
          <w:p>
            <w:pPr>
              <w:pStyle w:val="yTableNAm"/>
            </w:pPr>
            <w:r>
              <w:t>90% of the LSE divided between the partners so that each partner receives an amount proportionate to the loss of financial support suffered by that partner</w:t>
            </w:r>
          </w:p>
          <w:p>
            <w:pPr>
              <w:pStyle w:val="yTableNAm"/>
            </w:pPr>
            <w:r>
              <w:t>10% of the LSE to the child</w:t>
            </w:r>
          </w:p>
        </w:tc>
      </w:tr>
      <w:tr>
        <w:tc>
          <w:tcPr>
            <w:tcW w:w="708" w:type="dxa"/>
          </w:tcPr>
          <w:p>
            <w:pPr>
              <w:pStyle w:val="yTableNAm"/>
            </w:pPr>
            <w:r>
              <w:t>7.</w:t>
            </w:r>
          </w:p>
        </w:tc>
        <w:tc>
          <w:tcPr>
            <w:tcW w:w="2835" w:type="dxa"/>
          </w:tcPr>
          <w:p>
            <w:pPr>
              <w:pStyle w:val="yTableNAm"/>
            </w:pPr>
            <w:r>
              <w:t>Partners: 2 or more</w:t>
            </w:r>
            <w:r>
              <w:br/>
            </w:r>
          </w:p>
          <w:p>
            <w:pPr>
              <w:pStyle w:val="yTableNAm"/>
            </w:pPr>
            <w:r>
              <w:t>Children: 2 to 5</w:t>
            </w:r>
          </w:p>
        </w:tc>
        <w:tc>
          <w:tcPr>
            <w:tcW w:w="2533" w:type="dxa"/>
          </w:tcPr>
          <w:p>
            <w:pPr>
              <w:pStyle w:val="yTableNAm"/>
            </w:pPr>
            <w:r>
              <w:t>5% of the LSE to each child</w:t>
            </w:r>
          </w:p>
          <w:p>
            <w:pPr>
              <w:pStyle w:val="yTableNAm"/>
            </w:pPr>
            <w:r>
              <w:t>Balance of the LSE divided between the partners so that each partner receives an amount proportionate to the loss of financial support suffered by that partner</w:t>
            </w:r>
          </w:p>
        </w:tc>
      </w:tr>
      <w:tr>
        <w:trPr>
          <w:cantSplit/>
        </w:trPr>
        <w:tc>
          <w:tcPr>
            <w:tcW w:w="708" w:type="dxa"/>
          </w:tcPr>
          <w:p>
            <w:pPr>
              <w:pStyle w:val="yTableNAm"/>
            </w:pPr>
            <w:r>
              <w:lastRenderedPageBreak/>
              <w:t>8.</w:t>
            </w:r>
          </w:p>
        </w:tc>
        <w:tc>
          <w:tcPr>
            <w:tcW w:w="2835" w:type="dxa"/>
          </w:tcPr>
          <w:p>
            <w:pPr>
              <w:pStyle w:val="yTableNAm"/>
            </w:pPr>
            <w:r>
              <w:t>Partners: 2 or more</w:t>
            </w:r>
            <w:r>
              <w:br/>
            </w:r>
            <w:r>
              <w:br/>
            </w:r>
            <w:r>
              <w:br/>
            </w:r>
            <w:r>
              <w:br/>
            </w:r>
            <w:r>
              <w:br/>
            </w:r>
            <w:r>
              <w:br/>
            </w:r>
          </w:p>
          <w:p>
            <w:pPr>
              <w:pStyle w:val="yTableNAm"/>
            </w:pPr>
            <w:r>
              <w:t>Children: 6 or more</w:t>
            </w:r>
          </w:p>
        </w:tc>
        <w:tc>
          <w:tcPr>
            <w:tcW w:w="2533" w:type="dxa"/>
          </w:tcPr>
          <w:p>
            <w:pPr>
              <w:pStyle w:val="yTableNAm"/>
            </w:pPr>
            <w:r>
              <w:t>75% of the LSE divided between the partners so that each partner receives an amount proportionate to the loss of financial support suffered by that partner</w:t>
            </w:r>
          </w:p>
          <w:p>
            <w:pPr>
              <w:pStyle w:val="yTableNAm"/>
            </w:pPr>
            <w:r>
              <w:t>25% of the LSE divided equally between the children</w:t>
            </w:r>
          </w:p>
        </w:tc>
      </w:tr>
      <w:tr>
        <w:tc>
          <w:tcPr>
            <w:tcW w:w="708" w:type="dxa"/>
          </w:tcPr>
          <w:p>
            <w:pPr>
              <w:pStyle w:val="yTableNAm"/>
            </w:pPr>
            <w:r>
              <w:t>9.</w:t>
            </w:r>
          </w:p>
        </w:tc>
        <w:tc>
          <w:tcPr>
            <w:tcW w:w="2835" w:type="dxa"/>
          </w:tcPr>
          <w:p>
            <w:pPr>
              <w:pStyle w:val="yTableNAm"/>
            </w:pPr>
            <w:r>
              <w:t>Partners: None</w:t>
            </w:r>
          </w:p>
          <w:p>
            <w:pPr>
              <w:pStyle w:val="yTableNAm"/>
            </w:pPr>
            <w:r>
              <w:t>Children: 1</w:t>
            </w:r>
          </w:p>
        </w:tc>
        <w:tc>
          <w:tcPr>
            <w:tcW w:w="2533" w:type="dxa"/>
          </w:tcPr>
          <w:p>
            <w:pPr>
              <w:pStyle w:val="yTableNAm"/>
            </w:pPr>
            <w:r>
              <w:t>100% of the LSE to the child</w:t>
            </w:r>
          </w:p>
        </w:tc>
      </w:tr>
      <w:tr>
        <w:tc>
          <w:tcPr>
            <w:tcW w:w="708" w:type="dxa"/>
          </w:tcPr>
          <w:p>
            <w:pPr>
              <w:pStyle w:val="yTableNAm"/>
            </w:pPr>
            <w:r>
              <w:t>10.</w:t>
            </w:r>
          </w:p>
        </w:tc>
        <w:tc>
          <w:tcPr>
            <w:tcW w:w="2835" w:type="dxa"/>
          </w:tcPr>
          <w:p>
            <w:pPr>
              <w:pStyle w:val="yTableNAm"/>
            </w:pPr>
            <w:r>
              <w:t>Partners: None</w:t>
            </w:r>
          </w:p>
          <w:p>
            <w:pPr>
              <w:pStyle w:val="yTableNAm"/>
            </w:pPr>
            <w:r>
              <w:t>Children: 2 or more</w:t>
            </w:r>
          </w:p>
        </w:tc>
        <w:tc>
          <w:tcPr>
            <w:tcW w:w="2533" w:type="dxa"/>
          </w:tcPr>
          <w:p>
            <w:pPr>
              <w:pStyle w:val="yTableNAm"/>
            </w:pPr>
            <w:r>
              <w:t>100% of the LSE divided equally between the children</w:t>
            </w:r>
          </w:p>
        </w:tc>
      </w:tr>
    </w:tbl>
    <w:p>
      <w:pPr>
        <w:pStyle w:val="ySubsection"/>
        <w:spacing w:before="120"/>
      </w:pPr>
      <w:r>
        <w:tab/>
        <w:t>(2)</w:t>
      </w:r>
      <w:r>
        <w:tab/>
        <w:t>The compensation for a partner or child under subclause (1) applies whether or not the worker dies also leaving any prescribed family member who is a dependant.</w:t>
      </w:r>
    </w:p>
    <w:p>
      <w:pPr>
        <w:pStyle w:val="ySubsection"/>
        <w:spacing w:before="120"/>
      </w:pPr>
      <w:r>
        <w:tab/>
        <w:t>(3)</w:t>
      </w:r>
      <w:r>
        <w:tab/>
        <w:t>If the worker dies not leaving a partner or child who is a dependant but leaving 1 prescribed family member who is a dependant, that prescribed family member is entitled to an amount that is reasonable and proportionate to the loss of financial support suffered by the prescribed family member, but not exceeding the lump sum entitlement.</w:t>
      </w:r>
    </w:p>
    <w:p>
      <w:pPr>
        <w:pStyle w:val="ySubsection"/>
        <w:spacing w:before="120"/>
      </w:pPr>
      <w:r>
        <w:tab/>
        <w:t>(4)</w:t>
      </w:r>
      <w:r>
        <w:tab/>
        <w:t>If the worker dies not leaving a partner or child who is a dependant but leaving 2 or more prescribed family members who are dependants, each of those prescribed family members is entitled to an amount that is reasonable and proportionate to the loss of financial support suffered by the prescribed family member, but not exceeding, in total, the lump sum entitlement.</w:t>
      </w:r>
    </w:p>
    <w:p>
      <w:pPr>
        <w:pStyle w:val="yFootnotesection"/>
      </w:pPr>
      <w:r>
        <w:tab/>
        <w:t>[Clause 7 inserted: No. 8 of 2018 s. 11.]</w:t>
      </w:r>
    </w:p>
    <w:p>
      <w:pPr>
        <w:pStyle w:val="yHeading5"/>
      </w:pPr>
      <w:bookmarkStart w:id="1086" w:name="_Toc131514811"/>
      <w:r>
        <w:rPr>
          <w:rStyle w:val="CharSClsNo"/>
        </w:rPr>
        <w:lastRenderedPageBreak/>
        <w:t>8</w:t>
      </w:r>
      <w:r>
        <w:t>.</w:t>
      </w:r>
      <w:r>
        <w:tab/>
        <w:t>Allowance for children</w:t>
      </w:r>
      <w:bookmarkEnd w:id="1086"/>
    </w:p>
    <w:p>
      <w:pPr>
        <w:pStyle w:val="ySubsection"/>
      </w:pPr>
      <w:r>
        <w:tab/>
        <w:t>(1)</w:t>
      </w:r>
      <w:r>
        <w:tab/>
        <w:t>This clause applies to a child left by the worker when the worker dies.</w:t>
      </w:r>
    </w:p>
    <w:p>
      <w:pPr>
        <w:pStyle w:val="ySubsection"/>
      </w:pPr>
      <w:r>
        <w:tab/>
        <w:t>(2)</w:t>
      </w:r>
      <w:r>
        <w:tab/>
        <w:t xml:space="preserve">An </w:t>
      </w:r>
      <w:r>
        <w:rPr>
          <w:rStyle w:val="CharDefText"/>
        </w:rPr>
        <w:t>eligible child</w:t>
      </w:r>
      <w:r>
        <w:t xml:space="preserve"> is a child who is a dependant and — </w:t>
      </w:r>
    </w:p>
    <w:p>
      <w:pPr>
        <w:pStyle w:val="yIndenta"/>
      </w:pPr>
      <w:r>
        <w:tab/>
        <w:t>(a)</w:t>
      </w:r>
      <w:r>
        <w:tab/>
        <w:t>is under the age of 16 years; or</w:t>
      </w:r>
    </w:p>
    <w:p>
      <w:pPr>
        <w:pStyle w:val="yIndenta"/>
      </w:pPr>
      <w:r>
        <w:tab/>
        <w:t>(b)</w:t>
      </w:r>
      <w:r>
        <w:tab/>
        <w:t>has attained the age of 16 years but is under the age of 21 years and is a full</w:t>
      </w:r>
      <w:r>
        <w:noBreakHyphen/>
        <w:t>time student; or</w:t>
      </w:r>
    </w:p>
    <w:p>
      <w:pPr>
        <w:pStyle w:val="yIndenta"/>
      </w:pPr>
      <w:r>
        <w:tab/>
        <w:t>(c)</w:t>
      </w:r>
      <w:r>
        <w:tab/>
        <w:t>is the subject of a determination that is in force under subclause (5) or (6).</w:t>
      </w:r>
    </w:p>
    <w:p>
      <w:pPr>
        <w:pStyle w:val="ySubsection"/>
      </w:pPr>
      <w:r>
        <w:tab/>
        <w:t>(3)</w:t>
      </w:r>
      <w:r>
        <w:tab/>
        <w:t>Each eligible child is entitled to the child’s allowance.</w:t>
      </w:r>
    </w:p>
    <w:p>
      <w:pPr>
        <w:pStyle w:val="ySubsection"/>
      </w:pPr>
      <w:r>
        <w:tab/>
        <w:t>(4)</w:t>
      </w:r>
      <w:r>
        <w:tab/>
        <w:t>The child’s allowance is in addition to, and does not affect, any compensation for the eligible child under clause 7(1) of this Schedule.</w:t>
      </w:r>
    </w:p>
    <w:p>
      <w:pPr>
        <w:pStyle w:val="ySubsection"/>
      </w:pPr>
      <w:r>
        <w:tab/>
        <w:t>(5)</w:t>
      </w:r>
      <w:r>
        <w:tab/>
        <w:t>An arbitrator may, in the arbitrator’s absolute discretion, determine in an order referred to in section 72J(1) that a child who is under the age of 21 years but has attained the age of 16 years and is not a full</w:t>
      </w:r>
      <w:r>
        <w:noBreakHyphen/>
        <w:t>time student should receive the child’s allowance by reason of circumstances.</w:t>
      </w:r>
    </w:p>
    <w:p>
      <w:pPr>
        <w:pStyle w:val="ySubsection"/>
      </w:pPr>
      <w:r>
        <w:tab/>
        <w:t>(6)</w:t>
      </w:r>
      <w:r>
        <w:tab/>
        <w:t xml:space="preserve">If — </w:t>
      </w:r>
    </w:p>
    <w:p>
      <w:pPr>
        <w:pStyle w:val="yIndenta"/>
      </w:pPr>
      <w:r>
        <w:tab/>
        <w:t>(a)</w:t>
      </w:r>
      <w:r>
        <w:tab/>
        <w:t>the eligibility of a child who has attained the age of 16 years to receive the child’s allowance under an order referred to in section 72J(1) ceases because the child is not a full</w:t>
      </w:r>
      <w:r>
        <w:noBreakHyphen/>
        <w:t>time student; and</w:t>
      </w:r>
    </w:p>
    <w:p>
      <w:pPr>
        <w:pStyle w:val="yIndenta"/>
      </w:pPr>
      <w:r>
        <w:tab/>
        <w:t>(b)</w:t>
      </w:r>
      <w:r>
        <w:tab/>
        <w:t>the child is under the age of 21 years,</w:t>
      </w:r>
    </w:p>
    <w:p>
      <w:pPr>
        <w:pStyle w:val="ySubsection"/>
      </w:pPr>
      <w:r>
        <w:tab/>
      </w:r>
      <w:r>
        <w:tab/>
        <w:t>on application being made to the Registrar an arbitrator may, in the arbitrator’s absolute discretion, determine that the child should continue to receive the child’s allowance by reason of circumstances.</w:t>
      </w:r>
    </w:p>
    <w:p>
      <w:pPr>
        <w:pStyle w:val="ySubsection"/>
      </w:pPr>
      <w:r>
        <w:tab/>
        <w:t>(7)</w:t>
      </w:r>
      <w:r>
        <w:tab/>
        <w:t>On application being made to the Registrar an arbitrator may, in the arbitrator’s absolute discretion, revoke a determination made under subclause (5) or (6).</w:t>
      </w:r>
    </w:p>
    <w:p>
      <w:pPr>
        <w:pStyle w:val="yFootnotesection"/>
      </w:pPr>
      <w:r>
        <w:tab/>
        <w:t>[Clause 8 inserted: No. 8 of 2018 s. 11.]</w:t>
      </w:r>
    </w:p>
    <w:p>
      <w:pPr>
        <w:pStyle w:val="yHeading5"/>
      </w:pPr>
      <w:bookmarkStart w:id="1087" w:name="_Toc131514812"/>
      <w:r>
        <w:rPr>
          <w:rStyle w:val="CharSClsNo"/>
        </w:rPr>
        <w:lastRenderedPageBreak/>
        <w:t>9</w:t>
      </w:r>
      <w:r>
        <w:t>.</w:t>
      </w:r>
      <w:r>
        <w:tab/>
        <w:t>Funeral and medical expenses</w:t>
      </w:r>
      <w:bookmarkEnd w:id="1087"/>
    </w:p>
    <w:p>
      <w:pPr>
        <w:pStyle w:val="ySubsection"/>
        <w:keepNext/>
      </w:pPr>
      <w:r>
        <w:tab/>
        <w:t>(1)</w:t>
      </w:r>
      <w:r>
        <w:tab/>
        <w:t xml:space="preserve">In this clause — </w:t>
      </w:r>
    </w:p>
    <w:p>
      <w:pPr>
        <w:pStyle w:val="yDefstart"/>
      </w:pPr>
      <w:r>
        <w:tab/>
      </w:r>
      <w:r>
        <w:rPr>
          <w:rStyle w:val="CharDefText"/>
        </w:rPr>
        <w:t>funeral expenses</w:t>
      </w:r>
      <w:r>
        <w:t xml:space="preserve"> means expenses properly incurred in relation to the funeral and burial or cremation of the worker and includes fees and charges paid or payable to the Board or local government in which the care, control and management of a cemetery is vested under the </w:t>
      </w:r>
      <w:r>
        <w:rPr>
          <w:i/>
        </w:rPr>
        <w:t>Cemeteries Act 1986</w:t>
      </w:r>
      <w:r>
        <w:t>;</w:t>
      </w:r>
    </w:p>
    <w:p>
      <w:pPr>
        <w:pStyle w:val="yDefstart"/>
      </w:pPr>
      <w:r>
        <w:tab/>
      </w:r>
      <w:r>
        <w:rPr>
          <w:rStyle w:val="CharDefText"/>
        </w:rPr>
        <w:t>medical expenses</w:t>
      </w:r>
      <w:r>
        <w:t xml:space="preserve"> means expenses properly incurred from the time of the injury until the worker’s death in relation to a matter of a kind mentioned in Schedule 1 clause 17(1).</w:t>
      </w:r>
    </w:p>
    <w:p>
      <w:pPr>
        <w:pStyle w:val="ySubsection"/>
      </w:pPr>
      <w:r>
        <w:tab/>
        <w:t>(2)</w:t>
      </w:r>
      <w:r>
        <w:tab/>
        <w:t xml:space="preserve">A person who has incurred funeral expenses is entitled to the amount of the expenses incurred but not exceeding — </w:t>
      </w:r>
    </w:p>
    <w:p>
      <w:pPr>
        <w:pStyle w:val="yIndenta"/>
      </w:pPr>
      <w:r>
        <w:tab/>
        <w:t>(a)</w:t>
      </w:r>
      <w:r>
        <w:tab/>
        <w:t>the amount of $9 813; or</w:t>
      </w:r>
    </w:p>
    <w:p>
      <w:pPr>
        <w:pStyle w:val="yIndenta"/>
      </w:pPr>
      <w:r>
        <w:tab/>
        <w:t>(b)</w:t>
      </w:r>
      <w:r>
        <w:tab/>
        <w:t>if regulations made for the purposes of this subclause prescribe a different amount or provide for a different amount to be determined in accordance with the regulations, that amount.</w:t>
      </w:r>
    </w:p>
    <w:p>
      <w:pPr>
        <w:pStyle w:val="ySubsection"/>
      </w:pPr>
      <w:r>
        <w:tab/>
        <w:t>(3)</w:t>
      </w:r>
      <w:r>
        <w:tab/>
        <w:t>A person who has incurred medical expenses is entitled to the amount of the expenses incurred to the extent that those expenses are reasonable and have not been the subject of compensation paid in accordance with Schedule 1 clause 17.</w:t>
      </w:r>
    </w:p>
    <w:p>
      <w:pPr>
        <w:pStyle w:val="yFootnotesection"/>
      </w:pPr>
      <w:r>
        <w:tab/>
        <w:t>[Clause 9 inserted: No. 8 of 2018 s. 11.]</w:t>
      </w:r>
    </w:p>
    <w:p>
      <w:pPr>
        <w:pStyle w:val="yHeading3"/>
      </w:pPr>
      <w:bookmarkStart w:id="1088" w:name="_Toc100238835"/>
      <w:bookmarkStart w:id="1089" w:name="_Toc100239449"/>
      <w:bookmarkStart w:id="1090" w:name="_Toc100562743"/>
      <w:bookmarkStart w:id="1091" w:name="_Toc107310379"/>
      <w:bookmarkStart w:id="1092" w:name="_Toc107480233"/>
      <w:bookmarkStart w:id="1093" w:name="_Toc131501599"/>
      <w:bookmarkStart w:id="1094" w:name="_Toc131502217"/>
      <w:bookmarkStart w:id="1095" w:name="_Toc131514813"/>
      <w:r>
        <w:rPr>
          <w:rStyle w:val="CharSDivNo"/>
        </w:rPr>
        <w:t>Division 3</w:t>
      </w:r>
      <w:r>
        <w:t> — </w:t>
      </w:r>
      <w:r>
        <w:rPr>
          <w:rStyle w:val="CharSDivText"/>
        </w:rPr>
        <w:t>Entitlements if the worker’s death does not result from the injury</w:t>
      </w:r>
      <w:bookmarkEnd w:id="1088"/>
      <w:bookmarkEnd w:id="1089"/>
      <w:bookmarkEnd w:id="1090"/>
      <w:bookmarkEnd w:id="1091"/>
      <w:bookmarkEnd w:id="1092"/>
      <w:bookmarkEnd w:id="1093"/>
      <w:bookmarkEnd w:id="1094"/>
      <w:bookmarkEnd w:id="1095"/>
    </w:p>
    <w:p>
      <w:pPr>
        <w:pStyle w:val="yFootnoteheading"/>
      </w:pPr>
      <w:r>
        <w:tab/>
        <w:t>[Heading inserted: No. 8 of 2018 s. 11.]</w:t>
      </w:r>
    </w:p>
    <w:p>
      <w:pPr>
        <w:pStyle w:val="yHeading5"/>
      </w:pPr>
      <w:bookmarkStart w:id="1096" w:name="_Toc131514814"/>
      <w:r>
        <w:rPr>
          <w:rStyle w:val="CharSClsNo"/>
        </w:rPr>
        <w:t>10</w:t>
      </w:r>
      <w:r>
        <w:t>.</w:t>
      </w:r>
      <w:r>
        <w:tab/>
        <w:t>Application of this Division</w:t>
      </w:r>
      <w:bookmarkEnd w:id="1096"/>
    </w:p>
    <w:p>
      <w:pPr>
        <w:pStyle w:val="ySubsection"/>
      </w:pPr>
      <w:r>
        <w:tab/>
      </w:r>
      <w:r>
        <w:tab/>
        <w:t xml:space="preserve">This Division applies if — </w:t>
      </w:r>
    </w:p>
    <w:p>
      <w:pPr>
        <w:pStyle w:val="yIndenta"/>
      </w:pPr>
      <w:r>
        <w:tab/>
        <w:t>(a)</w:t>
      </w:r>
      <w:r>
        <w:tab/>
        <w:t>the worker’s death does not result from the injury; and</w:t>
      </w:r>
    </w:p>
    <w:p>
      <w:pPr>
        <w:pStyle w:val="yIndenta"/>
      </w:pPr>
      <w:r>
        <w:tab/>
        <w:t>(b)</w:t>
      </w:r>
      <w:r>
        <w:tab/>
        <w:t>the worker has been in receipt of, or was entitled to receive, weekly payments for not less than 6 months immediately preceding the worker’s death; and</w:t>
      </w:r>
    </w:p>
    <w:p>
      <w:pPr>
        <w:pStyle w:val="yIndenta"/>
      </w:pPr>
      <w:r>
        <w:tab/>
        <w:t>(c)</w:t>
      </w:r>
      <w:r>
        <w:tab/>
        <w:t>no order for payment of a lump sum in redemption has been made under section 67; and</w:t>
      </w:r>
    </w:p>
    <w:p>
      <w:pPr>
        <w:pStyle w:val="yIndenta"/>
      </w:pPr>
      <w:r>
        <w:lastRenderedPageBreak/>
        <w:tab/>
        <w:t>(d)</w:t>
      </w:r>
      <w:r>
        <w:tab/>
        <w:t>no memorandum of agreement for payment of a lump sum in redemption has been recorded under section 76; and</w:t>
      </w:r>
    </w:p>
    <w:p>
      <w:pPr>
        <w:pStyle w:val="yIndenta"/>
      </w:pPr>
      <w:r>
        <w:tab/>
        <w:t>(e)</w:t>
      </w:r>
      <w:r>
        <w:tab/>
        <w:t>no memorandum of the terms of a settlement has been filed under section 92(f).</w:t>
      </w:r>
    </w:p>
    <w:p>
      <w:pPr>
        <w:pStyle w:val="yFootnotesection"/>
      </w:pPr>
      <w:r>
        <w:tab/>
        <w:t>[Clause 10 inserted: No. 8 of 2018 s. 11.]</w:t>
      </w:r>
    </w:p>
    <w:p>
      <w:pPr>
        <w:pStyle w:val="yHeading5"/>
      </w:pPr>
      <w:bookmarkStart w:id="1097" w:name="_Toc131514815"/>
      <w:r>
        <w:rPr>
          <w:rStyle w:val="CharSClsNo"/>
        </w:rPr>
        <w:t>11</w:t>
      </w:r>
      <w:r>
        <w:t>.</w:t>
      </w:r>
      <w:r>
        <w:tab/>
        <w:t>Lump sum compensation for partners and children</w:t>
      </w:r>
      <w:bookmarkEnd w:id="1097"/>
    </w:p>
    <w:p>
      <w:pPr>
        <w:pStyle w:val="ySubsection"/>
      </w:pPr>
      <w:r>
        <w:tab/>
        <w:t>(1)</w:t>
      </w:r>
      <w:r>
        <w:tab/>
        <w:t xml:space="preserve">In this clause — </w:t>
      </w:r>
    </w:p>
    <w:p>
      <w:pPr>
        <w:pStyle w:val="yDefstart"/>
      </w:pPr>
      <w:r>
        <w:tab/>
      </w:r>
      <w:r>
        <w:rPr>
          <w:rStyle w:val="CharDefText"/>
        </w:rPr>
        <w:t>aggregated amount</w:t>
      </w:r>
      <w:r>
        <w:t xml:space="preserve"> means the aggregate of weekly payments for total incapacity of the worker at a rate calculated and varied as at the date of the worker’s death for a period of 1 year after the worker’s death;</w:t>
      </w:r>
    </w:p>
    <w:p>
      <w:pPr>
        <w:pStyle w:val="yDefstart"/>
      </w:pPr>
      <w:r>
        <w:tab/>
      </w:r>
      <w:r>
        <w:rPr>
          <w:rStyle w:val="CharDefText"/>
        </w:rPr>
        <w:t>eligible person</w:t>
      </w:r>
      <w:r>
        <w:t xml:space="preserve"> means a person who is a partner or child and is a dependant.</w:t>
      </w:r>
    </w:p>
    <w:p>
      <w:pPr>
        <w:pStyle w:val="ySubsection"/>
      </w:pPr>
      <w:r>
        <w:tab/>
        <w:t>(2)</w:t>
      </w:r>
      <w:r>
        <w:tab/>
        <w:t>If the worker dies leaving 1 eligible person, that eligible person is entitled to the aggregated amount.</w:t>
      </w:r>
    </w:p>
    <w:p>
      <w:pPr>
        <w:pStyle w:val="ySubsection"/>
      </w:pPr>
      <w:r>
        <w:tab/>
        <w:t>(3)</w:t>
      </w:r>
      <w:r>
        <w:tab/>
        <w:t xml:space="preserve">If the worker dies leaving 2 or more eligible persons, each of those eligible persons is entitled to a portion of the aggregated amount determined as if — </w:t>
      </w:r>
    </w:p>
    <w:p>
      <w:pPr>
        <w:pStyle w:val="yIndenta"/>
      </w:pPr>
      <w:r>
        <w:tab/>
        <w:t>(a)</w:t>
      </w:r>
      <w:r>
        <w:tab/>
        <w:t>item 2, 3, 4, 5, 6, 7, 8 or 10 in the Table to clause 7(1) of this Schedule, whichever is relevant, applied; and</w:t>
      </w:r>
    </w:p>
    <w:p>
      <w:pPr>
        <w:pStyle w:val="yIndenta"/>
      </w:pPr>
      <w:r>
        <w:tab/>
        <w:t>(b)</w:t>
      </w:r>
      <w:r>
        <w:tab/>
        <w:t>any reference to the LSE in column 2 of that item was a reference to the aggregated amount.</w:t>
      </w:r>
    </w:p>
    <w:p>
      <w:pPr>
        <w:pStyle w:val="yFootnotesection"/>
      </w:pPr>
      <w:r>
        <w:tab/>
        <w:t>[Clause 11 inserted: No. 8 of 2018 s. 11.]</w:t>
      </w:r>
    </w:p>
    <w:p>
      <w:pPr>
        <w:pStyle w:val="yScheduleHeading"/>
        <w:outlineLvl w:val="9"/>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yScheduleHeading"/>
      </w:pPr>
      <w:bookmarkStart w:id="1098" w:name="_Toc100238838"/>
      <w:bookmarkStart w:id="1099" w:name="_Toc100239452"/>
      <w:bookmarkStart w:id="1100" w:name="_Toc100562746"/>
      <w:bookmarkStart w:id="1101" w:name="_Toc107310382"/>
      <w:bookmarkStart w:id="1102" w:name="_Toc107480236"/>
      <w:bookmarkStart w:id="1103" w:name="_Toc131501602"/>
      <w:bookmarkStart w:id="1104" w:name="_Toc131502220"/>
      <w:bookmarkStart w:id="1105" w:name="_Toc131514816"/>
      <w:r>
        <w:rPr>
          <w:rStyle w:val="CharSchNo"/>
        </w:rPr>
        <w:lastRenderedPageBreak/>
        <w:t>Schedule 2</w:t>
      </w:r>
      <w:r>
        <w:t> —</w:t>
      </w:r>
      <w:r>
        <w:rPr>
          <w:rStyle w:val="CharSDivText"/>
        </w:rPr>
        <w:t> </w:t>
      </w:r>
      <w:r>
        <w:rPr>
          <w:rStyle w:val="CharSchText"/>
        </w:rPr>
        <w:t>Table of compensation payable</w:t>
      </w:r>
      <w:bookmarkEnd w:id="1098"/>
      <w:bookmarkEnd w:id="1099"/>
      <w:bookmarkEnd w:id="1100"/>
      <w:bookmarkEnd w:id="1101"/>
      <w:bookmarkEnd w:id="1102"/>
      <w:bookmarkEnd w:id="1103"/>
      <w:bookmarkEnd w:id="1104"/>
      <w:bookmarkEnd w:id="1105"/>
    </w:p>
    <w:p>
      <w:pPr>
        <w:pStyle w:val="yShoulderClause"/>
      </w:pPr>
      <w:r>
        <w:rPr>
          <w:snapToGrid w:val="0"/>
        </w:rPr>
        <w:t>[s. 24]</w:t>
      </w:r>
    </w:p>
    <w:p>
      <w:pPr>
        <w:pStyle w:val="yFootnoteheading"/>
      </w:pPr>
      <w:r>
        <w:tab/>
        <w:t xml:space="preserve">[Heading inserted: No. 42 of 2004 s. 142(1); </w:t>
      </w:r>
      <w:r>
        <w:rPr>
          <w:snapToGrid w:val="0"/>
        </w:rPr>
        <w:t>amended: No. 19 of 2010 s. 4</w:t>
      </w:r>
      <w:r>
        <w:t>.]</w:t>
      </w:r>
    </w:p>
    <w:p>
      <w:pPr>
        <w:pStyle w:val="yHeading2"/>
        <w:spacing w:before="200"/>
      </w:pPr>
      <w:bookmarkStart w:id="1106" w:name="_Toc100238839"/>
      <w:bookmarkStart w:id="1107" w:name="_Toc100239453"/>
      <w:bookmarkStart w:id="1108" w:name="_Toc100562747"/>
      <w:bookmarkStart w:id="1109" w:name="_Toc107310383"/>
      <w:bookmarkStart w:id="1110" w:name="_Toc107480237"/>
      <w:bookmarkStart w:id="1111" w:name="_Toc131501603"/>
      <w:bookmarkStart w:id="1112" w:name="_Toc131502221"/>
      <w:bookmarkStart w:id="1113" w:name="_Toc131514817"/>
      <w:r>
        <w:rPr>
          <w:rStyle w:val="CharSDivNo"/>
          <w:sz w:val="28"/>
        </w:rPr>
        <w:t>Part 1</w:t>
      </w:r>
      <w:bookmarkEnd w:id="1106"/>
      <w:bookmarkEnd w:id="1107"/>
      <w:bookmarkEnd w:id="1108"/>
      <w:bookmarkEnd w:id="1109"/>
      <w:bookmarkEnd w:id="1110"/>
      <w:bookmarkEnd w:id="1111"/>
      <w:bookmarkEnd w:id="1112"/>
      <w:bookmarkEnd w:id="1113"/>
    </w:p>
    <w:p>
      <w:pPr>
        <w:pStyle w:val="yFootnoteheading"/>
        <w:spacing w:after="40"/>
      </w:pPr>
      <w:r>
        <w:tab/>
        <w:t>[Heading inserted: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gridCol w:w="28"/>
      </w:tblGrid>
      <w:tr>
        <w:trPr>
          <w:gridAfter w:val="1"/>
          <w:wAfter w:w="28" w:type="dxa"/>
          <w:tblHeader/>
        </w:trPr>
        <w:tc>
          <w:tcPr>
            <w:tcW w:w="5245" w:type="dxa"/>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rPr>
          <w:gridAfter w:val="1"/>
          <w:wAfter w:w="28" w:type="dxa"/>
          <w:tblHeader/>
        </w:trPr>
        <w:tc>
          <w:tcPr>
            <w:tcW w:w="5245" w:type="dxa"/>
          </w:tcPr>
          <w:p>
            <w:pPr>
              <w:pStyle w:val="yTableNAm"/>
              <w:spacing w:before="60"/>
            </w:pPr>
          </w:p>
        </w:tc>
        <w:tc>
          <w:tcPr>
            <w:tcW w:w="1843" w:type="dxa"/>
          </w:tcPr>
          <w:p>
            <w:pPr>
              <w:pStyle w:val="yTableNAm"/>
              <w:spacing w:before="60"/>
              <w:jc w:val="center"/>
              <w:rPr>
                <w:b/>
                <w:bCs/>
                <w:i/>
              </w:rPr>
            </w:pPr>
            <w:r>
              <w:rPr>
                <w:b/>
                <w:bCs/>
                <w:i/>
              </w:rPr>
              <w:t>%</w:t>
            </w:r>
          </w:p>
        </w:tc>
      </w:tr>
      <w:tr>
        <w:tblPrEx>
          <w:tblCellMar>
            <w:left w:w="113" w:type="dxa"/>
            <w:right w:w="113" w:type="dxa"/>
          </w:tblCellMar>
        </w:tblPrEx>
        <w:tc>
          <w:tcPr>
            <w:tcW w:w="5245" w:type="dxa"/>
          </w:tcPr>
          <w:p>
            <w:pPr>
              <w:pStyle w:val="yTableNAm"/>
              <w:spacing w:before="60"/>
            </w:pPr>
            <w:r>
              <w:tab/>
              <w:t>EYES</w:t>
            </w:r>
          </w:p>
        </w:tc>
        <w:tc>
          <w:tcPr>
            <w:tcW w:w="1843" w:type="dxa"/>
            <w:gridSpan w:val="2"/>
          </w:tcPr>
          <w:p>
            <w:pPr>
              <w:pStyle w:val="yTableNAm"/>
              <w:spacing w:before="60"/>
            </w:pPr>
          </w:p>
        </w:tc>
      </w:tr>
      <w:tr>
        <w:tblPrEx>
          <w:tblCellMar>
            <w:left w:w="113" w:type="dxa"/>
            <w:right w:w="113" w:type="dxa"/>
          </w:tblCellMar>
        </w:tblPrEx>
        <w:tc>
          <w:tcPr>
            <w:tcW w:w="5245" w:type="dxa"/>
          </w:tcPr>
          <w:p>
            <w:pPr>
              <w:pStyle w:val="yTableNAm"/>
              <w:spacing w:before="60"/>
              <w:ind w:left="607" w:hanging="607"/>
            </w:pPr>
            <w:r>
              <w:t>1.</w:t>
            </w:r>
            <w:r>
              <w:tab/>
              <w:t>Total loss of sight of both eyes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2.</w:t>
            </w:r>
            <w:r>
              <w:tab/>
              <w:t>Total loss of sight of an only eye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w:t>
            </w:r>
            <w:r>
              <w:tab/>
              <w:t>Total loss of sight of one eye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4.</w:t>
            </w:r>
            <w:r>
              <w:tab/>
              <w:t>Total loss of sight of one eye and serious diminution of the sight of the other eye ................</w:t>
            </w:r>
          </w:p>
        </w:tc>
        <w:tc>
          <w:tcPr>
            <w:tcW w:w="1843" w:type="dxa"/>
            <w:gridSpan w:val="2"/>
          </w:tcPr>
          <w:p>
            <w:pPr>
              <w:pStyle w:val="yTableNAm"/>
              <w:tabs>
                <w:tab w:val="clear" w:pos="567"/>
                <w:tab w:val="right" w:pos="882"/>
              </w:tabs>
              <w:spacing w:before="60"/>
            </w:pPr>
            <w:r>
              <w:br/>
            </w:r>
            <w:r>
              <w:tab/>
              <w:t>75</w:t>
            </w:r>
          </w:p>
        </w:tc>
      </w:tr>
      <w:tr>
        <w:tblPrEx>
          <w:tblCellMar>
            <w:left w:w="113" w:type="dxa"/>
            <w:right w:w="113" w:type="dxa"/>
          </w:tblCellMar>
        </w:tblPrEx>
        <w:tc>
          <w:tcPr>
            <w:tcW w:w="5245" w:type="dxa"/>
          </w:tcPr>
          <w:p>
            <w:pPr>
              <w:pStyle w:val="yTableNAm"/>
              <w:spacing w:before="60"/>
            </w:pPr>
            <w:r>
              <w:t>5.</w:t>
            </w:r>
            <w:r>
              <w:tab/>
              <w:t>Loss of binocular vision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pPr>
            <w:r>
              <w:tab/>
              <w:t>HEARING</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6.</w:t>
            </w:r>
            <w:r>
              <w:tab/>
              <w:t>Total loss of hearing ..............................................</w:t>
            </w:r>
          </w:p>
        </w:tc>
        <w:tc>
          <w:tcPr>
            <w:tcW w:w="1843" w:type="dxa"/>
            <w:gridSpan w:val="2"/>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SPEECH</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7.</w:t>
            </w:r>
            <w:r>
              <w:tab/>
              <w:t>Total loss of power of speech ................................</w:t>
            </w:r>
          </w:p>
        </w:tc>
        <w:tc>
          <w:tcPr>
            <w:tcW w:w="1843" w:type="dxa"/>
            <w:gridSpan w:val="2"/>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BODY AND MENTAL</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ind w:left="607" w:hanging="607"/>
            </w:pPr>
            <w:r>
              <w:t>8.</w:t>
            </w:r>
            <w:r>
              <w:tab/>
              <w:t>Permanent and incurable loss of mental capacity resulting in total inability to work .........................</w:t>
            </w:r>
          </w:p>
        </w:tc>
        <w:tc>
          <w:tcPr>
            <w:tcW w:w="1843" w:type="dxa"/>
            <w:gridSpan w:val="2"/>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spacing w:before="60"/>
              <w:ind w:left="607" w:hanging="607"/>
            </w:pPr>
            <w:r>
              <w:t>9.</w:t>
            </w:r>
            <w:r>
              <w:tab/>
              <w:t>Total and incurable paralysis of the limbs or of mental powers .......................................................</w:t>
            </w:r>
          </w:p>
        </w:tc>
        <w:tc>
          <w:tcPr>
            <w:tcW w:w="1843" w:type="dxa"/>
            <w:gridSpan w:val="2"/>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pPr>
            <w:r>
              <w:tab/>
              <w:t>SENSORY</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10.</w:t>
            </w:r>
            <w:r>
              <w:tab/>
              <w:t>Total loss of sense of taste and smell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pPr>
            <w:r>
              <w:t>11.</w:t>
            </w:r>
            <w:r>
              <w:tab/>
              <w:t>Total loss of taste ...................................................</w:t>
            </w:r>
          </w:p>
        </w:tc>
        <w:tc>
          <w:tcPr>
            <w:tcW w:w="1843" w:type="dxa"/>
            <w:gridSpan w:val="2"/>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spacing w:before="60"/>
            </w:pPr>
            <w:r>
              <w:lastRenderedPageBreak/>
              <w:t>12.</w:t>
            </w:r>
            <w:r>
              <w:tab/>
              <w:t>Total loss of smell ..................................................</w:t>
            </w:r>
          </w:p>
        </w:tc>
        <w:tc>
          <w:tcPr>
            <w:tcW w:w="1843" w:type="dxa"/>
            <w:gridSpan w:val="2"/>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pPr>
            <w:r>
              <w:tab/>
              <w:t>ARM</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13.</w:t>
            </w:r>
            <w:r>
              <w:tab/>
              <w:t>Loss of arm at or above elbow ...............................</w:t>
            </w:r>
          </w:p>
        </w:tc>
        <w:tc>
          <w:tcPr>
            <w:tcW w:w="1843" w:type="dxa"/>
            <w:gridSpan w:val="2"/>
          </w:tcPr>
          <w:p>
            <w:pPr>
              <w:pStyle w:val="yTableNAm"/>
              <w:tabs>
                <w:tab w:val="clear" w:pos="567"/>
                <w:tab w:val="right" w:pos="882"/>
              </w:tabs>
              <w:spacing w:before="60"/>
            </w:pPr>
            <w:r>
              <w:tab/>
              <w:t>90</w:t>
            </w:r>
          </w:p>
        </w:tc>
      </w:tr>
      <w:tr>
        <w:tblPrEx>
          <w:tblCellMar>
            <w:left w:w="113" w:type="dxa"/>
            <w:right w:w="113" w:type="dxa"/>
          </w:tblCellMar>
        </w:tblPrEx>
        <w:tc>
          <w:tcPr>
            <w:tcW w:w="5245" w:type="dxa"/>
          </w:tcPr>
          <w:p>
            <w:pPr>
              <w:pStyle w:val="yTableNAm"/>
              <w:spacing w:before="60"/>
            </w:pPr>
            <w:r>
              <w:t>14.</w:t>
            </w:r>
            <w:r>
              <w:tab/>
              <w:t>Loss of arm below elbow .......................................</w:t>
            </w:r>
          </w:p>
        </w:tc>
        <w:tc>
          <w:tcPr>
            <w:tcW w:w="1843" w:type="dxa"/>
            <w:gridSpan w:val="2"/>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pPr>
            <w:r>
              <w:tab/>
              <w:t>HAND</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15.</w:t>
            </w:r>
            <w:r>
              <w:tab/>
              <w:t>Loss of both hands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16.</w:t>
            </w:r>
            <w:r>
              <w:tab/>
              <w:t>Loss of a hand and foot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17.</w:t>
            </w:r>
            <w:r>
              <w:tab/>
              <w:t>Loss of hand or thumb and 4 fingers .....................</w:t>
            </w:r>
          </w:p>
        </w:tc>
        <w:tc>
          <w:tcPr>
            <w:tcW w:w="1843" w:type="dxa"/>
            <w:gridSpan w:val="2"/>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spacing w:before="60"/>
            </w:pPr>
            <w:r>
              <w:t>18.</w:t>
            </w:r>
            <w:r>
              <w:tab/>
              <w:t>Loss of thumb ........................................................</w:t>
            </w:r>
          </w:p>
        </w:tc>
        <w:tc>
          <w:tcPr>
            <w:tcW w:w="1843" w:type="dxa"/>
            <w:gridSpan w:val="2"/>
          </w:tcPr>
          <w:p>
            <w:pPr>
              <w:pStyle w:val="yTableNAm"/>
              <w:tabs>
                <w:tab w:val="clear" w:pos="567"/>
                <w:tab w:val="right" w:pos="882"/>
              </w:tabs>
              <w:spacing w:before="60"/>
            </w:pPr>
            <w:r>
              <w:tab/>
              <w:t>35</w:t>
            </w:r>
          </w:p>
        </w:tc>
      </w:tr>
      <w:tr>
        <w:tblPrEx>
          <w:tblCellMar>
            <w:left w:w="113" w:type="dxa"/>
            <w:right w:w="113" w:type="dxa"/>
          </w:tblCellMar>
        </w:tblPrEx>
        <w:tc>
          <w:tcPr>
            <w:tcW w:w="5245" w:type="dxa"/>
          </w:tcPr>
          <w:p>
            <w:pPr>
              <w:pStyle w:val="yTableNAm"/>
              <w:spacing w:before="60"/>
            </w:pPr>
            <w:r>
              <w:t>19.</w:t>
            </w:r>
            <w:r>
              <w:tab/>
              <w:t>Loss of forefinger ...................................................</w:t>
            </w:r>
          </w:p>
        </w:tc>
        <w:tc>
          <w:tcPr>
            <w:tcW w:w="1843" w:type="dxa"/>
            <w:gridSpan w:val="2"/>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20.</w:t>
            </w:r>
            <w:r>
              <w:tab/>
              <w:t>Loss of middle finger .............................................</w:t>
            </w:r>
          </w:p>
        </w:tc>
        <w:tc>
          <w:tcPr>
            <w:tcW w:w="1843" w:type="dxa"/>
            <w:gridSpan w:val="2"/>
          </w:tcPr>
          <w:p>
            <w:pPr>
              <w:pStyle w:val="yTableNAm"/>
              <w:tabs>
                <w:tab w:val="clear" w:pos="567"/>
                <w:tab w:val="right" w:pos="882"/>
              </w:tabs>
              <w:spacing w:before="60"/>
            </w:pPr>
            <w:r>
              <w:tab/>
              <w:t>13</w:t>
            </w:r>
          </w:p>
        </w:tc>
      </w:tr>
      <w:tr>
        <w:tblPrEx>
          <w:tblCellMar>
            <w:left w:w="113" w:type="dxa"/>
            <w:right w:w="113" w:type="dxa"/>
          </w:tblCellMar>
        </w:tblPrEx>
        <w:tc>
          <w:tcPr>
            <w:tcW w:w="5245" w:type="dxa"/>
          </w:tcPr>
          <w:p>
            <w:pPr>
              <w:pStyle w:val="yTableNAm"/>
              <w:spacing w:before="60"/>
            </w:pPr>
            <w:r>
              <w:t>21.</w:t>
            </w:r>
            <w:r>
              <w:tab/>
              <w:t>Loss of ring finger ..................................................</w:t>
            </w:r>
          </w:p>
        </w:tc>
        <w:tc>
          <w:tcPr>
            <w:tcW w:w="1843" w:type="dxa"/>
            <w:gridSpan w:val="2"/>
          </w:tcPr>
          <w:p>
            <w:pPr>
              <w:pStyle w:val="yTableNAm"/>
              <w:tabs>
                <w:tab w:val="clear" w:pos="567"/>
                <w:tab w:val="right" w:pos="882"/>
              </w:tabs>
              <w:spacing w:before="60"/>
            </w:pPr>
            <w:r>
              <w:tab/>
              <w:t>9</w:t>
            </w:r>
          </w:p>
        </w:tc>
      </w:tr>
      <w:tr>
        <w:tblPrEx>
          <w:tblCellMar>
            <w:left w:w="113" w:type="dxa"/>
            <w:right w:w="113" w:type="dxa"/>
          </w:tblCellMar>
        </w:tblPrEx>
        <w:tc>
          <w:tcPr>
            <w:tcW w:w="5245" w:type="dxa"/>
          </w:tcPr>
          <w:p>
            <w:pPr>
              <w:pStyle w:val="yTableNAm"/>
              <w:spacing w:before="60"/>
            </w:pPr>
            <w:r>
              <w:t>22.</w:t>
            </w:r>
            <w:r>
              <w:tab/>
              <w:t>Loss of little finger .................................................</w:t>
            </w:r>
          </w:p>
        </w:tc>
        <w:tc>
          <w:tcPr>
            <w:tcW w:w="1843" w:type="dxa"/>
            <w:gridSpan w:val="2"/>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23.</w:t>
            </w:r>
            <w:r>
              <w:tab/>
              <w:t>Total loss of movement of joint of thumb .............</w:t>
            </w:r>
          </w:p>
        </w:tc>
        <w:tc>
          <w:tcPr>
            <w:tcW w:w="1843" w:type="dxa"/>
            <w:gridSpan w:val="2"/>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24.</w:t>
            </w:r>
            <w:r>
              <w:tab/>
              <w:t>Total loss of distal phalanx of thumb .....................</w:t>
            </w:r>
          </w:p>
        </w:tc>
        <w:tc>
          <w:tcPr>
            <w:tcW w:w="1843" w:type="dxa"/>
            <w:gridSpan w:val="2"/>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ind w:left="607" w:hanging="607"/>
            </w:pPr>
            <w:r>
              <w:t>25.</w:t>
            </w:r>
            <w:r>
              <w:tab/>
              <w:t>Total loss of portion of terminal segment of thumb involving one</w:t>
            </w:r>
            <w:r>
              <w:noBreakHyphen/>
              <w:t>third of its flexor surface without loss of distal phalanx ................................</w:t>
            </w:r>
          </w:p>
        </w:tc>
        <w:tc>
          <w:tcPr>
            <w:tcW w:w="1843" w:type="dxa"/>
            <w:gridSpan w:val="2"/>
          </w:tcPr>
          <w:p>
            <w:pPr>
              <w:pStyle w:val="yTableNAm"/>
              <w:tabs>
                <w:tab w:val="clear" w:pos="567"/>
                <w:tab w:val="right" w:pos="882"/>
              </w:tabs>
              <w:spacing w:before="60"/>
            </w:pPr>
            <w:r>
              <w:br/>
            </w:r>
            <w:r>
              <w:br/>
            </w:r>
            <w:r>
              <w:tab/>
              <w:t>15</w:t>
            </w:r>
          </w:p>
        </w:tc>
      </w:tr>
      <w:tr>
        <w:tblPrEx>
          <w:tblCellMar>
            <w:left w:w="113" w:type="dxa"/>
            <w:right w:w="113" w:type="dxa"/>
          </w:tblCellMar>
        </w:tblPrEx>
        <w:tc>
          <w:tcPr>
            <w:tcW w:w="5245" w:type="dxa"/>
          </w:tcPr>
          <w:p>
            <w:pPr>
              <w:pStyle w:val="yTableNAm"/>
              <w:spacing w:before="60"/>
            </w:pPr>
            <w:r>
              <w:t>26.</w:t>
            </w:r>
            <w:r>
              <w:tab/>
              <w:t>Total loss of distal phalanx of forefinger ...............</w:t>
            </w:r>
          </w:p>
        </w:tc>
        <w:tc>
          <w:tcPr>
            <w:tcW w:w="1843" w:type="dxa"/>
            <w:gridSpan w:val="2"/>
          </w:tcPr>
          <w:p>
            <w:pPr>
              <w:pStyle w:val="yTableNAm"/>
              <w:tabs>
                <w:tab w:val="clear" w:pos="567"/>
                <w:tab w:val="right" w:pos="882"/>
              </w:tabs>
              <w:spacing w:before="60"/>
            </w:pPr>
            <w:r>
              <w:tab/>
              <w:t>10</w:t>
            </w:r>
          </w:p>
        </w:tc>
      </w:tr>
      <w:tr>
        <w:tblPrEx>
          <w:tblCellMar>
            <w:left w:w="113" w:type="dxa"/>
            <w:right w:w="113" w:type="dxa"/>
          </w:tblCellMar>
        </w:tblPrEx>
        <w:tc>
          <w:tcPr>
            <w:tcW w:w="5245" w:type="dxa"/>
          </w:tcPr>
          <w:p>
            <w:pPr>
              <w:pStyle w:val="yTableNAm"/>
              <w:spacing w:before="60"/>
            </w:pPr>
            <w:r>
              <w:t>27.</w:t>
            </w:r>
            <w:r>
              <w:tab/>
              <w:t>Total loss of distal phalanx of</w:t>
            </w:r>
          </w:p>
        </w:tc>
        <w:tc>
          <w:tcPr>
            <w:tcW w:w="1843" w:type="dxa"/>
            <w:gridSpan w:val="2"/>
          </w:tcPr>
          <w:p>
            <w:pPr>
              <w:pStyle w:val="yTableNAm"/>
              <w:spacing w:before="60"/>
            </w:pPr>
          </w:p>
        </w:tc>
      </w:tr>
      <w:tr>
        <w:tblPrEx>
          <w:tblCellMar>
            <w:left w:w="113" w:type="dxa"/>
            <w:right w:w="113" w:type="dxa"/>
          </w:tblCellMar>
        </w:tblPrEx>
        <w:tc>
          <w:tcPr>
            <w:tcW w:w="5245" w:type="dxa"/>
          </w:tcPr>
          <w:p>
            <w:pPr>
              <w:pStyle w:val="yTableNAm"/>
              <w:spacing w:before="60"/>
            </w:pPr>
            <w:r>
              <w:tab/>
              <w:t> — middle finger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ab/>
              <w:t> — ring finger ........................................................</w:t>
            </w:r>
          </w:p>
        </w:tc>
        <w:tc>
          <w:tcPr>
            <w:tcW w:w="1843" w:type="dxa"/>
            <w:gridSpan w:val="2"/>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ab/>
              <w:t> — little finger ........................................................</w:t>
            </w:r>
          </w:p>
        </w:tc>
        <w:tc>
          <w:tcPr>
            <w:tcW w:w="1843" w:type="dxa"/>
            <w:gridSpan w:val="2"/>
          </w:tcPr>
          <w:p>
            <w:pPr>
              <w:pStyle w:val="yTableNAm"/>
              <w:tabs>
                <w:tab w:val="clear" w:pos="567"/>
                <w:tab w:val="right" w:pos="882"/>
              </w:tabs>
              <w:spacing w:before="60"/>
            </w:pPr>
            <w:r>
              <w:tab/>
              <w:t>4</w:t>
            </w:r>
          </w:p>
        </w:tc>
      </w:tr>
      <w:tr>
        <w:tblPrEx>
          <w:tblCellMar>
            <w:left w:w="113" w:type="dxa"/>
            <w:right w:w="113" w:type="dxa"/>
          </w:tblCellMar>
        </w:tblPrEx>
        <w:trPr>
          <w:cantSplit/>
        </w:trPr>
        <w:tc>
          <w:tcPr>
            <w:tcW w:w="5245" w:type="dxa"/>
          </w:tcPr>
          <w:p>
            <w:pPr>
              <w:pStyle w:val="yTableNAm"/>
              <w:spacing w:before="60"/>
              <w:ind w:left="607" w:hanging="607"/>
            </w:pPr>
            <w:r>
              <w:t>27A.</w:t>
            </w:r>
            <w:r>
              <w:tab/>
              <w:t>Total loss of distal phalanx of each finger of the same hand (not including the thumb) in one accident .................................................................</w:t>
            </w:r>
          </w:p>
        </w:tc>
        <w:tc>
          <w:tcPr>
            <w:tcW w:w="1843" w:type="dxa"/>
            <w:gridSpan w:val="2"/>
          </w:tcPr>
          <w:p>
            <w:pPr>
              <w:pStyle w:val="yTableNAm"/>
              <w:tabs>
                <w:tab w:val="clear" w:pos="567"/>
                <w:tab w:val="right" w:pos="882"/>
              </w:tabs>
              <w:spacing w:before="60"/>
            </w:pPr>
            <w:r>
              <w:br/>
            </w:r>
            <w:r>
              <w:br/>
            </w:r>
            <w:r>
              <w:tab/>
              <w:t>31</w:t>
            </w:r>
          </w:p>
        </w:tc>
      </w:tr>
      <w:tr>
        <w:tblPrEx>
          <w:tblCellMar>
            <w:left w:w="113" w:type="dxa"/>
            <w:right w:w="113" w:type="dxa"/>
          </w:tblCellMar>
        </w:tblPrEx>
        <w:tc>
          <w:tcPr>
            <w:tcW w:w="5245" w:type="dxa"/>
          </w:tcPr>
          <w:p>
            <w:pPr>
              <w:pStyle w:val="yTableNAm"/>
            </w:pPr>
            <w:r>
              <w:lastRenderedPageBreak/>
              <w:tab/>
              <w:t>LEG</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28.</w:t>
            </w:r>
            <w:r>
              <w:tab/>
              <w:t>Loss of leg at or above knee ..................................</w:t>
            </w:r>
          </w:p>
        </w:tc>
        <w:tc>
          <w:tcPr>
            <w:tcW w:w="1843" w:type="dxa"/>
            <w:gridSpan w:val="2"/>
          </w:tcPr>
          <w:p>
            <w:pPr>
              <w:pStyle w:val="yTableNAm"/>
              <w:tabs>
                <w:tab w:val="clear" w:pos="567"/>
                <w:tab w:val="right" w:pos="882"/>
              </w:tabs>
              <w:spacing w:before="60"/>
            </w:pPr>
            <w:r>
              <w:tab/>
              <w:t>70</w:t>
            </w:r>
          </w:p>
        </w:tc>
      </w:tr>
      <w:tr>
        <w:tblPrEx>
          <w:tblCellMar>
            <w:left w:w="113" w:type="dxa"/>
            <w:right w:w="113" w:type="dxa"/>
          </w:tblCellMar>
        </w:tblPrEx>
        <w:tc>
          <w:tcPr>
            <w:tcW w:w="5245" w:type="dxa"/>
          </w:tcPr>
          <w:p>
            <w:pPr>
              <w:pStyle w:val="yTableNAm"/>
              <w:spacing w:before="60"/>
            </w:pPr>
            <w:r>
              <w:t>29.</w:t>
            </w:r>
            <w:r>
              <w:tab/>
              <w:t>Loss of leg below knee ..........................................</w:t>
            </w:r>
          </w:p>
        </w:tc>
        <w:tc>
          <w:tcPr>
            <w:tcW w:w="1843" w:type="dxa"/>
            <w:gridSpan w:val="2"/>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pPr>
            <w:r>
              <w:tab/>
              <w:t>FEET</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30.</w:t>
            </w:r>
            <w:r>
              <w:tab/>
              <w:t>Loss of both feet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31.</w:t>
            </w:r>
            <w:r>
              <w:tab/>
              <w:t>Loss of foot ............................................................</w:t>
            </w:r>
          </w:p>
        </w:tc>
        <w:tc>
          <w:tcPr>
            <w:tcW w:w="1843" w:type="dxa"/>
            <w:gridSpan w:val="2"/>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spacing w:before="60"/>
            </w:pPr>
            <w:r>
              <w:t>32.</w:t>
            </w:r>
            <w:r>
              <w:tab/>
              <w:t>Loss of great toe .....................................................</w:t>
            </w:r>
          </w:p>
        </w:tc>
        <w:tc>
          <w:tcPr>
            <w:tcW w:w="1843" w:type="dxa"/>
            <w:gridSpan w:val="2"/>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pPr>
            <w:r>
              <w:t>33.</w:t>
            </w:r>
            <w:r>
              <w:tab/>
              <w:t>Loss of any other toe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34.</w:t>
            </w:r>
            <w:r>
              <w:tab/>
              <w:t>Loss of 2 phalanges of any other toe .....................</w:t>
            </w:r>
          </w:p>
        </w:tc>
        <w:tc>
          <w:tcPr>
            <w:tcW w:w="1843" w:type="dxa"/>
            <w:gridSpan w:val="2"/>
          </w:tcPr>
          <w:p>
            <w:pPr>
              <w:pStyle w:val="yTableNAm"/>
              <w:tabs>
                <w:tab w:val="clear" w:pos="567"/>
                <w:tab w:val="right" w:pos="882"/>
              </w:tabs>
              <w:spacing w:before="60"/>
            </w:pPr>
            <w:r>
              <w:tab/>
              <w:t>5</w:t>
            </w:r>
          </w:p>
        </w:tc>
      </w:tr>
      <w:tr>
        <w:tblPrEx>
          <w:tblCellMar>
            <w:left w:w="113" w:type="dxa"/>
            <w:right w:w="113" w:type="dxa"/>
          </w:tblCellMar>
        </w:tblPrEx>
        <w:tc>
          <w:tcPr>
            <w:tcW w:w="5245" w:type="dxa"/>
          </w:tcPr>
          <w:p>
            <w:pPr>
              <w:pStyle w:val="yTableNAm"/>
              <w:spacing w:before="60"/>
            </w:pPr>
            <w:r>
              <w:t>35.</w:t>
            </w:r>
            <w:r>
              <w:tab/>
              <w:t>Loss of phalanx of great toe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36.</w:t>
            </w:r>
            <w:r>
              <w:tab/>
              <w:t>Loss of phalanx of any other toe ............................</w:t>
            </w:r>
          </w:p>
        </w:tc>
        <w:tc>
          <w:tcPr>
            <w:tcW w:w="1843" w:type="dxa"/>
            <w:gridSpan w:val="2"/>
          </w:tcPr>
          <w:p>
            <w:pPr>
              <w:pStyle w:val="yTableNAm"/>
              <w:tabs>
                <w:tab w:val="clear" w:pos="567"/>
                <w:tab w:val="right" w:pos="882"/>
              </w:tabs>
              <w:spacing w:before="60"/>
            </w:pPr>
            <w:r>
              <w:tab/>
              <w:t>4</w:t>
            </w:r>
          </w:p>
        </w:tc>
      </w:tr>
      <w:tr>
        <w:tblPrEx>
          <w:tblCellMar>
            <w:left w:w="113" w:type="dxa"/>
            <w:right w:w="113" w:type="dxa"/>
          </w:tblCellMar>
        </w:tblPrEx>
        <w:tc>
          <w:tcPr>
            <w:tcW w:w="5245" w:type="dxa"/>
          </w:tcPr>
          <w:p>
            <w:pPr>
              <w:pStyle w:val="yTableNAm"/>
            </w:pPr>
            <w:r>
              <w:tab/>
              <w:t>BACKS, NECK AND PELVIS</w:t>
            </w:r>
          </w:p>
          <w:p>
            <w:pPr>
              <w:pStyle w:val="yTableNAm"/>
              <w:spacing w:before="60"/>
              <w:ind w:left="607" w:hanging="607"/>
            </w:pPr>
            <w:r>
              <w:t>36A.</w:t>
            </w:r>
            <w:r>
              <w:tab/>
              <w:t>Permanent loss of the full efficient use of the back (including thoracic and lumbar spine)....................</w:t>
            </w:r>
          </w:p>
        </w:tc>
        <w:tc>
          <w:tcPr>
            <w:tcW w:w="1843" w:type="dxa"/>
            <w:gridSpan w:val="2"/>
          </w:tcPr>
          <w:p>
            <w:pPr>
              <w:pStyle w:val="yTableNAm"/>
            </w:pPr>
          </w:p>
          <w:p>
            <w:pPr>
              <w:pStyle w:val="yTableNAm"/>
              <w:tabs>
                <w:tab w:val="clear" w:pos="567"/>
                <w:tab w:val="right" w:pos="882"/>
              </w:tabs>
              <w:spacing w:before="60"/>
            </w:pPr>
            <w:r>
              <w:br/>
            </w:r>
            <w:r>
              <w:tab/>
              <w:t>60</w:t>
            </w:r>
          </w:p>
        </w:tc>
      </w:tr>
      <w:tr>
        <w:tblPrEx>
          <w:tblCellMar>
            <w:left w:w="113" w:type="dxa"/>
            <w:right w:w="113" w:type="dxa"/>
          </w:tblCellMar>
        </w:tblPrEx>
        <w:tc>
          <w:tcPr>
            <w:tcW w:w="5245" w:type="dxa"/>
          </w:tcPr>
          <w:p>
            <w:pPr>
              <w:pStyle w:val="yTableNAm"/>
              <w:spacing w:before="60"/>
              <w:ind w:left="607" w:hanging="607"/>
            </w:pPr>
            <w:r>
              <w:t>36B.</w:t>
            </w:r>
            <w:r>
              <w:tab/>
              <w:t>Permanent loss of the full efficient use of the neck (including cervical spine) ......................................</w:t>
            </w:r>
          </w:p>
        </w:tc>
        <w:tc>
          <w:tcPr>
            <w:tcW w:w="1843" w:type="dxa"/>
            <w:gridSpan w:val="2"/>
          </w:tcPr>
          <w:p>
            <w:pPr>
              <w:pStyle w:val="yTableNAm"/>
              <w:spacing w:before="60"/>
            </w:pPr>
          </w:p>
          <w:p>
            <w:pPr>
              <w:pStyle w:val="yTableNAm"/>
              <w:tabs>
                <w:tab w:val="clear" w:pos="567"/>
                <w:tab w:val="right" w:pos="882"/>
              </w:tabs>
              <w:spacing w:before="60"/>
            </w:pPr>
            <w:r>
              <w:tab/>
              <w:t>40</w:t>
            </w:r>
          </w:p>
        </w:tc>
      </w:tr>
      <w:tr>
        <w:tblPrEx>
          <w:tblCellMar>
            <w:left w:w="113" w:type="dxa"/>
            <w:right w:w="113" w:type="dxa"/>
          </w:tblCellMar>
        </w:tblPrEx>
        <w:tc>
          <w:tcPr>
            <w:tcW w:w="5245" w:type="dxa"/>
          </w:tcPr>
          <w:p>
            <w:pPr>
              <w:pStyle w:val="yTableNAm"/>
              <w:spacing w:before="60"/>
              <w:ind w:left="607" w:hanging="607"/>
            </w:pPr>
            <w:r>
              <w:t>36C.</w:t>
            </w:r>
            <w:r>
              <w:tab/>
              <w:t>Permanent loss of the full efficient use of the pelvis .....................................................................</w:t>
            </w:r>
          </w:p>
        </w:tc>
        <w:tc>
          <w:tcPr>
            <w:tcW w:w="1843" w:type="dxa"/>
            <w:gridSpan w:val="2"/>
          </w:tcPr>
          <w:p>
            <w:pPr>
              <w:pStyle w:val="yTableNAm"/>
              <w:tabs>
                <w:tab w:val="clear" w:pos="567"/>
                <w:tab w:val="right" w:pos="882"/>
              </w:tabs>
              <w:spacing w:before="60"/>
            </w:pPr>
            <w:r>
              <w:br/>
            </w:r>
            <w:r>
              <w:tab/>
              <w:t>15</w:t>
            </w:r>
          </w:p>
        </w:tc>
      </w:tr>
      <w:tr>
        <w:tblPrEx>
          <w:tblCellMar>
            <w:left w:w="113" w:type="dxa"/>
            <w:right w:w="113" w:type="dxa"/>
          </w:tblCellMar>
        </w:tblPrEx>
        <w:tc>
          <w:tcPr>
            <w:tcW w:w="5245" w:type="dxa"/>
          </w:tcPr>
          <w:p>
            <w:pPr>
              <w:pStyle w:val="yTableNAm"/>
            </w:pPr>
            <w:r>
              <w:tab/>
              <w:t>MISCELLANEOUS</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37.</w:t>
            </w:r>
            <w:r>
              <w:tab/>
              <w:t>Loss of genitals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38.</w:t>
            </w:r>
            <w:r>
              <w:tab/>
              <w:t>Severe facial scarring or disfigurement to a maximum of ..........................................................</w:t>
            </w:r>
          </w:p>
        </w:tc>
        <w:tc>
          <w:tcPr>
            <w:tcW w:w="1843" w:type="dxa"/>
            <w:gridSpan w:val="2"/>
          </w:tcPr>
          <w:p>
            <w:pPr>
              <w:pStyle w:val="yTableNAm"/>
              <w:tabs>
                <w:tab w:val="clear" w:pos="567"/>
                <w:tab w:val="right" w:pos="882"/>
              </w:tabs>
              <w:spacing w:before="60"/>
            </w:pPr>
            <w:r>
              <w:br/>
            </w:r>
            <w:r>
              <w:tab/>
              <w:t>80</w:t>
            </w:r>
          </w:p>
        </w:tc>
      </w:tr>
      <w:tr>
        <w:tblPrEx>
          <w:tblCellMar>
            <w:left w:w="113" w:type="dxa"/>
            <w:right w:w="113" w:type="dxa"/>
          </w:tblCellMar>
        </w:tblPrEx>
        <w:trPr>
          <w:cantSplit/>
        </w:trPr>
        <w:tc>
          <w:tcPr>
            <w:tcW w:w="5245" w:type="dxa"/>
          </w:tcPr>
          <w:p>
            <w:pPr>
              <w:pStyle w:val="yTableNAm"/>
              <w:spacing w:before="60"/>
              <w:ind w:left="607" w:hanging="607"/>
            </w:pPr>
            <w:r>
              <w:t>39.</w:t>
            </w:r>
            <w:r>
              <w:tab/>
              <w:t>Severe bodily, other than facial, scarring or disfigurement to a maximum of ............................</w:t>
            </w:r>
          </w:p>
        </w:tc>
        <w:tc>
          <w:tcPr>
            <w:tcW w:w="1843" w:type="dxa"/>
            <w:gridSpan w:val="2"/>
          </w:tcPr>
          <w:p>
            <w:pPr>
              <w:pStyle w:val="yTableNAm"/>
              <w:tabs>
                <w:tab w:val="clear" w:pos="567"/>
                <w:tab w:val="right" w:pos="882"/>
              </w:tabs>
              <w:spacing w:before="60"/>
            </w:pPr>
            <w:r>
              <w:br/>
            </w:r>
            <w:r>
              <w:tab/>
              <w:t>50</w:t>
            </w:r>
          </w:p>
        </w:tc>
      </w:tr>
    </w:tbl>
    <w:p>
      <w:pPr>
        <w:pStyle w:val="yFootnotesection"/>
      </w:pPr>
      <w:r>
        <w:tab/>
        <w:t>[Part 1 amended: No. 44 of 1985 s. 42; No. 48 of 1993 s. 20; No. 34 of 1999 s. 54; No. 42 of 2004 s. 142(2).]</w:t>
      </w:r>
    </w:p>
    <w:p>
      <w:pPr>
        <w:pStyle w:val="yHeading2"/>
      </w:pPr>
      <w:bookmarkStart w:id="1114" w:name="_Toc100238840"/>
      <w:bookmarkStart w:id="1115" w:name="_Toc100239454"/>
      <w:bookmarkStart w:id="1116" w:name="_Toc100562748"/>
      <w:bookmarkStart w:id="1117" w:name="_Toc107310384"/>
      <w:bookmarkStart w:id="1118" w:name="_Toc107480238"/>
      <w:bookmarkStart w:id="1119" w:name="_Toc131501604"/>
      <w:bookmarkStart w:id="1120" w:name="_Toc131502222"/>
      <w:bookmarkStart w:id="1121" w:name="_Toc131514818"/>
      <w:r>
        <w:rPr>
          <w:rStyle w:val="CharSDivNo"/>
          <w:sz w:val="28"/>
        </w:rPr>
        <w:lastRenderedPageBreak/>
        <w:t>Part 2</w:t>
      </w:r>
      <w:bookmarkEnd w:id="1114"/>
      <w:bookmarkEnd w:id="1115"/>
      <w:bookmarkEnd w:id="1116"/>
      <w:bookmarkEnd w:id="1117"/>
      <w:bookmarkEnd w:id="1118"/>
      <w:bookmarkEnd w:id="1119"/>
      <w:bookmarkEnd w:id="1120"/>
      <w:bookmarkEnd w:id="1121"/>
    </w:p>
    <w:p>
      <w:pPr>
        <w:pStyle w:val="yFootnoteheading"/>
        <w:keepNext/>
        <w:spacing w:after="120"/>
      </w:pPr>
      <w:r>
        <w:tab/>
        <w:t>[Heading inserted: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808"/>
        <w:gridCol w:w="25"/>
      </w:tblGrid>
      <w:tr>
        <w:trPr>
          <w:gridAfter w:val="1"/>
          <w:wAfter w:w="25" w:type="dxa"/>
          <w:tblHeader/>
        </w:trPr>
        <w:tc>
          <w:tcPr>
            <w:tcW w:w="5245" w:type="dxa"/>
            <w:gridSpan w:val="2"/>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gridSpan w:val="2"/>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blPrEx>
          <w:tblCellMar>
            <w:left w:w="108" w:type="dxa"/>
            <w:right w:w="108" w:type="dxa"/>
          </w:tblCellMar>
        </w:tblPrEx>
        <w:trPr>
          <w:cantSplit/>
          <w:trHeight w:val="20"/>
          <w:tblHeader/>
        </w:trPr>
        <w:tc>
          <w:tcPr>
            <w:tcW w:w="720" w:type="dxa"/>
          </w:tcPr>
          <w:p>
            <w:pPr>
              <w:pStyle w:val="yTableNAm"/>
            </w:pPr>
          </w:p>
        </w:tc>
        <w:tc>
          <w:tcPr>
            <w:tcW w:w="4560" w:type="dxa"/>
            <w:gridSpan w:val="2"/>
          </w:tcPr>
          <w:p>
            <w:pPr>
              <w:pStyle w:val="yTableNAm"/>
            </w:pPr>
          </w:p>
        </w:tc>
        <w:tc>
          <w:tcPr>
            <w:tcW w:w="1800" w:type="dxa"/>
            <w:gridSpan w:val="2"/>
          </w:tcPr>
          <w:p>
            <w:pPr>
              <w:pStyle w:val="yTableNAm"/>
              <w:jc w:val="center"/>
              <w:rPr>
                <w:b/>
                <w:bCs/>
                <w:i/>
              </w:rPr>
            </w:pPr>
            <w:r>
              <w:rPr>
                <w:b/>
                <w:bCs/>
                <w:i/>
              </w:rPr>
              <w:t>%</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EYES</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40.</w:t>
            </w:r>
          </w:p>
        </w:tc>
        <w:tc>
          <w:tcPr>
            <w:tcW w:w="4560" w:type="dxa"/>
            <w:gridSpan w:val="2"/>
          </w:tcPr>
          <w:p>
            <w:pPr>
              <w:pStyle w:val="yTableNAm"/>
              <w:spacing w:before="60"/>
            </w:pPr>
            <w:r>
              <w:t>Impairment of sight of both eyes .........................</w:t>
            </w:r>
          </w:p>
        </w:tc>
        <w:tc>
          <w:tcPr>
            <w:tcW w:w="1800" w:type="dxa"/>
            <w:gridSpan w:val="2"/>
          </w:tcPr>
          <w:p>
            <w:pPr>
              <w:pStyle w:val="yTableNAm"/>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41.</w:t>
            </w:r>
          </w:p>
        </w:tc>
        <w:tc>
          <w:tcPr>
            <w:tcW w:w="4560" w:type="dxa"/>
            <w:gridSpan w:val="2"/>
          </w:tcPr>
          <w:p>
            <w:pPr>
              <w:pStyle w:val="yTableNAm"/>
              <w:spacing w:before="60"/>
            </w:pPr>
            <w:r>
              <w:t>Impairment of sight of an only eye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42.</w:t>
            </w:r>
          </w:p>
        </w:tc>
        <w:tc>
          <w:tcPr>
            <w:tcW w:w="4560" w:type="dxa"/>
            <w:gridSpan w:val="2"/>
          </w:tcPr>
          <w:p>
            <w:pPr>
              <w:pStyle w:val="yTableNAm"/>
              <w:spacing w:before="60"/>
            </w:pPr>
            <w:r>
              <w:t>Impairment of sight of one eye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43.</w:t>
            </w:r>
          </w:p>
        </w:tc>
        <w:tc>
          <w:tcPr>
            <w:tcW w:w="4560" w:type="dxa"/>
            <w:gridSpan w:val="2"/>
          </w:tcPr>
          <w:p>
            <w:pPr>
              <w:pStyle w:val="yTableNAm"/>
              <w:spacing w:before="60"/>
            </w:pPr>
            <w:r>
              <w:t>Impairment of binocular vision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HEARING</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44.</w:t>
            </w:r>
          </w:p>
        </w:tc>
        <w:tc>
          <w:tcPr>
            <w:tcW w:w="4560" w:type="dxa"/>
            <w:gridSpan w:val="2"/>
          </w:tcPr>
          <w:p>
            <w:pPr>
              <w:pStyle w:val="yTableNAm"/>
              <w:spacing w:before="60"/>
            </w:pPr>
            <w:r>
              <w:t>Impairment of hearing .........................................</w:t>
            </w:r>
          </w:p>
        </w:tc>
        <w:tc>
          <w:tcPr>
            <w:tcW w:w="1800" w:type="dxa"/>
            <w:gridSpan w:val="2"/>
          </w:tcPr>
          <w:p>
            <w:pPr>
              <w:pStyle w:val="yTableNAm"/>
              <w:tabs>
                <w:tab w:val="clear" w:pos="567"/>
                <w:tab w:val="right" w:pos="882"/>
              </w:tabs>
              <w:spacing w:before="60"/>
            </w:pPr>
            <w:r>
              <w:tab/>
              <w:t>75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SPEECH</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45.</w:t>
            </w:r>
          </w:p>
        </w:tc>
        <w:tc>
          <w:tcPr>
            <w:tcW w:w="4560" w:type="dxa"/>
            <w:gridSpan w:val="2"/>
          </w:tcPr>
          <w:p>
            <w:pPr>
              <w:pStyle w:val="yTableNAm"/>
              <w:spacing w:before="60"/>
            </w:pPr>
            <w:r>
              <w:t>Impairment of power of speech ...........................</w:t>
            </w:r>
          </w:p>
        </w:tc>
        <w:tc>
          <w:tcPr>
            <w:tcW w:w="1800" w:type="dxa"/>
            <w:gridSpan w:val="2"/>
          </w:tcPr>
          <w:p>
            <w:pPr>
              <w:pStyle w:val="yTableNAm"/>
              <w:tabs>
                <w:tab w:val="clear" w:pos="567"/>
                <w:tab w:val="right" w:pos="882"/>
              </w:tabs>
              <w:spacing w:before="60"/>
            </w:pPr>
            <w:r>
              <w:tab/>
              <w:t>75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BODY AND MENTAL</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46.</w:t>
            </w:r>
          </w:p>
        </w:tc>
        <w:tc>
          <w:tcPr>
            <w:tcW w:w="4560" w:type="dxa"/>
            <w:gridSpan w:val="2"/>
          </w:tcPr>
          <w:p>
            <w:pPr>
              <w:pStyle w:val="yTableNAm"/>
              <w:spacing w:before="60"/>
            </w:pPr>
            <w:r>
              <w:t>Impairment of mental capacity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47.</w:t>
            </w:r>
          </w:p>
        </w:tc>
        <w:tc>
          <w:tcPr>
            <w:tcW w:w="4560" w:type="dxa"/>
            <w:gridSpan w:val="2"/>
          </w:tcPr>
          <w:p>
            <w:pPr>
              <w:pStyle w:val="yTableNAm"/>
              <w:spacing w:before="60"/>
            </w:pPr>
            <w:r>
              <w:t>Impairment of spinal cord function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SENSORY</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48.</w:t>
            </w:r>
          </w:p>
        </w:tc>
        <w:tc>
          <w:tcPr>
            <w:tcW w:w="4560" w:type="dxa"/>
            <w:gridSpan w:val="2"/>
          </w:tcPr>
          <w:p>
            <w:pPr>
              <w:pStyle w:val="yTableNAm"/>
              <w:spacing w:before="60"/>
            </w:pPr>
            <w:r>
              <w:t>Impairment of sense of taste and smell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49.</w:t>
            </w:r>
          </w:p>
        </w:tc>
        <w:tc>
          <w:tcPr>
            <w:tcW w:w="4560" w:type="dxa"/>
            <w:gridSpan w:val="2"/>
          </w:tcPr>
          <w:p>
            <w:pPr>
              <w:pStyle w:val="yTableNAm"/>
              <w:spacing w:before="60"/>
            </w:pPr>
            <w:r>
              <w:t>Impairment of sense of taste ................................</w:t>
            </w:r>
          </w:p>
        </w:tc>
        <w:tc>
          <w:tcPr>
            <w:tcW w:w="1800" w:type="dxa"/>
            <w:gridSpan w:val="2"/>
          </w:tcPr>
          <w:p>
            <w:pPr>
              <w:pStyle w:val="yTableNAm"/>
              <w:tabs>
                <w:tab w:val="clear" w:pos="567"/>
                <w:tab w:val="right" w:pos="882"/>
              </w:tabs>
              <w:spacing w:before="60"/>
            </w:pPr>
            <w:r>
              <w:tab/>
              <w:t>25</w:t>
            </w:r>
          </w:p>
        </w:tc>
      </w:tr>
      <w:tr>
        <w:tblPrEx>
          <w:tblCellMar>
            <w:left w:w="108" w:type="dxa"/>
            <w:right w:w="108" w:type="dxa"/>
          </w:tblCellMar>
        </w:tblPrEx>
        <w:trPr>
          <w:cantSplit/>
          <w:trHeight w:val="20"/>
        </w:trPr>
        <w:tc>
          <w:tcPr>
            <w:tcW w:w="720" w:type="dxa"/>
          </w:tcPr>
          <w:p>
            <w:pPr>
              <w:pStyle w:val="yTableNAm"/>
              <w:spacing w:before="60"/>
            </w:pPr>
            <w:r>
              <w:t>50.</w:t>
            </w:r>
          </w:p>
        </w:tc>
        <w:tc>
          <w:tcPr>
            <w:tcW w:w="4560" w:type="dxa"/>
            <w:gridSpan w:val="2"/>
          </w:tcPr>
          <w:p>
            <w:pPr>
              <w:pStyle w:val="yTableNAm"/>
              <w:spacing w:before="60"/>
            </w:pPr>
            <w:r>
              <w:t>Impairment of sense of smell ...............................</w:t>
            </w:r>
          </w:p>
        </w:tc>
        <w:tc>
          <w:tcPr>
            <w:tcW w:w="1800" w:type="dxa"/>
            <w:gridSpan w:val="2"/>
          </w:tcPr>
          <w:p>
            <w:pPr>
              <w:pStyle w:val="yTableNAm"/>
              <w:tabs>
                <w:tab w:val="clear" w:pos="567"/>
                <w:tab w:val="right" w:pos="882"/>
              </w:tabs>
              <w:spacing w:before="60"/>
            </w:pPr>
            <w:r>
              <w:tab/>
              <w:t>25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ARM</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51.</w:t>
            </w:r>
          </w:p>
        </w:tc>
        <w:tc>
          <w:tcPr>
            <w:tcW w:w="4560" w:type="dxa"/>
            <w:gridSpan w:val="2"/>
          </w:tcPr>
          <w:p>
            <w:pPr>
              <w:pStyle w:val="yTableNAm"/>
              <w:spacing w:before="60"/>
            </w:pPr>
            <w:r>
              <w:t>Impairment of arm at or above elbow ..................</w:t>
            </w:r>
          </w:p>
        </w:tc>
        <w:tc>
          <w:tcPr>
            <w:tcW w:w="1800" w:type="dxa"/>
            <w:gridSpan w:val="2"/>
          </w:tcPr>
          <w:p>
            <w:pPr>
              <w:pStyle w:val="yTableNAm"/>
              <w:tabs>
                <w:tab w:val="clear" w:pos="567"/>
                <w:tab w:val="right" w:pos="882"/>
              </w:tabs>
              <w:spacing w:before="60"/>
            </w:pPr>
            <w:r>
              <w:tab/>
              <w:t>90</w:t>
            </w:r>
          </w:p>
        </w:tc>
      </w:tr>
      <w:tr>
        <w:tblPrEx>
          <w:tblCellMar>
            <w:left w:w="108" w:type="dxa"/>
            <w:right w:w="108" w:type="dxa"/>
          </w:tblCellMar>
        </w:tblPrEx>
        <w:trPr>
          <w:cantSplit/>
          <w:trHeight w:val="20"/>
        </w:trPr>
        <w:tc>
          <w:tcPr>
            <w:tcW w:w="720" w:type="dxa"/>
          </w:tcPr>
          <w:p>
            <w:pPr>
              <w:pStyle w:val="yTableNAm"/>
              <w:spacing w:before="60"/>
            </w:pPr>
            <w:r>
              <w:t>52.</w:t>
            </w:r>
          </w:p>
        </w:tc>
        <w:tc>
          <w:tcPr>
            <w:tcW w:w="4560" w:type="dxa"/>
            <w:gridSpan w:val="2"/>
          </w:tcPr>
          <w:p>
            <w:pPr>
              <w:pStyle w:val="yTableNAm"/>
              <w:spacing w:before="60"/>
            </w:pPr>
            <w:r>
              <w:t>Impairment of arm below elbow ..........................</w:t>
            </w:r>
          </w:p>
        </w:tc>
        <w:tc>
          <w:tcPr>
            <w:tcW w:w="1800" w:type="dxa"/>
            <w:gridSpan w:val="2"/>
          </w:tcPr>
          <w:p>
            <w:pPr>
              <w:pStyle w:val="yTableNAm"/>
              <w:tabs>
                <w:tab w:val="clear" w:pos="567"/>
                <w:tab w:val="right" w:pos="882"/>
              </w:tabs>
              <w:spacing w:before="60"/>
            </w:pPr>
            <w:r>
              <w:tab/>
              <w:t>80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HAND</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53.</w:t>
            </w:r>
          </w:p>
        </w:tc>
        <w:tc>
          <w:tcPr>
            <w:tcW w:w="4560" w:type="dxa"/>
            <w:gridSpan w:val="2"/>
          </w:tcPr>
          <w:p>
            <w:pPr>
              <w:pStyle w:val="yTableNAm"/>
              <w:spacing w:before="60"/>
            </w:pPr>
            <w:r>
              <w:t>Impairment of both hands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54.</w:t>
            </w:r>
          </w:p>
        </w:tc>
        <w:tc>
          <w:tcPr>
            <w:tcW w:w="4560" w:type="dxa"/>
            <w:gridSpan w:val="2"/>
          </w:tcPr>
          <w:p>
            <w:pPr>
              <w:pStyle w:val="yTableNAm"/>
              <w:spacing w:before="60"/>
            </w:pPr>
            <w:r>
              <w:t>Impairment of hand and foot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lastRenderedPageBreak/>
              <w:t>55.</w:t>
            </w:r>
          </w:p>
        </w:tc>
        <w:tc>
          <w:tcPr>
            <w:tcW w:w="4560" w:type="dxa"/>
            <w:gridSpan w:val="2"/>
          </w:tcPr>
          <w:p>
            <w:pPr>
              <w:pStyle w:val="yTableNAm"/>
              <w:spacing w:before="60"/>
            </w:pPr>
            <w:r>
              <w:t>Impairment of hand or thumb and 4 fingers ........</w:t>
            </w:r>
          </w:p>
        </w:tc>
        <w:tc>
          <w:tcPr>
            <w:tcW w:w="1800" w:type="dxa"/>
            <w:gridSpan w:val="2"/>
          </w:tcPr>
          <w:p>
            <w:pPr>
              <w:pStyle w:val="yTableNAm"/>
              <w:tabs>
                <w:tab w:val="clear" w:pos="567"/>
                <w:tab w:val="right" w:pos="882"/>
              </w:tabs>
              <w:spacing w:before="60"/>
            </w:pPr>
            <w:r>
              <w:tab/>
              <w:t>80</w:t>
            </w:r>
          </w:p>
        </w:tc>
      </w:tr>
      <w:tr>
        <w:tblPrEx>
          <w:tblCellMar>
            <w:left w:w="108" w:type="dxa"/>
            <w:right w:w="108" w:type="dxa"/>
          </w:tblCellMar>
        </w:tblPrEx>
        <w:trPr>
          <w:cantSplit/>
          <w:trHeight w:val="20"/>
        </w:trPr>
        <w:tc>
          <w:tcPr>
            <w:tcW w:w="720" w:type="dxa"/>
          </w:tcPr>
          <w:p>
            <w:pPr>
              <w:pStyle w:val="yTableNAm"/>
              <w:spacing w:before="60"/>
            </w:pPr>
            <w:r>
              <w:t>56.</w:t>
            </w:r>
          </w:p>
        </w:tc>
        <w:tc>
          <w:tcPr>
            <w:tcW w:w="4560" w:type="dxa"/>
            <w:gridSpan w:val="2"/>
          </w:tcPr>
          <w:p>
            <w:pPr>
              <w:pStyle w:val="yTableNAm"/>
              <w:spacing w:before="60"/>
            </w:pPr>
            <w:r>
              <w:t>Impairment of thumb ...........................................</w:t>
            </w:r>
          </w:p>
        </w:tc>
        <w:tc>
          <w:tcPr>
            <w:tcW w:w="1800" w:type="dxa"/>
            <w:gridSpan w:val="2"/>
          </w:tcPr>
          <w:p>
            <w:pPr>
              <w:pStyle w:val="yTableNAm"/>
              <w:tabs>
                <w:tab w:val="clear" w:pos="567"/>
                <w:tab w:val="right" w:pos="882"/>
              </w:tabs>
              <w:spacing w:before="60"/>
            </w:pPr>
            <w:r>
              <w:tab/>
              <w:t>35</w:t>
            </w:r>
          </w:p>
        </w:tc>
      </w:tr>
      <w:tr>
        <w:tblPrEx>
          <w:tblCellMar>
            <w:left w:w="108" w:type="dxa"/>
            <w:right w:w="108" w:type="dxa"/>
          </w:tblCellMar>
        </w:tblPrEx>
        <w:trPr>
          <w:cantSplit/>
          <w:trHeight w:val="20"/>
        </w:trPr>
        <w:tc>
          <w:tcPr>
            <w:tcW w:w="720" w:type="dxa"/>
          </w:tcPr>
          <w:p>
            <w:pPr>
              <w:pStyle w:val="yTableNAm"/>
              <w:spacing w:before="60"/>
            </w:pPr>
            <w:r>
              <w:t>57.</w:t>
            </w:r>
          </w:p>
        </w:tc>
        <w:tc>
          <w:tcPr>
            <w:tcW w:w="4560" w:type="dxa"/>
            <w:gridSpan w:val="2"/>
          </w:tcPr>
          <w:p>
            <w:pPr>
              <w:pStyle w:val="yTableNAm"/>
              <w:spacing w:before="60"/>
            </w:pPr>
            <w:r>
              <w:t>Impairment of forefinger .....................................</w:t>
            </w:r>
          </w:p>
        </w:tc>
        <w:tc>
          <w:tcPr>
            <w:tcW w:w="1800" w:type="dxa"/>
            <w:gridSpan w:val="2"/>
          </w:tcPr>
          <w:p>
            <w:pPr>
              <w:pStyle w:val="yTableNAm"/>
              <w:tabs>
                <w:tab w:val="clear" w:pos="567"/>
                <w:tab w:val="right" w:pos="882"/>
              </w:tabs>
              <w:spacing w:before="60"/>
            </w:pPr>
            <w:r>
              <w:tab/>
              <w:t>17</w:t>
            </w:r>
          </w:p>
        </w:tc>
      </w:tr>
      <w:tr>
        <w:tblPrEx>
          <w:tblCellMar>
            <w:left w:w="108" w:type="dxa"/>
            <w:right w:w="108" w:type="dxa"/>
          </w:tblCellMar>
        </w:tblPrEx>
        <w:trPr>
          <w:cantSplit/>
          <w:trHeight w:val="20"/>
        </w:trPr>
        <w:tc>
          <w:tcPr>
            <w:tcW w:w="720" w:type="dxa"/>
          </w:tcPr>
          <w:p>
            <w:pPr>
              <w:pStyle w:val="yTableNAm"/>
              <w:spacing w:before="60"/>
            </w:pPr>
            <w:r>
              <w:t>58.</w:t>
            </w:r>
          </w:p>
        </w:tc>
        <w:tc>
          <w:tcPr>
            <w:tcW w:w="4560" w:type="dxa"/>
            <w:gridSpan w:val="2"/>
          </w:tcPr>
          <w:p>
            <w:pPr>
              <w:pStyle w:val="yTableNAm"/>
              <w:spacing w:before="60"/>
            </w:pPr>
            <w:r>
              <w:t>Impairment of middle finger ................................</w:t>
            </w:r>
          </w:p>
        </w:tc>
        <w:tc>
          <w:tcPr>
            <w:tcW w:w="1800" w:type="dxa"/>
            <w:gridSpan w:val="2"/>
          </w:tcPr>
          <w:p>
            <w:pPr>
              <w:pStyle w:val="yTableNAm"/>
              <w:tabs>
                <w:tab w:val="clear" w:pos="567"/>
                <w:tab w:val="right" w:pos="882"/>
              </w:tabs>
              <w:spacing w:before="60"/>
            </w:pPr>
            <w:r>
              <w:tab/>
              <w:t>13</w:t>
            </w:r>
          </w:p>
        </w:tc>
      </w:tr>
      <w:tr>
        <w:tblPrEx>
          <w:tblCellMar>
            <w:left w:w="108" w:type="dxa"/>
            <w:right w:w="108" w:type="dxa"/>
          </w:tblCellMar>
        </w:tblPrEx>
        <w:trPr>
          <w:cantSplit/>
          <w:trHeight w:val="20"/>
        </w:trPr>
        <w:tc>
          <w:tcPr>
            <w:tcW w:w="720" w:type="dxa"/>
          </w:tcPr>
          <w:p>
            <w:pPr>
              <w:pStyle w:val="yTableNAm"/>
              <w:spacing w:before="60"/>
            </w:pPr>
            <w:r>
              <w:t>59.</w:t>
            </w:r>
          </w:p>
        </w:tc>
        <w:tc>
          <w:tcPr>
            <w:tcW w:w="4560" w:type="dxa"/>
            <w:gridSpan w:val="2"/>
          </w:tcPr>
          <w:p>
            <w:pPr>
              <w:pStyle w:val="yTableNAm"/>
              <w:spacing w:before="60"/>
            </w:pPr>
            <w:r>
              <w:t>Impairment of ring finger ....................................</w:t>
            </w:r>
          </w:p>
        </w:tc>
        <w:tc>
          <w:tcPr>
            <w:tcW w:w="1800" w:type="dxa"/>
            <w:gridSpan w:val="2"/>
          </w:tcPr>
          <w:p>
            <w:pPr>
              <w:pStyle w:val="yTableNAm"/>
              <w:tabs>
                <w:tab w:val="clear" w:pos="567"/>
                <w:tab w:val="right" w:pos="882"/>
              </w:tabs>
              <w:spacing w:before="60"/>
            </w:pPr>
            <w:r>
              <w:tab/>
              <w:t>9</w:t>
            </w:r>
          </w:p>
        </w:tc>
      </w:tr>
      <w:tr>
        <w:tblPrEx>
          <w:tblCellMar>
            <w:left w:w="108" w:type="dxa"/>
            <w:right w:w="108" w:type="dxa"/>
          </w:tblCellMar>
        </w:tblPrEx>
        <w:trPr>
          <w:cantSplit/>
          <w:trHeight w:val="20"/>
        </w:trPr>
        <w:tc>
          <w:tcPr>
            <w:tcW w:w="720" w:type="dxa"/>
          </w:tcPr>
          <w:p>
            <w:pPr>
              <w:pStyle w:val="yTableNAm"/>
              <w:spacing w:before="60"/>
            </w:pPr>
            <w:r>
              <w:t>60.</w:t>
            </w:r>
          </w:p>
        </w:tc>
        <w:tc>
          <w:tcPr>
            <w:tcW w:w="4560" w:type="dxa"/>
            <w:gridSpan w:val="2"/>
          </w:tcPr>
          <w:p>
            <w:pPr>
              <w:pStyle w:val="yTableNAm"/>
              <w:spacing w:before="60"/>
            </w:pPr>
            <w:r>
              <w:t>Impairment of little finger ....................................</w:t>
            </w:r>
          </w:p>
        </w:tc>
        <w:tc>
          <w:tcPr>
            <w:tcW w:w="1800" w:type="dxa"/>
            <w:gridSpan w:val="2"/>
          </w:tcPr>
          <w:p>
            <w:pPr>
              <w:pStyle w:val="yTableNAm"/>
              <w:tabs>
                <w:tab w:val="clear" w:pos="567"/>
                <w:tab w:val="right" w:pos="882"/>
              </w:tabs>
              <w:spacing w:before="60"/>
            </w:pPr>
            <w:r>
              <w:tab/>
              <w:t>6</w:t>
            </w:r>
          </w:p>
        </w:tc>
      </w:tr>
      <w:tr>
        <w:tblPrEx>
          <w:tblCellMar>
            <w:left w:w="108" w:type="dxa"/>
            <w:right w:w="108" w:type="dxa"/>
          </w:tblCellMar>
        </w:tblPrEx>
        <w:trPr>
          <w:cantSplit/>
          <w:trHeight w:val="20"/>
        </w:trPr>
        <w:tc>
          <w:tcPr>
            <w:tcW w:w="720" w:type="dxa"/>
          </w:tcPr>
          <w:p>
            <w:pPr>
              <w:pStyle w:val="yTableNAm"/>
              <w:spacing w:before="60"/>
            </w:pPr>
            <w:r>
              <w:t>61.</w:t>
            </w:r>
          </w:p>
        </w:tc>
        <w:tc>
          <w:tcPr>
            <w:tcW w:w="4560" w:type="dxa"/>
            <w:gridSpan w:val="2"/>
          </w:tcPr>
          <w:p>
            <w:pPr>
              <w:pStyle w:val="yTableNAm"/>
              <w:spacing w:before="60"/>
            </w:pPr>
            <w:r>
              <w:t>Impairment of movement of joint of thumb.........</w:t>
            </w:r>
          </w:p>
        </w:tc>
        <w:tc>
          <w:tcPr>
            <w:tcW w:w="1800" w:type="dxa"/>
            <w:gridSpan w:val="2"/>
          </w:tcPr>
          <w:p>
            <w:pPr>
              <w:pStyle w:val="yTableNAm"/>
              <w:tabs>
                <w:tab w:val="clear" w:pos="567"/>
                <w:tab w:val="right" w:pos="882"/>
              </w:tabs>
              <w:spacing w:before="60"/>
            </w:pPr>
            <w:r>
              <w:tab/>
              <w:t>17</w:t>
            </w:r>
          </w:p>
        </w:tc>
      </w:tr>
      <w:tr>
        <w:tblPrEx>
          <w:tblCellMar>
            <w:left w:w="108" w:type="dxa"/>
            <w:right w:w="108" w:type="dxa"/>
          </w:tblCellMar>
        </w:tblPrEx>
        <w:trPr>
          <w:cantSplit/>
          <w:trHeight w:val="20"/>
        </w:trPr>
        <w:tc>
          <w:tcPr>
            <w:tcW w:w="720" w:type="dxa"/>
          </w:tcPr>
          <w:p>
            <w:pPr>
              <w:pStyle w:val="yTableNAm"/>
              <w:spacing w:before="60"/>
            </w:pPr>
            <w:r>
              <w:t>62.</w:t>
            </w:r>
          </w:p>
        </w:tc>
        <w:tc>
          <w:tcPr>
            <w:tcW w:w="4560" w:type="dxa"/>
            <w:gridSpan w:val="2"/>
          </w:tcPr>
          <w:p>
            <w:pPr>
              <w:pStyle w:val="yTableNAm"/>
              <w:spacing w:before="60"/>
            </w:pPr>
            <w:r>
              <w:t>Impairment of distal phalanx of thumb ................</w:t>
            </w:r>
          </w:p>
        </w:tc>
        <w:tc>
          <w:tcPr>
            <w:tcW w:w="1800" w:type="dxa"/>
            <w:gridSpan w:val="2"/>
          </w:tcPr>
          <w:p>
            <w:pPr>
              <w:pStyle w:val="yTableNAm"/>
              <w:tabs>
                <w:tab w:val="clear" w:pos="567"/>
                <w:tab w:val="right" w:pos="882"/>
              </w:tabs>
              <w:spacing w:before="60"/>
            </w:pPr>
            <w:r>
              <w:tab/>
              <w:t>20</w:t>
            </w:r>
          </w:p>
        </w:tc>
      </w:tr>
      <w:tr>
        <w:tblPrEx>
          <w:tblCellMar>
            <w:left w:w="108" w:type="dxa"/>
            <w:right w:w="108" w:type="dxa"/>
          </w:tblCellMar>
        </w:tblPrEx>
        <w:trPr>
          <w:cantSplit/>
          <w:trHeight w:val="20"/>
        </w:trPr>
        <w:tc>
          <w:tcPr>
            <w:tcW w:w="720" w:type="dxa"/>
          </w:tcPr>
          <w:p>
            <w:pPr>
              <w:pStyle w:val="yTableNAm"/>
              <w:spacing w:before="60"/>
            </w:pPr>
            <w:r>
              <w:t>63.</w:t>
            </w:r>
          </w:p>
        </w:tc>
        <w:tc>
          <w:tcPr>
            <w:tcW w:w="4560" w:type="dxa"/>
            <w:gridSpan w:val="2"/>
          </w:tcPr>
          <w:p>
            <w:pPr>
              <w:pStyle w:val="yTableNAm"/>
              <w:spacing w:before="60"/>
            </w:pPr>
            <w:r>
              <w:t>Impairment of portion of terminal segment of thumb involving one</w:t>
            </w:r>
            <w:r>
              <w:noBreakHyphen/>
              <w:t>third of its flexor surface without loss of distal phalanx ..............................</w:t>
            </w:r>
          </w:p>
        </w:tc>
        <w:tc>
          <w:tcPr>
            <w:tcW w:w="1800" w:type="dxa"/>
            <w:gridSpan w:val="2"/>
          </w:tcPr>
          <w:p>
            <w:pPr>
              <w:pStyle w:val="yTableNAm"/>
              <w:tabs>
                <w:tab w:val="clear" w:pos="567"/>
                <w:tab w:val="right" w:pos="882"/>
              </w:tabs>
              <w:spacing w:before="60"/>
            </w:pPr>
            <w:r>
              <w:br/>
            </w:r>
            <w:r>
              <w:br/>
            </w:r>
            <w:r>
              <w:tab/>
              <w:t>15</w:t>
            </w:r>
          </w:p>
        </w:tc>
      </w:tr>
      <w:tr>
        <w:tblPrEx>
          <w:tblCellMar>
            <w:left w:w="108" w:type="dxa"/>
            <w:right w:w="108" w:type="dxa"/>
          </w:tblCellMar>
        </w:tblPrEx>
        <w:trPr>
          <w:cantSplit/>
          <w:trHeight w:val="20"/>
        </w:trPr>
        <w:tc>
          <w:tcPr>
            <w:tcW w:w="720" w:type="dxa"/>
          </w:tcPr>
          <w:p>
            <w:pPr>
              <w:pStyle w:val="yTableNAm"/>
              <w:spacing w:before="60"/>
            </w:pPr>
            <w:r>
              <w:t>64.</w:t>
            </w:r>
          </w:p>
        </w:tc>
        <w:tc>
          <w:tcPr>
            <w:tcW w:w="4560" w:type="dxa"/>
            <w:gridSpan w:val="2"/>
          </w:tcPr>
          <w:p>
            <w:pPr>
              <w:pStyle w:val="yTableNAm"/>
              <w:spacing w:before="60"/>
            </w:pPr>
            <w:r>
              <w:t>Impairment of distal phalanx of forefinger ..........</w:t>
            </w:r>
          </w:p>
        </w:tc>
        <w:tc>
          <w:tcPr>
            <w:tcW w:w="1800" w:type="dxa"/>
            <w:gridSpan w:val="2"/>
          </w:tcPr>
          <w:p>
            <w:pPr>
              <w:pStyle w:val="yTableNAm"/>
              <w:tabs>
                <w:tab w:val="clear" w:pos="567"/>
                <w:tab w:val="right" w:pos="882"/>
              </w:tabs>
              <w:spacing w:before="60"/>
            </w:pPr>
            <w:r>
              <w:tab/>
              <w:t>10</w:t>
            </w:r>
          </w:p>
        </w:tc>
      </w:tr>
      <w:tr>
        <w:tblPrEx>
          <w:tblCellMar>
            <w:left w:w="108" w:type="dxa"/>
            <w:right w:w="108" w:type="dxa"/>
          </w:tblCellMar>
        </w:tblPrEx>
        <w:trPr>
          <w:cantSplit/>
          <w:trHeight w:val="20"/>
        </w:trPr>
        <w:tc>
          <w:tcPr>
            <w:tcW w:w="720" w:type="dxa"/>
          </w:tcPr>
          <w:p>
            <w:pPr>
              <w:pStyle w:val="yTableNAm"/>
              <w:spacing w:before="60"/>
            </w:pPr>
            <w:r>
              <w:t>65.</w:t>
            </w:r>
          </w:p>
        </w:tc>
        <w:tc>
          <w:tcPr>
            <w:tcW w:w="4560" w:type="dxa"/>
            <w:gridSpan w:val="2"/>
          </w:tcPr>
          <w:p>
            <w:pPr>
              <w:pStyle w:val="yTableNAm"/>
              <w:spacing w:before="60"/>
            </w:pPr>
            <w:r>
              <w:t>Impairment of distal phalanx of</w:t>
            </w:r>
          </w:p>
          <w:p>
            <w:pPr>
              <w:pStyle w:val="yTableNAm"/>
              <w:spacing w:before="60"/>
            </w:pPr>
            <w:r>
              <w:t> — middle finger ..................................................</w:t>
            </w:r>
          </w:p>
          <w:p>
            <w:pPr>
              <w:pStyle w:val="yTableNAm"/>
              <w:spacing w:before="60"/>
            </w:pPr>
            <w:r>
              <w:t> — ring finger ......................................................</w:t>
            </w:r>
          </w:p>
          <w:p>
            <w:pPr>
              <w:pStyle w:val="yTableNAm"/>
              <w:spacing w:before="60"/>
            </w:pPr>
            <w:r>
              <w:t> — little finger ......................................................</w:t>
            </w:r>
          </w:p>
        </w:tc>
        <w:tc>
          <w:tcPr>
            <w:tcW w:w="1800" w:type="dxa"/>
            <w:gridSpan w:val="2"/>
          </w:tcPr>
          <w:p>
            <w:pPr>
              <w:pStyle w:val="yTableNAm"/>
              <w:tabs>
                <w:tab w:val="clear" w:pos="567"/>
                <w:tab w:val="right" w:pos="882"/>
              </w:tabs>
              <w:spacing w:before="60"/>
            </w:pPr>
          </w:p>
          <w:p>
            <w:pPr>
              <w:pStyle w:val="yTableNAm"/>
              <w:tabs>
                <w:tab w:val="clear" w:pos="567"/>
                <w:tab w:val="right" w:pos="882"/>
              </w:tabs>
              <w:spacing w:before="60"/>
            </w:pPr>
            <w:r>
              <w:tab/>
              <w:t>8</w:t>
            </w:r>
          </w:p>
          <w:p>
            <w:pPr>
              <w:pStyle w:val="yTableNAm"/>
              <w:tabs>
                <w:tab w:val="clear" w:pos="567"/>
                <w:tab w:val="right" w:pos="882"/>
              </w:tabs>
              <w:spacing w:before="60"/>
            </w:pPr>
            <w:r>
              <w:tab/>
              <w:t>6</w:t>
            </w:r>
          </w:p>
          <w:p>
            <w:pPr>
              <w:pStyle w:val="yTableNAm"/>
              <w:tabs>
                <w:tab w:val="clear" w:pos="567"/>
                <w:tab w:val="right" w:pos="882"/>
              </w:tabs>
              <w:spacing w:before="60"/>
            </w:pPr>
            <w:r>
              <w:tab/>
              <w:t>4</w:t>
            </w:r>
          </w:p>
        </w:tc>
      </w:tr>
      <w:tr>
        <w:tblPrEx>
          <w:tblCellMar>
            <w:left w:w="108" w:type="dxa"/>
            <w:right w:w="108" w:type="dxa"/>
          </w:tblCellMar>
        </w:tblPrEx>
        <w:trPr>
          <w:cantSplit/>
          <w:trHeight w:val="20"/>
        </w:trPr>
        <w:tc>
          <w:tcPr>
            <w:tcW w:w="720" w:type="dxa"/>
          </w:tcPr>
          <w:p>
            <w:pPr>
              <w:pStyle w:val="yTableNAm"/>
              <w:spacing w:before="60"/>
            </w:pPr>
            <w:r>
              <w:t>66.</w:t>
            </w:r>
          </w:p>
        </w:tc>
        <w:tc>
          <w:tcPr>
            <w:tcW w:w="4560" w:type="dxa"/>
            <w:gridSpan w:val="2"/>
          </w:tcPr>
          <w:p>
            <w:pPr>
              <w:pStyle w:val="yTableNAm"/>
              <w:spacing w:before="60"/>
            </w:pPr>
            <w:r>
              <w:t>Impairment of distal phalanx of each finger of the same hand (not including the thumb) in one accident ...............................................................</w:t>
            </w:r>
          </w:p>
        </w:tc>
        <w:tc>
          <w:tcPr>
            <w:tcW w:w="1800" w:type="dxa"/>
            <w:gridSpan w:val="2"/>
          </w:tcPr>
          <w:p>
            <w:pPr>
              <w:pStyle w:val="yTableNAm"/>
              <w:tabs>
                <w:tab w:val="clear" w:pos="567"/>
                <w:tab w:val="right" w:pos="882"/>
              </w:tabs>
              <w:spacing w:before="60"/>
            </w:pPr>
            <w:r>
              <w:br/>
            </w:r>
            <w:r>
              <w:br/>
            </w:r>
            <w:r>
              <w:tab/>
              <w:t>31</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LEG</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67.</w:t>
            </w:r>
          </w:p>
        </w:tc>
        <w:tc>
          <w:tcPr>
            <w:tcW w:w="4560" w:type="dxa"/>
            <w:gridSpan w:val="2"/>
          </w:tcPr>
          <w:p>
            <w:pPr>
              <w:pStyle w:val="yTableNAm"/>
              <w:spacing w:before="60"/>
            </w:pPr>
            <w:r>
              <w:t>Impairment of leg at or above knee .....................</w:t>
            </w:r>
          </w:p>
        </w:tc>
        <w:tc>
          <w:tcPr>
            <w:tcW w:w="1800" w:type="dxa"/>
            <w:gridSpan w:val="2"/>
          </w:tcPr>
          <w:p>
            <w:pPr>
              <w:pStyle w:val="yTableNAm"/>
              <w:tabs>
                <w:tab w:val="clear" w:pos="567"/>
                <w:tab w:val="right" w:pos="882"/>
              </w:tabs>
              <w:spacing w:before="60"/>
            </w:pPr>
            <w:r>
              <w:tab/>
              <w:t>70</w:t>
            </w:r>
          </w:p>
        </w:tc>
      </w:tr>
      <w:tr>
        <w:tblPrEx>
          <w:tblCellMar>
            <w:left w:w="108" w:type="dxa"/>
            <w:right w:w="108" w:type="dxa"/>
          </w:tblCellMar>
        </w:tblPrEx>
        <w:trPr>
          <w:cantSplit/>
          <w:trHeight w:val="20"/>
        </w:trPr>
        <w:tc>
          <w:tcPr>
            <w:tcW w:w="720" w:type="dxa"/>
          </w:tcPr>
          <w:p>
            <w:pPr>
              <w:pStyle w:val="yTableNAm"/>
              <w:spacing w:before="60"/>
            </w:pPr>
            <w:r>
              <w:t>68.</w:t>
            </w:r>
          </w:p>
        </w:tc>
        <w:tc>
          <w:tcPr>
            <w:tcW w:w="4560" w:type="dxa"/>
            <w:gridSpan w:val="2"/>
          </w:tcPr>
          <w:p>
            <w:pPr>
              <w:pStyle w:val="yTableNAm"/>
              <w:spacing w:before="60"/>
            </w:pPr>
            <w:r>
              <w:t>Impairment of leg below knee .............................</w:t>
            </w:r>
          </w:p>
        </w:tc>
        <w:tc>
          <w:tcPr>
            <w:tcW w:w="1800" w:type="dxa"/>
            <w:gridSpan w:val="2"/>
          </w:tcPr>
          <w:p>
            <w:pPr>
              <w:pStyle w:val="yTableNAm"/>
              <w:tabs>
                <w:tab w:val="clear" w:pos="567"/>
                <w:tab w:val="right" w:pos="882"/>
              </w:tabs>
              <w:spacing w:before="60"/>
            </w:pPr>
            <w:r>
              <w:tab/>
              <w:t>65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FEET</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69.</w:t>
            </w:r>
          </w:p>
        </w:tc>
        <w:tc>
          <w:tcPr>
            <w:tcW w:w="4560" w:type="dxa"/>
            <w:gridSpan w:val="2"/>
          </w:tcPr>
          <w:p>
            <w:pPr>
              <w:pStyle w:val="yTableNAm"/>
              <w:spacing w:before="60"/>
            </w:pPr>
            <w:r>
              <w:t>Impairment of both feet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70.</w:t>
            </w:r>
          </w:p>
        </w:tc>
        <w:tc>
          <w:tcPr>
            <w:tcW w:w="4560" w:type="dxa"/>
            <w:gridSpan w:val="2"/>
          </w:tcPr>
          <w:p>
            <w:pPr>
              <w:pStyle w:val="yTableNAm"/>
              <w:spacing w:before="60"/>
            </w:pPr>
            <w:r>
              <w:t>Impairment of foot ...............................................</w:t>
            </w:r>
          </w:p>
        </w:tc>
        <w:tc>
          <w:tcPr>
            <w:tcW w:w="1800" w:type="dxa"/>
            <w:gridSpan w:val="2"/>
          </w:tcPr>
          <w:p>
            <w:pPr>
              <w:pStyle w:val="yTableNAm"/>
              <w:tabs>
                <w:tab w:val="clear" w:pos="567"/>
                <w:tab w:val="right" w:pos="882"/>
              </w:tabs>
              <w:spacing w:before="60"/>
            </w:pPr>
            <w:r>
              <w:tab/>
              <w:t>65</w:t>
            </w:r>
          </w:p>
        </w:tc>
      </w:tr>
      <w:tr>
        <w:tblPrEx>
          <w:tblCellMar>
            <w:left w:w="108" w:type="dxa"/>
            <w:right w:w="108" w:type="dxa"/>
          </w:tblCellMar>
        </w:tblPrEx>
        <w:trPr>
          <w:cantSplit/>
          <w:trHeight w:val="20"/>
        </w:trPr>
        <w:tc>
          <w:tcPr>
            <w:tcW w:w="720" w:type="dxa"/>
          </w:tcPr>
          <w:p>
            <w:pPr>
              <w:pStyle w:val="yTableNAm"/>
              <w:spacing w:before="60"/>
            </w:pPr>
            <w:r>
              <w:t>71.</w:t>
            </w:r>
          </w:p>
        </w:tc>
        <w:tc>
          <w:tcPr>
            <w:tcW w:w="4560" w:type="dxa"/>
            <w:gridSpan w:val="2"/>
          </w:tcPr>
          <w:p>
            <w:pPr>
              <w:pStyle w:val="yTableNAm"/>
              <w:spacing w:before="60"/>
            </w:pPr>
            <w:r>
              <w:t>Impairment of great toe ........................................</w:t>
            </w:r>
          </w:p>
        </w:tc>
        <w:tc>
          <w:tcPr>
            <w:tcW w:w="1800" w:type="dxa"/>
            <w:gridSpan w:val="2"/>
          </w:tcPr>
          <w:p>
            <w:pPr>
              <w:pStyle w:val="yTableNAm"/>
              <w:tabs>
                <w:tab w:val="clear" w:pos="567"/>
                <w:tab w:val="right" w:pos="882"/>
              </w:tabs>
              <w:spacing w:before="60"/>
            </w:pPr>
            <w:r>
              <w:tab/>
              <w:t>20</w:t>
            </w:r>
          </w:p>
        </w:tc>
      </w:tr>
      <w:tr>
        <w:tblPrEx>
          <w:tblCellMar>
            <w:left w:w="108" w:type="dxa"/>
            <w:right w:w="108" w:type="dxa"/>
          </w:tblCellMar>
        </w:tblPrEx>
        <w:trPr>
          <w:cantSplit/>
          <w:trHeight w:val="20"/>
        </w:trPr>
        <w:tc>
          <w:tcPr>
            <w:tcW w:w="720" w:type="dxa"/>
          </w:tcPr>
          <w:p>
            <w:pPr>
              <w:pStyle w:val="yTableNAm"/>
              <w:spacing w:before="60"/>
            </w:pPr>
            <w:r>
              <w:lastRenderedPageBreak/>
              <w:t>72.</w:t>
            </w:r>
          </w:p>
        </w:tc>
        <w:tc>
          <w:tcPr>
            <w:tcW w:w="4560" w:type="dxa"/>
            <w:gridSpan w:val="2"/>
          </w:tcPr>
          <w:p>
            <w:pPr>
              <w:pStyle w:val="yTableNAm"/>
              <w:spacing w:before="60"/>
            </w:pPr>
            <w:r>
              <w:t>Impairment of any other toe .................................</w:t>
            </w:r>
          </w:p>
        </w:tc>
        <w:tc>
          <w:tcPr>
            <w:tcW w:w="1800" w:type="dxa"/>
            <w:gridSpan w:val="2"/>
          </w:tcPr>
          <w:p>
            <w:pPr>
              <w:pStyle w:val="yTableNAm"/>
              <w:tabs>
                <w:tab w:val="clear" w:pos="567"/>
                <w:tab w:val="right" w:pos="882"/>
              </w:tabs>
              <w:spacing w:before="60"/>
            </w:pPr>
            <w:r>
              <w:tab/>
              <w:t>8</w:t>
            </w:r>
          </w:p>
        </w:tc>
      </w:tr>
      <w:tr>
        <w:tblPrEx>
          <w:tblCellMar>
            <w:left w:w="108" w:type="dxa"/>
            <w:right w:w="108" w:type="dxa"/>
          </w:tblCellMar>
        </w:tblPrEx>
        <w:trPr>
          <w:cantSplit/>
          <w:trHeight w:val="20"/>
        </w:trPr>
        <w:tc>
          <w:tcPr>
            <w:tcW w:w="720" w:type="dxa"/>
          </w:tcPr>
          <w:p>
            <w:pPr>
              <w:pStyle w:val="yTableNAm"/>
              <w:spacing w:before="60"/>
            </w:pPr>
            <w:r>
              <w:t>73.</w:t>
            </w:r>
          </w:p>
        </w:tc>
        <w:tc>
          <w:tcPr>
            <w:tcW w:w="4560" w:type="dxa"/>
            <w:gridSpan w:val="2"/>
          </w:tcPr>
          <w:p>
            <w:pPr>
              <w:pStyle w:val="yTableNAm"/>
              <w:spacing w:before="60"/>
            </w:pPr>
            <w:r>
              <w:t>Impairment of 2 phalanges of any other toe ........</w:t>
            </w:r>
          </w:p>
        </w:tc>
        <w:tc>
          <w:tcPr>
            <w:tcW w:w="1800" w:type="dxa"/>
            <w:gridSpan w:val="2"/>
          </w:tcPr>
          <w:p>
            <w:pPr>
              <w:pStyle w:val="yTableNAm"/>
              <w:tabs>
                <w:tab w:val="clear" w:pos="567"/>
                <w:tab w:val="right" w:pos="882"/>
              </w:tabs>
              <w:spacing w:before="60"/>
            </w:pPr>
            <w:r>
              <w:tab/>
              <w:t>5</w:t>
            </w:r>
          </w:p>
        </w:tc>
      </w:tr>
      <w:tr>
        <w:tblPrEx>
          <w:tblCellMar>
            <w:left w:w="108" w:type="dxa"/>
            <w:right w:w="108" w:type="dxa"/>
          </w:tblCellMar>
        </w:tblPrEx>
        <w:trPr>
          <w:cantSplit/>
          <w:trHeight w:val="20"/>
        </w:trPr>
        <w:tc>
          <w:tcPr>
            <w:tcW w:w="720" w:type="dxa"/>
          </w:tcPr>
          <w:p>
            <w:pPr>
              <w:pStyle w:val="yTableNAm"/>
              <w:spacing w:before="60"/>
            </w:pPr>
            <w:r>
              <w:t>74.</w:t>
            </w:r>
          </w:p>
        </w:tc>
        <w:tc>
          <w:tcPr>
            <w:tcW w:w="4560" w:type="dxa"/>
            <w:gridSpan w:val="2"/>
          </w:tcPr>
          <w:p>
            <w:pPr>
              <w:pStyle w:val="yTableNAm"/>
              <w:spacing w:before="60"/>
            </w:pPr>
            <w:r>
              <w:t>Impairment of phalanx of great toe ......................</w:t>
            </w:r>
          </w:p>
        </w:tc>
        <w:tc>
          <w:tcPr>
            <w:tcW w:w="1800" w:type="dxa"/>
            <w:gridSpan w:val="2"/>
          </w:tcPr>
          <w:p>
            <w:pPr>
              <w:pStyle w:val="yTableNAm"/>
              <w:tabs>
                <w:tab w:val="clear" w:pos="567"/>
                <w:tab w:val="right" w:pos="882"/>
              </w:tabs>
              <w:spacing w:before="60"/>
            </w:pPr>
            <w:r>
              <w:tab/>
              <w:t>8</w:t>
            </w:r>
          </w:p>
        </w:tc>
      </w:tr>
      <w:tr>
        <w:tblPrEx>
          <w:tblCellMar>
            <w:left w:w="108" w:type="dxa"/>
            <w:right w:w="108" w:type="dxa"/>
          </w:tblCellMar>
        </w:tblPrEx>
        <w:trPr>
          <w:cantSplit/>
          <w:trHeight w:val="20"/>
        </w:trPr>
        <w:tc>
          <w:tcPr>
            <w:tcW w:w="720" w:type="dxa"/>
          </w:tcPr>
          <w:p>
            <w:pPr>
              <w:pStyle w:val="yTableNAm"/>
              <w:spacing w:before="60"/>
            </w:pPr>
            <w:r>
              <w:t>75.</w:t>
            </w:r>
          </w:p>
        </w:tc>
        <w:tc>
          <w:tcPr>
            <w:tcW w:w="4560" w:type="dxa"/>
            <w:gridSpan w:val="2"/>
          </w:tcPr>
          <w:p>
            <w:pPr>
              <w:pStyle w:val="yTableNAm"/>
              <w:spacing w:before="60"/>
            </w:pPr>
            <w:r>
              <w:t>Impairment of phalanx of any other toe ...............</w:t>
            </w:r>
          </w:p>
        </w:tc>
        <w:tc>
          <w:tcPr>
            <w:tcW w:w="1800" w:type="dxa"/>
            <w:gridSpan w:val="2"/>
          </w:tcPr>
          <w:p>
            <w:pPr>
              <w:pStyle w:val="yTableNAm"/>
              <w:tabs>
                <w:tab w:val="clear" w:pos="567"/>
                <w:tab w:val="right" w:pos="882"/>
              </w:tabs>
              <w:spacing w:before="60"/>
            </w:pPr>
            <w:r>
              <w:tab/>
              <w:t>4</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BACK, NECK AND PELVIS</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76.</w:t>
            </w:r>
          </w:p>
        </w:tc>
        <w:tc>
          <w:tcPr>
            <w:tcW w:w="4560" w:type="dxa"/>
            <w:gridSpan w:val="2"/>
          </w:tcPr>
          <w:p>
            <w:pPr>
              <w:pStyle w:val="yTableNAm"/>
              <w:spacing w:before="60"/>
            </w:pPr>
            <w:r>
              <w:t>Impairment of the back (thoracic spine or lumbar spine or both) .......................................................</w:t>
            </w:r>
          </w:p>
        </w:tc>
        <w:tc>
          <w:tcPr>
            <w:tcW w:w="1800" w:type="dxa"/>
            <w:gridSpan w:val="2"/>
          </w:tcPr>
          <w:p>
            <w:pPr>
              <w:pStyle w:val="yTableNAm"/>
              <w:tabs>
                <w:tab w:val="clear" w:pos="567"/>
                <w:tab w:val="right" w:pos="882"/>
              </w:tabs>
              <w:spacing w:before="60"/>
            </w:pPr>
            <w:r>
              <w:br/>
            </w:r>
            <w:r>
              <w:tab/>
              <w:t>75</w:t>
            </w:r>
          </w:p>
        </w:tc>
      </w:tr>
      <w:tr>
        <w:tblPrEx>
          <w:tblCellMar>
            <w:left w:w="108" w:type="dxa"/>
            <w:right w:w="108" w:type="dxa"/>
          </w:tblCellMar>
        </w:tblPrEx>
        <w:trPr>
          <w:cantSplit/>
          <w:trHeight w:val="20"/>
        </w:trPr>
        <w:tc>
          <w:tcPr>
            <w:tcW w:w="720" w:type="dxa"/>
          </w:tcPr>
          <w:p>
            <w:pPr>
              <w:pStyle w:val="yTableNAm"/>
              <w:spacing w:before="60"/>
            </w:pPr>
            <w:r>
              <w:t>77.</w:t>
            </w:r>
          </w:p>
        </w:tc>
        <w:tc>
          <w:tcPr>
            <w:tcW w:w="4560" w:type="dxa"/>
            <w:gridSpan w:val="2"/>
          </w:tcPr>
          <w:p>
            <w:pPr>
              <w:pStyle w:val="yTableNAm"/>
              <w:spacing w:before="60"/>
            </w:pPr>
            <w:r>
              <w:t>Impairment of the neck (including cervical spine) ....................................................................</w:t>
            </w:r>
          </w:p>
        </w:tc>
        <w:tc>
          <w:tcPr>
            <w:tcW w:w="1800" w:type="dxa"/>
            <w:gridSpan w:val="2"/>
          </w:tcPr>
          <w:p>
            <w:pPr>
              <w:pStyle w:val="yTableNAm"/>
              <w:tabs>
                <w:tab w:val="clear" w:pos="567"/>
                <w:tab w:val="right" w:pos="882"/>
              </w:tabs>
              <w:spacing w:before="60"/>
            </w:pPr>
            <w:r>
              <w:br/>
            </w:r>
            <w:r>
              <w:tab/>
              <w:t>55</w:t>
            </w:r>
          </w:p>
        </w:tc>
      </w:tr>
      <w:tr>
        <w:tblPrEx>
          <w:tblCellMar>
            <w:left w:w="108" w:type="dxa"/>
            <w:right w:w="108" w:type="dxa"/>
          </w:tblCellMar>
        </w:tblPrEx>
        <w:trPr>
          <w:cantSplit/>
          <w:trHeight w:val="20"/>
        </w:trPr>
        <w:tc>
          <w:tcPr>
            <w:tcW w:w="720" w:type="dxa"/>
          </w:tcPr>
          <w:p>
            <w:pPr>
              <w:pStyle w:val="yTableNAm"/>
              <w:spacing w:before="60"/>
            </w:pPr>
            <w:r>
              <w:t>78.</w:t>
            </w:r>
          </w:p>
        </w:tc>
        <w:tc>
          <w:tcPr>
            <w:tcW w:w="4560" w:type="dxa"/>
            <w:gridSpan w:val="2"/>
          </w:tcPr>
          <w:p>
            <w:pPr>
              <w:pStyle w:val="yTableNAm"/>
              <w:spacing w:before="60"/>
            </w:pPr>
            <w:r>
              <w:t>Impairment of the pelvis ......................................</w:t>
            </w:r>
          </w:p>
        </w:tc>
        <w:tc>
          <w:tcPr>
            <w:tcW w:w="1800" w:type="dxa"/>
            <w:gridSpan w:val="2"/>
          </w:tcPr>
          <w:p>
            <w:pPr>
              <w:pStyle w:val="yTableNAm"/>
              <w:tabs>
                <w:tab w:val="clear" w:pos="567"/>
                <w:tab w:val="right" w:pos="882"/>
              </w:tabs>
              <w:spacing w:before="60"/>
            </w:pPr>
            <w:r>
              <w:tab/>
              <w:t>30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MISCELLANEOUS</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79.</w:t>
            </w:r>
          </w:p>
        </w:tc>
        <w:tc>
          <w:tcPr>
            <w:tcW w:w="4560" w:type="dxa"/>
            <w:gridSpan w:val="2"/>
          </w:tcPr>
          <w:p>
            <w:pPr>
              <w:pStyle w:val="yTableNAm"/>
              <w:spacing w:before="60"/>
            </w:pPr>
            <w:r>
              <w:t>Impairment of genitals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80.</w:t>
            </w:r>
          </w:p>
        </w:tc>
        <w:tc>
          <w:tcPr>
            <w:tcW w:w="4560" w:type="dxa"/>
            <w:gridSpan w:val="2"/>
          </w:tcPr>
          <w:p>
            <w:pPr>
              <w:pStyle w:val="yTableNAm"/>
              <w:spacing w:before="60"/>
            </w:pPr>
            <w:r>
              <w:t xml:space="preserve">Impairment from facial scarring or </w:t>
            </w:r>
            <w:r>
              <w:br/>
              <w:t>disfigurement .......................................................</w:t>
            </w:r>
          </w:p>
        </w:tc>
        <w:tc>
          <w:tcPr>
            <w:tcW w:w="1800" w:type="dxa"/>
            <w:gridSpan w:val="2"/>
          </w:tcPr>
          <w:p>
            <w:pPr>
              <w:pStyle w:val="yTableNAm"/>
              <w:tabs>
                <w:tab w:val="clear" w:pos="567"/>
                <w:tab w:val="right" w:pos="882"/>
              </w:tabs>
              <w:spacing w:before="60"/>
            </w:pPr>
            <w:r>
              <w:br/>
            </w:r>
            <w:r>
              <w:tab/>
              <w:t>80</w:t>
            </w:r>
          </w:p>
        </w:tc>
      </w:tr>
      <w:tr>
        <w:tblPrEx>
          <w:tblCellMar>
            <w:left w:w="108" w:type="dxa"/>
            <w:right w:w="108" w:type="dxa"/>
          </w:tblCellMar>
        </w:tblPrEx>
        <w:trPr>
          <w:cantSplit/>
          <w:trHeight w:val="20"/>
        </w:trPr>
        <w:tc>
          <w:tcPr>
            <w:tcW w:w="720" w:type="dxa"/>
          </w:tcPr>
          <w:p>
            <w:pPr>
              <w:pStyle w:val="yTableNAm"/>
              <w:spacing w:before="60"/>
            </w:pPr>
            <w:r>
              <w:t>81.</w:t>
            </w:r>
          </w:p>
        </w:tc>
        <w:tc>
          <w:tcPr>
            <w:tcW w:w="4560" w:type="dxa"/>
            <w:gridSpan w:val="2"/>
          </w:tcPr>
          <w:p>
            <w:pPr>
              <w:pStyle w:val="yTableNAm"/>
              <w:spacing w:before="60"/>
            </w:pPr>
            <w:r>
              <w:t>Impairment from bodily, other than facial, scarring or disfigurement .....................................</w:t>
            </w:r>
          </w:p>
        </w:tc>
        <w:tc>
          <w:tcPr>
            <w:tcW w:w="1800" w:type="dxa"/>
            <w:gridSpan w:val="2"/>
          </w:tcPr>
          <w:p>
            <w:pPr>
              <w:pStyle w:val="yTableNAm"/>
              <w:tabs>
                <w:tab w:val="clear" w:pos="567"/>
                <w:tab w:val="right" w:pos="882"/>
              </w:tabs>
              <w:spacing w:before="60"/>
            </w:pPr>
            <w:r>
              <w:br/>
            </w:r>
            <w:r>
              <w:tab/>
              <w:t>50</w:t>
            </w:r>
          </w:p>
        </w:tc>
      </w:tr>
      <w:tr>
        <w:tblPrEx>
          <w:tblCellMar>
            <w:left w:w="108" w:type="dxa"/>
            <w:right w:w="108" w:type="dxa"/>
          </w:tblCellMar>
        </w:tblPrEx>
        <w:trPr>
          <w:cantSplit/>
          <w:trHeight w:val="20"/>
        </w:trPr>
        <w:tc>
          <w:tcPr>
            <w:tcW w:w="720" w:type="dxa"/>
          </w:tcPr>
          <w:p>
            <w:pPr>
              <w:pStyle w:val="yTableNAm"/>
              <w:spacing w:before="60"/>
            </w:pPr>
            <w:r>
              <w:t>82.</w:t>
            </w:r>
          </w:p>
        </w:tc>
        <w:tc>
          <w:tcPr>
            <w:tcW w:w="4560" w:type="dxa"/>
            <w:gridSpan w:val="2"/>
          </w:tcPr>
          <w:p>
            <w:pPr>
              <w:pStyle w:val="yTableNAm"/>
              <w:spacing w:before="60"/>
            </w:pPr>
            <w:r>
              <w:t>AIDS ....................................................................</w:t>
            </w:r>
          </w:p>
        </w:tc>
        <w:tc>
          <w:tcPr>
            <w:tcW w:w="1800" w:type="dxa"/>
            <w:gridSpan w:val="2"/>
          </w:tcPr>
          <w:p>
            <w:pPr>
              <w:pStyle w:val="yTableNAm"/>
              <w:tabs>
                <w:tab w:val="clear" w:pos="567"/>
                <w:tab w:val="right" w:pos="882"/>
              </w:tabs>
              <w:spacing w:before="60"/>
            </w:pPr>
            <w:r>
              <w:tab/>
              <w:t>100</w:t>
            </w:r>
          </w:p>
        </w:tc>
      </w:tr>
    </w:tbl>
    <w:p>
      <w:pPr>
        <w:pStyle w:val="yFootnotesection"/>
      </w:pPr>
      <w:r>
        <w:tab/>
        <w:t>[Part 2 inserted: No. 42 of 2004 s. 142(3).]</w:t>
      </w:r>
    </w:p>
    <w:p>
      <w:pPr>
        <w:tabs>
          <w:tab w:val="right" w:pos="882"/>
        </w:tabs>
        <w:sectPr>
          <w:headerReference w:type="even" r:id="rId29"/>
          <w:headerReference w:type="default" r:id="rId30"/>
          <w:pgSz w:w="11907" w:h="16840" w:code="9"/>
          <w:pgMar w:top="2381" w:right="2410" w:bottom="3544" w:left="2410" w:header="720" w:footer="3379" w:gutter="0"/>
          <w:cols w:space="720"/>
          <w:noEndnote/>
          <w:docGrid w:linePitch="326"/>
        </w:sectPr>
      </w:pPr>
    </w:p>
    <w:p>
      <w:pPr>
        <w:pStyle w:val="yScheduleHeading"/>
      </w:pPr>
      <w:bookmarkStart w:id="1122" w:name="_Toc100238841"/>
      <w:bookmarkStart w:id="1123" w:name="_Toc100239455"/>
      <w:bookmarkStart w:id="1124" w:name="_Toc100562749"/>
      <w:bookmarkStart w:id="1125" w:name="_Toc107310385"/>
      <w:bookmarkStart w:id="1126" w:name="_Toc107480239"/>
      <w:bookmarkStart w:id="1127" w:name="_Toc131501605"/>
      <w:bookmarkStart w:id="1128" w:name="_Toc131502223"/>
      <w:bookmarkStart w:id="1129" w:name="_Toc131514819"/>
      <w:r>
        <w:rPr>
          <w:rStyle w:val="CharSchNo"/>
        </w:rPr>
        <w:lastRenderedPageBreak/>
        <w:t>Schedule 3</w:t>
      </w:r>
      <w:r>
        <w:t> — </w:t>
      </w:r>
      <w:r>
        <w:rPr>
          <w:rStyle w:val="CharSchText"/>
        </w:rPr>
        <w:t>Specified industrial diseases</w:t>
      </w:r>
      <w:bookmarkEnd w:id="1122"/>
      <w:bookmarkEnd w:id="1123"/>
      <w:bookmarkEnd w:id="1124"/>
      <w:bookmarkEnd w:id="1125"/>
      <w:bookmarkEnd w:id="1126"/>
      <w:bookmarkEnd w:id="1127"/>
      <w:bookmarkEnd w:id="1128"/>
      <w:bookmarkEnd w:id="1129"/>
    </w:p>
    <w:p>
      <w:pPr>
        <w:pStyle w:val="yShoulderClause"/>
        <w:rPr>
          <w:snapToGrid w:val="0"/>
        </w:rPr>
      </w:pPr>
      <w:r>
        <w:rPr>
          <w:snapToGrid w:val="0"/>
        </w:rPr>
        <w:t>[s. 32]</w:t>
      </w:r>
    </w:p>
    <w:p>
      <w:pPr>
        <w:pStyle w:val="yFootnotesection"/>
      </w:pPr>
      <w:r>
        <w:tab/>
        <w:t>[Heading amended: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480"/>
        <w:gridCol w:w="3600"/>
      </w:tblGrid>
      <w:tr>
        <w:trPr>
          <w:tblHeader/>
        </w:trPr>
        <w:tc>
          <w:tcPr>
            <w:tcW w:w="3480" w:type="dxa"/>
          </w:tcPr>
          <w:p>
            <w:pPr>
              <w:pStyle w:val="yTableNAm"/>
              <w:jc w:val="center"/>
              <w:rPr>
                <w:b/>
                <w:bCs/>
              </w:rPr>
            </w:pPr>
            <w:r>
              <w:rPr>
                <w:b/>
                <w:bCs/>
              </w:rPr>
              <w:t>Column 1</w:t>
            </w:r>
          </w:p>
          <w:p>
            <w:pPr>
              <w:pStyle w:val="yTableNAm"/>
              <w:spacing w:before="0"/>
              <w:jc w:val="center"/>
              <w:rPr>
                <w:b/>
                <w:bCs/>
              </w:rPr>
            </w:pPr>
            <w:r>
              <w:rPr>
                <w:b/>
                <w:bCs/>
              </w:rPr>
              <w:t>Description of Disease</w:t>
            </w:r>
          </w:p>
        </w:tc>
        <w:tc>
          <w:tcPr>
            <w:tcW w:w="360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480" w:type="dxa"/>
          </w:tcPr>
          <w:p>
            <w:pPr>
              <w:pStyle w:val="yTableNAm"/>
            </w:pPr>
            <w:r>
              <w:rPr>
                <w:vertAlign w:val="superscript"/>
              </w:rPr>
              <w:t>*</w:t>
            </w:r>
            <w:r>
              <w:t>Arsenic, phosphorus, lead, mercury or other mineral poisoning</w:t>
            </w:r>
          </w:p>
        </w:tc>
        <w:tc>
          <w:tcPr>
            <w:tcW w:w="3600" w:type="dxa"/>
          </w:tcPr>
          <w:p>
            <w:pPr>
              <w:pStyle w:val="yTableNAm"/>
            </w:pPr>
            <w:r>
              <w:t>Any employment involving the use or handling of arsenic, phosphorus, lead, mercury, or other mineral, or their preparations or compounds.</w:t>
            </w:r>
          </w:p>
        </w:tc>
      </w:tr>
      <w:tr>
        <w:tc>
          <w:tcPr>
            <w:tcW w:w="3480" w:type="dxa"/>
          </w:tcPr>
          <w:p>
            <w:pPr>
              <w:pStyle w:val="yTableNAm"/>
            </w:pPr>
            <w:r>
              <w:rPr>
                <w:vertAlign w:val="superscript"/>
              </w:rPr>
              <w:t>*</w:t>
            </w:r>
            <w:r>
              <w:t>Anthrax</w:t>
            </w:r>
          </w:p>
        </w:tc>
        <w:tc>
          <w:tcPr>
            <w:tcW w:w="3600" w:type="dxa"/>
          </w:tcPr>
          <w:p>
            <w:pPr>
              <w:pStyle w:val="yTableNAm"/>
            </w:pPr>
            <w:r>
              <w:t>Wool</w:t>
            </w:r>
            <w:r>
              <w:noBreakHyphen/>
              <w:t>combing; wool</w:t>
            </w:r>
            <w:r>
              <w:noBreakHyphen/>
              <w:t>sorting; handling of hides, skins, wool, hair, bristles, or carcasses; loading and unloading or transport of merchandise.</w:t>
            </w:r>
          </w:p>
        </w:tc>
      </w:tr>
      <w:tr>
        <w:tc>
          <w:tcPr>
            <w:tcW w:w="3480" w:type="dxa"/>
          </w:tcPr>
          <w:p>
            <w:pPr>
              <w:pStyle w:val="yTableNAm"/>
            </w:pPr>
            <w:r>
              <w:t>Communicable diseases</w:t>
            </w:r>
          </w:p>
        </w:tc>
        <w:tc>
          <w:tcPr>
            <w:tcW w:w="3600" w:type="dxa"/>
          </w:tcPr>
          <w:p>
            <w:pPr>
              <w:pStyle w:val="yTableNAm"/>
            </w:pPr>
            <w: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480" w:type="dxa"/>
          </w:tcPr>
          <w:p>
            <w:pPr>
              <w:pStyle w:val="yTableNAm"/>
            </w:pPr>
            <w:r>
              <w:rPr>
                <w:vertAlign w:val="superscript"/>
              </w:rPr>
              <w:t>*</w:t>
            </w:r>
            <w:r>
              <w:t>Poisoning by trinitrotoluene or by benzol or its nitro and amido derivatives (dinitrobenzol, aniline and others)</w:t>
            </w:r>
          </w:p>
        </w:tc>
        <w:tc>
          <w:tcPr>
            <w:tcW w:w="3600" w:type="dxa"/>
          </w:tcPr>
          <w:p>
            <w:pPr>
              <w:pStyle w:val="yTableNAm"/>
            </w:pPr>
            <w:r>
              <w:t>Any process involving the use of trinitrotoluene or of the nitro and amido derivatives of benzol or its preparations or compounds.</w:t>
            </w:r>
          </w:p>
        </w:tc>
      </w:tr>
      <w:tr>
        <w:tc>
          <w:tcPr>
            <w:tcW w:w="3480" w:type="dxa"/>
          </w:tcPr>
          <w:p>
            <w:pPr>
              <w:pStyle w:val="yTableNAm"/>
            </w:pPr>
            <w:r>
              <w:t>Poisoning by a homologue of benzol</w:t>
            </w:r>
          </w:p>
        </w:tc>
        <w:tc>
          <w:tcPr>
            <w:tcW w:w="3600" w:type="dxa"/>
          </w:tcPr>
          <w:p>
            <w:pPr>
              <w:pStyle w:val="yTableNAm"/>
            </w:pPr>
            <w:r>
              <w:t>Any process involving the use of homologue of benzol.</w:t>
            </w:r>
          </w:p>
        </w:tc>
      </w:tr>
      <w:tr>
        <w:tc>
          <w:tcPr>
            <w:tcW w:w="3480" w:type="dxa"/>
          </w:tcPr>
          <w:p>
            <w:pPr>
              <w:pStyle w:val="yTableNAm"/>
              <w:keepNext/>
              <w:keepLines/>
            </w:pPr>
            <w:r>
              <w:rPr>
                <w:vertAlign w:val="superscript"/>
              </w:rPr>
              <w:lastRenderedPageBreak/>
              <w:t>*</w:t>
            </w:r>
            <w:r>
              <w:t>Poisoning by carbon bisulphide</w:t>
            </w:r>
          </w:p>
        </w:tc>
        <w:tc>
          <w:tcPr>
            <w:tcW w:w="3600" w:type="dxa"/>
          </w:tcPr>
          <w:p>
            <w:pPr>
              <w:pStyle w:val="yTableNAm"/>
              <w:keepNext/>
              <w:keepLines/>
            </w:pPr>
            <w:r>
              <w:t>Any process involving the use of carbon bisulphide or its preparations or compounds.</w:t>
            </w:r>
          </w:p>
        </w:tc>
      </w:tr>
      <w:tr>
        <w:tc>
          <w:tcPr>
            <w:tcW w:w="3480" w:type="dxa"/>
          </w:tcPr>
          <w:p>
            <w:pPr>
              <w:pStyle w:val="yTableNAm"/>
            </w:pPr>
            <w:r>
              <w:t>Poisoning by a halogen derivative of a hydrocarbon of the aliphatic series</w:t>
            </w:r>
          </w:p>
        </w:tc>
        <w:tc>
          <w:tcPr>
            <w:tcW w:w="3600" w:type="dxa"/>
          </w:tcPr>
          <w:p>
            <w:pPr>
              <w:pStyle w:val="yTableNAm"/>
            </w:pPr>
            <w:r>
              <w:t>Any process involving the use of a halogen derivative or a hydrocarbon of the aliphatic series.</w:t>
            </w:r>
          </w:p>
        </w:tc>
      </w:tr>
      <w:tr>
        <w:tc>
          <w:tcPr>
            <w:tcW w:w="3480" w:type="dxa"/>
          </w:tcPr>
          <w:p>
            <w:pPr>
              <w:pStyle w:val="yTableNAm"/>
            </w:pPr>
            <w:r>
              <w:rPr>
                <w:vertAlign w:val="superscript"/>
              </w:rPr>
              <w:t>*</w:t>
            </w:r>
            <w:r>
              <w:t>Poisoning by nitrous fumes</w:t>
            </w:r>
          </w:p>
        </w:tc>
        <w:tc>
          <w:tcPr>
            <w:tcW w:w="3600" w:type="dxa"/>
          </w:tcPr>
          <w:p>
            <w:pPr>
              <w:pStyle w:val="yTableNAm"/>
            </w:pPr>
            <w:r>
              <w:t>Any process in which nitrous fumes are evolved.</w:t>
            </w:r>
          </w:p>
        </w:tc>
      </w:tr>
      <w:tr>
        <w:tc>
          <w:tcPr>
            <w:tcW w:w="3480" w:type="dxa"/>
          </w:tcPr>
          <w:p>
            <w:pPr>
              <w:pStyle w:val="yTableNAm"/>
            </w:pPr>
            <w:r>
              <w:rPr>
                <w:vertAlign w:val="superscript"/>
              </w:rPr>
              <w:t>*</w:t>
            </w:r>
            <w:r>
              <w:t>Poisoning by fluorine</w:t>
            </w:r>
          </w:p>
        </w:tc>
        <w:tc>
          <w:tcPr>
            <w:tcW w:w="3600" w:type="dxa"/>
          </w:tcPr>
          <w:p>
            <w:pPr>
              <w:pStyle w:val="yTableNAm"/>
            </w:pPr>
            <w:r>
              <w:t>Any process in which fluorine is used.</w:t>
            </w:r>
          </w:p>
        </w:tc>
      </w:tr>
      <w:tr>
        <w:tc>
          <w:tcPr>
            <w:tcW w:w="3480" w:type="dxa"/>
          </w:tcPr>
          <w:p>
            <w:pPr>
              <w:pStyle w:val="yTableNAm"/>
            </w:pPr>
            <w:r>
              <w:rPr>
                <w:vertAlign w:val="superscript"/>
              </w:rPr>
              <w:t>*</w:t>
            </w:r>
            <w:r>
              <w:t>Poisoning by cyanogen compounds</w:t>
            </w:r>
          </w:p>
        </w:tc>
        <w:tc>
          <w:tcPr>
            <w:tcW w:w="3600" w:type="dxa"/>
          </w:tcPr>
          <w:p>
            <w:pPr>
              <w:pStyle w:val="yTableNAm"/>
            </w:pPr>
            <w:r>
              <w:t>Any process in which cyanogen compounds are used.</w:t>
            </w:r>
          </w:p>
        </w:tc>
      </w:tr>
      <w:tr>
        <w:tc>
          <w:tcPr>
            <w:tcW w:w="3480" w:type="dxa"/>
          </w:tcPr>
          <w:p>
            <w:pPr>
              <w:pStyle w:val="yTableNAm"/>
            </w:pPr>
            <w:r>
              <w:rPr>
                <w:vertAlign w:val="superscript"/>
              </w:rPr>
              <w:t>*</w:t>
            </w:r>
            <w:r>
              <w:t>Poisoning by carbon monoxide</w:t>
            </w:r>
          </w:p>
        </w:tc>
        <w:tc>
          <w:tcPr>
            <w:tcW w:w="3600" w:type="dxa"/>
          </w:tcPr>
          <w:p>
            <w:pPr>
              <w:pStyle w:val="yTableNAm"/>
            </w:pPr>
            <w:r>
              <w:t>Any process in which carbon monoxide is used, or evolved.</w:t>
            </w:r>
          </w:p>
        </w:tc>
      </w:tr>
      <w:tr>
        <w:tc>
          <w:tcPr>
            <w:tcW w:w="3480" w:type="dxa"/>
          </w:tcPr>
          <w:p>
            <w:pPr>
              <w:pStyle w:val="yTableNAm"/>
            </w:pPr>
            <w:r>
              <w:rPr>
                <w:vertAlign w:val="superscript"/>
              </w:rPr>
              <w:t>*</w:t>
            </w:r>
            <w:r>
              <w:t>Leptospirosis; endemic typhus, scrub typhus, Brill’s disease, swineherds disease, plague, mite dermatitis and scrub itch</w:t>
            </w:r>
          </w:p>
        </w:tc>
        <w:tc>
          <w:tcPr>
            <w:tcW w:w="3600" w:type="dxa"/>
          </w:tcPr>
          <w:p>
            <w:pPr>
              <w:pStyle w:val="yTableNAm"/>
            </w:pPr>
            <w: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480" w:type="dxa"/>
          </w:tcPr>
          <w:p>
            <w:pPr>
              <w:pStyle w:val="yTableNAm"/>
            </w:pPr>
            <w:r>
              <w:rPr>
                <w:vertAlign w:val="superscript"/>
              </w:rPr>
              <w:t>*</w:t>
            </w:r>
            <w:r>
              <w:t>Chrome ulceration</w:t>
            </w:r>
          </w:p>
        </w:tc>
        <w:tc>
          <w:tcPr>
            <w:tcW w:w="3600" w:type="dxa"/>
          </w:tcPr>
          <w:p>
            <w:pPr>
              <w:pStyle w:val="yTableNAm"/>
            </w:pPr>
            <w:r>
              <w:t>Any process involving the use of chromic acid or bichromate of ammonium, potassium, or sodium, or their preparations.</w:t>
            </w:r>
          </w:p>
        </w:tc>
      </w:tr>
      <w:tr>
        <w:tc>
          <w:tcPr>
            <w:tcW w:w="3480" w:type="dxa"/>
          </w:tcPr>
          <w:p>
            <w:pPr>
              <w:pStyle w:val="yTableNAm"/>
            </w:pPr>
            <w:r>
              <w:t>Effects of insolation</w:t>
            </w:r>
          </w:p>
        </w:tc>
        <w:tc>
          <w:tcPr>
            <w:tcW w:w="3600" w:type="dxa"/>
          </w:tcPr>
          <w:p>
            <w:pPr>
              <w:pStyle w:val="yTableNAm"/>
            </w:pPr>
            <w:r>
              <w:t>Work entailing prolonged exposure to sunlight.</w:t>
            </w:r>
          </w:p>
        </w:tc>
      </w:tr>
      <w:tr>
        <w:tc>
          <w:tcPr>
            <w:tcW w:w="3480" w:type="dxa"/>
          </w:tcPr>
          <w:p>
            <w:pPr>
              <w:pStyle w:val="yTableNAm"/>
            </w:pPr>
            <w:r>
              <w:t>Effects of electrical currents</w:t>
            </w:r>
          </w:p>
        </w:tc>
        <w:tc>
          <w:tcPr>
            <w:tcW w:w="3600" w:type="dxa"/>
          </w:tcPr>
          <w:p>
            <w:pPr>
              <w:pStyle w:val="yTableNAm"/>
            </w:pPr>
            <w:r>
              <w:t>Workers exposed to electrical currents.</w:t>
            </w:r>
          </w:p>
        </w:tc>
      </w:tr>
      <w:tr>
        <w:tc>
          <w:tcPr>
            <w:tcW w:w="3480" w:type="dxa"/>
          </w:tcPr>
          <w:p>
            <w:pPr>
              <w:pStyle w:val="yTableNAm"/>
            </w:pPr>
            <w:r>
              <w:lastRenderedPageBreak/>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600" w:type="dxa"/>
          </w:tcPr>
          <w:p>
            <w:pPr>
              <w:pStyle w:val="yTableNAm"/>
            </w:pPr>
            <w:r>
              <w:t>Any industrial process.</w:t>
            </w:r>
          </w:p>
        </w:tc>
      </w:tr>
      <w:tr>
        <w:tc>
          <w:tcPr>
            <w:tcW w:w="3480" w:type="dxa"/>
          </w:tcPr>
          <w:p>
            <w:pPr>
              <w:pStyle w:val="yTableNAm"/>
            </w:pPr>
            <w:r>
              <w:t>Epitheliomatous cancer or ulceration of skin or of the corneal surface of the eye due to tar, pitch, bitumen, mineral oil, paraffin, or the compounds, products or residues of those substances.</w:t>
            </w:r>
          </w:p>
        </w:tc>
        <w:tc>
          <w:tcPr>
            <w:tcW w:w="3600" w:type="dxa"/>
          </w:tcPr>
          <w:p>
            <w:pPr>
              <w:pStyle w:val="yTableNAm"/>
            </w:pPr>
            <w:r>
              <w:t>Handling of tar, pitch, bitumen, mineral oil, paraffin, or the compounds, products, or residues of those substances.</w:t>
            </w:r>
          </w:p>
        </w:tc>
      </w:tr>
      <w:tr>
        <w:tc>
          <w:tcPr>
            <w:tcW w:w="3480" w:type="dxa"/>
          </w:tcPr>
          <w:p>
            <w:pPr>
              <w:pStyle w:val="yTableNAm"/>
            </w:pPr>
            <w:r>
              <w:rPr>
                <w:vertAlign w:val="superscript"/>
              </w:rPr>
              <w:t>*</w:t>
            </w:r>
            <w:r>
              <w:t>Pneumoconiosis</w:t>
            </w:r>
          </w:p>
        </w:tc>
        <w:tc>
          <w:tcPr>
            <w:tcW w:w="3600" w:type="dxa"/>
          </w:tcPr>
          <w:p>
            <w:pPr>
              <w:pStyle w:val="yTableNAm"/>
            </w:pPr>
            <w:r>
              <w:t>Any process entailing exposure to mineral dusts harmful to the lungs.</w:t>
            </w:r>
          </w:p>
        </w:tc>
      </w:tr>
      <w:tr>
        <w:tc>
          <w:tcPr>
            <w:tcW w:w="3480" w:type="dxa"/>
          </w:tcPr>
          <w:p>
            <w:pPr>
              <w:pStyle w:val="yTableNAm"/>
            </w:pPr>
            <w:r>
              <w:t>Mesothelioma</w:t>
            </w:r>
          </w:p>
        </w:tc>
        <w:tc>
          <w:tcPr>
            <w:tcW w:w="3600" w:type="dxa"/>
          </w:tcPr>
          <w:p>
            <w:pPr>
              <w:pStyle w:val="yTableNAm"/>
            </w:pPr>
            <w:r>
              <w:t>Any process entailing substantial exposure to asbestos dust.</w:t>
            </w:r>
          </w:p>
        </w:tc>
      </w:tr>
      <w:tr>
        <w:tc>
          <w:tcPr>
            <w:tcW w:w="3480" w:type="dxa"/>
          </w:tcPr>
          <w:p>
            <w:pPr>
              <w:pStyle w:val="yTableNAm"/>
            </w:pPr>
            <w:r>
              <w:t>Pathological manifestation due to —</w:t>
            </w:r>
          </w:p>
          <w:p>
            <w:pPr>
              <w:pStyle w:val="yTableNAm"/>
              <w:ind w:left="557" w:hanging="557"/>
            </w:pPr>
            <w:r>
              <w:t>(a)</w:t>
            </w:r>
            <w:r>
              <w:tab/>
              <w:t>radium and other radioactive substances;</w:t>
            </w:r>
          </w:p>
        </w:tc>
        <w:tc>
          <w:tcPr>
            <w:tcW w:w="3600" w:type="dxa"/>
          </w:tcPr>
          <w:p>
            <w:pPr>
              <w:pStyle w:val="yTableNAm"/>
            </w:pPr>
            <w:r>
              <w:t>Any process involving exposure to the action of radium, radioactive substances, X</w:t>
            </w:r>
            <w:r>
              <w:noBreakHyphen/>
              <w:t>rays or lasers.</w:t>
            </w:r>
          </w:p>
        </w:tc>
      </w:tr>
      <w:tr>
        <w:tc>
          <w:tcPr>
            <w:tcW w:w="3480" w:type="dxa"/>
          </w:tcPr>
          <w:p>
            <w:pPr>
              <w:pStyle w:val="yTableNAm"/>
            </w:pPr>
            <w:r>
              <w:t>(b)</w:t>
            </w:r>
            <w:r>
              <w:tab/>
              <w:t>X</w:t>
            </w:r>
            <w:r>
              <w:noBreakHyphen/>
              <w:t>rays;</w:t>
            </w:r>
          </w:p>
        </w:tc>
        <w:tc>
          <w:tcPr>
            <w:tcW w:w="3600" w:type="dxa"/>
          </w:tcPr>
          <w:p>
            <w:pPr>
              <w:pStyle w:val="yTableNAm"/>
            </w:pPr>
          </w:p>
        </w:tc>
      </w:tr>
      <w:tr>
        <w:tc>
          <w:tcPr>
            <w:tcW w:w="3480" w:type="dxa"/>
          </w:tcPr>
          <w:p>
            <w:pPr>
              <w:pStyle w:val="yTableNAm"/>
            </w:pPr>
            <w:r>
              <w:t>(c)</w:t>
            </w:r>
            <w:r>
              <w:tab/>
              <w:t>lasers.</w:t>
            </w:r>
          </w:p>
        </w:tc>
        <w:tc>
          <w:tcPr>
            <w:tcW w:w="3600" w:type="dxa"/>
          </w:tcPr>
          <w:p>
            <w:pPr>
              <w:pStyle w:val="yTableNAm"/>
            </w:pPr>
          </w:p>
        </w:tc>
      </w:tr>
      <w:tr>
        <w:tc>
          <w:tcPr>
            <w:tcW w:w="3480" w:type="dxa"/>
          </w:tcPr>
          <w:p>
            <w:pPr>
              <w:pStyle w:val="yTableNAm"/>
            </w:pPr>
            <w:r>
              <w:t>Hepatitis B</w:t>
            </w:r>
          </w:p>
        </w:tc>
        <w:tc>
          <w:tcPr>
            <w:tcW w:w="3600" w:type="dxa"/>
          </w:tcPr>
          <w:p>
            <w:pPr>
              <w:pStyle w:val="yTableNAm"/>
            </w:pPr>
            <w:r>
              <w:t>Employment in a hospital or other medical centre or a dental hospital or dental centre or employment associated with a blood bank.</w:t>
            </w:r>
          </w:p>
        </w:tc>
      </w:tr>
      <w:tr>
        <w:tc>
          <w:tcPr>
            <w:tcW w:w="3480" w:type="dxa"/>
          </w:tcPr>
          <w:p>
            <w:pPr>
              <w:pStyle w:val="yTableNAm"/>
            </w:pPr>
            <w:r>
              <w:t>Lung cancer</w:t>
            </w:r>
          </w:p>
        </w:tc>
        <w:tc>
          <w:tcPr>
            <w:tcW w:w="3600" w:type="dxa"/>
          </w:tcPr>
          <w:p>
            <w:pPr>
              <w:pStyle w:val="yTableNAm"/>
            </w:pPr>
            <w:r>
              <w:t>Any process entailing heavy exposure to asbestos dust.</w:t>
            </w:r>
          </w:p>
        </w:tc>
      </w:tr>
      <w:tr>
        <w:tc>
          <w:tcPr>
            <w:tcW w:w="3480" w:type="dxa"/>
          </w:tcPr>
          <w:p>
            <w:pPr>
              <w:pStyle w:val="yTableNAm"/>
              <w:keepNext/>
              <w:keepLines/>
            </w:pPr>
            <w:r>
              <w:lastRenderedPageBreak/>
              <w:t>Bronchopulmonary diseases caused by cotton, flax, hemp or sisal dust</w:t>
            </w:r>
          </w:p>
        </w:tc>
        <w:tc>
          <w:tcPr>
            <w:tcW w:w="3600" w:type="dxa"/>
          </w:tcPr>
          <w:p>
            <w:pPr>
              <w:pStyle w:val="yTableNAm"/>
              <w:keepNext/>
              <w:keepLines/>
            </w:pPr>
            <w:r>
              <w:t>Any process entailing exposure to cotton, flax, hemp or sisal dust.</w:t>
            </w:r>
          </w:p>
        </w:tc>
      </w:tr>
      <w:tr>
        <w:tc>
          <w:tcPr>
            <w:tcW w:w="3480" w:type="dxa"/>
          </w:tcPr>
          <w:p>
            <w:pPr>
              <w:pStyle w:val="yTableNAm"/>
            </w:pPr>
            <w:r>
              <w:t>Occupational asthma caused by sensitizing agents or irritants inherent to the work process</w:t>
            </w:r>
          </w:p>
        </w:tc>
        <w:tc>
          <w:tcPr>
            <w:tcW w:w="3600" w:type="dxa"/>
          </w:tcPr>
          <w:p>
            <w:pPr>
              <w:pStyle w:val="yTableNAm"/>
            </w:pPr>
            <w:r>
              <w:t>Any process entailing exposure to sensitizing agents or irritants inherent to that process</w:t>
            </w:r>
          </w:p>
        </w:tc>
      </w:tr>
      <w:tr>
        <w:tc>
          <w:tcPr>
            <w:tcW w:w="3480" w:type="dxa"/>
          </w:tcPr>
          <w:p>
            <w:pPr>
              <w:pStyle w:val="yTableNAm"/>
            </w:pPr>
            <w:r>
              <w:t>Extrinsic allergic alveolitis caused by the inhalation of organic dusts</w:t>
            </w:r>
          </w:p>
        </w:tc>
        <w:tc>
          <w:tcPr>
            <w:tcW w:w="3600" w:type="dxa"/>
          </w:tcPr>
          <w:p>
            <w:pPr>
              <w:pStyle w:val="yTableNAm"/>
            </w:pPr>
            <w:r>
              <w:t>Any process entailing exposure to organic dusts.</w:t>
            </w:r>
          </w:p>
        </w:tc>
      </w:tr>
      <w:tr>
        <w:tc>
          <w:tcPr>
            <w:tcW w:w="3480" w:type="dxa"/>
          </w:tcPr>
          <w:p>
            <w:pPr>
              <w:pStyle w:val="yTableNAm"/>
            </w:pPr>
            <w:r>
              <w:t>Diseases caused by alcohols, glycols or ketones</w:t>
            </w:r>
          </w:p>
        </w:tc>
        <w:tc>
          <w:tcPr>
            <w:tcW w:w="3600" w:type="dxa"/>
          </w:tcPr>
          <w:p>
            <w:pPr>
              <w:pStyle w:val="yTableNAm"/>
            </w:pPr>
            <w:r>
              <w:t>Any process entailing exposure to alcohols, glycols or ketones.</w:t>
            </w:r>
          </w:p>
        </w:tc>
      </w:tr>
      <w:tr>
        <w:tc>
          <w:tcPr>
            <w:tcW w:w="3480" w:type="dxa"/>
          </w:tcPr>
          <w:p>
            <w:pPr>
              <w:pStyle w:val="yTableNAm"/>
            </w:pPr>
            <w:r>
              <w:t>Diseases caused by the asphyxiants carbon monoxide, hydrogen cyanide or its toxic derivatives or hydrogen sulfide</w:t>
            </w:r>
          </w:p>
        </w:tc>
        <w:tc>
          <w:tcPr>
            <w:tcW w:w="3600" w:type="dxa"/>
          </w:tcPr>
          <w:p>
            <w:pPr>
              <w:pStyle w:val="yTableNAm"/>
            </w:pPr>
            <w:r>
              <w:t>Any process in which carbon monoxide, hydrogen cyanide or its toxic derivatives or hydrogen sulfide is used.</w:t>
            </w:r>
          </w:p>
        </w:tc>
      </w:tr>
      <w:tr>
        <w:tc>
          <w:tcPr>
            <w:tcW w:w="3480" w:type="dxa"/>
          </w:tcPr>
          <w:p>
            <w:pPr>
              <w:pStyle w:val="yTableNAm"/>
            </w:pPr>
            <w:r>
              <w:t>Diffuse pleural fibrosis</w:t>
            </w:r>
          </w:p>
        </w:tc>
        <w:tc>
          <w:tcPr>
            <w:tcW w:w="3600" w:type="dxa"/>
          </w:tcPr>
          <w:p>
            <w:pPr>
              <w:pStyle w:val="yTableNAm"/>
              <w:rPr>
                <w:szCs w:val="22"/>
              </w:rPr>
            </w:pPr>
            <w:r>
              <w:rPr>
                <w:szCs w:val="22"/>
              </w:rPr>
              <w:t>Any process entailing substantial exposure to asbestos dust.</w:t>
            </w:r>
          </w:p>
        </w:tc>
      </w:tr>
    </w:tbl>
    <w:p>
      <w:pPr>
        <w:pStyle w:val="yMiscellaneousBody"/>
        <w:rPr>
          <w:rFonts w:ascii="Arial" w:hAnsi="Arial" w:cs="Arial"/>
          <w:snapToGrid w:val="0"/>
          <w:sz w:val="18"/>
          <w:szCs w:val="18"/>
        </w:rPr>
      </w:pPr>
      <w:r>
        <w:rPr>
          <w:rFonts w:ascii="Arial" w:hAnsi="Arial" w:cs="Arial"/>
          <w:snapToGrid w:val="0"/>
          <w:sz w:val="18"/>
          <w:szCs w:val="18"/>
        </w:rPr>
        <w:t>* See section 48(2)</w:t>
      </w:r>
    </w:p>
    <w:p>
      <w:pPr>
        <w:pStyle w:val="yFootnotesection"/>
      </w:pPr>
      <w:r>
        <w:tab/>
        <w:t>[Schedule 3 amended: No. 44 of 1985 s. 43; No. 48 of 1993 s. 42; (see Orders made under s. 45</w:t>
      </w:r>
      <w:r>
        <w:rPr>
          <w:vertAlign w:val="superscript"/>
        </w:rPr>
        <w:t> 5</w:t>
      </w:r>
      <w:r>
        <w:t>); No. 31 of 2011 s. 124.]</w:t>
      </w:r>
    </w:p>
    <w:p>
      <w:pPr>
        <w:pStyle w:val="yScheduleHeading"/>
      </w:pPr>
      <w:bookmarkStart w:id="1130" w:name="_Toc100238842"/>
      <w:bookmarkStart w:id="1131" w:name="_Toc100239456"/>
      <w:bookmarkStart w:id="1132" w:name="_Toc100562750"/>
      <w:bookmarkStart w:id="1133" w:name="_Toc107310386"/>
      <w:bookmarkStart w:id="1134" w:name="_Toc107480240"/>
      <w:bookmarkStart w:id="1135" w:name="_Toc131501606"/>
      <w:bookmarkStart w:id="1136" w:name="_Toc131502224"/>
      <w:bookmarkStart w:id="1137" w:name="_Toc131514820"/>
      <w:r>
        <w:rPr>
          <w:rStyle w:val="CharSchNo"/>
        </w:rPr>
        <w:lastRenderedPageBreak/>
        <w:t>Schedule 4A</w:t>
      </w:r>
      <w:r>
        <w:t> — </w:t>
      </w:r>
      <w:r>
        <w:rPr>
          <w:rStyle w:val="CharSchText"/>
        </w:rPr>
        <w:t>Specified diseases for firefighters</w:t>
      </w:r>
      <w:bookmarkEnd w:id="1130"/>
      <w:bookmarkEnd w:id="1131"/>
      <w:bookmarkEnd w:id="1132"/>
      <w:bookmarkEnd w:id="1133"/>
      <w:bookmarkEnd w:id="1134"/>
      <w:bookmarkEnd w:id="1135"/>
      <w:bookmarkEnd w:id="1136"/>
      <w:bookmarkEnd w:id="1137"/>
    </w:p>
    <w:p>
      <w:pPr>
        <w:pStyle w:val="yShoulderClause"/>
        <w:spacing w:after="80"/>
      </w:pPr>
      <w:r>
        <w:t xml:space="preserve"> [s. 49A and 49C(1)(c)]</w:t>
      </w:r>
    </w:p>
    <w:p>
      <w:pPr>
        <w:pStyle w:val="yFootnoteheading"/>
        <w:spacing w:after="60"/>
      </w:pPr>
      <w:r>
        <w:tab/>
        <w:t>[Heading inserted: No. 21 of 2013 s. 5.]</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685"/>
        <w:gridCol w:w="2552"/>
      </w:tblGrid>
      <w:tr>
        <w:trPr>
          <w:cantSplit/>
          <w:tblHeader/>
        </w:trPr>
        <w:tc>
          <w:tcPr>
            <w:tcW w:w="851" w:type="dxa"/>
            <w:tcBorders>
              <w:top w:val="single" w:sz="4" w:space="0" w:color="auto"/>
              <w:left w:val="nil"/>
              <w:bottom w:val="nil"/>
              <w:right w:val="nil"/>
            </w:tcBorders>
          </w:tcPr>
          <w:p>
            <w:pPr>
              <w:pStyle w:val="zyTableNAm"/>
              <w:rPr>
                <w:b/>
                <w:bCs/>
              </w:rPr>
            </w:pPr>
          </w:p>
        </w:tc>
        <w:tc>
          <w:tcPr>
            <w:tcW w:w="3685" w:type="dxa"/>
            <w:tcBorders>
              <w:top w:val="single" w:sz="4" w:space="0" w:color="auto"/>
              <w:left w:val="nil"/>
              <w:bottom w:val="nil"/>
              <w:right w:val="nil"/>
            </w:tcBorders>
          </w:tcPr>
          <w:p>
            <w:pPr>
              <w:pStyle w:val="yTableNAm"/>
            </w:pPr>
            <w:r>
              <w:rPr>
                <w:b/>
                <w:bCs/>
              </w:rPr>
              <w:t>Column 1</w:t>
            </w:r>
          </w:p>
        </w:tc>
        <w:tc>
          <w:tcPr>
            <w:tcW w:w="2552" w:type="dxa"/>
            <w:tcBorders>
              <w:top w:val="single" w:sz="4" w:space="0" w:color="auto"/>
              <w:left w:val="nil"/>
              <w:bottom w:val="nil"/>
              <w:right w:val="nil"/>
            </w:tcBorders>
          </w:tcPr>
          <w:p>
            <w:pPr>
              <w:pStyle w:val="yTableNAm"/>
            </w:pPr>
            <w:r>
              <w:rPr>
                <w:b/>
                <w:bCs/>
              </w:rPr>
              <w:t>Column 2</w:t>
            </w:r>
          </w:p>
        </w:tc>
      </w:tr>
      <w:tr>
        <w:trPr>
          <w:cantSplit/>
          <w:tblHeader/>
        </w:trPr>
        <w:tc>
          <w:tcPr>
            <w:tcW w:w="851" w:type="dxa"/>
            <w:tcBorders>
              <w:top w:val="nil"/>
              <w:left w:val="nil"/>
              <w:bottom w:val="single" w:sz="4" w:space="0" w:color="auto"/>
              <w:right w:val="nil"/>
            </w:tcBorders>
          </w:tcPr>
          <w:p>
            <w:pPr>
              <w:pStyle w:val="yTableNAm"/>
            </w:pPr>
            <w:r>
              <w:rPr>
                <w:b/>
                <w:bCs/>
              </w:rPr>
              <w:t>Item</w:t>
            </w:r>
          </w:p>
        </w:tc>
        <w:tc>
          <w:tcPr>
            <w:tcW w:w="3685" w:type="dxa"/>
            <w:tcBorders>
              <w:top w:val="nil"/>
              <w:left w:val="nil"/>
              <w:bottom w:val="single" w:sz="4" w:space="0" w:color="auto"/>
              <w:right w:val="nil"/>
            </w:tcBorders>
          </w:tcPr>
          <w:p>
            <w:pPr>
              <w:pStyle w:val="yTableNAm"/>
            </w:pPr>
            <w:r>
              <w:rPr>
                <w:b/>
                <w:bCs/>
              </w:rPr>
              <w:t>Disease</w:t>
            </w:r>
          </w:p>
        </w:tc>
        <w:tc>
          <w:tcPr>
            <w:tcW w:w="2552" w:type="dxa"/>
            <w:tcBorders>
              <w:top w:val="nil"/>
              <w:left w:val="nil"/>
              <w:bottom w:val="single" w:sz="4" w:space="0" w:color="auto"/>
              <w:right w:val="nil"/>
            </w:tcBorders>
          </w:tcPr>
          <w:p>
            <w:pPr>
              <w:pStyle w:val="yTableNAm"/>
            </w:pPr>
            <w:r>
              <w:rPr>
                <w:b/>
                <w:bCs/>
              </w:rPr>
              <w:t>Qualifying period</w:t>
            </w:r>
          </w:p>
        </w:tc>
      </w:tr>
      <w:tr>
        <w:trPr>
          <w:cantSplit/>
        </w:trPr>
        <w:tc>
          <w:tcPr>
            <w:tcW w:w="851" w:type="dxa"/>
            <w:tcBorders>
              <w:top w:val="single" w:sz="4" w:space="0" w:color="auto"/>
              <w:left w:val="nil"/>
              <w:bottom w:val="nil"/>
              <w:right w:val="nil"/>
            </w:tcBorders>
          </w:tcPr>
          <w:p>
            <w:pPr>
              <w:pStyle w:val="yTableNAm"/>
            </w:pPr>
            <w:r>
              <w:t>1.</w:t>
            </w:r>
          </w:p>
        </w:tc>
        <w:tc>
          <w:tcPr>
            <w:tcW w:w="3685" w:type="dxa"/>
            <w:tcBorders>
              <w:top w:val="single" w:sz="4" w:space="0" w:color="auto"/>
              <w:left w:val="nil"/>
              <w:bottom w:val="nil"/>
              <w:right w:val="nil"/>
            </w:tcBorders>
          </w:tcPr>
          <w:p>
            <w:pPr>
              <w:pStyle w:val="yTableNAm"/>
            </w:pPr>
            <w:r>
              <w:t>Primary site brain cancer</w:t>
            </w:r>
          </w:p>
        </w:tc>
        <w:tc>
          <w:tcPr>
            <w:tcW w:w="2552" w:type="dxa"/>
            <w:tcBorders>
              <w:top w:val="single" w:sz="4" w:space="0" w:color="auto"/>
              <w:left w:val="nil"/>
              <w:bottom w:val="nil"/>
              <w:right w:val="nil"/>
            </w:tcBorders>
          </w:tcPr>
          <w:p>
            <w:pPr>
              <w:pStyle w:val="yTableNAm"/>
            </w:pPr>
            <w:r>
              <w:t>5 years</w:t>
            </w:r>
          </w:p>
        </w:tc>
      </w:tr>
      <w:tr>
        <w:trPr>
          <w:cantSplit/>
        </w:trPr>
        <w:tc>
          <w:tcPr>
            <w:tcW w:w="851" w:type="dxa"/>
            <w:tcBorders>
              <w:top w:val="nil"/>
              <w:left w:val="nil"/>
              <w:bottom w:val="nil"/>
              <w:right w:val="nil"/>
            </w:tcBorders>
          </w:tcPr>
          <w:p>
            <w:pPr>
              <w:pStyle w:val="yTableNAm"/>
            </w:pPr>
            <w:r>
              <w:t>2.</w:t>
            </w:r>
          </w:p>
        </w:tc>
        <w:tc>
          <w:tcPr>
            <w:tcW w:w="3685" w:type="dxa"/>
            <w:tcBorders>
              <w:top w:val="nil"/>
              <w:left w:val="nil"/>
              <w:bottom w:val="nil"/>
              <w:right w:val="nil"/>
            </w:tcBorders>
          </w:tcPr>
          <w:p>
            <w:pPr>
              <w:pStyle w:val="yTableNAm"/>
            </w:pPr>
            <w:r>
              <w:t>Primary site bladder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3.</w:t>
            </w:r>
          </w:p>
        </w:tc>
        <w:tc>
          <w:tcPr>
            <w:tcW w:w="3685" w:type="dxa"/>
            <w:tcBorders>
              <w:top w:val="nil"/>
              <w:left w:val="nil"/>
              <w:bottom w:val="nil"/>
              <w:right w:val="nil"/>
            </w:tcBorders>
          </w:tcPr>
          <w:p>
            <w:pPr>
              <w:pStyle w:val="yTableNAm"/>
            </w:pPr>
            <w:r>
              <w:t>Primary site kidney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4.</w:t>
            </w:r>
          </w:p>
        </w:tc>
        <w:tc>
          <w:tcPr>
            <w:tcW w:w="3685" w:type="dxa"/>
            <w:tcBorders>
              <w:top w:val="nil"/>
              <w:left w:val="nil"/>
              <w:bottom w:val="nil"/>
              <w:right w:val="nil"/>
            </w:tcBorders>
          </w:tcPr>
          <w:p>
            <w:pPr>
              <w:pStyle w:val="yTableNAm"/>
            </w:pPr>
            <w:r>
              <w:t>Primary non</w:t>
            </w:r>
            <w:r>
              <w:noBreakHyphen/>
              <w:t>Hodgkin’s lymphoma</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5.</w:t>
            </w:r>
          </w:p>
        </w:tc>
        <w:tc>
          <w:tcPr>
            <w:tcW w:w="3685" w:type="dxa"/>
            <w:tcBorders>
              <w:top w:val="nil"/>
              <w:left w:val="nil"/>
              <w:bottom w:val="nil"/>
              <w:right w:val="nil"/>
            </w:tcBorders>
          </w:tcPr>
          <w:p>
            <w:pPr>
              <w:pStyle w:val="yTableNAm"/>
            </w:pPr>
            <w:r>
              <w:t>Primary leukaemia</w:t>
            </w:r>
          </w:p>
        </w:tc>
        <w:tc>
          <w:tcPr>
            <w:tcW w:w="2552" w:type="dxa"/>
            <w:tcBorders>
              <w:top w:val="nil"/>
              <w:left w:val="nil"/>
              <w:bottom w:val="nil"/>
              <w:right w:val="nil"/>
            </w:tcBorders>
          </w:tcPr>
          <w:p>
            <w:pPr>
              <w:pStyle w:val="yTableNAm"/>
            </w:pPr>
            <w:r>
              <w:t>5 years</w:t>
            </w:r>
          </w:p>
        </w:tc>
      </w:tr>
      <w:tr>
        <w:trPr>
          <w:cantSplit/>
        </w:trPr>
        <w:tc>
          <w:tcPr>
            <w:tcW w:w="851" w:type="dxa"/>
            <w:tcBorders>
              <w:top w:val="nil"/>
              <w:left w:val="nil"/>
              <w:bottom w:val="nil"/>
              <w:right w:val="nil"/>
            </w:tcBorders>
          </w:tcPr>
          <w:p>
            <w:pPr>
              <w:pStyle w:val="yTableNAm"/>
            </w:pPr>
            <w:r>
              <w:t>6.</w:t>
            </w:r>
          </w:p>
        </w:tc>
        <w:tc>
          <w:tcPr>
            <w:tcW w:w="3685" w:type="dxa"/>
            <w:tcBorders>
              <w:top w:val="nil"/>
              <w:left w:val="nil"/>
              <w:bottom w:val="nil"/>
              <w:right w:val="nil"/>
            </w:tcBorders>
          </w:tcPr>
          <w:p>
            <w:pPr>
              <w:pStyle w:val="yTableNAm"/>
            </w:pPr>
            <w:r>
              <w:t>Primary site breast cancer</w:t>
            </w:r>
          </w:p>
        </w:tc>
        <w:tc>
          <w:tcPr>
            <w:tcW w:w="2552" w:type="dxa"/>
            <w:tcBorders>
              <w:top w:val="nil"/>
              <w:left w:val="nil"/>
              <w:bottom w:val="nil"/>
              <w:right w:val="nil"/>
            </w:tcBorders>
          </w:tcPr>
          <w:p>
            <w:pPr>
              <w:pStyle w:val="yTableNAm"/>
            </w:pPr>
            <w:r>
              <w:t>10 years</w:t>
            </w:r>
          </w:p>
        </w:tc>
      </w:tr>
      <w:tr>
        <w:trPr>
          <w:cantSplit/>
        </w:trPr>
        <w:tc>
          <w:tcPr>
            <w:tcW w:w="851" w:type="dxa"/>
            <w:tcBorders>
              <w:top w:val="nil"/>
              <w:left w:val="nil"/>
              <w:bottom w:val="nil"/>
              <w:right w:val="nil"/>
            </w:tcBorders>
          </w:tcPr>
          <w:p>
            <w:pPr>
              <w:pStyle w:val="yTableNAm"/>
            </w:pPr>
            <w:r>
              <w:t>7.</w:t>
            </w:r>
          </w:p>
        </w:tc>
        <w:tc>
          <w:tcPr>
            <w:tcW w:w="3685" w:type="dxa"/>
            <w:tcBorders>
              <w:top w:val="nil"/>
              <w:left w:val="nil"/>
              <w:bottom w:val="nil"/>
              <w:right w:val="nil"/>
            </w:tcBorders>
          </w:tcPr>
          <w:p>
            <w:pPr>
              <w:pStyle w:val="yTableNAm"/>
            </w:pPr>
            <w:r>
              <w:t>Primary site testicular cancer</w:t>
            </w:r>
          </w:p>
        </w:tc>
        <w:tc>
          <w:tcPr>
            <w:tcW w:w="2552" w:type="dxa"/>
            <w:tcBorders>
              <w:top w:val="nil"/>
              <w:left w:val="nil"/>
              <w:bottom w:val="nil"/>
              <w:right w:val="nil"/>
            </w:tcBorders>
          </w:tcPr>
          <w:p>
            <w:pPr>
              <w:pStyle w:val="yTableNAm"/>
            </w:pPr>
            <w:r>
              <w:t>10 years</w:t>
            </w:r>
          </w:p>
        </w:tc>
      </w:tr>
      <w:tr>
        <w:trPr>
          <w:cantSplit/>
        </w:trPr>
        <w:tc>
          <w:tcPr>
            <w:tcW w:w="851" w:type="dxa"/>
            <w:tcBorders>
              <w:top w:val="nil"/>
              <w:left w:val="nil"/>
              <w:bottom w:val="nil"/>
              <w:right w:val="nil"/>
            </w:tcBorders>
          </w:tcPr>
          <w:p>
            <w:pPr>
              <w:pStyle w:val="yTableNAm"/>
            </w:pPr>
            <w:r>
              <w:t>8.</w:t>
            </w:r>
          </w:p>
        </w:tc>
        <w:tc>
          <w:tcPr>
            <w:tcW w:w="3685" w:type="dxa"/>
            <w:tcBorders>
              <w:top w:val="nil"/>
              <w:left w:val="nil"/>
              <w:bottom w:val="nil"/>
              <w:right w:val="nil"/>
            </w:tcBorders>
          </w:tcPr>
          <w:p>
            <w:pPr>
              <w:pStyle w:val="yTableNAm"/>
            </w:pPr>
            <w:r>
              <w:t>Multiple myeloma</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9.</w:t>
            </w:r>
          </w:p>
        </w:tc>
        <w:tc>
          <w:tcPr>
            <w:tcW w:w="3685" w:type="dxa"/>
            <w:tcBorders>
              <w:top w:val="nil"/>
              <w:left w:val="nil"/>
              <w:bottom w:val="nil"/>
              <w:right w:val="nil"/>
            </w:tcBorders>
          </w:tcPr>
          <w:p>
            <w:pPr>
              <w:pStyle w:val="yTableNAm"/>
            </w:pPr>
            <w:r>
              <w:t>Primary site prostate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10.</w:t>
            </w:r>
          </w:p>
        </w:tc>
        <w:tc>
          <w:tcPr>
            <w:tcW w:w="3685" w:type="dxa"/>
            <w:tcBorders>
              <w:top w:val="nil"/>
              <w:left w:val="nil"/>
              <w:bottom w:val="nil"/>
              <w:right w:val="nil"/>
            </w:tcBorders>
          </w:tcPr>
          <w:p>
            <w:pPr>
              <w:pStyle w:val="yTableNAm"/>
            </w:pPr>
            <w:r>
              <w:t>Primary site ureter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11.</w:t>
            </w:r>
          </w:p>
        </w:tc>
        <w:tc>
          <w:tcPr>
            <w:tcW w:w="3685" w:type="dxa"/>
            <w:tcBorders>
              <w:top w:val="nil"/>
              <w:left w:val="nil"/>
              <w:bottom w:val="nil"/>
              <w:right w:val="nil"/>
            </w:tcBorders>
          </w:tcPr>
          <w:p>
            <w:pPr>
              <w:pStyle w:val="yTableNAm"/>
            </w:pPr>
            <w:r>
              <w:t>Primary site colorectal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12.</w:t>
            </w:r>
          </w:p>
        </w:tc>
        <w:tc>
          <w:tcPr>
            <w:tcW w:w="3685" w:type="dxa"/>
            <w:tcBorders>
              <w:top w:val="nil"/>
              <w:left w:val="nil"/>
              <w:bottom w:val="nil"/>
              <w:right w:val="nil"/>
            </w:tcBorders>
          </w:tcPr>
          <w:p>
            <w:pPr>
              <w:pStyle w:val="yTableNAm"/>
            </w:pPr>
            <w:r>
              <w:t>Primary site oesophageal cancer</w:t>
            </w:r>
          </w:p>
        </w:tc>
        <w:tc>
          <w:tcPr>
            <w:tcW w:w="2552" w:type="dxa"/>
            <w:tcBorders>
              <w:top w:val="nil"/>
              <w:left w:val="nil"/>
              <w:bottom w:val="nil"/>
              <w:right w:val="nil"/>
            </w:tcBorders>
          </w:tcPr>
          <w:p>
            <w:pPr>
              <w:pStyle w:val="yTableNAm"/>
            </w:pPr>
            <w:r>
              <w:t>25 years</w:t>
            </w:r>
          </w:p>
        </w:tc>
      </w:tr>
      <w:tr>
        <w:trPr>
          <w:cantSplit/>
        </w:trPr>
        <w:tc>
          <w:tcPr>
            <w:tcW w:w="851" w:type="dxa"/>
            <w:tcBorders>
              <w:top w:val="nil"/>
              <w:left w:val="nil"/>
              <w:bottom w:val="single" w:sz="4" w:space="0" w:color="auto"/>
              <w:right w:val="nil"/>
            </w:tcBorders>
          </w:tcPr>
          <w:p>
            <w:pPr>
              <w:pStyle w:val="yTableNAm"/>
            </w:pPr>
            <w:r>
              <w:t>13.</w:t>
            </w:r>
          </w:p>
        </w:tc>
        <w:tc>
          <w:tcPr>
            <w:tcW w:w="3685" w:type="dxa"/>
            <w:tcBorders>
              <w:top w:val="nil"/>
              <w:left w:val="nil"/>
              <w:bottom w:val="single" w:sz="4" w:space="0" w:color="auto"/>
              <w:right w:val="nil"/>
            </w:tcBorders>
          </w:tcPr>
          <w:p>
            <w:pPr>
              <w:pStyle w:val="yTableNAm"/>
            </w:pPr>
            <w:r>
              <w:t>A cancer of a kind prescribed by the regulations for the purposes of this Schedule</w:t>
            </w:r>
          </w:p>
        </w:tc>
        <w:tc>
          <w:tcPr>
            <w:tcW w:w="2552" w:type="dxa"/>
            <w:tcBorders>
              <w:top w:val="nil"/>
              <w:left w:val="nil"/>
              <w:bottom w:val="single" w:sz="4" w:space="0" w:color="auto"/>
              <w:right w:val="nil"/>
            </w:tcBorders>
          </w:tcPr>
          <w:p>
            <w:pPr>
              <w:pStyle w:val="yTableNAm"/>
            </w:pPr>
            <w:r>
              <w:t>The period prescribed by the regulations for such a cancer</w:t>
            </w:r>
          </w:p>
        </w:tc>
      </w:tr>
    </w:tbl>
    <w:p>
      <w:pPr>
        <w:pStyle w:val="yFootnotesection"/>
      </w:pPr>
      <w:r>
        <w:tab/>
        <w:t>[Schedule 4A inserted: No. 21 of 2013 s. 5.]</w:t>
      </w:r>
    </w:p>
    <w:p>
      <w:pPr>
        <w:pStyle w:val="yScheduleHeading"/>
      </w:pPr>
      <w:bookmarkStart w:id="1138" w:name="_Toc100238843"/>
      <w:bookmarkStart w:id="1139" w:name="_Toc100239457"/>
      <w:bookmarkStart w:id="1140" w:name="_Toc100562751"/>
      <w:bookmarkStart w:id="1141" w:name="_Toc107310387"/>
      <w:bookmarkStart w:id="1142" w:name="_Toc107480241"/>
      <w:bookmarkStart w:id="1143" w:name="_Toc131501607"/>
      <w:bookmarkStart w:id="1144" w:name="_Toc131502225"/>
      <w:bookmarkStart w:id="1145" w:name="_Toc131514821"/>
      <w:r>
        <w:rPr>
          <w:rStyle w:val="CharSchNo"/>
        </w:rPr>
        <w:lastRenderedPageBreak/>
        <w:t>Schedule 4</w:t>
      </w:r>
      <w:r>
        <w:t> — </w:t>
      </w:r>
      <w:r>
        <w:rPr>
          <w:rStyle w:val="CharSchText"/>
        </w:rPr>
        <w:t>Specified losses of functions</w:t>
      </w:r>
      <w:bookmarkEnd w:id="1138"/>
      <w:bookmarkEnd w:id="1139"/>
      <w:bookmarkEnd w:id="1140"/>
      <w:bookmarkEnd w:id="1141"/>
      <w:bookmarkEnd w:id="1142"/>
      <w:bookmarkEnd w:id="1143"/>
      <w:bookmarkEnd w:id="1144"/>
      <w:bookmarkEnd w:id="1145"/>
    </w:p>
    <w:p>
      <w:pPr>
        <w:pStyle w:val="yShoulderClause"/>
        <w:rPr>
          <w:snapToGrid w:val="0"/>
        </w:rPr>
      </w:pPr>
      <w:r>
        <w:rPr>
          <w:snapToGrid w:val="0"/>
        </w:rPr>
        <w:t>[s. 49]</w:t>
      </w:r>
    </w:p>
    <w:p>
      <w:pPr>
        <w:pStyle w:val="yFootnotesection"/>
      </w:pPr>
      <w:r>
        <w:tab/>
        <w:t>[Heading amended: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960"/>
        <w:gridCol w:w="3120"/>
      </w:tblGrid>
      <w:tr>
        <w:tc>
          <w:tcPr>
            <w:tcW w:w="3960" w:type="dxa"/>
          </w:tcPr>
          <w:p>
            <w:pPr>
              <w:pStyle w:val="yTableNAm"/>
              <w:jc w:val="center"/>
              <w:rPr>
                <w:b/>
                <w:bCs/>
              </w:rPr>
            </w:pPr>
            <w:r>
              <w:rPr>
                <w:b/>
                <w:bCs/>
              </w:rPr>
              <w:t>Column 1</w:t>
            </w:r>
          </w:p>
          <w:p>
            <w:pPr>
              <w:pStyle w:val="yTableNAm"/>
              <w:spacing w:before="0"/>
              <w:jc w:val="center"/>
              <w:rPr>
                <w:b/>
                <w:bCs/>
              </w:rPr>
            </w:pPr>
            <w:r>
              <w:rPr>
                <w:b/>
                <w:bCs/>
              </w:rPr>
              <w:t>Loss of Function</w:t>
            </w:r>
          </w:p>
        </w:tc>
        <w:tc>
          <w:tcPr>
            <w:tcW w:w="312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960" w:type="dxa"/>
          </w:tcPr>
          <w:p>
            <w:pPr>
              <w:pStyle w:val="yTableNAm"/>
            </w:pPr>
            <w:r>
              <w:t>Noise induced hearing loss</w:t>
            </w:r>
          </w:p>
        </w:tc>
        <w:tc>
          <w:tcPr>
            <w:tcW w:w="3120" w:type="dxa"/>
          </w:tcPr>
          <w:p>
            <w:pPr>
              <w:pStyle w:val="yTableNAm"/>
            </w:pPr>
            <w:r>
              <w:t>Any work process involving continued exposure to excessive noise.</w:t>
            </w:r>
          </w:p>
        </w:tc>
      </w:tr>
      <w:tr>
        <w:tc>
          <w:tcPr>
            <w:tcW w:w="3960" w:type="dxa"/>
          </w:tcPr>
          <w:p>
            <w:pPr>
              <w:pStyle w:val="yTableNAm"/>
            </w:pPr>
            <w:r>
              <w:t>Effects of vibration (including Raynaud’s phenomenon and dead hand)</w:t>
            </w:r>
          </w:p>
        </w:tc>
        <w:tc>
          <w:tcPr>
            <w:tcW w:w="3120" w:type="dxa"/>
          </w:tcPr>
          <w:p>
            <w:pPr>
              <w:pStyle w:val="yTableNAm"/>
            </w:pPr>
            <w:r>
              <w:t>Use of vibratory tools, implements and appliances.</w:t>
            </w:r>
          </w:p>
        </w:tc>
      </w:tr>
      <w:tr>
        <w:tc>
          <w:tcPr>
            <w:tcW w:w="3960" w:type="dxa"/>
          </w:tcPr>
          <w:p>
            <w:pPr>
              <w:pStyle w:val="yTableNAm"/>
            </w:pPr>
            <w:r>
              <w:t>Compressed air illness</w:t>
            </w:r>
          </w:p>
        </w:tc>
        <w:tc>
          <w:tcPr>
            <w:tcW w:w="3120" w:type="dxa"/>
          </w:tcPr>
          <w:p>
            <w:pPr>
              <w:pStyle w:val="yTableNAm"/>
            </w:pPr>
            <w:r>
              <w:t>Any process carried on in compressed air.</w:t>
            </w:r>
          </w:p>
        </w:tc>
      </w:tr>
    </w:tbl>
    <w:p>
      <w:pPr>
        <w:pStyle w:val="yScheduleHeading"/>
      </w:pPr>
      <w:bookmarkStart w:id="1146" w:name="_Toc100238844"/>
      <w:bookmarkStart w:id="1147" w:name="_Toc100239458"/>
      <w:bookmarkStart w:id="1148" w:name="_Toc100562752"/>
      <w:bookmarkStart w:id="1149" w:name="_Toc107310388"/>
      <w:bookmarkStart w:id="1150" w:name="_Toc107480242"/>
      <w:bookmarkStart w:id="1151" w:name="_Toc131501608"/>
      <w:bookmarkStart w:id="1152" w:name="_Toc131502226"/>
      <w:bookmarkStart w:id="1153" w:name="_Toc131514822"/>
      <w:r>
        <w:rPr>
          <w:rStyle w:val="CharSchNo"/>
        </w:rPr>
        <w:lastRenderedPageBreak/>
        <w:t>Schedule 5</w:t>
      </w:r>
      <w:r>
        <w:rPr>
          <w:rStyle w:val="CharSDivNo"/>
        </w:rPr>
        <w:t> </w:t>
      </w:r>
      <w:r>
        <w:t>— </w:t>
      </w:r>
      <w:r>
        <w:rPr>
          <w:rStyle w:val="CharSchText"/>
        </w:rPr>
        <w:t>Exceptions to cessation of weekly payments by reason of age</w:t>
      </w:r>
      <w:bookmarkEnd w:id="1146"/>
      <w:bookmarkEnd w:id="1147"/>
      <w:bookmarkEnd w:id="1148"/>
      <w:bookmarkEnd w:id="1149"/>
      <w:bookmarkEnd w:id="1150"/>
      <w:bookmarkEnd w:id="1151"/>
      <w:bookmarkEnd w:id="1152"/>
      <w:bookmarkEnd w:id="1153"/>
    </w:p>
    <w:p>
      <w:pPr>
        <w:pStyle w:val="yShoulderClause"/>
        <w:rPr>
          <w:snapToGrid w:val="0"/>
        </w:rPr>
      </w:pPr>
      <w:r>
        <w:rPr>
          <w:snapToGrid w:val="0"/>
        </w:rPr>
        <w:t>[s. 56]</w:t>
      </w:r>
    </w:p>
    <w:p>
      <w:pPr>
        <w:pStyle w:val="yHeading5"/>
        <w:outlineLvl w:val="0"/>
        <w:rPr>
          <w:snapToGrid w:val="0"/>
        </w:rPr>
      </w:pPr>
      <w:bookmarkStart w:id="1154" w:name="_Toc131514823"/>
      <w:r>
        <w:rPr>
          <w:rStyle w:val="CharSClsNo"/>
        </w:rPr>
        <w:t>1</w:t>
      </w:r>
      <w:r>
        <w:rPr>
          <w:snapToGrid w:val="0"/>
        </w:rPr>
        <w:t>.</w:t>
      </w:r>
      <w:r>
        <w:rPr>
          <w:snapToGrid w:val="0"/>
        </w:rPr>
        <w:tab/>
        <w:t>Terms used</w:t>
      </w:r>
      <w:bookmarkEnd w:id="1154"/>
    </w:p>
    <w:p>
      <w:pPr>
        <w:pStyle w:val="ySubsection"/>
        <w:rPr>
          <w:snapToGrid w:val="0"/>
        </w:rPr>
      </w:pPr>
      <w:r>
        <w:rPr>
          <w:snapToGrid w:val="0"/>
        </w:rPr>
        <w:tab/>
        <w:t>(1)</w:t>
      </w:r>
      <w:r>
        <w:rPr>
          <w:snapToGrid w:val="0"/>
        </w:rPr>
        <w:tab/>
        <w:t>In this Schedule —</w:t>
      </w:r>
    </w:p>
    <w:p>
      <w:pPr>
        <w:pStyle w:val="yDefstart"/>
      </w:pPr>
      <w:r>
        <w:tab/>
      </w:r>
      <w:r>
        <w:rPr>
          <w:rStyle w:val="CharDefText"/>
        </w:rPr>
        <w:t>de facto partner</w:t>
      </w:r>
      <w:r>
        <w:t xml:space="preserve"> includes a former de facto partner of a worker;</w:t>
      </w:r>
    </w:p>
    <w:p>
      <w:pPr>
        <w:pStyle w:val="yDefstart"/>
      </w:pPr>
      <w:r>
        <w:tab/>
      </w:r>
      <w:r>
        <w:rPr>
          <w:rStyle w:val="CharDefText"/>
        </w:rPr>
        <w:t>proclaimed date</w:t>
      </w:r>
      <w:r>
        <w:t xml:space="preserve"> means the date on which this Schedule comes into operation;</w:t>
      </w:r>
    </w:p>
    <w:p>
      <w:pPr>
        <w:pStyle w:val="yDefstart"/>
      </w:pPr>
      <w:r>
        <w:tab/>
      </w:r>
      <w:r>
        <w:rPr>
          <w:rStyle w:val="CharDefText"/>
        </w:rPr>
        <w:t>redemption amount</w:t>
      </w:r>
      <w:r>
        <w:t xml:space="preserve"> means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t>whichever is the less;</w:t>
      </w:r>
    </w:p>
    <w:p>
      <w:pPr>
        <w:pStyle w:val="yDefstart"/>
      </w:pPr>
      <w:r>
        <w:tab/>
      </w:r>
      <w:r>
        <w:rPr>
          <w:rStyle w:val="CharDefText"/>
        </w:rPr>
        <w:t>spouse</w:t>
      </w:r>
      <w:r>
        <w:t xml:space="preserve"> includes a former spouse of a worker;</w:t>
      </w:r>
    </w:p>
    <w:p>
      <w:pPr>
        <w:pStyle w:val="yDefstart"/>
      </w:pPr>
      <w:r>
        <w:rPr>
          <w:b/>
        </w:rPr>
        <w:tab/>
      </w:r>
      <w:r>
        <w:rPr>
          <w:rStyle w:val="CharDefText"/>
        </w:rPr>
        <w:t>supplementary amount</w:t>
      </w:r>
      <w:r>
        <w:t xml:space="preserve"> means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t>or such higher amounts as are respectively prescribed.</w:t>
      </w:r>
    </w:p>
    <w:p>
      <w:pPr>
        <w:pStyle w:val="ySubsection"/>
        <w:keepNext/>
        <w:rPr>
          <w:snapToGrid w:val="0"/>
        </w:rPr>
      </w:pPr>
      <w:r>
        <w:rPr>
          <w:snapToGrid w:val="0"/>
        </w:rPr>
        <w:lastRenderedPageBreak/>
        <w:tab/>
        <w:t>(2)</w:t>
      </w:r>
      <w:r>
        <w:rPr>
          <w:snapToGrid w:val="0"/>
        </w:rPr>
        <w:tab/>
        <w:t>Schedule 1 shall be read and construed subject to this Schedule.</w:t>
      </w:r>
    </w:p>
    <w:p>
      <w:pPr>
        <w:pStyle w:val="yFootnotesection"/>
      </w:pPr>
      <w:r>
        <w:tab/>
        <w:t>[Clause 1 amended: No. 34 of 1999 s. 55(1); No. 28 of 2003 s. 216(1); No. 8 of 2018 s. 12(1).]</w:t>
      </w:r>
    </w:p>
    <w:p>
      <w:pPr>
        <w:pStyle w:val="yHeading5"/>
        <w:outlineLvl w:val="9"/>
      </w:pPr>
      <w:bookmarkStart w:id="1155" w:name="_Toc131514824"/>
      <w:r>
        <w:rPr>
          <w:rStyle w:val="CharSClsNo"/>
        </w:rPr>
        <w:t>1A</w:t>
      </w:r>
      <w:r>
        <w:t>.</w:t>
      </w:r>
      <w:r>
        <w:tab/>
        <w:t>Successive lung diseases to be regarded as one</w:t>
      </w:r>
      <w:bookmarkEnd w:id="1155"/>
    </w:p>
    <w:p>
      <w:pPr>
        <w:pStyle w:val="ySubsection"/>
        <w:spacing w:before="12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spacing w:before="100"/>
      </w:pPr>
      <w:r>
        <w:tab/>
        <w:t>[Clause 1A inserted: No. 34 of 1999 s. 55(2); amended: No. 42 of 2004 s. 147 and 148(1).]</w:t>
      </w:r>
    </w:p>
    <w:p>
      <w:pPr>
        <w:pStyle w:val="yHeading5"/>
        <w:outlineLvl w:val="0"/>
        <w:rPr>
          <w:snapToGrid w:val="0"/>
        </w:rPr>
      </w:pPr>
      <w:bookmarkStart w:id="1156" w:name="_Toc131514825"/>
      <w:r>
        <w:rPr>
          <w:rStyle w:val="CharSClsNo"/>
        </w:rPr>
        <w:t>2</w:t>
      </w:r>
      <w:r>
        <w:rPr>
          <w:snapToGrid w:val="0"/>
        </w:rPr>
        <w:t>.</w:t>
      </w:r>
      <w:r>
        <w:rPr>
          <w:snapToGrid w:val="0"/>
        </w:rPr>
        <w:tab/>
        <w:t>Worker who would have worked after age 65</w:t>
      </w:r>
      <w:bookmarkEnd w:id="1156"/>
    </w:p>
    <w:p>
      <w:pPr>
        <w:pStyle w:val="ySubsection"/>
        <w:spacing w:before="12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spacing w:before="100"/>
      </w:pPr>
      <w:r>
        <w:tab/>
        <w:t>[Clause 2 amended: No. 96 of 1990 s. 49(a); No. 48 of 1993 s. 28(1); No. 42 of 2004 s. 147 and 149.]</w:t>
      </w:r>
    </w:p>
    <w:p>
      <w:pPr>
        <w:pStyle w:val="yHeading5"/>
        <w:outlineLvl w:val="0"/>
        <w:rPr>
          <w:snapToGrid w:val="0"/>
        </w:rPr>
      </w:pPr>
      <w:bookmarkStart w:id="1157" w:name="_Toc131514826"/>
      <w:r>
        <w:rPr>
          <w:rStyle w:val="CharSClsNo"/>
        </w:rPr>
        <w:t>3</w:t>
      </w:r>
      <w:r>
        <w:rPr>
          <w:snapToGrid w:val="0"/>
        </w:rPr>
        <w:t>.</w:t>
      </w:r>
      <w:r>
        <w:rPr>
          <w:snapToGrid w:val="0"/>
        </w:rPr>
        <w:tab/>
        <w:t>Incapacity for work resulting from pneumoconiosis, mesothelioma and lung cancer, weekly payments for</w:t>
      </w:r>
      <w:bookmarkEnd w:id="1157"/>
    </w:p>
    <w:p>
      <w:pPr>
        <w:pStyle w:val="ySubsection"/>
        <w:spacing w:before="12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120"/>
        <w:rPr>
          <w:snapToGrid w:val="0"/>
        </w:rPr>
      </w:pPr>
      <w:r>
        <w:rPr>
          <w:snapToGrid w:val="0"/>
        </w:rPr>
        <w:tab/>
        <w:t>(2)</w:t>
      </w:r>
      <w:r>
        <w:rPr>
          <w:snapToGrid w:val="0"/>
        </w:rPr>
        <w:tab/>
        <w:t xml:space="preserve">In this clause </w:t>
      </w:r>
      <w:r>
        <w:rPr>
          <w:rStyle w:val="CharDefText"/>
        </w:rPr>
        <w:t>weekly payments</w:t>
      </w:r>
      <w:r>
        <w:rPr>
          <w:snapToGrid w:val="0"/>
        </w:rPr>
        <w:t xml:space="preserve"> means weekly payments of compensation calculated and varied in accordance with Schedule 1.</w:t>
      </w:r>
    </w:p>
    <w:p>
      <w:pPr>
        <w:pStyle w:val="ySubsection"/>
        <w:spacing w:before="12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120"/>
        <w:rPr>
          <w:snapToGrid w:val="0"/>
        </w:rPr>
      </w:pPr>
      <w:r>
        <w:rPr>
          <w:snapToGrid w:val="0"/>
        </w:rPr>
        <w:tab/>
        <w:t>(3)</w:t>
      </w:r>
      <w:r>
        <w:rPr>
          <w:snapToGrid w:val="0"/>
        </w:rPr>
        <w:tab/>
        <w:t xml:space="preserve">Subject to the provisions of this Schedule and to Schedule 1 clause 7(3), where a worker aged 65 or more on the proclaimed date </w:t>
      </w:r>
      <w:r>
        <w:rPr>
          <w:snapToGrid w:val="0"/>
        </w:rPr>
        <w:lastRenderedPageBreak/>
        <w:t xml:space="preserve">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Workers’ Compensation and Assistance Amendment Act 1984</w:t>
      </w:r>
      <w:r>
        <w:rPr>
          <w:snapToGrid w:val="0"/>
        </w:rPr>
        <w:t xml:space="preserve"> comes into operation, in respect of any incapacity arising from that </w:t>
      </w:r>
      <w:r>
        <w:t>injury</w:t>
      </w:r>
      <w:r>
        <w:rPr>
          <w:snapToGrid w:val="0"/>
        </w:rPr>
        <w:t xml:space="preserve"> he is entitled to receive weekly payments.</w:t>
      </w:r>
    </w:p>
    <w:p>
      <w:pPr>
        <w:pStyle w:val="ySubsection"/>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Workers’ Compensation and Assistance Amendment Act 1984</w:t>
      </w:r>
      <w:r>
        <w:rPr>
          <w:snapToGrid w:val="0"/>
        </w:rPr>
        <w:t xml:space="preserve">, in respect of any incapacity resulting from that </w:t>
      </w:r>
      <w:r>
        <w:t>injury</w:t>
      </w:r>
      <w:r>
        <w:rPr>
          <w:snapToGrid w:val="0"/>
        </w:rPr>
        <w:t xml:space="preserve"> he is entitled to receive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Workers’ Compensation and Assistance Amendment Act 1984</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lastRenderedPageBreak/>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rPr>
          <w:snapToGrid w:val="0"/>
        </w:rPr>
      </w:pPr>
      <w:r>
        <w:rPr>
          <w:snapToGrid w:val="0"/>
        </w:rPr>
        <w:tab/>
        <w:t>(8)</w:t>
      </w:r>
      <w:r>
        <w:rPr>
          <w:snapToGrid w:val="0"/>
        </w:rPr>
        <w:tab/>
        <w:t>Subject to the provisions of this Schedule and Schedule 1 clause 7(3)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 and</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 and</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 and</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w:t>
      </w:r>
    </w:p>
    <w:p>
      <w:pPr>
        <w:pStyle w:val="yIndenti0"/>
        <w:rPr>
          <w:snapToGrid w:val="0"/>
        </w:rPr>
      </w:pPr>
      <w:r>
        <w:rPr>
          <w:snapToGrid w:val="0"/>
        </w:rPr>
        <w:tab/>
        <w:t>(i)</w:t>
      </w:r>
      <w:r>
        <w:rPr>
          <w:snapToGrid w:val="0"/>
        </w:rPr>
        <w:tab/>
        <w:t xml:space="preserve">a lump sum payment equivalent to the value of the weekly payments he would have received up until the “relevant day” but so that such lump sum payment </w:t>
      </w:r>
      <w:r>
        <w:rPr>
          <w:snapToGrid w:val="0"/>
        </w:rPr>
        <w:lastRenderedPageBreak/>
        <w:t>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t xml:space="preserve">the </w:t>
      </w:r>
      <w:r>
        <w:rPr>
          <w:rStyle w:val="CharDefText"/>
        </w:rPr>
        <w:t>relevant day</w:t>
      </w:r>
      <w:r>
        <w:rPr>
          <w:snapToGrid w:val="0"/>
        </w:rPr>
        <w:t xml:space="preserve"> means the day of the commencement of section 49 of the </w:t>
      </w:r>
      <w:r>
        <w:rPr>
          <w:i/>
          <w:snapToGrid w:val="0"/>
        </w:rPr>
        <w:t>Workers’ Compensation and Assistance Amendment Act 1990</w:t>
      </w:r>
      <w:r>
        <w:rPr>
          <w:snapToGrid w:val="0"/>
        </w:rPr>
        <w:t>.</w:t>
      </w:r>
    </w:p>
    <w:p>
      <w:pPr>
        <w:pStyle w:val="yFootnotesection"/>
        <w:spacing w:before="80"/>
        <w:rPr>
          <w:iCs/>
        </w:rPr>
      </w:pPr>
      <w:r>
        <w:rPr>
          <w:iCs/>
        </w:rPr>
        <w:tab/>
        <w:t>[Clause 3 inserted: No. 104 of 1984 s. 8; amended: No. 96 of 1990 s. 49(b); No. 42 of 2004 s. 147 and 148(1).]</w:t>
      </w:r>
    </w:p>
    <w:p>
      <w:pPr>
        <w:pStyle w:val="yHeading5"/>
        <w:outlineLvl w:val="0"/>
        <w:rPr>
          <w:snapToGrid w:val="0"/>
        </w:rPr>
      </w:pPr>
      <w:bookmarkStart w:id="1158" w:name="_Toc131514827"/>
      <w:r>
        <w:rPr>
          <w:rStyle w:val="CharSClsNo"/>
        </w:rPr>
        <w:t>4</w:t>
      </w:r>
      <w:r>
        <w:rPr>
          <w:snapToGrid w:val="0"/>
        </w:rPr>
        <w:t>.</w:t>
      </w:r>
      <w:r>
        <w:rPr>
          <w:snapToGrid w:val="0"/>
        </w:rPr>
        <w:tab/>
        <w:t>Worker entitled under cl. 3 may elect to take redemption amount as lump sum or to get supplementary amount weekly</w:t>
      </w:r>
      <w:bookmarkEnd w:id="1158"/>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Workers’ Compensation and Assistance Amendment Act 1984</w:t>
      </w:r>
      <w:r>
        <w:rPr>
          <w:snapToGrid w:val="0"/>
        </w:rPr>
        <w:t>; or</w:t>
      </w:r>
    </w:p>
    <w:p>
      <w:pPr>
        <w:pStyle w:val="yIndenta"/>
        <w:rPr>
          <w:snapToGrid w:val="0"/>
        </w:rPr>
      </w:pPr>
      <w:r>
        <w:rPr>
          <w:snapToGrid w:val="0"/>
        </w:rPr>
        <w:tab/>
        <w:t>(b)</w:t>
      </w:r>
      <w:r>
        <w:rPr>
          <w:snapToGrid w:val="0"/>
        </w:rPr>
        <w:tab/>
        <w:t>where he receives payments under clause 3(4), within the period ending on the date that is —</w:t>
      </w:r>
    </w:p>
    <w:p>
      <w:pPr>
        <w:pStyle w:val="yIndenti0"/>
        <w:rPr>
          <w:snapToGrid w:val="0"/>
        </w:rPr>
      </w:pPr>
      <w:r>
        <w:rPr>
          <w:snapToGrid w:val="0"/>
        </w:rPr>
        <w:tab/>
        <w:t>(i)</w:t>
      </w:r>
      <w:r>
        <w:rPr>
          <w:snapToGrid w:val="0"/>
        </w:rPr>
        <w:tab/>
        <w:t xml:space="preserve">3 months after the coming into operation of the </w:t>
      </w:r>
      <w:r>
        <w:rPr>
          <w:i/>
          <w:snapToGrid w:val="0"/>
        </w:rPr>
        <w:t>Workers’ Compensation and Assistance Amendment Act 1984</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 or</w:t>
      </w:r>
    </w:p>
    <w:p>
      <w:pPr>
        <w:pStyle w:val="yIndenta"/>
        <w:rPr>
          <w:snapToGrid w:val="0"/>
        </w:rPr>
      </w:pPr>
      <w:r>
        <w:rPr>
          <w:snapToGrid w:val="0"/>
        </w:rPr>
        <w:tab/>
        <w:t>(c)</w:t>
      </w:r>
      <w:r>
        <w:rPr>
          <w:snapToGrid w:val="0"/>
        </w:rPr>
        <w:tab/>
        <w:t>where he receives payments under clause 3(5) —</w:t>
      </w:r>
    </w:p>
    <w:p>
      <w:pPr>
        <w:pStyle w:val="yIndenti0"/>
        <w:rPr>
          <w:snapToGrid w:val="0"/>
        </w:rPr>
      </w:pPr>
      <w:r>
        <w:rPr>
          <w:snapToGrid w:val="0"/>
        </w:rPr>
        <w:tab/>
        <w:t>(i)</w:t>
      </w:r>
      <w:r>
        <w:rPr>
          <w:snapToGrid w:val="0"/>
        </w:rPr>
        <w:tab/>
        <w:t xml:space="preserve">if, at the coming into operation of the </w:t>
      </w:r>
      <w:r>
        <w:rPr>
          <w:i/>
          <w:snapToGrid w:val="0"/>
        </w:rPr>
        <w:t>Workers’ Compensation and Assistance Amendment Act 1984</w:t>
      </w:r>
      <w:r>
        <w:rPr>
          <w:snapToGrid w:val="0"/>
        </w:rPr>
        <w:t>, he has received such payments for a period of not less than one year, within 3 months of the coming into operation of that Act; or</w:t>
      </w:r>
    </w:p>
    <w:p>
      <w:pPr>
        <w:pStyle w:val="yIndenti0"/>
        <w:rPr>
          <w:snapToGrid w:val="0"/>
        </w:rPr>
      </w:pPr>
      <w:r>
        <w:rPr>
          <w:snapToGrid w:val="0"/>
        </w:rPr>
        <w:lastRenderedPageBreak/>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r>
      <w:r>
        <w:rPr>
          <w:snapToGrid w:val="0"/>
        </w:rPr>
        <w:tab/>
        <w:t>or</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spacing w:before="60"/>
        <w:rPr>
          <w:snapToGrid w:val="0"/>
        </w:rPr>
      </w:pPr>
      <w:r>
        <w:rPr>
          <w:snapToGrid w:val="0"/>
        </w:rPr>
        <w:tab/>
        <w:t>(e)</w:t>
      </w:r>
      <w:r>
        <w:rPr>
          <w:snapToGrid w:val="0"/>
        </w:rPr>
        <w:tab/>
        <w:t>where he receives —</w:t>
      </w:r>
    </w:p>
    <w:p>
      <w:pPr>
        <w:pStyle w:val="yIndenti0"/>
        <w:spacing w:before="60"/>
        <w:rPr>
          <w:snapToGrid w:val="0"/>
        </w:rPr>
      </w:pPr>
      <w:r>
        <w:rPr>
          <w:snapToGrid w:val="0"/>
        </w:rPr>
        <w:tab/>
        <w:t>(i)</w:t>
      </w:r>
      <w:r>
        <w:rPr>
          <w:snapToGrid w:val="0"/>
        </w:rPr>
        <w:tab/>
        <w:t>only a lump sum payment under clause 3(7) or 3(8)(e), at the time of receiving that lump sum payment; or</w:t>
      </w:r>
    </w:p>
    <w:p>
      <w:pPr>
        <w:pStyle w:val="yIndenti0"/>
        <w:spacing w:before="6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spacing w:before="100"/>
      </w:pPr>
      <w:r>
        <w:tab/>
        <w:t>[Clause 4 inserted: No. 104 of 1984 s. 8; amended: No. 96 of 1990 s. 49(c).]</w:t>
      </w:r>
    </w:p>
    <w:p>
      <w:pPr>
        <w:pStyle w:val="yHeading5"/>
        <w:outlineLvl w:val="0"/>
        <w:rPr>
          <w:snapToGrid w:val="0"/>
        </w:rPr>
      </w:pPr>
      <w:bookmarkStart w:id="1159" w:name="_Toc131514828"/>
      <w:r>
        <w:rPr>
          <w:rStyle w:val="CharSClsNo"/>
        </w:rPr>
        <w:t>5</w:t>
      </w:r>
      <w:r>
        <w:rPr>
          <w:snapToGrid w:val="0"/>
        </w:rPr>
        <w:t>.</w:t>
      </w:r>
      <w:r>
        <w:rPr>
          <w:snapToGrid w:val="0"/>
        </w:rPr>
        <w:tab/>
        <w:t>Requirements for election under cl. 4</w:t>
      </w:r>
      <w:bookmarkEnd w:id="1159"/>
    </w:p>
    <w:p>
      <w:pPr>
        <w:pStyle w:val="ySubsection"/>
        <w:keepNext/>
        <w:keepLines/>
        <w:rPr>
          <w:snapToGrid w:val="0"/>
        </w:rPr>
      </w:pPr>
      <w:r>
        <w:rPr>
          <w:snapToGrid w:val="0"/>
        </w:rPr>
        <w:tab/>
        <w:t>(1)</w:t>
      </w:r>
      <w:r>
        <w:rPr>
          <w:snapToGrid w:val="0"/>
        </w:rPr>
        <w:tab/>
        <w:t>A worker elects for the purposes of clause 4 if, and only if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rPr>
          <w:snapToGrid w:val="0"/>
        </w:rPr>
      </w:pPr>
      <w:r>
        <w:rPr>
          <w:snapToGrid w:val="0"/>
        </w:rPr>
        <w:lastRenderedPageBreak/>
        <w:tab/>
        <w:t>(3)</w:t>
      </w:r>
      <w:r>
        <w:rPr>
          <w:snapToGrid w:val="0"/>
        </w:rPr>
        <w:tab/>
        <w:t>Where the Director is not satisfied in accordance with subclause (2), he shall within 7 days notify the employer and the worker accordingly.</w:t>
      </w:r>
    </w:p>
    <w:p>
      <w:pPr>
        <w:pStyle w:val="yFootnotesection"/>
        <w:spacing w:before="100"/>
      </w:pPr>
      <w:r>
        <w:tab/>
        <w:t>[Clause 5 inserted: No. 104 of 1984 s. 8; amended: No. 48 of 1993 s. 28(1); No. 42 of 2004 s. 143(1) and 147.]</w:t>
      </w:r>
    </w:p>
    <w:p>
      <w:pPr>
        <w:pStyle w:val="yHeading5"/>
        <w:outlineLvl w:val="0"/>
        <w:rPr>
          <w:snapToGrid w:val="0"/>
        </w:rPr>
      </w:pPr>
      <w:bookmarkStart w:id="1160" w:name="_Toc131514829"/>
      <w:r>
        <w:rPr>
          <w:rStyle w:val="CharSClsNo"/>
        </w:rPr>
        <w:t>6</w:t>
      </w:r>
      <w:r>
        <w:rPr>
          <w:snapToGrid w:val="0"/>
        </w:rPr>
        <w:t>.</w:t>
      </w:r>
      <w:r>
        <w:rPr>
          <w:snapToGrid w:val="0"/>
        </w:rPr>
        <w:tab/>
        <w:t>Effect of receiving the redemption amount as a lump sum</w:t>
      </w:r>
      <w:bookmarkEnd w:id="1160"/>
    </w:p>
    <w:p>
      <w:pPr>
        <w:pStyle w:val="ySubsection"/>
        <w:rPr>
          <w:snapToGrid w:val="0"/>
        </w:rPr>
      </w:pPr>
      <w:r>
        <w:rPr>
          <w:snapToGrid w:val="0"/>
        </w:rPr>
        <w:tab/>
      </w:r>
      <w:r>
        <w:rPr>
          <w:snapToGrid w:val="0"/>
        </w:rPr>
        <w:tab/>
        <w:t>From the date a worker receives the redemption amount as a lump sum —</w:t>
      </w:r>
    </w:p>
    <w:p>
      <w:pPr>
        <w:pStyle w:val="yIndenta"/>
        <w:spacing w:before="60"/>
        <w:rPr>
          <w:snapToGrid w:val="0"/>
        </w:rPr>
      </w:pPr>
      <w:r>
        <w:rPr>
          <w:snapToGrid w:val="0"/>
        </w:rPr>
        <w:tab/>
        <w:t>(a)</w:t>
      </w:r>
      <w:r>
        <w:rPr>
          <w:snapToGrid w:val="0"/>
        </w:rPr>
        <w:tab/>
        <w:t>section 67 does not apply; and</w:t>
      </w:r>
    </w:p>
    <w:p>
      <w:pPr>
        <w:pStyle w:val="yIndenta"/>
        <w:rPr>
          <w:snapToGrid w:val="0"/>
        </w:rPr>
      </w:pPr>
      <w:r>
        <w:rPr>
          <w:snapToGrid w:val="0"/>
        </w:rPr>
        <w:tab/>
        <w:t>(b)</w:t>
      </w:r>
      <w:r>
        <w:rPr>
          <w:snapToGrid w:val="0"/>
        </w:rPr>
        <w:tab/>
        <w:t xml:space="preserve">for the </w:t>
      </w:r>
      <w:r>
        <w:t>injury</w:t>
      </w:r>
      <w:r>
        <w:rPr>
          <w:snapToGrid w:val="0"/>
        </w:rPr>
        <w:t xml:space="preserve"> from which the incapacity resulted —</w:t>
      </w:r>
    </w:p>
    <w:p>
      <w:pPr>
        <w:pStyle w:val="yIndenti0"/>
        <w:rPr>
          <w:snapToGrid w:val="0"/>
        </w:rPr>
      </w:pPr>
      <w:r>
        <w:rPr>
          <w:snapToGrid w:val="0"/>
        </w:rPr>
        <w:tab/>
        <w:t>(i)</w:t>
      </w:r>
      <w:r>
        <w:rPr>
          <w:snapToGrid w:val="0"/>
        </w:rPr>
        <w:tab/>
        <w:t>the worker is not entitled to further compensation; and</w:t>
      </w:r>
    </w:p>
    <w:p>
      <w:pPr>
        <w:pStyle w:val="yIndenti0"/>
        <w:rPr>
          <w:snapToGrid w:val="0"/>
        </w:rPr>
      </w:pPr>
      <w:r>
        <w:rPr>
          <w:snapToGrid w:val="0"/>
        </w:rPr>
        <w:tab/>
        <w:t>(ii)</w:t>
      </w:r>
      <w:r>
        <w:rPr>
          <w:snapToGrid w:val="0"/>
        </w:rPr>
        <w:tab/>
        <w:t>clauses 9, 10, 17, 18, 18A and 19 of Schedule 1 cease to apply to the worker;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r>
      <w:r>
        <w:t>Schedule 1A does</w:t>
      </w:r>
      <w:r>
        <w:rPr>
          <w:snapToGrid w:val="0"/>
        </w:rPr>
        <w:t xml:space="preserve"> not apply in respect of the worker’s death.</w:t>
      </w:r>
    </w:p>
    <w:p>
      <w:pPr>
        <w:pStyle w:val="yFootnotesection"/>
      </w:pPr>
      <w:r>
        <w:tab/>
        <w:t>[Clause 6 inserted: No. 104 of 1984 s. 8; amended: No. 42 of 2004 s. 143(2) and 147; No. 8 of 2018 s. 12(2).]</w:t>
      </w:r>
    </w:p>
    <w:p>
      <w:pPr>
        <w:pStyle w:val="yHeading5"/>
        <w:outlineLvl w:val="0"/>
        <w:rPr>
          <w:snapToGrid w:val="0"/>
        </w:rPr>
      </w:pPr>
      <w:bookmarkStart w:id="1161" w:name="_Toc131514830"/>
      <w:r>
        <w:rPr>
          <w:rStyle w:val="CharSClsNo"/>
        </w:rPr>
        <w:t>7</w:t>
      </w:r>
      <w:r>
        <w:rPr>
          <w:snapToGrid w:val="0"/>
        </w:rPr>
        <w:t>.</w:t>
      </w:r>
      <w:r>
        <w:rPr>
          <w:snapToGrid w:val="0"/>
        </w:rPr>
        <w:tab/>
        <w:t>Effect of receiving supplementary amount weekly</w:t>
      </w:r>
      <w:bookmarkEnd w:id="1161"/>
    </w:p>
    <w:p>
      <w:pPr>
        <w:pStyle w:val="ySubsection"/>
        <w:rPr>
          <w:snapToGrid w:val="0"/>
        </w:rPr>
      </w:pPr>
      <w:r>
        <w:rPr>
          <w:snapToGrid w:val="0"/>
        </w:rPr>
        <w:tab/>
      </w:r>
      <w:r>
        <w:rPr>
          <w:snapToGrid w:val="0"/>
        </w:rPr>
        <w:tab/>
        <w:t>From the date a worker commences to receive a supplementary amount weekly —</w:t>
      </w:r>
    </w:p>
    <w:p>
      <w:pPr>
        <w:pStyle w:val="yIndenta"/>
        <w:spacing w:before="100"/>
        <w:rPr>
          <w:snapToGrid w:val="0"/>
        </w:rPr>
      </w:pPr>
      <w:r>
        <w:rPr>
          <w:snapToGrid w:val="0"/>
        </w:rPr>
        <w:tab/>
        <w:t>(a)</w:t>
      </w:r>
      <w:r>
        <w:rPr>
          <w:snapToGrid w:val="0"/>
        </w:rPr>
        <w:tab/>
        <w:t>section 67 does not apply; and</w:t>
      </w:r>
    </w:p>
    <w:p>
      <w:pPr>
        <w:pStyle w:val="yIndenta"/>
        <w:spacing w:before="100"/>
      </w:pPr>
      <w:r>
        <w:tab/>
        <w:t>(b)</w:t>
      </w:r>
      <w:r>
        <w:tab/>
        <w:t>if his death results from the injury and a dependent spouse or dependent de facto partner, survives him —</w:t>
      </w:r>
    </w:p>
    <w:p>
      <w:pPr>
        <w:pStyle w:val="yIndenti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w:t>
      </w:r>
      <w:r>
        <w:lastRenderedPageBreak/>
        <w:t>part of it is applied and that dependant is entitled to receive that lump sum; and</w:t>
      </w:r>
    </w:p>
    <w:p>
      <w:pPr>
        <w:pStyle w:val="yIndenti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r>
      <w:r>
        <w:t>Schedule 1A does</w:t>
      </w:r>
      <w:r>
        <w:rPr>
          <w:snapToGrid w:val="0"/>
        </w:rPr>
        <w:t xml:space="preserve"> not apply in respect of the worker’s death.</w:t>
      </w:r>
    </w:p>
    <w:p>
      <w:pPr>
        <w:pStyle w:val="yFootnotesection"/>
      </w:pPr>
      <w:r>
        <w:tab/>
        <w:t>[Clause 7 inserted: No. 104 of 1984 s. 8; amended: No. 28 of 2003 s. 216(2); No. 42 of 2004 s. 147, 149 and 150; No. 8 of 2018 s. 12(3).]</w:t>
      </w:r>
    </w:p>
    <w:p>
      <w:pPr>
        <w:pStyle w:val="yHeading5"/>
        <w:outlineLvl w:val="0"/>
        <w:rPr>
          <w:snapToGrid w:val="0"/>
        </w:rPr>
      </w:pPr>
      <w:bookmarkStart w:id="1162" w:name="_Toc131514831"/>
      <w:r>
        <w:rPr>
          <w:rStyle w:val="CharSClsNo"/>
        </w:rPr>
        <w:t>8</w:t>
      </w:r>
      <w:r>
        <w:rPr>
          <w:snapToGrid w:val="0"/>
        </w:rPr>
        <w:t>.</w:t>
      </w:r>
      <w:r>
        <w:rPr>
          <w:snapToGrid w:val="0"/>
        </w:rPr>
        <w:tab/>
        <w:t>Payment of supplementary amount weekly</w:t>
      </w:r>
      <w:bookmarkEnd w:id="1162"/>
    </w:p>
    <w:p>
      <w:pPr>
        <w:pStyle w:val="ySubsection"/>
        <w:spacing w:before="14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40"/>
        <w:rPr>
          <w:snapToGrid w:val="0"/>
        </w:rPr>
      </w:pPr>
      <w:r>
        <w:rPr>
          <w:snapToGrid w:val="0"/>
        </w:rPr>
        <w:tab/>
        <w:t>(2)</w:t>
      </w:r>
      <w:r>
        <w:rPr>
          <w:snapToGrid w:val="0"/>
        </w:rPr>
        <w:tab/>
        <w:t>A worker who —</w:t>
      </w:r>
    </w:p>
    <w:p>
      <w:pPr>
        <w:pStyle w:val="yIndenta"/>
        <w:rPr>
          <w:snapToGrid w:val="0"/>
        </w:rPr>
      </w:pPr>
      <w:r>
        <w:rPr>
          <w:snapToGrid w:val="0"/>
        </w:rPr>
        <w:tab/>
        <w:t>(a)</w:t>
      </w:r>
      <w:r>
        <w:rPr>
          <w:snapToGrid w:val="0"/>
        </w:rPr>
        <w:tab/>
        <w:t>receives a lump sum payment under clause 3(7)(a) or 3(8)(e)(i); and</w:t>
      </w:r>
    </w:p>
    <w:p>
      <w:pPr>
        <w:pStyle w:val="yIndenta"/>
        <w:rPr>
          <w:snapToGrid w:val="0"/>
        </w:rPr>
      </w:pPr>
      <w:r>
        <w:rPr>
          <w:snapToGrid w:val="0"/>
        </w:rPr>
        <w:lastRenderedPageBreak/>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spacing w:before="140"/>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No. 104 of 1984 s. 8; amended: No. 96 of 1990 s. 49(d); No. 42 of 2004 s. 147.]</w:t>
      </w:r>
    </w:p>
    <w:p>
      <w:pPr>
        <w:pStyle w:val="yHeading5"/>
        <w:keepNext w:val="0"/>
        <w:keepLines w:val="0"/>
        <w:outlineLvl w:val="0"/>
        <w:rPr>
          <w:snapToGrid w:val="0"/>
        </w:rPr>
      </w:pPr>
      <w:bookmarkStart w:id="1163" w:name="_Toc131514832"/>
      <w:r>
        <w:rPr>
          <w:rStyle w:val="CharSClsNo"/>
        </w:rPr>
        <w:t>9</w:t>
      </w:r>
      <w:r>
        <w:rPr>
          <w:snapToGrid w:val="0"/>
        </w:rPr>
        <w:t>.</w:t>
      </w:r>
      <w:r>
        <w:rPr>
          <w:snapToGrid w:val="0"/>
        </w:rPr>
        <w:tab/>
        <w:t>Death of a worker before 8 Mar 1991 — dependent spouse’s entitlements</w:t>
      </w:r>
      <w:bookmarkEnd w:id="1163"/>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Workers’ Compensation and Assistance Amendment Act 1990</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No. 96 of 1990 s. 49(e); amended: No. 42 of 2004 s. 147.]</w:t>
      </w:r>
    </w:p>
    <w:p>
      <w:pPr>
        <w:pStyle w:val="yScheduleHeading"/>
      </w:pPr>
      <w:bookmarkStart w:id="1164" w:name="_Toc100238855"/>
      <w:bookmarkStart w:id="1165" w:name="_Toc100239469"/>
      <w:bookmarkStart w:id="1166" w:name="_Toc100562763"/>
      <w:bookmarkStart w:id="1167" w:name="_Toc107310399"/>
      <w:bookmarkStart w:id="1168" w:name="_Toc107480253"/>
      <w:bookmarkStart w:id="1169" w:name="_Toc131501619"/>
      <w:bookmarkStart w:id="1170" w:name="_Toc131502237"/>
      <w:bookmarkStart w:id="1171" w:name="_Toc131514833"/>
      <w:r>
        <w:rPr>
          <w:rStyle w:val="CharSchNo"/>
        </w:rPr>
        <w:lastRenderedPageBreak/>
        <w:t>Schedule 6</w:t>
      </w:r>
      <w:r>
        <w:rPr>
          <w:rStyle w:val="CharSDivNo"/>
        </w:rPr>
        <w:t> </w:t>
      </w:r>
      <w:r>
        <w:t>— </w:t>
      </w:r>
      <w:r>
        <w:rPr>
          <w:rStyle w:val="CharSchText"/>
        </w:rPr>
        <w:t>Adjacent areas</w:t>
      </w:r>
      <w:bookmarkEnd w:id="1164"/>
      <w:bookmarkEnd w:id="1165"/>
      <w:bookmarkEnd w:id="1166"/>
      <w:bookmarkEnd w:id="1167"/>
      <w:bookmarkEnd w:id="1168"/>
      <w:bookmarkEnd w:id="1169"/>
      <w:bookmarkEnd w:id="1170"/>
      <w:bookmarkEnd w:id="1171"/>
    </w:p>
    <w:p>
      <w:pPr>
        <w:pStyle w:val="yShoulderClause"/>
      </w:pPr>
      <w:r>
        <w:t>[s. 20]</w:t>
      </w:r>
    </w:p>
    <w:p>
      <w:pPr>
        <w:pStyle w:val="yFootnoteheading"/>
        <w:tabs>
          <w:tab w:val="left" w:pos="851"/>
        </w:tabs>
      </w:pPr>
      <w:r>
        <w:tab/>
        <w:t>[Heading inserted: No. 36 of 2004 s. 13.]</w:t>
      </w:r>
    </w:p>
    <w:p>
      <w:pPr>
        <w:pStyle w:val="yHeading5"/>
        <w:outlineLvl w:val="0"/>
      </w:pPr>
      <w:bookmarkStart w:id="1172" w:name="_Toc131514834"/>
      <w:r>
        <w:rPr>
          <w:rStyle w:val="CharSClsNo"/>
        </w:rPr>
        <w:t>1</w:t>
      </w:r>
      <w:r>
        <w:t>.</w:t>
      </w:r>
      <w:r>
        <w:tab/>
        <w:t>Terms used</w:t>
      </w:r>
      <w:bookmarkEnd w:id="1172"/>
    </w:p>
    <w:p>
      <w:pPr>
        <w:pStyle w:val="ySubsection"/>
      </w:pPr>
      <w:r>
        <w:tab/>
      </w:r>
      <w:r>
        <w:tab/>
        <w:t>In this Schedule —</w:t>
      </w:r>
    </w:p>
    <w:p>
      <w:pPr>
        <w:pStyle w:val="yDefstart"/>
      </w:pPr>
      <w:r>
        <w:tab/>
      </w:r>
      <w:r>
        <w:rPr>
          <w:rStyle w:val="CharDefText"/>
        </w:rPr>
        <w:t>continental shelf</w:t>
      </w:r>
      <w:r>
        <w:t xml:space="preserve"> and </w:t>
      </w:r>
      <w:r>
        <w:rPr>
          <w:rStyle w:val="CharDefText"/>
        </w:rPr>
        <w:t>territorial sea</w:t>
      </w:r>
      <w:r>
        <w:rPr>
          <w:b/>
        </w:rPr>
        <w:t xml:space="preserve"> </w:t>
      </w:r>
      <w:r>
        <w:t>have the same meanings as those terms have in the Seas and Submerged Lands Act;</w:t>
      </w:r>
    </w:p>
    <w:p>
      <w:pPr>
        <w:pStyle w:val="yDefstart"/>
      </w:pPr>
      <w:r>
        <w:tab/>
      </w:r>
      <w:r>
        <w:rPr>
          <w:rStyle w:val="CharDefText"/>
        </w:rPr>
        <w:t>Joint Petroleum Development Area</w:t>
      </w:r>
      <w:r>
        <w:t xml:space="preserve"> has the same meaning as in the</w:t>
      </w:r>
      <w:r>
        <w:rPr>
          <w:iCs/>
        </w:rPr>
        <w:t xml:space="preserve"> </w:t>
      </w:r>
      <w:r>
        <w:rPr>
          <w:i/>
        </w:rPr>
        <w:t>Petroleum (Timor Sea Treaty) Act 2003</w:t>
      </w:r>
      <w:r>
        <w:t xml:space="preserve"> (Commonwealth);</w:t>
      </w:r>
    </w:p>
    <w:p>
      <w:pPr>
        <w:pStyle w:val="yDefstart"/>
      </w:pPr>
      <w:r>
        <w:tab/>
      </w:r>
      <w:r>
        <w:rPr>
          <w:rStyle w:val="CharDefText"/>
        </w:rPr>
        <w:t>Petroleum Act</w:t>
      </w:r>
      <w:r>
        <w:t xml:space="preserve"> means the </w:t>
      </w:r>
      <w:r>
        <w:rPr>
          <w:i/>
        </w:rPr>
        <w:t xml:space="preserve">Offshore Petroleum and Greenhouse Gas Storage Act 2006 </w:t>
      </w:r>
      <w:r>
        <w:t>of the Commonwealth;</w:t>
      </w:r>
    </w:p>
    <w:p>
      <w:pPr>
        <w:pStyle w:val="yDefstart"/>
      </w:pPr>
      <w:r>
        <w:tab/>
      </w:r>
      <w:r>
        <w:rPr>
          <w:rStyle w:val="CharDefText"/>
        </w:rPr>
        <w:t>Seas and Submerged Lands Act</w:t>
      </w:r>
      <w:r>
        <w:t xml:space="preserve"> means the </w:t>
      </w:r>
      <w:r>
        <w:rPr>
          <w:i/>
        </w:rPr>
        <w:t>Seas and Submerged Lands Act 1973</w:t>
      </w:r>
      <w:r>
        <w:t xml:space="preserve"> of the Commonwealth.</w:t>
      </w:r>
    </w:p>
    <w:p>
      <w:pPr>
        <w:pStyle w:val="yFootnotesection"/>
      </w:pPr>
      <w:r>
        <w:tab/>
        <w:t>[Clause 1 inserted: No. 36 of 2004 s. 13; amended: No. 42 of 2010 s. 186(2) and (3).]</w:t>
      </w:r>
    </w:p>
    <w:p>
      <w:pPr>
        <w:pStyle w:val="yHeading5"/>
        <w:outlineLvl w:val="0"/>
      </w:pPr>
      <w:bookmarkStart w:id="1173" w:name="_Toc131514835"/>
      <w:r>
        <w:rPr>
          <w:rStyle w:val="CharSClsNo"/>
        </w:rPr>
        <w:t>2</w:t>
      </w:r>
      <w:r>
        <w:t>.</w:t>
      </w:r>
      <w:r>
        <w:tab/>
        <w:t>Adjacent areas defined</w:t>
      </w:r>
      <w:bookmarkEnd w:id="1173"/>
    </w:p>
    <w:p>
      <w:pPr>
        <w:pStyle w:val="ySubsection"/>
      </w:pPr>
      <w:r>
        <w:tab/>
        <w:t>(1)</w:t>
      </w:r>
      <w:r>
        <w:tab/>
        <w:t xml:space="preserve">The </w:t>
      </w:r>
      <w:r>
        <w:rPr>
          <w:rStyle w:val="CharDefText"/>
        </w:rPr>
        <w:t>adjacent area</w:t>
      </w:r>
      <w:r>
        <w:t xml:space="preserve"> for New South Wales, Victoria, South Australia or Tasmania is so much of the area described in Schedule 1 to the Petroleum Act in relation to that State as is within the outer limits of the continental shelf and includes the space above and below that area.</w:t>
      </w:r>
    </w:p>
    <w:p>
      <w:pPr>
        <w:pStyle w:val="ySubsection"/>
      </w:pPr>
      <w:r>
        <w:tab/>
        <w:t>(2)</w:t>
      </w:r>
      <w:r>
        <w:tab/>
        <w:t xml:space="preserve">The </w:t>
      </w:r>
      <w:r>
        <w:rPr>
          <w:rStyle w:val="CharDefText"/>
        </w:rPr>
        <w:t>adjacent area</w:t>
      </w:r>
      <w:r>
        <w:t xml:space="preserve"> for Queensland is —</w:t>
      </w:r>
    </w:p>
    <w:p>
      <w:pPr>
        <w:pStyle w:val="yIndenta"/>
      </w:pPr>
      <w:r>
        <w:tab/>
        <w:t>(a)</w:t>
      </w:r>
      <w:r>
        <w:tab/>
        <w:t>so much of the area described in Schedule 1 to the Petroleum Act in relation to Queensland as is within the outer limits of the continental shelf; and</w:t>
      </w:r>
    </w:p>
    <w:p>
      <w:pPr>
        <w:pStyle w:val="yIndenta"/>
      </w:pPr>
      <w:r>
        <w:tab/>
        <w:t>(b)</w:t>
      </w:r>
      <w:r>
        <w:tab/>
        <w:t>the Coral Sea area (within the meaning of section 7(2) of the Petroleum Act) other than the territorial sea within the Coral Sea area; and</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lastRenderedPageBreak/>
        <w:tab/>
        <w:t>(3)</w:t>
      </w:r>
      <w:r>
        <w:tab/>
        <w:t xml:space="preserve">The </w:t>
      </w:r>
      <w:r>
        <w:rPr>
          <w:rStyle w:val="CharDefText"/>
        </w:rPr>
        <w:t>adjacent area</w:t>
      </w:r>
      <w:r>
        <w:t xml:space="preserve"> for Western Australia is so much of the area described in Schedule 1 to the Petroleum Act in relation to Western Australia as —</w:t>
      </w:r>
    </w:p>
    <w:p>
      <w:pPr>
        <w:pStyle w:val="yIndenta"/>
      </w:pPr>
      <w:r>
        <w:tab/>
        <w:t>(a)</w:t>
      </w:r>
      <w:r>
        <w:tab/>
        <w:t>is within the outer limits of the continental shelf; and</w:t>
      </w:r>
    </w:p>
    <w:p>
      <w:pPr>
        <w:pStyle w:val="yIndenta"/>
      </w:pPr>
      <w:r>
        <w:tab/>
        <w:t>(b)</w:t>
      </w:r>
      <w:r>
        <w:tab/>
        <w:t>is not within the Joint Petroleum Development Area,</w:t>
      </w:r>
    </w:p>
    <w:p>
      <w:pPr>
        <w:pStyle w:val="ySubsection"/>
      </w:pPr>
      <w:r>
        <w:tab/>
      </w:r>
      <w:r>
        <w:tab/>
        <w:t>and includes the space above and below that area.</w:t>
      </w:r>
    </w:p>
    <w:p>
      <w:pPr>
        <w:pStyle w:val="ySubsection"/>
      </w:pPr>
      <w:r>
        <w:tab/>
        <w:t>(4)</w:t>
      </w:r>
      <w:r>
        <w:tab/>
        <w:t xml:space="preserve">The </w:t>
      </w:r>
      <w:r>
        <w:rPr>
          <w:rStyle w:val="CharDefText"/>
        </w:rPr>
        <w:t>adjacent area</w:t>
      </w:r>
      <w:r>
        <w:t xml:space="preserve"> for the Northern Territory is —</w:t>
      </w:r>
    </w:p>
    <w:p>
      <w:pPr>
        <w:pStyle w:val="yIndenta"/>
      </w:pPr>
      <w:r>
        <w:tab/>
        <w:t>(a)</w:t>
      </w:r>
      <w:r>
        <w:tab/>
        <w:t>so much of the area described in Schedule 1 to the Petroleum Act in relation to the Northern Territory as —</w:t>
      </w:r>
    </w:p>
    <w:p>
      <w:pPr>
        <w:pStyle w:val="yIndenti0"/>
      </w:pPr>
      <w:r>
        <w:tab/>
        <w:t>(i)</w:t>
      </w:r>
      <w:r>
        <w:tab/>
        <w:t>is within the outer limits of the continental shelf; and</w:t>
      </w:r>
    </w:p>
    <w:p>
      <w:pPr>
        <w:pStyle w:val="yIndenti0"/>
      </w:pPr>
      <w:r>
        <w:tab/>
        <w:t>(ii)</w:t>
      </w:r>
      <w:r>
        <w:tab/>
        <w:t>is not within the Joint Petroleum Development Area;</w:t>
      </w:r>
    </w:p>
    <w:p>
      <w:pPr>
        <w:pStyle w:val="yIndenta"/>
      </w:pPr>
      <w:r>
        <w:tab/>
      </w:r>
      <w:r>
        <w:tab/>
        <w:t>and</w:t>
      </w:r>
    </w:p>
    <w:p>
      <w:pPr>
        <w:pStyle w:val="yIndenta"/>
      </w:pPr>
      <w:r>
        <w:tab/>
        <w:t>(b)</w:t>
      </w:r>
      <w:r>
        <w:tab/>
        <w:t>the offshore area for the Territory of Ashmore and Cartier Islands (within the meaning of section 7(1)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Subsection"/>
      </w:pPr>
      <w:r>
        <w:tab/>
        <w:t>(6)</w:t>
      </w:r>
      <w:r>
        <w:tab/>
        <w:t>A reference in this clause to the area described in Schedule 1 to the Petroleum Act in relation to a State or Territory is a reference to the scheduled area for that State or Territory within the meaning given in that Schedule.</w:t>
      </w:r>
    </w:p>
    <w:p>
      <w:pPr>
        <w:pStyle w:val="yFootnotesection"/>
      </w:pPr>
      <w:r>
        <w:tab/>
        <w:t>[Clause 2 inserted: No. 36 of 2004 s. 13; amended: No. 42 of 2010 s. 186(4)-(8).]</w:t>
      </w:r>
    </w:p>
    <w:p>
      <w:pPr>
        <w:pStyle w:val="yScheduleHeading"/>
      </w:pPr>
      <w:bookmarkStart w:id="1174" w:name="_Toc100238858"/>
      <w:bookmarkStart w:id="1175" w:name="_Toc100239472"/>
      <w:bookmarkStart w:id="1176" w:name="_Toc100562766"/>
      <w:bookmarkStart w:id="1177" w:name="_Toc107310402"/>
      <w:bookmarkStart w:id="1178" w:name="_Toc107480256"/>
      <w:bookmarkStart w:id="1179" w:name="_Toc131501622"/>
      <w:bookmarkStart w:id="1180" w:name="_Toc131502240"/>
      <w:bookmarkStart w:id="1181" w:name="_Toc131514836"/>
      <w:r>
        <w:rPr>
          <w:rStyle w:val="CharSchNo"/>
        </w:rPr>
        <w:lastRenderedPageBreak/>
        <w:t>Schedule 7</w:t>
      </w:r>
      <w:r>
        <w:rPr>
          <w:rStyle w:val="CharSDivNo"/>
        </w:rPr>
        <w:t> </w:t>
      </w:r>
      <w:r>
        <w:t>— </w:t>
      </w:r>
      <w:r>
        <w:rPr>
          <w:rStyle w:val="CharSchText"/>
        </w:rPr>
        <w:t>Noise induced hearing loss</w:t>
      </w:r>
      <w:bookmarkEnd w:id="1174"/>
      <w:bookmarkEnd w:id="1175"/>
      <w:bookmarkEnd w:id="1176"/>
      <w:bookmarkEnd w:id="1177"/>
      <w:bookmarkEnd w:id="1178"/>
      <w:bookmarkEnd w:id="1179"/>
      <w:bookmarkEnd w:id="1180"/>
      <w:bookmarkEnd w:id="1181"/>
    </w:p>
    <w:p>
      <w:pPr>
        <w:pStyle w:val="yShoulderClause"/>
        <w:spacing w:before="80"/>
        <w:rPr>
          <w:snapToGrid w:val="0"/>
        </w:rPr>
      </w:pPr>
      <w:r>
        <w:rPr>
          <w:snapToGrid w:val="0"/>
        </w:rPr>
        <w:t>[s. 24A]</w:t>
      </w:r>
    </w:p>
    <w:p>
      <w:pPr>
        <w:pStyle w:val="yFootnoteheading"/>
        <w:spacing w:before="40"/>
        <w:rPr>
          <w:snapToGrid w:val="0"/>
        </w:rPr>
      </w:pPr>
      <w:r>
        <w:tab/>
        <w:t>[Heading inserted: No. 36 of 1988 s. 12.]</w:t>
      </w:r>
    </w:p>
    <w:p>
      <w:pPr>
        <w:pStyle w:val="yHeading5"/>
        <w:outlineLvl w:val="0"/>
        <w:rPr>
          <w:snapToGrid w:val="0"/>
        </w:rPr>
      </w:pPr>
      <w:bookmarkStart w:id="1182" w:name="_Toc131514837"/>
      <w:r>
        <w:rPr>
          <w:rStyle w:val="CharSClsNo"/>
        </w:rPr>
        <w:t>1</w:t>
      </w:r>
      <w:r>
        <w:rPr>
          <w:snapToGrid w:val="0"/>
        </w:rPr>
        <w:t>.</w:t>
      </w:r>
      <w:r>
        <w:rPr>
          <w:snapToGrid w:val="0"/>
        </w:rPr>
        <w:tab/>
        <w:t>Terms used</w:t>
      </w:r>
      <w:bookmarkEnd w:id="1182"/>
    </w:p>
    <w:p>
      <w:pPr>
        <w:pStyle w:val="ySubsection"/>
        <w:rPr>
          <w:snapToGrid w:val="0"/>
        </w:rPr>
      </w:pPr>
      <w:r>
        <w:rPr>
          <w:snapToGrid w:val="0"/>
        </w:rPr>
        <w:tab/>
      </w:r>
      <w:r>
        <w:rPr>
          <w:snapToGrid w:val="0"/>
        </w:rPr>
        <w:tab/>
        <w:t>In this Schedule —</w:t>
      </w:r>
    </w:p>
    <w:p>
      <w:pPr>
        <w:pStyle w:val="yDefstart"/>
      </w:pPr>
      <w:r>
        <w:rPr>
          <w:b/>
        </w:rPr>
        <w:tab/>
      </w:r>
      <w:r>
        <w:rPr>
          <w:rStyle w:val="CharDefText"/>
        </w:rPr>
        <w:t>audiometric test</w:t>
      </w:r>
      <w:r>
        <w:t xml:space="preserve"> means an audiometric test carried out in accordance with clause 4(1);</w:t>
      </w:r>
    </w:p>
    <w:p>
      <w:pPr>
        <w:pStyle w:val="yDefstart"/>
      </w:pPr>
      <w:r>
        <w:rPr>
          <w:b/>
        </w:rPr>
        <w:tab/>
      </w:r>
      <w:r>
        <w:rPr>
          <w:rStyle w:val="CharDefText"/>
        </w:rPr>
        <w:t>prescribed workplace</w:t>
      </w:r>
      <w:r>
        <w:t xml:space="preserve"> means a workplace prescribed under clause 10;</w:t>
      </w:r>
    </w:p>
    <w:p>
      <w:pPr>
        <w:pStyle w:val="yDefstart"/>
      </w:pPr>
      <w:r>
        <w:rPr>
          <w:b/>
        </w:rPr>
        <w:tab/>
      </w:r>
      <w:r>
        <w:rPr>
          <w:rStyle w:val="CharDefText"/>
        </w:rPr>
        <w:t>proclaimed date</w:t>
      </w:r>
      <w:r>
        <w:t xml:space="preserve"> means the date on which the </w:t>
      </w:r>
      <w:r>
        <w:rPr>
          <w:i/>
        </w:rPr>
        <w:t>Workers’ Compensation and Assistance Amendment Act 1988</w:t>
      </w:r>
      <w:r>
        <w:t xml:space="preserve"> comes into operation.</w:t>
      </w:r>
    </w:p>
    <w:p>
      <w:pPr>
        <w:pStyle w:val="yFootnotesection"/>
      </w:pPr>
      <w:r>
        <w:tab/>
        <w:t>[Clause 1 inserted: No. 36 of 1988 s. 12.]</w:t>
      </w:r>
    </w:p>
    <w:p>
      <w:pPr>
        <w:pStyle w:val="yHeading5"/>
        <w:outlineLvl w:val="0"/>
        <w:rPr>
          <w:snapToGrid w:val="0"/>
        </w:rPr>
      </w:pPr>
      <w:bookmarkStart w:id="1183" w:name="_Toc131514838"/>
      <w:r>
        <w:rPr>
          <w:rStyle w:val="CharSClsNo"/>
        </w:rPr>
        <w:t>2</w:t>
      </w:r>
      <w:r>
        <w:rPr>
          <w:snapToGrid w:val="0"/>
        </w:rPr>
        <w:t>.</w:t>
      </w:r>
      <w:r>
        <w:rPr>
          <w:snapToGrid w:val="0"/>
        </w:rPr>
        <w:tab/>
        <w:t>Audiometric tests, when some workers have to undergo</w:t>
      </w:r>
      <w:bookmarkEnd w:id="1183"/>
    </w:p>
    <w:p>
      <w:pPr>
        <w:pStyle w:val="ySubsection"/>
        <w:rPr>
          <w:snapToGrid w:val="0"/>
        </w:rPr>
      </w:pPr>
      <w:r>
        <w:rPr>
          <w:snapToGrid w:val="0"/>
        </w:rPr>
        <w:tab/>
        <w:t>(1)</w:t>
      </w:r>
      <w:r>
        <w:rPr>
          <w:snapToGrid w:val="0"/>
        </w:rPr>
        <w:tab/>
        <w:t>A worker employed in a prescribed workplace shall undergo an initial audiometric test as soon as practicable but no later than —</w:t>
      </w:r>
    </w:p>
    <w:p>
      <w:pPr>
        <w:pStyle w:val="yIndenta"/>
        <w:spacing w:before="60"/>
        <w:rPr>
          <w:snapToGrid w:val="0"/>
        </w:rPr>
      </w:pPr>
      <w:r>
        <w:rPr>
          <w:snapToGrid w:val="0"/>
        </w:rPr>
        <w:tab/>
        <w:t>(a)</w:t>
      </w:r>
      <w:r>
        <w:rPr>
          <w:snapToGrid w:val="0"/>
        </w:rPr>
        <w:tab/>
        <w:t>where the worker is employed in a prescribed workplace at the proclaimed date, 12 months after that date; or</w:t>
      </w:r>
    </w:p>
    <w:p>
      <w:pPr>
        <w:pStyle w:val="yIndenta"/>
        <w:spacing w:before="60"/>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keepNext/>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No. 36 of 1988 s. 12.]</w:t>
      </w:r>
    </w:p>
    <w:p>
      <w:pPr>
        <w:pStyle w:val="yHeading5"/>
        <w:outlineLvl w:val="0"/>
        <w:rPr>
          <w:snapToGrid w:val="0"/>
        </w:rPr>
      </w:pPr>
      <w:bookmarkStart w:id="1184" w:name="_Toc131514839"/>
      <w:r>
        <w:rPr>
          <w:rStyle w:val="CharSClsNo"/>
        </w:rPr>
        <w:lastRenderedPageBreak/>
        <w:t>3</w:t>
      </w:r>
      <w:r>
        <w:rPr>
          <w:snapToGrid w:val="0"/>
        </w:rPr>
        <w:t>.</w:t>
      </w:r>
      <w:r>
        <w:rPr>
          <w:snapToGrid w:val="0"/>
        </w:rPr>
        <w:tab/>
        <w:t>Employer to arrange and pay for audiometric test</w:t>
      </w:r>
      <w:bookmarkEnd w:id="1184"/>
    </w:p>
    <w:p>
      <w:pPr>
        <w:pStyle w:val="ySubsection"/>
        <w:rPr>
          <w:snapToGrid w:val="0"/>
        </w:rPr>
      </w:pPr>
      <w:r>
        <w:rPr>
          <w:snapToGrid w:val="0"/>
        </w:rPr>
        <w:tab/>
        <w:t>(1)</w:t>
      </w:r>
      <w:r>
        <w:rPr>
          <w:snapToGrid w:val="0"/>
        </w:rPr>
        <w:tab/>
        <w:t>The employer of a worker who is required, or who makes a request, to undergo an audiometric test under clause 2 shall —</w:t>
      </w:r>
    </w:p>
    <w:p>
      <w:pPr>
        <w:pStyle w:val="yIndenta"/>
        <w:rPr>
          <w:snapToGrid w:val="0"/>
        </w:rPr>
      </w:pPr>
      <w:r>
        <w:rPr>
          <w:snapToGrid w:val="0"/>
        </w:rPr>
        <w:tab/>
        <w:t>(a)</w:t>
      </w:r>
      <w:r>
        <w:rPr>
          <w:snapToGrid w:val="0"/>
        </w:rPr>
        <w:tab/>
        <w:t>arrange for the test; and</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rPr>
          <w:snapToGrid w:val="0"/>
        </w:rPr>
      </w:pPr>
      <w:r>
        <w:rPr>
          <w:snapToGrid w:val="0"/>
        </w:rPr>
        <w:tab/>
        <w:t>(2)</w:t>
      </w:r>
      <w:r>
        <w:rPr>
          <w:snapToGrid w:val="0"/>
        </w:rPr>
        <w:tab/>
        <w:t>An employer who contravenes subclause (1) commits an offence.</w:t>
      </w:r>
    </w:p>
    <w:p>
      <w:pPr>
        <w:pStyle w:val="yFootnotesection"/>
      </w:pPr>
      <w:r>
        <w:tab/>
        <w:t>[Clause 3 inserted: No. 36 of 1988 s. 12.]</w:t>
      </w:r>
    </w:p>
    <w:p>
      <w:pPr>
        <w:pStyle w:val="yHeading5"/>
        <w:outlineLvl w:val="0"/>
        <w:rPr>
          <w:snapToGrid w:val="0"/>
        </w:rPr>
      </w:pPr>
      <w:bookmarkStart w:id="1185" w:name="_Toc131514840"/>
      <w:r>
        <w:rPr>
          <w:rStyle w:val="CharSClsNo"/>
        </w:rPr>
        <w:t>4</w:t>
      </w:r>
      <w:r>
        <w:rPr>
          <w:snapToGrid w:val="0"/>
        </w:rPr>
        <w:t>.</w:t>
      </w:r>
      <w:r>
        <w:rPr>
          <w:snapToGrid w:val="0"/>
        </w:rPr>
        <w:tab/>
        <w:t>Carrying out of audiometric tests</w:t>
      </w:r>
      <w:bookmarkEnd w:id="1185"/>
    </w:p>
    <w:p>
      <w:pPr>
        <w:pStyle w:val="ySubsection"/>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r>
        <w:t>WorkCover WA</w:t>
      </w:r>
      <w:r>
        <w:rPr>
          <w:snapToGrid w:val="0"/>
        </w:rPr>
        <w:t xml:space="preserve"> and to the worker tested within one month after the day of the test.</w:t>
      </w:r>
    </w:p>
    <w:p>
      <w:pPr>
        <w:pStyle w:val="ySubsection"/>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rPr>
          <w:snapToGrid w:val="0"/>
        </w:rPr>
      </w:pPr>
      <w:r>
        <w:rPr>
          <w:snapToGrid w:val="0"/>
        </w:rPr>
        <w:tab/>
        <w:t>(4)</w:t>
      </w:r>
      <w:r>
        <w:rPr>
          <w:snapToGrid w:val="0"/>
        </w:rPr>
        <w:tab/>
        <w:t>A person who contravenes subclause (2) or (3) commits an offence.</w:t>
      </w:r>
    </w:p>
    <w:p>
      <w:pPr>
        <w:pStyle w:val="yFootnotesection"/>
      </w:pPr>
      <w:r>
        <w:tab/>
        <w:t>[Clause 4 inserted: No. 36 of 1988 s. 12; amended: No. 42 of 2004 s. 150 and 152.]</w:t>
      </w:r>
    </w:p>
    <w:p>
      <w:pPr>
        <w:pStyle w:val="yHeading5"/>
        <w:outlineLvl w:val="0"/>
        <w:rPr>
          <w:snapToGrid w:val="0"/>
        </w:rPr>
      </w:pPr>
      <w:bookmarkStart w:id="1186" w:name="_Toc131514841"/>
      <w:r>
        <w:rPr>
          <w:rStyle w:val="CharSClsNo"/>
        </w:rPr>
        <w:lastRenderedPageBreak/>
        <w:t>5</w:t>
      </w:r>
      <w:r>
        <w:rPr>
          <w:snapToGrid w:val="0"/>
        </w:rPr>
        <w:t>.</w:t>
      </w:r>
      <w:r>
        <w:rPr>
          <w:snapToGrid w:val="0"/>
        </w:rPr>
        <w:tab/>
        <w:t>Communication and storage of audiometric test results</w:t>
      </w:r>
      <w:bookmarkEnd w:id="1186"/>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r>
        <w:t>WorkCover WA</w:t>
      </w:r>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No. 36 of 1988 s. 12; amended: No. 48 of 1993 s. 43; No. 34 of 1999 s. 56(1); No. 42 of 2004 s. 144(1) and 150.]</w:t>
      </w:r>
    </w:p>
    <w:p>
      <w:pPr>
        <w:pStyle w:val="yHeading5"/>
        <w:outlineLvl w:val="0"/>
      </w:pPr>
      <w:bookmarkStart w:id="1187" w:name="_Toc131514842"/>
      <w:r>
        <w:rPr>
          <w:rStyle w:val="CharSClsNo"/>
        </w:rPr>
        <w:t>6</w:t>
      </w:r>
      <w:r>
        <w:t>.</w:t>
      </w:r>
      <w:r>
        <w:tab/>
        <w:t>Referring questions about hearing loss etc. to medical assessment panel</w:t>
      </w:r>
      <w:bookmarkEnd w:id="1187"/>
    </w:p>
    <w:p>
      <w:pPr>
        <w:pStyle w:val="ySubsection"/>
      </w:pPr>
      <w:r>
        <w:tab/>
      </w:r>
      <w:r>
        <w:tab/>
        <w:t>If section 145A so permits, a question that arises under section 24A or 31E regarding audiometric testing or hearing loss, including whether or to what extent hearing loss is noise induced hearing loss, may be referred for determination by a medical assessment panel.</w:t>
      </w:r>
    </w:p>
    <w:p>
      <w:pPr>
        <w:pStyle w:val="yFootnotesection"/>
      </w:pPr>
      <w:r>
        <w:tab/>
        <w:t>[Clause 6 inserted: No. 42 of 2004 s. 144(2); amended: No. 31 of 2011 s. 73.]</w:t>
      </w:r>
    </w:p>
    <w:p>
      <w:pPr>
        <w:pStyle w:val="yHeading5"/>
        <w:outlineLvl w:val="0"/>
        <w:rPr>
          <w:snapToGrid w:val="0"/>
        </w:rPr>
      </w:pPr>
      <w:bookmarkStart w:id="1188" w:name="_Toc131514843"/>
      <w:r>
        <w:rPr>
          <w:rStyle w:val="CharSClsNo"/>
        </w:rPr>
        <w:t>7</w:t>
      </w:r>
      <w:r>
        <w:rPr>
          <w:snapToGrid w:val="0"/>
        </w:rPr>
        <w:t>.</w:t>
      </w:r>
      <w:r>
        <w:rPr>
          <w:snapToGrid w:val="0"/>
        </w:rPr>
        <w:tab/>
        <w:t>Re</w:t>
      </w:r>
      <w:r>
        <w:rPr>
          <w:snapToGrid w:val="0"/>
        </w:rPr>
        <w:noBreakHyphen/>
        <w:t>test of person’s hearing</w:t>
      </w:r>
      <w:bookmarkEnd w:id="1188"/>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w:t>
      </w:r>
      <w:r>
        <w:rPr>
          <w:snapToGrid w:val="0"/>
        </w:rPr>
        <w:lastRenderedPageBreak/>
        <w:t xml:space="preserve">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No. 36 of 1988 s. 12; amended: No. 49 of 1996 s. 64; No. 42 of 2004 s. 144(3) and 150; No. 77 of 2006 Sch. 1 cl. 189(9).]</w:t>
      </w:r>
    </w:p>
    <w:p>
      <w:pPr>
        <w:pStyle w:val="yHeading5"/>
        <w:outlineLvl w:val="0"/>
        <w:rPr>
          <w:snapToGrid w:val="0"/>
        </w:rPr>
      </w:pPr>
      <w:bookmarkStart w:id="1189" w:name="_Toc131514844"/>
      <w:r>
        <w:rPr>
          <w:rStyle w:val="CharSClsNo"/>
        </w:rPr>
        <w:t>8</w:t>
      </w:r>
      <w:r>
        <w:rPr>
          <w:snapToGrid w:val="0"/>
        </w:rPr>
        <w:t>.</w:t>
      </w:r>
      <w:r>
        <w:rPr>
          <w:snapToGrid w:val="0"/>
        </w:rPr>
        <w:tab/>
        <w:t>Determining extent of hearing loss</w:t>
      </w:r>
      <w:bookmarkEnd w:id="1189"/>
    </w:p>
    <w:p>
      <w:pPr>
        <w:pStyle w:val="ySubsection"/>
        <w:rPr>
          <w:snapToGrid w:val="0"/>
        </w:rPr>
      </w:pPr>
      <w:r>
        <w:rPr>
          <w:snapToGrid w:val="0"/>
        </w:rPr>
        <w:tab/>
        <w:t>(1)</w:t>
      </w:r>
      <w:r>
        <w:rPr>
          <w:snapToGrid w:val="0"/>
        </w:rPr>
        <w:tab/>
        <w:t xml:space="preserve">The results of an audiometric test carried out on a worker and stored in any form by </w:t>
      </w:r>
      <w:r>
        <w:t>WorkCover WA</w:t>
      </w:r>
      <w:r>
        <w:rPr>
          <w:snapToGrid w:val="0"/>
        </w:rPr>
        <w:t xml:space="preserve"> under clause 5 are prima facie evidence of the level of hearing of the person at the date of the test.</w:t>
      </w:r>
    </w:p>
    <w:p>
      <w:pPr>
        <w:pStyle w:val="ySubsection"/>
        <w:rPr>
          <w:snapToGrid w:val="0"/>
        </w:rPr>
      </w:pPr>
      <w:r>
        <w:rPr>
          <w:snapToGrid w:val="0"/>
        </w:rPr>
        <w:tab/>
        <w:t>(2)</w:t>
      </w:r>
      <w:r>
        <w:rPr>
          <w:snapToGrid w:val="0"/>
        </w:rPr>
        <w:tab/>
        <w:t xml:space="preserve">Where a comparison of the results of 2 audiometric tests stored by </w:t>
      </w:r>
      <w:r>
        <w:t>WorkCover WA</w:t>
      </w:r>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keepNext/>
        <w:rPr>
          <w:snapToGrid w:val="0"/>
        </w:rPr>
      </w:pPr>
      <w:r>
        <w:rPr>
          <w:snapToGrid w:val="0"/>
        </w:rPr>
        <w:tab/>
        <w:t>(4)</w:t>
      </w:r>
      <w:r>
        <w:rPr>
          <w:snapToGrid w:val="0"/>
        </w:rPr>
        <w:tab/>
        <w:t>If a worker —</w:t>
      </w:r>
    </w:p>
    <w:p>
      <w:pPr>
        <w:pStyle w:val="yIndenta"/>
        <w:rPr>
          <w:snapToGrid w:val="0"/>
        </w:rPr>
      </w:pPr>
      <w:r>
        <w:rPr>
          <w:snapToGrid w:val="0"/>
        </w:rPr>
        <w:tab/>
        <w:t>(a)</w:t>
      </w:r>
      <w:r>
        <w:rPr>
          <w:snapToGrid w:val="0"/>
        </w:rPr>
        <w:tab/>
        <w:t xml:space="preserve">undergoes an audiometric test within 3 months of the worker’s employment being terminated, or in the case of a worker who has retired, the worker makes a request under clause 2(2) within 3 months of retirement, then the results of </w:t>
      </w:r>
      <w:r>
        <w:rPr>
          <w:snapToGrid w:val="0"/>
        </w:rPr>
        <w:lastRenderedPageBreak/>
        <w:t>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No. 36 of 1988 s. 12; amended: No. 48 of 1993 s. 28(1); No. 34 of 1999 s. 56(3); No. 42 of 2004 s. 144(4) and (5) and 150.]</w:t>
      </w:r>
    </w:p>
    <w:p>
      <w:pPr>
        <w:pStyle w:val="yHeading5"/>
        <w:outlineLvl w:val="0"/>
        <w:rPr>
          <w:snapToGrid w:val="0"/>
        </w:rPr>
      </w:pPr>
      <w:bookmarkStart w:id="1190" w:name="_Toc131514845"/>
      <w:r>
        <w:rPr>
          <w:rStyle w:val="CharSClsNo"/>
        </w:rPr>
        <w:t>9</w:t>
      </w:r>
      <w:r>
        <w:rPr>
          <w:snapToGrid w:val="0"/>
        </w:rPr>
        <w:t>.</w:t>
      </w:r>
      <w:r>
        <w:rPr>
          <w:snapToGrid w:val="0"/>
        </w:rPr>
        <w:tab/>
        <w:t>Audiometric test not conclusive proof that hearing loss is noise induced</w:t>
      </w:r>
      <w:bookmarkEnd w:id="1190"/>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r>
        <w:tab/>
        <w:t>[Clause 9 inserted: No. 36 of 1988 s. 12.]</w:t>
      </w:r>
    </w:p>
    <w:p>
      <w:pPr>
        <w:pStyle w:val="yHeading5"/>
        <w:outlineLvl w:val="0"/>
        <w:rPr>
          <w:snapToGrid w:val="0"/>
        </w:rPr>
      </w:pPr>
      <w:bookmarkStart w:id="1191" w:name="_Toc131514846"/>
      <w:r>
        <w:rPr>
          <w:rStyle w:val="CharSClsNo"/>
        </w:rPr>
        <w:t>10</w:t>
      </w:r>
      <w:r>
        <w:rPr>
          <w:snapToGrid w:val="0"/>
        </w:rPr>
        <w:t>.</w:t>
      </w:r>
      <w:r>
        <w:rPr>
          <w:snapToGrid w:val="0"/>
        </w:rPr>
        <w:tab/>
        <w:t>Workplaces to be prescribed</w:t>
      </w:r>
      <w:bookmarkEnd w:id="1191"/>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No. 36 of 1988 s. 12.]</w:t>
      </w:r>
    </w:p>
    <w:p>
      <w:pPr>
        <w:pStyle w:val="yScheduleHeading"/>
      </w:pPr>
      <w:bookmarkStart w:id="1192" w:name="_Toc100238869"/>
      <w:bookmarkStart w:id="1193" w:name="_Toc100239483"/>
      <w:bookmarkStart w:id="1194" w:name="_Toc100562777"/>
      <w:bookmarkStart w:id="1195" w:name="_Toc107310413"/>
      <w:bookmarkStart w:id="1196" w:name="_Toc107480267"/>
      <w:bookmarkStart w:id="1197" w:name="_Toc131501633"/>
      <w:bookmarkStart w:id="1198" w:name="_Toc131502251"/>
      <w:bookmarkStart w:id="1199" w:name="_Toc131514847"/>
      <w:r>
        <w:rPr>
          <w:rStyle w:val="CharSchNo"/>
        </w:rPr>
        <w:lastRenderedPageBreak/>
        <w:t>Schedule 8</w:t>
      </w:r>
      <w:r>
        <w:t> — </w:t>
      </w:r>
      <w:r>
        <w:rPr>
          <w:rStyle w:val="CharSchText"/>
        </w:rPr>
        <w:t>Transitional provisions</w:t>
      </w:r>
      <w:bookmarkEnd w:id="1192"/>
      <w:bookmarkEnd w:id="1193"/>
      <w:bookmarkEnd w:id="1194"/>
      <w:bookmarkEnd w:id="1195"/>
      <w:bookmarkEnd w:id="1196"/>
      <w:bookmarkEnd w:id="1197"/>
      <w:bookmarkEnd w:id="1198"/>
      <w:bookmarkEnd w:id="1199"/>
    </w:p>
    <w:p>
      <w:pPr>
        <w:pStyle w:val="yShoulderClause"/>
      </w:pPr>
      <w:r>
        <w:t>[s. 325]</w:t>
      </w:r>
    </w:p>
    <w:p>
      <w:pPr>
        <w:pStyle w:val="yFootnoteheading"/>
        <w:spacing w:before="40"/>
        <w:rPr>
          <w:snapToGrid w:val="0"/>
        </w:rPr>
      </w:pPr>
      <w:r>
        <w:tab/>
        <w:t>[Heading inserted: No. 31 of 2011 s. 74.]</w:t>
      </w:r>
    </w:p>
    <w:p>
      <w:pPr>
        <w:pStyle w:val="yHeading3"/>
      </w:pPr>
      <w:bookmarkStart w:id="1200" w:name="_Toc100238870"/>
      <w:bookmarkStart w:id="1201" w:name="_Toc100239484"/>
      <w:bookmarkStart w:id="1202" w:name="_Toc100562778"/>
      <w:bookmarkStart w:id="1203" w:name="_Toc107310414"/>
      <w:bookmarkStart w:id="1204" w:name="_Toc107480268"/>
      <w:bookmarkStart w:id="1205" w:name="_Toc131501634"/>
      <w:bookmarkStart w:id="1206" w:name="_Toc131502252"/>
      <w:bookmarkStart w:id="1207" w:name="_Toc131514848"/>
      <w:r>
        <w:rPr>
          <w:rStyle w:val="CharSDivNo"/>
        </w:rPr>
        <w:t>Division 1</w:t>
      </w:r>
      <w:r>
        <w:t> — </w:t>
      </w:r>
      <w:r>
        <w:rPr>
          <w:rStyle w:val="CharSDivText"/>
          <w:i/>
        </w:rPr>
        <w:t>Workers’ Compensation and Injury Management Amendment Act 2011</w:t>
      </w:r>
      <w:bookmarkEnd w:id="1200"/>
      <w:bookmarkEnd w:id="1201"/>
      <w:bookmarkEnd w:id="1202"/>
      <w:bookmarkEnd w:id="1203"/>
      <w:bookmarkEnd w:id="1204"/>
      <w:bookmarkEnd w:id="1205"/>
      <w:bookmarkEnd w:id="1206"/>
      <w:bookmarkEnd w:id="1207"/>
    </w:p>
    <w:p>
      <w:pPr>
        <w:pStyle w:val="yFootnoteheading"/>
        <w:spacing w:before="40"/>
        <w:rPr>
          <w:snapToGrid w:val="0"/>
        </w:rPr>
      </w:pPr>
      <w:r>
        <w:tab/>
        <w:t>[Heading inserted: No. 8 of 2018 s. 13.]</w:t>
      </w:r>
    </w:p>
    <w:p>
      <w:pPr>
        <w:pStyle w:val="yHeading5"/>
      </w:pPr>
      <w:bookmarkStart w:id="1208" w:name="_Toc131514849"/>
      <w:r>
        <w:rPr>
          <w:rStyle w:val="CharSClsNo"/>
        </w:rPr>
        <w:t>1</w:t>
      </w:r>
      <w:r>
        <w:t>.</w:t>
      </w:r>
      <w:r>
        <w:tab/>
        <w:t>Terms used</w:t>
      </w:r>
      <w:bookmarkEnd w:id="1208"/>
    </w:p>
    <w:p>
      <w:pPr>
        <w:pStyle w:val="ySubsection"/>
      </w:pPr>
      <w:r>
        <w:tab/>
      </w:r>
      <w:r>
        <w:tab/>
        <w:t xml:space="preserve">In this Division — </w:t>
      </w:r>
    </w:p>
    <w:p>
      <w:pPr>
        <w:pStyle w:val="yDefstart"/>
      </w:pPr>
      <w:r>
        <w:tab/>
      </w:r>
      <w:r>
        <w:rPr>
          <w:rStyle w:val="CharDefText"/>
        </w:rPr>
        <w:t>amended provisions</w:t>
      </w:r>
      <w:r>
        <w:t xml:space="preserve"> means this Act as amended by the amending Act;</w:t>
      </w:r>
    </w:p>
    <w:p>
      <w:pPr>
        <w:pStyle w:val="yDefstart"/>
      </w:pPr>
      <w:r>
        <w:tab/>
      </w:r>
      <w:r>
        <w:rPr>
          <w:rStyle w:val="CharDefText"/>
        </w:rPr>
        <w:t>amending Act</w:t>
      </w:r>
      <w:r>
        <w:t xml:space="preserve"> means the </w:t>
      </w:r>
      <w:r>
        <w:rPr>
          <w:i/>
          <w:iCs/>
        </w:rPr>
        <w:t>Workers’ Compensation and Injury Management Amendment Act 2011</w:t>
      </w:r>
      <w:r>
        <w:t>;</w:t>
      </w:r>
    </w:p>
    <w:p>
      <w:pPr>
        <w:pStyle w:val="yDefstart"/>
      </w:pPr>
      <w:r>
        <w:tab/>
      </w:r>
      <w:r>
        <w:rPr>
          <w:rStyle w:val="CharDefText"/>
        </w:rPr>
        <w:t>commencement day</w:t>
      </w:r>
      <w:r>
        <w:t xml:space="preserve"> means the day of the coming into operation of section 6 of the amending Act;</w:t>
      </w:r>
    </w:p>
    <w:p>
      <w:pPr>
        <w:pStyle w:val="yDefstart"/>
      </w:pPr>
      <w:r>
        <w:tab/>
      </w:r>
      <w:r>
        <w:rPr>
          <w:rStyle w:val="CharDefText"/>
        </w:rPr>
        <w:t>Commissioner</w:t>
      </w:r>
      <w:r>
        <w:t xml:space="preserve"> has the meaning given in section 5(1) of the former provisions;</w:t>
      </w:r>
    </w:p>
    <w:p>
      <w:pPr>
        <w:pStyle w:val="yDefstart"/>
      </w:pPr>
      <w:r>
        <w:tab/>
      </w:r>
      <w:r>
        <w:rPr>
          <w:rStyle w:val="CharDefText"/>
        </w:rPr>
        <w:t>dispute</w:t>
      </w:r>
      <w:r>
        <w:t xml:space="preserve"> has the meaning given in section 176(1);</w:t>
      </w:r>
    </w:p>
    <w:p>
      <w:pPr>
        <w:pStyle w:val="yDefstart"/>
      </w:pPr>
      <w:r>
        <w:tab/>
      </w:r>
      <w:r>
        <w:rPr>
          <w:rStyle w:val="CharDefText"/>
        </w:rPr>
        <w:t>DRD</w:t>
      </w:r>
      <w:r>
        <w:t xml:space="preserve"> has the meaning given in section 5(1) of the former provisions;</w:t>
      </w:r>
    </w:p>
    <w:p>
      <w:pPr>
        <w:pStyle w:val="yDefstart"/>
      </w:pPr>
      <w:r>
        <w:tab/>
      </w:r>
      <w:r>
        <w:rPr>
          <w:rStyle w:val="CharDefText"/>
        </w:rPr>
        <w:t>DRD Rules</w:t>
      </w:r>
      <w:r>
        <w:t xml:space="preserve"> has the meaning given in section 5(1) of the former provisions;</w:t>
      </w:r>
    </w:p>
    <w:p>
      <w:pPr>
        <w:pStyle w:val="yDefstart"/>
      </w:pPr>
      <w:r>
        <w:tab/>
      </w:r>
      <w:r>
        <w:rPr>
          <w:rStyle w:val="CharDefText"/>
        </w:rPr>
        <w:t>former provisions</w:t>
      </w:r>
      <w:r>
        <w:t xml:space="preserve"> means this Act as enacted before the commencement day;</w:t>
      </w:r>
    </w:p>
    <w:p>
      <w:pPr>
        <w:pStyle w:val="yDefstart"/>
      </w:pPr>
      <w:r>
        <w:tab/>
      </w:r>
      <w:r>
        <w:rPr>
          <w:rStyle w:val="CharDefText"/>
        </w:rPr>
        <w:t>pending arbitration proceeding</w:t>
      </w:r>
      <w:r>
        <w:t xml:space="preserve"> means a dispute — </w:t>
      </w:r>
    </w:p>
    <w:p>
      <w:pPr>
        <w:pStyle w:val="yDefpara"/>
      </w:pPr>
      <w:r>
        <w:tab/>
        <w:t>(a)</w:t>
      </w:r>
      <w:r>
        <w:tab/>
        <w:t>in respect of which an application has been made under section 181 of the former provisions; and</w:t>
      </w:r>
    </w:p>
    <w:p>
      <w:pPr>
        <w:pStyle w:val="yIndenta"/>
      </w:pPr>
      <w:r>
        <w:tab/>
        <w:t>(b)</w:t>
      </w:r>
      <w:r>
        <w:tab/>
        <w:t>which has not been determined by an arbitrator before the commencement day;</w:t>
      </w:r>
    </w:p>
    <w:p>
      <w:pPr>
        <w:pStyle w:val="yDefstart"/>
      </w:pPr>
      <w:r>
        <w:tab/>
      </w:r>
      <w:r>
        <w:rPr>
          <w:rStyle w:val="CharDefText"/>
        </w:rPr>
        <w:t>pending Court of Appeal matter</w:t>
      </w:r>
      <w:r>
        <w:t xml:space="preserve"> means — </w:t>
      </w:r>
    </w:p>
    <w:p>
      <w:pPr>
        <w:pStyle w:val="yDefpara"/>
      </w:pPr>
      <w:r>
        <w:tab/>
        <w:t>(a)</w:t>
      </w:r>
      <w:r>
        <w:tab/>
        <w:t>a case stated to the Court of Appeal under section 251 of the former provisions; or</w:t>
      </w:r>
    </w:p>
    <w:p>
      <w:pPr>
        <w:pStyle w:val="yDefpara"/>
      </w:pPr>
      <w:r>
        <w:tab/>
        <w:t>(b)</w:t>
      </w:r>
      <w:r>
        <w:tab/>
        <w:t>an appeal to the Court of Appeal under section 254 of the former provisions (including an application under that section for leave to appeal),</w:t>
      </w:r>
    </w:p>
    <w:p>
      <w:pPr>
        <w:pStyle w:val="yDefstart"/>
      </w:pPr>
      <w:r>
        <w:lastRenderedPageBreak/>
        <w:tab/>
        <w:t>which has not been determined by the Court of Appeal before the commencement day;</w:t>
      </w:r>
    </w:p>
    <w:p>
      <w:pPr>
        <w:pStyle w:val="yDefstart"/>
      </w:pPr>
      <w:r>
        <w:tab/>
      </w:r>
      <w:r>
        <w:rPr>
          <w:rStyle w:val="CharDefText"/>
        </w:rPr>
        <w:t>pending Part XII application</w:t>
      </w:r>
      <w:r>
        <w:t xml:space="preserve"> means an application under Part XII of the former provisions which has not been determined by an arbitrator before the commencement day;</w:t>
      </w:r>
    </w:p>
    <w:p>
      <w:pPr>
        <w:pStyle w:val="yDefstart"/>
      </w:pPr>
      <w:r>
        <w:tab/>
      </w:r>
      <w:r>
        <w:rPr>
          <w:rStyle w:val="CharDefText"/>
        </w:rPr>
        <w:t>pending Part XIII matter</w:t>
      </w:r>
      <w:r>
        <w:t xml:space="preserve"> means — </w:t>
      </w:r>
    </w:p>
    <w:p>
      <w:pPr>
        <w:pStyle w:val="yDefpara"/>
      </w:pPr>
      <w:r>
        <w:tab/>
        <w:t>(a)</w:t>
      </w:r>
      <w:r>
        <w:tab/>
        <w:t>a reference of a question of law to the Commissioner under section 246 of the former provisions; or</w:t>
      </w:r>
    </w:p>
    <w:p>
      <w:pPr>
        <w:pStyle w:val="yDefpara"/>
      </w:pPr>
      <w:r>
        <w:tab/>
        <w:t>(b)</w:t>
      </w:r>
      <w:r>
        <w:tab/>
        <w:t>an appeal to the Commissioner under section 247 of the former provisions (including an application under that section for leave to appeal),</w:t>
      </w:r>
    </w:p>
    <w:p>
      <w:pPr>
        <w:pStyle w:val="yDefstart"/>
      </w:pPr>
      <w:r>
        <w:tab/>
        <w:t>which has not been determined by the Commissioner before the commencement day.</w:t>
      </w:r>
    </w:p>
    <w:p>
      <w:pPr>
        <w:pStyle w:val="yFootnotesection"/>
      </w:pPr>
      <w:r>
        <w:tab/>
        <w:t>[Clause 1 inserted: No. 31 of 2011 s. 74.]</w:t>
      </w:r>
    </w:p>
    <w:p>
      <w:pPr>
        <w:pStyle w:val="yHeading5"/>
      </w:pPr>
      <w:bookmarkStart w:id="1209" w:name="_Toc131514850"/>
      <w:r>
        <w:rPr>
          <w:rStyle w:val="CharSClsNo"/>
        </w:rPr>
        <w:t>2</w:t>
      </w:r>
      <w:r>
        <w:t>.</w:t>
      </w:r>
      <w:r>
        <w:tab/>
        <w:t>Pending arbitration proceedings</w:t>
      </w:r>
      <w:bookmarkEnd w:id="1209"/>
    </w:p>
    <w:p>
      <w:pPr>
        <w:pStyle w:val="ySubsection"/>
      </w:pPr>
      <w:r>
        <w:tab/>
        <w:t>(1)</w:t>
      </w:r>
      <w:r>
        <w:tab/>
        <w:t>Subject to subclause (2), a pending arbitration proceeding is to be dealt with and determined under Part XI Division 4 of the amended provisions.</w:t>
      </w:r>
    </w:p>
    <w:p>
      <w:pPr>
        <w:pStyle w:val="ySubsection"/>
      </w:pPr>
      <w:r>
        <w:tab/>
        <w:t>(2)</w:t>
      </w:r>
      <w:r>
        <w:tab/>
        <w:t>If the Registrar certifies in writing that a pending arbitration proceeding in relation to a dispute has not been the subject of conciliation under section 185 of the former provisions before the commencement day, the dispute is taken to be the subject of an application for conciliation under the amended provisions.</w:t>
      </w:r>
    </w:p>
    <w:p>
      <w:pPr>
        <w:pStyle w:val="ySubsection"/>
      </w:pPr>
      <w:r>
        <w:tab/>
        <w:t>(3)</w:t>
      </w:r>
      <w:r>
        <w:tab/>
        <w:t>The Director may give directions for the purpose of dealing with issues arising in relation to a pending arbitration proceeding to which subclause (2) applies.</w:t>
      </w:r>
    </w:p>
    <w:p>
      <w:pPr>
        <w:pStyle w:val="ySubsection"/>
      </w:pPr>
      <w:r>
        <w:tab/>
        <w:t>(4)</w:t>
      </w:r>
      <w:r>
        <w:tab/>
        <w:t>Directions given under subclause (3) may modify the amended provisions, or the conciliation rules or the regulations, to such extent as is necessary or expedient to enable the dispute to be resolved by conciliation under Part XI Division 3 of the amended provisions.</w:t>
      </w:r>
    </w:p>
    <w:p>
      <w:pPr>
        <w:pStyle w:val="yFootnotesection"/>
      </w:pPr>
      <w:r>
        <w:tab/>
        <w:t>[Clause 2 inserted: No. 31 of 2011 s. 74.]</w:t>
      </w:r>
    </w:p>
    <w:p>
      <w:pPr>
        <w:pStyle w:val="yHeading5"/>
      </w:pPr>
      <w:bookmarkStart w:id="1210" w:name="_Toc131514851"/>
      <w:r>
        <w:rPr>
          <w:rStyle w:val="CharSClsNo"/>
        </w:rPr>
        <w:lastRenderedPageBreak/>
        <w:t>3</w:t>
      </w:r>
      <w:r>
        <w:t>.</w:t>
      </w:r>
      <w:r>
        <w:tab/>
        <w:t>Pending Part XII applications</w:t>
      </w:r>
      <w:bookmarkEnd w:id="1210"/>
    </w:p>
    <w:p>
      <w:pPr>
        <w:pStyle w:val="ySubsection"/>
      </w:pPr>
      <w:r>
        <w:tab/>
        <w:t>(1)</w:t>
      </w:r>
      <w:r>
        <w:tab/>
        <w:t>A pending Part XII application is to continue to be dealt with and determined by an arbitrator as if the amending Act had not been enacted.</w:t>
      </w:r>
    </w:p>
    <w:p>
      <w:pPr>
        <w:pStyle w:val="ySubsection"/>
      </w:pPr>
      <w:r>
        <w:tab/>
        <w:t>(2)</w:t>
      </w:r>
      <w:r>
        <w:tab/>
        <w:t>Without limiting subclause (1), Part XII of the former provisions and the DRD Rules continue to have effect in relation to pending Part XII applications despite sections 12 and 77 of the amending Act.</w:t>
      </w:r>
    </w:p>
    <w:p>
      <w:pPr>
        <w:pStyle w:val="yFootnotesection"/>
      </w:pPr>
      <w:r>
        <w:tab/>
        <w:t>[Clause 3 inserted: No. 31 of 2011 s. 74.]</w:t>
      </w:r>
    </w:p>
    <w:p>
      <w:pPr>
        <w:pStyle w:val="yHeading5"/>
      </w:pPr>
      <w:bookmarkStart w:id="1211" w:name="_Toc131514852"/>
      <w:r>
        <w:rPr>
          <w:rStyle w:val="CharSClsNo"/>
        </w:rPr>
        <w:t>4</w:t>
      </w:r>
      <w:r>
        <w:t>.</w:t>
      </w:r>
      <w:r>
        <w:tab/>
        <w:t>DRD records</w:t>
      </w:r>
      <w:bookmarkEnd w:id="1211"/>
    </w:p>
    <w:p>
      <w:pPr>
        <w:pStyle w:val="ySubsection"/>
      </w:pPr>
      <w:r>
        <w:tab/>
        <w:t>(1)</w:t>
      </w:r>
      <w:r>
        <w:tab/>
        <w:t xml:space="preserve">In this clause — </w:t>
      </w:r>
    </w:p>
    <w:p>
      <w:pPr>
        <w:pStyle w:val="yDefstart"/>
      </w:pPr>
      <w:r>
        <w:tab/>
      </w:r>
      <w:r>
        <w:rPr>
          <w:rStyle w:val="CharDefText"/>
        </w:rPr>
        <w:t>DRD records</w:t>
      </w:r>
      <w:r>
        <w:t xml:space="preserve"> means records of the DRD relating to pending arbitration proceedings and pending Part XII applications.</w:t>
      </w:r>
    </w:p>
    <w:p>
      <w:pPr>
        <w:pStyle w:val="ySubsection"/>
      </w:pPr>
      <w:r>
        <w:tab/>
        <w:t>(2)</w:t>
      </w:r>
      <w:r>
        <w:tab/>
        <w:t>The Director and the Registrar may make such arrangements for the disposition of DRD records between the Conciliation Service and the Arbitration Service as are necessary to facilitate the operation of clauses 2 and 3.</w:t>
      </w:r>
    </w:p>
    <w:p>
      <w:pPr>
        <w:pStyle w:val="yFootnotesection"/>
      </w:pPr>
      <w:r>
        <w:tab/>
        <w:t>[Clause 4 inserted: No. 31 of 2011 s. 74.]</w:t>
      </w:r>
    </w:p>
    <w:p>
      <w:pPr>
        <w:pStyle w:val="yHeading5"/>
      </w:pPr>
      <w:bookmarkStart w:id="1212" w:name="_Toc131514853"/>
      <w:r>
        <w:rPr>
          <w:rStyle w:val="CharSClsNo"/>
        </w:rPr>
        <w:t>5</w:t>
      </w:r>
      <w:r>
        <w:t>.</w:t>
      </w:r>
      <w:r>
        <w:tab/>
        <w:t>Pending Part XIII matters</w:t>
      </w:r>
      <w:bookmarkEnd w:id="1212"/>
    </w:p>
    <w:p>
      <w:pPr>
        <w:pStyle w:val="ySubsection"/>
      </w:pPr>
      <w:r>
        <w:tab/>
        <w:t>(1)</w:t>
      </w:r>
      <w:r>
        <w:tab/>
        <w:t>A pending Part XIII matter is to continue to be dealt with and determined by the Commissioner as if the amending Act had not been enacted.</w:t>
      </w:r>
    </w:p>
    <w:p>
      <w:pPr>
        <w:pStyle w:val="ySubsection"/>
      </w:pPr>
      <w:r>
        <w:tab/>
        <w:t>(2)</w:t>
      </w:r>
      <w:r>
        <w:tab/>
        <w:t>Without limiting subclause (1), sections 245 to 253 of the former provisions and the DRD Rules continue to have effect in relation to pending Part XIII matters despite sections 13 to 18 and 77 of the amending Act.</w:t>
      </w:r>
    </w:p>
    <w:p>
      <w:pPr>
        <w:pStyle w:val="yFootnotesection"/>
      </w:pPr>
      <w:r>
        <w:tab/>
        <w:t>[Clause 5 inserted: No. 31 of 2011 s. 74.]</w:t>
      </w:r>
    </w:p>
    <w:p>
      <w:pPr>
        <w:pStyle w:val="yHeading5"/>
      </w:pPr>
      <w:bookmarkStart w:id="1213" w:name="_Toc131514854"/>
      <w:r>
        <w:rPr>
          <w:rStyle w:val="CharSClsNo"/>
        </w:rPr>
        <w:t>6</w:t>
      </w:r>
      <w:r>
        <w:t>.</w:t>
      </w:r>
      <w:r>
        <w:tab/>
        <w:t>Pending Court of Appeal matters</w:t>
      </w:r>
      <w:bookmarkEnd w:id="1213"/>
    </w:p>
    <w:p>
      <w:pPr>
        <w:pStyle w:val="ySubsection"/>
      </w:pPr>
      <w:r>
        <w:tab/>
        <w:t>(1)</w:t>
      </w:r>
      <w:r>
        <w:tab/>
        <w:t>A pending Court of Appeal matter is to continue to be dealt with and determined by the Court of Appeal as if the amending Act had not been enacted.</w:t>
      </w:r>
    </w:p>
    <w:p>
      <w:pPr>
        <w:pStyle w:val="ySubsection"/>
      </w:pPr>
      <w:r>
        <w:lastRenderedPageBreak/>
        <w:tab/>
        <w:t>(2)</w:t>
      </w:r>
      <w:r>
        <w:tab/>
        <w:t>Without limiting subclause (1), section 254(3) to (6) of the former provisions continue to have effect in relation to pending Court of Appeal matters despite section 19 of the amending Act.</w:t>
      </w:r>
    </w:p>
    <w:p>
      <w:pPr>
        <w:pStyle w:val="yFootnotesection"/>
      </w:pPr>
      <w:r>
        <w:tab/>
        <w:t>[Clause 6 inserted: No. 31 of 2011 s. 74.]</w:t>
      </w:r>
    </w:p>
    <w:p>
      <w:pPr>
        <w:pStyle w:val="yHeading5"/>
      </w:pPr>
      <w:bookmarkStart w:id="1214" w:name="_Toc131514855"/>
      <w:r>
        <w:rPr>
          <w:rStyle w:val="CharSClsNo"/>
        </w:rPr>
        <w:t>7</w:t>
      </w:r>
      <w:r>
        <w:t>.</w:t>
      </w:r>
      <w:r>
        <w:tab/>
        <w:t>Further Court of Appeal matters</w:t>
      </w:r>
      <w:bookmarkEnd w:id="1214"/>
    </w:p>
    <w:p>
      <w:pPr>
        <w:pStyle w:val="ySubsection"/>
      </w:pPr>
      <w:r>
        <w:tab/>
        <w:t>(1)</w:t>
      </w:r>
      <w:r>
        <w:tab/>
        <w:t xml:space="preserve">Despite section 19 of the amending Act, section 254 of the former provisions — </w:t>
      </w:r>
    </w:p>
    <w:p>
      <w:pPr>
        <w:pStyle w:val="yIndenta"/>
      </w:pPr>
      <w:r>
        <w:tab/>
        <w:t>(a)</w:t>
      </w:r>
      <w:r>
        <w:tab/>
        <w:t>continues to apply to a decision made by the Commissioner under Part XIII of the former provisions before the commencement day as if the amending Act had not been enacted; and</w:t>
      </w:r>
    </w:p>
    <w:p>
      <w:pPr>
        <w:pStyle w:val="yIndenta"/>
      </w:pPr>
      <w:r>
        <w:tab/>
        <w:t>(b)</w:t>
      </w:r>
      <w:r>
        <w:tab/>
        <w:t>applies to a decision made by the Commissioner after the commencement day in a pending Part XIII matter dealt with under clause 5.</w:t>
      </w:r>
    </w:p>
    <w:p>
      <w:pPr>
        <w:pStyle w:val="ySubsection"/>
      </w:pPr>
      <w:r>
        <w:tab/>
        <w:t>(2)</w:t>
      </w:r>
      <w:r>
        <w:tab/>
        <w:t xml:space="preserve">The following matters may be dealt with and determined by the Court of Appeal as if the amending Act had not been enacted — </w:t>
      </w:r>
    </w:p>
    <w:p>
      <w:pPr>
        <w:pStyle w:val="yIndenta"/>
      </w:pPr>
      <w:r>
        <w:tab/>
        <w:t>(a)</w:t>
      </w:r>
      <w:r>
        <w:tab/>
        <w:t xml:space="preserve">a case stated to the Court of Appeal under section 251 of the former provisions in relation to a question of law arising in a pending Part XIII matter that is being dealt with under clause 5; </w:t>
      </w:r>
    </w:p>
    <w:p>
      <w:pPr>
        <w:pStyle w:val="yIndenta"/>
      </w:pPr>
      <w:r>
        <w:tab/>
        <w:t>(b)</w:t>
      </w:r>
      <w:r>
        <w:tab/>
        <w:t>an appeal to the Court of Appeal under section 254 of the former provisions as continued or applied by subclause (1)(a) or (b).</w:t>
      </w:r>
    </w:p>
    <w:p>
      <w:pPr>
        <w:pStyle w:val="yFootnotesection"/>
      </w:pPr>
      <w:r>
        <w:tab/>
        <w:t>[Clause 7 inserted: No. 31 of 2011 s. 74.]</w:t>
      </w:r>
    </w:p>
    <w:p>
      <w:pPr>
        <w:pStyle w:val="yHeading5"/>
      </w:pPr>
      <w:bookmarkStart w:id="1215" w:name="_Toc131514856"/>
      <w:r>
        <w:rPr>
          <w:rStyle w:val="CharSClsNo"/>
        </w:rPr>
        <w:t>8</w:t>
      </w:r>
      <w:r>
        <w:t>.</w:t>
      </w:r>
      <w:r>
        <w:tab/>
        <w:t>Continuation of Commissioner’s appointment</w:t>
      </w:r>
      <w:bookmarkEnd w:id="1215"/>
    </w:p>
    <w:p>
      <w:pPr>
        <w:pStyle w:val="ySubsection"/>
      </w:pPr>
      <w:r>
        <w:tab/>
      </w:r>
      <w:r>
        <w:tab/>
        <w:t xml:space="preserve">Despite section 21 of the amending Act the appointment of the Commissioner and Part XVII Division 2 of the former provisions continue to have effect for the purposes of — </w:t>
      </w:r>
    </w:p>
    <w:p>
      <w:pPr>
        <w:pStyle w:val="yIndenta"/>
      </w:pPr>
      <w:r>
        <w:tab/>
        <w:t>(a)</w:t>
      </w:r>
      <w:r>
        <w:tab/>
        <w:t>clause 5(1); and</w:t>
      </w:r>
    </w:p>
    <w:p>
      <w:pPr>
        <w:pStyle w:val="yIndenta"/>
      </w:pPr>
      <w:r>
        <w:tab/>
        <w:t>(b)</w:t>
      </w:r>
      <w:r>
        <w:tab/>
        <w:t>the receipt and reconsideration of matters sent back under section 254(3)(c) of the former provisions in a pending Court of Appeal matter or a matter mentioned in clause 7(2)(b).</w:t>
      </w:r>
    </w:p>
    <w:p>
      <w:pPr>
        <w:pStyle w:val="yFootnotesection"/>
      </w:pPr>
      <w:r>
        <w:tab/>
        <w:t>[Clause 8 inserted: No. 31 of 2011 s. 74.]</w:t>
      </w:r>
    </w:p>
    <w:p>
      <w:pPr>
        <w:pStyle w:val="yHeading3"/>
        <w:rPr>
          <w:i/>
        </w:rPr>
      </w:pPr>
      <w:bookmarkStart w:id="1216" w:name="_Toc100238879"/>
      <w:bookmarkStart w:id="1217" w:name="_Toc100239493"/>
      <w:bookmarkStart w:id="1218" w:name="_Toc100562787"/>
      <w:bookmarkStart w:id="1219" w:name="_Toc107310423"/>
      <w:bookmarkStart w:id="1220" w:name="_Toc107480277"/>
      <w:bookmarkStart w:id="1221" w:name="_Toc131501643"/>
      <w:bookmarkStart w:id="1222" w:name="_Toc131502261"/>
      <w:bookmarkStart w:id="1223" w:name="_Toc131514857"/>
      <w:r>
        <w:rPr>
          <w:rStyle w:val="CharSDivNo"/>
        </w:rPr>
        <w:lastRenderedPageBreak/>
        <w:t>Division 2</w:t>
      </w:r>
      <w:r>
        <w:t> — </w:t>
      </w:r>
      <w:r>
        <w:rPr>
          <w:rStyle w:val="CharSDivText"/>
          <w:i/>
        </w:rPr>
        <w:t>Workers’ Compensation and Injury Management Amendment Act 2018</w:t>
      </w:r>
      <w:bookmarkEnd w:id="1216"/>
      <w:bookmarkEnd w:id="1217"/>
      <w:bookmarkEnd w:id="1218"/>
      <w:bookmarkEnd w:id="1219"/>
      <w:bookmarkEnd w:id="1220"/>
      <w:bookmarkEnd w:id="1221"/>
      <w:bookmarkEnd w:id="1222"/>
      <w:bookmarkEnd w:id="1223"/>
    </w:p>
    <w:p>
      <w:pPr>
        <w:pStyle w:val="yFootnoteheading"/>
        <w:spacing w:before="40"/>
        <w:rPr>
          <w:snapToGrid w:val="0"/>
        </w:rPr>
      </w:pPr>
      <w:r>
        <w:tab/>
        <w:t>[Heading inserted: No. 8 of 2018 s. 14.]</w:t>
      </w:r>
    </w:p>
    <w:p>
      <w:pPr>
        <w:pStyle w:val="yHeading5"/>
      </w:pPr>
      <w:bookmarkStart w:id="1224" w:name="_Toc131514858"/>
      <w:r>
        <w:rPr>
          <w:rStyle w:val="CharSClsNo"/>
        </w:rPr>
        <w:t>9</w:t>
      </w:r>
      <w:r>
        <w:t>.</w:t>
      </w:r>
      <w:r>
        <w:tab/>
        <w:t>Terms used</w:t>
      </w:r>
      <w:bookmarkEnd w:id="1224"/>
    </w:p>
    <w:p>
      <w:pPr>
        <w:pStyle w:val="ySubsection"/>
      </w:pPr>
      <w:r>
        <w:tab/>
      </w:r>
      <w:r>
        <w:tab/>
        <w:t xml:space="preserve">In this Division — </w:t>
      </w:r>
    </w:p>
    <w:p>
      <w:pPr>
        <w:pStyle w:val="yDefstart"/>
      </w:pPr>
      <w:r>
        <w:tab/>
      </w:r>
      <w:r>
        <w:rPr>
          <w:rStyle w:val="CharDefText"/>
        </w:rPr>
        <w:t>commencement day</w:t>
      </w:r>
      <w:r>
        <w:t xml:space="preserve"> means the day of the coming into operation of the </w:t>
      </w:r>
      <w:r>
        <w:rPr>
          <w:i/>
        </w:rPr>
        <w:t>Workers’ Compensation and Injury Management Amendment Act 2018</w:t>
      </w:r>
      <w:r>
        <w:t xml:space="preserve"> section 6;</w:t>
      </w:r>
    </w:p>
    <w:p>
      <w:pPr>
        <w:pStyle w:val="yDefstart"/>
      </w:pPr>
      <w:r>
        <w:tab/>
      </w:r>
      <w:r>
        <w:rPr>
          <w:rStyle w:val="CharDefText"/>
        </w:rPr>
        <w:t>former provisions</w:t>
      </w:r>
      <w:r>
        <w:t xml:space="preserve"> means the following as in force before the commencement day — </w:t>
      </w:r>
    </w:p>
    <w:p>
      <w:pPr>
        <w:pStyle w:val="Defpara"/>
      </w:pPr>
      <w:r>
        <w:rPr>
          <w:sz w:val="22"/>
        </w:rPr>
        <w:tab/>
        <w:t>(a)</w:t>
      </w:r>
      <w:r>
        <w:rPr>
          <w:sz w:val="22"/>
        </w:rPr>
        <w:tab/>
        <w:t xml:space="preserve">the definitions in section 5(1) of </w:t>
      </w:r>
      <w:r>
        <w:rPr>
          <w:b/>
          <w:i/>
          <w:sz w:val="22"/>
        </w:rPr>
        <w:t>child’s allowance</w:t>
      </w:r>
      <w:r>
        <w:rPr>
          <w:sz w:val="22"/>
        </w:rPr>
        <w:t xml:space="preserve">, </w:t>
      </w:r>
      <w:r>
        <w:rPr>
          <w:b/>
          <w:i/>
          <w:sz w:val="22"/>
        </w:rPr>
        <w:t>de facto partner</w:t>
      </w:r>
      <w:r>
        <w:rPr>
          <w:sz w:val="22"/>
        </w:rPr>
        <w:t xml:space="preserve">, </w:t>
      </w:r>
      <w:r>
        <w:rPr>
          <w:b/>
          <w:i/>
          <w:sz w:val="22"/>
        </w:rPr>
        <w:t>dependants</w:t>
      </w:r>
      <w:r>
        <w:rPr>
          <w:sz w:val="22"/>
        </w:rPr>
        <w:t xml:space="preserve">, </w:t>
      </w:r>
      <w:r>
        <w:rPr>
          <w:b/>
          <w:i/>
          <w:sz w:val="22"/>
        </w:rPr>
        <w:t>member of a family</w:t>
      </w:r>
      <w:r>
        <w:rPr>
          <w:sz w:val="22"/>
        </w:rPr>
        <w:t xml:space="preserve">, </w:t>
      </w:r>
      <w:r>
        <w:rPr>
          <w:b/>
          <w:i/>
          <w:sz w:val="22"/>
        </w:rPr>
        <w:t>notional residual entitlement</w:t>
      </w:r>
      <w:r>
        <w:rPr>
          <w:sz w:val="22"/>
        </w:rPr>
        <w:t xml:space="preserve">, </w:t>
      </w:r>
      <w:r>
        <w:rPr>
          <w:b/>
          <w:i/>
          <w:sz w:val="22"/>
        </w:rPr>
        <w:t>NRE amount</w:t>
      </w:r>
      <w:r>
        <w:rPr>
          <w:sz w:val="22"/>
        </w:rPr>
        <w:t xml:space="preserve"> and </w:t>
      </w:r>
      <w:r>
        <w:rPr>
          <w:b/>
          <w:i/>
          <w:sz w:val="22"/>
        </w:rPr>
        <w:t>spouse</w:t>
      </w:r>
      <w:r>
        <w:rPr>
          <w:sz w:val="22"/>
        </w:rPr>
        <w:t>;</w:t>
      </w:r>
    </w:p>
    <w:p>
      <w:pPr>
        <w:pStyle w:val="Defpara"/>
      </w:pPr>
      <w:r>
        <w:rPr>
          <w:sz w:val="22"/>
        </w:rPr>
        <w:tab/>
        <w:t>(b)</w:t>
      </w:r>
      <w:r>
        <w:rPr>
          <w:sz w:val="22"/>
        </w:rPr>
        <w:tab/>
        <w:t>sections 18 and 218;</w:t>
      </w:r>
    </w:p>
    <w:p>
      <w:pPr>
        <w:pStyle w:val="Defpara"/>
      </w:pPr>
      <w:r>
        <w:rPr>
          <w:sz w:val="22"/>
        </w:rPr>
        <w:tab/>
        <w:t>(c)</w:t>
      </w:r>
      <w:r>
        <w:rPr>
          <w:sz w:val="22"/>
        </w:rPr>
        <w:tab/>
        <w:t>Schedule 1 heading and clauses 1 to 5 and 17(2);</w:t>
      </w:r>
    </w:p>
    <w:p>
      <w:pPr>
        <w:pStyle w:val="Defpara"/>
        <w:rPr>
          <w:sz w:val="22"/>
        </w:rPr>
      </w:pPr>
      <w:r>
        <w:rPr>
          <w:sz w:val="22"/>
        </w:rPr>
        <w:tab/>
        <w:t>(d)</w:t>
      </w:r>
      <w:r>
        <w:rPr>
          <w:sz w:val="22"/>
        </w:rPr>
        <w:tab/>
        <w:t>Schedule 5 clauses 6(c) and 7(c).</w:t>
      </w:r>
    </w:p>
    <w:p>
      <w:pPr>
        <w:pStyle w:val="yFootnotesection"/>
      </w:pPr>
      <w:r>
        <w:tab/>
        <w:t>[Clause 9 inserted: No. 8 of 2018 s. 14.]</w:t>
      </w:r>
    </w:p>
    <w:p>
      <w:pPr>
        <w:pStyle w:val="yHeading5"/>
      </w:pPr>
      <w:bookmarkStart w:id="1225" w:name="_Toc131514859"/>
      <w:r>
        <w:rPr>
          <w:rStyle w:val="CharSClsNo"/>
        </w:rPr>
        <w:t>10</w:t>
      </w:r>
      <w:r>
        <w:t>.</w:t>
      </w:r>
      <w:r>
        <w:tab/>
        <w:t>Former provisions apply to deaths before commencement day</w:t>
      </w:r>
      <w:bookmarkEnd w:id="1225"/>
    </w:p>
    <w:p>
      <w:pPr>
        <w:pStyle w:val="ySubsection"/>
      </w:pPr>
      <w:r>
        <w:tab/>
        <w:t>(1)</w:t>
      </w:r>
      <w:r>
        <w:tab/>
        <w:t>Except as provided in subclause (2), if an injury of a worker occurred and the worker died before the commencement day, the former provisions apply in relation to the injury and death as if they were still in force.</w:t>
      </w:r>
    </w:p>
    <w:p>
      <w:pPr>
        <w:pStyle w:val="ySubsection"/>
      </w:pPr>
      <w:r>
        <w:tab/>
        <w:t>(2)</w:t>
      </w:r>
      <w:r>
        <w:tab/>
        <w:t>On and from the commencement day the child’s allowance that a person is entitled to receive under the former provisions as applied by subclause (1) is the child’s allowance as defined in Schedule 1A clause 5.</w:t>
      </w:r>
    </w:p>
    <w:p>
      <w:pPr>
        <w:pStyle w:val="PermNoteHeading"/>
      </w:pPr>
      <w:r>
        <w:tab/>
        <w:t>Note for this clause:</w:t>
      </w:r>
    </w:p>
    <w:p>
      <w:pPr>
        <w:pStyle w:val="PermNoteText"/>
      </w:pPr>
      <w:r>
        <w:tab/>
      </w:r>
      <w:r>
        <w:tab/>
        <w:t xml:space="preserve">The former provisions are set out in Reprint 11 of the </w:t>
      </w:r>
      <w:r>
        <w:rPr>
          <w:i/>
        </w:rPr>
        <w:t>Workers’ Compensation and Injury Management Act 1981</w:t>
      </w:r>
      <w:r>
        <w:t xml:space="preserve"> as at 13 February 2015.</w:t>
      </w:r>
    </w:p>
    <w:p>
      <w:pPr>
        <w:pStyle w:val="yFootnotesection"/>
      </w:pPr>
      <w:r>
        <w:tab/>
        <w:t>[Clause 10 inserted: No. 8 of 2018 s. 14.]</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headerReference w:type="first" r:id="rId34"/>
          <w:type w:val="continuous"/>
          <w:pgSz w:w="11907" w:h="16840" w:code="9"/>
          <w:pgMar w:top="2376" w:right="2404" w:bottom="3544" w:left="2404" w:header="709" w:footer="3379" w:gutter="0"/>
          <w:cols w:space="720"/>
          <w:noEndnote/>
          <w:docGrid w:linePitch="326"/>
        </w:sectPr>
      </w:pPr>
    </w:p>
    <w:p>
      <w:pPr>
        <w:pStyle w:val="nHeading2"/>
      </w:pPr>
      <w:bookmarkStart w:id="1226" w:name="_Toc100238882"/>
      <w:bookmarkStart w:id="1227" w:name="_Toc100239496"/>
      <w:bookmarkStart w:id="1228" w:name="_Toc100562790"/>
      <w:bookmarkStart w:id="1229" w:name="_Toc107310426"/>
      <w:bookmarkStart w:id="1230" w:name="_Toc107480280"/>
      <w:bookmarkStart w:id="1231" w:name="_Toc131501646"/>
      <w:bookmarkStart w:id="1232" w:name="_Toc131502264"/>
      <w:bookmarkStart w:id="1233" w:name="_Toc131514860"/>
      <w:r>
        <w:lastRenderedPageBreak/>
        <w:t>Notes</w:t>
      </w:r>
      <w:bookmarkEnd w:id="1226"/>
      <w:bookmarkEnd w:id="1227"/>
      <w:bookmarkEnd w:id="1228"/>
      <w:bookmarkEnd w:id="1229"/>
      <w:bookmarkEnd w:id="1230"/>
      <w:bookmarkEnd w:id="1231"/>
      <w:bookmarkEnd w:id="1232"/>
      <w:bookmarkEnd w:id="1233"/>
    </w:p>
    <w:p>
      <w:pPr>
        <w:pStyle w:val="nStatement"/>
      </w:pPr>
      <w:r>
        <w:t xml:space="preserve">This is a compilation of the </w:t>
      </w:r>
      <w:r>
        <w:rPr>
          <w:i/>
          <w:noProof/>
        </w:rPr>
        <w:t>Workers’ Compensation and Injury Management Act 1981</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234" w:name="_Toc131514861"/>
      <w:r>
        <w:t>Compilation table</w:t>
      </w:r>
      <w:bookmarkEnd w:id="1234"/>
    </w:p>
    <w:tbl>
      <w:tblPr>
        <w:tblW w:w="7116" w:type="dxa"/>
        <w:tblInd w:w="28" w:type="dxa"/>
        <w:tblLayout w:type="fixed"/>
        <w:tblCellMar>
          <w:left w:w="56" w:type="dxa"/>
          <w:right w:w="56" w:type="dxa"/>
        </w:tblCellMar>
        <w:tblLook w:val="0000" w:firstRow="0" w:lastRow="0" w:firstColumn="0" w:lastColumn="0" w:noHBand="0" w:noVBand="0"/>
      </w:tblPr>
      <w:tblGrid>
        <w:gridCol w:w="28"/>
        <w:gridCol w:w="2240"/>
        <w:gridCol w:w="26"/>
        <w:gridCol w:w="1108"/>
        <w:gridCol w:w="26"/>
        <w:gridCol w:w="1110"/>
        <w:gridCol w:w="24"/>
        <w:gridCol w:w="2527"/>
        <w:gridCol w:w="27"/>
      </w:tblGrid>
      <w:tr>
        <w:trPr>
          <w:gridBefore w:val="1"/>
          <w:wBefore w:w="28" w:type="dxa"/>
          <w:cantSplit/>
          <w:tblHeader/>
        </w:trPr>
        <w:tc>
          <w:tcPr>
            <w:tcW w:w="2266"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4"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cantSplit/>
        </w:trPr>
        <w:tc>
          <w:tcPr>
            <w:tcW w:w="2266" w:type="dxa"/>
            <w:gridSpan w:val="2"/>
            <w:tcBorders>
              <w:top w:val="single" w:sz="8" w:space="0" w:color="auto"/>
            </w:tcBorders>
          </w:tcPr>
          <w:p>
            <w:pPr>
              <w:pStyle w:val="nTable"/>
              <w:spacing w:after="40"/>
            </w:pPr>
            <w:r>
              <w:rPr>
                <w:i/>
              </w:rPr>
              <w:t>Workers’ Compensation and Assistance Act 1981</w:t>
            </w:r>
            <w:r>
              <w:rPr>
                <w:vertAlign w:val="superscript"/>
              </w:rPr>
              <w:t> 9</w:t>
            </w:r>
          </w:p>
        </w:tc>
        <w:tc>
          <w:tcPr>
            <w:tcW w:w="1134" w:type="dxa"/>
            <w:gridSpan w:val="2"/>
            <w:tcBorders>
              <w:top w:val="single" w:sz="8" w:space="0" w:color="auto"/>
            </w:tcBorders>
          </w:tcPr>
          <w:p>
            <w:pPr>
              <w:pStyle w:val="nTable"/>
              <w:spacing w:after="40"/>
            </w:pPr>
            <w:r>
              <w:t>86 of 1981</w:t>
            </w:r>
          </w:p>
        </w:tc>
        <w:tc>
          <w:tcPr>
            <w:tcW w:w="1134" w:type="dxa"/>
            <w:gridSpan w:val="2"/>
            <w:tcBorders>
              <w:top w:val="single" w:sz="8" w:space="0" w:color="auto"/>
            </w:tcBorders>
          </w:tcPr>
          <w:p>
            <w:pPr>
              <w:pStyle w:val="nTable"/>
              <w:spacing w:after="40"/>
            </w:pPr>
            <w:r>
              <w:t>23 Nov 1981</w:t>
            </w:r>
          </w:p>
        </w:tc>
        <w:tc>
          <w:tcPr>
            <w:tcW w:w="2554" w:type="dxa"/>
            <w:gridSpan w:val="2"/>
            <w:tcBorders>
              <w:top w:val="single" w:sz="8" w:space="0" w:color="auto"/>
            </w:tcBorders>
          </w:tcPr>
          <w:p>
            <w:pPr>
              <w:pStyle w:val="nTable"/>
              <w:spacing w:after="40"/>
            </w:pPr>
            <w:r>
              <w:t xml:space="preserve">3 May 1982 (see s. 2 and </w:t>
            </w:r>
            <w:r>
              <w:rPr>
                <w:i/>
              </w:rPr>
              <w:t>Gazette</w:t>
            </w:r>
            <w:r>
              <w:t xml:space="preserve"> 8 Apr 1982 p. 1205)</w:t>
            </w:r>
          </w:p>
        </w:tc>
      </w:tr>
      <w:tr>
        <w:trPr>
          <w:gridBefore w:val="1"/>
          <w:wBefore w:w="28" w:type="dxa"/>
          <w:cantSplit/>
        </w:trPr>
        <w:tc>
          <w:tcPr>
            <w:tcW w:w="2266" w:type="dxa"/>
            <w:gridSpan w:val="2"/>
          </w:tcPr>
          <w:p>
            <w:pPr>
              <w:pStyle w:val="nTable"/>
              <w:spacing w:after="40"/>
            </w:pPr>
            <w:r>
              <w:rPr>
                <w:i/>
              </w:rPr>
              <w:t>Workers’ Compensation and Assistance Amendment Act 1983</w:t>
            </w:r>
          </w:p>
        </w:tc>
        <w:tc>
          <w:tcPr>
            <w:tcW w:w="1134" w:type="dxa"/>
            <w:gridSpan w:val="2"/>
          </w:tcPr>
          <w:p>
            <w:pPr>
              <w:pStyle w:val="nTable"/>
              <w:spacing w:after="40"/>
            </w:pPr>
            <w:r>
              <w:t>16 of 1983</w:t>
            </w:r>
          </w:p>
        </w:tc>
        <w:tc>
          <w:tcPr>
            <w:tcW w:w="1134" w:type="dxa"/>
            <w:gridSpan w:val="2"/>
          </w:tcPr>
          <w:p>
            <w:pPr>
              <w:pStyle w:val="nTable"/>
              <w:spacing w:after="40"/>
            </w:pPr>
            <w:r>
              <w:t>7 Nov 1983</w:t>
            </w:r>
          </w:p>
        </w:tc>
        <w:tc>
          <w:tcPr>
            <w:tcW w:w="2554" w:type="dxa"/>
            <w:gridSpan w:val="2"/>
          </w:tcPr>
          <w:p>
            <w:pPr>
              <w:pStyle w:val="nTable"/>
              <w:spacing w:after="40"/>
            </w:pPr>
            <w:r>
              <w:t>7 Nov 1983</w:t>
            </w:r>
          </w:p>
        </w:tc>
      </w:tr>
      <w:tr>
        <w:trPr>
          <w:gridBefore w:val="1"/>
          <w:wBefore w:w="28" w:type="dxa"/>
          <w:cantSplit/>
        </w:trPr>
        <w:tc>
          <w:tcPr>
            <w:tcW w:w="2266" w:type="dxa"/>
            <w:gridSpan w:val="2"/>
          </w:tcPr>
          <w:p>
            <w:pPr>
              <w:pStyle w:val="nTable"/>
              <w:spacing w:after="40"/>
            </w:pPr>
            <w:r>
              <w:rPr>
                <w:i/>
              </w:rPr>
              <w:t>Workers’ Compensation and Assistance Amendment Act (No. 2) 1983</w:t>
            </w:r>
          </w:p>
        </w:tc>
        <w:tc>
          <w:tcPr>
            <w:tcW w:w="1134" w:type="dxa"/>
            <w:gridSpan w:val="2"/>
          </w:tcPr>
          <w:p>
            <w:pPr>
              <w:pStyle w:val="nTable"/>
              <w:spacing w:after="40"/>
            </w:pPr>
            <w:r>
              <w:t>79 of 1983</w:t>
            </w:r>
          </w:p>
        </w:tc>
        <w:tc>
          <w:tcPr>
            <w:tcW w:w="1134" w:type="dxa"/>
            <w:gridSpan w:val="2"/>
          </w:tcPr>
          <w:p>
            <w:pPr>
              <w:pStyle w:val="nTable"/>
              <w:spacing w:after="40"/>
            </w:pPr>
            <w:r>
              <w:t>22 Dec 1983</w:t>
            </w:r>
          </w:p>
        </w:tc>
        <w:tc>
          <w:tcPr>
            <w:tcW w:w="2554" w:type="dxa"/>
            <w:gridSpan w:val="2"/>
          </w:tcPr>
          <w:p>
            <w:pPr>
              <w:pStyle w:val="nTable"/>
              <w:spacing w:after="40"/>
            </w:pPr>
            <w:r>
              <w:t>22 Dec 1983</w:t>
            </w:r>
          </w:p>
        </w:tc>
      </w:tr>
      <w:tr>
        <w:trPr>
          <w:gridBefore w:val="1"/>
          <w:wBefore w:w="28" w:type="dxa"/>
          <w:cantSplit/>
        </w:trPr>
        <w:tc>
          <w:tcPr>
            <w:tcW w:w="2266" w:type="dxa"/>
            <w:gridSpan w:val="2"/>
          </w:tcPr>
          <w:p>
            <w:pPr>
              <w:pStyle w:val="nTable"/>
              <w:spacing w:after="40"/>
            </w:pPr>
            <w:r>
              <w:rPr>
                <w:i/>
              </w:rPr>
              <w:t>Health Legislation Amendment Act 1984</w:t>
            </w:r>
            <w:r>
              <w:t xml:space="preserve"> Pt. XXIV</w:t>
            </w:r>
          </w:p>
        </w:tc>
        <w:tc>
          <w:tcPr>
            <w:tcW w:w="1134" w:type="dxa"/>
            <w:gridSpan w:val="2"/>
          </w:tcPr>
          <w:p>
            <w:pPr>
              <w:pStyle w:val="nTable"/>
              <w:spacing w:after="40"/>
            </w:pPr>
            <w:r>
              <w:t>28 of 1984</w:t>
            </w:r>
          </w:p>
        </w:tc>
        <w:tc>
          <w:tcPr>
            <w:tcW w:w="1134" w:type="dxa"/>
            <w:gridSpan w:val="2"/>
          </w:tcPr>
          <w:p>
            <w:pPr>
              <w:pStyle w:val="nTable"/>
              <w:spacing w:after="40"/>
            </w:pPr>
            <w:r>
              <w:t xml:space="preserve">31 May 1984 </w:t>
            </w:r>
          </w:p>
        </w:tc>
        <w:tc>
          <w:tcPr>
            <w:tcW w:w="2554" w:type="dxa"/>
            <w:gridSpan w:val="2"/>
          </w:tcPr>
          <w:p>
            <w:pPr>
              <w:pStyle w:val="nTable"/>
              <w:spacing w:after="40"/>
            </w:pPr>
            <w:r>
              <w:t xml:space="preserve">1 Jul 1984 (see s. 2 and </w:t>
            </w:r>
            <w:r>
              <w:rPr>
                <w:i/>
              </w:rPr>
              <w:t>Gazette</w:t>
            </w:r>
            <w:r>
              <w:t xml:space="preserve"> 15 Jun 1984 p. 1629)</w:t>
            </w:r>
          </w:p>
        </w:tc>
      </w:tr>
      <w:tr>
        <w:trPr>
          <w:gridBefore w:val="1"/>
          <w:wBefore w:w="28" w:type="dxa"/>
          <w:cantSplit/>
        </w:trPr>
        <w:tc>
          <w:tcPr>
            <w:tcW w:w="2266" w:type="dxa"/>
            <w:gridSpan w:val="2"/>
          </w:tcPr>
          <w:p>
            <w:pPr>
              <w:pStyle w:val="nTable"/>
              <w:spacing w:after="40"/>
            </w:pPr>
            <w:r>
              <w:rPr>
                <w:i/>
              </w:rPr>
              <w:t>Workers’ Compensation and Assistance Amendment Act 1984</w:t>
            </w:r>
            <w:r>
              <w:rPr>
                <w:vertAlign w:val="superscript"/>
              </w:rPr>
              <w:t> 10</w:t>
            </w:r>
          </w:p>
        </w:tc>
        <w:tc>
          <w:tcPr>
            <w:tcW w:w="1134" w:type="dxa"/>
            <w:gridSpan w:val="2"/>
          </w:tcPr>
          <w:p>
            <w:pPr>
              <w:pStyle w:val="nTable"/>
              <w:spacing w:after="40"/>
            </w:pPr>
            <w:r>
              <w:t>104 of 1984</w:t>
            </w:r>
          </w:p>
        </w:tc>
        <w:tc>
          <w:tcPr>
            <w:tcW w:w="1134" w:type="dxa"/>
            <w:gridSpan w:val="2"/>
          </w:tcPr>
          <w:p>
            <w:pPr>
              <w:pStyle w:val="nTable"/>
              <w:spacing w:after="40"/>
            </w:pPr>
            <w:r>
              <w:t>19 Dec 1984</w:t>
            </w:r>
          </w:p>
        </w:tc>
        <w:tc>
          <w:tcPr>
            <w:tcW w:w="2554" w:type="dxa"/>
            <w:gridSpan w:val="2"/>
          </w:tcPr>
          <w:p>
            <w:pPr>
              <w:pStyle w:val="nTable"/>
              <w:spacing w:after="40"/>
            </w:pPr>
            <w:r>
              <w:t>19 Dec 1984 (see s. 2)</w:t>
            </w:r>
          </w:p>
        </w:tc>
      </w:tr>
      <w:tr>
        <w:trPr>
          <w:gridBefore w:val="1"/>
          <w:wBefore w:w="28" w:type="dxa"/>
          <w:cantSplit/>
        </w:trPr>
        <w:tc>
          <w:tcPr>
            <w:tcW w:w="2266" w:type="dxa"/>
            <w:gridSpan w:val="2"/>
          </w:tcPr>
          <w:p>
            <w:pPr>
              <w:pStyle w:val="nTable"/>
              <w:rPr>
                <w:i/>
              </w:rPr>
            </w:pPr>
            <w:r>
              <w:rPr>
                <w:i/>
              </w:rPr>
              <w:t>Workers’ Compensation and Assistance Amendment Act 1985</w:t>
            </w:r>
            <w:r>
              <w:rPr>
                <w:vertAlign w:val="superscript"/>
              </w:rPr>
              <w:t> 11</w:t>
            </w:r>
            <w:r>
              <w:rPr>
                <w:vertAlign w:val="superscript"/>
              </w:rPr>
              <w:noBreakHyphen/>
              <w:t>14</w:t>
            </w:r>
          </w:p>
        </w:tc>
        <w:tc>
          <w:tcPr>
            <w:tcW w:w="1134" w:type="dxa"/>
            <w:gridSpan w:val="2"/>
          </w:tcPr>
          <w:p>
            <w:pPr>
              <w:pStyle w:val="nTable"/>
            </w:pPr>
            <w:r>
              <w:t>44 of 1985</w:t>
            </w:r>
          </w:p>
        </w:tc>
        <w:tc>
          <w:tcPr>
            <w:tcW w:w="1134" w:type="dxa"/>
            <w:gridSpan w:val="2"/>
          </w:tcPr>
          <w:p>
            <w:pPr>
              <w:pStyle w:val="nTable"/>
            </w:pPr>
            <w:r>
              <w:t>20 May 1985</w:t>
            </w:r>
          </w:p>
        </w:tc>
        <w:tc>
          <w:tcPr>
            <w:tcW w:w="2554" w:type="dxa"/>
            <w:gridSpan w:val="2"/>
          </w:tcPr>
          <w:p>
            <w:pPr>
              <w:pStyle w:val="nTable"/>
            </w:pPr>
            <w:r>
              <w:t>s. 1 and 2: 20 May 1985;</w:t>
            </w:r>
            <w:r>
              <w:br/>
              <w:t xml:space="preserve">s. 3(1) and (2) and 26: </w:t>
            </w:r>
            <w:r>
              <w:br/>
              <w:t xml:space="preserve">20 May 1985 (see s. 2(1)); </w:t>
            </w:r>
            <w:r>
              <w:br/>
              <w:t>s. 3(3), 4</w:t>
            </w:r>
            <w:r>
              <w:noBreakHyphen/>
              <w:t>9, 13</w:t>
            </w:r>
            <w:r>
              <w:noBreakHyphen/>
              <w:t>18, 21, 22, 24, 27</w:t>
            </w:r>
            <w:r>
              <w:noBreakHyphen/>
              <w:t>37, 39</w:t>
            </w:r>
            <w:r>
              <w:noBreakHyphen/>
              <w:t xml:space="preserve">43: 28 Jun 1985 (see s. 2(2) and </w:t>
            </w:r>
            <w:r>
              <w:rPr>
                <w:i/>
              </w:rPr>
              <w:t>Gazette</w:t>
            </w:r>
            <w:r>
              <w:t xml:space="preserve"> 14 Jun 1985 p. 2134); </w:t>
            </w:r>
            <w:r>
              <w:br/>
              <w:t xml:space="preserve">s. 25: 1 Jul 1985 (see s. 2(3)); s. 20: 25 Oct 1985 (see s. 2(2) and </w:t>
            </w:r>
            <w:r>
              <w:rPr>
                <w:i/>
              </w:rPr>
              <w:t>Gazette</w:t>
            </w:r>
            <w:r>
              <w:t xml:space="preserve"> 25 Oct 1985 p. 4100);</w:t>
            </w:r>
            <w:r>
              <w:br/>
              <w:t xml:space="preserve">s. 23: 7 Feb 1986 (see s. 2(2) and </w:t>
            </w:r>
            <w:r>
              <w:rPr>
                <w:i/>
              </w:rPr>
              <w:t>Gazette</w:t>
            </w:r>
            <w:r>
              <w:t xml:space="preserve"> 7 Feb 1986 p. 425);</w:t>
            </w:r>
          </w:p>
        </w:tc>
      </w:tr>
      <w:tr>
        <w:trPr>
          <w:gridBefore w:val="1"/>
          <w:wBefore w:w="28" w:type="dxa"/>
          <w:cantSplit/>
        </w:trPr>
        <w:tc>
          <w:tcPr>
            <w:tcW w:w="2266" w:type="dxa"/>
            <w:gridSpan w:val="2"/>
          </w:tcPr>
          <w:p>
            <w:pPr>
              <w:pStyle w:val="nTable"/>
              <w:spacing w:after="40"/>
              <w:rPr>
                <w:vertAlign w:val="superscript"/>
              </w:rPr>
            </w:pPr>
          </w:p>
        </w:tc>
        <w:tc>
          <w:tcPr>
            <w:tcW w:w="1134" w:type="dxa"/>
            <w:gridSpan w:val="2"/>
          </w:tcPr>
          <w:p>
            <w:pPr>
              <w:pStyle w:val="nTable"/>
              <w:keepNext/>
              <w:keepLines/>
              <w:spacing w:after="40"/>
            </w:pPr>
          </w:p>
        </w:tc>
        <w:tc>
          <w:tcPr>
            <w:tcW w:w="1134" w:type="dxa"/>
            <w:gridSpan w:val="2"/>
          </w:tcPr>
          <w:p>
            <w:pPr>
              <w:pStyle w:val="nTable"/>
              <w:keepNext/>
              <w:keepLines/>
              <w:spacing w:after="40"/>
            </w:pPr>
          </w:p>
        </w:tc>
        <w:tc>
          <w:tcPr>
            <w:tcW w:w="2554" w:type="dxa"/>
            <w:gridSpan w:val="2"/>
          </w:tcPr>
          <w:p>
            <w:pPr>
              <w:pStyle w:val="nTable"/>
              <w:spacing w:after="40"/>
            </w:pPr>
            <w:r>
              <w:t xml:space="preserve">s. 38: 25 Jul 1986 (see s. 2(2) and </w:t>
            </w:r>
            <w:r>
              <w:rPr>
                <w:i/>
              </w:rPr>
              <w:t>Gazette</w:t>
            </w:r>
            <w:r>
              <w:t xml:space="preserve"> 25 Jul 1986 p. 2453)</w:t>
            </w:r>
          </w:p>
        </w:tc>
      </w:tr>
      <w:tr>
        <w:trPr>
          <w:gridBefore w:val="1"/>
          <w:wBefore w:w="28" w:type="dxa"/>
          <w:cantSplit/>
        </w:trPr>
        <w:tc>
          <w:tcPr>
            <w:tcW w:w="2266" w:type="dxa"/>
            <w:gridSpan w:val="2"/>
          </w:tcPr>
          <w:p>
            <w:pPr>
              <w:pStyle w:val="nTable"/>
              <w:spacing w:after="40"/>
            </w:pPr>
            <w:r>
              <w:rPr>
                <w:i/>
              </w:rPr>
              <w:lastRenderedPageBreak/>
              <w:t>Acts Amendment (Financial Administration and Audit) Act 1985</w:t>
            </w:r>
            <w:r>
              <w:t xml:space="preserve"> 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4" w:type="dxa"/>
            <w:gridSpan w:val="2"/>
          </w:tcPr>
          <w:p>
            <w:pPr>
              <w:pStyle w:val="nTable"/>
              <w:spacing w:after="40"/>
            </w:pPr>
            <w:r>
              <w:t xml:space="preserve">1 Jul 1986 (see s. 2 and </w:t>
            </w:r>
            <w:r>
              <w:rPr>
                <w:i/>
              </w:rPr>
              <w:t>Gazette</w:t>
            </w:r>
            <w:r>
              <w:t xml:space="preserve"> 30 Jun 1986 p. 2255)</w:t>
            </w:r>
          </w:p>
        </w:tc>
      </w:tr>
      <w:tr>
        <w:trPr>
          <w:gridBefore w:val="1"/>
          <w:wBefore w:w="28" w:type="dxa"/>
          <w:cantSplit/>
        </w:trPr>
        <w:tc>
          <w:tcPr>
            <w:tcW w:w="2266" w:type="dxa"/>
            <w:gridSpan w:val="2"/>
          </w:tcPr>
          <w:p>
            <w:pPr>
              <w:pStyle w:val="nTable"/>
              <w:spacing w:after="40"/>
              <w:rPr>
                <w:vertAlign w:val="superscript"/>
              </w:rPr>
            </w:pPr>
            <w:r>
              <w:rPr>
                <w:i/>
              </w:rPr>
              <w:t>Workers’ Compensation and Assistance Amendment Act 1986</w:t>
            </w:r>
            <w:r>
              <w:t> </w:t>
            </w:r>
            <w:r>
              <w:rPr>
                <w:vertAlign w:val="superscript"/>
              </w:rPr>
              <w:t>15</w:t>
            </w:r>
          </w:p>
        </w:tc>
        <w:tc>
          <w:tcPr>
            <w:tcW w:w="1134" w:type="dxa"/>
            <w:gridSpan w:val="2"/>
          </w:tcPr>
          <w:p>
            <w:pPr>
              <w:pStyle w:val="nTable"/>
              <w:spacing w:after="40"/>
            </w:pPr>
            <w:r>
              <w:t>33 of 1986</w:t>
            </w:r>
          </w:p>
        </w:tc>
        <w:tc>
          <w:tcPr>
            <w:tcW w:w="1134" w:type="dxa"/>
            <w:gridSpan w:val="2"/>
          </w:tcPr>
          <w:p>
            <w:pPr>
              <w:pStyle w:val="nTable"/>
              <w:spacing w:after="40"/>
            </w:pPr>
            <w:r>
              <w:t>1 Aug 1986</w:t>
            </w:r>
          </w:p>
        </w:tc>
        <w:tc>
          <w:tcPr>
            <w:tcW w:w="2554" w:type="dxa"/>
            <w:gridSpan w:val="2"/>
          </w:tcPr>
          <w:p>
            <w:pPr>
              <w:pStyle w:val="nTable"/>
              <w:spacing w:after="40"/>
            </w:pPr>
            <w:r>
              <w:t>1 Aug 1986 (see s. 2)</w:t>
            </w:r>
          </w:p>
        </w:tc>
      </w:tr>
      <w:tr>
        <w:trPr>
          <w:gridBefore w:val="1"/>
          <w:wBefore w:w="28" w:type="dxa"/>
          <w:cantSplit/>
        </w:trPr>
        <w:tc>
          <w:tcPr>
            <w:tcW w:w="2266" w:type="dxa"/>
            <w:gridSpan w:val="2"/>
          </w:tcPr>
          <w:p>
            <w:pPr>
              <w:pStyle w:val="nTable"/>
              <w:spacing w:after="40"/>
            </w:pPr>
            <w:r>
              <w:rPr>
                <w:i/>
              </w:rPr>
              <w:t>State Government Insurance Commission Act 1986</w:t>
            </w:r>
            <w:r>
              <w:t xml:space="preserve"> s. 46(2)</w:t>
            </w:r>
          </w:p>
        </w:tc>
        <w:tc>
          <w:tcPr>
            <w:tcW w:w="1134" w:type="dxa"/>
            <w:gridSpan w:val="2"/>
          </w:tcPr>
          <w:p>
            <w:pPr>
              <w:pStyle w:val="nTable"/>
              <w:spacing w:after="40"/>
            </w:pPr>
            <w:r>
              <w:t>51 of 1986</w:t>
            </w:r>
          </w:p>
        </w:tc>
        <w:tc>
          <w:tcPr>
            <w:tcW w:w="1134" w:type="dxa"/>
            <w:gridSpan w:val="2"/>
          </w:tcPr>
          <w:p>
            <w:pPr>
              <w:pStyle w:val="nTable"/>
              <w:spacing w:after="40"/>
            </w:pPr>
            <w:r>
              <w:t>5 Aug 1986</w:t>
            </w:r>
          </w:p>
        </w:tc>
        <w:tc>
          <w:tcPr>
            <w:tcW w:w="2554" w:type="dxa"/>
            <w:gridSpan w:val="2"/>
          </w:tcPr>
          <w:p>
            <w:pPr>
              <w:pStyle w:val="nTable"/>
              <w:spacing w:after="40"/>
            </w:pPr>
            <w:r>
              <w:t xml:space="preserve">1 Jan 1987 (see s. 2 and </w:t>
            </w:r>
            <w:r>
              <w:rPr>
                <w:i/>
              </w:rPr>
              <w:t>Gazette</w:t>
            </w:r>
            <w:r>
              <w:t xml:space="preserve"> 19 Dec 1986 p. 4859)</w:t>
            </w:r>
          </w:p>
        </w:tc>
      </w:tr>
      <w:tr>
        <w:trPr>
          <w:gridBefore w:val="1"/>
          <w:wBefore w:w="28" w:type="dxa"/>
          <w:cantSplit/>
        </w:trPr>
        <w:tc>
          <w:tcPr>
            <w:tcW w:w="2266" w:type="dxa"/>
            <w:gridSpan w:val="2"/>
          </w:tcPr>
          <w:p>
            <w:pPr>
              <w:pStyle w:val="nTable"/>
              <w:spacing w:after="40"/>
            </w:pPr>
            <w:r>
              <w:rPr>
                <w:i/>
              </w:rPr>
              <w:t>Workers’ Compensation and Assistance Amendment Act (No. 2) 1986</w:t>
            </w:r>
          </w:p>
        </w:tc>
        <w:tc>
          <w:tcPr>
            <w:tcW w:w="1134" w:type="dxa"/>
            <w:gridSpan w:val="2"/>
          </w:tcPr>
          <w:p>
            <w:pPr>
              <w:pStyle w:val="nTable"/>
              <w:keepNext/>
              <w:spacing w:after="40"/>
            </w:pPr>
            <w:r>
              <w:t>85 of 1986</w:t>
            </w:r>
          </w:p>
        </w:tc>
        <w:tc>
          <w:tcPr>
            <w:tcW w:w="1134" w:type="dxa"/>
            <w:gridSpan w:val="2"/>
          </w:tcPr>
          <w:p>
            <w:pPr>
              <w:pStyle w:val="nTable"/>
              <w:keepNext/>
              <w:spacing w:after="40"/>
            </w:pPr>
            <w:r>
              <w:t>5 Dec 1986</w:t>
            </w:r>
          </w:p>
        </w:tc>
        <w:tc>
          <w:tcPr>
            <w:tcW w:w="2554" w:type="dxa"/>
            <w:gridSpan w:val="2"/>
          </w:tcPr>
          <w:p>
            <w:pPr>
              <w:pStyle w:val="nTable"/>
              <w:keepNext/>
              <w:spacing w:after="40"/>
            </w:pPr>
            <w:r>
              <w:t>Act other than s. 7 and 11: 5 Dec 1986 (see s. 2(1));</w:t>
            </w:r>
            <w:r>
              <w:br/>
              <w:t xml:space="preserve">s. 7 and 11: 22 May 1987 (see s. 2(2) and </w:t>
            </w:r>
            <w:r>
              <w:rPr>
                <w:i/>
              </w:rPr>
              <w:t>Gazette</w:t>
            </w:r>
            <w:r>
              <w:t xml:space="preserve"> 22 May 1987 p. 2167) </w:t>
            </w:r>
          </w:p>
        </w:tc>
      </w:tr>
      <w:tr>
        <w:trPr>
          <w:gridBefore w:val="1"/>
          <w:wBefore w:w="28" w:type="dxa"/>
          <w:cantSplit/>
        </w:trPr>
        <w:tc>
          <w:tcPr>
            <w:tcW w:w="2266" w:type="dxa"/>
            <w:gridSpan w:val="2"/>
          </w:tcPr>
          <w:p>
            <w:pPr>
              <w:pStyle w:val="nTable"/>
              <w:spacing w:after="40"/>
            </w:pPr>
            <w:r>
              <w:rPr>
                <w:i/>
              </w:rPr>
              <w:t>Acts Amendment (Workers’ Compensation and Assistance) Act 1986</w:t>
            </w:r>
            <w:r>
              <w:t xml:space="preserve"> Pt. III</w:t>
            </w:r>
          </w:p>
        </w:tc>
        <w:tc>
          <w:tcPr>
            <w:tcW w:w="1134" w:type="dxa"/>
            <w:gridSpan w:val="2"/>
          </w:tcPr>
          <w:p>
            <w:pPr>
              <w:pStyle w:val="nTable"/>
              <w:spacing w:after="40"/>
            </w:pPr>
            <w:r>
              <w:t>86 of 1986</w:t>
            </w:r>
          </w:p>
        </w:tc>
        <w:tc>
          <w:tcPr>
            <w:tcW w:w="1134" w:type="dxa"/>
            <w:gridSpan w:val="2"/>
          </w:tcPr>
          <w:p>
            <w:pPr>
              <w:pStyle w:val="nTable"/>
              <w:spacing w:after="40"/>
            </w:pPr>
            <w:r>
              <w:t>5 Dec 1986</w:t>
            </w:r>
          </w:p>
        </w:tc>
        <w:tc>
          <w:tcPr>
            <w:tcW w:w="2554" w:type="dxa"/>
            <w:gridSpan w:val="2"/>
          </w:tcPr>
          <w:p>
            <w:pPr>
              <w:pStyle w:val="nTable"/>
              <w:spacing w:after="40"/>
            </w:pPr>
            <w:r>
              <w:t>2 Jan 1987</w:t>
            </w:r>
          </w:p>
        </w:tc>
      </w:tr>
      <w:tr>
        <w:trPr>
          <w:gridBefore w:val="1"/>
          <w:wBefore w:w="28" w:type="dxa"/>
          <w:cantSplit/>
        </w:trPr>
        <w:tc>
          <w:tcPr>
            <w:tcW w:w="7088" w:type="dxa"/>
            <w:gridSpan w:val="8"/>
          </w:tcPr>
          <w:p>
            <w:pPr>
              <w:pStyle w:val="nTable"/>
              <w:spacing w:after="40"/>
            </w:pPr>
            <w:r>
              <w:rPr>
                <w:b/>
              </w:rPr>
              <w:t xml:space="preserve">Reprint of the </w:t>
            </w:r>
            <w:r>
              <w:rPr>
                <w:b/>
                <w:i/>
              </w:rPr>
              <w:t>Workers’ Compensation and Assistance Act 1981</w:t>
            </w:r>
            <w:r>
              <w:rPr>
                <w:b/>
              </w:rPr>
              <w:t xml:space="preserve"> as at 6 Feb 1987</w:t>
            </w:r>
            <w:r>
              <w:t xml:space="preserve"> (includes amendments listed above except those in the </w:t>
            </w:r>
            <w:r>
              <w:rPr>
                <w:i/>
              </w:rPr>
              <w:t>Workers’ Compensation and Assistance Amendment Act (No. 2) 1986</w:t>
            </w:r>
            <w:r>
              <w:t xml:space="preserve"> s. 7 and 11)</w:t>
            </w:r>
          </w:p>
        </w:tc>
      </w:tr>
      <w:tr>
        <w:trPr>
          <w:gridBefore w:val="1"/>
          <w:wBefore w:w="28" w:type="dxa"/>
          <w:cantSplit/>
        </w:trPr>
        <w:tc>
          <w:tcPr>
            <w:tcW w:w="2266" w:type="dxa"/>
            <w:gridSpan w:val="2"/>
          </w:tcPr>
          <w:p>
            <w:pPr>
              <w:pStyle w:val="nTable"/>
              <w:spacing w:after="40"/>
            </w:pPr>
            <w:r>
              <w:rPr>
                <w:i/>
              </w:rPr>
              <w:t>Workers’ Compensation and Assistance Amendment Act 1987</w:t>
            </w:r>
            <w:r>
              <w:t> </w:t>
            </w:r>
            <w:r>
              <w:rPr>
                <w:vertAlign w:val="superscript"/>
              </w:rPr>
              <w:t>16</w:t>
            </w:r>
          </w:p>
        </w:tc>
        <w:tc>
          <w:tcPr>
            <w:tcW w:w="1134" w:type="dxa"/>
            <w:gridSpan w:val="2"/>
          </w:tcPr>
          <w:p>
            <w:pPr>
              <w:pStyle w:val="nTable"/>
              <w:spacing w:after="40"/>
            </w:pPr>
            <w:r>
              <w:t>21 of 1987</w:t>
            </w:r>
          </w:p>
        </w:tc>
        <w:tc>
          <w:tcPr>
            <w:tcW w:w="1134" w:type="dxa"/>
            <w:gridSpan w:val="2"/>
          </w:tcPr>
          <w:p>
            <w:pPr>
              <w:pStyle w:val="nTable"/>
              <w:spacing w:after="40"/>
            </w:pPr>
            <w:r>
              <w:t>25 Jun 1987</w:t>
            </w:r>
          </w:p>
        </w:tc>
        <w:tc>
          <w:tcPr>
            <w:tcW w:w="2554" w:type="dxa"/>
            <w:gridSpan w:val="2"/>
          </w:tcPr>
          <w:p>
            <w:pPr>
              <w:pStyle w:val="nTable"/>
              <w:spacing w:after="40"/>
            </w:pPr>
            <w:r>
              <w:t>23 Jul 1987</w:t>
            </w:r>
          </w:p>
        </w:tc>
      </w:tr>
      <w:tr>
        <w:trPr>
          <w:gridBefore w:val="1"/>
          <w:wBefore w:w="28" w:type="dxa"/>
          <w:cantSplit/>
        </w:trPr>
        <w:tc>
          <w:tcPr>
            <w:tcW w:w="2266" w:type="dxa"/>
            <w:gridSpan w:val="2"/>
          </w:tcPr>
          <w:p>
            <w:pPr>
              <w:pStyle w:val="nTable"/>
              <w:spacing w:after="40"/>
            </w:pPr>
            <w:r>
              <w:rPr>
                <w:i/>
              </w:rPr>
              <w:t>Acts Amendment (Legal Practitioners, Costs and Taxation) Act 1987</w:t>
            </w:r>
            <w:r>
              <w:t xml:space="preserve"> Pt. VII</w:t>
            </w:r>
          </w:p>
        </w:tc>
        <w:tc>
          <w:tcPr>
            <w:tcW w:w="1134" w:type="dxa"/>
            <w:gridSpan w:val="2"/>
          </w:tcPr>
          <w:p>
            <w:pPr>
              <w:pStyle w:val="nTable"/>
              <w:spacing w:after="40"/>
            </w:pPr>
            <w:r>
              <w:t>65 of 1987</w:t>
            </w:r>
          </w:p>
        </w:tc>
        <w:tc>
          <w:tcPr>
            <w:tcW w:w="1134" w:type="dxa"/>
            <w:gridSpan w:val="2"/>
          </w:tcPr>
          <w:p>
            <w:pPr>
              <w:pStyle w:val="nTable"/>
              <w:spacing w:after="40"/>
            </w:pPr>
            <w:r>
              <w:t>1 Dec 1987</w:t>
            </w:r>
          </w:p>
        </w:tc>
        <w:tc>
          <w:tcPr>
            <w:tcW w:w="2554" w:type="dxa"/>
            <w:gridSpan w:val="2"/>
          </w:tcPr>
          <w:p>
            <w:pPr>
              <w:pStyle w:val="nTable"/>
              <w:spacing w:after="40"/>
            </w:pPr>
            <w:r>
              <w:t xml:space="preserve">12 Feb 1988 (see s. 2(2) and </w:t>
            </w:r>
            <w:r>
              <w:rPr>
                <w:i/>
              </w:rPr>
              <w:t>Gazette</w:t>
            </w:r>
            <w:r>
              <w:t xml:space="preserve"> 12 Feb 1988 p. 397)</w:t>
            </w:r>
          </w:p>
        </w:tc>
      </w:tr>
      <w:tr>
        <w:trPr>
          <w:gridBefore w:val="1"/>
          <w:wBefore w:w="28" w:type="dxa"/>
          <w:cantSplit/>
        </w:trPr>
        <w:tc>
          <w:tcPr>
            <w:tcW w:w="2266" w:type="dxa"/>
            <w:gridSpan w:val="2"/>
          </w:tcPr>
          <w:p>
            <w:pPr>
              <w:pStyle w:val="nTable"/>
              <w:spacing w:after="40"/>
            </w:pPr>
            <w:r>
              <w:rPr>
                <w:i/>
              </w:rPr>
              <w:t>Workers’ Compensation and Assistance Amendment Act 1988</w:t>
            </w:r>
            <w:r>
              <w:t xml:space="preserve"> Pt. 2</w:t>
            </w:r>
          </w:p>
        </w:tc>
        <w:tc>
          <w:tcPr>
            <w:tcW w:w="1134" w:type="dxa"/>
            <w:gridSpan w:val="2"/>
          </w:tcPr>
          <w:p>
            <w:pPr>
              <w:pStyle w:val="nTable"/>
              <w:spacing w:after="40"/>
            </w:pPr>
            <w:r>
              <w:t>36 of 1988</w:t>
            </w:r>
          </w:p>
        </w:tc>
        <w:tc>
          <w:tcPr>
            <w:tcW w:w="1134" w:type="dxa"/>
            <w:gridSpan w:val="2"/>
          </w:tcPr>
          <w:p>
            <w:pPr>
              <w:pStyle w:val="nTable"/>
              <w:spacing w:after="40"/>
            </w:pPr>
            <w:r>
              <w:t>24 Nov 1988</w:t>
            </w:r>
          </w:p>
        </w:tc>
        <w:tc>
          <w:tcPr>
            <w:tcW w:w="2554" w:type="dxa"/>
            <w:gridSpan w:val="2"/>
          </w:tcPr>
          <w:p>
            <w:pPr>
              <w:pStyle w:val="nTable"/>
              <w:spacing w:after="40"/>
            </w:pPr>
            <w:r>
              <w:t xml:space="preserve">1 Mar 1991 (see s. 2 and </w:t>
            </w:r>
            <w:r>
              <w:rPr>
                <w:i/>
              </w:rPr>
              <w:t>Gazette</w:t>
            </w:r>
            <w:r>
              <w:t xml:space="preserve"> 1 Mar 1991 p. 967)</w:t>
            </w:r>
          </w:p>
        </w:tc>
      </w:tr>
      <w:tr>
        <w:trPr>
          <w:gridBefore w:val="1"/>
          <w:wBefore w:w="28" w:type="dxa"/>
          <w:cantSplit/>
        </w:trPr>
        <w:tc>
          <w:tcPr>
            <w:tcW w:w="2266" w:type="dxa"/>
            <w:gridSpan w:val="2"/>
          </w:tcPr>
          <w:p>
            <w:pPr>
              <w:pStyle w:val="nTable"/>
              <w:spacing w:after="40"/>
            </w:pPr>
            <w:r>
              <w:rPr>
                <w:i/>
              </w:rPr>
              <w:t>Workers’ Compensation and Assistance Amendment Act 1990</w:t>
            </w:r>
            <w:r>
              <w:t> </w:t>
            </w:r>
            <w:r>
              <w:rPr>
                <w:vertAlign w:val="superscript"/>
              </w:rPr>
              <w:t>17, 18</w:t>
            </w:r>
          </w:p>
        </w:tc>
        <w:tc>
          <w:tcPr>
            <w:tcW w:w="1134" w:type="dxa"/>
            <w:gridSpan w:val="2"/>
          </w:tcPr>
          <w:p>
            <w:pPr>
              <w:pStyle w:val="nTable"/>
              <w:spacing w:after="40"/>
            </w:pPr>
            <w:r>
              <w:t>96 of 1990</w:t>
            </w:r>
          </w:p>
        </w:tc>
        <w:tc>
          <w:tcPr>
            <w:tcW w:w="1134" w:type="dxa"/>
            <w:gridSpan w:val="2"/>
          </w:tcPr>
          <w:p>
            <w:pPr>
              <w:pStyle w:val="nTable"/>
              <w:spacing w:after="40"/>
            </w:pPr>
            <w:r>
              <w:t>22 Dec 1990</w:t>
            </w:r>
          </w:p>
        </w:tc>
        <w:tc>
          <w:tcPr>
            <w:tcW w:w="2554" w:type="dxa"/>
            <w:gridSpan w:val="2"/>
          </w:tcPr>
          <w:p>
            <w:pPr>
              <w:pStyle w:val="nTable"/>
              <w:spacing w:after="40"/>
            </w:pPr>
            <w:r>
              <w:t>s. 1 and 2: 22 Dec 1990;</w:t>
            </w:r>
            <w:r>
              <w:br/>
              <w:t xml:space="preserve">Act other than s. 1 and 2: 8 Mar 1991 (see s. 2 and </w:t>
            </w:r>
            <w:r>
              <w:rPr>
                <w:i/>
              </w:rPr>
              <w:t>Gazette</w:t>
            </w:r>
            <w:r>
              <w:t xml:space="preserve"> 8 Mar 1991 p. 1030)</w:t>
            </w:r>
          </w:p>
        </w:tc>
      </w:tr>
      <w:tr>
        <w:trPr>
          <w:gridBefore w:val="1"/>
          <w:wBefore w:w="28" w:type="dxa"/>
          <w:cantSplit/>
        </w:trPr>
        <w:tc>
          <w:tcPr>
            <w:tcW w:w="7088" w:type="dxa"/>
            <w:gridSpan w:val="8"/>
          </w:tcPr>
          <w:p>
            <w:pPr>
              <w:pStyle w:val="nTable"/>
              <w:spacing w:after="40"/>
            </w:pPr>
            <w:r>
              <w:rPr>
                <w:b/>
              </w:rPr>
              <w:t xml:space="preserve">Reprint of the </w:t>
            </w:r>
            <w:r>
              <w:rPr>
                <w:b/>
                <w:i/>
              </w:rPr>
              <w:t>Workers’ Compensation and Rehabilitation Act 1981</w:t>
            </w:r>
            <w:r>
              <w:rPr>
                <w:b/>
              </w:rPr>
              <w:t xml:space="preserve"> as at 9 Oct 1991</w:t>
            </w:r>
            <w:r>
              <w:t xml:space="preserve"> (includes amendments listed above) (errata in </w:t>
            </w:r>
            <w:r>
              <w:rPr>
                <w:i/>
              </w:rPr>
              <w:t>Gazette</w:t>
            </w:r>
            <w:r>
              <w:t xml:space="preserve"> 1 May 1992 p. 1866)</w:t>
            </w:r>
          </w:p>
        </w:tc>
      </w:tr>
      <w:tr>
        <w:trPr>
          <w:gridBefore w:val="1"/>
          <w:wBefore w:w="28" w:type="dxa"/>
          <w:cantSplit/>
        </w:trPr>
        <w:tc>
          <w:tcPr>
            <w:tcW w:w="2266" w:type="dxa"/>
            <w:gridSpan w:val="2"/>
          </w:tcPr>
          <w:p>
            <w:pPr>
              <w:pStyle w:val="nTable"/>
              <w:spacing w:after="40"/>
            </w:pPr>
            <w:r>
              <w:rPr>
                <w:i/>
              </w:rPr>
              <w:t>Acts Amendment (Parliamentary, Electorate and Gubernatorial Staff) Act 1992</w:t>
            </w:r>
            <w:r>
              <w:t xml:space="preserve"> Pt. 6</w:t>
            </w:r>
          </w:p>
        </w:tc>
        <w:tc>
          <w:tcPr>
            <w:tcW w:w="1134" w:type="dxa"/>
            <w:gridSpan w:val="2"/>
          </w:tcPr>
          <w:p>
            <w:pPr>
              <w:pStyle w:val="nTable"/>
              <w:spacing w:after="40"/>
            </w:pPr>
            <w:r>
              <w:t>40 of 1992</w:t>
            </w:r>
          </w:p>
        </w:tc>
        <w:tc>
          <w:tcPr>
            <w:tcW w:w="1134" w:type="dxa"/>
            <w:gridSpan w:val="2"/>
          </w:tcPr>
          <w:p>
            <w:pPr>
              <w:pStyle w:val="nTable"/>
              <w:spacing w:after="40"/>
            </w:pPr>
            <w:r>
              <w:t>2 Oct 1992</w:t>
            </w:r>
          </w:p>
        </w:tc>
        <w:tc>
          <w:tcPr>
            <w:tcW w:w="2554" w:type="dxa"/>
            <w:gridSpan w:val="2"/>
          </w:tcPr>
          <w:p>
            <w:pPr>
              <w:pStyle w:val="nTable"/>
              <w:spacing w:after="40"/>
            </w:pPr>
            <w:r>
              <w:t xml:space="preserve">3 Nov 1992 (see s. 2 and </w:t>
            </w:r>
            <w:r>
              <w:rPr>
                <w:i/>
              </w:rPr>
              <w:t>Gazette</w:t>
            </w:r>
            <w:r>
              <w:t xml:space="preserve"> 3 Nov 1992 p. 5389)</w:t>
            </w:r>
          </w:p>
        </w:tc>
      </w:tr>
      <w:tr>
        <w:trPr>
          <w:gridBefore w:val="1"/>
          <w:wBefore w:w="28" w:type="dxa"/>
          <w:cantSplit/>
        </w:trPr>
        <w:tc>
          <w:tcPr>
            <w:tcW w:w="2266" w:type="dxa"/>
            <w:gridSpan w:val="2"/>
          </w:tcPr>
          <w:p>
            <w:pPr>
              <w:pStyle w:val="nTable"/>
              <w:spacing w:after="40"/>
            </w:pPr>
            <w:r>
              <w:rPr>
                <w:i/>
              </w:rPr>
              <w:lastRenderedPageBreak/>
              <w:t>Workers’ Compensation and Rehabilitation Amendment Act (No. 2) 1992</w:t>
            </w:r>
          </w:p>
        </w:tc>
        <w:tc>
          <w:tcPr>
            <w:tcW w:w="1134" w:type="dxa"/>
            <w:gridSpan w:val="2"/>
          </w:tcPr>
          <w:p>
            <w:pPr>
              <w:pStyle w:val="nTable"/>
              <w:spacing w:after="40"/>
            </w:pPr>
            <w:r>
              <w:t>72 of 1992</w:t>
            </w:r>
          </w:p>
        </w:tc>
        <w:tc>
          <w:tcPr>
            <w:tcW w:w="1134" w:type="dxa"/>
            <w:gridSpan w:val="2"/>
          </w:tcPr>
          <w:p>
            <w:pPr>
              <w:pStyle w:val="nTable"/>
              <w:spacing w:after="40"/>
            </w:pPr>
            <w:r>
              <w:t>15 Dec 1992</w:t>
            </w:r>
          </w:p>
        </w:tc>
        <w:tc>
          <w:tcPr>
            <w:tcW w:w="2554" w:type="dxa"/>
            <w:gridSpan w:val="2"/>
          </w:tcPr>
          <w:p>
            <w:pPr>
              <w:pStyle w:val="nTable"/>
              <w:spacing w:after="40"/>
            </w:pPr>
            <w:r>
              <w:t xml:space="preserve">s. 1 and 2: 15 Dec 1992; </w:t>
            </w:r>
            <w:r>
              <w:br/>
              <w:t>Act other than s. 1, 2, 6</w:t>
            </w:r>
            <w:r>
              <w:noBreakHyphen/>
              <w:t xml:space="preserve">8: 24 Dec 1992 (see s. 2 and </w:t>
            </w:r>
            <w:r>
              <w:rPr>
                <w:i/>
              </w:rPr>
              <w:t>Gazette</w:t>
            </w:r>
            <w:r>
              <w:t xml:space="preserve"> 24 Dec 1992 p. 6277);</w:t>
            </w:r>
            <w:r>
              <w:br/>
              <w:t>s. 6</w:t>
            </w:r>
            <w:r>
              <w:noBreakHyphen/>
              <w:t xml:space="preserve">8: 5 Feb 1993 (see s. 2 and </w:t>
            </w:r>
            <w:r>
              <w:rPr>
                <w:i/>
              </w:rPr>
              <w:t>Gazette</w:t>
            </w:r>
            <w:r>
              <w:t xml:space="preserve"> 5 Feb 1993 p. 975)</w:t>
            </w:r>
          </w:p>
        </w:tc>
      </w:tr>
      <w:tr>
        <w:trPr>
          <w:gridBefore w:val="1"/>
          <w:wBefore w:w="28" w:type="dxa"/>
          <w:cantSplit/>
        </w:trPr>
        <w:tc>
          <w:tcPr>
            <w:tcW w:w="2266" w:type="dxa"/>
            <w:gridSpan w:val="2"/>
          </w:tcPr>
          <w:p>
            <w:pPr>
              <w:pStyle w:val="nTable"/>
              <w:spacing w:after="40"/>
            </w:pPr>
            <w:r>
              <w:rPr>
                <w:i/>
              </w:rPr>
              <w:t>Employers’ Indemnity Supplementation Fund Amendment Act 1993</w:t>
            </w:r>
            <w:r>
              <w:t xml:space="preserve"> s. 14</w:t>
            </w:r>
          </w:p>
        </w:tc>
        <w:tc>
          <w:tcPr>
            <w:tcW w:w="1134" w:type="dxa"/>
            <w:gridSpan w:val="2"/>
          </w:tcPr>
          <w:p>
            <w:pPr>
              <w:pStyle w:val="nTable"/>
              <w:spacing w:after="40"/>
            </w:pPr>
            <w:r>
              <w:t>1 of 1993</w:t>
            </w:r>
          </w:p>
        </w:tc>
        <w:tc>
          <w:tcPr>
            <w:tcW w:w="1134" w:type="dxa"/>
            <w:gridSpan w:val="2"/>
          </w:tcPr>
          <w:p>
            <w:pPr>
              <w:pStyle w:val="nTable"/>
              <w:spacing w:after="40"/>
            </w:pPr>
            <w:r>
              <w:t>19 Jul 1993</w:t>
            </w:r>
          </w:p>
        </w:tc>
        <w:tc>
          <w:tcPr>
            <w:tcW w:w="2554" w:type="dxa"/>
            <w:gridSpan w:val="2"/>
          </w:tcPr>
          <w:p>
            <w:pPr>
              <w:pStyle w:val="nTable"/>
              <w:spacing w:after="40"/>
            </w:pPr>
            <w:r>
              <w:t>19 Jul 1993 (see s. 2)</w:t>
            </w:r>
          </w:p>
        </w:tc>
      </w:tr>
      <w:tr>
        <w:trPr>
          <w:gridBefore w:val="1"/>
          <w:wBefore w:w="28" w:type="dxa"/>
          <w:cantSplit/>
        </w:trPr>
        <w:tc>
          <w:tcPr>
            <w:tcW w:w="2266" w:type="dxa"/>
            <w:gridSpan w:val="2"/>
          </w:tcPr>
          <w:p>
            <w:pPr>
              <w:pStyle w:val="nTable"/>
              <w:spacing w:after="40"/>
            </w:pPr>
            <w:r>
              <w:rPr>
                <w:i/>
              </w:rPr>
              <w:t>Financial Administration Legislation Amendment Act 1993</w:t>
            </w:r>
            <w:r>
              <w:t xml:space="preserve"> 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4" w:type="dxa"/>
            <w:gridSpan w:val="2"/>
          </w:tcPr>
          <w:p>
            <w:pPr>
              <w:pStyle w:val="nTable"/>
              <w:spacing w:after="40"/>
            </w:pPr>
            <w:r>
              <w:t>1 Jul 1993 (see s. 2(1))</w:t>
            </w:r>
          </w:p>
        </w:tc>
      </w:tr>
      <w:tr>
        <w:trPr>
          <w:gridBefore w:val="1"/>
          <w:wBefore w:w="28" w:type="dxa"/>
          <w:cantSplit/>
        </w:trPr>
        <w:tc>
          <w:tcPr>
            <w:tcW w:w="2266" w:type="dxa"/>
            <w:gridSpan w:val="2"/>
          </w:tcPr>
          <w:p>
            <w:pPr>
              <w:pStyle w:val="nTable"/>
              <w:spacing w:after="40"/>
            </w:pPr>
            <w:r>
              <w:rPr>
                <w:i/>
              </w:rPr>
              <w:t>Mines Regulation Amendment Act 1993</w:t>
            </w:r>
            <w:r>
              <w:t xml:space="preserve"> s. 13</w:t>
            </w:r>
          </w:p>
        </w:tc>
        <w:tc>
          <w:tcPr>
            <w:tcW w:w="1134" w:type="dxa"/>
            <w:gridSpan w:val="2"/>
          </w:tcPr>
          <w:p>
            <w:pPr>
              <w:pStyle w:val="nTable"/>
              <w:spacing w:after="40"/>
            </w:pPr>
            <w:r>
              <w:t>30 of 1993</w:t>
            </w:r>
          </w:p>
        </w:tc>
        <w:tc>
          <w:tcPr>
            <w:tcW w:w="1134" w:type="dxa"/>
            <w:gridSpan w:val="2"/>
          </w:tcPr>
          <w:p>
            <w:pPr>
              <w:pStyle w:val="nTable"/>
              <w:spacing w:after="40"/>
            </w:pPr>
            <w:r>
              <w:t>16 Dec 1993</w:t>
            </w:r>
          </w:p>
        </w:tc>
        <w:tc>
          <w:tcPr>
            <w:tcW w:w="2554" w:type="dxa"/>
            <w:gridSpan w:val="2"/>
          </w:tcPr>
          <w:p>
            <w:pPr>
              <w:pStyle w:val="nTable"/>
              <w:spacing w:after="40"/>
            </w:pPr>
            <w:r>
              <w:t xml:space="preserve">24 Dec 1993 (see s. 2 and </w:t>
            </w:r>
            <w:r>
              <w:rPr>
                <w:i/>
              </w:rPr>
              <w:t>Gazette</w:t>
            </w:r>
            <w:r>
              <w:t xml:space="preserve"> 24 Dec 1993 p. 6796)</w:t>
            </w:r>
          </w:p>
        </w:tc>
      </w:tr>
      <w:tr>
        <w:trPr>
          <w:gridBefore w:val="1"/>
          <w:wBefore w:w="28" w:type="dxa"/>
          <w:cantSplit/>
        </w:trPr>
        <w:tc>
          <w:tcPr>
            <w:tcW w:w="2266" w:type="dxa"/>
            <w:gridSpan w:val="2"/>
            <w:tcBorders>
              <w:bottom w:val="nil"/>
            </w:tcBorders>
          </w:tcPr>
          <w:p>
            <w:pPr>
              <w:pStyle w:val="nTable"/>
              <w:spacing w:after="40"/>
            </w:pPr>
            <w:r>
              <w:rPr>
                <w:i/>
              </w:rPr>
              <w:t>Workers’ Compensation and Rehabilitation Amendment Act 1993</w:t>
            </w:r>
            <w:r>
              <w:t> </w:t>
            </w:r>
            <w:r>
              <w:rPr>
                <w:vertAlign w:val="superscript"/>
              </w:rPr>
              <w:t>19-26</w:t>
            </w:r>
          </w:p>
        </w:tc>
        <w:tc>
          <w:tcPr>
            <w:tcW w:w="1134" w:type="dxa"/>
            <w:gridSpan w:val="2"/>
          </w:tcPr>
          <w:p>
            <w:pPr>
              <w:pStyle w:val="nTable"/>
              <w:spacing w:after="40"/>
            </w:pPr>
            <w:r>
              <w:t>48 of 1993</w:t>
            </w:r>
            <w:r>
              <w:br/>
              <w:t>(as amended by No. 34 of 1999 Pt. 3 and No. 42 of 2004 s. 172)</w:t>
            </w:r>
          </w:p>
        </w:tc>
        <w:tc>
          <w:tcPr>
            <w:tcW w:w="1134" w:type="dxa"/>
            <w:gridSpan w:val="2"/>
          </w:tcPr>
          <w:p>
            <w:pPr>
              <w:pStyle w:val="nTable"/>
              <w:spacing w:after="40"/>
            </w:pPr>
            <w:r>
              <w:t>20 Dec 1993</w:t>
            </w:r>
          </w:p>
        </w:tc>
        <w:tc>
          <w:tcPr>
            <w:tcW w:w="2554" w:type="dxa"/>
            <w:gridSpan w:val="2"/>
          </w:tcPr>
          <w:p>
            <w:pPr>
              <w:pStyle w:val="nTable"/>
              <w:spacing w:after="40"/>
            </w:pPr>
            <w:r>
              <w:t>Pt. 1</w:t>
            </w:r>
            <w:r>
              <w:noBreakHyphen/>
              <w:t xml:space="preserve">3: 20 Dec 1993 (see s. 2(1)); </w:t>
            </w:r>
            <w:r>
              <w:br/>
              <w:t>s. 21, 23, 25, 28(1) (only so far as it gives effect to Sch. 1 cl. 13, 14, 27(a)(i), (b)(i) and (c) and 31) of Pt. 4, and Pt. 5 (other than s. 36</w:t>
            </w:r>
            <w:r>
              <w:noBreakHyphen/>
              <w:t xml:space="preserve">38, 41 and 43): 24 Dec 1993 (see s. 2(2) and </w:t>
            </w:r>
            <w:r>
              <w:rPr>
                <w:i/>
              </w:rPr>
              <w:t>Gazette</w:t>
            </w:r>
            <w:r>
              <w:t xml:space="preserve"> 24 Dec 1993 p. 6795); </w:t>
            </w:r>
            <w:r>
              <w:br/>
              <w:t xml:space="preserve">balance: 1 Mar 1994 (see s. 2(2) and </w:t>
            </w:r>
            <w:r>
              <w:rPr>
                <w:i/>
              </w:rPr>
              <w:t>Gazette</w:t>
            </w:r>
            <w:r>
              <w:t xml:space="preserve"> 24 Dec 1993 p. 6795)</w:t>
            </w:r>
          </w:p>
        </w:tc>
      </w:tr>
      <w:tr>
        <w:trPr>
          <w:gridBefore w:val="1"/>
          <w:wBefore w:w="28" w:type="dxa"/>
          <w:cantSplit/>
        </w:trPr>
        <w:tc>
          <w:tcPr>
            <w:tcW w:w="7088" w:type="dxa"/>
            <w:gridSpan w:val="8"/>
            <w:tcBorders>
              <w:bottom w:val="nil"/>
            </w:tcBorders>
          </w:tcPr>
          <w:p>
            <w:pPr>
              <w:pStyle w:val="nTable"/>
              <w:spacing w:after="40"/>
            </w:pPr>
            <w:r>
              <w:rPr>
                <w:b/>
              </w:rPr>
              <w:t xml:space="preserve">Reprint of the </w:t>
            </w:r>
            <w:r>
              <w:rPr>
                <w:b/>
                <w:i/>
              </w:rPr>
              <w:t>Workers’ Compensation and Rehabilitation Act 1981</w:t>
            </w:r>
            <w:r>
              <w:rPr>
                <w:b/>
              </w:rPr>
              <w:t xml:space="preserve"> as at 14 Mar 1994</w:t>
            </w:r>
            <w:r>
              <w:t xml:space="preserve"> (includes amendments listed above)</w:t>
            </w:r>
          </w:p>
        </w:tc>
      </w:tr>
      <w:tr>
        <w:trPr>
          <w:gridBefore w:val="1"/>
          <w:wBefore w:w="28" w:type="dxa"/>
          <w:cantSplit/>
        </w:trPr>
        <w:tc>
          <w:tcPr>
            <w:tcW w:w="2266" w:type="dxa"/>
            <w:gridSpan w:val="2"/>
          </w:tcPr>
          <w:p>
            <w:pPr>
              <w:pStyle w:val="nTable"/>
              <w:spacing w:after="40"/>
            </w:pPr>
            <w:r>
              <w:rPr>
                <w:i/>
              </w:rPr>
              <w:t>Acts Amendment (Public Sector Management) Act 1994</w:t>
            </w:r>
            <w:r>
              <w:t xml:space="preserve"> s. 19</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4" w:type="dxa"/>
            <w:gridSpan w:val="2"/>
          </w:tcPr>
          <w:p>
            <w:pPr>
              <w:pStyle w:val="nTable"/>
              <w:spacing w:after="40"/>
            </w:pPr>
            <w:r>
              <w:t xml:space="preserve">1 Oct 1994 (see s. 2 and </w:t>
            </w:r>
            <w:r>
              <w:rPr>
                <w:i/>
              </w:rPr>
              <w:t>Gazette</w:t>
            </w:r>
            <w:r>
              <w:t xml:space="preserve"> 30 Sep 1994 p. 4948)</w:t>
            </w:r>
          </w:p>
        </w:tc>
      </w:tr>
      <w:tr>
        <w:trPr>
          <w:gridBefore w:val="1"/>
          <w:wBefore w:w="28" w:type="dxa"/>
          <w:cantSplit/>
        </w:trPr>
        <w:tc>
          <w:tcPr>
            <w:tcW w:w="2266" w:type="dxa"/>
            <w:gridSpan w:val="2"/>
          </w:tcPr>
          <w:p>
            <w:pPr>
              <w:pStyle w:val="nTable"/>
              <w:spacing w:after="40"/>
            </w:pPr>
            <w:r>
              <w:rPr>
                <w:i/>
              </w:rPr>
              <w:t>Mines Safety and Inspection Act 1994</w:t>
            </w:r>
            <w:r>
              <w:t xml:space="preserve"> s. 109</w:t>
            </w:r>
          </w:p>
        </w:tc>
        <w:tc>
          <w:tcPr>
            <w:tcW w:w="1134" w:type="dxa"/>
            <w:gridSpan w:val="2"/>
          </w:tcPr>
          <w:p>
            <w:pPr>
              <w:pStyle w:val="nTable"/>
              <w:spacing w:after="40"/>
            </w:pPr>
            <w:r>
              <w:t>62 of 1994</w:t>
            </w:r>
          </w:p>
        </w:tc>
        <w:tc>
          <w:tcPr>
            <w:tcW w:w="1134" w:type="dxa"/>
            <w:gridSpan w:val="2"/>
          </w:tcPr>
          <w:p>
            <w:pPr>
              <w:pStyle w:val="nTable"/>
              <w:spacing w:after="40"/>
            </w:pPr>
            <w:r>
              <w:t>7 Nov 1994</w:t>
            </w:r>
          </w:p>
        </w:tc>
        <w:tc>
          <w:tcPr>
            <w:tcW w:w="2554" w:type="dxa"/>
            <w:gridSpan w:val="2"/>
          </w:tcPr>
          <w:p>
            <w:pPr>
              <w:pStyle w:val="nTable"/>
              <w:spacing w:after="40"/>
            </w:pPr>
            <w:r>
              <w:t xml:space="preserve">9 Dec 1995 (see s. 2 and </w:t>
            </w:r>
            <w:r>
              <w:rPr>
                <w:i/>
              </w:rPr>
              <w:t>Gazette</w:t>
            </w:r>
            <w:r>
              <w:t xml:space="preserve"> 8 Dec 1995 p. 5935)</w:t>
            </w:r>
          </w:p>
        </w:tc>
      </w:tr>
      <w:tr>
        <w:trPr>
          <w:gridBefore w:val="1"/>
          <w:wBefore w:w="28" w:type="dxa"/>
          <w:cantSplit/>
        </w:trPr>
        <w:tc>
          <w:tcPr>
            <w:tcW w:w="2266" w:type="dxa"/>
            <w:gridSpan w:val="2"/>
          </w:tcPr>
          <w:p>
            <w:pPr>
              <w:pStyle w:val="nTable"/>
              <w:spacing w:after="40"/>
            </w:pPr>
            <w:r>
              <w:rPr>
                <w:i/>
              </w:rPr>
              <w:t>Hospitals Amendment Act 1994</w:t>
            </w:r>
            <w:r>
              <w:t xml:space="preserve"> s. 18</w:t>
            </w:r>
          </w:p>
        </w:tc>
        <w:tc>
          <w:tcPr>
            <w:tcW w:w="1134" w:type="dxa"/>
            <w:gridSpan w:val="2"/>
          </w:tcPr>
          <w:p>
            <w:pPr>
              <w:pStyle w:val="nTable"/>
              <w:spacing w:after="40"/>
            </w:pPr>
            <w:r>
              <w:t>103 of 1994</w:t>
            </w:r>
          </w:p>
        </w:tc>
        <w:tc>
          <w:tcPr>
            <w:tcW w:w="1134" w:type="dxa"/>
            <w:gridSpan w:val="2"/>
          </w:tcPr>
          <w:p>
            <w:pPr>
              <w:pStyle w:val="nTable"/>
              <w:spacing w:after="40"/>
            </w:pPr>
            <w:r>
              <w:t>11 Jan 1995</w:t>
            </w:r>
          </w:p>
        </w:tc>
        <w:tc>
          <w:tcPr>
            <w:tcW w:w="2554" w:type="dxa"/>
            <w:gridSpan w:val="2"/>
          </w:tcPr>
          <w:p>
            <w:pPr>
              <w:pStyle w:val="nTable"/>
              <w:spacing w:after="40"/>
            </w:pPr>
            <w:r>
              <w:t xml:space="preserve">3 Feb 1995 (see s. 2 and </w:t>
            </w:r>
            <w:r>
              <w:rPr>
                <w:i/>
              </w:rPr>
              <w:t>Gazette</w:t>
            </w:r>
            <w:r>
              <w:t xml:space="preserve"> 3 Feb 1995 p. 333)</w:t>
            </w:r>
          </w:p>
        </w:tc>
      </w:tr>
      <w:tr>
        <w:trPr>
          <w:gridBefore w:val="1"/>
          <w:wBefore w:w="28" w:type="dxa"/>
          <w:cantSplit/>
        </w:trPr>
        <w:tc>
          <w:tcPr>
            <w:tcW w:w="2266" w:type="dxa"/>
            <w:gridSpan w:val="2"/>
          </w:tcPr>
          <w:p>
            <w:pPr>
              <w:pStyle w:val="nTable"/>
              <w:spacing w:after="40"/>
            </w:pPr>
            <w:r>
              <w:rPr>
                <w:i/>
              </w:rPr>
              <w:t>Occupational Safety and Health Legislation Amendment Act 1995</w:t>
            </w:r>
            <w:r>
              <w:t xml:space="preserve"> s. 48</w:t>
            </w:r>
          </w:p>
        </w:tc>
        <w:tc>
          <w:tcPr>
            <w:tcW w:w="1134" w:type="dxa"/>
            <w:gridSpan w:val="2"/>
          </w:tcPr>
          <w:p>
            <w:pPr>
              <w:pStyle w:val="nTable"/>
              <w:spacing w:after="40"/>
            </w:pPr>
            <w:r>
              <w:t>30 of 1995</w:t>
            </w:r>
          </w:p>
        </w:tc>
        <w:tc>
          <w:tcPr>
            <w:tcW w:w="1134" w:type="dxa"/>
            <w:gridSpan w:val="2"/>
          </w:tcPr>
          <w:p>
            <w:pPr>
              <w:pStyle w:val="nTable"/>
              <w:spacing w:after="40"/>
            </w:pPr>
            <w:r>
              <w:t>11 Sep 1995</w:t>
            </w:r>
          </w:p>
        </w:tc>
        <w:tc>
          <w:tcPr>
            <w:tcW w:w="2554" w:type="dxa"/>
            <w:gridSpan w:val="2"/>
          </w:tcPr>
          <w:p>
            <w:pPr>
              <w:pStyle w:val="nTable"/>
              <w:spacing w:after="40"/>
            </w:pPr>
            <w:r>
              <w:t xml:space="preserve">1 Oct 1995 (see s. 2 and </w:t>
            </w:r>
            <w:r>
              <w:rPr>
                <w:i/>
              </w:rPr>
              <w:t>Gazette</w:t>
            </w:r>
            <w:r>
              <w:t xml:space="preserve"> 15 Sep 1995 p. 4301)</w:t>
            </w:r>
          </w:p>
        </w:tc>
      </w:tr>
      <w:tr>
        <w:trPr>
          <w:gridBefore w:val="1"/>
          <w:wBefore w:w="28" w:type="dxa"/>
          <w:cantSplit/>
        </w:trPr>
        <w:tc>
          <w:tcPr>
            <w:tcW w:w="2266" w:type="dxa"/>
            <w:gridSpan w:val="2"/>
          </w:tcPr>
          <w:p>
            <w:pPr>
              <w:pStyle w:val="nTable"/>
              <w:spacing w:after="40"/>
            </w:pPr>
            <w:r>
              <w:rPr>
                <w:i/>
              </w:rPr>
              <w:t>Sentencing (Consequential Provisions) Act 1995</w:t>
            </w:r>
            <w:r>
              <w:t xml:space="preserve"> Pt. 84</w:t>
            </w:r>
          </w:p>
        </w:tc>
        <w:tc>
          <w:tcPr>
            <w:tcW w:w="1134" w:type="dxa"/>
            <w:gridSpan w:val="2"/>
          </w:tcPr>
          <w:p>
            <w:pPr>
              <w:pStyle w:val="nTable"/>
              <w:spacing w:after="40"/>
            </w:pPr>
            <w:r>
              <w:t>78 of 1995</w:t>
            </w:r>
          </w:p>
        </w:tc>
        <w:tc>
          <w:tcPr>
            <w:tcW w:w="1134" w:type="dxa"/>
            <w:gridSpan w:val="2"/>
          </w:tcPr>
          <w:p>
            <w:pPr>
              <w:pStyle w:val="nTable"/>
              <w:spacing w:after="40"/>
            </w:pPr>
            <w:r>
              <w:t>16 Jan 1996</w:t>
            </w:r>
          </w:p>
        </w:tc>
        <w:tc>
          <w:tcPr>
            <w:tcW w:w="2554" w:type="dxa"/>
            <w:gridSpan w:val="2"/>
          </w:tcPr>
          <w:p>
            <w:pPr>
              <w:pStyle w:val="nTable"/>
              <w:spacing w:after="40"/>
            </w:pPr>
            <w:r>
              <w:t xml:space="preserve">4 Nov 1996 (see s. 2 and </w:t>
            </w:r>
            <w:r>
              <w:rPr>
                <w:i/>
              </w:rPr>
              <w:t>Gazette</w:t>
            </w:r>
            <w:r>
              <w:t xml:space="preserve"> 25 Oct 1996 p. 5632)</w:t>
            </w:r>
          </w:p>
        </w:tc>
      </w:tr>
      <w:tr>
        <w:trPr>
          <w:gridBefore w:val="1"/>
          <w:wBefore w:w="28" w:type="dxa"/>
          <w:cantSplit/>
        </w:trPr>
        <w:tc>
          <w:tcPr>
            <w:tcW w:w="2266" w:type="dxa"/>
            <w:gridSpan w:val="2"/>
          </w:tcPr>
          <w:p>
            <w:pPr>
              <w:pStyle w:val="nTable"/>
              <w:spacing w:after="40"/>
            </w:pPr>
            <w:r>
              <w:rPr>
                <w:i/>
              </w:rPr>
              <w:lastRenderedPageBreak/>
              <w:t>Local Government (Consequential Amendments) Act 1996</w:t>
            </w:r>
            <w:r>
              <w:t xml:space="preserve"> 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4" w:type="dxa"/>
            <w:gridSpan w:val="2"/>
          </w:tcPr>
          <w:p>
            <w:pPr>
              <w:pStyle w:val="nTable"/>
              <w:spacing w:after="40"/>
            </w:pPr>
            <w:r>
              <w:t>1 Jul 1996 (see s. 2)</w:t>
            </w:r>
          </w:p>
        </w:tc>
      </w:tr>
      <w:tr>
        <w:trPr>
          <w:gridBefore w:val="1"/>
          <w:wBefore w:w="28" w:type="dxa"/>
          <w:cantSplit/>
        </w:trPr>
        <w:tc>
          <w:tcPr>
            <w:tcW w:w="2266" w:type="dxa"/>
            <w:gridSpan w:val="2"/>
          </w:tcPr>
          <w:p>
            <w:pPr>
              <w:pStyle w:val="nTable"/>
              <w:spacing w:after="40"/>
            </w:pPr>
            <w:r>
              <w:rPr>
                <w:i/>
              </w:rPr>
              <w:t>Financial Legislation Amendment Act 1996</w:t>
            </w:r>
            <w:r>
              <w:t xml:space="preserve"> 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4" w:type="dxa"/>
            <w:gridSpan w:val="2"/>
          </w:tcPr>
          <w:p>
            <w:pPr>
              <w:pStyle w:val="nTable"/>
              <w:spacing w:after="40"/>
            </w:pPr>
            <w:r>
              <w:t>25 Oct 1996 (see s. 2(1))</w:t>
            </w:r>
          </w:p>
        </w:tc>
      </w:tr>
      <w:tr>
        <w:trPr>
          <w:gridBefore w:val="1"/>
          <w:wBefore w:w="28" w:type="dxa"/>
          <w:cantSplit/>
        </w:trPr>
        <w:tc>
          <w:tcPr>
            <w:tcW w:w="2266" w:type="dxa"/>
            <w:gridSpan w:val="2"/>
          </w:tcPr>
          <w:p>
            <w:pPr>
              <w:pStyle w:val="nTable"/>
              <w:spacing w:after="40"/>
              <w:rPr>
                <w:i/>
                <w:vertAlign w:val="superscript"/>
              </w:rPr>
            </w:pPr>
            <w:r>
              <w:rPr>
                <w:i/>
                <w:snapToGrid w:val="0"/>
              </w:rPr>
              <w:t>Acts Amendment (ICWA) Act 1996</w:t>
            </w:r>
            <w:r>
              <w:rPr>
                <w:snapToGrid w:val="0"/>
              </w:rPr>
              <w:t xml:space="preserve"> Sch. 1 it. 16</w:t>
            </w:r>
            <w:r>
              <w:t> </w:t>
            </w:r>
            <w:r>
              <w:rPr>
                <w:vertAlign w:val="superscript"/>
              </w:rPr>
              <w:t>27</w:t>
            </w:r>
          </w:p>
        </w:tc>
        <w:tc>
          <w:tcPr>
            <w:tcW w:w="1134" w:type="dxa"/>
            <w:gridSpan w:val="2"/>
          </w:tcPr>
          <w:p>
            <w:pPr>
              <w:pStyle w:val="nTable"/>
              <w:spacing w:after="40"/>
            </w:pPr>
            <w:r>
              <w:t>45 of 1996</w:t>
            </w:r>
            <w:r>
              <w:br/>
              <w:t>(as amended by No. 42 of 2004 s. 155)</w:t>
            </w:r>
          </w:p>
        </w:tc>
        <w:tc>
          <w:tcPr>
            <w:tcW w:w="1134" w:type="dxa"/>
            <w:gridSpan w:val="2"/>
          </w:tcPr>
          <w:p>
            <w:pPr>
              <w:pStyle w:val="nTable"/>
              <w:spacing w:after="40"/>
            </w:pPr>
            <w:r>
              <w:t>25 Oct 1996</w:t>
            </w:r>
          </w:p>
        </w:tc>
        <w:tc>
          <w:tcPr>
            <w:tcW w:w="2554" w:type="dxa"/>
            <w:gridSpan w:val="2"/>
          </w:tcPr>
          <w:p>
            <w:pPr>
              <w:pStyle w:val="nTable"/>
              <w:spacing w:after="40"/>
            </w:pPr>
            <w:r>
              <w:t xml:space="preserve">1 Jul 2012 (see s. 2 and </w:t>
            </w:r>
            <w:r>
              <w:rPr>
                <w:i/>
              </w:rPr>
              <w:t>Gazette</w:t>
            </w:r>
            <w:r>
              <w:t xml:space="preserve"> 8 Jun 2012 p. 2385)</w:t>
            </w:r>
          </w:p>
        </w:tc>
      </w:tr>
      <w:tr>
        <w:trPr>
          <w:gridBefore w:val="1"/>
          <w:wBefore w:w="28" w:type="dxa"/>
          <w:cantSplit/>
        </w:trPr>
        <w:tc>
          <w:tcPr>
            <w:tcW w:w="7088" w:type="dxa"/>
            <w:gridSpan w:val="8"/>
          </w:tcPr>
          <w:p>
            <w:pPr>
              <w:pStyle w:val="nTable"/>
              <w:spacing w:after="40"/>
            </w:pPr>
            <w:r>
              <w:rPr>
                <w:b/>
              </w:rPr>
              <w:t xml:space="preserve">Reprint of the </w:t>
            </w:r>
            <w:r>
              <w:rPr>
                <w:b/>
                <w:i/>
              </w:rPr>
              <w:t>Workers’ Compensation and Rehabilitation Act 1981</w:t>
            </w:r>
            <w:r>
              <w:rPr>
                <w:b/>
              </w:rPr>
              <w:t xml:space="preserve"> as at 29 Jan 1999</w:t>
            </w:r>
            <w:r>
              <w:t xml:space="preserve"> (includes amendments listed above except those in the </w:t>
            </w:r>
            <w:r>
              <w:rPr>
                <w:i/>
              </w:rPr>
              <w:t>Acts Amendment (ICWA) Act 1996</w:t>
            </w:r>
            <w:r>
              <w:t>)</w:t>
            </w:r>
          </w:p>
        </w:tc>
      </w:tr>
      <w:tr>
        <w:trPr>
          <w:gridBefore w:val="1"/>
          <w:wBefore w:w="28" w:type="dxa"/>
          <w:cantSplit/>
        </w:trPr>
        <w:tc>
          <w:tcPr>
            <w:tcW w:w="2266" w:type="dxa"/>
            <w:gridSpan w:val="2"/>
          </w:tcPr>
          <w:p>
            <w:pPr>
              <w:pStyle w:val="nTable"/>
              <w:spacing w:after="40"/>
            </w:pPr>
            <w:r>
              <w:rPr>
                <w:i/>
              </w:rPr>
              <w:t>Workers’ Compensation and Rehabilitation Amendment Act (No. 2) 1999</w:t>
            </w:r>
            <w:r>
              <w:t> </w:t>
            </w:r>
            <w:r>
              <w:rPr>
                <w:vertAlign w:val="superscript"/>
              </w:rPr>
              <w:t>28</w:t>
            </w:r>
          </w:p>
        </w:tc>
        <w:tc>
          <w:tcPr>
            <w:tcW w:w="1134" w:type="dxa"/>
            <w:gridSpan w:val="2"/>
          </w:tcPr>
          <w:p>
            <w:pPr>
              <w:pStyle w:val="nTable"/>
              <w:spacing w:after="40"/>
            </w:pPr>
            <w:r>
              <w:t>33 of 1999</w:t>
            </w:r>
          </w:p>
        </w:tc>
        <w:tc>
          <w:tcPr>
            <w:tcW w:w="1134" w:type="dxa"/>
            <w:gridSpan w:val="2"/>
          </w:tcPr>
          <w:p>
            <w:pPr>
              <w:pStyle w:val="nTable"/>
              <w:spacing w:after="40"/>
            </w:pPr>
            <w:r>
              <w:t>5 Oct 1999</w:t>
            </w:r>
          </w:p>
        </w:tc>
        <w:tc>
          <w:tcPr>
            <w:tcW w:w="2554" w:type="dxa"/>
            <w:gridSpan w:val="2"/>
          </w:tcPr>
          <w:p>
            <w:pPr>
              <w:pStyle w:val="nTable"/>
              <w:spacing w:after="40"/>
            </w:pPr>
            <w:r>
              <w:t>5 Oct 1999 (see s. 2)</w:t>
            </w:r>
          </w:p>
        </w:tc>
      </w:tr>
      <w:tr>
        <w:trPr>
          <w:gridBefore w:val="1"/>
          <w:wBefore w:w="28" w:type="dxa"/>
          <w:cantSplit/>
        </w:trPr>
        <w:tc>
          <w:tcPr>
            <w:tcW w:w="2266" w:type="dxa"/>
            <w:gridSpan w:val="2"/>
          </w:tcPr>
          <w:p>
            <w:pPr>
              <w:pStyle w:val="nTable"/>
              <w:spacing w:after="40"/>
            </w:pPr>
            <w:r>
              <w:rPr>
                <w:i/>
              </w:rPr>
              <w:t>Workers’ Compensation and Rehabilitation Amendment Act 1999</w:t>
            </w:r>
            <w:r>
              <w:rPr>
                <w:vertAlign w:val="superscript"/>
              </w:rPr>
              <w:t> 29-31</w:t>
            </w:r>
          </w:p>
        </w:tc>
        <w:tc>
          <w:tcPr>
            <w:tcW w:w="1134" w:type="dxa"/>
            <w:gridSpan w:val="2"/>
          </w:tcPr>
          <w:p>
            <w:pPr>
              <w:pStyle w:val="nTable"/>
              <w:spacing w:after="40"/>
            </w:pPr>
            <w:r>
              <w:t>34 of 1999</w:t>
            </w:r>
            <w:r>
              <w:br/>
              <w:t>(as amended by No. 37 of 1999 s. 3) (as affected by No. 35 of 2004 Pt. 2)</w:t>
            </w:r>
          </w:p>
        </w:tc>
        <w:tc>
          <w:tcPr>
            <w:tcW w:w="1134" w:type="dxa"/>
            <w:gridSpan w:val="2"/>
          </w:tcPr>
          <w:p>
            <w:pPr>
              <w:pStyle w:val="nTable"/>
              <w:spacing w:after="40"/>
            </w:pPr>
            <w:r>
              <w:t>5 Oct 1999</w:t>
            </w:r>
          </w:p>
        </w:tc>
        <w:tc>
          <w:tcPr>
            <w:tcW w:w="2554" w:type="dxa"/>
            <w:gridSpan w:val="2"/>
          </w:tcPr>
          <w:p>
            <w:pPr>
              <w:pStyle w:val="nTable"/>
              <w:spacing w:after="40"/>
            </w:pPr>
            <w:r>
              <w:t>s. 5, 14, 15, 32, 48(a)(iv), 53(a), (c) and (d)(ii): 5 Oct 1999 (see s. 2(1));</w:t>
            </w:r>
            <w:r>
              <w:br/>
              <w:t xml:space="preserve">Act other than s. 5, 14, 15, 32, 48(a)(iv), 53(a), (c) and (d)(ii): 15 Oct 1999 (see s. 2(2) and </w:t>
            </w:r>
            <w:r>
              <w:rPr>
                <w:i/>
              </w:rPr>
              <w:t>Gazette</w:t>
            </w:r>
            <w:r>
              <w:t xml:space="preserve"> 15 Oct 1999 p. 4889 (correction in </w:t>
            </w:r>
            <w:r>
              <w:rPr>
                <w:i/>
              </w:rPr>
              <w:t>Gazette</w:t>
            </w:r>
            <w:r>
              <w:t xml:space="preserve"> 19 Nov 1999 p. 5797))</w:t>
            </w:r>
          </w:p>
        </w:tc>
      </w:tr>
      <w:tr>
        <w:trPr>
          <w:gridBefore w:val="1"/>
          <w:wBefore w:w="28" w:type="dxa"/>
          <w:cantSplit/>
        </w:trPr>
        <w:tc>
          <w:tcPr>
            <w:tcW w:w="2266" w:type="dxa"/>
            <w:gridSpan w:val="2"/>
          </w:tcPr>
          <w:p>
            <w:pPr>
              <w:pStyle w:val="nTable"/>
              <w:spacing w:after="40"/>
              <w:rPr>
                <w:i/>
              </w:rPr>
            </w:pPr>
            <w:r>
              <w:rPr>
                <w:i/>
              </w:rPr>
              <w:t>Workers’ Compensation and Rehabilitation Amendment Act 2000</w:t>
            </w:r>
          </w:p>
        </w:tc>
        <w:tc>
          <w:tcPr>
            <w:tcW w:w="1134" w:type="dxa"/>
            <w:gridSpan w:val="2"/>
          </w:tcPr>
          <w:p>
            <w:pPr>
              <w:pStyle w:val="nTable"/>
              <w:spacing w:after="40"/>
            </w:pPr>
            <w:r>
              <w:t>44 of 2000</w:t>
            </w:r>
          </w:p>
        </w:tc>
        <w:tc>
          <w:tcPr>
            <w:tcW w:w="1134" w:type="dxa"/>
            <w:gridSpan w:val="2"/>
          </w:tcPr>
          <w:p>
            <w:pPr>
              <w:pStyle w:val="nTable"/>
              <w:spacing w:after="40"/>
            </w:pPr>
            <w:r>
              <w:t>17 Nov 2000</w:t>
            </w:r>
          </w:p>
        </w:tc>
        <w:tc>
          <w:tcPr>
            <w:tcW w:w="2554" w:type="dxa"/>
            <w:gridSpan w:val="2"/>
          </w:tcPr>
          <w:p>
            <w:pPr>
              <w:pStyle w:val="nTable"/>
              <w:spacing w:after="40"/>
            </w:pPr>
            <w:r>
              <w:t>Act other than s. 1, 2 and 4(2)(b): 5 Oct 1999 (see s. 2(1));</w:t>
            </w:r>
            <w:r>
              <w:br/>
              <w:t>s. 1, 2 and 4(2)(b): 17 Nov 2000 (see s. 2(2))</w:t>
            </w:r>
          </w:p>
        </w:tc>
      </w:tr>
      <w:tr>
        <w:trPr>
          <w:gridBefore w:val="1"/>
          <w:wBefore w:w="28" w:type="dxa"/>
          <w:cantSplit/>
        </w:trPr>
        <w:tc>
          <w:tcPr>
            <w:tcW w:w="2266" w:type="dxa"/>
            <w:gridSpan w:val="2"/>
          </w:tcPr>
          <w:p>
            <w:pPr>
              <w:pStyle w:val="nTable"/>
              <w:spacing w:after="40"/>
              <w:rPr>
                <w:i/>
              </w:rPr>
            </w:pPr>
            <w:r>
              <w:rPr>
                <w:i/>
              </w:rPr>
              <w:t>Corporations (Consequential Amendments) Act 2001</w:t>
            </w:r>
            <w:r>
              <w:t xml:space="preserve"> Pt. 57</w:t>
            </w:r>
          </w:p>
        </w:tc>
        <w:tc>
          <w:tcPr>
            <w:tcW w:w="1134" w:type="dxa"/>
            <w:gridSpan w:val="2"/>
          </w:tcPr>
          <w:p>
            <w:pPr>
              <w:pStyle w:val="nTable"/>
              <w:spacing w:after="40"/>
            </w:pPr>
            <w:r>
              <w:t>10 of 2001</w:t>
            </w:r>
          </w:p>
        </w:tc>
        <w:tc>
          <w:tcPr>
            <w:tcW w:w="1134" w:type="dxa"/>
            <w:gridSpan w:val="2"/>
          </w:tcPr>
          <w:p>
            <w:pPr>
              <w:pStyle w:val="nTable"/>
              <w:spacing w:after="40"/>
            </w:pPr>
            <w:r>
              <w:t>28 Jun 2001</w:t>
            </w:r>
          </w:p>
        </w:tc>
        <w:tc>
          <w:tcPr>
            <w:tcW w:w="2554"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Before w:val="1"/>
          <w:wBefore w:w="28" w:type="dxa"/>
          <w:cantSplit/>
        </w:trPr>
        <w:tc>
          <w:tcPr>
            <w:tcW w:w="7088" w:type="dxa"/>
            <w:gridSpan w:val="8"/>
          </w:tcPr>
          <w:p>
            <w:pPr>
              <w:pStyle w:val="nTable"/>
              <w:spacing w:after="40"/>
            </w:pPr>
            <w:r>
              <w:rPr>
                <w:b/>
              </w:rPr>
              <w:t xml:space="preserve">Reprint of the </w:t>
            </w:r>
            <w:r>
              <w:rPr>
                <w:b/>
                <w:i/>
              </w:rPr>
              <w:t>Workers’ Compensation and Rehabilitation Act 1981</w:t>
            </w:r>
            <w:r>
              <w:rPr>
                <w:b/>
              </w:rPr>
              <w:t xml:space="preserve"> as at 14 Sep 2001</w:t>
            </w:r>
            <w:r>
              <w:t xml:space="preserve"> (includes amendments listed above except those in the </w:t>
            </w:r>
            <w:r>
              <w:rPr>
                <w:i/>
              </w:rPr>
              <w:t>Acts Amendment (ICWA) Act 1996</w:t>
            </w:r>
            <w:r>
              <w:t>)</w:t>
            </w:r>
          </w:p>
        </w:tc>
      </w:tr>
      <w:tr>
        <w:trPr>
          <w:gridBefore w:val="1"/>
          <w:wBefore w:w="28" w:type="dxa"/>
          <w:cantSplit/>
        </w:trPr>
        <w:tc>
          <w:tcPr>
            <w:tcW w:w="2266" w:type="dxa"/>
            <w:gridSpan w:val="2"/>
          </w:tcPr>
          <w:p>
            <w:pPr>
              <w:pStyle w:val="nTable"/>
              <w:spacing w:after="40"/>
            </w:pPr>
            <w:r>
              <w:rPr>
                <w:i/>
              </w:rPr>
              <w:t>Acts Amendment (Equality of Status) Act 2003</w:t>
            </w:r>
            <w:r>
              <w:t xml:space="preserve"> Pt. 63</w:t>
            </w:r>
          </w:p>
        </w:tc>
        <w:tc>
          <w:tcPr>
            <w:tcW w:w="1134" w:type="dxa"/>
            <w:gridSpan w:val="2"/>
          </w:tcPr>
          <w:p>
            <w:pPr>
              <w:pStyle w:val="nTable"/>
              <w:spacing w:after="40"/>
            </w:pPr>
            <w:r>
              <w:t>28 of 2003</w:t>
            </w:r>
          </w:p>
        </w:tc>
        <w:tc>
          <w:tcPr>
            <w:tcW w:w="1134" w:type="dxa"/>
            <w:gridSpan w:val="2"/>
          </w:tcPr>
          <w:p>
            <w:pPr>
              <w:pStyle w:val="nTable"/>
              <w:spacing w:after="40"/>
            </w:pPr>
            <w:r>
              <w:t>22 May 2003</w:t>
            </w:r>
          </w:p>
        </w:tc>
        <w:tc>
          <w:tcPr>
            <w:tcW w:w="2554" w:type="dxa"/>
            <w:gridSpan w:val="2"/>
          </w:tcPr>
          <w:p>
            <w:pPr>
              <w:pStyle w:val="nTable"/>
              <w:spacing w:after="40"/>
            </w:pPr>
            <w:r>
              <w:t xml:space="preserve">1 Jul 2003 (see s. 2 and </w:t>
            </w:r>
            <w:r>
              <w:rPr>
                <w:i/>
              </w:rPr>
              <w:t xml:space="preserve">Gazette </w:t>
            </w:r>
            <w:r>
              <w:t>30 Jun 2003 p. 2579)</w:t>
            </w:r>
          </w:p>
        </w:tc>
      </w:tr>
      <w:tr>
        <w:trPr>
          <w:gridBefore w:val="1"/>
          <w:wBefore w:w="28" w:type="dxa"/>
          <w:cantSplit/>
        </w:trPr>
        <w:tc>
          <w:tcPr>
            <w:tcW w:w="2266" w:type="dxa"/>
            <w:gridSpan w:val="2"/>
          </w:tcPr>
          <w:p>
            <w:pPr>
              <w:pStyle w:val="nTable"/>
              <w:spacing w:after="40"/>
              <w:rPr>
                <w:i/>
              </w:rPr>
            </w:pPr>
            <w:r>
              <w:rPr>
                <w:i/>
              </w:rPr>
              <w:t>Racing and Gambling Legislation Amendment and Repeal Act 2003</w:t>
            </w:r>
            <w:r>
              <w:t xml:space="preserve"> Pt. 15</w:t>
            </w:r>
          </w:p>
        </w:tc>
        <w:tc>
          <w:tcPr>
            <w:tcW w:w="1134" w:type="dxa"/>
            <w:gridSpan w:val="2"/>
          </w:tcPr>
          <w:p>
            <w:pPr>
              <w:pStyle w:val="nTable"/>
              <w:spacing w:after="40"/>
            </w:pPr>
            <w:r>
              <w:t>35 of 2003</w:t>
            </w:r>
          </w:p>
        </w:tc>
        <w:tc>
          <w:tcPr>
            <w:tcW w:w="1134" w:type="dxa"/>
            <w:gridSpan w:val="2"/>
          </w:tcPr>
          <w:p>
            <w:pPr>
              <w:pStyle w:val="nTable"/>
              <w:spacing w:after="40"/>
            </w:pPr>
            <w:r>
              <w:t>26 Jun 2003</w:t>
            </w:r>
          </w:p>
        </w:tc>
        <w:tc>
          <w:tcPr>
            <w:tcW w:w="2554" w:type="dxa"/>
            <w:gridSpan w:val="2"/>
          </w:tcPr>
          <w:p>
            <w:pPr>
              <w:pStyle w:val="nTable"/>
              <w:spacing w:after="40"/>
            </w:pPr>
            <w:r>
              <w:t xml:space="preserve">1 Aug 2003 (see s. 2 and </w:t>
            </w:r>
            <w:r>
              <w:rPr>
                <w:i/>
              </w:rPr>
              <w:t>Gazette</w:t>
            </w:r>
            <w:r>
              <w:t xml:space="preserve"> 29 Jul 2003 p. 3259)</w:t>
            </w:r>
          </w:p>
        </w:tc>
      </w:tr>
      <w:tr>
        <w:trPr>
          <w:gridBefore w:val="1"/>
          <w:wBefore w:w="28" w:type="dxa"/>
          <w:cantSplit/>
        </w:trPr>
        <w:tc>
          <w:tcPr>
            <w:tcW w:w="2266" w:type="dxa"/>
            <w:gridSpan w:val="2"/>
          </w:tcPr>
          <w:p>
            <w:pPr>
              <w:pStyle w:val="nTable"/>
              <w:spacing w:after="40"/>
              <w:rPr>
                <w:vertAlign w:val="superscript"/>
              </w:rPr>
            </w:pPr>
            <w:r>
              <w:rPr>
                <w:i/>
              </w:rPr>
              <w:lastRenderedPageBreak/>
              <w:t>Acts Amendment and Repeal (Courts and Legal Practice) Act 2003</w:t>
            </w:r>
            <w:r>
              <w:t xml:space="preserve"> s. 72 and 96</w:t>
            </w:r>
          </w:p>
        </w:tc>
        <w:tc>
          <w:tcPr>
            <w:tcW w:w="1134" w:type="dxa"/>
            <w:gridSpan w:val="2"/>
          </w:tcPr>
          <w:p>
            <w:pPr>
              <w:pStyle w:val="nTable"/>
              <w:spacing w:after="40"/>
            </w:pPr>
            <w:r>
              <w:t>65 of 2003</w:t>
            </w:r>
          </w:p>
        </w:tc>
        <w:tc>
          <w:tcPr>
            <w:tcW w:w="1134" w:type="dxa"/>
            <w:gridSpan w:val="2"/>
          </w:tcPr>
          <w:p>
            <w:pPr>
              <w:pStyle w:val="nTable"/>
              <w:spacing w:after="40"/>
            </w:pPr>
            <w:r>
              <w:t>4 Dec 2003</w:t>
            </w:r>
          </w:p>
        </w:tc>
        <w:tc>
          <w:tcPr>
            <w:tcW w:w="2554" w:type="dxa"/>
            <w:gridSpan w:val="2"/>
          </w:tcPr>
          <w:p>
            <w:pPr>
              <w:pStyle w:val="nTable"/>
              <w:spacing w:after="40"/>
            </w:pPr>
            <w:r>
              <w:t xml:space="preserve">1 Jan 2004 (see s. 2 and </w:t>
            </w:r>
            <w:r>
              <w:rPr>
                <w:i/>
              </w:rPr>
              <w:t>Gazette</w:t>
            </w:r>
            <w:r>
              <w:t xml:space="preserve"> 30 Dec 2003 p. 5722)</w:t>
            </w:r>
          </w:p>
        </w:tc>
      </w:tr>
      <w:tr>
        <w:trPr>
          <w:gridBefore w:val="1"/>
          <w:wBefore w:w="28" w:type="dxa"/>
          <w:cantSplit/>
        </w:trPr>
        <w:tc>
          <w:tcPr>
            <w:tcW w:w="2266" w:type="dxa"/>
            <w:gridSpan w:val="2"/>
          </w:tcPr>
          <w:p>
            <w:pPr>
              <w:pStyle w:val="nTable"/>
              <w:spacing w:after="40"/>
            </w:pPr>
            <w:r>
              <w:rPr>
                <w:i/>
              </w:rPr>
              <w:t>Statutes (Repeals and Minor Amendments) Act 2003</w:t>
            </w:r>
            <w:r>
              <w:t xml:space="preserve"> s. 134</w:t>
            </w:r>
          </w:p>
        </w:tc>
        <w:tc>
          <w:tcPr>
            <w:tcW w:w="1134" w:type="dxa"/>
            <w:gridSpan w:val="2"/>
          </w:tcPr>
          <w:p>
            <w:pPr>
              <w:pStyle w:val="nTable"/>
              <w:spacing w:after="40"/>
            </w:pPr>
            <w:r>
              <w:t>74 of 2003</w:t>
            </w:r>
          </w:p>
        </w:tc>
        <w:tc>
          <w:tcPr>
            <w:tcW w:w="1134" w:type="dxa"/>
            <w:gridSpan w:val="2"/>
          </w:tcPr>
          <w:p>
            <w:pPr>
              <w:pStyle w:val="nTable"/>
              <w:spacing w:after="40"/>
            </w:pPr>
            <w:r>
              <w:t>15 Dec 2003</w:t>
            </w:r>
          </w:p>
        </w:tc>
        <w:tc>
          <w:tcPr>
            <w:tcW w:w="2554" w:type="dxa"/>
            <w:gridSpan w:val="2"/>
          </w:tcPr>
          <w:p>
            <w:pPr>
              <w:pStyle w:val="nTable"/>
              <w:spacing w:after="40"/>
            </w:pPr>
            <w:r>
              <w:t>15 Dec 2003 (see s. 2)</w:t>
            </w:r>
          </w:p>
        </w:tc>
      </w:tr>
      <w:tr>
        <w:trPr>
          <w:gridBefore w:val="1"/>
          <w:wBefore w:w="28" w:type="dxa"/>
          <w:cantSplit/>
        </w:trPr>
        <w:tc>
          <w:tcPr>
            <w:tcW w:w="2266" w:type="dxa"/>
            <w:gridSpan w:val="2"/>
          </w:tcPr>
          <w:p>
            <w:pPr>
              <w:pStyle w:val="nTable"/>
              <w:spacing w:after="40"/>
            </w:pPr>
            <w:r>
              <w:rPr>
                <w:i/>
              </w:rPr>
              <w:t>Workers’ Compensation (Common Law Proceedings) Act 2004</w:t>
            </w:r>
            <w:r>
              <w:t xml:space="preserve"> </w:t>
            </w:r>
          </w:p>
        </w:tc>
        <w:tc>
          <w:tcPr>
            <w:tcW w:w="1134" w:type="dxa"/>
            <w:gridSpan w:val="2"/>
          </w:tcPr>
          <w:p>
            <w:pPr>
              <w:pStyle w:val="nTable"/>
              <w:spacing w:after="40"/>
            </w:pPr>
            <w:r>
              <w:t>35 of 2004</w:t>
            </w:r>
          </w:p>
        </w:tc>
        <w:tc>
          <w:tcPr>
            <w:tcW w:w="1134" w:type="dxa"/>
            <w:gridSpan w:val="2"/>
          </w:tcPr>
          <w:p>
            <w:pPr>
              <w:pStyle w:val="nTable"/>
              <w:spacing w:after="40"/>
            </w:pPr>
            <w:r>
              <w:t>25 Oct 2004</w:t>
            </w:r>
          </w:p>
        </w:tc>
        <w:tc>
          <w:tcPr>
            <w:tcW w:w="2554" w:type="dxa"/>
            <w:gridSpan w:val="2"/>
          </w:tcPr>
          <w:p>
            <w:pPr>
              <w:pStyle w:val="nTable"/>
              <w:spacing w:after="40"/>
            </w:pPr>
            <w:r>
              <w:t>s. 5(1) and (2): 5 Oct 1999 (see s. 2(2));</w:t>
            </w:r>
            <w:r>
              <w:br/>
              <w:t>Act other than s. 5(1) and (2): 25 Oct 2004 (see s. 2(1))</w:t>
            </w:r>
          </w:p>
        </w:tc>
      </w:tr>
      <w:tr>
        <w:trPr>
          <w:gridBefore w:val="1"/>
          <w:wBefore w:w="28" w:type="dxa"/>
          <w:cantSplit/>
        </w:trPr>
        <w:tc>
          <w:tcPr>
            <w:tcW w:w="2266" w:type="dxa"/>
            <w:gridSpan w:val="2"/>
          </w:tcPr>
          <w:p>
            <w:pPr>
              <w:pStyle w:val="nTable"/>
              <w:spacing w:after="40"/>
              <w:rPr>
                <w:vertAlign w:val="superscript"/>
              </w:rPr>
            </w:pPr>
            <w:r>
              <w:rPr>
                <w:i/>
              </w:rPr>
              <w:t>Workers’ Compensation and Rehabilitation Amendment (Cross Border) Act 2004</w:t>
            </w:r>
            <w:r>
              <w:rPr>
                <w:vertAlign w:val="superscript"/>
              </w:rPr>
              <w:t> 32</w:t>
            </w:r>
          </w:p>
        </w:tc>
        <w:tc>
          <w:tcPr>
            <w:tcW w:w="1134" w:type="dxa"/>
            <w:gridSpan w:val="2"/>
          </w:tcPr>
          <w:p>
            <w:pPr>
              <w:pStyle w:val="nTable"/>
              <w:spacing w:after="40"/>
            </w:pPr>
            <w:r>
              <w:t>36 of 2004 (as amended by this Act s. 16, 17(5) and 19)</w:t>
            </w:r>
          </w:p>
        </w:tc>
        <w:tc>
          <w:tcPr>
            <w:tcW w:w="1134" w:type="dxa"/>
            <w:gridSpan w:val="2"/>
          </w:tcPr>
          <w:p>
            <w:pPr>
              <w:pStyle w:val="nTable"/>
              <w:spacing w:after="40"/>
            </w:pPr>
            <w:r>
              <w:t>28 Oct 2004</w:t>
            </w:r>
          </w:p>
        </w:tc>
        <w:tc>
          <w:tcPr>
            <w:tcW w:w="2554" w:type="dxa"/>
            <w:gridSpan w:val="2"/>
          </w:tcPr>
          <w:p>
            <w:pPr>
              <w:pStyle w:val="nTable"/>
              <w:spacing w:after="40"/>
            </w:pPr>
            <w:r>
              <w:t>s. 1 and 2: 28 Oct 2004;</w:t>
            </w:r>
            <w:r>
              <w:br/>
              <w:t xml:space="preserve">Act other than s. 1, 2 and Pt. 3: 22 Dec 2004 (see s. 2 and </w:t>
            </w:r>
            <w:r>
              <w:rPr>
                <w:i/>
              </w:rPr>
              <w:t>Gazette</w:t>
            </w:r>
            <w:r>
              <w:t xml:space="preserve"> 21 Dec 2004 p. 6143);</w:t>
            </w:r>
            <w:r>
              <w:br/>
              <w:t xml:space="preserve">Pt. 3: 14 Nov 2005 (see s. 2(2) and </w:t>
            </w:r>
            <w:r>
              <w:rPr>
                <w:i/>
              </w:rPr>
              <w:t>Gazette</w:t>
            </w:r>
            <w:r>
              <w:t xml:space="preserve"> 1 Nov 2005 p. 4975)</w:t>
            </w:r>
          </w:p>
        </w:tc>
      </w:tr>
      <w:tr>
        <w:trPr>
          <w:gridBefore w:val="1"/>
          <w:wBefore w:w="28" w:type="dxa"/>
        </w:trPr>
        <w:tc>
          <w:tcPr>
            <w:tcW w:w="2266" w:type="dxa"/>
            <w:gridSpan w:val="2"/>
          </w:tcPr>
          <w:p>
            <w:pPr>
              <w:pStyle w:val="nTable"/>
              <w:spacing w:after="40"/>
              <w:rPr>
                <w:i/>
              </w:rPr>
            </w:pPr>
            <w:r>
              <w:rPr>
                <w:i/>
                <w:snapToGrid w:val="0"/>
              </w:rPr>
              <w:t>Workers’ Compensation Reform Act 2004 </w:t>
            </w:r>
            <w:r>
              <w:rPr>
                <w:snapToGrid w:val="0"/>
                <w:vertAlign w:val="superscript"/>
              </w:rPr>
              <w:t xml:space="preserve"> 33, 34</w:t>
            </w:r>
          </w:p>
        </w:tc>
        <w:tc>
          <w:tcPr>
            <w:tcW w:w="1134" w:type="dxa"/>
            <w:gridSpan w:val="2"/>
          </w:tcPr>
          <w:p>
            <w:pPr>
              <w:pStyle w:val="nTable"/>
              <w:spacing w:after="40"/>
            </w:pPr>
            <w:r>
              <w:t>42 of 2004</w:t>
            </w:r>
            <w:r>
              <w:br/>
              <w:t>(as amended by No. 16 of 2005 s. 4</w:t>
            </w:r>
            <w:r>
              <w:noBreakHyphen/>
              <w:t>7)</w:t>
            </w:r>
          </w:p>
        </w:tc>
        <w:tc>
          <w:tcPr>
            <w:tcW w:w="1134" w:type="dxa"/>
            <w:gridSpan w:val="2"/>
          </w:tcPr>
          <w:p>
            <w:pPr>
              <w:pStyle w:val="nTable"/>
              <w:spacing w:after="40"/>
            </w:pPr>
            <w:r>
              <w:t>9 Nov 2004</w:t>
            </w:r>
          </w:p>
        </w:tc>
        <w:tc>
          <w:tcPr>
            <w:tcW w:w="2554" w:type="dxa"/>
            <w:gridSpan w:val="2"/>
          </w:tcPr>
          <w:p>
            <w:pPr>
              <w:pStyle w:val="nTable"/>
            </w:pPr>
            <w:r>
              <w:t xml:space="preserve">s. 1 and 2: 9 Nov 2004; s. 3, 4(b), 5, 8(1) in so far as it deletes the definitions of </w:t>
            </w:r>
            <w:r>
              <w:rPr>
                <w:b/>
                <w:bCs/>
                <w:i/>
                <w:iCs/>
              </w:rPr>
              <w:t>Commission</w:t>
            </w:r>
            <w:r>
              <w:t xml:space="preserve">, </w:t>
            </w:r>
            <w:r>
              <w:rPr>
                <w:b/>
                <w:bCs/>
                <w:i/>
                <w:iCs/>
              </w:rPr>
              <w:t>Committee</w:t>
            </w:r>
            <w:r>
              <w:t xml:space="preserve">, </w:t>
            </w:r>
            <w:r>
              <w:rPr>
                <w:b/>
                <w:bCs/>
                <w:i/>
                <w:iCs/>
              </w:rPr>
              <w:t>Executive Director</w:t>
            </w:r>
            <w:r>
              <w:t xml:space="preserve"> and </w:t>
            </w:r>
            <w:r>
              <w:rPr>
                <w:b/>
                <w:bCs/>
                <w:i/>
                <w:iCs/>
              </w:rPr>
              <w:t>the Chairman of the Commission</w:t>
            </w:r>
            <w:r>
              <w:t xml:space="preserve">, s. 8(2) in so far as it inserts the definitions of </w:t>
            </w:r>
            <w:r>
              <w:rPr>
                <w:b/>
                <w:bCs/>
                <w:i/>
                <w:iCs/>
              </w:rPr>
              <w:t>chief executive officer</w:t>
            </w:r>
            <w:r>
              <w:t xml:space="preserve">, </w:t>
            </w:r>
            <w:r>
              <w:rPr>
                <w:b/>
                <w:bCs/>
                <w:i/>
                <w:iCs/>
              </w:rPr>
              <w:t>the Chairman of WorkCover WA</w:t>
            </w:r>
            <w:r>
              <w:t xml:space="preserve">, and </w:t>
            </w:r>
            <w:r>
              <w:rPr>
                <w:b/>
                <w:bCs/>
                <w:i/>
                <w:iCs/>
              </w:rPr>
              <w:t>WorkCover WA</w:t>
            </w:r>
            <w:r>
              <w:t>, s. 8(3)(a), (b), (d), (e) and (i), 9, 19, 23</w:t>
            </w:r>
            <w:r>
              <w:noBreakHyphen/>
              <w:t>26, 28</w:t>
            </w:r>
            <w:r>
              <w:noBreakHyphen/>
              <w:t>35, 38</w:t>
            </w:r>
            <w:r>
              <w:noBreakHyphen/>
              <w:t>39, 40(a), 55(3)(b), 57(a) and (b), 64, 65(1), 80</w:t>
            </w:r>
            <w:r>
              <w:noBreakHyphen/>
              <w:t>86, 87(8), 88(1)</w:t>
            </w:r>
            <w:r>
              <w:noBreakHyphen/>
              <w:t>(4), 89</w:t>
            </w:r>
            <w:r>
              <w:noBreakHyphen/>
              <w:t>91, 93(a), (c), and (d), 94</w:t>
            </w:r>
            <w:r>
              <w:noBreakHyphen/>
              <w:t>95, 97, 98(1), (2) and (3)(a), 99</w:t>
            </w:r>
            <w:r>
              <w:noBreakHyphen/>
              <w:t>100, 101(1), 102, 111</w:t>
            </w:r>
            <w:r>
              <w:noBreakHyphen/>
              <w:t>113, 115</w:t>
            </w:r>
            <w:r>
              <w:noBreakHyphen/>
              <w:t>117, 122, 123(1)</w:t>
            </w:r>
            <w:r>
              <w:noBreakHyphen/>
              <w:t>(5), 124, 125(1), 126(1), (2), (3) and (5), 127, 131, 133, 135, 137</w:t>
            </w:r>
            <w:r>
              <w:noBreakHyphen/>
              <w:t>138, 140, 141(4)(a), (5)(a), (8)</w:t>
            </w:r>
            <w:r>
              <w:noBreakHyphen/>
              <w:t>(14), (15)(a), (c) and (d), and (21), 143(2), 150</w:t>
            </w:r>
            <w:r>
              <w:noBreakHyphen/>
              <w:t xml:space="preserve">153 and Pt. 4 (other than Div. 3): 4 Jan 2005 (see s. 2 and </w:t>
            </w:r>
            <w:r>
              <w:rPr>
                <w:i/>
              </w:rPr>
              <w:t>Gazette</w:t>
            </w:r>
            <w:r>
              <w:t xml:space="preserve"> </w:t>
            </w:r>
            <w:r>
              <w:lastRenderedPageBreak/>
              <w:t>31 Dec 2004 p. 7131);</w:t>
            </w:r>
            <w:r>
              <w:br/>
              <w:t xml:space="preserve">s. 4(a) and (c), 6 and 7, 8(1) other than the definitions of </w:t>
            </w:r>
            <w:r>
              <w:rPr>
                <w:b/>
                <w:bCs/>
                <w:i/>
                <w:iCs/>
              </w:rPr>
              <w:t>Commission</w:t>
            </w:r>
            <w:r>
              <w:t xml:space="preserve">, </w:t>
            </w:r>
            <w:r>
              <w:rPr>
                <w:b/>
                <w:bCs/>
                <w:i/>
                <w:iCs/>
              </w:rPr>
              <w:t>Committee</w:t>
            </w:r>
            <w:r>
              <w:t xml:space="preserve">, </w:t>
            </w:r>
            <w:r>
              <w:rPr>
                <w:b/>
                <w:bCs/>
                <w:i/>
                <w:iCs/>
              </w:rPr>
              <w:t>Executive Director</w:t>
            </w:r>
            <w:r>
              <w:t xml:space="preserve"> and </w:t>
            </w:r>
            <w:r>
              <w:rPr>
                <w:b/>
                <w:bCs/>
                <w:i/>
                <w:iCs/>
              </w:rPr>
              <w:t>the Chairman of the Commission</w:t>
            </w:r>
            <w:r>
              <w:t xml:space="preserve">, s. 8(2) other than the definitions of </w:t>
            </w:r>
            <w:r>
              <w:rPr>
                <w:b/>
                <w:bCs/>
                <w:i/>
                <w:iCs/>
              </w:rPr>
              <w:t>chief executive officer</w:t>
            </w:r>
            <w:r>
              <w:t xml:space="preserve">, </w:t>
            </w:r>
            <w:r>
              <w:rPr>
                <w:b/>
                <w:bCs/>
                <w:i/>
                <w:iCs/>
              </w:rPr>
              <w:t>the Chairman of WorkCover WA</w:t>
            </w:r>
            <w:r>
              <w:t xml:space="preserve">, and </w:t>
            </w:r>
            <w:r>
              <w:rPr>
                <w:b/>
                <w:bCs/>
                <w:i/>
                <w:iCs/>
              </w:rPr>
              <w:t>WorkCover WA</w:t>
            </w:r>
            <w:r>
              <w:t>, s. 8(3)(c), (f)</w:t>
            </w:r>
            <w:r>
              <w:noBreakHyphen/>
              <w:t>(h) and (4)</w:t>
            </w:r>
            <w:r>
              <w:noBreakHyphen/>
              <w:t>(5), 11</w:t>
            </w:r>
            <w:r>
              <w:noBreakHyphen/>
              <w:t>18, 20</w:t>
            </w:r>
            <w:r>
              <w:noBreakHyphen/>
              <w:t>22, 27, 36, 37, 40(b), 41</w:t>
            </w:r>
            <w:r>
              <w:noBreakHyphen/>
              <w:t>54, 55(1), (2), (3)(a) and (4), 56, 57(c)</w:t>
            </w:r>
            <w:r>
              <w:noBreakHyphen/>
              <w:t>(e), 58</w:t>
            </w:r>
            <w:r>
              <w:noBreakHyphen/>
              <w:t>63, 65(2), 66</w:t>
            </w:r>
            <w:r>
              <w:noBreakHyphen/>
              <w:t>79, 87(1)</w:t>
            </w:r>
            <w:r>
              <w:noBreakHyphen/>
              <w:t>(7), 88(5), 92, 93(b), 96, 98(3)(b) and (c), 101(2), (3) and (4)(b), 103</w:t>
            </w:r>
            <w:r>
              <w:noBreakHyphen/>
              <w:t>110, 114, 118, 119, 120(2) and (3), 121, 123(6), 125(2), 126(4), 128</w:t>
            </w:r>
            <w:r>
              <w:noBreakHyphen/>
              <w:t>130, 132, 134, 136, 139, 141(1)</w:t>
            </w:r>
            <w:r>
              <w:noBreakHyphen/>
              <w:t>(3), (4)(b), (5)(b), (6), (7), (15)(b) and (e), (16)</w:t>
            </w:r>
            <w:r>
              <w:noBreakHyphen/>
              <w:t>(20), (22)</w:t>
            </w:r>
            <w:r>
              <w:noBreakHyphen/>
              <w:t>(25), 142, 143(1), 144</w:t>
            </w:r>
            <w:r>
              <w:noBreakHyphen/>
              <w:t>149, 154 and 182</w:t>
            </w:r>
            <w:r>
              <w:noBreakHyphen/>
              <w:t xml:space="preserve">188: 14 Nov 2005 (see s. 2 and </w:t>
            </w:r>
            <w:r>
              <w:rPr>
                <w:i/>
              </w:rPr>
              <w:t>Gazette</w:t>
            </w:r>
            <w:r>
              <w:t xml:space="preserve"> 31 Dec 2004 p. 7131 and 17 Jun 2005 p. 2657);</w:t>
            </w:r>
          </w:p>
        </w:tc>
      </w:tr>
      <w:tr>
        <w:trPr>
          <w:gridBefore w:val="1"/>
          <w:wBefore w:w="28" w:type="dxa"/>
          <w:cantSplit/>
        </w:trPr>
        <w:tc>
          <w:tcPr>
            <w:tcW w:w="2266" w:type="dxa"/>
            <w:gridSpan w:val="2"/>
          </w:tcPr>
          <w:p>
            <w:pPr>
              <w:pStyle w:val="nTable"/>
              <w:spacing w:before="0" w:after="40"/>
              <w:rPr>
                <w:i/>
                <w:snapToGrid w:val="0"/>
              </w:rPr>
            </w:pPr>
          </w:p>
        </w:tc>
        <w:tc>
          <w:tcPr>
            <w:tcW w:w="1134" w:type="dxa"/>
            <w:gridSpan w:val="2"/>
          </w:tcPr>
          <w:p>
            <w:pPr>
              <w:pStyle w:val="nTable"/>
              <w:spacing w:before="0" w:after="40"/>
              <w:rPr>
                <w:snapToGrid w:val="0"/>
              </w:rPr>
            </w:pPr>
          </w:p>
        </w:tc>
        <w:tc>
          <w:tcPr>
            <w:tcW w:w="1134" w:type="dxa"/>
            <w:gridSpan w:val="2"/>
          </w:tcPr>
          <w:p>
            <w:pPr>
              <w:pStyle w:val="nTable"/>
              <w:spacing w:before="0" w:after="40"/>
            </w:pPr>
          </w:p>
        </w:tc>
        <w:tc>
          <w:tcPr>
            <w:tcW w:w="2554" w:type="dxa"/>
            <w:gridSpan w:val="2"/>
          </w:tcPr>
          <w:p>
            <w:pPr>
              <w:pStyle w:val="nTable"/>
              <w:spacing w:before="0" w:after="40"/>
              <w:rPr>
                <w:snapToGrid w:val="0"/>
              </w:rPr>
            </w:pPr>
            <w:r>
              <w:t xml:space="preserve">Para (b) of proclamation published 31 Dec 2004 p. 7131 revoked (see </w:t>
            </w:r>
            <w:r>
              <w:rPr>
                <w:i/>
              </w:rPr>
              <w:t xml:space="preserve">Gazette </w:t>
            </w:r>
            <w:r>
              <w:t>17 Jun 2005 p. 2657);</w:t>
            </w:r>
            <w:r>
              <w:br/>
              <w:t>s. 10 repealed by No. 16 of 2005 s. 4;</w:t>
            </w:r>
            <w:r>
              <w:br/>
              <w:t>s. 101(4)(a) deleted by No. 16 of 2005 s. 5;</w:t>
            </w:r>
            <w:r>
              <w:br/>
              <w:t>s. 120(1) repealed by No. 16 of 2005 s. 6</w:t>
            </w:r>
          </w:p>
        </w:tc>
      </w:tr>
      <w:tr>
        <w:trPr>
          <w:gridBefore w:val="1"/>
          <w:wBefore w:w="28" w:type="dxa"/>
          <w:cantSplit/>
        </w:trPr>
        <w:tc>
          <w:tcPr>
            <w:tcW w:w="2266" w:type="dxa"/>
            <w:gridSpan w:val="2"/>
          </w:tcPr>
          <w:p>
            <w:pPr>
              <w:pStyle w:val="nTable"/>
              <w:spacing w:after="40"/>
              <w:rPr>
                <w:i/>
                <w:snapToGrid w:val="0"/>
              </w:rPr>
            </w:pPr>
            <w:r>
              <w:rPr>
                <w:i/>
                <w:snapToGrid w:val="0"/>
              </w:rPr>
              <w:t>Acts Amendment (Court of Appeal) Act 2004</w:t>
            </w:r>
            <w:r>
              <w:rPr>
                <w:snapToGrid w:val="0"/>
              </w:rPr>
              <w:t xml:space="preserve"> s. 37 (Sch. 1 cl. 28)</w:t>
            </w:r>
            <w:r>
              <w:rPr>
                <w:snapToGrid w:val="0"/>
                <w:vertAlign w:val="superscript"/>
              </w:rPr>
              <w:t> 35</w:t>
            </w:r>
          </w:p>
        </w:tc>
        <w:tc>
          <w:tcPr>
            <w:tcW w:w="1134" w:type="dxa"/>
            <w:gridSpan w:val="2"/>
          </w:tcPr>
          <w:p>
            <w:pPr>
              <w:pStyle w:val="nTable"/>
              <w:spacing w:after="40"/>
            </w:pPr>
            <w:r>
              <w:rPr>
                <w:snapToGrid w:val="0"/>
              </w:rPr>
              <w:t>45 of 2004</w:t>
            </w:r>
            <w:r>
              <w:rPr>
                <w:snapToGrid w:val="0"/>
              </w:rPr>
              <w:br/>
              <w:t>(as amended by No. 16 of 2005 s. 31)</w:t>
            </w:r>
          </w:p>
        </w:tc>
        <w:tc>
          <w:tcPr>
            <w:tcW w:w="1134" w:type="dxa"/>
            <w:gridSpan w:val="2"/>
          </w:tcPr>
          <w:p>
            <w:pPr>
              <w:pStyle w:val="nTable"/>
              <w:spacing w:after="40"/>
            </w:pPr>
            <w:r>
              <w:t>9 Nov 2004</w:t>
            </w:r>
          </w:p>
        </w:tc>
        <w:tc>
          <w:tcPr>
            <w:tcW w:w="2554"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Before w:val="1"/>
          <w:wBefore w:w="28" w:type="dxa"/>
          <w:cantSplit/>
        </w:trPr>
        <w:tc>
          <w:tcPr>
            <w:tcW w:w="2266" w:type="dxa"/>
            <w:gridSpan w:val="2"/>
          </w:tcPr>
          <w:p>
            <w:pPr>
              <w:pStyle w:val="nTable"/>
              <w:spacing w:after="40"/>
              <w:rPr>
                <w:i/>
                <w:snapToGrid w:val="0"/>
              </w:rPr>
            </w:pPr>
            <w:r>
              <w:rPr>
                <w:i/>
              </w:rPr>
              <w:t xml:space="preserve">Courts Legislation Amendment and Repeal Act 2004 </w:t>
            </w:r>
            <w:r>
              <w:t>Pt. 19</w:t>
            </w:r>
          </w:p>
        </w:tc>
        <w:tc>
          <w:tcPr>
            <w:tcW w:w="1134" w:type="dxa"/>
            <w:gridSpan w:val="2"/>
          </w:tcPr>
          <w:p>
            <w:pPr>
              <w:pStyle w:val="nTable"/>
              <w:spacing w:after="40"/>
              <w:rPr>
                <w:snapToGrid w:val="0"/>
              </w:rPr>
            </w:pPr>
            <w:r>
              <w:t>59 of 2004</w:t>
            </w:r>
          </w:p>
        </w:tc>
        <w:tc>
          <w:tcPr>
            <w:tcW w:w="1134" w:type="dxa"/>
            <w:gridSpan w:val="2"/>
          </w:tcPr>
          <w:p>
            <w:pPr>
              <w:pStyle w:val="nTable"/>
              <w:spacing w:after="40"/>
            </w:pPr>
            <w:r>
              <w:t>23 Nov 2004</w:t>
            </w:r>
          </w:p>
        </w:tc>
        <w:tc>
          <w:tcPr>
            <w:tcW w:w="2554" w:type="dxa"/>
            <w:gridSpan w:val="2"/>
          </w:tcPr>
          <w:p>
            <w:pPr>
              <w:pStyle w:val="nTable"/>
              <w:spacing w:after="40"/>
              <w:rPr>
                <w:snapToGrid w:val="0"/>
              </w:rPr>
            </w:pPr>
            <w:r>
              <w:t xml:space="preserve">1 May 2005 (see s. 2 and </w:t>
            </w:r>
            <w:r>
              <w:rPr>
                <w:i/>
              </w:rPr>
              <w:t>Gazette</w:t>
            </w:r>
            <w:r>
              <w:t xml:space="preserve"> 31 Dec 2004 p. 7128)</w:t>
            </w:r>
          </w:p>
        </w:tc>
      </w:tr>
      <w:tr>
        <w:trPr>
          <w:gridBefore w:val="1"/>
          <w:wBefore w:w="28" w:type="dxa"/>
          <w:cantSplit/>
        </w:trPr>
        <w:tc>
          <w:tcPr>
            <w:tcW w:w="2266" w:type="dxa"/>
            <w:gridSpan w:val="2"/>
          </w:tcPr>
          <w:p>
            <w:pPr>
              <w:pStyle w:val="nTable"/>
              <w:spacing w:after="40"/>
              <w:rPr>
                <w:i/>
                <w:vertAlign w:val="superscript"/>
              </w:rPr>
            </w:pPr>
            <w:r>
              <w:rPr>
                <w:i/>
                <w:snapToGrid w:val="0"/>
              </w:rPr>
              <w:lastRenderedPageBreak/>
              <w:t>Criminal Procedure and Appeals (Consequential and Other Provisions) Act 2004</w:t>
            </w:r>
            <w:r>
              <w:rPr>
                <w:snapToGrid w:val="0"/>
              </w:rPr>
              <w:t xml:space="preserve"> s. 78 and 80 (Sch. 2 cl. 156 and 157) </w:t>
            </w:r>
            <w:r>
              <w:rPr>
                <w:snapToGrid w:val="0"/>
                <w:vertAlign w:val="superscript"/>
              </w:rPr>
              <w:t>36</w:t>
            </w:r>
          </w:p>
        </w:tc>
        <w:tc>
          <w:tcPr>
            <w:tcW w:w="1134" w:type="dxa"/>
            <w:gridSpan w:val="2"/>
          </w:tcPr>
          <w:p>
            <w:pPr>
              <w:pStyle w:val="nTable"/>
              <w:spacing w:after="40"/>
            </w:pPr>
            <w:r>
              <w:t xml:space="preserve">84 of 2004 </w:t>
            </w:r>
            <w:r>
              <w:rPr>
                <w:snapToGrid w:val="0"/>
              </w:rPr>
              <w:t>(as amended by No. 2 of 2008 s. 78(10))</w:t>
            </w:r>
          </w:p>
        </w:tc>
        <w:tc>
          <w:tcPr>
            <w:tcW w:w="1134" w:type="dxa"/>
            <w:gridSpan w:val="2"/>
          </w:tcPr>
          <w:p>
            <w:pPr>
              <w:pStyle w:val="nTable"/>
              <w:spacing w:after="40"/>
            </w:pPr>
            <w:r>
              <w:t>16 Dec 2004</w:t>
            </w:r>
          </w:p>
        </w:tc>
        <w:tc>
          <w:tcPr>
            <w:tcW w:w="2554" w:type="dxa"/>
            <w:gridSpan w:val="2"/>
          </w:tcPr>
          <w:p>
            <w:pPr>
              <w:pStyle w:val="nTable"/>
              <w:spacing w:after="40"/>
            </w:pPr>
            <w:r>
              <w:t xml:space="preserve">s. 78 and 80 (Sch. 2 cl. 156 and 157 — the amendment to s. 188B(3)): </w:t>
            </w: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1"/>
          <w:wBefore w:w="28" w:type="dxa"/>
          <w:cantSplit/>
        </w:trPr>
        <w:tc>
          <w:tcPr>
            <w:tcW w:w="7088" w:type="dxa"/>
            <w:gridSpan w:val="8"/>
          </w:tcPr>
          <w:p>
            <w:pPr>
              <w:pStyle w:val="nTable"/>
              <w:spacing w:after="40"/>
            </w:pPr>
            <w:r>
              <w:rPr>
                <w:b/>
              </w:rPr>
              <w:t xml:space="preserve">Reprint 6: The </w:t>
            </w:r>
            <w:r>
              <w:rPr>
                <w:b/>
                <w:i/>
              </w:rPr>
              <w:t>Workers’ Compensation and Injury Management Act 1981</w:t>
            </w:r>
            <w:r>
              <w:rPr>
                <w:b/>
              </w:rPr>
              <w:t xml:space="preserve"> as at 5 Aug 2005</w:t>
            </w:r>
            <w:r>
              <w:t xml:space="preserve"> (includes amendments listed above except those in the </w:t>
            </w:r>
            <w:r>
              <w:rPr>
                <w:i/>
              </w:rPr>
              <w:t>Acts Amendment (ICWA) Act 1996</w:t>
            </w:r>
            <w:r>
              <w:t xml:space="preserve"> and the </w:t>
            </w:r>
            <w:r>
              <w:rPr>
                <w:i/>
              </w:rPr>
              <w:t xml:space="preserve">Workers’ Compensation and Rehabilitation Amendment (Cross Border) Act 2004 </w:t>
            </w:r>
            <w:r>
              <w:t xml:space="preserve">Pt. 3 and certain provisions of the </w:t>
            </w:r>
            <w:r>
              <w:rPr>
                <w:i/>
                <w:snapToGrid w:val="0"/>
              </w:rPr>
              <w:t>Workers’ Compensation Reform Act 2004</w:t>
            </w:r>
            <w:r>
              <w:t>)</w:t>
            </w:r>
          </w:p>
        </w:tc>
      </w:tr>
      <w:tr>
        <w:trPr>
          <w:gridBefore w:val="1"/>
          <w:wBefore w:w="28" w:type="dxa"/>
          <w:cantSplit/>
        </w:trPr>
        <w:tc>
          <w:tcPr>
            <w:tcW w:w="2266" w:type="dxa"/>
            <w:gridSpan w:val="2"/>
          </w:tcPr>
          <w:p>
            <w:pPr>
              <w:pStyle w:val="nTable"/>
              <w:spacing w:after="40"/>
              <w:rPr>
                <w:snapToGrid w:val="0"/>
                <w:vertAlign w:val="superscript"/>
              </w:rPr>
            </w:pPr>
            <w:r>
              <w:rPr>
                <w:i/>
                <w:snapToGrid w:val="0"/>
              </w:rPr>
              <w:t xml:space="preserve">Workers’ Compensation Legislation Amendment Act 2005 </w:t>
            </w:r>
            <w:r>
              <w:rPr>
                <w:snapToGrid w:val="0"/>
              </w:rPr>
              <w:t>Pt. 3, 4 and s. 32 </w:t>
            </w:r>
            <w:r>
              <w:rPr>
                <w:snapToGrid w:val="0"/>
                <w:vertAlign w:val="superscript"/>
              </w:rPr>
              <w:t>37, 38</w:t>
            </w:r>
          </w:p>
        </w:tc>
        <w:tc>
          <w:tcPr>
            <w:tcW w:w="1134" w:type="dxa"/>
            <w:gridSpan w:val="2"/>
          </w:tcPr>
          <w:p>
            <w:pPr>
              <w:pStyle w:val="nTable"/>
              <w:spacing w:after="40"/>
              <w:rPr>
                <w:snapToGrid w:val="0"/>
              </w:rPr>
            </w:pPr>
            <w:r>
              <w:rPr>
                <w:snapToGrid w:val="0"/>
              </w:rPr>
              <w:t>16 of 2005</w:t>
            </w:r>
          </w:p>
        </w:tc>
        <w:tc>
          <w:tcPr>
            <w:tcW w:w="1134" w:type="dxa"/>
            <w:gridSpan w:val="2"/>
          </w:tcPr>
          <w:p>
            <w:pPr>
              <w:pStyle w:val="nTable"/>
              <w:spacing w:after="40"/>
            </w:pPr>
            <w:r>
              <w:t>27 Sep 2005</w:t>
            </w:r>
          </w:p>
        </w:tc>
        <w:tc>
          <w:tcPr>
            <w:tcW w:w="2554" w:type="dxa"/>
            <w:gridSpan w:val="2"/>
          </w:tcPr>
          <w:p>
            <w:pPr>
              <w:pStyle w:val="nTable"/>
              <w:spacing w:after="40"/>
              <w:rPr>
                <w:snapToGrid w:val="0"/>
              </w:rPr>
            </w:pPr>
            <w:r>
              <w:t>s. 30(1) and (2): 1 Jul 2005 (see s. 2(2));</w:t>
            </w:r>
            <w:r>
              <w:br/>
              <w:t>s. 30(3): 27 Sep 2005 (see s. 2(1));</w:t>
            </w:r>
            <w:r>
              <w:br/>
              <w:t>Pt. 3 and s. 32: 14 Nov 2005 (see s. 2(3))</w:t>
            </w:r>
          </w:p>
        </w:tc>
      </w:tr>
      <w:tr>
        <w:trPr>
          <w:gridBefore w:val="1"/>
          <w:wBefore w:w="28" w:type="dxa"/>
        </w:trPr>
        <w:tc>
          <w:tcPr>
            <w:tcW w:w="2266" w:type="dxa"/>
            <w:gridSpan w:val="2"/>
          </w:tcPr>
          <w:p>
            <w:pPr>
              <w:pStyle w:val="nTable"/>
              <w:spacing w:after="40"/>
              <w:rPr>
                <w:snapToGrid w:val="0"/>
                <w:vertAlign w:val="superscript"/>
              </w:rPr>
            </w:pPr>
            <w:r>
              <w:rPr>
                <w:i/>
                <w:snapToGrid w:val="0"/>
              </w:rPr>
              <w:t>Limitation Legislation Amendment and Repeal Act 2005</w:t>
            </w:r>
            <w:r>
              <w:rPr>
                <w:snapToGrid w:val="0"/>
              </w:rPr>
              <w:t xml:space="preserve"> Pt. 9</w:t>
            </w:r>
          </w:p>
        </w:tc>
        <w:tc>
          <w:tcPr>
            <w:tcW w:w="1134" w:type="dxa"/>
            <w:gridSpan w:val="2"/>
          </w:tcPr>
          <w:p>
            <w:pPr>
              <w:pStyle w:val="nTable"/>
              <w:spacing w:after="40"/>
              <w:rPr>
                <w:snapToGrid w:val="0"/>
              </w:rPr>
            </w:pPr>
            <w:r>
              <w:rPr>
                <w:snapToGrid w:val="0"/>
              </w:rPr>
              <w:t>20 of 2005</w:t>
            </w:r>
          </w:p>
        </w:tc>
        <w:tc>
          <w:tcPr>
            <w:tcW w:w="1134" w:type="dxa"/>
            <w:gridSpan w:val="2"/>
          </w:tcPr>
          <w:p>
            <w:pPr>
              <w:pStyle w:val="nTable"/>
              <w:spacing w:after="40"/>
            </w:pPr>
            <w:r>
              <w:t>15 Nov 2005</w:t>
            </w:r>
          </w:p>
        </w:tc>
        <w:tc>
          <w:tcPr>
            <w:tcW w:w="2554" w:type="dxa"/>
            <w:gridSpan w:val="2"/>
          </w:tcPr>
          <w:p>
            <w:pPr>
              <w:pStyle w:val="nTable"/>
              <w:spacing w:after="40"/>
              <w:rPr>
                <w:snapToGrid w:val="0"/>
              </w:rPr>
            </w:pPr>
            <w:r>
              <w:rPr>
                <w:snapToGrid w:val="0"/>
              </w:rPr>
              <w:t>15 Nov 2005 (see s. 2(2))</w:t>
            </w:r>
          </w:p>
        </w:tc>
      </w:tr>
      <w:tr>
        <w:trPr>
          <w:gridBefore w:val="1"/>
          <w:wBefore w:w="28" w:type="dxa"/>
          <w:cantSplit/>
        </w:trPr>
        <w:tc>
          <w:tcPr>
            <w:tcW w:w="2266" w:type="dxa"/>
            <w:gridSpan w:val="2"/>
          </w:tcPr>
          <w:p>
            <w:pPr>
              <w:pStyle w:val="nTable"/>
              <w:spacing w:after="40"/>
              <w:rPr>
                <w:i/>
                <w:snapToGrid w:val="0"/>
              </w:rPr>
            </w:pPr>
            <w:r>
              <w:rPr>
                <w:i/>
              </w:rPr>
              <w:t xml:space="preserve">Chiropractors Act 2005 </w:t>
            </w:r>
            <w:r>
              <w:t>Sch. 3 cl. 8</w:t>
            </w:r>
            <w:r>
              <w:rPr>
                <w:vertAlign w:val="superscript"/>
              </w:rPr>
              <w:t> 39</w:t>
            </w:r>
          </w:p>
        </w:tc>
        <w:tc>
          <w:tcPr>
            <w:tcW w:w="1134" w:type="dxa"/>
            <w:gridSpan w:val="2"/>
          </w:tcPr>
          <w:p>
            <w:pPr>
              <w:pStyle w:val="nTable"/>
              <w:spacing w:after="40"/>
              <w:rPr>
                <w:snapToGrid w:val="0"/>
              </w:rPr>
            </w:pPr>
            <w:r>
              <w:rPr>
                <w:snapToGrid w:val="0"/>
              </w:rPr>
              <w:t>31 of 2005</w:t>
            </w:r>
          </w:p>
        </w:tc>
        <w:tc>
          <w:tcPr>
            <w:tcW w:w="1134" w:type="dxa"/>
            <w:gridSpan w:val="2"/>
          </w:tcPr>
          <w:p>
            <w:pPr>
              <w:pStyle w:val="nTable"/>
              <w:spacing w:after="40"/>
            </w:pPr>
            <w:r>
              <w:t>12 Dec 2005</w:t>
            </w:r>
          </w:p>
        </w:tc>
        <w:tc>
          <w:tcPr>
            <w:tcW w:w="2554" w:type="dxa"/>
            <w:gridSpan w:val="2"/>
          </w:tcPr>
          <w:p>
            <w:pPr>
              <w:pStyle w:val="nTable"/>
              <w:spacing w:after="40"/>
              <w:rPr>
                <w:snapToGrid w:val="0"/>
              </w:rPr>
            </w:pPr>
            <w:r>
              <w:rPr>
                <w:snapToGrid w:val="0"/>
              </w:rPr>
              <w:t xml:space="preserve">1 Aug 2007 (see s. 2 and </w:t>
            </w:r>
            <w:r>
              <w:rPr>
                <w:i/>
                <w:iCs/>
                <w:snapToGrid w:val="0"/>
              </w:rPr>
              <w:t>Gazette</w:t>
            </w:r>
            <w:r>
              <w:rPr>
                <w:snapToGrid w:val="0"/>
              </w:rPr>
              <w:t xml:space="preserve"> 31 Jul 2007 p. 3789)</w:t>
            </w:r>
          </w:p>
        </w:tc>
      </w:tr>
      <w:tr>
        <w:trPr>
          <w:gridBefore w:val="1"/>
          <w:wBefore w:w="28" w:type="dxa"/>
          <w:cantSplit/>
        </w:trPr>
        <w:tc>
          <w:tcPr>
            <w:tcW w:w="7088" w:type="dxa"/>
            <w:gridSpan w:val="8"/>
          </w:tcPr>
          <w:p>
            <w:pPr>
              <w:pStyle w:val="nTable"/>
              <w:spacing w:after="40"/>
              <w:rPr>
                <w:snapToGrid w:val="0"/>
              </w:rPr>
            </w:pPr>
            <w:r>
              <w:rPr>
                <w:b/>
              </w:rPr>
              <w:t xml:space="preserve">Reprint 7: The </w:t>
            </w:r>
            <w:r>
              <w:rPr>
                <w:b/>
                <w:i/>
              </w:rPr>
              <w:t>Workers’ Compensation and Injury Management Act 1981</w:t>
            </w:r>
            <w:r>
              <w:rPr>
                <w:b/>
              </w:rPr>
              <w:t xml:space="preserve"> as at 3 Feb 2006</w:t>
            </w:r>
            <w:r>
              <w:t xml:space="preserve"> (includes amendments listed above except those in the </w:t>
            </w:r>
            <w:r>
              <w:rPr>
                <w:i/>
              </w:rPr>
              <w:t xml:space="preserve">Acts Amendment (ICWA) Act 1996 </w:t>
            </w:r>
            <w:r>
              <w:t>and the</w:t>
            </w:r>
            <w:r>
              <w:rPr>
                <w:i/>
              </w:rPr>
              <w:t xml:space="preserve"> Chiropractors Act 2005</w:t>
            </w:r>
            <w:r>
              <w:t>)</w:t>
            </w:r>
          </w:p>
        </w:tc>
      </w:tr>
      <w:tr>
        <w:trPr>
          <w:gridBefore w:val="1"/>
          <w:wBefore w:w="28" w:type="dxa"/>
        </w:trPr>
        <w:tc>
          <w:tcPr>
            <w:tcW w:w="2266" w:type="dxa"/>
            <w:gridSpan w:val="2"/>
          </w:tcPr>
          <w:p>
            <w:pPr>
              <w:pStyle w:val="nTable"/>
              <w:spacing w:after="40"/>
              <w:rPr>
                <w:snapToGrid w:val="0"/>
              </w:rPr>
            </w:pPr>
            <w:r>
              <w:rPr>
                <w:i/>
                <w:snapToGrid w:val="0"/>
              </w:rPr>
              <w:t xml:space="preserve">Financial Legislation Amendment and Repeal Act 2006 </w:t>
            </w:r>
            <w:r>
              <w:rPr>
                <w:snapToGrid w:val="0"/>
              </w:rPr>
              <w:t>s. 4 and Sch. 1 cl. 189</w:t>
            </w:r>
          </w:p>
        </w:tc>
        <w:tc>
          <w:tcPr>
            <w:tcW w:w="1134" w:type="dxa"/>
            <w:gridSpan w:val="2"/>
          </w:tcPr>
          <w:p>
            <w:pPr>
              <w:pStyle w:val="nTable"/>
              <w:spacing w:after="40"/>
              <w:rPr>
                <w:snapToGrid w:val="0"/>
              </w:rPr>
            </w:pPr>
            <w:r>
              <w:rPr>
                <w:snapToGrid w:val="0"/>
              </w:rPr>
              <w:t>77 of 2006</w:t>
            </w:r>
          </w:p>
        </w:tc>
        <w:tc>
          <w:tcPr>
            <w:tcW w:w="1134" w:type="dxa"/>
            <w:gridSpan w:val="2"/>
          </w:tcPr>
          <w:p>
            <w:pPr>
              <w:pStyle w:val="nTable"/>
              <w:spacing w:after="40"/>
            </w:pPr>
            <w:r>
              <w:t>21 Dec 2006</w:t>
            </w:r>
          </w:p>
        </w:tc>
        <w:tc>
          <w:tcPr>
            <w:tcW w:w="2554"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Before w:val="1"/>
          <w:wBefore w:w="28" w:type="dxa"/>
        </w:trPr>
        <w:tc>
          <w:tcPr>
            <w:tcW w:w="2266" w:type="dxa"/>
            <w:gridSpan w:val="2"/>
          </w:tcPr>
          <w:p>
            <w:pPr>
              <w:pStyle w:val="nTable"/>
              <w:spacing w:after="40"/>
              <w:rPr>
                <w:i/>
                <w:snapToGrid w:val="0"/>
              </w:rPr>
            </w:pPr>
            <w:r>
              <w:rPr>
                <w:i/>
                <w:snapToGrid w:val="0"/>
              </w:rPr>
              <w:t>Criminal Law and Evidence Amendment Act 2008</w:t>
            </w:r>
            <w:r>
              <w:rPr>
                <w:iCs/>
                <w:snapToGrid w:val="0"/>
              </w:rPr>
              <w:t xml:space="preserve"> s. 73</w:t>
            </w:r>
          </w:p>
        </w:tc>
        <w:tc>
          <w:tcPr>
            <w:tcW w:w="1134" w:type="dxa"/>
            <w:gridSpan w:val="2"/>
          </w:tcPr>
          <w:p>
            <w:pPr>
              <w:pStyle w:val="nTable"/>
              <w:spacing w:after="40"/>
              <w:rPr>
                <w:snapToGrid w:val="0"/>
              </w:rPr>
            </w:pPr>
            <w:r>
              <w:t>2 of 2008</w:t>
            </w:r>
          </w:p>
        </w:tc>
        <w:tc>
          <w:tcPr>
            <w:tcW w:w="1134" w:type="dxa"/>
            <w:gridSpan w:val="2"/>
          </w:tcPr>
          <w:p>
            <w:pPr>
              <w:pStyle w:val="nTable"/>
              <w:spacing w:after="40"/>
            </w:pPr>
            <w:r>
              <w:t>12 Mar 2008</w:t>
            </w:r>
          </w:p>
        </w:tc>
        <w:tc>
          <w:tcPr>
            <w:tcW w:w="2554" w:type="dxa"/>
            <w:gridSpan w:val="2"/>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gridBefore w:val="1"/>
          <w:wBefore w:w="28" w:type="dxa"/>
          <w:cantSplit/>
        </w:trPr>
        <w:tc>
          <w:tcPr>
            <w:tcW w:w="2266" w:type="dxa"/>
            <w:gridSpan w:val="2"/>
          </w:tcPr>
          <w:p>
            <w:pPr>
              <w:pStyle w:val="nTable"/>
              <w:spacing w:after="40"/>
              <w:rPr>
                <w:iCs/>
                <w:vertAlign w:val="superscript"/>
              </w:rPr>
            </w:pPr>
            <w:r>
              <w:rPr>
                <w:i/>
              </w:rPr>
              <w:t>Duties Legislation Amendment Act 2008</w:t>
            </w:r>
            <w:r>
              <w:rPr>
                <w:iCs/>
              </w:rPr>
              <w:t xml:space="preserve"> Sch. 1 cl. 42</w:t>
            </w:r>
          </w:p>
        </w:tc>
        <w:tc>
          <w:tcPr>
            <w:tcW w:w="1134" w:type="dxa"/>
            <w:gridSpan w:val="2"/>
          </w:tcPr>
          <w:p>
            <w:pPr>
              <w:pStyle w:val="nTable"/>
              <w:spacing w:after="40"/>
            </w:pPr>
            <w:r>
              <w:t>12 of 2008</w:t>
            </w:r>
          </w:p>
        </w:tc>
        <w:tc>
          <w:tcPr>
            <w:tcW w:w="1134" w:type="dxa"/>
            <w:gridSpan w:val="2"/>
          </w:tcPr>
          <w:p>
            <w:pPr>
              <w:pStyle w:val="nTable"/>
              <w:spacing w:after="40"/>
            </w:pPr>
            <w:r>
              <w:t>14 Apr 2008</w:t>
            </w:r>
          </w:p>
        </w:tc>
        <w:tc>
          <w:tcPr>
            <w:tcW w:w="2554" w:type="dxa"/>
            <w:gridSpan w:val="2"/>
          </w:tcPr>
          <w:p>
            <w:pPr>
              <w:pStyle w:val="nTable"/>
              <w:spacing w:after="40"/>
            </w:pPr>
            <w:r>
              <w:t>1 Jul 2008 (see s. 2(d))</w:t>
            </w:r>
          </w:p>
        </w:tc>
      </w:tr>
      <w:tr>
        <w:trPr>
          <w:gridBefore w:val="1"/>
          <w:wBefore w:w="28" w:type="dxa"/>
        </w:trPr>
        <w:tc>
          <w:tcPr>
            <w:tcW w:w="2266" w:type="dxa"/>
            <w:gridSpan w:val="2"/>
          </w:tcPr>
          <w:p>
            <w:pPr>
              <w:pStyle w:val="nTable"/>
              <w:spacing w:after="40"/>
              <w:rPr>
                <w:i/>
                <w:snapToGrid w:val="0"/>
              </w:rPr>
            </w:pPr>
            <w:r>
              <w:rPr>
                <w:i/>
                <w:iCs/>
                <w:snapToGrid w:val="0"/>
              </w:rPr>
              <w:t>Legal Profession Act 2008</w:t>
            </w:r>
            <w:r>
              <w:rPr>
                <w:i/>
                <w:snapToGrid w:val="0"/>
              </w:rPr>
              <w:t xml:space="preserve"> </w:t>
            </w:r>
            <w:r>
              <w:rPr>
                <w:iCs/>
                <w:snapToGrid w:val="0"/>
              </w:rPr>
              <w:t>s. 713</w:t>
            </w:r>
          </w:p>
        </w:tc>
        <w:tc>
          <w:tcPr>
            <w:tcW w:w="1134" w:type="dxa"/>
            <w:gridSpan w:val="2"/>
          </w:tcPr>
          <w:p>
            <w:pPr>
              <w:pStyle w:val="nTable"/>
              <w:spacing w:after="40"/>
            </w:pPr>
            <w:r>
              <w:t>21 of 2008</w:t>
            </w:r>
          </w:p>
        </w:tc>
        <w:tc>
          <w:tcPr>
            <w:tcW w:w="1134" w:type="dxa"/>
            <w:gridSpan w:val="2"/>
          </w:tcPr>
          <w:p>
            <w:pPr>
              <w:pStyle w:val="nTable"/>
              <w:spacing w:after="40"/>
            </w:pPr>
            <w:r>
              <w:t>27 May 2008</w:t>
            </w:r>
          </w:p>
        </w:tc>
        <w:tc>
          <w:tcPr>
            <w:tcW w:w="2554" w:type="dxa"/>
            <w:gridSpan w:val="2"/>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gridBefore w:val="1"/>
          <w:wBefore w:w="28" w:type="dxa"/>
        </w:trPr>
        <w:tc>
          <w:tcPr>
            <w:tcW w:w="2266" w:type="dxa"/>
            <w:gridSpan w:val="2"/>
          </w:tcPr>
          <w:p>
            <w:pPr>
              <w:pStyle w:val="nTable"/>
              <w:spacing w:after="40"/>
              <w:rPr>
                <w:i/>
              </w:rPr>
            </w:pPr>
            <w:r>
              <w:rPr>
                <w:i/>
                <w:snapToGrid w:val="0"/>
              </w:rPr>
              <w:t>Medical Practitioners Act 2008</w:t>
            </w:r>
            <w:r>
              <w:t xml:space="preserve"> Sch. 3 cl. 54</w:t>
            </w:r>
          </w:p>
        </w:tc>
        <w:tc>
          <w:tcPr>
            <w:tcW w:w="1134" w:type="dxa"/>
            <w:gridSpan w:val="2"/>
          </w:tcPr>
          <w:p>
            <w:pPr>
              <w:pStyle w:val="nTable"/>
              <w:spacing w:after="40"/>
            </w:pPr>
            <w:r>
              <w:t>22 of 2008</w:t>
            </w:r>
          </w:p>
        </w:tc>
        <w:tc>
          <w:tcPr>
            <w:tcW w:w="1134" w:type="dxa"/>
            <w:gridSpan w:val="2"/>
          </w:tcPr>
          <w:p>
            <w:pPr>
              <w:pStyle w:val="nTable"/>
              <w:spacing w:after="40"/>
            </w:pPr>
            <w:r>
              <w:t>27 May 2008</w:t>
            </w:r>
          </w:p>
        </w:tc>
        <w:tc>
          <w:tcPr>
            <w:tcW w:w="2554" w:type="dxa"/>
            <w:gridSpan w:val="2"/>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gridBefore w:val="1"/>
          <w:wBefore w:w="28" w:type="dxa"/>
          <w:cantSplit/>
        </w:trPr>
        <w:tc>
          <w:tcPr>
            <w:tcW w:w="7088" w:type="dxa"/>
            <w:gridSpan w:val="8"/>
          </w:tcPr>
          <w:p>
            <w:pPr>
              <w:pStyle w:val="nTable"/>
              <w:spacing w:after="40"/>
              <w:rPr>
                <w:snapToGrid w:val="0"/>
              </w:rPr>
            </w:pPr>
            <w:r>
              <w:rPr>
                <w:b/>
              </w:rPr>
              <w:lastRenderedPageBreak/>
              <w:t xml:space="preserve">Reprint 8: The </w:t>
            </w:r>
            <w:r>
              <w:rPr>
                <w:b/>
                <w:i/>
              </w:rPr>
              <w:t>Workers’ Compensation and Injury Management Act 1981</w:t>
            </w:r>
            <w:r>
              <w:rPr>
                <w:b/>
              </w:rPr>
              <w:t xml:space="preserve"> as at 8 May 2009</w:t>
            </w:r>
            <w:r>
              <w:t xml:space="preserve"> (includes amendments listed above except those in the </w:t>
            </w:r>
            <w:r>
              <w:rPr>
                <w:i/>
              </w:rPr>
              <w:t>Acts Amendment (ICWA) Act 1996</w:t>
            </w:r>
            <w:r>
              <w:t>)</w:t>
            </w:r>
          </w:p>
        </w:tc>
      </w:tr>
      <w:tr>
        <w:trPr>
          <w:gridBefore w:val="1"/>
          <w:wBefore w:w="28" w:type="dxa"/>
          <w:cantSplit/>
        </w:trPr>
        <w:tc>
          <w:tcPr>
            <w:tcW w:w="2266" w:type="dxa"/>
            <w:gridSpan w:val="2"/>
          </w:tcPr>
          <w:p>
            <w:pPr>
              <w:pStyle w:val="nTable"/>
              <w:spacing w:after="40"/>
              <w:ind w:right="113"/>
              <w:rPr>
                <w:iCs/>
              </w:rPr>
            </w:pPr>
            <w:r>
              <w:rPr>
                <w:i/>
              </w:rPr>
              <w:t>Statutes (Repeals and Miscellaneous Amendments) Act 2009</w:t>
            </w:r>
            <w:r>
              <w:rPr>
                <w:iCs/>
              </w:rPr>
              <w:t xml:space="preserve"> s. 139</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4" w:type="dxa"/>
            <w:gridSpan w:val="2"/>
          </w:tcPr>
          <w:p>
            <w:pPr>
              <w:pStyle w:val="nTable"/>
              <w:spacing w:after="40"/>
            </w:pPr>
            <w:r>
              <w:t>22 May 2009 (see s. 2(b))</w:t>
            </w:r>
          </w:p>
        </w:tc>
      </w:tr>
      <w:tr>
        <w:trPr>
          <w:gridBefore w:val="1"/>
          <w:wBefore w:w="28" w:type="dxa"/>
          <w:cantSplit/>
        </w:trPr>
        <w:tc>
          <w:tcPr>
            <w:tcW w:w="2266" w:type="dxa"/>
            <w:gridSpan w:val="2"/>
          </w:tcPr>
          <w:p>
            <w:pPr>
              <w:pStyle w:val="nTable"/>
              <w:spacing w:after="40"/>
              <w:rPr>
                <w:iCs/>
                <w:snapToGrid w:val="0"/>
              </w:rPr>
            </w:pPr>
            <w:r>
              <w:rPr>
                <w:i/>
                <w:snapToGrid w:val="0"/>
              </w:rPr>
              <w:t>Acts Amendment (Bankruptcy) Act 2009</w:t>
            </w:r>
            <w:r>
              <w:rPr>
                <w:iCs/>
                <w:snapToGrid w:val="0"/>
              </w:rPr>
              <w:t xml:space="preserve"> s. 94</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4" w:type="dxa"/>
            <w:gridSpan w:val="2"/>
          </w:tcPr>
          <w:p>
            <w:pPr>
              <w:pStyle w:val="nTable"/>
              <w:spacing w:after="40"/>
            </w:pPr>
            <w:r>
              <w:t>17 Sep 2009 (see s. 2(b))</w:t>
            </w:r>
          </w:p>
        </w:tc>
      </w:tr>
      <w:tr>
        <w:trPr>
          <w:gridBefore w:val="1"/>
          <w:wBefore w:w="28" w:type="dxa"/>
          <w:cantSplit/>
        </w:trPr>
        <w:tc>
          <w:tcPr>
            <w:tcW w:w="2266" w:type="dxa"/>
            <w:gridSpan w:val="2"/>
          </w:tcPr>
          <w:p>
            <w:pPr>
              <w:pStyle w:val="nTable"/>
              <w:spacing w:after="40"/>
              <w:ind w:right="113"/>
              <w:rPr>
                <w:i/>
              </w:rPr>
            </w:pPr>
            <w:r>
              <w:rPr>
                <w:i/>
                <w:snapToGrid w:val="0"/>
              </w:rPr>
              <w:t>Police Amendment Act 2009</w:t>
            </w:r>
            <w:r>
              <w:rPr>
                <w:i/>
                <w:iCs/>
                <w:snapToGrid w:val="0"/>
              </w:rPr>
              <w:t xml:space="preserve"> </w:t>
            </w:r>
            <w:r>
              <w:rPr>
                <w:snapToGrid w:val="0"/>
              </w:rPr>
              <w:t>s. 25</w:t>
            </w:r>
          </w:p>
        </w:tc>
        <w:tc>
          <w:tcPr>
            <w:tcW w:w="1134" w:type="dxa"/>
            <w:gridSpan w:val="2"/>
          </w:tcPr>
          <w:p>
            <w:pPr>
              <w:pStyle w:val="nTable"/>
              <w:spacing w:after="40"/>
            </w:pPr>
            <w:r>
              <w:rPr>
                <w:snapToGrid w:val="0"/>
              </w:rPr>
              <w:t>42 of 2009</w:t>
            </w:r>
          </w:p>
        </w:tc>
        <w:tc>
          <w:tcPr>
            <w:tcW w:w="1134" w:type="dxa"/>
            <w:gridSpan w:val="2"/>
          </w:tcPr>
          <w:p>
            <w:pPr>
              <w:pStyle w:val="nTable"/>
              <w:spacing w:after="40"/>
            </w:pPr>
            <w:r>
              <w:rPr>
                <w:snapToGrid w:val="0"/>
              </w:rPr>
              <w:t>3 Dec 2009</w:t>
            </w:r>
          </w:p>
        </w:tc>
        <w:tc>
          <w:tcPr>
            <w:tcW w:w="2554" w:type="dxa"/>
            <w:gridSpan w:val="2"/>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rPr>
          <w:gridBefore w:val="1"/>
          <w:wBefore w:w="28" w:type="dxa"/>
          <w:cantSplit/>
        </w:trPr>
        <w:tc>
          <w:tcPr>
            <w:tcW w:w="2266" w:type="dxa"/>
            <w:gridSpan w:val="2"/>
          </w:tcPr>
          <w:p>
            <w:pPr>
              <w:pStyle w:val="nTable"/>
              <w:spacing w:after="40"/>
              <w:ind w:right="113"/>
              <w:rPr>
                <w:i/>
              </w:rPr>
            </w:pPr>
            <w:r>
              <w:rPr>
                <w:i/>
              </w:rPr>
              <w:t>Statutes (Repeals and Minor Amendments) Act 2009</w:t>
            </w:r>
            <w:r>
              <w:rPr>
                <w:iCs/>
              </w:rPr>
              <w:t xml:space="preserve"> s. 17</w:t>
            </w:r>
          </w:p>
        </w:tc>
        <w:tc>
          <w:tcPr>
            <w:tcW w:w="1134" w:type="dxa"/>
            <w:gridSpan w:val="2"/>
          </w:tcPr>
          <w:p>
            <w:pPr>
              <w:pStyle w:val="nTable"/>
              <w:spacing w:after="40"/>
            </w:pPr>
            <w:r>
              <w:t>46 of 2009</w:t>
            </w:r>
          </w:p>
        </w:tc>
        <w:tc>
          <w:tcPr>
            <w:tcW w:w="1134" w:type="dxa"/>
            <w:gridSpan w:val="2"/>
          </w:tcPr>
          <w:p>
            <w:pPr>
              <w:pStyle w:val="nTable"/>
              <w:spacing w:after="40"/>
            </w:pPr>
            <w:r>
              <w:t>3 Dec 2009</w:t>
            </w:r>
          </w:p>
        </w:tc>
        <w:tc>
          <w:tcPr>
            <w:tcW w:w="2554" w:type="dxa"/>
            <w:gridSpan w:val="2"/>
          </w:tcPr>
          <w:p>
            <w:pPr>
              <w:pStyle w:val="nTable"/>
              <w:spacing w:after="40"/>
            </w:pPr>
            <w:r>
              <w:t>4 Dec 2009 (see s. 2(b))</w:t>
            </w:r>
          </w:p>
        </w:tc>
      </w:tr>
      <w:tr>
        <w:trPr>
          <w:gridBefore w:val="1"/>
          <w:wBefore w:w="28" w:type="dxa"/>
          <w:cantSplit/>
        </w:trPr>
        <w:tc>
          <w:tcPr>
            <w:tcW w:w="2266" w:type="dxa"/>
            <w:gridSpan w:val="2"/>
          </w:tcPr>
          <w:p>
            <w:pPr>
              <w:pStyle w:val="nTable"/>
              <w:spacing w:after="40"/>
              <w:ind w:right="113"/>
              <w:rPr>
                <w:iCs/>
                <w:snapToGrid w:val="0"/>
              </w:rPr>
            </w:pPr>
            <w:r>
              <w:rPr>
                <w:i/>
                <w:snapToGrid w:val="0"/>
              </w:rPr>
              <w:t>Standardisation of Formatting Act 2010</w:t>
            </w:r>
            <w:r>
              <w:rPr>
                <w:iCs/>
                <w:snapToGrid w:val="0"/>
              </w:rPr>
              <w:t xml:space="preserve"> s. 4, 42(3) and 51</w:t>
            </w:r>
          </w:p>
        </w:tc>
        <w:tc>
          <w:tcPr>
            <w:tcW w:w="1134"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4"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wBefore w:w="28" w:type="dxa"/>
          <w:cantSplit/>
        </w:trPr>
        <w:tc>
          <w:tcPr>
            <w:tcW w:w="2266" w:type="dxa"/>
            <w:gridSpan w:val="2"/>
          </w:tcPr>
          <w:p>
            <w:pPr>
              <w:pStyle w:val="nTable"/>
              <w:spacing w:after="40"/>
              <w:ind w:right="113"/>
              <w:rPr>
                <w:i/>
                <w:snapToGrid w:val="0"/>
              </w:rPr>
            </w:pPr>
            <w:r>
              <w:rPr>
                <w:i/>
                <w:snapToGrid w:val="0"/>
              </w:rPr>
              <w:t>Health Practitioner Regulation National Law (WA) Act 2010</w:t>
            </w:r>
            <w:r>
              <w:rPr>
                <w:iCs/>
                <w:snapToGrid w:val="0"/>
              </w:rPr>
              <w:t xml:space="preserve"> Pt. 5 Div. 50</w:t>
            </w:r>
          </w:p>
        </w:tc>
        <w:tc>
          <w:tcPr>
            <w:tcW w:w="1134" w:type="dxa"/>
            <w:gridSpan w:val="2"/>
          </w:tcPr>
          <w:p>
            <w:pPr>
              <w:pStyle w:val="nTable"/>
              <w:spacing w:after="40"/>
            </w:pPr>
            <w:r>
              <w:rPr>
                <w:snapToGrid w:val="0"/>
              </w:rPr>
              <w:t>35 of 2010</w:t>
            </w:r>
          </w:p>
        </w:tc>
        <w:tc>
          <w:tcPr>
            <w:tcW w:w="1134" w:type="dxa"/>
            <w:gridSpan w:val="2"/>
          </w:tcPr>
          <w:p>
            <w:pPr>
              <w:pStyle w:val="nTable"/>
              <w:spacing w:after="40"/>
              <w:rPr>
                <w:snapToGrid w:val="0"/>
              </w:rPr>
            </w:pPr>
            <w:r>
              <w:rPr>
                <w:snapToGrid w:val="0"/>
              </w:rPr>
              <w:t>30 Aug 2010</w:t>
            </w:r>
          </w:p>
        </w:tc>
        <w:tc>
          <w:tcPr>
            <w:tcW w:w="2554"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Before w:val="1"/>
          <w:wBefore w:w="28" w:type="dxa"/>
          <w:cantSplit/>
        </w:trPr>
        <w:tc>
          <w:tcPr>
            <w:tcW w:w="2266" w:type="dxa"/>
            <w:gridSpan w:val="2"/>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2"/>
          </w:tcPr>
          <w:p>
            <w:pPr>
              <w:pStyle w:val="nTable"/>
              <w:spacing w:after="40"/>
              <w:rPr>
                <w:snapToGrid w:val="0"/>
              </w:rPr>
            </w:pPr>
            <w:r>
              <w:rPr>
                <w:snapToGrid w:val="0"/>
              </w:rPr>
              <w:t>39 of 2010</w:t>
            </w:r>
          </w:p>
        </w:tc>
        <w:tc>
          <w:tcPr>
            <w:tcW w:w="1134" w:type="dxa"/>
            <w:gridSpan w:val="2"/>
          </w:tcPr>
          <w:p>
            <w:pPr>
              <w:pStyle w:val="nTable"/>
              <w:spacing w:after="40"/>
              <w:rPr>
                <w:snapToGrid w:val="0"/>
              </w:rPr>
            </w:pPr>
            <w:r>
              <w:rPr>
                <w:snapToGrid w:val="0"/>
              </w:rPr>
              <w:t>1 Oct 2010</w:t>
            </w:r>
          </w:p>
        </w:tc>
        <w:tc>
          <w:tcPr>
            <w:tcW w:w="2554"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wBefore w:w="28" w:type="dxa"/>
          <w:cantSplit/>
        </w:trPr>
        <w:tc>
          <w:tcPr>
            <w:tcW w:w="2266" w:type="dxa"/>
            <w:gridSpan w:val="2"/>
          </w:tcPr>
          <w:p>
            <w:pPr>
              <w:pStyle w:val="nTable"/>
              <w:spacing w:after="40"/>
              <w:ind w:right="113"/>
              <w:rPr>
                <w:iCs/>
                <w:snapToGrid w:val="0"/>
              </w:rPr>
            </w:pPr>
            <w:r>
              <w:rPr>
                <w:i/>
                <w:iCs/>
                <w:snapToGrid w:val="0"/>
              </w:rPr>
              <w:t>Petroleum and Energy Legislation Amendment Act 2010</w:t>
            </w:r>
            <w:r>
              <w:rPr>
                <w:i/>
                <w:snapToGrid w:val="0"/>
              </w:rPr>
              <w:t xml:space="preserve"> </w:t>
            </w:r>
            <w:r>
              <w:rPr>
                <w:iCs/>
                <w:snapToGrid w:val="0"/>
              </w:rPr>
              <w:t>s. 186</w:t>
            </w:r>
          </w:p>
        </w:tc>
        <w:tc>
          <w:tcPr>
            <w:tcW w:w="1134" w:type="dxa"/>
            <w:gridSpan w:val="2"/>
          </w:tcPr>
          <w:p>
            <w:pPr>
              <w:pStyle w:val="nTable"/>
              <w:spacing w:after="40"/>
              <w:rPr>
                <w:snapToGrid w:val="0"/>
              </w:rPr>
            </w:pPr>
            <w:r>
              <w:rPr>
                <w:snapToGrid w:val="0"/>
              </w:rPr>
              <w:t>42 of 2010</w:t>
            </w:r>
          </w:p>
        </w:tc>
        <w:tc>
          <w:tcPr>
            <w:tcW w:w="1134" w:type="dxa"/>
            <w:gridSpan w:val="2"/>
          </w:tcPr>
          <w:p>
            <w:pPr>
              <w:pStyle w:val="nTable"/>
              <w:spacing w:after="40"/>
              <w:rPr>
                <w:snapToGrid w:val="0"/>
              </w:rPr>
            </w:pPr>
            <w:r>
              <w:rPr>
                <w:snapToGrid w:val="0"/>
              </w:rPr>
              <w:t>28 Oct 2010</w:t>
            </w:r>
          </w:p>
        </w:tc>
        <w:tc>
          <w:tcPr>
            <w:tcW w:w="2554" w:type="dxa"/>
            <w:gridSpan w:val="2"/>
          </w:tcPr>
          <w:p>
            <w:pPr>
              <w:pStyle w:val="nTable"/>
              <w:spacing w:after="40"/>
              <w:rPr>
                <w:snapToGrid w:val="0"/>
              </w:rPr>
            </w:pPr>
            <w:r>
              <w:rPr>
                <w:snapToGrid w:val="0"/>
              </w:rPr>
              <w:t xml:space="preserve">25 May 2011 (see s. 2(b) and </w:t>
            </w:r>
            <w:r>
              <w:rPr>
                <w:i/>
                <w:snapToGrid w:val="0"/>
              </w:rPr>
              <w:t>Gazette</w:t>
            </w:r>
            <w:r>
              <w:rPr>
                <w:snapToGrid w:val="0"/>
              </w:rPr>
              <w:t xml:space="preserve"> 24 May 2011 p. 1892)</w:t>
            </w:r>
          </w:p>
        </w:tc>
      </w:tr>
      <w:tr>
        <w:trPr>
          <w:gridBefore w:val="1"/>
          <w:wBefore w:w="28" w:type="dxa"/>
          <w:cantSplit/>
        </w:trPr>
        <w:tc>
          <w:tcPr>
            <w:tcW w:w="7088" w:type="dxa"/>
            <w:gridSpan w:val="8"/>
          </w:tcPr>
          <w:p>
            <w:pPr>
              <w:pStyle w:val="nTable"/>
              <w:spacing w:after="40"/>
              <w:rPr>
                <w:snapToGrid w:val="0"/>
              </w:rPr>
            </w:pPr>
            <w:r>
              <w:rPr>
                <w:b/>
              </w:rPr>
              <w:t xml:space="preserve">Reprint 9: The </w:t>
            </w:r>
            <w:r>
              <w:rPr>
                <w:b/>
                <w:i/>
              </w:rPr>
              <w:t>Workers’ Compensation and Injury Management Act 1981</w:t>
            </w:r>
            <w:r>
              <w:rPr>
                <w:b/>
              </w:rPr>
              <w:t xml:space="preserve"> as at 25 Feb 2011</w:t>
            </w:r>
            <w:r>
              <w:t xml:space="preserve"> (includes amendments listed above except those in the </w:t>
            </w:r>
            <w:r>
              <w:rPr>
                <w:i/>
              </w:rPr>
              <w:t>Acts Amendment (ICWA) Act 1996</w:t>
            </w:r>
            <w:r>
              <w:t xml:space="preserve"> and the </w:t>
            </w:r>
            <w:r>
              <w:rPr>
                <w:i/>
                <w:iCs/>
                <w:snapToGrid w:val="0"/>
              </w:rPr>
              <w:t>Petroleum and Energy Legislation Amendment Act 2010</w:t>
            </w:r>
            <w:r>
              <w:t>)</w:t>
            </w:r>
          </w:p>
        </w:tc>
      </w:tr>
      <w:tr>
        <w:trPr>
          <w:gridBefore w:val="1"/>
          <w:wBefore w:w="28" w:type="dxa"/>
          <w:cantSplit/>
        </w:trPr>
        <w:tc>
          <w:tcPr>
            <w:tcW w:w="2266" w:type="dxa"/>
            <w:gridSpan w:val="2"/>
          </w:tcPr>
          <w:p>
            <w:pPr>
              <w:pStyle w:val="nTable"/>
              <w:spacing w:after="40"/>
              <w:ind w:right="113"/>
              <w:rPr>
                <w:iCs/>
                <w:snapToGrid w:val="0"/>
              </w:rPr>
            </w:pPr>
            <w:r>
              <w:rPr>
                <w:i/>
                <w:snapToGrid w:val="0"/>
              </w:rPr>
              <w:t>Workers’ Compensation and Injury Management Amendment Act 2011</w:t>
            </w:r>
          </w:p>
        </w:tc>
        <w:tc>
          <w:tcPr>
            <w:tcW w:w="1134" w:type="dxa"/>
            <w:gridSpan w:val="2"/>
          </w:tcPr>
          <w:p>
            <w:pPr>
              <w:pStyle w:val="nTable"/>
              <w:spacing w:after="40"/>
              <w:rPr>
                <w:snapToGrid w:val="0"/>
              </w:rPr>
            </w:pPr>
            <w:r>
              <w:t>31 of 2011</w:t>
            </w:r>
          </w:p>
        </w:tc>
        <w:tc>
          <w:tcPr>
            <w:tcW w:w="1134" w:type="dxa"/>
            <w:gridSpan w:val="2"/>
          </w:tcPr>
          <w:p>
            <w:pPr>
              <w:pStyle w:val="nTable"/>
              <w:spacing w:after="40"/>
              <w:rPr>
                <w:snapToGrid w:val="0"/>
              </w:rPr>
            </w:pPr>
            <w:r>
              <w:t>31 Aug 2011</w:t>
            </w:r>
          </w:p>
        </w:tc>
        <w:tc>
          <w:tcPr>
            <w:tcW w:w="2554" w:type="dxa"/>
            <w:gridSpan w:val="2"/>
          </w:tcPr>
          <w:p>
            <w:pPr>
              <w:pStyle w:val="nTable"/>
              <w:spacing w:after="40"/>
              <w:rPr>
                <w:snapToGrid w:val="0"/>
              </w:rPr>
            </w:pPr>
            <w:r>
              <w:rPr>
                <w:snapToGrid w:val="0"/>
              </w:rPr>
              <w:t>s. 1 and 2: 31 Aug 2011 (see s. 2(a));</w:t>
            </w:r>
            <w:r>
              <w:rPr>
                <w:snapToGrid w:val="0"/>
              </w:rPr>
              <w:br/>
              <w:t>s. 3 and Pt. 3 other than s. 123(2)</w:t>
            </w:r>
            <w:r>
              <w:rPr>
                <w:snapToGrid w:val="0"/>
              </w:rPr>
              <w:noBreakHyphen/>
              <w:t xml:space="preserve">(7): 1 Oct 2011 (see s. 2(b) and </w:t>
            </w:r>
            <w:r>
              <w:rPr>
                <w:i/>
                <w:snapToGrid w:val="0"/>
              </w:rPr>
              <w:t>Gazette</w:t>
            </w:r>
            <w:r>
              <w:rPr>
                <w:snapToGrid w:val="0"/>
              </w:rPr>
              <w:t xml:space="preserve"> 23 Sep 2011 p. 3811);</w:t>
            </w:r>
            <w:r>
              <w:rPr>
                <w:snapToGrid w:val="0"/>
              </w:rPr>
              <w:br/>
              <w:t>Pt. 2 Div. 1 and 2:</w:t>
            </w:r>
            <w:r>
              <w:t xml:space="preserve"> 1 Dec 2011 (see s. 2(b) and </w:t>
            </w:r>
            <w:r>
              <w:rPr>
                <w:i/>
              </w:rPr>
              <w:t>Gazette</w:t>
            </w:r>
            <w:r>
              <w:t xml:space="preserve"> 8 Nov 2011 p. 4673)</w:t>
            </w:r>
          </w:p>
        </w:tc>
      </w:tr>
      <w:tr>
        <w:trPr>
          <w:gridBefore w:val="1"/>
          <w:wBefore w:w="28" w:type="dxa"/>
          <w:cantSplit/>
        </w:trPr>
        <w:tc>
          <w:tcPr>
            <w:tcW w:w="2266" w:type="dxa"/>
            <w:gridSpan w:val="2"/>
            <w:shd w:val="clear" w:color="auto" w:fill="auto"/>
          </w:tcPr>
          <w:p>
            <w:pPr>
              <w:pStyle w:val="nTable"/>
              <w:spacing w:after="40"/>
              <w:ind w:right="113"/>
              <w:rPr>
                <w:snapToGrid w:val="0"/>
              </w:rPr>
            </w:pPr>
            <w:r>
              <w:rPr>
                <w:i/>
                <w:snapToGrid w:val="0"/>
              </w:rPr>
              <w:lastRenderedPageBreak/>
              <w:t>Statutes (Repeals and Minor Amendments) Act 2011</w:t>
            </w:r>
            <w:r>
              <w:rPr>
                <w:snapToGrid w:val="0"/>
              </w:rPr>
              <w:t xml:space="preserve"> s. 7 and 27</w:t>
            </w:r>
          </w:p>
        </w:tc>
        <w:tc>
          <w:tcPr>
            <w:tcW w:w="1134" w:type="dxa"/>
            <w:gridSpan w:val="2"/>
            <w:shd w:val="clear" w:color="auto" w:fill="auto"/>
          </w:tcPr>
          <w:p>
            <w:pPr>
              <w:pStyle w:val="nTable"/>
              <w:spacing w:after="40"/>
            </w:pPr>
            <w:r>
              <w:rPr>
                <w:snapToGrid w:val="0"/>
              </w:rPr>
              <w:t>47 of 2011</w:t>
            </w:r>
          </w:p>
        </w:tc>
        <w:tc>
          <w:tcPr>
            <w:tcW w:w="1134" w:type="dxa"/>
            <w:gridSpan w:val="2"/>
            <w:shd w:val="clear" w:color="auto" w:fill="auto"/>
          </w:tcPr>
          <w:p>
            <w:pPr>
              <w:pStyle w:val="nTable"/>
              <w:spacing w:after="40"/>
            </w:pPr>
            <w:r>
              <w:rPr>
                <w:snapToGrid w:val="0"/>
              </w:rPr>
              <w:t>25 Oct 2011</w:t>
            </w:r>
          </w:p>
        </w:tc>
        <w:tc>
          <w:tcPr>
            <w:tcW w:w="2554" w:type="dxa"/>
            <w:gridSpan w:val="2"/>
            <w:shd w:val="clear" w:color="auto" w:fill="auto"/>
          </w:tcPr>
          <w:p>
            <w:pPr>
              <w:pStyle w:val="nTable"/>
              <w:spacing w:after="40"/>
              <w:rPr>
                <w:snapToGrid w:val="0"/>
              </w:rPr>
            </w:pPr>
            <w:r>
              <w:rPr>
                <w:snapToGrid w:val="0"/>
              </w:rPr>
              <w:t>26 Oct 2011 (see s. 2(b))</w:t>
            </w:r>
          </w:p>
        </w:tc>
      </w:tr>
      <w:tr>
        <w:trPr>
          <w:gridBefore w:val="1"/>
          <w:wBefore w:w="28" w:type="dxa"/>
          <w:cantSplit/>
        </w:trPr>
        <w:tc>
          <w:tcPr>
            <w:tcW w:w="7088" w:type="dxa"/>
            <w:gridSpan w:val="8"/>
            <w:shd w:val="clear" w:color="auto" w:fill="auto"/>
          </w:tcPr>
          <w:p>
            <w:pPr>
              <w:pStyle w:val="nTable"/>
              <w:spacing w:after="40"/>
              <w:rPr>
                <w:snapToGrid w:val="0"/>
              </w:rPr>
            </w:pPr>
            <w:r>
              <w:rPr>
                <w:b/>
              </w:rPr>
              <w:t xml:space="preserve">Reprint 10: The </w:t>
            </w:r>
            <w:r>
              <w:rPr>
                <w:b/>
                <w:i/>
              </w:rPr>
              <w:t>Workers’ Compensation and Injury Management Act 1981</w:t>
            </w:r>
            <w:r>
              <w:rPr>
                <w:b/>
              </w:rPr>
              <w:t xml:space="preserve"> as at 3 Feb 2012</w:t>
            </w:r>
            <w:r>
              <w:t xml:space="preserve"> (includes amendments listed above except those in the </w:t>
            </w:r>
            <w:r>
              <w:rPr>
                <w:i/>
              </w:rPr>
              <w:t>Acts Amendment (ICWA) Act 1996</w:t>
            </w:r>
            <w:r>
              <w:t>)</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Workers’ Compensation and Injury Management Amendment Act 2012</w:t>
            </w:r>
            <w:r>
              <w:rPr>
                <w:snapToGrid w:val="0"/>
              </w:rPr>
              <w:t> </w:t>
            </w:r>
            <w:r>
              <w:rPr>
                <w:snapToGrid w:val="0"/>
                <w:vertAlign w:val="superscript"/>
              </w:rPr>
              <w:t>40</w:t>
            </w:r>
          </w:p>
        </w:tc>
        <w:tc>
          <w:tcPr>
            <w:tcW w:w="1134" w:type="dxa"/>
            <w:gridSpan w:val="2"/>
            <w:shd w:val="clear" w:color="auto" w:fill="auto"/>
          </w:tcPr>
          <w:p>
            <w:pPr>
              <w:pStyle w:val="nTable"/>
              <w:keepNext/>
              <w:spacing w:after="40"/>
            </w:pPr>
            <w:r>
              <w:t>12 of 2012</w:t>
            </w:r>
          </w:p>
        </w:tc>
        <w:tc>
          <w:tcPr>
            <w:tcW w:w="1134" w:type="dxa"/>
            <w:gridSpan w:val="2"/>
            <w:shd w:val="clear" w:color="auto" w:fill="auto"/>
          </w:tcPr>
          <w:p>
            <w:pPr>
              <w:pStyle w:val="nTable"/>
              <w:keepNext/>
              <w:spacing w:after="40"/>
            </w:pPr>
            <w:r>
              <w:t>3 Jul 2012</w:t>
            </w:r>
          </w:p>
        </w:tc>
        <w:tc>
          <w:tcPr>
            <w:tcW w:w="2554" w:type="dxa"/>
            <w:gridSpan w:val="2"/>
            <w:shd w:val="clear" w:color="auto" w:fill="auto"/>
          </w:tcPr>
          <w:p>
            <w:pPr>
              <w:pStyle w:val="nTable"/>
              <w:keepNext/>
              <w:spacing w:after="40"/>
            </w:pPr>
            <w:r>
              <w:rPr>
                <w:snapToGrid w:val="0"/>
              </w:rPr>
              <w:t>s. 1 and 2: 3 Jul 2012 (see s. 2(a));</w:t>
            </w:r>
            <w:r>
              <w:rPr>
                <w:snapToGrid w:val="0"/>
              </w:rPr>
              <w:br/>
              <w:t xml:space="preserve">Act other than s. 1 and 2: 1 Aug 2012 (see s. 2(b) and </w:t>
            </w:r>
            <w:r>
              <w:rPr>
                <w:i/>
                <w:snapToGrid w:val="0"/>
              </w:rPr>
              <w:t>Gazette</w:t>
            </w:r>
            <w:r>
              <w:rPr>
                <w:snapToGrid w:val="0"/>
              </w:rPr>
              <w:t xml:space="preserve"> </w:t>
            </w:r>
            <w:r>
              <w:t>27 Jul 2012 p. 3663)</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Workers’ Compensation and Injury Management Amendment (Jockeys) Act 2012</w:t>
            </w:r>
          </w:p>
        </w:tc>
        <w:tc>
          <w:tcPr>
            <w:tcW w:w="1134" w:type="dxa"/>
            <w:gridSpan w:val="2"/>
            <w:shd w:val="clear" w:color="auto" w:fill="auto"/>
          </w:tcPr>
          <w:p>
            <w:pPr>
              <w:pStyle w:val="nTable"/>
              <w:keepNext/>
              <w:spacing w:after="40"/>
            </w:pPr>
            <w:r>
              <w:t>45 of 2012</w:t>
            </w:r>
          </w:p>
        </w:tc>
        <w:tc>
          <w:tcPr>
            <w:tcW w:w="1134" w:type="dxa"/>
            <w:gridSpan w:val="2"/>
            <w:shd w:val="clear" w:color="auto" w:fill="auto"/>
          </w:tcPr>
          <w:p>
            <w:pPr>
              <w:pStyle w:val="nTable"/>
              <w:keepNext/>
              <w:spacing w:after="40"/>
            </w:pPr>
            <w:r>
              <w:t>20 Nov 2012</w:t>
            </w:r>
          </w:p>
        </w:tc>
        <w:tc>
          <w:tcPr>
            <w:tcW w:w="2554" w:type="dxa"/>
            <w:gridSpan w:val="2"/>
            <w:shd w:val="clear" w:color="auto" w:fill="auto"/>
          </w:tcPr>
          <w:p>
            <w:pPr>
              <w:pStyle w:val="nTable"/>
              <w:keepNext/>
              <w:spacing w:after="40"/>
              <w:rPr>
                <w:snapToGrid w:val="0"/>
              </w:rPr>
            </w:pPr>
            <w:r>
              <w:rPr>
                <w:snapToGrid w:val="0"/>
              </w:rPr>
              <w:t>s. 1 and 2: 20 Nov 2012 (see s. 2(a));</w:t>
            </w:r>
            <w:r>
              <w:rPr>
                <w:snapToGrid w:val="0"/>
              </w:rPr>
              <w:br/>
              <w:t xml:space="preserve">Act other than s. 1 and 2: </w:t>
            </w:r>
            <w:r>
              <w:t xml:space="preserve">14 Dec 2012 (see s. 2(b) and </w:t>
            </w:r>
            <w:r>
              <w:rPr>
                <w:i/>
              </w:rPr>
              <w:t>Gazette</w:t>
            </w:r>
            <w:r>
              <w:t xml:space="preserve"> 30 Nov 2012 p. 5774)</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Workers’ Compensation and Injury Management Amendment Act 2013</w:t>
            </w:r>
          </w:p>
        </w:tc>
        <w:tc>
          <w:tcPr>
            <w:tcW w:w="1134" w:type="dxa"/>
            <w:gridSpan w:val="2"/>
            <w:shd w:val="clear" w:color="auto" w:fill="auto"/>
          </w:tcPr>
          <w:p>
            <w:pPr>
              <w:pStyle w:val="nTable"/>
              <w:keepNext/>
              <w:spacing w:after="40"/>
            </w:pPr>
            <w:r>
              <w:t>21 of 2013</w:t>
            </w:r>
          </w:p>
        </w:tc>
        <w:tc>
          <w:tcPr>
            <w:tcW w:w="1134" w:type="dxa"/>
            <w:gridSpan w:val="2"/>
            <w:shd w:val="clear" w:color="auto" w:fill="auto"/>
          </w:tcPr>
          <w:p>
            <w:pPr>
              <w:pStyle w:val="nTable"/>
              <w:keepNext/>
              <w:spacing w:after="40"/>
            </w:pPr>
            <w:r>
              <w:t>12 Nov 2013</w:t>
            </w:r>
          </w:p>
        </w:tc>
        <w:tc>
          <w:tcPr>
            <w:tcW w:w="2554" w:type="dxa"/>
            <w:gridSpan w:val="2"/>
            <w:shd w:val="clear" w:color="auto" w:fill="auto"/>
          </w:tcPr>
          <w:p>
            <w:pPr>
              <w:pStyle w:val="nTable"/>
              <w:keepNext/>
              <w:spacing w:after="40"/>
              <w:rPr>
                <w:snapToGrid w:val="0"/>
              </w:rPr>
            </w:pPr>
            <w:r>
              <w:rPr>
                <w:snapToGrid w:val="0"/>
              </w:rPr>
              <w:t>s. 1 and 2: 12 Nov 2013 (see s. 2(a));</w:t>
            </w:r>
            <w:r>
              <w:rPr>
                <w:snapToGrid w:val="0"/>
              </w:rPr>
              <w:br/>
              <w:t xml:space="preserve">Act other than s. 1 and 2: </w:t>
            </w:r>
            <w:r>
              <w:t>13 Nov 2013 (see s. 2(b))</w:t>
            </w:r>
          </w:p>
        </w:tc>
      </w:tr>
      <w:tr>
        <w:trPr>
          <w:gridAfter w:val="1"/>
          <w:wAfter w:w="27" w:type="dxa"/>
          <w:cantSplit/>
        </w:trPr>
        <w:tc>
          <w:tcPr>
            <w:tcW w:w="2268" w:type="dxa"/>
            <w:gridSpan w:val="2"/>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s. 191</w:t>
            </w:r>
          </w:p>
        </w:tc>
        <w:tc>
          <w:tcPr>
            <w:tcW w:w="1134" w:type="dxa"/>
            <w:gridSpan w:val="2"/>
            <w:shd w:val="clear" w:color="auto" w:fill="auto"/>
          </w:tcPr>
          <w:p>
            <w:pPr>
              <w:pStyle w:val="nTable"/>
              <w:spacing w:after="40"/>
            </w:pPr>
            <w:r>
              <w:t>13 of 2014</w:t>
            </w:r>
          </w:p>
        </w:tc>
        <w:tc>
          <w:tcPr>
            <w:tcW w:w="1136" w:type="dxa"/>
            <w:gridSpan w:val="2"/>
            <w:shd w:val="clear" w:color="auto" w:fill="auto"/>
          </w:tcPr>
          <w:p>
            <w:pPr>
              <w:pStyle w:val="nTable"/>
              <w:spacing w:after="40"/>
            </w:pPr>
            <w:r>
              <w:t>2 Jul 2014</w:t>
            </w:r>
          </w:p>
        </w:tc>
        <w:tc>
          <w:tcPr>
            <w:tcW w:w="2551" w:type="dxa"/>
            <w:gridSpan w:val="2"/>
            <w:shd w:val="clear" w:color="auto" w:fill="auto"/>
          </w:tcPr>
          <w:p>
            <w:pPr>
              <w:pStyle w:val="nTable"/>
              <w:spacing w:after="40"/>
            </w:pPr>
            <w:r>
              <w:t xml:space="preserve">30 Jan 2017 (see s. 2(b) and </w:t>
            </w:r>
            <w:r>
              <w:rPr>
                <w:i/>
              </w:rPr>
              <w:t>Gazette</w:t>
            </w:r>
            <w:r>
              <w:t xml:space="preserve"> 17 Jan 2017 p. 403)</w:t>
            </w:r>
          </w:p>
        </w:tc>
      </w:tr>
      <w:tr>
        <w:trPr>
          <w:gridBefore w:val="1"/>
          <w:wBefore w:w="28" w:type="dxa"/>
          <w:cantSplit/>
        </w:trPr>
        <w:tc>
          <w:tcPr>
            <w:tcW w:w="7088" w:type="dxa"/>
            <w:gridSpan w:val="8"/>
            <w:shd w:val="clear" w:color="auto" w:fill="auto"/>
          </w:tcPr>
          <w:p>
            <w:pPr>
              <w:pStyle w:val="nTable"/>
              <w:keepNext/>
              <w:spacing w:after="40"/>
              <w:rPr>
                <w:snapToGrid w:val="0"/>
              </w:rPr>
            </w:pPr>
            <w:r>
              <w:rPr>
                <w:b/>
              </w:rPr>
              <w:t xml:space="preserve">Reprint 11: The </w:t>
            </w:r>
            <w:r>
              <w:rPr>
                <w:b/>
                <w:i/>
              </w:rPr>
              <w:t>Workers’ Compensation and Injury Management Act 1981</w:t>
            </w:r>
            <w:r>
              <w:rPr>
                <w:b/>
              </w:rPr>
              <w:t xml:space="preserve"> as at 13 Feb 2015</w:t>
            </w:r>
            <w:r>
              <w:t xml:space="preserve"> (includes amendments listed above except those in the </w:t>
            </w:r>
            <w:r>
              <w:rPr>
                <w:i/>
                <w:noProof/>
                <w:snapToGrid w:val="0"/>
              </w:rPr>
              <w:t>Medicines and Poisons Act 2014</w:t>
            </w:r>
            <w:r>
              <w:t>)</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Health Services Act 2016</w:t>
            </w:r>
            <w:r>
              <w:rPr>
                <w:snapToGrid w:val="0"/>
              </w:rPr>
              <w:t xml:space="preserve"> s. 306</w:t>
            </w:r>
          </w:p>
        </w:tc>
        <w:tc>
          <w:tcPr>
            <w:tcW w:w="1134" w:type="dxa"/>
            <w:gridSpan w:val="2"/>
            <w:shd w:val="clear" w:color="auto" w:fill="auto"/>
          </w:tcPr>
          <w:p>
            <w:pPr>
              <w:pStyle w:val="nTable"/>
              <w:keepNext/>
              <w:spacing w:after="40"/>
            </w:pPr>
            <w:r>
              <w:t>11 of 2016</w:t>
            </w:r>
          </w:p>
        </w:tc>
        <w:tc>
          <w:tcPr>
            <w:tcW w:w="1134" w:type="dxa"/>
            <w:gridSpan w:val="2"/>
            <w:shd w:val="clear" w:color="auto" w:fill="auto"/>
          </w:tcPr>
          <w:p>
            <w:pPr>
              <w:pStyle w:val="nTable"/>
              <w:keepNext/>
              <w:spacing w:after="40"/>
            </w:pPr>
            <w:r>
              <w:t>26 May 2016</w:t>
            </w:r>
          </w:p>
        </w:tc>
        <w:tc>
          <w:tcPr>
            <w:tcW w:w="2554" w:type="dxa"/>
            <w:gridSpan w:val="2"/>
            <w:shd w:val="clear" w:color="auto" w:fill="auto"/>
          </w:tcPr>
          <w:p>
            <w:pPr>
              <w:pStyle w:val="nTable"/>
              <w:keepNext/>
              <w:spacing w:after="40"/>
              <w:rPr>
                <w:snapToGrid w:val="0"/>
              </w:rPr>
            </w:pPr>
            <w:r>
              <w:rPr>
                <w:snapToGrid w:val="0"/>
              </w:rPr>
              <w:t xml:space="preserve">1 Jul 2016 (see s. 2(b) and </w:t>
            </w:r>
            <w:r>
              <w:rPr>
                <w:i/>
                <w:snapToGrid w:val="0"/>
              </w:rPr>
              <w:t>Gazette</w:t>
            </w:r>
            <w:r>
              <w:rPr>
                <w:snapToGrid w:val="0"/>
              </w:rPr>
              <w:t xml:space="preserve"> 24 Jun 2016 p. 2291)</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 xml:space="preserve">Firefighters and Emergency Volunteers Legislation Amendment (Compensation) Act 2016 </w:t>
            </w:r>
            <w:r>
              <w:rPr>
                <w:snapToGrid w:val="0"/>
              </w:rPr>
              <w:t>Pt. 4</w:t>
            </w:r>
            <w:r>
              <w:rPr>
                <w:i/>
                <w:snapToGrid w:val="0"/>
              </w:rPr>
              <w:t> </w:t>
            </w:r>
          </w:p>
        </w:tc>
        <w:tc>
          <w:tcPr>
            <w:tcW w:w="1134" w:type="dxa"/>
            <w:gridSpan w:val="2"/>
            <w:shd w:val="clear" w:color="auto" w:fill="auto"/>
          </w:tcPr>
          <w:p>
            <w:pPr>
              <w:pStyle w:val="nTable"/>
              <w:keepNext/>
              <w:spacing w:after="40"/>
            </w:pPr>
            <w:r>
              <w:t>28 of 2016</w:t>
            </w:r>
          </w:p>
        </w:tc>
        <w:tc>
          <w:tcPr>
            <w:tcW w:w="1134" w:type="dxa"/>
            <w:gridSpan w:val="2"/>
            <w:shd w:val="clear" w:color="auto" w:fill="auto"/>
          </w:tcPr>
          <w:p>
            <w:pPr>
              <w:pStyle w:val="nTable"/>
              <w:keepNext/>
              <w:spacing w:after="40"/>
            </w:pPr>
            <w:r>
              <w:t>21 Sep 2016</w:t>
            </w:r>
          </w:p>
        </w:tc>
        <w:tc>
          <w:tcPr>
            <w:tcW w:w="2554" w:type="dxa"/>
            <w:gridSpan w:val="2"/>
            <w:shd w:val="clear" w:color="auto" w:fill="auto"/>
          </w:tcPr>
          <w:p>
            <w:pPr>
              <w:pStyle w:val="nTable"/>
              <w:keepNext/>
              <w:spacing w:after="40"/>
              <w:rPr>
                <w:snapToGrid w:val="0"/>
              </w:rPr>
            </w:pPr>
            <w:r>
              <w:rPr>
                <w:snapToGrid w:val="0"/>
              </w:rPr>
              <w:t xml:space="preserve">21 Jan 2017 (see s. 2(b) and </w:t>
            </w:r>
            <w:r>
              <w:rPr>
                <w:i/>
                <w:snapToGrid w:val="0"/>
              </w:rPr>
              <w:t xml:space="preserve">Gazette </w:t>
            </w:r>
            <w:r>
              <w:rPr>
                <w:snapToGrid w:val="0"/>
              </w:rPr>
              <w:t>20 Jan 2017 p. 647)</w:t>
            </w:r>
          </w:p>
        </w:tc>
      </w:tr>
      <w:tr>
        <w:trPr>
          <w:gridBefore w:val="1"/>
          <w:wBefore w:w="28" w:type="dxa"/>
          <w:cantSplit/>
        </w:trPr>
        <w:tc>
          <w:tcPr>
            <w:tcW w:w="2266" w:type="dxa"/>
            <w:gridSpan w:val="2"/>
            <w:shd w:val="clear" w:color="auto" w:fill="auto"/>
          </w:tcPr>
          <w:p>
            <w:pPr>
              <w:pStyle w:val="nTable"/>
              <w:spacing w:after="40"/>
              <w:ind w:right="113"/>
              <w:rPr>
                <w:snapToGrid w:val="0"/>
              </w:rPr>
            </w:pPr>
            <w:r>
              <w:rPr>
                <w:i/>
                <w:snapToGrid w:val="0"/>
              </w:rPr>
              <w:t>Statutes (Repeals) Act 2016</w:t>
            </w:r>
            <w:r>
              <w:rPr>
                <w:snapToGrid w:val="0"/>
              </w:rPr>
              <w:t xml:space="preserve"> Pt. 2 Div. 4</w:t>
            </w:r>
          </w:p>
        </w:tc>
        <w:tc>
          <w:tcPr>
            <w:tcW w:w="1134" w:type="dxa"/>
            <w:gridSpan w:val="2"/>
            <w:shd w:val="clear" w:color="auto" w:fill="auto"/>
          </w:tcPr>
          <w:p>
            <w:pPr>
              <w:pStyle w:val="nTable"/>
              <w:keepNext/>
              <w:spacing w:after="40"/>
            </w:pPr>
            <w:r>
              <w:t>50 of 2016</w:t>
            </w:r>
          </w:p>
        </w:tc>
        <w:tc>
          <w:tcPr>
            <w:tcW w:w="1134" w:type="dxa"/>
            <w:gridSpan w:val="2"/>
            <w:shd w:val="clear" w:color="auto" w:fill="auto"/>
          </w:tcPr>
          <w:p>
            <w:pPr>
              <w:pStyle w:val="nTable"/>
              <w:keepNext/>
              <w:spacing w:after="40"/>
            </w:pPr>
            <w:r>
              <w:t>28 Nov 2016</w:t>
            </w:r>
          </w:p>
        </w:tc>
        <w:tc>
          <w:tcPr>
            <w:tcW w:w="2554" w:type="dxa"/>
            <w:gridSpan w:val="2"/>
            <w:shd w:val="clear" w:color="auto" w:fill="auto"/>
          </w:tcPr>
          <w:p>
            <w:pPr>
              <w:pStyle w:val="nTable"/>
              <w:keepNext/>
              <w:spacing w:after="40"/>
              <w:rPr>
                <w:snapToGrid w:val="0"/>
              </w:rPr>
            </w:pPr>
            <w:r>
              <w:rPr>
                <w:snapToGrid w:val="0"/>
              </w:rPr>
              <w:t>29 Nov 2016 (see s. 2(b))</w:t>
            </w:r>
          </w:p>
        </w:tc>
      </w:tr>
      <w:tr>
        <w:trPr>
          <w:gridBefore w:val="1"/>
          <w:wBefore w:w="28" w:type="dxa"/>
          <w:cantSplit/>
        </w:trPr>
        <w:tc>
          <w:tcPr>
            <w:tcW w:w="7088" w:type="dxa"/>
            <w:gridSpan w:val="8"/>
            <w:shd w:val="clear" w:color="auto" w:fill="auto"/>
          </w:tcPr>
          <w:p>
            <w:pPr>
              <w:pStyle w:val="nTable"/>
              <w:spacing w:after="40"/>
              <w:rPr>
                <w:snapToGrid w:val="0"/>
              </w:rPr>
            </w:pPr>
            <w:r>
              <w:rPr>
                <w:b/>
                <w:snapToGrid w:val="0"/>
              </w:rPr>
              <w:t xml:space="preserve">Reprint 12: The </w:t>
            </w:r>
            <w:r>
              <w:rPr>
                <w:b/>
                <w:i/>
                <w:noProof/>
                <w:snapToGrid w:val="0"/>
              </w:rPr>
              <w:t>Workers’ Compensation and Injury Management Act 1981</w:t>
            </w:r>
            <w:r>
              <w:rPr>
                <w:b/>
                <w:snapToGrid w:val="0"/>
              </w:rPr>
              <w:t xml:space="preserve"> as at 24 Nov 2017</w:t>
            </w:r>
            <w:r>
              <w:rPr>
                <w:snapToGrid w:val="0"/>
              </w:rPr>
              <w:t xml:space="preserve"> (includes amendments listed above)</w:t>
            </w:r>
          </w:p>
        </w:tc>
      </w:tr>
      <w:tr>
        <w:trPr>
          <w:gridBefore w:val="1"/>
          <w:wBefore w:w="28" w:type="dxa"/>
          <w:cantSplit/>
        </w:trPr>
        <w:tc>
          <w:tcPr>
            <w:tcW w:w="2266" w:type="dxa"/>
            <w:gridSpan w:val="2"/>
            <w:shd w:val="clear" w:color="auto" w:fill="auto"/>
          </w:tcPr>
          <w:p>
            <w:pPr>
              <w:pStyle w:val="nTable"/>
              <w:spacing w:after="40"/>
              <w:ind w:right="113"/>
              <w:rPr>
                <w:snapToGrid w:val="0"/>
                <w:vertAlign w:val="superscript"/>
              </w:rPr>
            </w:pPr>
            <w:r>
              <w:rPr>
                <w:i/>
              </w:rPr>
              <w:lastRenderedPageBreak/>
              <w:t>Workers’ Compensation and Injury Management Amendment Act 2018</w:t>
            </w:r>
          </w:p>
        </w:tc>
        <w:tc>
          <w:tcPr>
            <w:tcW w:w="1134" w:type="dxa"/>
            <w:gridSpan w:val="2"/>
            <w:shd w:val="clear" w:color="auto" w:fill="auto"/>
          </w:tcPr>
          <w:p>
            <w:pPr>
              <w:pStyle w:val="nTable"/>
              <w:keepNext/>
              <w:spacing w:after="40"/>
            </w:pPr>
            <w:r>
              <w:t>8 of 2018</w:t>
            </w:r>
          </w:p>
        </w:tc>
        <w:tc>
          <w:tcPr>
            <w:tcW w:w="1134" w:type="dxa"/>
            <w:gridSpan w:val="2"/>
            <w:shd w:val="clear" w:color="auto" w:fill="auto"/>
          </w:tcPr>
          <w:p>
            <w:pPr>
              <w:pStyle w:val="nTable"/>
              <w:keepNext/>
              <w:spacing w:after="40"/>
            </w:pPr>
            <w:r>
              <w:t>20 Jun 2018</w:t>
            </w:r>
          </w:p>
        </w:tc>
        <w:tc>
          <w:tcPr>
            <w:tcW w:w="2554" w:type="dxa"/>
            <w:gridSpan w:val="2"/>
            <w:shd w:val="clear" w:color="auto" w:fill="auto"/>
          </w:tcPr>
          <w:p>
            <w:pPr>
              <w:pStyle w:val="nTable"/>
              <w:keepNext/>
              <w:spacing w:after="40"/>
              <w:rPr>
                <w:snapToGrid w:val="0"/>
              </w:rPr>
            </w:pPr>
            <w:r>
              <w:rPr>
                <w:snapToGrid w:val="0"/>
              </w:rPr>
              <w:t>Pt. 1: 20 Jun 2018 (see s. 2(a));</w:t>
            </w:r>
            <w:r>
              <w:rPr>
                <w:snapToGrid w:val="0"/>
              </w:rPr>
              <w:br/>
              <w:t>Pt. 3: 21 Jun 2018 (see s. 2(b));</w:t>
            </w:r>
            <w:r>
              <w:rPr>
                <w:snapToGrid w:val="0"/>
              </w:rPr>
              <w:br/>
              <w:t xml:space="preserve">Act other than Pt. 1 and 3: </w:t>
            </w:r>
            <w:r>
              <w:t xml:space="preserve">1 Jul 2018 (see s. 2(c) and </w:t>
            </w:r>
            <w:r>
              <w:rPr>
                <w:i/>
              </w:rPr>
              <w:t>Gazette</w:t>
            </w:r>
            <w:r>
              <w:t xml:space="preserve"> 29 Jun 2018 p. 2433)</w:t>
            </w:r>
          </w:p>
        </w:tc>
      </w:tr>
      <w:tr>
        <w:trPr>
          <w:gridBefore w:val="1"/>
          <w:wBefore w:w="28" w:type="dxa"/>
          <w:cantSplit/>
        </w:trPr>
        <w:tc>
          <w:tcPr>
            <w:tcW w:w="2266" w:type="dxa"/>
            <w:gridSpan w:val="2"/>
            <w:shd w:val="clear" w:color="auto" w:fill="auto"/>
          </w:tcPr>
          <w:p>
            <w:pPr>
              <w:pStyle w:val="nTable"/>
              <w:spacing w:after="40"/>
              <w:ind w:right="113"/>
              <w:rPr>
                <w:i/>
              </w:rPr>
            </w:pPr>
            <w:r>
              <w:rPr>
                <w:i/>
              </w:rPr>
              <w:t>Workers’ Compensation and Injury Management Amendment (COVID</w:t>
            </w:r>
            <w:r>
              <w:rPr>
                <w:i/>
              </w:rPr>
              <w:noBreakHyphen/>
              <w:t>19 Response) Act 2020</w:t>
            </w:r>
          </w:p>
        </w:tc>
        <w:tc>
          <w:tcPr>
            <w:tcW w:w="1134" w:type="dxa"/>
            <w:gridSpan w:val="2"/>
            <w:shd w:val="clear" w:color="auto" w:fill="auto"/>
          </w:tcPr>
          <w:p>
            <w:pPr>
              <w:pStyle w:val="nTable"/>
              <w:keepNext/>
              <w:spacing w:after="40"/>
            </w:pPr>
            <w:r>
              <w:t>31 of 2020</w:t>
            </w:r>
          </w:p>
        </w:tc>
        <w:tc>
          <w:tcPr>
            <w:tcW w:w="1134" w:type="dxa"/>
            <w:gridSpan w:val="2"/>
            <w:shd w:val="clear" w:color="auto" w:fill="auto"/>
          </w:tcPr>
          <w:p>
            <w:pPr>
              <w:pStyle w:val="nTable"/>
              <w:keepNext/>
              <w:spacing w:after="40"/>
            </w:pPr>
            <w:r>
              <w:t>18 Aug 2020</w:t>
            </w:r>
          </w:p>
        </w:tc>
        <w:tc>
          <w:tcPr>
            <w:tcW w:w="2554" w:type="dxa"/>
            <w:gridSpan w:val="2"/>
            <w:shd w:val="clear" w:color="auto" w:fill="auto"/>
          </w:tcPr>
          <w:p>
            <w:pPr>
              <w:pStyle w:val="nTable"/>
              <w:keepNext/>
              <w:spacing w:after="40"/>
              <w:rPr>
                <w:snapToGrid w:val="0"/>
              </w:rPr>
            </w:pPr>
            <w:r>
              <w:rPr>
                <w:snapToGrid w:val="0"/>
              </w:rPr>
              <w:t>s. 1 and 2: 18 Aug 2020 (see s. 2(1)(a));</w:t>
            </w:r>
            <w:r>
              <w:rPr>
                <w:snapToGrid w:val="0"/>
              </w:rPr>
              <w:br/>
              <w:t>s. 3 and 16: 19 Aug 2020 (see s. 2(1)(b));</w:t>
            </w:r>
            <w:r>
              <w:rPr>
                <w:snapToGrid w:val="0"/>
              </w:rPr>
              <w:br/>
              <w:t>Act other than s. 1</w:t>
            </w:r>
            <w:r>
              <w:rPr>
                <w:snapToGrid w:val="0"/>
              </w:rPr>
              <w:noBreakHyphen/>
              <w:t>3 and 16: 12 Oct 2020 (see s. 2(1)(c) and SL 2020/187 cl. 2)</w:t>
            </w:r>
          </w:p>
        </w:tc>
      </w:tr>
      <w:tr>
        <w:trPr>
          <w:gridBefore w:val="1"/>
          <w:wBefore w:w="28" w:type="dxa"/>
          <w:cantSplit/>
        </w:trPr>
        <w:tc>
          <w:tcPr>
            <w:tcW w:w="2266" w:type="dxa"/>
            <w:gridSpan w:val="2"/>
            <w:shd w:val="clear" w:color="auto" w:fill="auto"/>
          </w:tcPr>
          <w:p>
            <w:pPr>
              <w:pStyle w:val="nTable"/>
              <w:spacing w:after="40"/>
              <w:ind w:right="113"/>
              <w:rPr>
                <w:i/>
              </w:rPr>
            </w:pPr>
            <w:r>
              <w:rPr>
                <w:i/>
              </w:rPr>
              <w:t>Work Health and Safety Act 2020</w:t>
            </w:r>
            <w:r>
              <w:t xml:space="preserve"> Pt. 15 Div. 4 Subdiv. 8</w:t>
            </w:r>
          </w:p>
        </w:tc>
        <w:tc>
          <w:tcPr>
            <w:tcW w:w="1134" w:type="dxa"/>
            <w:gridSpan w:val="2"/>
            <w:shd w:val="clear" w:color="auto" w:fill="auto"/>
          </w:tcPr>
          <w:p>
            <w:pPr>
              <w:pStyle w:val="nTable"/>
              <w:keepNext/>
              <w:spacing w:after="40"/>
            </w:pPr>
            <w:r>
              <w:t>36 of 2020</w:t>
            </w:r>
          </w:p>
        </w:tc>
        <w:tc>
          <w:tcPr>
            <w:tcW w:w="1134" w:type="dxa"/>
            <w:gridSpan w:val="2"/>
            <w:shd w:val="clear" w:color="auto" w:fill="auto"/>
          </w:tcPr>
          <w:p>
            <w:pPr>
              <w:pStyle w:val="nTable"/>
              <w:keepNext/>
              <w:spacing w:after="40"/>
            </w:pPr>
            <w:r>
              <w:t>10 Nov 2020</w:t>
            </w:r>
          </w:p>
        </w:tc>
        <w:tc>
          <w:tcPr>
            <w:tcW w:w="2554" w:type="dxa"/>
            <w:gridSpan w:val="2"/>
            <w:shd w:val="clear" w:color="auto" w:fill="auto"/>
          </w:tcPr>
          <w:p>
            <w:pPr>
              <w:pStyle w:val="nTable"/>
              <w:keepNext/>
              <w:spacing w:after="40"/>
              <w:rPr>
                <w:snapToGrid w:val="0"/>
              </w:rPr>
            </w:pPr>
            <w:r>
              <w:t>31 Mar 2022 (see s. 2(1)(c) and SL 2022/18 cl. 2)</w:t>
            </w:r>
          </w:p>
        </w:tc>
      </w:tr>
      <w:tr>
        <w:trPr>
          <w:gridBefore w:val="1"/>
          <w:wBefore w:w="28" w:type="dxa"/>
          <w:cantSplit/>
        </w:trPr>
        <w:tc>
          <w:tcPr>
            <w:tcW w:w="2266" w:type="dxa"/>
            <w:gridSpan w:val="2"/>
            <w:shd w:val="clear" w:color="auto" w:fill="auto"/>
          </w:tcPr>
          <w:p>
            <w:pPr>
              <w:pStyle w:val="nTable"/>
              <w:spacing w:after="40"/>
              <w:ind w:right="113"/>
              <w:rPr>
                <w:i/>
              </w:rPr>
            </w:pPr>
            <w:r>
              <w:rPr>
                <w:i/>
              </w:rPr>
              <w:t>Legal Profession Uniform Law Application Act 2022</w:t>
            </w:r>
            <w:r>
              <w:t xml:space="preserve"> Pt. 17 Div. 22</w:t>
            </w:r>
          </w:p>
        </w:tc>
        <w:tc>
          <w:tcPr>
            <w:tcW w:w="1134" w:type="dxa"/>
            <w:gridSpan w:val="2"/>
            <w:shd w:val="clear" w:color="auto" w:fill="auto"/>
          </w:tcPr>
          <w:p>
            <w:pPr>
              <w:pStyle w:val="nTable"/>
              <w:keepNext/>
              <w:spacing w:after="40"/>
            </w:pPr>
            <w:r>
              <w:t>9 of 2022</w:t>
            </w:r>
          </w:p>
        </w:tc>
        <w:tc>
          <w:tcPr>
            <w:tcW w:w="1134" w:type="dxa"/>
            <w:gridSpan w:val="2"/>
            <w:shd w:val="clear" w:color="auto" w:fill="auto"/>
          </w:tcPr>
          <w:p>
            <w:pPr>
              <w:pStyle w:val="nTable"/>
              <w:keepNext/>
              <w:spacing w:after="40"/>
            </w:pPr>
            <w:r>
              <w:t>14 Apr 2022</w:t>
            </w:r>
          </w:p>
        </w:tc>
        <w:tc>
          <w:tcPr>
            <w:tcW w:w="2554" w:type="dxa"/>
            <w:gridSpan w:val="2"/>
            <w:shd w:val="clear" w:color="auto" w:fill="auto"/>
          </w:tcPr>
          <w:p>
            <w:pPr>
              <w:pStyle w:val="nTable"/>
              <w:keepNext/>
              <w:spacing w:after="40"/>
            </w:pPr>
            <w:r>
              <w:rPr>
                <w:snapToGrid w:val="0"/>
              </w:rPr>
              <w:t>1 Jul 2022 (see s. 2(c) and SL 2022/113 cl. 2)</w:t>
            </w:r>
          </w:p>
        </w:tc>
      </w:tr>
      <w:tr>
        <w:trPr>
          <w:gridBefore w:val="1"/>
          <w:wBefore w:w="28" w:type="dxa"/>
          <w:cantSplit/>
        </w:trPr>
        <w:tc>
          <w:tcPr>
            <w:tcW w:w="2266" w:type="dxa"/>
            <w:gridSpan w:val="2"/>
            <w:tcBorders>
              <w:bottom w:val="single" w:sz="4" w:space="0" w:color="auto"/>
            </w:tcBorders>
            <w:shd w:val="clear" w:color="auto" w:fill="auto"/>
          </w:tcPr>
          <w:p>
            <w:pPr>
              <w:pStyle w:val="nTable"/>
              <w:spacing w:after="40"/>
              <w:ind w:right="113"/>
            </w:pPr>
            <w:r>
              <w:rPr>
                <w:i/>
              </w:rPr>
              <w:t>Directors’ Liability Reform Act 2023</w:t>
            </w:r>
            <w:r>
              <w:t xml:space="preserve"> Pt. 3 Div. 69</w:t>
            </w:r>
          </w:p>
        </w:tc>
        <w:tc>
          <w:tcPr>
            <w:tcW w:w="1134" w:type="dxa"/>
            <w:gridSpan w:val="2"/>
            <w:tcBorders>
              <w:bottom w:val="single" w:sz="4" w:space="0" w:color="auto"/>
            </w:tcBorders>
            <w:shd w:val="clear" w:color="auto" w:fill="auto"/>
          </w:tcPr>
          <w:p>
            <w:pPr>
              <w:pStyle w:val="nTable"/>
              <w:keepNext/>
              <w:spacing w:after="40"/>
            </w:pPr>
            <w:r>
              <w:t>9 of 2023</w:t>
            </w:r>
          </w:p>
        </w:tc>
        <w:tc>
          <w:tcPr>
            <w:tcW w:w="1134" w:type="dxa"/>
            <w:gridSpan w:val="2"/>
            <w:tcBorders>
              <w:bottom w:val="single" w:sz="4" w:space="0" w:color="auto"/>
            </w:tcBorders>
            <w:shd w:val="clear" w:color="auto" w:fill="auto"/>
          </w:tcPr>
          <w:p>
            <w:pPr>
              <w:pStyle w:val="nTable"/>
              <w:keepNext/>
              <w:spacing w:after="40"/>
            </w:pPr>
            <w:r>
              <w:t>4 Apr 2023</w:t>
            </w:r>
          </w:p>
        </w:tc>
        <w:tc>
          <w:tcPr>
            <w:tcW w:w="2554" w:type="dxa"/>
            <w:gridSpan w:val="2"/>
            <w:tcBorders>
              <w:bottom w:val="single" w:sz="4" w:space="0" w:color="auto"/>
            </w:tcBorders>
            <w:shd w:val="clear" w:color="auto" w:fill="auto"/>
          </w:tcPr>
          <w:p>
            <w:pPr>
              <w:pStyle w:val="nTable"/>
              <w:keepNext/>
              <w:spacing w:after="40"/>
              <w:rPr>
                <w:snapToGrid w:val="0"/>
              </w:rPr>
            </w:pPr>
            <w:r>
              <w:rPr>
                <w:snapToGrid w:val="0"/>
              </w:rPr>
              <w:t>5 Apr 2023 (see s. 2(j))</w:t>
            </w:r>
          </w:p>
        </w:tc>
      </w:tr>
    </w:tbl>
    <w:p>
      <w:pPr>
        <w:pStyle w:val="nHeading3"/>
      </w:pPr>
      <w:bookmarkStart w:id="1235" w:name="_Toc131514862"/>
      <w:r>
        <w:t>Uncommenced provisions table</w:t>
      </w:r>
      <w:bookmarkEnd w:id="1235"/>
    </w:p>
    <w:p>
      <w:pPr>
        <w:pStyle w:val="nStatement"/>
        <w:keepNext/>
        <w:spacing w:after="240"/>
      </w:pPr>
      <w:r>
        <w:t xml:space="preserve">To view the text of the uncommenced provisions see </w:t>
      </w:r>
      <w:r>
        <w:rPr>
          <w:i/>
        </w:rPr>
        <w:t>Acts as passed</w:t>
      </w:r>
      <w:r>
        <w:t xml:space="preserve"> on the WA Legislation website.</w:t>
      </w:r>
    </w:p>
    <w:tbl>
      <w:tblPr>
        <w:tblW w:w="7100" w:type="dxa"/>
        <w:tblInd w:w="56" w:type="dxa"/>
        <w:tblLayout w:type="fixed"/>
        <w:tblCellMar>
          <w:left w:w="56" w:type="dxa"/>
          <w:right w:w="56" w:type="dxa"/>
        </w:tblCellMar>
        <w:tblLook w:val="0000" w:firstRow="0" w:lastRow="0" w:firstColumn="0" w:lastColumn="0" w:noHBand="0" w:noVBand="0"/>
      </w:tblPr>
      <w:tblGrid>
        <w:gridCol w:w="2272"/>
        <w:gridCol w:w="1138"/>
        <w:gridCol w:w="1139"/>
        <w:gridCol w:w="2551"/>
      </w:tblGrid>
      <w:tr>
        <w:trPr>
          <w:cantSplit/>
          <w:tblHeader/>
        </w:trPr>
        <w:tc>
          <w:tcPr>
            <w:tcW w:w="2272" w:type="dxa"/>
            <w:tcBorders>
              <w:top w:val="single" w:sz="8" w:space="0" w:color="auto"/>
              <w:bottom w:val="single" w:sz="8" w:space="0" w:color="auto"/>
            </w:tcBorders>
            <w:shd w:val="clear" w:color="auto" w:fill="auto"/>
          </w:tcPr>
          <w:p>
            <w:pPr>
              <w:pStyle w:val="nTable"/>
              <w:keepNext/>
              <w:spacing w:after="40"/>
              <w:rPr>
                <w:b/>
              </w:rPr>
            </w:pPr>
            <w:r>
              <w:rPr>
                <w:b/>
              </w:rPr>
              <w:t>Short title</w:t>
            </w:r>
          </w:p>
        </w:tc>
        <w:tc>
          <w:tcPr>
            <w:tcW w:w="1138"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9"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72" w:type="dxa"/>
          </w:tcPr>
          <w:p>
            <w:pPr>
              <w:pStyle w:val="nTable"/>
              <w:spacing w:after="40"/>
              <w:ind w:right="113"/>
              <w:rPr>
                <w:snapToGrid w:val="0"/>
                <w:vertAlign w:val="superscript"/>
              </w:rPr>
            </w:pPr>
            <w:r>
              <w:rPr>
                <w:i/>
                <w:snapToGrid w:val="0"/>
              </w:rPr>
              <w:t xml:space="preserve">State Superannuation (Transitional and Consequential Provisions) Act 2000 </w:t>
            </w:r>
            <w:r>
              <w:rPr>
                <w:snapToGrid w:val="0"/>
              </w:rPr>
              <w:t>s. 74</w:t>
            </w:r>
          </w:p>
        </w:tc>
        <w:tc>
          <w:tcPr>
            <w:tcW w:w="1138" w:type="dxa"/>
          </w:tcPr>
          <w:p>
            <w:pPr>
              <w:pStyle w:val="nTable"/>
              <w:keepNext/>
              <w:spacing w:after="40"/>
            </w:pPr>
            <w:r>
              <w:t>43 of 2000</w:t>
            </w:r>
            <w:r>
              <w:br/>
              <w:t>(as amended by No. 42 of 2004 s. 174)</w:t>
            </w:r>
          </w:p>
        </w:tc>
        <w:tc>
          <w:tcPr>
            <w:tcW w:w="1139" w:type="dxa"/>
          </w:tcPr>
          <w:p>
            <w:pPr>
              <w:pStyle w:val="nTable"/>
              <w:keepNext/>
              <w:spacing w:after="40"/>
            </w:pPr>
            <w:r>
              <w:t>2 Nov 2000</w:t>
            </w:r>
          </w:p>
        </w:tc>
        <w:tc>
          <w:tcPr>
            <w:tcW w:w="2551" w:type="dxa"/>
          </w:tcPr>
          <w:p>
            <w:pPr>
              <w:pStyle w:val="nTable"/>
              <w:keepNext/>
              <w:spacing w:after="40"/>
            </w:pPr>
            <w:r>
              <w:t>To be proclaimed (see s. 2(2))</w:t>
            </w:r>
          </w:p>
        </w:tc>
      </w:tr>
      <w:tr>
        <w:trPr>
          <w:cantSplit/>
        </w:trPr>
        <w:tc>
          <w:tcPr>
            <w:tcW w:w="2272" w:type="dxa"/>
            <w:shd w:val="clear" w:color="auto" w:fill="auto"/>
          </w:tcPr>
          <w:p>
            <w:pPr>
              <w:pStyle w:val="nTable"/>
              <w:spacing w:after="40"/>
              <w:ind w:right="113"/>
              <w:rPr>
                <w:i/>
                <w:snapToGrid w:val="0"/>
              </w:rPr>
            </w:pPr>
            <w:r>
              <w:rPr>
                <w:i/>
                <w:snapToGrid w:val="0"/>
              </w:rPr>
              <w:t xml:space="preserve">Workers’ Compensation and Injury Management Amendment Act 2011 </w:t>
            </w:r>
            <w:r>
              <w:rPr>
                <w:snapToGrid w:val="0"/>
              </w:rPr>
              <w:t>s. 123(2)</w:t>
            </w:r>
            <w:r>
              <w:rPr>
                <w:snapToGrid w:val="0"/>
              </w:rPr>
              <w:noBreakHyphen/>
              <w:t>(7)</w:t>
            </w:r>
          </w:p>
        </w:tc>
        <w:tc>
          <w:tcPr>
            <w:tcW w:w="1138" w:type="dxa"/>
            <w:shd w:val="clear" w:color="auto" w:fill="auto"/>
          </w:tcPr>
          <w:p>
            <w:pPr>
              <w:pStyle w:val="nTable"/>
              <w:keepNext/>
              <w:spacing w:after="40"/>
            </w:pPr>
            <w:r>
              <w:t>31 of 2011</w:t>
            </w:r>
          </w:p>
        </w:tc>
        <w:tc>
          <w:tcPr>
            <w:tcW w:w="1139" w:type="dxa"/>
            <w:shd w:val="clear" w:color="auto" w:fill="auto"/>
          </w:tcPr>
          <w:p>
            <w:pPr>
              <w:pStyle w:val="nTable"/>
              <w:keepNext/>
              <w:spacing w:after="40"/>
            </w:pPr>
            <w:r>
              <w:t>31 Aug 2011</w:t>
            </w:r>
          </w:p>
        </w:tc>
        <w:tc>
          <w:tcPr>
            <w:tcW w:w="2551" w:type="dxa"/>
            <w:shd w:val="clear" w:color="auto" w:fill="auto"/>
          </w:tcPr>
          <w:p>
            <w:pPr>
              <w:pStyle w:val="nTable"/>
              <w:keepNext/>
              <w:spacing w:after="40"/>
            </w:pPr>
            <w:r>
              <w:t>To be proclaimed (see s. 2(b))</w:t>
            </w:r>
          </w:p>
        </w:tc>
      </w:tr>
      <w:tr>
        <w:trPr>
          <w:cantSplit/>
        </w:trPr>
        <w:tc>
          <w:tcPr>
            <w:tcW w:w="2272" w:type="dxa"/>
            <w:tcBorders>
              <w:bottom w:val="single" w:sz="4" w:space="0" w:color="auto"/>
            </w:tcBorders>
            <w:shd w:val="clear" w:color="auto" w:fill="auto"/>
          </w:tcPr>
          <w:p>
            <w:pPr>
              <w:pStyle w:val="nTable"/>
              <w:spacing w:after="40"/>
              <w:ind w:right="113"/>
              <w:rPr>
                <w:i/>
                <w:snapToGrid w:val="0"/>
              </w:rPr>
            </w:pPr>
            <w:r>
              <w:rPr>
                <w:i/>
              </w:rPr>
              <w:t>TAB (Disposal) Act 2019</w:t>
            </w:r>
            <w:r>
              <w:t xml:space="preserve"> s. 160</w:t>
            </w:r>
          </w:p>
        </w:tc>
        <w:tc>
          <w:tcPr>
            <w:tcW w:w="1138" w:type="dxa"/>
            <w:tcBorders>
              <w:bottom w:val="single" w:sz="4" w:space="0" w:color="auto"/>
            </w:tcBorders>
            <w:shd w:val="clear" w:color="auto" w:fill="auto"/>
          </w:tcPr>
          <w:p>
            <w:pPr>
              <w:pStyle w:val="nTable"/>
              <w:spacing w:after="40"/>
            </w:pPr>
            <w:r>
              <w:t>21 of 2019</w:t>
            </w:r>
          </w:p>
        </w:tc>
        <w:tc>
          <w:tcPr>
            <w:tcW w:w="1139" w:type="dxa"/>
            <w:tcBorders>
              <w:bottom w:val="single" w:sz="4" w:space="0" w:color="auto"/>
            </w:tcBorders>
            <w:shd w:val="clear" w:color="auto" w:fill="auto"/>
          </w:tcPr>
          <w:p>
            <w:pPr>
              <w:pStyle w:val="nTable"/>
              <w:spacing w:after="40"/>
            </w:pPr>
            <w:r>
              <w:t>18 Sep 2019</w:t>
            </w:r>
          </w:p>
        </w:tc>
        <w:tc>
          <w:tcPr>
            <w:tcW w:w="2551" w:type="dxa"/>
            <w:tcBorders>
              <w:bottom w:val="single" w:sz="4" w:space="0" w:color="auto"/>
            </w:tcBorders>
            <w:shd w:val="clear" w:color="auto" w:fill="auto"/>
          </w:tcPr>
          <w:p>
            <w:pPr>
              <w:pStyle w:val="nTable"/>
              <w:spacing w:after="40"/>
            </w:pPr>
            <w:r>
              <w:t>To be proclaimed (see s. 2(1)(b)(xiii))</w:t>
            </w:r>
          </w:p>
        </w:tc>
      </w:tr>
    </w:tbl>
    <w:p>
      <w:pPr>
        <w:pStyle w:val="nHeading3"/>
      </w:pPr>
      <w:bookmarkStart w:id="1236" w:name="_Toc131514863"/>
      <w:r>
        <w:lastRenderedPageBreak/>
        <w:t>Other notes</w:t>
      </w:r>
      <w:bookmarkEnd w:id="1236"/>
    </w:p>
    <w:p>
      <w:pPr>
        <w:pStyle w:val="nNote"/>
        <w:spacing w:before="160"/>
        <w:rPr>
          <w:snapToGrid w:val="0"/>
        </w:rPr>
      </w:pPr>
      <w:r>
        <w:rPr>
          <w:snapToGrid w:val="0"/>
          <w:vertAlign w:val="superscript"/>
        </w:rPr>
        <w:t>1</w:t>
      </w:r>
      <w:r>
        <w:rPr>
          <w:snapToGrid w:val="0"/>
        </w:rPr>
        <w:tab/>
        <w:t>Footnote no longer applicable.</w:t>
      </w:r>
    </w:p>
    <w:p>
      <w:pPr>
        <w:pStyle w:val="nNote"/>
        <w:spacing w:before="160"/>
        <w:rPr>
          <w:snapToGrid w:val="0"/>
        </w:rPr>
      </w:pPr>
      <w:r>
        <w:rPr>
          <w:snapToGrid w:val="0"/>
          <w:vertAlign w:val="superscript"/>
        </w:rPr>
        <w:t>2</w:t>
      </w:r>
      <w:r>
        <w:rPr>
          <w:snapToGrid w:val="0"/>
        </w:rPr>
        <w:tab/>
        <w:t xml:space="preserve">The </w:t>
      </w:r>
      <w:r>
        <w:rPr>
          <w:i/>
          <w:snapToGrid w:val="0"/>
        </w:rPr>
        <w:t>Workers’ Compensation Act Amendment Act (No. 2) 1977</w:t>
      </w:r>
      <w:r>
        <w:rPr>
          <w:snapToGrid w:val="0"/>
        </w:rPr>
        <w:t xml:space="preserve"> s. 3 became operative on 28 Nov 1977.</w:t>
      </w:r>
    </w:p>
    <w:p>
      <w:pPr>
        <w:pStyle w:val="nNote"/>
        <w:rPr>
          <w:snapToGrid w:val="0"/>
        </w:rPr>
      </w:pPr>
      <w:r>
        <w:rPr>
          <w:snapToGrid w:val="0"/>
          <w:vertAlign w:val="superscript"/>
        </w:rPr>
        <w:t>3</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Note"/>
        <w:rPr>
          <w:iCs/>
        </w:rPr>
      </w:pPr>
      <w:r>
        <w:rPr>
          <w:vertAlign w:val="superscript"/>
        </w:rPr>
        <w:t>4</w:t>
      </w:r>
      <w:r>
        <w:rPr>
          <w:vertAlign w:val="superscript"/>
        </w:rPr>
        <w:tab/>
      </w:r>
      <w:r>
        <w:t xml:space="preserve">Repealed by the </w:t>
      </w:r>
      <w:r>
        <w:rPr>
          <w:i/>
          <w:iCs/>
        </w:rPr>
        <w:t xml:space="preserve">Statute Stocktake Act 1999 </w:t>
      </w:r>
      <w:r>
        <w:t>(Cwlth)</w:t>
      </w:r>
      <w:r>
        <w:rPr>
          <w:iCs/>
        </w:rPr>
        <w:t>.</w:t>
      </w:r>
    </w:p>
    <w:p>
      <w:pPr>
        <w:pStyle w:val="nNote"/>
        <w:keepNext/>
      </w:pPr>
      <w:r>
        <w:rPr>
          <w:snapToGrid w:val="0"/>
          <w:vertAlign w:val="superscript"/>
        </w:rPr>
        <w:t>5</w:t>
      </w:r>
      <w:r>
        <w:rPr>
          <w:snapToGrid w:val="0"/>
          <w:vertAlign w:val="superscript"/>
        </w:rPr>
        <w:tab/>
      </w:r>
      <w:r>
        <w:t xml:space="preserve">Under s. 45 the following order in council was published in </w:t>
      </w:r>
      <w:r>
        <w:rPr>
          <w:i/>
          <w:iCs/>
        </w:rPr>
        <w:t>Gazette</w:t>
      </w:r>
      <w:r>
        <w:t xml:space="preserve"> 19 June 2009 p. 2253:</w:t>
      </w:r>
    </w:p>
    <w:p>
      <w:pPr>
        <w:pStyle w:val="BlankOpen"/>
      </w:pPr>
    </w:p>
    <w:p>
      <w:pPr>
        <w:pStyle w:val="MiscellaneousHeading"/>
        <w:spacing w:before="0"/>
        <w:ind w:left="839" w:right="493"/>
        <w:rPr>
          <w:i/>
          <w:sz w:val="20"/>
        </w:rPr>
      </w:pPr>
      <w:r>
        <w:rPr>
          <w:i/>
          <w:sz w:val="20"/>
        </w:rPr>
        <w:t>Workers’ Compensation and Injury Management Act 1981</w:t>
      </w:r>
    </w:p>
    <w:p>
      <w:pPr>
        <w:pStyle w:val="MiscellaneousHeading"/>
        <w:spacing w:before="60" w:line="240" w:lineRule="auto"/>
        <w:ind w:left="839" w:right="493"/>
        <w:rPr>
          <w:b/>
          <w:bCs/>
          <w:i/>
          <w:sz w:val="20"/>
        </w:rPr>
      </w:pPr>
      <w:r>
        <w:rPr>
          <w:b/>
          <w:bCs/>
          <w:i/>
          <w:sz w:val="20"/>
        </w:rPr>
        <w:t>Workers’ Compensation and Injury Management (Specified Industrial Diseases) Order 2008</w:t>
      </w:r>
    </w:p>
    <w:p>
      <w:pPr>
        <w:pStyle w:val="MiscellaneousBody"/>
        <w:spacing w:before="60" w:line="240" w:lineRule="auto"/>
        <w:ind w:left="839" w:right="493"/>
        <w:rPr>
          <w:sz w:val="20"/>
        </w:rPr>
      </w:pPr>
      <w:r>
        <w:rPr>
          <w:sz w:val="20"/>
        </w:rPr>
        <w:t>Made by the Governor in Executive Council under section 45 of the Act.</w:t>
      </w:r>
    </w:p>
    <w:p>
      <w:pPr>
        <w:pStyle w:val="MiscellaneousBody"/>
        <w:tabs>
          <w:tab w:val="left" w:pos="1440"/>
        </w:tabs>
        <w:spacing w:before="80"/>
        <w:ind w:left="839" w:right="493"/>
        <w:rPr>
          <w:b/>
          <w:bCs/>
          <w:sz w:val="20"/>
        </w:rPr>
      </w:pPr>
      <w:r>
        <w:rPr>
          <w:rStyle w:val="CharSectno"/>
          <w:b/>
          <w:bCs/>
          <w:sz w:val="20"/>
        </w:rPr>
        <w:t>1</w:t>
      </w:r>
      <w:r>
        <w:rPr>
          <w:b/>
          <w:bCs/>
          <w:sz w:val="20"/>
        </w:rPr>
        <w:t>.</w:t>
      </w:r>
      <w:r>
        <w:rPr>
          <w:b/>
          <w:bCs/>
          <w:sz w:val="20"/>
        </w:rPr>
        <w:tab/>
        <w:t>Citation</w:t>
      </w:r>
    </w:p>
    <w:p>
      <w:pPr>
        <w:pStyle w:val="MiscellaneousBody"/>
        <w:tabs>
          <w:tab w:val="left" w:pos="1440"/>
        </w:tabs>
        <w:spacing w:before="60" w:line="240" w:lineRule="auto"/>
        <w:ind w:left="1440" w:right="493" w:hanging="601"/>
        <w:rPr>
          <w:sz w:val="20"/>
        </w:rPr>
      </w:pPr>
      <w:r>
        <w:rPr>
          <w:sz w:val="20"/>
        </w:rPr>
        <w:tab/>
        <w:t xml:space="preserve">This order is the </w:t>
      </w:r>
      <w:r>
        <w:rPr>
          <w:i/>
          <w:sz w:val="20"/>
        </w:rPr>
        <w:t>Workers’ Compensation and Injury Management (Specified Industrial Diseases) Order 2008</w:t>
      </w:r>
      <w:r>
        <w:rPr>
          <w:sz w:val="20"/>
        </w:rPr>
        <w:t>.</w:t>
      </w:r>
    </w:p>
    <w:p>
      <w:pPr>
        <w:pStyle w:val="MiscellaneousBody"/>
        <w:keepNext/>
        <w:keepLines/>
        <w:tabs>
          <w:tab w:val="left" w:pos="1440"/>
        </w:tabs>
        <w:ind w:left="840" w:right="496"/>
        <w:rPr>
          <w:rStyle w:val="CharSectno"/>
          <w:b/>
          <w:bCs/>
          <w:sz w:val="20"/>
        </w:rPr>
      </w:pPr>
      <w:r>
        <w:rPr>
          <w:rStyle w:val="CharSectno"/>
          <w:b/>
          <w:bCs/>
          <w:sz w:val="20"/>
        </w:rPr>
        <w:t>2</w:t>
      </w:r>
      <w:r>
        <w:rPr>
          <w:b/>
          <w:sz w:val="20"/>
        </w:rPr>
        <w:t>.</w:t>
      </w:r>
      <w:r>
        <w:rPr>
          <w:b/>
          <w:sz w:val="20"/>
        </w:rPr>
        <w:tab/>
      </w:r>
      <w:r>
        <w:rPr>
          <w:rStyle w:val="CharSectno"/>
          <w:b/>
          <w:bCs/>
          <w:sz w:val="20"/>
        </w:rPr>
        <w:t>Addition to Schedule 3</w:t>
      </w:r>
    </w:p>
    <w:p>
      <w:pPr>
        <w:pStyle w:val="MiscellaneousBody"/>
        <w:keepNext/>
        <w:keepLines/>
        <w:tabs>
          <w:tab w:val="left" w:pos="1440"/>
        </w:tabs>
        <w:spacing w:before="80" w:line="240" w:lineRule="auto"/>
        <w:ind w:left="1440" w:right="493" w:hanging="601"/>
        <w:rPr>
          <w:sz w:val="20"/>
        </w:rPr>
      </w:pPr>
      <w:r>
        <w:rPr>
          <w:sz w:val="20"/>
        </w:rPr>
        <w:tab/>
        <w:t>The disease and the process named in the Table are included in Schedule 3.</w:t>
      </w:r>
    </w:p>
    <w:p>
      <w:pPr>
        <w:pStyle w:val="BlankOpen"/>
      </w:pPr>
    </w:p>
    <w:tbl>
      <w:tblPr>
        <w:tblW w:w="0" w:type="auto"/>
        <w:tblInd w:w="1723" w:type="dxa"/>
        <w:tblLayout w:type="fixed"/>
        <w:tblCellMar>
          <w:left w:w="283" w:type="dxa"/>
          <w:right w:w="283" w:type="dxa"/>
        </w:tblCellMar>
        <w:tblLook w:val="0000" w:firstRow="0" w:lastRow="0" w:firstColumn="0" w:lastColumn="0" w:noHBand="0" w:noVBand="0"/>
      </w:tblPr>
      <w:tblGrid>
        <w:gridCol w:w="2388"/>
        <w:gridCol w:w="2976"/>
      </w:tblGrid>
      <w:tr>
        <w:trPr>
          <w:cantSplit/>
        </w:trPr>
        <w:tc>
          <w:tcPr>
            <w:tcW w:w="2388" w:type="dxa"/>
          </w:tcPr>
          <w:p>
            <w:pPr>
              <w:pStyle w:val="nzTable"/>
              <w:keepNext/>
              <w:jc w:val="center"/>
              <w:rPr>
                <w:b/>
                <w:bCs/>
              </w:rPr>
            </w:pPr>
            <w:r>
              <w:rPr>
                <w:b/>
                <w:bCs/>
              </w:rPr>
              <w:t>Column 1</w:t>
            </w:r>
          </w:p>
          <w:p>
            <w:pPr>
              <w:pStyle w:val="nzTable"/>
              <w:keepNext/>
              <w:jc w:val="center"/>
              <w:rPr>
                <w:b/>
                <w:bCs/>
              </w:rPr>
            </w:pPr>
            <w:r>
              <w:rPr>
                <w:b/>
                <w:bCs/>
              </w:rPr>
              <w:t>Description of Disease</w:t>
            </w:r>
          </w:p>
        </w:tc>
        <w:tc>
          <w:tcPr>
            <w:tcW w:w="2976" w:type="dxa"/>
          </w:tcPr>
          <w:p>
            <w:pPr>
              <w:pStyle w:val="nzTable"/>
              <w:keepNext/>
              <w:jc w:val="center"/>
              <w:rPr>
                <w:b/>
                <w:bCs/>
              </w:rPr>
            </w:pPr>
            <w:r>
              <w:rPr>
                <w:b/>
                <w:bCs/>
              </w:rPr>
              <w:t>Column 2</w:t>
            </w:r>
          </w:p>
          <w:p>
            <w:pPr>
              <w:pStyle w:val="nzTable"/>
              <w:keepNext/>
              <w:jc w:val="center"/>
              <w:rPr>
                <w:b/>
                <w:bCs/>
              </w:rPr>
            </w:pPr>
            <w:r>
              <w:rPr>
                <w:b/>
                <w:bCs/>
              </w:rPr>
              <w:t>Description of Process</w:t>
            </w:r>
          </w:p>
        </w:tc>
      </w:tr>
      <w:tr>
        <w:tc>
          <w:tcPr>
            <w:tcW w:w="2388" w:type="dxa"/>
          </w:tcPr>
          <w:p>
            <w:pPr>
              <w:pStyle w:val="nzTable"/>
              <w:keepNext/>
            </w:pPr>
            <w:r>
              <w:t xml:space="preserve">Pleural plaques (diffuse pleural fibrosis) </w:t>
            </w:r>
          </w:p>
        </w:tc>
        <w:tc>
          <w:tcPr>
            <w:tcW w:w="2976" w:type="dxa"/>
          </w:tcPr>
          <w:p>
            <w:pPr>
              <w:pStyle w:val="nzTable"/>
              <w:keepNext/>
            </w:pPr>
            <w:r>
              <w:t>Any process entailing substantial exposure to asbestos dust.</w:t>
            </w:r>
          </w:p>
        </w:tc>
      </w:tr>
    </w:tbl>
    <w:p>
      <w:pPr>
        <w:pStyle w:val="BlankClose"/>
      </w:pPr>
    </w:p>
    <w:p>
      <w:pPr>
        <w:pStyle w:val="MiscellaneousBody"/>
        <w:tabs>
          <w:tab w:val="left" w:pos="1440"/>
        </w:tabs>
        <w:spacing w:before="80" w:line="240" w:lineRule="auto"/>
        <w:ind w:left="1440" w:right="493" w:hanging="601"/>
        <w:rPr>
          <w:rFonts w:ascii="Arial" w:hAnsi="Arial" w:cs="Arial"/>
          <w:sz w:val="16"/>
        </w:rPr>
      </w:pPr>
      <w:r>
        <w:rPr>
          <w:rFonts w:ascii="Arial" w:hAnsi="Arial" w:cs="Arial"/>
          <w:sz w:val="16"/>
        </w:rPr>
        <w:t>Note:</w:t>
      </w:r>
      <w:r>
        <w:rPr>
          <w:rFonts w:ascii="Arial" w:hAnsi="Arial" w:cs="Arial"/>
          <w:sz w:val="16"/>
        </w:rPr>
        <w:tab/>
        <w:t xml:space="preserve">In accordance with section 45(2) of the Act this order takes effect on the expiration of 3 months from the date of publication in the </w:t>
      </w:r>
      <w:r>
        <w:rPr>
          <w:rFonts w:ascii="Arial" w:hAnsi="Arial" w:cs="Arial"/>
          <w:i/>
          <w:iCs/>
          <w:sz w:val="16"/>
        </w:rPr>
        <w:t>Gazette</w:t>
      </w:r>
      <w:r>
        <w:rPr>
          <w:rFonts w:ascii="Arial" w:hAnsi="Arial" w:cs="Arial"/>
          <w:sz w:val="16"/>
        </w:rPr>
        <w:t>.</w:t>
      </w:r>
    </w:p>
    <w:p>
      <w:pPr>
        <w:pStyle w:val="BlankClose"/>
      </w:pPr>
    </w:p>
    <w:p>
      <w:pPr>
        <w:pStyle w:val="nNote"/>
      </w:pPr>
      <w:r>
        <w:rPr>
          <w:vertAlign w:val="superscript"/>
        </w:rPr>
        <w:t>6</w:t>
      </w:r>
      <w:r>
        <w:rPr>
          <w:vertAlign w:val="superscript"/>
        </w:rPr>
        <w:tab/>
      </w:r>
      <w:r>
        <w:t>Repealed by s. 317 of this Act.</w:t>
      </w:r>
    </w:p>
    <w:p>
      <w:pPr>
        <w:pStyle w:val="nNote"/>
        <w:rPr>
          <w:snapToGrid w:val="0"/>
        </w:rPr>
      </w:pPr>
      <w:r>
        <w:rPr>
          <w:snapToGrid w:val="0"/>
          <w:vertAlign w:val="superscript"/>
        </w:rPr>
        <w:t>7</w:t>
      </w:r>
      <w:r>
        <w:rPr>
          <w:snapToGrid w:val="0"/>
        </w:rPr>
        <w:tab/>
        <w:t xml:space="preserve">Repealed by the </w:t>
      </w:r>
      <w:r>
        <w:rPr>
          <w:i/>
          <w:snapToGrid w:val="0"/>
        </w:rPr>
        <w:t xml:space="preserve">Interpretation Act 1984 </w:t>
      </w:r>
      <w:r>
        <w:rPr>
          <w:snapToGrid w:val="0"/>
        </w:rPr>
        <w:t>s. 77.</w:t>
      </w:r>
    </w:p>
    <w:p>
      <w:pPr>
        <w:pStyle w:val="nNote"/>
        <w:rPr>
          <w:snapToGrid w:val="0"/>
        </w:rPr>
      </w:pPr>
      <w:r>
        <w:rPr>
          <w:snapToGrid w:val="0"/>
          <w:vertAlign w:val="superscript"/>
        </w:rPr>
        <w:t>8</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Note"/>
        <w:rPr>
          <w:snapToGrid w:val="0"/>
        </w:rPr>
      </w:pPr>
      <w:r>
        <w:rPr>
          <w:snapToGrid w:val="0"/>
          <w:vertAlign w:val="superscript"/>
        </w:rPr>
        <w:lastRenderedPageBreak/>
        <w:t>9</w:t>
      </w:r>
      <w:r>
        <w:rPr>
          <w:snapToGrid w:val="0"/>
        </w:rPr>
        <w:tab/>
        <w:t xml:space="preserve">Now known as the </w:t>
      </w:r>
      <w:r>
        <w:rPr>
          <w:i/>
          <w:snapToGrid w:val="0"/>
        </w:rPr>
        <w:t>Workers’ Compensation and Injury Management Act 1981</w:t>
      </w:r>
      <w:r>
        <w:rPr>
          <w:snapToGrid w:val="0"/>
        </w:rPr>
        <w:t>; short title changed (see note under s. 1).</w:t>
      </w:r>
    </w:p>
    <w:p>
      <w:pPr>
        <w:pStyle w:val="nNote"/>
        <w:rPr>
          <w:snapToGrid w:val="0"/>
        </w:rPr>
      </w:pPr>
      <w:r>
        <w:rPr>
          <w:snapToGrid w:val="0"/>
          <w:vertAlign w:val="superscript"/>
        </w:rPr>
        <w:t>10</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Note"/>
        <w:rPr>
          <w:snapToGrid w:val="0"/>
        </w:rPr>
      </w:pPr>
      <w:r>
        <w:rPr>
          <w:snapToGrid w:val="0"/>
          <w:vertAlign w:val="superscript"/>
        </w:rPr>
        <w:t>11</w:t>
      </w:r>
      <w:r>
        <w:rPr>
          <w:snapToGrid w:val="0"/>
        </w:rPr>
        <w:tab/>
        <w:t xml:space="preserve">The </w:t>
      </w:r>
      <w:r>
        <w:rPr>
          <w:i/>
          <w:snapToGrid w:val="0"/>
        </w:rPr>
        <w:t>Workers’ Compensation and Assistance Amendment Act 1985</w:t>
      </w:r>
      <w:r>
        <w:rPr>
          <w:snapToGrid w:val="0"/>
        </w:rPr>
        <w:t xml:space="preserve"> s. 4(2) is a savings provision relating to the s. 10A inserted by s. 4(1) of that Act.  That s. 10A was replaced by the </w:t>
      </w:r>
      <w:r>
        <w:rPr>
          <w:i/>
          <w:iCs/>
          <w:snapToGrid w:val="0"/>
        </w:rPr>
        <w:t>Workers’ Compensation Legislation Amendment Act 2005</w:t>
      </w:r>
      <w:r>
        <w:rPr>
          <w:snapToGrid w:val="0"/>
        </w:rPr>
        <w:t xml:space="preserve"> s. 9.</w:t>
      </w:r>
    </w:p>
    <w:p>
      <w:pPr>
        <w:pStyle w:val="nNote"/>
        <w:keepNext/>
        <w:rPr>
          <w:snapToGrid w:val="0"/>
        </w:rPr>
      </w:pPr>
      <w:r>
        <w:rPr>
          <w:snapToGrid w:val="0"/>
          <w:vertAlign w:val="superscript"/>
        </w:rPr>
        <w:t>12</w:t>
      </w:r>
      <w:r>
        <w:rPr>
          <w:snapToGrid w:val="0"/>
        </w:rPr>
        <w:tab/>
        <w:t xml:space="preserve">The </w:t>
      </w:r>
      <w:r>
        <w:rPr>
          <w:i/>
          <w:snapToGrid w:val="0"/>
        </w:rPr>
        <w:t>Workers’ Compensation and Assistance Amendment Act 1985</w:t>
      </w:r>
      <w:r>
        <w:rPr>
          <w:snapToGrid w:val="0"/>
        </w:rPr>
        <w:t xml:space="preserve"> s. 23(2) and 41(2) read as follows:</w:t>
      </w:r>
    </w:p>
    <w:p>
      <w:pPr>
        <w:pStyle w:val="BlankOpen"/>
      </w:pPr>
    </w:p>
    <w:p>
      <w:pPr>
        <w:pStyle w:val="nzHeading5"/>
        <w:rPr>
          <w:snapToGrid w:val="0"/>
        </w:rPr>
      </w:pPr>
      <w:r>
        <w:rPr>
          <w:snapToGrid w:val="0"/>
        </w:rPr>
        <w:t>23.</w:t>
      </w:r>
      <w:r>
        <w:rPr>
          <w:snapToGrid w:val="0"/>
        </w:rPr>
        <w:tab/>
        <w:t>Section 74 amended and transitional</w:t>
      </w:r>
    </w:p>
    <w:p>
      <w:pPr>
        <w:pStyle w:val="nzSubsection"/>
        <w:spacing w:before="160"/>
        <w:rPr>
          <w:snapToGrid w:val="0"/>
        </w:rPr>
      </w:pPr>
      <w:r>
        <w:rPr>
          <w:snapToGrid w:val="0"/>
        </w:rPr>
        <w:tab/>
        <w:t>(2)</w:t>
      </w:r>
      <w:r>
        <w:rPr>
          <w:snapToGrid w:val="0"/>
        </w:rPr>
        <w:tab/>
        <w:t>Section 74 of the principal Act shall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nzHeading5"/>
        <w:rPr>
          <w:snapToGrid w:val="0"/>
        </w:rPr>
      </w:pPr>
      <w:r>
        <w:rPr>
          <w:snapToGrid w:val="0"/>
        </w:rPr>
        <w:t>41.</w:t>
      </w:r>
      <w:r>
        <w:rPr>
          <w:snapToGrid w:val="0"/>
        </w:rPr>
        <w:tab/>
        <w:t>Schedule 1 amended and transitional</w:t>
      </w:r>
    </w:p>
    <w:p>
      <w:pPr>
        <w:pStyle w:val="nzSubsection"/>
        <w:spacing w:before="160"/>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pStyle w:val="BlankClose"/>
      </w:pPr>
    </w:p>
    <w:p>
      <w:pPr>
        <w:pStyle w:val="nNote"/>
        <w:rPr>
          <w:iCs/>
          <w:snapToGrid w:val="0"/>
        </w:rPr>
      </w:pPr>
      <w:r>
        <w:rPr>
          <w:snapToGrid w:val="0"/>
          <w:vertAlign w:val="superscript"/>
        </w:rPr>
        <w:t>13</w:t>
      </w:r>
      <w:r>
        <w:rPr>
          <w:snapToGrid w:val="0"/>
        </w:rPr>
        <w:tab/>
        <w:t xml:space="preserve">The </w:t>
      </w:r>
      <w:r>
        <w:rPr>
          <w:i/>
          <w:snapToGrid w:val="0"/>
        </w:rPr>
        <w:t>Workers’ Compensation and Assistance Amendment Act 1985</w:t>
      </w:r>
      <w:r>
        <w:rPr>
          <w:snapToGrid w:val="0"/>
        </w:rPr>
        <w:t xml:space="preserve"> s. 10</w:t>
      </w:r>
      <w:r>
        <w:rPr>
          <w:snapToGrid w:val="0"/>
        </w:rPr>
        <w:noBreakHyphen/>
        <w:t xml:space="preserve">12, 19, 44 and 45 were deleted without having come into operation by the </w:t>
      </w:r>
      <w:r>
        <w:rPr>
          <w:i/>
          <w:snapToGrid w:val="0"/>
        </w:rPr>
        <w:t>Workers’ Compensation and Assistance Amendment Act 1988</w:t>
      </w:r>
      <w:r>
        <w:rPr>
          <w:iCs/>
          <w:snapToGrid w:val="0"/>
        </w:rPr>
        <w:t xml:space="preserve"> s. 13.</w:t>
      </w:r>
    </w:p>
    <w:p>
      <w:pPr>
        <w:pStyle w:val="nNote"/>
        <w:rPr>
          <w:iCs/>
          <w:snapToGrid w:val="0"/>
        </w:rPr>
      </w:pPr>
      <w:r>
        <w:rPr>
          <w:snapToGrid w:val="0"/>
          <w:vertAlign w:val="superscript"/>
        </w:rPr>
        <w:t>14</w:t>
      </w:r>
      <w:r>
        <w:rPr>
          <w:snapToGrid w:val="0"/>
        </w:rPr>
        <w:tab/>
        <w:t xml:space="preserve">The </w:t>
      </w:r>
      <w:r>
        <w:rPr>
          <w:i/>
          <w:snapToGrid w:val="0"/>
        </w:rPr>
        <w:t>Workers’ Compensation and Assistance Amendment Act 1985</w:t>
      </w:r>
      <w:r>
        <w:rPr>
          <w:snapToGrid w:val="0"/>
        </w:rPr>
        <w:t xml:space="preserve"> s. 30(2) was a transitional provision that was repealed by the </w:t>
      </w:r>
      <w:r>
        <w:rPr>
          <w:i/>
          <w:snapToGrid w:val="0"/>
        </w:rPr>
        <w:t>Workers’ Compensation and Assistance Amendment Act 1990</w:t>
      </w:r>
      <w:r>
        <w:rPr>
          <w:iCs/>
          <w:snapToGrid w:val="0"/>
        </w:rPr>
        <w:t xml:space="preserve"> s. 30(2).</w:t>
      </w:r>
    </w:p>
    <w:p>
      <w:pPr>
        <w:pStyle w:val="nNote"/>
        <w:rPr>
          <w:snapToGrid w:val="0"/>
        </w:rPr>
      </w:pPr>
      <w:r>
        <w:rPr>
          <w:snapToGrid w:val="0"/>
          <w:vertAlign w:val="superscript"/>
        </w:rPr>
        <w:t>15</w:t>
      </w:r>
      <w:r>
        <w:rPr>
          <w:snapToGrid w:val="0"/>
        </w:rPr>
        <w:tab/>
        <w:t xml:space="preserve">The </w:t>
      </w:r>
      <w:r>
        <w:rPr>
          <w:i/>
          <w:snapToGrid w:val="0"/>
        </w:rPr>
        <w:t>Workers’ Compensation and Assistance Amendment Act 1986</w:t>
      </w:r>
      <w:r>
        <w:rPr>
          <w:snapToGrid w:val="0"/>
        </w:rPr>
        <w:t xml:space="preserve"> s. 6(2) is a validation provision that is of no further effect.</w:t>
      </w:r>
    </w:p>
    <w:p>
      <w:pPr>
        <w:pStyle w:val="nNote"/>
        <w:rPr>
          <w:snapToGrid w:val="0"/>
        </w:rPr>
      </w:pPr>
      <w:r>
        <w:rPr>
          <w:snapToGrid w:val="0"/>
          <w:vertAlign w:val="superscript"/>
        </w:rPr>
        <w:lastRenderedPageBreak/>
        <w:t>16</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Note"/>
        <w:keepNext/>
        <w:rPr>
          <w:snapToGrid w:val="0"/>
        </w:rPr>
      </w:pPr>
      <w:r>
        <w:rPr>
          <w:snapToGrid w:val="0"/>
          <w:vertAlign w:val="superscript"/>
        </w:rPr>
        <w:t>17</w:t>
      </w:r>
      <w:r>
        <w:rPr>
          <w:snapToGrid w:val="0"/>
        </w:rPr>
        <w:tab/>
        <w:t xml:space="preserve">The </w:t>
      </w:r>
      <w:r>
        <w:rPr>
          <w:i/>
          <w:snapToGrid w:val="0"/>
        </w:rPr>
        <w:t>Workers’ Compensation and Assistance Amendment Act 1990</w:t>
      </w:r>
      <w:r>
        <w:rPr>
          <w:snapToGrid w:val="0"/>
        </w:rPr>
        <w:t xml:space="preserve"> s. 48(2) reads as follows:</w:t>
      </w:r>
    </w:p>
    <w:p>
      <w:pPr>
        <w:pStyle w:val="BlankOpen"/>
      </w:pPr>
    </w:p>
    <w:p>
      <w:pPr>
        <w:pStyle w:val="nzHeading5"/>
        <w:spacing w:before="0"/>
        <w:rPr>
          <w:snapToGrid w:val="0"/>
        </w:rPr>
      </w:pPr>
      <w:r>
        <w:rPr>
          <w:snapToGrid w:val="0"/>
        </w:rPr>
        <w:t>48.</w:t>
      </w:r>
      <w:r>
        <w:rPr>
          <w:snapToGrid w:val="0"/>
        </w:rPr>
        <w:tab/>
        <w:t>Schedule 1 amended</w:t>
      </w:r>
    </w:p>
    <w:p>
      <w:pPr>
        <w:pStyle w:val="nzSubsection"/>
        <w:spacing w:before="160"/>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BlankClose"/>
        <w:rPr>
          <w:snapToGrid w:val="0"/>
        </w:rPr>
      </w:pPr>
    </w:p>
    <w:p>
      <w:pPr>
        <w:pStyle w:val="nNote"/>
        <w:keepNext/>
        <w:spacing w:before="160"/>
        <w:rPr>
          <w:snapToGrid w:val="0"/>
        </w:rPr>
      </w:pPr>
      <w:r>
        <w:rPr>
          <w:snapToGrid w:val="0"/>
          <w:vertAlign w:val="superscript"/>
        </w:rPr>
        <w:t>18</w:t>
      </w:r>
      <w:r>
        <w:rPr>
          <w:snapToGrid w:val="0"/>
        </w:rPr>
        <w:tab/>
        <w:t xml:space="preserve">The </w:t>
      </w:r>
      <w:r>
        <w:rPr>
          <w:i/>
          <w:snapToGrid w:val="0"/>
        </w:rPr>
        <w:t>Workers’ Compensation and Assistance Amendment Act 1990</w:t>
      </w:r>
      <w:r>
        <w:rPr>
          <w:snapToGrid w:val="0"/>
        </w:rPr>
        <w:t xml:space="preserve"> s. 50 and 51 read as follows:</w:t>
      </w:r>
    </w:p>
    <w:p>
      <w:pPr>
        <w:pStyle w:val="BlankOpen"/>
      </w:pPr>
    </w:p>
    <w:p>
      <w:pPr>
        <w:pStyle w:val="nzHeading5"/>
        <w:spacing w:before="0"/>
        <w:rPr>
          <w:snapToGrid w:val="0"/>
        </w:rPr>
      </w:pPr>
      <w:r>
        <w:rPr>
          <w:snapToGrid w:val="0"/>
        </w:rPr>
        <w:t>50.</w:t>
      </w:r>
      <w:r>
        <w:rPr>
          <w:snapToGrid w:val="0"/>
        </w:rPr>
        <w:tab/>
        <w:t>Transitional</w:t>
      </w:r>
    </w:p>
    <w:p>
      <w:pPr>
        <w:pStyle w:val="nzSubsection"/>
        <w:spacing w:before="120"/>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keepNext/>
        <w:keepLines/>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nzHeading5"/>
        <w:rPr>
          <w:snapToGrid w:val="0"/>
        </w:rPr>
      </w:pPr>
      <w:r>
        <w:rPr>
          <w:snapToGrid w:val="0"/>
        </w:rPr>
        <w:t>51.</w:t>
      </w:r>
      <w:r>
        <w:rPr>
          <w:snapToGrid w:val="0"/>
        </w:rPr>
        <w:tab/>
        <w:t>Transitional — Schedule 5</w:t>
      </w:r>
    </w:p>
    <w:p>
      <w:pPr>
        <w:pStyle w:val="nzSubsection"/>
        <w:spacing w:before="120"/>
        <w:rPr>
          <w:snapToGrid w:val="0"/>
        </w:rPr>
      </w:pPr>
      <w:r>
        <w:rPr>
          <w:snapToGrid w:val="0"/>
        </w:rPr>
        <w:tab/>
        <w:t>(1)</w:t>
      </w:r>
      <w:r>
        <w:rPr>
          <w:snapToGrid w:val="0"/>
        </w:rPr>
        <w:tab/>
        <w:t xml:space="preserve">In this section </w:t>
      </w:r>
      <w:r>
        <w:rPr>
          <w:b/>
          <w:i/>
          <w:iCs/>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keepNext/>
        <w:rPr>
          <w:snapToGrid w:val="0"/>
        </w:rPr>
      </w:pPr>
      <w:r>
        <w:rPr>
          <w:snapToGrid w:val="0"/>
        </w:rPr>
        <w:lastRenderedPageBreak/>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pStyle w:val="BlankClose"/>
      </w:pPr>
    </w:p>
    <w:p>
      <w:pPr>
        <w:pStyle w:val="nNote"/>
        <w:keepNext/>
        <w:rPr>
          <w:snapToGrid w:val="0"/>
        </w:rPr>
      </w:pPr>
      <w:r>
        <w:rPr>
          <w:snapToGrid w:val="0"/>
          <w:vertAlign w:val="superscript"/>
        </w:rPr>
        <w:t>19</w:t>
      </w:r>
      <w:r>
        <w:rPr>
          <w:snapToGrid w:val="0"/>
        </w:rPr>
        <w:tab/>
        <w:t xml:space="preserve">The </w:t>
      </w:r>
      <w:r>
        <w:rPr>
          <w:i/>
          <w:snapToGrid w:val="0"/>
        </w:rPr>
        <w:t>Workers’ Compensation and Rehabilitation Amendment Act 1993</w:t>
      </w:r>
      <w:r>
        <w:rPr>
          <w:snapToGrid w:val="0"/>
        </w:rPr>
        <w:t xml:space="preserve"> s. 4(4) reads as follows:</w:t>
      </w:r>
    </w:p>
    <w:p>
      <w:pPr>
        <w:pStyle w:val="BlankOpen"/>
      </w:pPr>
    </w:p>
    <w:p>
      <w:pPr>
        <w:pStyle w:val="nzHeading5"/>
        <w:rPr>
          <w:snapToGrid w:val="0"/>
        </w:rPr>
      </w:pPr>
      <w:r>
        <w:rPr>
          <w:snapToGrid w:val="0"/>
        </w:rPr>
        <w:t>4.</w:t>
      </w:r>
      <w:r>
        <w:rPr>
          <w:snapToGrid w:val="0"/>
        </w:rPr>
        <w:tab/>
        <w:t>Part IV amended and application provision</w:t>
      </w:r>
    </w:p>
    <w:p>
      <w:pPr>
        <w:pStyle w:val="nzSubsection"/>
        <w:spacing w:before="160"/>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pStyle w:val="BlankClose"/>
      </w:pPr>
    </w:p>
    <w:p>
      <w:pPr>
        <w:pStyle w:val="nNote"/>
        <w:keepNext/>
        <w:keepLines/>
        <w:rPr>
          <w:snapToGrid w:val="0"/>
        </w:rPr>
      </w:pPr>
      <w:r>
        <w:rPr>
          <w:snapToGrid w:val="0"/>
          <w:vertAlign w:val="superscript"/>
        </w:rPr>
        <w:t>20</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t> </w:t>
      </w:r>
      <w:r>
        <w:rPr>
          <w:snapToGrid w:val="0"/>
        </w:rPr>
        <w:t xml:space="preserve">Pt. 3 and the </w:t>
      </w:r>
      <w:r>
        <w:rPr>
          <w:i/>
          <w:snapToGrid w:val="0"/>
        </w:rPr>
        <w:t>Workers’ Compensation Reform Act 2004</w:t>
      </w:r>
      <w:r>
        <w:rPr>
          <w:snapToGrid w:val="0"/>
        </w:rPr>
        <w:t xml:space="preserve"> s. 172(2)) reads as follows:</w:t>
      </w:r>
    </w:p>
    <w:p>
      <w:pPr>
        <w:pStyle w:val="BlankOpen"/>
      </w:pPr>
    </w:p>
    <w:p>
      <w:pPr>
        <w:pStyle w:val="nzHeading3"/>
        <w:rPr>
          <w:snapToGrid w:val="0"/>
        </w:rPr>
      </w:pPr>
      <w:r>
        <w:rPr>
          <w:snapToGrid w:val="0"/>
        </w:rPr>
        <w:t>Division 2 — Further transitional provisions</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w:t>
      </w:r>
    </w:p>
    <w:p>
      <w:pPr>
        <w:pStyle w:val="nzDefstart"/>
      </w:pPr>
      <w:r>
        <w:rPr>
          <w:b/>
        </w:rPr>
        <w:tab/>
      </w:r>
      <w:r>
        <w:rPr>
          <w:b/>
          <w:bCs/>
          <w:i/>
          <w:iCs/>
        </w:rPr>
        <w:t>affected person</w:t>
      </w:r>
      <w:r>
        <w:rPr>
          <w:b/>
        </w:rPr>
        <w:t xml:space="preserve"> </w:t>
      </w:r>
      <w:r>
        <w:t>means a person having a notifiable cause;</w:t>
      </w:r>
    </w:p>
    <w:p>
      <w:pPr>
        <w:pStyle w:val="nzDefstart"/>
        <w:spacing w:before="60"/>
      </w:pPr>
      <w:r>
        <w:rPr>
          <w:b/>
        </w:rPr>
        <w:tab/>
      </w:r>
      <w:r>
        <w:rPr>
          <w:b/>
          <w:i/>
        </w:rPr>
        <w:t>improved statutory benefits</w:t>
      </w:r>
      <w:r>
        <w:rPr>
          <w:b/>
        </w:rPr>
        <w:t xml:space="preserve">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spacing w:before="60"/>
      </w:pPr>
      <w:r>
        <w:rPr>
          <w:b/>
        </w:rPr>
        <w:lastRenderedPageBreak/>
        <w:tab/>
      </w:r>
      <w:r>
        <w:rPr>
          <w:b/>
          <w:i/>
        </w:rPr>
        <w:t>notifiable cause</w:t>
      </w:r>
      <w:r>
        <w:rPr>
          <w:b/>
        </w:rPr>
        <w:t xml:space="preserv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spacing w:before="60"/>
      </w:pPr>
      <w:r>
        <w:rPr>
          <w:b/>
        </w:rPr>
        <w:tab/>
      </w:r>
      <w:r>
        <w:rPr>
          <w:b/>
          <w:i/>
        </w:rPr>
        <w:t>preliminary questions</w:t>
      </w:r>
      <w:r>
        <w:t>, in relation to a notifiable cause, means —</w:t>
      </w:r>
    </w:p>
    <w:p>
      <w:pPr>
        <w:pStyle w:val="nzDefpara"/>
        <w:spacing w:before="60"/>
      </w:pPr>
      <w:r>
        <w:tab/>
        <w:t>(a)</w:t>
      </w:r>
      <w:r>
        <w:tab/>
        <w:t>whether or not a court would be likely to find the relevant employer or insurer to be liable for damages in an action founded on that cause; and</w:t>
      </w:r>
    </w:p>
    <w:p>
      <w:pPr>
        <w:pStyle w:val="nzDefpara"/>
        <w:spacing w:before="60"/>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spacing w:before="60"/>
      </w:pPr>
      <w:r>
        <w:rPr>
          <w:b/>
        </w:rPr>
        <w:tab/>
      </w:r>
      <w:r>
        <w:rPr>
          <w:b/>
          <w:i/>
        </w:rPr>
        <w:t>relevant employer or insurer</w:t>
      </w:r>
      <w:r>
        <w:t>, in relation to a notifiable cause, means the employer against whom the affected person has the cause of action or the person insuring the employer against liability arising out of that cause;</w:t>
      </w:r>
    </w:p>
    <w:p>
      <w:pPr>
        <w:pStyle w:val="nzDefstart"/>
        <w:spacing w:before="60"/>
      </w:pPr>
      <w:r>
        <w:rPr>
          <w:b/>
        </w:rPr>
        <w:tab/>
      </w:r>
      <w:r>
        <w:rPr>
          <w:b/>
          <w:i/>
        </w:rPr>
        <w:t>significant damages</w:t>
      </w:r>
      <w:r>
        <w:rPr>
          <w:b/>
        </w:rPr>
        <w:t xml:space="preserve"> </w:t>
      </w:r>
      <w:r>
        <w:t>means damages of which —</w:t>
      </w:r>
    </w:p>
    <w:p>
      <w:pPr>
        <w:pStyle w:val="nzDefpara"/>
        <w:spacing w:before="60"/>
      </w:pPr>
      <w:r>
        <w:tab/>
        <w:t>(a)</w:t>
      </w:r>
      <w:r>
        <w:tab/>
        <w:t>the amount attributable to non</w:t>
      </w:r>
      <w:r>
        <w:noBreakHyphen/>
        <w:t>pecuniary loss; or</w:t>
      </w:r>
    </w:p>
    <w:p>
      <w:pPr>
        <w:pStyle w:val="nzDefpara"/>
        <w:keepNext/>
        <w:spacing w:before="60"/>
      </w:pPr>
      <w:r>
        <w:tab/>
        <w:t>(b)</w:t>
      </w:r>
      <w:r>
        <w:tab/>
        <w:t>the amount attributable to future pecuniary loss,</w:t>
      </w:r>
    </w:p>
    <w:p>
      <w:pPr>
        <w:pStyle w:val="nzDefstart"/>
        <w:spacing w:before="60"/>
      </w:pP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Lines w:val="0"/>
        <w:spacing w:before="16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r>
        <w:t>WorkCover WA</w:t>
      </w:r>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No. 34 of 1999 s. 59; No. 42 of 2004 s. 172(2).]</w:t>
      </w:r>
    </w:p>
    <w:p>
      <w:pPr>
        <w:pStyle w:val="nzHeading5"/>
        <w:keepLines w:val="0"/>
        <w:spacing w:before="160"/>
        <w:rPr>
          <w:snapToGrid w:val="0"/>
        </w:rPr>
      </w:pPr>
      <w:r>
        <w:rPr>
          <w:snapToGrid w:val="0"/>
        </w:rPr>
        <w:lastRenderedPageBreak/>
        <w:t>7.</w:t>
      </w:r>
      <w:r>
        <w:rPr>
          <w:snapToGrid w:val="0"/>
        </w:rPr>
        <w:tab/>
        <w:t>Appeals for registration</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r>
        <w:t>WorkCover WA</w:t>
      </w:r>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r>
        <w:t>WorkCover WA</w:t>
      </w:r>
      <w:r>
        <w:rPr>
          <w:snapToGrid w:val="0"/>
        </w:rPr>
        <w:t xml:space="preserve"> is to register the cause.</w:t>
      </w:r>
    </w:p>
    <w:p>
      <w:pPr>
        <w:pStyle w:val="nzMiscellaneousBody"/>
        <w:tabs>
          <w:tab w:val="left" w:pos="1446"/>
        </w:tabs>
        <w:ind w:left="1446" w:hanging="879"/>
        <w:rPr>
          <w:i/>
          <w:snapToGrid w:val="0"/>
        </w:rPr>
      </w:pPr>
      <w:r>
        <w:rPr>
          <w:i/>
        </w:rPr>
        <w:tab/>
        <w:t>[Section 7 amended: No. 42 of 2004 s. 172(2).]</w:t>
      </w:r>
    </w:p>
    <w:p>
      <w:pPr>
        <w:pStyle w:val="nzHeading5"/>
        <w:keepLines w:val="0"/>
        <w:spacing w:before="160"/>
        <w:rPr>
          <w:snapToGrid w:val="0"/>
        </w:rPr>
      </w:pPr>
      <w:r>
        <w:rPr>
          <w:snapToGrid w:val="0"/>
        </w:rPr>
        <w:t>8.</w:t>
      </w:r>
      <w:r>
        <w:rPr>
          <w:snapToGrid w:val="0"/>
        </w:rPr>
        <w:tab/>
        <w:t>Certificate of registration</w:t>
      </w:r>
    </w:p>
    <w:p>
      <w:pPr>
        <w:pStyle w:val="nzSubsection"/>
        <w:rPr>
          <w:snapToGrid w:val="0"/>
        </w:rPr>
      </w:pPr>
      <w:r>
        <w:rPr>
          <w:snapToGrid w:val="0"/>
        </w:rPr>
        <w:tab/>
      </w:r>
      <w:r>
        <w:rPr>
          <w:snapToGrid w:val="0"/>
        </w:rPr>
        <w:tab/>
      </w:r>
      <w:r>
        <w:t>WorkCover WA</w:t>
      </w:r>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No. 42 of 2004 s. 172(2).]</w:t>
      </w:r>
    </w:p>
    <w:p>
      <w:pPr>
        <w:pStyle w:val="nzHeading5"/>
        <w:keepNext w:val="0"/>
        <w:keepLines w:val="0"/>
        <w:spacing w:before="160"/>
        <w:rPr>
          <w:snapToGrid w:val="0"/>
        </w:rPr>
      </w:pPr>
      <w:r>
        <w:rPr>
          <w:snapToGrid w:val="0"/>
        </w:rPr>
        <w:t>9.</w:t>
      </w:r>
      <w:r>
        <w:rPr>
          <w:snapToGrid w:val="0"/>
        </w:rPr>
        <w:tab/>
        <w:t>Negotiations with employer or insurer</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keepNext/>
        <w:rPr>
          <w:snapToGrid w:val="0"/>
        </w:rPr>
      </w:pPr>
      <w:r>
        <w:rPr>
          <w:snapToGrid w:val="0"/>
        </w:rPr>
        <w:tab/>
        <w:t>(2)</w:t>
      </w:r>
      <w:r>
        <w:rPr>
          <w:snapToGrid w:val="0"/>
        </w:rPr>
        <w:tab/>
        <w:t>The employer or insurer may, within 60 days after the day on which details of the claim are submitted in accordance with subsection (1) —</w:t>
      </w:r>
    </w:p>
    <w:p>
      <w:pPr>
        <w:pStyle w:val="nzIndenta"/>
        <w:rPr>
          <w:snapToGrid w:val="0"/>
        </w:rPr>
      </w:pPr>
      <w:r>
        <w:rPr>
          <w:snapToGrid w:val="0"/>
        </w:rPr>
        <w:tab/>
        <w:t>(a)</w:t>
      </w:r>
      <w:r>
        <w:rPr>
          <w:snapToGrid w:val="0"/>
        </w:rPr>
        <w:tab/>
        <w:t>notify the affected person in writing that the employer’s liability is accepted and either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lastRenderedPageBreak/>
        <w:t>10.</w:t>
      </w:r>
      <w:r>
        <w:rPr>
          <w:snapToGrid w:val="0"/>
        </w:rPr>
        <w:tab/>
        <w:t>Improved statutory benefits available if liability accepted</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Consequences of filing certificate in court proceedings</w:t>
      </w:r>
    </w:p>
    <w:p>
      <w:pPr>
        <w:pStyle w:val="nzSubsection"/>
        <w:rPr>
          <w:snapToGrid w:val="0"/>
        </w:rPr>
      </w:pPr>
      <w:r>
        <w:rPr>
          <w:snapToGrid w:val="0"/>
        </w:rPr>
        <w:tab/>
        <w:t>(1)</w:t>
      </w:r>
      <w:r>
        <w:rPr>
          <w:snapToGrid w:val="0"/>
        </w:rPr>
        <w:tab/>
        <w:t>If an affected person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rPr>
          <w:snapToGrid w:val="0"/>
        </w:rPr>
      </w:pPr>
      <w:r>
        <w:rPr>
          <w:snapToGrid w:val="0"/>
        </w:rPr>
        <w:tab/>
        <w:t>(4)</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keepNext/>
        <w:rPr>
          <w:snapToGrid w:val="0"/>
        </w:rPr>
      </w:pPr>
      <w:r>
        <w:rPr>
          <w:snapToGrid w:val="0"/>
        </w:rPr>
        <w:lastRenderedPageBreak/>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rPr>
          <w:snapToGrid w:val="0"/>
        </w:rPr>
      </w:pPr>
      <w:r>
        <w:rPr>
          <w:snapToGrid w:val="0"/>
        </w:rPr>
        <w:tab/>
        <w:t>(5)</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No. 34 of 1999 s. 60.]</w:t>
      </w:r>
    </w:p>
    <w:p>
      <w:pPr>
        <w:pStyle w:val="nzHeading5"/>
        <w:spacing w:before="60"/>
        <w:rPr>
          <w:snapToGrid w:val="0"/>
        </w:rPr>
      </w:pPr>
      <w:r>
        <w:rPr>
          <w:snapToGrid w:val="0"/>
        </w:rPr>
        <w:t>12.</w:t>
      </w:r>
      <w:r>
        <w:rPr>
          <w:snapToGrid w:val="0"/>
        </w:rPr>
        <w:tab/>
        <w:t>Offer to settle</w:t>
      </w:r>
    </w:p>
    <w:p>
      <w:pPr>
        <w:pStyle w:val="nzSubsection"/>
        <w:keepNext/>
        <w:keepLines/>
        <w:spacing w:before="40"/>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lastRenderedPageBreak/>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keepLines w:val="0"/>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lastRenderedPageBreak/>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r>
        <w:t>WorkCover WA</w:t>
      </w:r>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pStyle w:val="BlankClose"/>
      </w:pPr>
    </w:p>
    <w:p>
      <w:pPr>
        <w:pStyle w:val="nNote"/>
        <w:keepNext/>
        <w:keepLines/>
        <w:rPr>
          <w:snapToGrid w:val="0"/>
        </w:rPr>
      </w:pPr>
      <w:r>
        <w:rPr>
          <w:snapToGrid w:val="0"/>
          <w:vertAlign w:val="superscript"/>
        </w:rPr>
        <w:t>21</w:t>
      </w:r>
      <w:r>
        <w:rPr>
          <w:snapToGrid w:val="0"/>
        </w:rPr>
        <w:tab/>
        <w:t xml:space="preserve">The </w:t>
      </w:r>
      <w:r>
        <w:rPr>
          <w:i/>
          <w:snapToGrid w:val="0"/>
        </w:rPr>
        <w:t>Workers’ Compensation and Rehabilitation Amendment Act 1993</w:t>
      </w:r>
      <w:r>
        <w:rPr>
          <w:snapToGrid w:val="0"/>
        </w:rPr>
        <w:t xml:space="preserve"> s. 18(3) reads as follows:</w:t>
      </w:r>
    </w:p>
    <w:p>
      <w:pPr>
        <w:pStyle w:val="BlankOpen"/>
      </w:pPr>
    </w:p>
    <w:p>
      <w:pPr>
        <w:pStyle w:val="nzHeading5"/>
        <w:spacing w:before="0"/>
        <w:rPr>
          <w:snapToGrid w:val="0"/>
        </w:rPr>
      </w:pPr>
      <w:r>
        <w:rPr>
          <w:snapToGrid w:val="0"/>
        </w:rPr>
        <w:t>18.</w:t>
      </w:r>
      <w:r>
        <w:rPr>
          <w:snapToGrid w:val="0"/>
        </w:rPr>
        <w:tab/>
        <w:t>Section 5 amended</w:t>
      </w:r>
    </w:p>
    <w:p>
      <w:pPr>
        <w:pStyle w:val="nzSubsection"/>
        <w:spacing w:before="160"/>
        <w:rPr>
          <w:snapToGrid w:val="0"/>
        </w:rPr>
      </w:pPr>
      <w:r>
        <w:rPr>
          <w:snapToGrid w:val="0"/>
        </w:rPr>
        <w:tab/>
        <w:t>(3)</w:t>
      </w:r>
      <w:r>
        <w:rPr>
          <w:snapToGrid w:val="0"/>
        </w:rPr>
        <w:tab/>
        <w:t>The increase in the prescribed amount effected by subsection (1) has effect on and from 1 July 1993.</w:t>
      </w:r>
    </w:p>
    <w:p>
      <w:pPr>
        <w:pStyle w:val="BlankClose"/>
      </w:pPr>
    </w:p>
    <w:p>
      <w:pPr>
        <w:pStyle w:val="nNote"/>
        <w:keepNext/>
        <w:rPr>
          <w:snapToGrid w:val="0"/>
        </w:rPr>
      </w:pPr>
      <w:r>
        <w:rPr>
          <w:snapToGrid w:val="0"/>
          <w:vertAlign w:val="superscript"/>
        </w:rPr>
        <w:t>22</w:t>
      </w:r>
      <w:r>
        <w:rPr>
          <w:snapToGrid w:val="0"/>
        </w:rPr>
        <w:tab/>
        <w:t xml:space="preserve">The </w:t>
      </w:r>
      <w:r>
        <w:rPr>
          <w:i/>
          <w:snapToGrid w:val="0"/>
        </w:rPr>
        <w:t>Workers’ Compensation and Rehabilitation Amendment Act 1993</w:t>
      </w:r>
      <w:r>
        <w:rPr>
          <w:snapToGrid w:val="0"/>
        </w:rPr>
        <w:t xml:space="preserve"> s. 19(2) reads as follows:</w:t>
      </w:r>
    </w:p>
    <w:p>
      <w:pPr>
        <w:pStyle w:val="BlankOpen"/>
      </w:pPr>
    </w:p>
    <w:p>
      <w:pPr>
        <w:pStyle w:val="nzHeading5"/>
        <w:spacing w:before="0"/>
        <w:rPr>
          <w:snapToGrid w:val="0"/>
        </w:rPr>
      </w:pPr>
      <w:r>
        <w:rPr>
          <w:snapToGrid w:val="0"/>
        </w:rPr>
        <w:t>19.</w:t>
      </w:r>
      <w:r>
        <w:rPr>
          <w:snapToGrid w:val="0"/>
        </w:rPr>
        <w:tab/>
        <w:t>Schedule 1 amended</w:t>
      </w:r>
    </w:p>
    <w:p>
      <w:pPr>
        <w:pStyle w:val="nzSubsection"/>
        <w:spacing w:before="160"/>
        <w:rPr>
          <w:snapToGrid w:val="0"/>
        </w:rPr>
      </w:pPr>
      <w:r>
        <w:rPr>
          <w:snapToGrid w:val="0"/>
        </w:rPr>
        <w:tab/>
        <w:t>(2)</w:t>
      </w:r>
      <w:r>
        <w:rPr>
          <w:snapToGrid w:val="0"/>
        </w:rPr>
        <w:tab/>
        <w:t>The amendments made by subsection (1) have effect on and from 1 July 1993.</w:t>
      </w:r>
    </w:p>
    <w:p>
      <w:pPr>
        <w:pStyle w:val="BlankClose"/>
      </w:pPr>
    </w:p>
    <w:p>
      <w:pPr>
        <w:pStyle w:val="nNote"/>
        <w:rPr>
          <w:snapToGrid w:val="0"/>
        </w:rPr>
      </w:pPr>
      <w:r>
        <w:rPr>
          <w:snapToGrid w:val="0"/>
          <w:vertAlign w:val="superscript"/>
        </w:rPr>
        <w:t>23</w:t>
      </w:r>
      <w:r>
        <w:rPr>
          <w:snapToGrid w:val="0"/>
        </w:rPr>
        <w:tab/>
        <w:t xml:space="preserve">The </w:t>
      </w:r>
      <w:r>
        <w:rPr>
          <w:i/>
          <w:snapToGrid w:val="0"/>
        </w:rPr>
        <w:t>Workers’ Compensation and Rehabilitation Amendment Act 1993</w:t>
      </w:r>
      <w:r>
        <w:rPr>
          <w:snapToGrid w:val="0"/>
        </w:rPr>
        <w:t xml:space="preserve"> s. 20(2) reads as follows:</w:t>
      </w:r>
    </w:p>
    <w:p>
      <w:pPr>
        <w:pStyle w:val="BlankOpen"/>
      </w:pPr>
    </w:p>
    <w:p>
      <w:pPr>
        <w:pStyle w:val="nzHeading5"/>
        <w:spacing w:before="0"/>
        <w:rPr>
          <w:snapToGrid w:val="0"/>
        </w:rPr>
      </w:pPr>
      <w:r>
        <w:rPr>
          <w:snapToGrid w:val="0"/>
        </w:rPr>
        <w:t>20.</w:t>
      </w:r>
      <w:r>
        <w:rPr>
          <w:snapToGrid w:val="0"/>
        </w:rPr>
        <w:tab/>
        <w:t>Schedule 2 amended</w:t>
      </w:r>
    </w:p>
    <w:p>
      <w:pPr>
        <w:pStyle w:val="nzSubsection"/>
        <w:spacing w:before="160"/>
        <w:rPr>
          <w:snapToGrid w:val="0"/>
        </w:rPr>
      </w:pPr>
      <w:r>
        <w:rPr>
          <w:snapToGrid w:val="0"/>
        </w:rPr>
        <w:tab/>
        <w:t>(2)</w:t>
      </w:r>
      <w:r>
        <w:rPr>
          <w:snapToGrid w:val="0"/>
        </w:rPr>
        <w:tab/>
        <w:t>The amendments made by subsection (1) have effect on and from 1 July 1993.</w:t>
      </w:r>
    </w:p>
    <w:p>
      <w:pPr>
        <w:pStyle w:val="BlankClose"/>
        <w:rPr>
          <w:snapToGrid w:val="0"/>
        </w:rPr>
      </w:pPr>
    </w:p>
    <w:p>
      <w:pPr>
        <w:pStyle w:val="nNote"/>
        <w:rPr>
          <w:snapToGrid w:val="0"/>
        </w:rPr>
      </w:pPr>
      <w:r>
        <w:rPr>
          <w:snapToGrid w:val="0"/>
          <w:vertAlign w:val="superscript"/>
        </w:rPr>
        <w:t>24</w:t>
      </w:r>
      <w:r>
        <w:rPr>
          <w:snapToGrid w:val="0"/>
        </w:rPr>
        <w:tab/>
        <w:t xml:space="preserve">The </w:t>
      </w:r>
      <w:r>
        <w:rPr>
          <w:i/>
          <w:snapToGrid w:val="0"/>
        </w:rPr>
        <w:t>Workers’ Compensation and Rehabilitation Amendment Act 1993</w:t>
      </w:r>
      <w:r>
        <w:rPr>
          <w:snapToGrid w:val="0"/>
        </w:rPr>
        <w:t xml:space="preserve"> s. 27 is a transitional provision that is of no further effect.</w:t>
      </w:r>
    </w:p>
    <w:p>
      <w:pPr>
        <w:pStyle w:val="nNote"/>
        <w:keepLines/>
        <w:rPr>
          <w:snapToGrid w:val="0"/>
        </w:rPr>
      </w:pPr>
      <w:r>
        <w:rPr>
          <w:snapToGrid w:val="0"/>
          <w:vertAlign w:val="superscript"/>
        </w:rPr>
        <w:lastRenderedPageBreak/>
        <w:t>25</w:t>
      </w:r>
      <w:r>
        <w:rPr>
          <w:snapToGrid w:val="0"/>
        </w:rPr>
        <w:tab/>
        <w:t xml:space="preserve">The </w:t>
      </w:r>
      <w:r>
        <w:rPr>
          <w:i/>
          <w:snapToGrid w:val="0"/>
        </w:rPr>
        <w:t xml:space="preserve">Workers’ Compensation and Rehabilitation Amendment Act 1993 </w:t>
      </w:r>
      <w:r>
        <w:rPr>
          <w:snapToGrid w:val="0"/>
        </w:rPr>
        <w:t>s. 28(2) is a provision for regulations as to transitional and other matters and is of no further relevance.</w:t>
      </w:r>
    </w:p>
    <w:p>
      <w:pPr>
        <w:pStyle w:val="nNote"/>
        <w:rPr>
          <w:snapToGrid w:val="0"/>
        </w:rPr>
      </w:pPr>
      <w:r>
        <w:rPr>
          <w:snapToGrid w:val="0"/>
          <w:vertAlign w:val="superscript"/>
        </w:rPr>
        <w:t>26</w:t>
      </w:r>
      <w:r>
        <w:rPr>
          <w:snapToGrid w:val="0"/>
          <w:vertAlign w:val="superscript"/>
        </w:rPr>
        <w:tab/>
      </w:r>
      <w:r>
        <w:rPr>
          <w:snapToGrid w:val="0"/>
        </w:rPr>
        <w:t xml:space="preserve">The amendments in the </w:t>
      </w:r>
      <w:r>
        <w:rPr>
          <w:i/>
          <w:snapToGrid w:val="0"/>
        </w:rPr>
        <w:t>Workers’ Compensation and Rehabilitation Amendment Act 1993</w:t>
      </w:r>
      <w:r>
        <w:rPr>
          <w:snapToGrid w:val="0"/>
        </w:rPr>
        <w:t xml:space="preserve"> Sch. 1 cl. 28 and 30 which sought to amend s. 73(1), (4) and (6) are not included because of amendments to s. 73 made by Sch. 1 cl. 16 of that Act.</w:t>
      </w:r>
    </w:p>
    <w:p>
      <w:pPr>
        <w:pStyle w:val="nNote"/>
        <w:rPr>
          <w:snapToGrid w:val="0"/>
        </w:rPr>
      </w:pPr>
      <w:r>
        <w:rPr>
          <w:snapToGrid w:val="0"/>
        </w:rPr>
        <w:tab/>
        <w:t xml:space="preserve">The amendments in the </w:t>
      </w:r>
      <w:r>
        <w:rPr>
          <w:i/>
          <w:snapToGrid w:val="0"/>
        </w:rPr>
        <w:t>Workers’ Compensation and Rehabilitation Amendment Act 1993</w:t>
      </w:r>
      <w:r>
        <w:rPr>
          <w:snapToGrid w:val="0"/>
        </w:rPr>
        <w:t xml:space="preserve"> Sch. 1 cl. 30 which sought to amend Sch. 7 cl. 6(1)(a), 6(2)(a) and 8(3) are not included because of amendments made by Sch. 1 cl. 27 of that Act.</w:t>
      </w:r>
    </w:p>
    <w:p>
      <w:pPr>
        <w:pStyle w:val="nNote"/>
        <w:rPr>
          <w:snapToGrid w:val="0"/>
        </w:rPr>
      </w:pPr>
      <w:r>
        <w:rPr>
          <w:snapToGrid w:val="0"/>
          <w:vertAlign w:val="superscript"/>
        </w:rPr>
        <w:t>27</w:t>
      </w:r>
      <w:r>
        <w:rPr>
          <w:snapToGrid w:val="0"/>
        </w:rPr>
        <w:tab/>
        <w:t xml:space="preserve">The amendments in the </w:t>
      </w:r>
      <w:r>
        <w:rPr>
          <w:i/>
          <w:snapToGrid w:val="0"/>
        </w:rPr>
        <w:t>Acts Amendment (ICWA) Act 1996</w:t>
      </w:r>
      <w:r>
        <w:rPr>
          <w:snapToGrid w:val="0"/>
        </w:rPr>
        <w:t xml:space="preserve"> Sch. 1 it. 16 which sought to amend s. 95, 147 and 154 are not included because those sections were deleted by the </w:t>
      </w:r>
      <w:r>
        <w:rPr>
          <w:i/>
          <w:snapToGrid w:val="0"/>
        </w:rPr>
        <w:t>Workers’ Compensation Reform Act 2004</w:t>
      </w:r>
      <w:r>
        <w:rPr>
          <w:snapToGrid w:val="0"/>
        </w:rPr>
        <w:t xml:space="preserve"> s. 155.</w:t>
      </w:r>
    </w:p>
    <w:p>
      <w:pPr>
        <w:pStyle w:val="nNote"/>
        <w:rPr>
          <w:iCs/>
        </w:rPr>
      </w:pPr>
      <w:r>
        <w:rPr>
          <w:snapToGrid w:val="0"/>
          <w:vertAlign w:val="superscript"/>
        </w:rPr>
        <w:t>28</w:t>
      </w:r>
      <w:r>
        <w:rPr>
          <w:snapToGrid w:val="0"/>
        </w:rPr>
        <w:tab/>
      </w:r>
      <w:r>
        <w:t xml:space="preserve">The </w:t>
      </w:r>
      <w:r>
        <w:rPr>
          <w:i/>
        </w:rPr>
        <w:t>Workers’ Compensation and Rehabilitation Amendment Act (No. 2) 1999</w:t>
      </w:r>
      <w:r>
        <w:t xml:space="preserve"> s. 7(3) is a transitional provision relating to the s. 84E inserted by s. 7(2) of that Act.  That s. 84E was deleted by the </w:t>
      </w:r>
      <w:r>
        <w:rPr>
          <w:i/>
          <w:iCs/>
        </w:rPr>
        <w:t xml:space="preserve">Workers’ Compensation Reform Act 2004 </w:t>
      </w:r>
      <w:r>
        <w:t>s. 67.</w:t>
      </w:r>
    </w:p>
    <w:p>
      <w:pPr>
        <w:pStyle w:val="nNote"/>
        <w:spacing w:before="140"/>
      </w:pPr>
      <w:r>
        <w:rPr>
          <w:snapToGrid w:val="0"/>
          <w:vertAlign w:val="superscript"/>
        </w:rPr>
        <w:t>29</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t xml:space="preserve"> s. 3) read as follows:</w:t>
      </w:r>
    </w:p>
    <w:p>
      <w:pPr>
        <w:pStyle w:val="BlankOpen"/>
      </w:pPr>
    </w:p>
    <w:p>
      <w:pPr>
        <w:pStyle w:val="nzHeading5"/>
        <w:spacing w:before="120"/>
        <w:rPr>
          <w:snapToGrid w:val="0"/>
        </w:rPr>
      </w:pPr>
      <w:r>
        <w:rPr>
          <w:snapToGrid w:val="0"/>
        </w:rPr>
        <w:t>32.</w:t>
      </w:r>
      <w:r>
        <w:rPr>
          <w:snapToGrid w:val="0"/>
        </w:rPr>
        <w:tab/>
        <w:t>Amendments about awarding damages and related matters (sections 5, 61, 84ZH, 84ZR and 193, Part IV Division 2 and Schedule 1), and saving and transitional provisions</w:t>
      </w:r>
    </w:p>
    <w:p>
      <w:pPr>
        <w:pStyle w:val="nzSubsection"/>
        <w:spacing w:before="160"/>
      </w:pPr>
      <w:r>
        <w:tab/>
        <w:t>(6)</w:t>
      </w:r>
      <w:r>
        <w:tab/>
        <w:t>In subsections (7) and (8) —</w:t>
      </w:r>
    </w:p>
    <w:p>
      <w:pPr>
        <w:pStyle w:val="nzDefstart"/>
      </w:pPr>
      <w:r>
        <w:tab/>
      </w:r>
      <w:r>
        <w:rPr>
          <w:b/>
          <w:i/>
        </w:rPr>
        <w:t>amended provisions</w:t>
      </w:r>
      <w:r>
        <w:t xml:space="preserve"> means Part IV Division 2 of the principal Act as amended by this section;</w:t>
      </w:r>
    </w:p>
    <w:p>
      <w:pPr>
        <w:pStyle w:val="nzDefstart"/>
        <w:keepNext/>
      </w:pPr>
      <w:r>
        <w:tab/>
      </w:r>
      <w:r>
        <w:rPr>
          <w:b/>
          <w:i/>
        </w:rPr>
        <w:t>assent day</w:t>
      </w:r>
      <w:r>
        <w:t xml:space="preserve"> means the day on which this Act receives the Royal Assent;</w:t>
      </w:r>
    </w:p>
    <w:p>
      <w:pPr>
        <w:pStyle w:val="nzDefstart"/>
      </w:pPr>
      <w:r>
        <w:tab/>
      </w:r>
      <w:r>
        <w:rPr>
          <w:b/>
          <w:i/>
        </w:rPr>
        <w:t>former provisions</w:t>
      </w:r>
      <w:r>
        <w:t xml:space="preserve"> means Part IV Division 2 of the principal Act before it was amended by this section.</w:t>
      </w:r>
    </w:p>
    <w:p>
      <w:pPr>
        <w:pStyle w:val="nzSubsection"/>
      </w:pPr>
      <w:r>
        <w:tab/>
        <w:t>(7)</w:t>
      </w:r>
      <w:r>
        <w:tab/>
        <w:t>The amended provisions do not affect the awarding of damages in proceedings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keepNext/>
      </w:pPr>
      <w:r>
        <w:tab/>
        <w:t>(8)</w:t>
      </w:r>
      <w:r>
        <w:tab/>
        <w:t>If weekly payments of compensation in respect of a disability —</w:t>
      </w:r>
    </w:p>
    <w:p>
      <w:pPr>
        <w:pStyle w:val="nzIndenta"/>
      </w:pPr>
      <w:r>
        <w:tab/>
        <w:t>(a)</w:t>
      </w:r>
      <w:r>
        <w:tab/>
        <w:t>commenced before the assent day; or</w:t>
      </w:r>
    </w:p>
    <w:p>
      <w:pPr>
        <w:pStyle w:val="nzIndenta"/>
        <w:keepNext/>
        <w:keepLines/>
      </w:pPr>
      <w:r>
        <w:lastRenderedPageBreak/>
        <w:tab/>
        <w:t>(b)</w:t>
      </w:r>
      <w:r>
        <w:tab/>
        <w:t>were ordered by a dispute resolution body to commence before the assent day,</w:t>
      </w:r>
    </w:p>
    <w:p>
      <w:pPr>
        <w:pStyle w:val="nzSubsection"/>
        <w:keepNext/>
        <w:keepLines/>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No. 37 of 1999 s. 3.]</w:t>
      </w:r>
    </w:p>
    <w:p>
      <w:pPr>
        <w:pStyle w:val="BlankClose"/>
      </w:pPr>
    </w:p>
    <w:p>
      <w:pPr>
        <w:pStyle w:val="nNote"/>
        <w:keepNext/>
      </w:pPr>
      <w:r>
        <w:rPr>
          <w:snapToGrid w:val="0"/>
          <w:vertAlign w:val="superscript"/>
        </w:rPr>
        <w:t>30</w:t>
      </w:r>
      <w:r>
        <w:rPr>
          <w:snapToGrid w:val="0"/>
        </w:rPr>
        <w:tab/>
      </w:r>
      <w:r>
        <w:t xml:space="preserve">The </w:t>
      </w:r>
      <w:r>
        <w:rPr>
          <w:i/>
        </w:rPr>
        <w:t>Workers’ Compensation and Rehabilitation Amendment Act 1999</w:t>
      </w:r>
      <w:r>
        <w:t xml:space="preserve"> s. 46(2), (3) and (4) read as follows:</w:t>
      </w:r>
    </w:p>
    <w:p>
      <w:pPr>
        <w:pStyle w:val="BlankOpen"/>
      </w:pPr>
    </w:p>
    <w:p>
      <w:pPr>
        <w:pStyle w:val="nzHeading5"/>
        <w:spacing w:before="120"/>
      </w:pPr>
      <w:r>
        <w:rPr>
          <w:snapToGrid w:val="0"/>
        </w:rPr>
        <w:t>46.</w:t>
      </w:r>
      <w:r>
        <w:rPr>
          <w:snapToGrid w:val="0"/>
        </w:rPr>
        <w:tab/>
        <w:t>Part X Division 3 inserted and transitional provisions</w:t>
      </w:r>
    </w:p>
    <w:p>
      <w:pPr>
        <w:pStyle w:val="nzSubsection"/>
        <w:keepNext/>
        <w:spacing w:before="160"/>
      </w:pPr>
      <w:r>
        <w:tab/>
        <w:t>(2)</w:t>
      </w:r>
      <w:r>
        <w:tab/>
        <w:t>A person who —</w:t>
      </w:r>
    </w:p>
    <w:p>
      <w:pPr>
        <w:pStyle w:val="nzIndenta"/>
      </w:pPr>
      <w:r>
        <w:tab/>
        <w:t>(a)</w:t>
      </w:r>
      <w:r>
        <w:tab/>
        <w:t>before the commencement of section 35, was authorised by the Commission under the former section 103 as an inspector; or</w:t>
      </w:r>
    </w:p>
    <w:p>
      <w:pPr>
        <w:pStyle w:val="nzIndenta"/>
      </w:pPr>
      <w:r>
        <w:tab/>
        <w:t>(b)</w:t>
      </w:r>
      <w:r>
        <w:tab/>
        <w:t>before the commencement of section 44, was authorised by the Minister under the former section 172,</w:t>
      </w:r>
    </w:p>
    <w:p>
      <w:pPr>
        <w:pStyle w:val="nzSubsection"/>
      </w:pPr>
      <w:r>
        <w:tab/>
      </w:r>
      <w:r>
        <w:tab/>
        <w:t>is to be regarded as having been authorised by the Commission as an inspector under section 175A(1) of the principal Act and as having taken the oath required by section 175A(2).</w:t>
      </w:r>
    </w:p>
    <w:p>
      <w:pPr>
        <w:pStyle w:val="nzSubsection"/>
        <w:keepNext/>
        <w:keepLines/>
      </w:pPr>
      <w:r>
        <w:tab/>
        <w:t>(3)</w:t>
      </w:r>
      <w:r>
        <w:tab/>
        <w:t>If —</w:t>
      </w:r>
    </w:p>
    <w:p>
      <w:pPr>
        <w:pStyle w:val="nzIndenta"/>
      </w:pPr>
      <w:r>
        <w:tab/>
        <w:t>(a)</w:t>
      </w:r>
      <w:r>
        <w:tab/>
        <w:t>a requirement made under the former section 103 by a person referred to in subsection (2)(a); or</w:t>
      </w:r>
    </w:p>
    <w:p>
      <w:pPr>
        <w:pStyle w:val="nzIndenta"/>
        <w:keepNext/>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r>
      <w:r>
        <w:rPr>
          <w:b/>
          <w:i/>
        </w:rPr>
        <w:t>former section</w:t>
      </w:r>
      <w:r>
        <w:t xml:space="preserve"> means a section of the principal Act as in force before its repeal by this Act.</w:t>
      </w:r>
    </w:p>
    <w:p>
      <w:pPr>
        <w:pStyle w:val="BlankClose"/>
        <w:rPr>
          <w:snapToGrid w:val="0"/>
        </w:rPr>
      </w:pPr>
    </w:p>
    <w:p>
      <w:pPr>
        <w:pStyle w:val="nNote"/>
        <w:keepNext/>
      </w:pPr>
      <w:r>
        <w:rPr>
          <w:vertAlign w:val="superscript"/>
        </w:rPr>
        <w:lastRenderedPageBreak/>
        <w:t>31</w:t>
      </w:r>
      <w:r>
        <w:tab/>
        <w:t xml:space="preserve">The </w:t>
      </w:r>
      <w:r>
        <w:rPr>
          <w:i/>
        </w:rPr>
        <w:t>Workers’ Compensation and Rehabilitation Amendment Act 1999</w:t>
      </w:r>
      <w:r>
        <w:t xml:space="preserve"> s. 56(2) reads as follows:</w:t>
      </w:r>
    </w:p>
    <w:p>
      <w:pPr>
        <w:pStyle w:val="BlankOpen"/>
      </w:pPr>
    </w:p>
    <w:p>
      <w:pPr>
        <w:pStyle w:val="nzHeading5"/>
        <w:spacing w:before="120"/>
        <w:rPr>
          <w:snapToGrid w:val="0"/>
        </w:rPr>
      </w:pPr>
      <w:r>
        <w:rPr>
          <w:snapToGrid w:val="0"/>
        </w:rPr>
        <w:t>56.</w:t>
      </w:r>
      <w:r>
        <w:rPr>
          <w:snapToGrid w:val="0"/>
        </w:rPr>
        <w:tab/>
        <w:t>Schedule 7 amended and transitional provisions</w:t>
      </w:r>
    </w:p>
    <w:p>
      <w:pPr>
        <w:pStyle w:val="nzSubsection"/>
        <w:spacing w:before="160"/>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pStyle w:val="BlankClose"/>
      </w:pPr>
    </w:p>
    <w:p>
      <w:pPr>
        <w:pStyle w:val="nNote"/>
        <w:keepLines/>
        <w:spacing w:before="140"/>
      </w:pPr>
      <w:r>
        <w:rPr>
          <w:vertAlign w:val="superscript"/>
        </w:rPr>
        <w:t>32</w:t>
      </w:r>
      <w:r>
        <w:tab/>
        <w:t xml:space="preserve">The </w:t>
      </w:r>
      <w:r>
        <w:rPr>
          <w:i/>
        </w:rPr>
        <w:t>Workers’ Compensation and Rehabilitation Amendment (Cross Border) Act 2004</w:t>
      </w:r>
      <w:r>
        <w:t xml:space="preserve"> Pt. 2 Div. 2 (as amended by s. 16, 17(5) and 19 of that Act) reads as follows:</w:t>
      </w:r>
    </w:p>
    <w:p>
      <w:pPr>
        <w:pStyle w:val="BlankOpen"/>
      </w:pP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spacing w:before="120"/>
      </w:pPr>
      <w:r>
        <w:tab/>
        <w:t>(1)</w:t>
      </w:r>
      <w:r>
        <w:tab/>
        <w:t>In this section —</w:t>
      </w:r>
    </w:p>
    <w:p>
      <w:pPr>
        <w:pStyle w:val="nzDefstart"/>
      </w:pPr>
      <w:r>
        <w:rPr>
          <w:b/>
        </w:rPr>
        <w:tab/>
      </w:r>
      <w:r>
        <w:rPr>
          <w:b/>
          <w:i/>
        </w:rPr>
        <w:t>amendments</w:t>
      </w:r>
      <w:r>
        <w:t xml:space="preserve"> means amendments made to the principal Act by this Act;</w:t>
      </w:r>
    </w:p>
    <w:p>
      <w:pPr>
        <w:pStyle w:val="nzDefstart"/>
      </w:pPr>
      <w:r>
        <w:tab/>
      </w:r>
      <w:r>
        <w:rPr>
          <w:b/>
          <w:i/>
        </w:rPr>
        <w:t>commencement day</w:t>
      </w:r>
      <w:r>
        <w:t xml:space="preserve"> means the day on which this Part comes into operation;</w:t>
      </w:r>
    </w:p>
    <w:p>
      <w:pPr>
        <w:pStyle w:val="nzDefstart"/>
      </w:pPr>
      <w:r>
        <w:tab/>
      </w:r>
      <w:r>
        <w:rPr>
          <w:b/>
          <w:i/>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spacing w:before="120"/>
      </w:pPr>
      <w:r>
        <w:tab/>
        <w:t>(2)</w:t>
      </w:r>
      <w:r>
        <w:tab/>
        <w:t>The amendments do not apply in respect of an injury that occurred before the commencement day, and the principal Act applies in respect of such an injury as if the amendments had not been made.</w:t>
      </w:r>
    </w:p>
    <w:p>
      <w:pPr>
        <w:pStyle w:val="nzSubsection"/>
        <w:spacing w:before="120"/>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spacing w:before="120"/>
      </w:pPr>
      <w:r>
        <w:tab/>
        <w:t>(4)</w:t>
      </w:r>
      <w:r>
        <w:tab/>
        <w:t xml:space="preserve">If a period of incapacity for work resulted both from an injury that occurred before the commencement day and an injury that occurred on or after that day, the incapacity is, for the purposes of the application of the amendments to and in respect of that </w:t>
      </w:r>
      <w:r>
        <w:lastRenderedPageBreak/>
        <w:t>incapacity for work, to be treated as having resulted from an injury that occurred on or after that day.</w:t>
      </w:r>
    </w:p>
    <w:p>
      <w:pPr>
        <w:pStyle w:val="nzSubsection"/>
        <w:spacing w:before="120"/>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keepNext/>
        <w:spacing w:before="120"/>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No. 36 of 2004 s. 16, 17(5) and 19.]</w:t>
      </w:r>
    </w:p>
    <w:p>
      <w:pPr>
        <w:pStyle w:val="BlankClose"/>
      </w:pPr>
    </w:p>
    <w:p>
      <w:pPr>
        <w:pStyle w:val="nNote"/>
      </w:pPr>
      <w:r>
        <w:rPr>
          <w:vertAlign w:val="superscript"/>
        </w:rPr>
        <w:t>33</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pStyle w:val="BlankOpen"/>
      </w:pPr>
    </w:p>
    <w:p>
      <w:pPr>
        <w:pStyle w:val="nzHeading5"/>
      </w:pPr>
      <w:r>
        <w:rPr>
          <w:rStyle w:val="CharSectno"/>
        </w:rPr>
        <w:t>114</w:t>
      </w:r>
      <w:r>
        <w:t>.</w:t>
      </w:r>
      <w:r>
        <w:tab/>
        <w:t>Section 152 amended and transitional provision</w:t>
      </w:r>
    </w:p>
    <w:p>
      <w:pPr>
        <w:pStyle w:val="nzSubsection"/>
        <w:spacing w:before="160"/>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t>Part 4 — 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In this Division unless the contrary intention appears —</w:t>
      </w:r>
    </w:p>
    <w:p>
      <w:pPr>
        <w:pStyle w:val="nzDefstart"/>
      </w:pPr>
      <w:r>
        <w:rPr>
          <w:b/>
        </w:rPr>
        <w:tab/>
      </w:r>
      <w:r>
        <w:rPr>
          <w:b/>
          <w:i/>
        </w:rPr>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r>
      <w:r>
        <w:rPr>
          <w:b/>
          <w:i/>
        </w:rPr>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lastRenderedPageBreak/>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If in the opinion of the Minister an anomaly arises in the carrying out of any provision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the Governor may by regulations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If regulations contain a provision referred to in subsection (3), the provision does not operate so as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lastRenderedPageBreak/>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lastRenderedPageBreak/>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Schedule 1 clause 18A of the amended Act as amended by section 141 of this Act does not apply to compensation payable to a worker if, before the coming into operation of section 141(16) of this Act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spacing w:before="220"/>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In this Division —</w:t>
      </w:r>
    </w:p>
    <w:p>
      <w:pPr>
        <w:pStyle w:val="nzDefstart"/>
        <w:spacing w:before="100"/>
      </w:pPr>
      <w:r>
        <w:rPr>
          <w:b/>
        </w:rPr>
        <w:tab/>
      </w:r>
      <w:r>
        <w:rPr>
          <w:b/>
          <w:i/>
        </w:rPr>
        <w:t>commencement day</w:t>
      </w:r>
      <w:r>
        <w:t xml:space="preserve"> means the day on which section 130 of this Act comes into operation;</w:t>
      </w:r>
    </w:p>
    <w:p>
      <w:pPr>
        <w:pStyle w:val="nzDefstart"/>
        <w:spacing w:before="100"/>
      </w:pPr>
      <w:r>
        <w:rPr>
          <w:b/>
        </w:rPr>
        <w:tab/>
      </w:r>
      <w:r>
        <w:rPr>
          <w:b/>
          <w:i/>
        </w:rPr>
        <w:t>Director Dispute Resolution</w:t>
      </w:r>
      <w:r>
        <w:t xml:space="preserve"> has the meaning given to </w:t>
      </w:r>
      <w:r>
        <w:rPr>
          <w:b/>
          <w:bCs/>
          <w:i/>
          <w:iCs/>
        </w:rPr>
        <w:t>Director</w:t>
      </w:r>
      <w:r>
        <w:t xml:space="preserve"> in the amended Act;</w:t>
      </w:r>
    </w:p>
    <w:p>
      <w:pPr>
        <w:pStyle w:val="nzDefstart"/>
        <w:spacing w:before="100"/>
      </w:pPr>
      <w:r>
        <w:tab/>
      </w:r>
      <w:r>
        <w:rPr>
          <w:b/>
          <w:i/>
        </w:rPr>
        <w:t>Director of Conciliation and Review</w:t>
      </w:r>
      <w:r>
        <w:t xml:space="preserve"> has the meaning given to </w:t>
      </w:r>
      <w:r>
        <w:rPr>
          <w:b/>
          <w:bCs/>
          <w:i/>
          <w:iCs/>
        </w:rPr>
        <w:t>Director</w:t>
      </w:r>
      <w:r>
        <w:t xml:space="preserve"> in the principal Act;</w:t>
      </w:r>
    </w:p>
    <w:p>
      <w:pPr>
        <w:pStyle w:val="nzDefstart"/>
        <w:keepNext/>
        <w:keepLines/>
        <w:spacing w:before="100"/>
      </w:pPr>
      <w:r>
        <w:rPr>
          <w:b/>
        </w:rPr>
        <w:lastRenderedPageBreak/>
        <w:tab/>
      </w:r>
      <w:r>
        <w:rPr>
          <w:b/>
          <w:i/>
        </w:rPr>
        <w:t>pending proceeding</w:t>
      </w:r>
      <w:r>
        <w:t xml:space="preserve"> means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The following expressions have the same meaning in this Division as they had in the principal Act before it was amended by this Act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A dispute resolution authority to whom a pending proceeding is transferred under this section may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 xml:space="preserve">The Director Dispute Resolution may give directions for the purpose of dealing with issues arising when the amended Act confers on a dispute resolution authority jurisdiction to deal with a </w:t>
      </w:r>
      <w:r>
        <w:lastRenderedPageBreak/>
        <w:t>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On and from the commencement day —</w:t>
      </w:r>
    </w:p>
    <w:p>
      <w:pPr>
        <w:pStyle w:val="nzIndenta"/>
      </w:pPr>
      <w:r>
        <w:tab/>
        <w:t>(a)</w:t>
      </w:r>
      <w:r>
        <w:tab/>
        <w:t>any pending proceeding before a compensation magistrate’s court; and</w:t>
      </w:r>
    </w:p>
    <w:p>
      <w:pPr>
        <w:pStyle w:val="nzIndenta"/>
      </w:pPr>
      <w:r>
        <w:tab/>
        <w:t>(b)</w:t>
      </w:r>
      <w:r>
        <w:tab/>
        <w:t>any matter that has been determined by a review officer and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 xml:space="preserve">The principal Act as in force before the commencement day continues to apply to the extent that is necessary to enable a compensation magistrate’s court to continue to deal with and </w:t>
      </w:r>
      <w:r>
        <w:lastRenderedPageBreak/>
        <w:t>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keepNext/>
        <w:keepLines/>
      </w:pPr>
      <w:r>
        <w:tab/>
        <w:t>(1)</w:t>
      </w:r>
      <w:r>
        <w:tab/>
        <w:t>In this section —</w:t>
      </w:r>
    </w:p>
    <w:p>
      <w:pPr>
        <w:pStyle w:val="nzDefstart"/>
      </w:pPr>
      <w:r>
        <w:rPr>
          <w:b/>
        </w:rPr>
        <w:tab/>
      </w:r>
      <w:r>
        <w:rPr>
          <w:b/>
          <w:i/>
        </w:rPr>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On the commencement day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lastRenderedPageBreak/>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A compensation magistrate’s court is to cause the Director Dispute Resolution to be given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WorkCover WA who, immediately before the coming into operation of section 130 of the </w:t>
      </w:r>
      <w:r>
        <w:rPr>
          <w:i/>
        </w:rPr>
        <w:t>Workers’ Compensation Reform Act 2004</w:t>
      </w:r>
      <w:r>
        <w:t>, was 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lastRenderedPageBreak/>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bCs/>
          <w:i/>
          <w:iCs/>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In subsection (1) —</w:t>
      </w:r>
    </w:p>
    <w:p>
      <w:pPr>
        <w:pStyle w:val="nzDefstart"/>
      </w:pPr>
      <w:r>
        <w:rPr>
          <w:b/>
        </w:rPr>
        <w:tab/>
      </w:r>
      <w:r>
        <w:rPr>
          <w:b/>
          <w:bCs/>
          <w:i/>
          <w:iCs/>
        </w:rPr>
        <w:t>WorkCover WA</w:t>
      </w:r>
      <w:r>
        <w:t xml:space="preserve"> has the meaning given to that term by the </w:t>
      </w:r>
      <w:r>
        <w:rPr>
          <w:i/>
        </w:rPr>
        <w:t>Workers’ Compensation and Injury Management Act 1981</w:t>
      </w:r>
      <w:r>
        <w:t>;</w:t>
      </w:r>
    </w:p>
    <w:p>
      <w:pPr>
        <w:pStyle w:val="nzDefstart"/>
      </w:pPr>
      <w:r>
        <w:rPr>
          <w:b/>
        </w:rPr>
        <w:tab/>
      </w:r>
      <w:r>
        <w:rPr>
          <w:b/>
          <w:i/>
        </w:rPr>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r>
      <w:r>
        <w:rPr>
          <w:b/>
          <w:i/>
        </w:rPr>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r>
      <w:r>
        <w:rPr>
          <w:b/>
          <w:i/>
        </w:rPr>
        <w:t>Part VIII amendments</w:t>
      </w:r>
      <w:r>
        <w:t xml:space="preserve"> means the amendments that sections 104 to 117 and 150 to 153 make to Part VIII of the </w:t>
      </w:r>
      <w:r>
        <w:rPr>
          <w:i/>
        </w:rPr>
        <w:t>Workers’ Compensation and Rehabilitation Act 1981</w:t>
      </w:r>
      <w:r>
        <w:t>.</w:t>
      </w:r>
    </w:p>
    <w:p>
      <w:pPr>
        <w:pStyle w:val="BlankClose"/>
      </w:pPr>
    </w:p>
    <w:p>
      <w:pPr>
        <w:pStyle w:val="nNote"/>
        <w:keepLines/>
        <w:spacing w:before="120"/>
      </w:pPr>
      <w:r>
        <w:rPr>
          <w:vertAlign w:val="superscript"/>
        </w:rPr>
        <w:t>34</w:t>
      </w:r>
      <w:r>
        <w:tab/>
        <w:t xml:space="preserve">The amendments in the </w:t>
      </w:r>
      <w:r>
        <w:rPr>
          <w:i/>
        </w:rPr>
        <w:t>Workers’ Compensation Reform Act 2004</w:t>
      </w:r>
      <w:r>
        <w:t xml:space="preserve"> s. 146, 147 and 148(2) which sought to amend s. 15 are not included because s. 15 was deleted by the </w:t>
      </w:r>
      <w:r>
        <w:rPr>
          <w:i/>
        </w:rPr>
        <w:t>Workers’ Compensation and Rehabilitation Amendment (Cross Border) Act 2004</w:t>
      </w:r>
      <w:r>
        <w:t xml:space="preserve"> s. 5.</w:t>
      </w:r>
    </w:p>
    <w:p>
      <w:pPr>
        <w:pStyle w:val="nNote"/>
        <w:spacing w:before="120"/>
      </w:pPr>
      <w:r>
        <w:tab/>
        <w:t xml:space="preserve">The amendments in the </w:t>
      </w:r>
      <w:r>
        <w:rPr>
          <w:i/>
        </w:rPr>
        <w:t>Workers’ Compensation Reform Act 2004</w:t>
      </w:r>
      <w:r>
        <w:t xml:space="preserve"> s. 146 and 147 which sought to amend s. 16(1a) are not included because s. 16(1a) was deleted by the </w:t>
      </w:r>
      <w:r>
        <w:rPr>
          <w:i/>
        </w:rPr>
        <w:t>Workers’ Compensation and Rehabilitation Amendment (Cross Border) Act 2004</w:t>
      </w:r>
      <w:r>
        <w:t xml:space="preserve"> s. 6(1).</w:t>
      </w:r>
    </w:p>
    <w:p>
      <w:pPr>
        <w:pStyle w:val="nNote"/>
        <w:spacing w:before="120"/>
      </w:pPr>
      <w:r>
        <w:tab/>
        <w:t xml:space="preserve">The amendments in the </w:t>
      </w:r>
      <w:r>
        <w:rPr>
          <w:i/>
        </w:rPr>
        <w:t>Workers’ Compensation Reform Act 2004</w:t>
      </w:r>
      <w:r>
        <w:t xml:space="preserve"> s. 148(1) which sought to amend s. 16(2) are not included because of amendments to s. 16(2) made by the </w:t>
      </w:r>
      <w:r>
        <w:rPr>
          <w:i/>
        </w:rPr>
        <w:t>Workers’ Compensation and Rehabilitation Amendment (Cross Border) Act 2004</w:t>
      </w:r>
      <w:r>
        <w:t xml:space="preserve"> s. 6(2).</w:t>
      </w:r>
    </w:p>
    <w:p>
      <w:pPr>
        <w:pStyle w:val="nNote"/>
        <w:spacing w:before="120"/>
      </w:pPr>
      <w:r>
        <w:tab/>
        <w:t xml:space="preserve">The amendments in the </w:t>
      </w:r>
      <w:r>
        <w:rPr>
          <w:i/>
        </w:rPr>
        <w:t>Workers’ Compensation Reform Act 2004</w:t>
      </w:r>
      <w:r>
        <w:t xml:space="preserve"> s. 147 which sought to amend s. 23 are not included because s. 23 was replaced by the </w:t>
      </w:r>
      <w:r>
        <w:rPr>
          <w:i/>
        </w:rPr>
        <w:t>Workers’ Compensation and Rehabilitation Amendment (Cross Border) Act 2004</w:t>
      </w:r>
      <w:r>
        <w:t xml:space="preserve"> s. 8.</w:t>
      </w:r>
    </w:p>
    <w:p>
      <w:pPr>
        <w:pStyle w:val="nNote"/>
        <w:keepLines/>
        <w:spacing w:before="120"/>
        <w:rPr>
          <w:snapToGrid w:val="0"/>
        </w:rPr>
      </w:pPr>
      <w:r>
        <w:rPr>
          <w:vertAlign w:val="superscript"/>
        </w:rPr>
        <w:lastRenderedPageBreak/>
        <w:t>35</w:t>
      </w:r>
      <w:r>
        <w:rPr>
          <w:vertAlign w:val="superscript"/>
        </w:rPr>
        <w:tab/>
      </w:r>
      <w:r>
        <w:rPr>
          <w:snapToGrid w:val="0"/>
        </w:rPr>
        <w:t xml:space="preserve">The amendments in 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are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deleted by the </w:t>
      </w:r>
      <w:r>
        <w:rPr>
          <w:i/>
        </w:rPr>
        <w:t>Workers’ Compensation Legislation Amendment Act 2005</w:t>
      </w:r>
      <w:r>
        <w:t xml:space="preserve"> s. 31.</w:t>
      </w:r>
    </w:p>
    <w:p>
      <w:pPr>
        <w:pStyle w:val="nNote"/>
        <w:keepLines/>
      </w:pPr>
      <w:r>
        <w:rPr>
          <w:vertAlign w:val="superscript"/>
        </w:rPr>
        <w:t>36</w:t>
      </w:r>
      <w:r>
        <w:tab/>
        <w:t xml:space="preserve">The </w:t>
      </w:r>
      <w:r>
        <w:rPr>
          <w:i/>
          <w:snapToGrid w:val="0"/>
        </w:rPr>
        <w:t xml:space="preserve">Criminal Procedure and Appeals (Consequential and Other Provisions) Act 2004 </w:t>
      </w:r>
      <w:r>
        <w:rPr>
          <w:snapToGrid w:val="0"/>
        </w:rPr>
        <w:t xml:space="preserve">Sch. 2 cl. 157 </w:t>
      </w:r>
      <w:r>
        <w:t xml:space="preserve">(the amendment to s. 175H(2)(c)) was deleted without having come into operation by the </w:t>
      </w:r>
      <w:r>
        <w:rPr>
          <w:i/>
          <w:iCs/>
        </w:rPr>
        <w:t xml:space="preserve">Criminal Law and Evidence Amendment Act 2008 </w:t>
      </w:r>
      <w:r>
        <w:t>s. 78(10).</w:t>
      </w:r>
    </w:p>
    <w:p>
      <w:pPr>
        <w:pStyle w:val="nNote"/>
        <w:rPr>
          <w:snapToGrid w:val="0"/>
        </w:rPr>
      </w:pPr>
      <w:r>
        <w:rPr>
          <w:vertAlign w:val="superscript"/>
        </w:rPr>
        <w:t>37</w:t>
      </w:r>
      <w:r>
        <w:tab/>
      </w:r>
      <w:r>
        <w:rPr>
          <w:snapToGrid w:val="0"/>
        </w:rPr>
        <w:t xml:space="preserve">The </w:t>
      </w:r>
      <w:r>
        <w:rPr>
          <w:i/>
          <w:snapToGrid w:val="0"/>
        </w:rPr>
        <w:t>Workers’ Compensation Legislation Amendment Act 2005</w:t>
      </w:r>
      <w:r>
        <w:rPr>
          <w:snapToGrid w:val="0"/>
        </w:rPr>
        <w:t xml:space="preserve"> s. 9(2) reads as follows:</w:t>
      </w:r>
    </w:p>
    <w:p>
      <w:pPr>
        <w:pStyle w:val="BlankOpen"/>
      </w:pPr>
    </w:p>
    <w:p>
      <w:pPr>
        <w:pStyle w:val="nzHeading5"/>
        <w:rPr>
          <w:snapToGrid w:val="0"/>
        </w:rPr>
      </w:pPr>
      <w:r>
        <w:rPr>
          <w:rStyle w:val="CharSectno"/>
        </w:rPr>
        <w:t>9</w:t>
      </w:r>
      <w:r>
        <w:t>.</w:t>
      </w:r>
      <w:r>
        <w:tab/>
        <w:t>Section 10A replaced and transitional provision</w:t>
      </w:r>
    </w:p>
    <w:p>
      <w:pPr>
        <w:pStyle w:val="nzSubsection"/>
        <w:spacing w:before="160"/>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pStyle w:val="BlankClose"/>
      </w:pPr>
    </w:p>
    <w:p>
      <w:pPr>
        <w:pStyle w:val="nNote"/>
        <w:keepNext/>
        <w:keepLines/>
      </w:pPr>
      <w:r>
        <w:rPr>
          <w:vertAlign w:val="superscript"/>
        </w:rPr>
        <w:t>38</w:t>
      </w:r>
      <w:r>
        <w:tab/>
        <w:t xml:space="preserve">The </w:t>
      </w:r>
      <w:r>
        <w:rPr>
          <w:i/>
        </w:rPr>
        <w:t xml:space="preserve">Workers’ Compensation Legislation Amendment Act 2005 </w:t>
      </w:r>
      <w:r>
        <w:t>s. 30(3) reads as follows:</w:t>
      </w:r>
    </w:p>
    <w:p>
      <w:pPr>
        <w:pStyle w:val="BlankOpen"/>
      </w:pPr>
    </w:p>
    <w:p>
      <w:pPr>
        <w:pStyle w:val="nzHeading5"/>
        <w:spacing w:before="120"/>
      </w:pPr>
      <w:r>
        <w:rPr>
          <w:snapToGrid w:val="0"/>
        </w:rPr>
        <w:t>30.</w:t>
      </w:r>
      <w:r>
        <w:rPr>
          <w:snapToGrid w:val="0"/>
        </w:rPr>
        <w:tab/>
        <w:t>Section 5 amended and transitional provision</w:t>
      </w:r>
    </w:p>
    <w:p>
      <w:pPr>
        <w:pStyle w:val="nzSubsection"/>
        <w:spacing w:before="160"/>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pStyle w:val="BlankClose"/>
      </w:pPr>
    </w:p>
    <w:p>
      <w:pPr>
        <w:pStyle w:val="nNote"/>
        <w:rPr>
          <w:iCs/>
          <w:snapToGrid w:val="0"/>
        </w:rPr>
      </w:pPr>
      <w:r>
        <w:rPr>
          <w:vertAlign w:val="superscript"/>
        </w:rPr>
        <w:lastRenderedPageBreak/>
        <w:t>39</w:t>
      </w:r>
      <w:r>
        <w:rPr>
          <w:snapToGrid w:val="0"/>
        </w:rPr>
        <w:tab/>
        <w:t xml:space="preserve">The amendment in the </w:t>
      </w:r>
      <w:r>
        <w:rPr>
          <w:i/>
          <w:iCs/>
          <w:snapToGrid w:val="0"/>
        </w:rPr>
        <w:t>Chiropractors Act 2005</w:t>
      </w:r>
      <w:r>
        <w:rPr>
          <w:snapToGrid w:val="0"/>
        </w:rPr>
        <w:t xml:space="preserve"> s. 109 which sought to amend s. 176(1b)(d) is not included because s. 176 was replaced by the </w:t>
      </w:r>
      <w:r>
        <w:rPr>
          <w:i/>
          <w:snapToGrid w:val="0"/>
        </w:rPr>
        <w:t>Workers’ Compensation Reform Act 2004</w:t>
      </w:r>
      <w:r>
        <w:rPr>
          <w:iCs/>
          <w:snapToGrid w:val="0"/>
        </w:rPr>
        <w:t xml:space="preserve"> s. 130 before the amendment purported to come into operation.</w:t>
      </w:r>
    </w:p>
    <w:p>
      <w:pPr>
        <w:pStyle w:val="nNote"/>
        <w:keepNext/>
        <w:rPr>
          <w:snapToGrid w:val="0"/>
        </w:rPr>
      </w:pPr>
      <w:bookmarkStart w:id="1237" w:name="Start_Cursor"/>
      <w:bookmarkEnd w:id="1237"/>
      <w:r>
        <w:rPr>
          <w:snapToGrid w:val="0"/>
          <w:vertAlign w:val="superscript"/>
        </w:rPr>
        <w:t>40</w:t>
      </w:r>
      <w:r>
        <w:rPr>
          <w:snapToGrid w:val="0"/>
        </w:rPr>
        <w:tab/>
      </w:r>
      <w:r>
        <w:t>The</w:t>
      </w:r>
      <w:r>
        <w:rPr>
          <w:snapToGrid w:val="0"/>
        </w:rPr>
        <w:t xml:space="preserve"> </w:t>
      </w:r>
      <w:r>
        <w:rPr>
          <w:i/>
          <w:snapToGrid w:val="0"/>
        </w:rPr>
        <w:t xml:space="preserve">Workers’ Compensation and Injury Management Amendment Act 2012 </w:t>
      </w:r>
      <w:r>
        <w:rPr>
          <w:snapToGrid w:val="0"/>
        </w:rPr>
        <w:t>Pt. 3 reads as follows:</w:t>
      </w:r>
    </w:p>
    <w:p>
      <w:pPr>
        <w:pStyle w:val="BlankOpen"/>
      </w:pPr>
    </w:p>
    <w:p>
      <w:pPr>
        <w:pStyle w:val="nzHeading2"/>
        <w:spacing w:before="0"/>
      </w:pPr>
      <w:r>
        <w:t>Part 3</w:t>
      </w:r>
      <w:r>
        <w:rPr>
          <w:rStyle w:val="CharDivNo"/>
        </w:rPr>
        <w:t> </w:t>
      </w:r>
      <w:r>
        <w:t>—</w:t>
      </w:r>
      <w:r>
        <w:rPr>
          <w:rStyle w:val="CharDivText"/>
        </w:rPr>
        <w:t> </w:t>
      </w:r>
      <w:r>
        <w:t>Transitional</w:t>
      </w:r>
    </w:p>
    <w:p>
      <w:pPr>
        <w:pStyle w:val="nzHeading5"/>
      </w:pPr>
      <w:r>
        <w:rPr>
          <w:rStyle w:val="CharSectno"/>
        </w:rPr>
        <w:t>13</w:t>
      </w:r>
      <w:r>
        <w:t>.</w:t>
      </w:r>
      <w:r>
        <w:tab/>
        <w:t>Terms used</w:t>
      </w:r>
    </w:p>
    <w:p>
      <w:pPr>
        <w:pStyle w:val="nzSubsection"/>
      </w:pPr>
      <w:r>
        <w:tab/>
      </w:r>
      <w:r>
        <w:tab/>
        <w:t xml:space="preserve">In this Part — </w:t>
      </w:r>
    </w:p>
    <w:p>
      <w:pPr>
        <w:pStyle w:val="nzDefstart"/>
      </w:pPr>
      <w:r>
        <w:tab/>
      </w:r>
      <w:r>
        <w:rPr>
          <w:rStyle w:val="CharDefText"/>
        </w:rPr>
        <w:t>Part X</w:t>
      </w:r>
      <w:r>
        <w:t xml:space="preserve"> means the </w:t>
      </w:r>
      <w:r>
        <w:rPr>
          <w:i/>
        </w:rPr>
        <w:t>Workers’ Compensation and Injury Management Act 1981</w:t>
      </w:r>
      <w:r>
        <w:t xml:space="preserve"> Part X;</w:t>
      </w:r>
    </w:p>
    <w:p>
      <w:pPr>
        <w:pStyle w:val="nzDefstart"/>
      </w:pPr>
      <w:r>
        <w:tab/>
      </w:r>
      <w:r>
        <w:rPr>
          <w:rStyle w:val="CharDefText"/>
        </w:rPr>
        <w:t>transitional period</w:t>
      </w:r>
      <w:r>
        <w:t xml:space="preserve"> means the period beginning on 1 October 2011 and ending when Part 2 of this Act comes into operation.</w:t>
      </w:r>
    </w:p>
    <w:p>
      <w:pPr>
        <w:pStyle w:val="nzHeading5"/>
      </w:pPr>
      <w:r>
        <w:rPr>
          <w:rStyle w:val="CharSectno"/>
        </w:rPr>
        <w:t>14</w:t>
      </w:r>
      <w:r>
        <w:t>.</w:t>
      </w:r>
      <w:r>
        <w:tab/>
        <w:t>Things done or omitted during the transitional period</w:t>
      </w:r>
    </w:p>
    <w:p>
      <w:pPr>
        <w:pStyle w:val="nzSubsection"/>
      </w:pPr>
      <w:r>
        <w:tab/>
        <w:t>(1)</w:t>
      </w:r>
      <w:r>
        <w:tab/>
        <w:t xml:space="preserve">Anything done during the transitional period that — </w:t>
      </w:r>
    </w:p>
    <w:p>
      <w:pPr>
        <w:pStyle w:val="nzIndenta"/>
      </w:pPr>
      <w:r>
        <w:tab/>
        <w:t>(a)</w:t>
      </w:r>
      <w:r>
        <w:tab/>
        <w:t>did not comply with a provision of Part X; and</w:t>
      </w:r>
    </w:p>
    <w:p>
      <w:pPr>
        <w:pStyle w:val="nzIndenta"/>
      </w:pPr>
      <w:r>
        <w:tab/>
        <w:t>(b)</w:t>
      </w:r>
      <w:r>
        <w:tab/>
        <w:t>would have complied with that provision if done immediately after the transitional period,</w:t>
      </w:r>
    </w:p>
    <w:p>
      <w:pPr>
        <w:pStyle w:val="nzSubsection"/>
        <w:spacing w:before="40"/>
      </w:pPr>
      <w:r>
        <w:tab/>
      </w:r>
      <w:r>
        <w:tab/>
        <w:t>is taken to have complied with that provision at the time it was done.</w:t>
      </w:r>
    </w:p>
    <w:p>
      <w:pPr>
        <w:pStyle w:val="nzSubsection"/>
      </w:pPr>
      <w:r>
        <w:tab/>
        <w:t>(2)</w:t>
      </w:r>
      <w:r>
        <w:tab/>
        <w:t xml:space="preserve">Where — </w:t>
      </w:r>
    </w:p>
    <w:p>
      <w:pPr>
        <w:pStyle w:val="nzIndenta"/>
      </w:pPr>
      <w:r>
        <w:tab/>
        <w:t>(a)</w:t>
      </w:r>
      <w:r>
        <w:tab/>
        <w:t xml:space="preserve">during the transitional period, an employer does not obtain or keep current an insurance policy under Part X for a liability of a particular kind to a particular person; and </w:t>
      </w:r>
    </w:p>
    <w:p>
      <w:pPr>
        <w:pStyle w:val="nzIndenta"/>
      </w:pPr>
      <w:r>
        <w:tab/>
        <w:t>(b)</w:t>
      </w:r>
      <w:r>
        <w:tab/>
        <w:t>the employer is taken under subsection (1) to have complied with a provision of Part X requiring it to obtain or keep current such a policy,</w:t>
      </w:r>
    </w:p>
    <w:p>
      <w:pPr>
        <w:pStyle w:val="nzSubsection"/>
        <w:spacing w:before="40"/>
      </w:pPr>
      <w:r>
        <w:tab/>
      </w:r>
      <w:r>
        <w:tab/>
        <w:t>an insurer who has issued to the employer a liability insurance policy other than for the purposes of Part X may not reject a claim under that policy on the grounds that the claim relates to a liability for which the employer was required under Part X to insure.</w:t>
      </w:r>
    </w:p>
    <w:p>
      <w:pPr>
        <w:pStyle w:val="nzSubsection"/>
      </w:pPr>
      <w:r>
        <w:tab/>
        <w:t>(3)</w:t>
      </w:r>
      <w:r>
        <w:tab/>
        <w:t>In this section a reference to doing anything includes a reference to omitting to do that thing.</w:t>
      </w:r>
    </w:p>
    <w:p>
      <w:pPr>
        <w:pStyle w:val="nzHeading5"/>
      </w:pPr>
      <w:r>
        <w:rPr>
          <w:rStyle w:val="CharSectno"/>
        </w:rPr>
        <w:lastRenderedPageBreak/>
        <w:t>15</w:t>
      </w:r>
      <w:r>
        <w:t>.</w:t>
      </w:r>
      <w:r>
        <w:tab/>
        <w:t>Validity of terms, conditions and exclusions of insurance policies effected during the transitional period</w:t>
      </w:r>
    </w:p>
    <w:p>
      <w:pPr>
        <w:pStyle w:val="nzSubsection"/>
        <w:keepNext/>
        <w:keepLines/>
      </w:pPr>
      <w:r>
        <w:tab/>
      </w:r>
      <w:r>
        <w:tab/>
        <w:t>A term, condition or exclusion of an insurance policy obtained or kept current during the transitional period for the purposes of Part X which, if the policy were obtained immediately after the transitional period, would be valid, lawful and effective is taken to be valid, lawful and effective from the time when the policy was obtained or, if later, from the beginning of the transitional period.</w:t>
      </w:r>
    </w:p>
    <w:p>
      <w:pPr>
        <w:pStyle w:val="BlankOpen"/>
        <w:keepNext w:val="0"/>
        <w:keepLines w:val="0"/>
        <w:rPr>
          <w:sz w:val="20"/>
          <w:szCs w:val="20"/>
        </w:rPr>
      </w:pPr>
    </w:p>
    <w:p/>
    <w:p>
      <w:pPr>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nHeading2"/>
        <w:rPr>
          <w:sz w:val="28"/>
        </w:rPr>
      </w:pPr>
      <w:bookmarkStart w:id="1239" w:name="_Toc131514864"/>
      <w:r>
        <w:rPr>
          <w:sz w:val="28"/>
        </w:rPr>
        <w:lastRenderedPageBreak/>
        <w:t>Defined terms</w:t>
      </w:r>
      <w:bookmarkEnd w:id="12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additional medical examination</w:t>
      </w:r>
      <w:r>
        <w:tab/>
        <w:t>66A(1)</w:t>
      </w:r>
    </w:p>
    <w:p>
      <w:pPr>
        <w:pStyle w:val="DefinedTerms"/>
      </w:pPr>
      <w:r>
        <w:t>adjacent area</w:t>
      </w:r>
      <w:r>
        <w:tab/>
        <w:t>Sch. 6 cl. 2(1), (2), (3) and (4)</w:t>
      </w:r>
    </w:p>
    <w:p>
      <w:pPr>
        <w:pStyle w:val="DefinedTerms"/>
      </w:pPr>
      <w:r>
        <w:t>adjustable amount</w:t>
      </w:r>
      <w:r>
        <w:tab/>
        <w:t>5A(1A)</w:t>
      </w:r>
    </w:p>
    <w:p>
      <w:pPr>
        <w:pStyle w:val="DefinedTerms"/>
      </w:pPr>
      <w:r>
        <w:t>adjustment methodology</w:t>
      </w:r>
      <w:r>
        <w:tab/>
        <w:t>5A(3)</w:t>
      </w:r>
    </w:p>
    <w:p>
      <w:pPr>
        <w:pStyle w:val="DefinedTerms"/>
      </w:pPr>
      <w:r>
        <w:t>agent</w:t>
      </w:r>
      <w:r>
        <w:tab/>
        <w:t>261</w:t>
      </w:r>
    </w:p>
    <w:p>
      <w:pPr>
        <w:pStyle w:val="DefinedTerms"/>
      </w:pPr>
      <w:r>
        <w:t>agent service</w:t>
      </w:r>
      <w:r>
        <w:tab/>
        <w:t>261</w:t>
      </w:r>
    </w:p>
    <w:p>
      <w:pPr>
        <w:pStyle w:val="DefinedTerms"/>
      </w:pPr>
      <w:r>
        <w:t>aggregated amount</w:t>
      </w:r>
      <w:r>
        <w:tab/>
        <w:t>Sch. 1A cl. 11(1)</w:t>
      </w:r>
    </w:p>
    <w:p>
      <w:pPr>
        <w:pStyle w:val="DefinedTerms"/>
      </w:pPr>
      <w:r>
        <w:t>agreed</w:t>
      </w:r>
      <w:r>
        <w:tab/>
        <w:t>93E(1)</w:t>
      </w:r>
    </w:p>
    <w:p>
      <w:pPr>
        <w:pStyle w:val="DefinedTerms"/>
      </w:pPr>
      <w:r>
        <w:t>AIDS</w:t>
      </w:r>
      <w:r>
        <w:tab/>
        <w:t>31F(1), 93Q(8)</w:t>
      </w:r>
    </w:p>
    <w:p>
      <w:pPr>
        <w:pStyle w:val="DefinedTerms"/>
      </w:pPr>
      <w:r>
        <w:t>AMA Guides</w:t>
      </w:r>
      <w:r>
        <w:tab/>
        <w:t>93CA</w:t>
      </w:r>
    </w:p>
    <w:p>
      <w:pPr>
        <w:pStyle w:val="DefinedTerms"/>
      </w:pPr>
      <w:r>
        <w:t>amended provisions</w:t>
      </w:r>
      <w:r>
        <w:tab/>
        <w:t>Sch. 8 cl. 1</w:t>
      </w:r>
    </w:p>
    <w:p>
      <w:pPr>
        <w:pStyle w:val="DefinedTerms"/>
      </w:pPr>
      <w:r>
        <w:t>amending Act</w:t>
      </w:r>
      <w:r>
        <w:tab/>
        <w:t>Sch. 8 cl. 1</w:t>
      </w:r>
    </w:p>
    <w:p>
      <w:pPr>
        <w:pStyle w:val="DefinedTerms"/>
      </w:pPr>
      <w:r>
        <w:t>amendment day</w:t>
      </w:r>
      <w:r>
        <w:tab/>
        <w:t>24(1), 31A(1)</w:t>
      </w:r>
    </w:p>
    <w:p>
      <w:pPr>
        <w:pStyle w:val="DefinedTerms"/>
      </w:pPr>
      <w:r>
        <w:t>Amount A</w:t>
      </w:r>
      <w:r>
        <w:tab/>
        <w:t>93F(8), 93K(12), Sch. 1 cl. 11(2)</w:t>
      </w:r>
    </w:p>
    <w:p>
      <w:pPr>
        <w:pStyle w:val="DefinedTerms"/>
      </w:pPr>
      <w:r>
        <w:t>Amount Aa</w:t>
      </w:r>
      <w:r>
        <w:tab/>
        <w:t>Sch. 1 cl. 11(2)</w:t>
      </w:r>
    </w:p>
    <w:p>
      <w:pPr>
        <w:pStyle w:val="DefinedTerms"/>
      </w:pPr>
      <w:r>
        <w:t>Amount B</w:t>
      </w:r>
      <w:r>
        <w:tab/>
        <w:t>Sch. 1 cl. 11(2)</w:t>
      </w:r>
    </w:p>
    <w:p>
      <w:pPr>
        <w:pStyle w:val="DefinedTerms"/>
      </w:pPr>
      <w:r>
        <w:t>Amount C</w:t>
      </w:r>
      <w:r>
        <w:tab/>
        <w:t>5A(1A), Sch. 1 cl. 11(2)</w:t>
      </w:r>
    </w:p>
    <w:p>
      <w:pPr>
        <w:pStyle w:val="DefinedTerms"/>
      </w:pPr>
      <w:r>
        <w:t>Amount D</w:t>
      </w:r>
      <w:r>
        <w:tab/>
        <w:t>Sch. 1 cl. 11(2)</w:t>
      </w:r>
    </w:p>
    <w:p>
      <w:pPr>
        <w:pStyle w:val="DefinedTerms"/>
      </w:pPr>
      <w:r>
        <w:t>Amount E</w:t>
      </w:r>
      <w:r>
        <w:tab/>
        <w:t>Sch. 1 cl. 11(2)</w:t>
      </w:r>
    </w:p>
    <w:p>
      <w:pPr>
        <w:pStyle w:val="DefinedTerms"/>
      </w:pPr>
      <w:r>
        <w:t>another State</w:t>
      </w:r>
      <w:r>
        <w:tab/>
        <w:t>93AF(2)</w:t>
      </w:r>
    </w:p>
    <w:p>
      <w:pPr>
        <w:pStyle w:val="DefinedTerms"/>
      </w:pPr>
      <w:r>
        <w:t>application</w:t>
      </w:r>
      <w:r>
        <w:tab/>
        <w:t>72L(1)</w:t>
      </w:r>
    </w:p>
    <w:p>
      <w:pPr>
        <w:pStyle w:val="DefinedTerms"/>
      </w:pPr>
      <w:r>
        <w:t>application for conciliation</w:t>
      </w:r>
      <w:r>
        <w:tab/>
        <w:t>5(1)</w:t>
      </w:r>
    </w:p>
    <w:p>
      <w:pPr>
        <w:pStyle w:val="DefinedTerms"/>
      </w:pPr>
      <w:r>
        <w:t>approved</w:t>
      </w:r>
      <w:r>
        <w:tab/>
        <w:t>72C</w:t>
      </w:r>
    </w:p>
    <w:p>
      <w:pPr>
        <w:pStyle w:val="DefinedTerms"/>
      </w:pPr>
      <w:r>
        <w:t>approved insurance office</w:t>
      </w:r>
      <w:r>
        <w:tab/>
        <w:t>5(1)</w:t>
      </w:r>
    </w:p>
    <w:p>
      <w:pPr>
        <w:pStyle w:val="DefinedTerms"/>
      </w:pPr>
      <w:r>
        <w:t>approved medical specialist</w:t>
      </w:r>
      <w:r>
        <w:tab/>
        <w:t>5(1)</w:t>
      </w:r>
    </w:p>
    <w:p>
      <w:pPr>
        <w:pStyle w:val="DefinedTerms"/>
      </w:pPr>
      <w:r>
        <w:t>approved medical specialist panel</w:t>
      </w:r>
      <w:r>
        <w:tab/>
        <w:t>5(1)</w:t>
      </w:r>
    </w:p>
    <w:p>
      <w:pPr>
        <w:pStyle w:val="DefinedTerms"/>
      </w:pPr>
      <w:r>
        <w:t>approved treatment</w:t>
      </w:r>
      <w:r>
        <w:tab/>
        <w:t>5(1)</w:t>
      </w:r>
    </w:p>
    <w:p>
      <w:pPr>
        <w:pStyle w:val="DefinedTerms"/>
      </w:pPr>
      <w:r>
        <w:t>approved vocational rehabilitation provider</w:t>
      </w:r>
      <w:r>
        <w:tab/>
        <w:t>5(1)</w:t>
      </w:r>
    </w:p>
    <w:p>
      <w:pPr>
        <w:pStyle w:val="DefinedTerms"/>
      </w:pPr>
      <w:r>
        <w:t>arbitration rules</w:t>
      </w:r>
      <w:r>
        <w:tab/>
        <w:t>5(1), 293B(1)</w:t>
      </w:r>
    </w:p>
    <w:p>
      <w:pPr>
        <w:pStyle w:val="DefinedTerms"/>
      </w:pPr>
      <w:r>
        <w:t>Arbitration Service</w:t>
      </w:r>
      <w:r>
        <w:tab/>
        <w:t>5(1)</w:t>
      </w:r>
    </w:p>
    <w:p>
      <w:pPr>
        <w:pStyle w:val="DefinedTerms"/>
      </w:pPr>
      <w:r>
        <w:t>arbitrator</w:t>
      </w:r>
      <w:r>
        <w:tab/>
        <w:t>5(1)</w:t>
      </w:r>
    </w:p>
    <w:p>
      <w:pPr>
        <w:pStyle w:val="DefinedTerms"/>
      </w:pPr>
      <w:r>
        <w:t>audiometric test</w:t>
      </w:r>
      <w:r>
        <w:tab/>
        <w:t>Sch. 7 cl. 1</w:t>
      </w:r>
    </w:p>
    <w:p>
      <w:pPr>
        <w:pStyle w:val="DefinedTerms"/>
      </w:pPr>
      <w:r>
        <w:t>auditor</w:t>
      </w:r>
      <w:r>
        <w:tab/>
        <w:t>175B(2)</w:t>
      </w:r>
    </w:p>
    <w:p>
      <w:pPr>
        <w:pStyle w:val="DefinedTerms"/>
      </w:pPr>
      <w:r>
        <w:t>Australian practising certificate</w:t>
      </w:r>
      <w:r>
        <w:tab/>
        <w:t>5B(1)</w:t>
      </w:r>
    </w:p>
    <w:p>
      <w:pPr>
        <w:pStyle w:val="DefinedTerms"/>
      </w:pPr>
      <w:r>
        <w:t>authorised officer</w:t>
      </w:r>
      <w:r>
        <w:tab/>
        <w:t>175E</w:t>
      </w:r>
    </w:p>
    <w:p>
      <w:pPr>
        <w:pStyle w:val="DefinedTerms"/>
      </w:pPr>
      <w:r>
        <w:t>bonus or allowance</w:t>
      </w:r>
      <w:r>
        <w:tab/>
        <w:t>Sch. 1 cl. 11(2)</w:t>
      </w:r>
    </w:p>
    <w:p>
      <w:pPr>
        <w:pStyle w:val="DefinedTerms"/>
      </w:pPr>
      <w:r>
        <w:t>certificate of outcome</w:t>
      </w:r>
      <w:r>
        <w:tab/>
        <w:t>182ZE</w:t>
      </w:r>
    </w:p>
    <w:p>
      <w:pPr>
        <w:pStyle w:val="DefinedTerms"/>
      </w:pPr>
      <w:r>
        <w:t>Chairman of WorkCover WA</w:t>
      </w:r>
      <w:r>
        <w:tab/>
        <w:t>5(1)</w:t>
      </w:r>
    </w:p>
    <w:p>
      <w:pPr>
        <w:pStyle w:val="DefinedTerms"/>
      </w:pPr>
      <w:r>
        <w:t>chief executive officer</w:t>
      </w:r>
      <w:r>
        <w:tab/>
        <w:t>5(1)</w:t>
      </w:r>
    </w:p>
    <w:p>
      <w:pPr>
        <w:pStyle w:val="DefinedTerms"/>
      </w:pPr>
      <w:r>
        <w:t>child</w:t>
      </w:r>
      <w:r>
        <w:tab/>
        <w:t>Sch. 1A cl. 2(2)</w:t>
      </w:r>
    </w:p>
    <w:p>
      <w:pPr>
        <w:pStyle w:val="DefinedTerms"/>
      </w:pPr>
      <w:r>
        <w:lastRenderedPageBreak/>
        <w:t>children</w:t>
      </w:r>
      <w:r>
        <w:tab/>
        <w:t>Sch. 1A cl. 2(2)</w:t>
      </w:r>
    </w:p>
    <w:p>
      <w:pPr>
        <w:pStyle w:val="DefinedTerms"/>
      </w:pPr>
      <w:r>
        <w:t>child’s allowance</w:t>
      </w:r>
      <w:r>
        <w:tab/>
        <w:t>72J(1), Sch. 1A cl. 5</w:t>
      </w:r>
    </w:p>
    <w:p>
      <w:pPr>
        <w:pStyle w:val="DefinedTerms"/>
      </w:pPr>
      <w:r>
        <w:t>chiropractor</w:t>
      </w:r>
      <w:r>
        <w:tab/>
        <w:t>5(1)</w:t>
      </w:r>
    </w:p>
    <w:p>
      <w:pPr>
        <w:pStyle w:val="DefinedTerms"/>
      </w:pPr>
      <w:r>
        <w:t>claim</w:t>
      </w:r>
      <w:r>
        <w:tab/>
        <w:t>72C</w:t>
      </w:r>
    </w:p>
    <w:p>
      <w:pPr>
        <w:pStyle w:val="DefinedTerms"/>
      </w:pPr>
      <w:r>
        <w:t>claimant</w:t>
      </w:r>
      <w:r>
        <w:tab/>
        <w:t>72C</w:t>
      </w:r>
    </w:p>
    <w:p>
      <w:pPr>
        <w:pStyle w:val="DefinedTerms"/>
      </w:pPr>
      <w:r>
        <w:t>claim for compensation by way of weekly payments</w:t>
      </w:r>
      <w:r>
        <w:tab/>
        <w:t>93N(1A)</w:t>
      </w:r>
    </w:p>
    <w:p>
      <w:pPr>
        <w:pStyle w:val="DefinedTerms"/>
      </w:pPr>
      <w:r>
        <w:t>clause</w:t>
      </w:r>
      <w:r>
        <w:tab/>
        <w:t>5(1), 72C</w:t>
      </w:r>
    </w:p>
    <w:p>
      <w:pPr>
        <w:pStyle w:val="DefinedTerms"/>
      </w:pPr>
      <w:r>
        <w:t>code</w:t>
      </w:r>
      <w:r>
        <w:tab/>
        <w:t>155</w:t>
      </w:r>
    </w:p>
    <w:p>
      <w:pPr>
        <w:pStyle w:val="DefinedTerms"/>
      </w:pPr>
      <w:r>
        <w:t>commencement day</w:t>
      </w:r>
      <w:r>
        <w:tab/>
        <w:t>5B(1), 93EA(4), 93EB(4), 93T(1), Sch. 8 cl. 1 and 9</w:t>
      </w:r>
    </w:p>
    <w:p>
      <w:pPr>
        <w:pStyle w:val="DefinedTerms"/>
      </w:pPr>
      <w:r>
        <w:t>Commissioner</w:t>
      </w:r>
      <w:r>
        <w:tab/>
        <w:t>Sch. 8 cl. 1</w:t>
      </w:r>
    </w:p>
    <w:p>
      <w:pPr>
        <w:pStyle w:val="DefinedTerms"/>
      </w:pPr>
      <w:r>
        <w:t>company</w:t>
      </w:r>
      <w:r>
        <w:tab/>
        <w:t>5(1), 10A(1), 175AA(1)</w:t>
      </w:r>
    </w:p>
    <w:p>
      <w:pPr>
        <w:pStyle w:val="DefinedTerms"/>
      </w:pPr>
      <w:r>
        <w:t xml:space="preserve">compensable injury </w:t>
      </w:r>
      <w:r>
        <w:tab/>
        <w:t>159</w:t>
      </w:r>
    </w:p>
    <w:p>
      <w:pPr>
        <w:pStyle w:val="DefinedTerms"/>
      </w:pPr>
      <w:r>
        <w:t>compensation order</w:t>
      </w:r>
      <w:r>
        <w:tab/>
        <w:t>72I(1), 72J(1)</w:t>
      </w:r>
    </w:p>
    <w:p>
      <w:pPr>
        <w:pStyle w:val="DefinedTerms"/>
      </w:pPr>
      <w:r>
        <w:t>compound discount table</w:t>
      </w:r>
      <w:r>
        <w:tab/>
        <w:t>68(4)</w:t>
      </w:r>
    </w:p>
    <w:p>
      <w:pPr>
        <w:pStyle w:val="DefinedTerms"/>
      </w:pPr>
      <w:r>
        <w:t>conciliation agreement</w:t>
      </w:r>
      <w:r>
        <w:tab/>
        <w:t>182ZE</w:t>
      </w:r>
    </w:p>
    <w:p>
      <w:pPr>
        <w:pStyle w:val="DefinedTerms"/>
      </w:pPr>
      <w:r>
        <w:t>conciliation decision</w:t>
      </w:r>
      <w:r>
        <w:tab/>
        <w:t>182ZE</w:t>
      </w:r>
    </w:p>
    <w:p>
      <w:pPr>
        <w:pStyle w:val="DefinedTerms"/>
      </w:pPr>
      <w:r>
        <w:t>conciliation officer</w:t>
      </w:r>
      <w:r>
        <w:tab/>
        <w:t>5(1), 182G(3)</w:t>
      </w:r>
    </w:p>
    <w:p>
      <w:pPr>
        <w:pStyle w:val="DefinedTerms"/>
      </w:pPr>
      <w:r>
        <w:t>conciliation rules</w:t>
      </w:r>
      <w:r>
        <w:tab/>
        <w:t>5(1), 293A(1)</w:t>
      </w:r>
    </w:p>
    <w:p>
      <w:pPr>
        <w:pStyle w:val="DefinedTerms"/>
      </w:pPr>
      <w:r>
        <w:t>Conciliation Service</w:t>
      </w:r>
      <w:r>
        <w:tab/>
        <w:t>5(1)</w:t>
      </w:r>
    </w:p>
    <w:p>
      <w:pPr>
        <w:pStyle w:val="DefinedTerms"/>
      </w:pPr>
      <w:r>
        <w:t>continental shelf</w:t>
      </w:r>
      <w:r>
        <w:tab/>
        <w:t>Sch. 6 cl. 1</w:t>
      </w:r>
    </w:p>
    <w:p>
      <w:pPr>
        <w:pStyle w:val="DefinedTerms"/>
      </w:pPr>
      <w:r>
        <w:t>contract of insurance</w:t>
      </w:r>
      <w:r>
        <w:tab/>
        <w:t>5(1)</w:t>
      </w:r>
    </w:p>
    <w:p>
      <w:pPr>
        <w:pStyle w:val="DefinedTerms"/>
      </w:pPr>
      <w:r>
        <w:t>contractor</w:t>
      </w:r>
      <w:r>
        <w:tab/>
        <w:t>175(1) and (6)</w:t>
      </w:r>
    </w:p>
    <w:p>
      <w:pPr>
        <w:pStyle w:val="DefinedTerms"/>
      </w:pPr>
      <w:r>
        <w:t>Contribution Act</w:t>
      </w:r>
      <w:r>
        <w:tab/>
        <w:t>93F(4), 93K(8)</w:t>
      </w:r>
    </w:p>
    <w:p>
      <w:pPr>
        <w:pStyle w:val="DefinedTerms"/>
      </w:pPr>
      <w:r>
        <w:t>corporate body</w:t>
      </w:r>
      <w:r>
        <w:tab/>
        <w:t>10A(1)</w:t>
      </w:r>
    </w:p>
    <w:p>
      <w:pPr>
        <w:pStyle w:val="DefinedTerms"/>
      </w:pPr>
      <w:r>
        <w:t>corresponding law</w:t>
      </w:r>
      <w:r>
        <w:tab/>
        <w:t>5B(1)</w:t>
      </w:r>
    </w:p>
    <w:p>
      <w:pPr>
        <w:pStyle w:val="DefinedTerms"/>
      </w:pPr>
      <w:r>
        <w:t>costs</w:t>
      </w:r>
      <w:r>
        <w:tab/>
        <w:t>261</w:t>
      </w:r>
    </w:p>
    <w:p>
      <w:pPr>
        <w:pStyle w:val="DefinedTerms"/>
      </w:pPr>
      <w:r>
        <w:t>costs determination</w:t>
      </w:r>
      <w:r>
        <w:tab/>
        <w:t>261</w:t>
      </w:r>
    </w:p>
    <w:p>
      <w:pPr>
        <w:pStyle w:val="DefinedTerms"/>
      </w:pPr>
      <w:r>
        <w:t>costs of a proceeding</w:t>
      </w:r>
      <w:r>
        <w:tab/>
        <w:t>261</w:t>
      </w:r>
    </w:p>
    <w:p>
      <w:pPr>
        <w:pStyle w:val="DefinedTerms"/>
      </w:pPr>
      <w:r>
        <w:t>court</w:t>
      </w:r>
      <w:r>
        <w:tab/>
        <w:t>23A, 182ZH(1)</w:t>
      </w:r>
    </w:p>
    <w:p>
      <w:pPr>
        <w:pStyle w:val="DefinedTerms"/>
      </w:pPr>
      <w:r>
        <w:t>Crown</w:t>
      </w:r>
      <w:r>
        <w:tab/>
        <w:t>14(1)</w:t>
      </w:r>
    </w:p>
    <w:p>
      <w:pPr>
        <w:pStyle w:val="DefinedTerms"/>
      </w:pPr>
      <w:r>
        <w:t>damages</w:t>
      </w:r>
      <w:r>
        <w:tab/>
        <w:t>72K(1), 93A, 159</w:t>
      </w:r>
    </w:p>
    <w:p>
      <w:pPr>
        <w:pStyle w:val="DefinedTerms"/>
      </w:pPr>
      <w:r>
        <w:t>date of injury</w:t>
      </w:r>
      <w:r>
        <w:tab/>
        <w:t>49A</w:t>
      </w:r>
    </w:p>
    <w:p>
      <w:pPr>
        <w:pStyle w:val="DefinedTerms"/>
      </w:pPr>
      <w:r>
        <w:t>decision</w:t>
      </w:r>
      <w:r>
        <w:tab/>
        <w:t>5(1)</w:t>
      </w:r>
    </w:p>
    <w:p>
      <w:pPr>
        <w:pStyle w:val="DefinedTerms"/>
      </w:pPr>
      <w:r>
        <w:t>decision of an approved medical specialist</w:t>
      </w:r>
      <w:r>
        <w:tab/>
        <w:t>146J(2)</w:t>
      </w:r>
    </w:p>
    <w:p>
      <w:pPr>
        <w:pStyle w:val="DefinedTerms"/>
      </w:pPr>
      <w:r>
        <w:t>decision of an approved medical specialist panel</w:t>
      </w:r>
      <w:r>
        <w:tab/>
        <w:t>146O(7)</w:t>
      </w:r>
    </w:p>
    <w:p>
      <w:pPr>
        <w:pStyle w:val="DefinedTerms"/>
      </w:pPr>
      <w:r>
        <w:t>decision of a specialised retraining assessment panel</w:t>
      </w:r>
      <w:r>
        <w:tab/>
        <w:t>146V(9)</w:t>
      </w:r>
    </w:p>
    <w:p>
      <w:pPr>
        <w:pStyle w:val="DefinedTerms"/>
      </w:pPr>
      <w:r>
        <w:t>deemed worker</w:t>
      </w:r>
      <w:r>
        <w:tab/>
        <w:t>159</w:t>
      </w:r>
    </w:p>
    <w:p>
      <w:pPr>
        <w:pStyle w:val="DefinedTerms"/>
      </w:pPr>
      <w:r>
        <w:t>de facto partner</w:t>
      </w:r>
      <w:r>
        <w:tab/>
        <w:t>Sch. 5 cl. 1(1)</w:t>
      </w:r>
    </w:p>
    <w:p>
      <w:pPr>
        <w:pStyle w:val="DefinedTerms"/>
      </w:pPr>
      <w:r>
        <w:t>defendant</w:t>
      </w:r>
      <w:r>
        <w:tab/>
        <w:t>92, 93(1)</w:t>
      </w:r>
    </w:p>
    <w:p>
      <w:pPr>
        <w:pStyle w:val="DefinedTerms"/>
      </w:pPr>
      <w:r>
        <w:t>degree of disability</w:t>
      </w:r>
      <w:r>
        <w:tab/>
        <w:t>93E(1)</w:t>
      </w:r>
    </w:p>
    <w:p>
      <w:pPr>
        <w:pStyle w:val="DefinedTerms"/>
      </w:pPr>
      <w:r>
        <w:t>degree of impairment</w:t>
      </w:r>
      <w:r>
        <w:tab/>
        <w:t>146</w:t>
      </w:r>
    </w:p>
    <w:p>
      <w:pPr>
        <w:pStyle w:val="DefinedTerms"/>
      </w:pPr>
      <w:r>
        <w:t>degree of permanent impairment</w:t>
      </w:r>
      <w:r>
        <w:tab/>
        <w:t>31B</w:t>
      </w:r>
    </w:p>
    <w:p>
      <w:pPr>
        <w:pStyle w:val="DefinedTerms"/>
      </w:pPr>
      <w:r>
        <w:t>degree of permanent whole of person impairment</w:t>
      </w:r>
      <w:r>
        <w:tab/>
        <w:t>93H(1), 158(1),</w:t>
      </w:r>
      <w:r>
        <w:br/>
      </w:r>
      <w:r>
        <w:tab/>
        <w:t>Sch. 1 cl. 18C(3)</w:t>
      </w:r>
    </w:p>
    <w:p>
      <w:pPr>
        <w:pStyle w:val="DefinedTerms"/>
      </w:pPr>
      <w:r>
        <w:t>dentist</w:t>
      </w:r>
      <w:r>
        <w:tab/>
        <w:t>5(1)</w:t>
      </w:r>
    </w:p>
    <w:p>
      <w:pPr>
        <w:pStyle w:val="DefinedTerms"/>
      </w:pPr>
      <w:r>
        <w:lastRenderedPageBreak/>
        <w:t>dependant</w:t>
      </w:r>
      <w:r>
        <w:tab/>
        <w:t>5(1), 72I(1), 72J(1), Sch. 1A cl. 3</w:t>
      </w:r>
    </w:p>
    <w:p>
      <w:pPr>
        <w:pStyle w:val="DefinedTerms"/>
      </w:pPr>
      <w:r>
        <w:t>designation</w:t>
      </w:r>
      <w:r>
        <w:tab/>
        <w:t>182C(1), 182ZR(1)</w:t>
      </w:r>
    </w:p>
    <w:p>
      <w:pPr>
        <w:pStyle w:val="DefinedTerms"/>
      </w:pPr>
      <w:r>
        <w:t>determined</w:t>
      </w:r>
      <w:r>
        <w:tab/>
        <w:t>93E(1)</w:t>
      </w:r>
    </w:p>
    <w:p>
      <w:pPr>
        <w:pStyle w:val="DefinedTerms"/>
      </w:pPr>
      <w:r>
        <w:t>direction</w:t>
      </w:r>
      <w:r>
        <w:tab/>
        <w:t>182M(1)</w:t>
      </w:r>
    </w:p>
    <w:p>
      <w:pPr>
        <w:pStyle w:val="DefinedTerms"/>
      </w:pPr>
      <w:r>
        <w:t>Director</w:t>
      </w:r>
      <w:r>
        <w:tab/>
        <w:t>5(1)</w:t>
      </w:r>
    </w:p>
    <w:p>
      <w:pPr>
        <w:pStyle w:val="DefinedTerms"/>
      </w:pPr>
      <w:r>
        <w:t>director</w:t>
      </w:r>
      <w:r>
        <w:tab/>
        <w:t>10A(1)</w:t>
      </w:r>
    </w:p>
    <w:p>
      <w:pPr>
        <w:pStyle w:val="DefinedTerms"/>
      </w:pPr>
      <w:r>
        <w:t>disease</w:t>
      </w:r>
      <w:r>
        <w:tab/>
        <w:t>5(1)</w:t>
      </w:r>
    </w:p>
    <w:p>
      <w:pPr>
        <w:pStyle w:val="DefinedTerms"/>
      </w:pPr>
      <w:r>
        <w:t>dispute</w:t>
      </w:r>
      <w:r>
        <w:tab/>
        <w:t>176(1), 182E(1), Sch. 8 cl. 1</w:t>
      </w:r>
    </w:p>
    <w:p>
      <w:pPr>
        <w:pStyle w:val="DefinedTerms"/>
      </w:pPr>
      <w:r>
        <w:t>dispute resolution authority</w:t>
      </w:r>
      <w:r>
        <w:tab/>
        <w:t>5(1)</w:t>
      </w:r>
    </w:p>
    <w:p>
      <w:pPr>
        <w:pStyle w:val="DefinedTerms"/>
      </w:pPr>
      <w:r>
        <w:t>District Court</w:t>
      </w:r>
      <w:r>
        <w:tab/>
        <w:t>5(1)</w:t>
      </w:r>
    </w:p>
    <w:p>
      <w:pPr>
        <w:pStyle w:val="DefinedTerms"/>
      </w:pPr>
      <w:r>
        <w:t>Division</w:t>
      </w:r>
      <w:r>
        <w:tab/>
        <w:t>5(1)</w:t>
      </w:r>
    </w:p>
    <w:p>
      <w:pPr>
        <w:pStyle w:val="DefinedTerms"/>
      </w:pPr>
      <w:r>
        <w:t>document</w:t>
      </w:r>
      <w:r>
        <w:tab/>
        <w:t>111A(4), 314A(1)</w:t>
      </w:r>
    </w:p>
    <w:p>
      <w:pPr>
        <w:pStyle w:val="DefinedTerms"/>
      </w:pPr>
      <w:r>
        <w:t>DRD</w:t>
      </w:r>
      <w:r>
        <w:tab/>
        <w:t>Sch. 8 cl. 1</w:t>
      </w:r>
    </w:p>
    <w:p>
      <w:pPr>
        <w:pStyle w:val="DefinedTerms"/>
      </w:pPr>
      <w:r>
        <w:t>DRD records</w:t>
      </w:r>
      <w:r>
        <w:tab/>
        <w:t>Sch. 8 cl. 4(1)</w:t>
      </w:r>
    </w:p>
    <w:p>
      <w:pPr>
        <w:pStyle w:val="DefinedTerms"/>
      </w:pPr>
      <w:r>
        <w:t>DRD Rules</w:t>
      </w:r>
      <w:r>
        <w:tab/>
        <w:t>Sch. 8 cl. 1</w:t>
      </w:r>
    </w:p>
    <w:p>
      <w:pPr>
        <w:pStyle w:val="DefinedTerms"/>
      </w:pPr>
      <w:r>
        <w:t>drug of addiction</w:t>
      </w:r>
      <w:r>
        <w:tab/>
        <w:t>5(1)</w:t>
      </w:r>
    </w:p>
    <w:p>
      <w:pPr>
        <w:pStyle w:val="DefinedTerms"/>
      </w:pPr>
      <w:r>
        <w:t>E</w:t>
      </w:r>
      <w:r>
        <w:tab/>
        <w:t>175AA(1), 303A(1)</w:t>
      </w:r>
    </w:p>
    <w:p>
      <w:pPr>
        <w:pStyle w:val="DefinedTerms"/>
      </w:pPr>
      <w:r>
        <w:t>earnings</w:t>
      </w:r>
      <w:r>
        <w:tab/>
        <w:t>5(1), 10A(1), Sch. 1 cl. 11(2)</w:t>
      </w:r>
    </w:p>
    <w:p>
      <w:pPr>
        <w:pStyle w:val="DefinedTerms"/>
      </w:pPr>
      <w:r>
        <w:t>election registration day</w:t>
      </w:r>
      <w:r>
        <w:tab/>
        <w:t>93H(1)</w:t>
      </w:r>
    </w:p>
    <w:p>
      <w:pPr>
        <w:pStyle w:val="DefinedTerms"/>
      </w:pPr>
      <w:r>
        <w:t>eligible child</w:t>
      </w:r>
      <w:r>
        <w:tab/>
        <w:t>Sch. 1A cl. 8(2)</w:t>
      </w:r>
    </w:p>
    <w:p>
      <w:pPr>
        <w:pStyle w:val="DefinedTerms"/>
      </w:pPr>
      <w:r>
        <w:t>eligible person</w:t>
      </w:r>
      <w:r>
        <w:tab/>
        <w:t>Sch. 1A cl. 11(1)</w:t>
      </w:r>
    </w:p>
    <w:p>
      <w:pPr>
        <w:pStyle w:val="DefinedTerms"/>
      </w:pPr>
      <w:r>
        <w:t>employer</w:t>
      </w:r>
      <w:r>
        <w:tab/>
        <w:t>5(1), 59(1), 93AC, 154A(2)</w:t>
      </w:r>
    </w:p>
    <w:p>
      <w:pPr>
        <w:pStyle w:val="DefinedTerms"/>
      </w:pPr>
      <w:r>
        <w:t>estimate</w:t>
      </w:r>
      <w:r>
        <w:tab/>
        <w:t>5(1)</w:t>
      </w:r>
    </w:p>
    <w:p>
      <w:pPr>
        <w:pStyle w:val="DefinedTerms"/>
      </w:pPr>
      <w:r>
        <w:t>event</w:t>
      </w:r>
      <w:r>
        <w:tab/>
        <w:t>93H(2), 158(2), Sch. 1 cl. 18C(4)</w:t>
      </w:r>
    </w:p>
    <w:p>
      <w:pPr>
        <w:pStyle w:val="DefinedTerms"/>
      </w:pPr>
      <w:r>
        <w:t>FES employment</w:t>
      </w:r>
      <w:r>
        <w:tab/>
        <w:t>49A</w:t>
      </w:r>
    </w:p>
    <w:p>
      <w:pPr>
        <w:pStyle w:val="DefinedTerms"/>
      </w:pPr>
      <w:r>
        <w:t>firefighting employment</w:t>
      </w:r>
      <w:r>
        <w:tab/>
        <w:t>49A</w:t>
      </w:r>
    </w:p>
    <w:p>
      <w:pPr>
        <w:pStyle w:val="DefinedTerms"/>
      </w:pPr>
      <w:r>
        <w:t>former Board</w:t>
      </w:r>
      <w:r>
        <w:tab/>
        <w:t>316</w:t>
      </w:r>
    </w:p>
    <w:p>
      <w:pPr>
        <w:pStyle w:val="DefinedTerms"/>
      </w:pPr>
      <w:r>
        <w:t>former provisions</w:t>
      </w:r>
      <w:r>
        <w:tab/>
        <w:t>Sch. 8 cl. 1 and 9</w:t>
      </w:r>
    </w:p>
    <w:p>
      <w:pPr>
        <w:pStyle w:val="DefinedTerms"/>
      </w:pPr>
      <w:r>
        <w:t>former Subdivision</w:t>
      </w:r>
      <w:r>
        <w:tab/>
        <w:t>93T(1)</w:t>
      </w:r>
    </w:p>
    <w:p>
      <w:pPr>
        <w:pStyle w:val="DefinedTerms"/>
      </w:pPr>
      <w:r>
        <w:t>former Supplementary Board</w:t>
      </w:r>
      <w:r>
        <w:tab/>
        <w:t>316</w:t>
      </w:r>
    </w:p>
    <w:p>
      <w:pPr>
        <w:pStyle w:val="DefinedTerms"/>
      </w:pPr>
      <w:r>
        <w:t>full amount</w:t>
      </w:r>
      <w:r>
        <w:tab/>
        <w:t>31D(1)</w:t>
      </w:r>
    </w:p>
    <w:p>
      <w:pPr>
        <w:pStyle w:val="DefinedTerms"/>
      </w:pPr>
      <w:r>
        <w:t>funeral expenses</w:t>
      </w:r>
      <w:r>
        <w:tab/>
        <w:t>Sch. 1A cl. 9(1)</w:t>
      </w:r>
    </w:p>
    <w:p>
      <w:pPr>
        <w:pStyle w:val="DefinedTerms"/>
      </w:pPr>
      <w:r>
        <w:t>General Account</w:t>
      </w:r>
      <w:r>
        <w:tab/>
        <w:t>5(1)</w:t>
      </w:r>
    </w:p>
    <w:p>
      <w:pPr>
        <w:pStyle w:val="DefinedTerms"/>
      </w:pPr>
      <w:r>
        <w:t>hazardous fire</w:t>
      </w:r>
      <w:r>
        <w:tab/>
        <w:t>49A</w:t>
      </w:r>
    </w:p>
    <w:p>
      <w:pPr>
        <w:pStyle w:val="DefinedTerms"/>
      </w:pPr>
      <w:r>
        <w:t>hazardous firefighting employment</w:t>
      </w:r>
      <w:r>
        <w:tab/>
        <w:t>49A</w:t>
      </w:r>
    </w:p>
    <w:p>
      <w:pPr>
        <w:pStyle w:val="DefinedTerms"/>
      </w:pPr>
      <w:r>
        <w:t>hearing</w:t>
      </w:r>
      <w:r>
        <w:tab/>
        <w:t>259(1)</w:t>
      </w:r>
    </w:p>
    <w:p>
      <w:pPr>
        <w:pStyle w:val="DefinedTerms"/>
      </w:pPr>
      <w:r>
        <w:t>HIV</w:t>
      </w:r>
      <w:r>
        <w:tab/>
        <w:t>31F(1), 93Q(8)</w:t>
      </w:r>
    </w:p>
    <w:p>
      <w:pPr>
        <w:pStyle w:val="DefinedTerms"/>
      </w:pPr>
      <w:r>
        <w:t>impairment</w:t>
      </w:r>
      <w:r>
        <w:tab/>
        <w:t>31G(1)</w:t>
      </w:r>
    </w:p>
    <w:p>
      <w:pPr>
        <w:pStyle w:val="DefinedTerms"/>
      </w:pPr>
      <w:r>
        <w:t>incorporated insurance office</w:t>
      </w:r>
      <w:r>
        <w:tab/>
        <w:t>161(1)</w:t>
      </w:r>
    </w:p>
    <w:p>
      <w:pPr>
        <w:pStyle w:val="DefinedTerms"/>
      </w:pPr>
      <w:r>
        <w:t>industrial agreement</w:t>
      </w:r>
      <w:r>
        <w:tab/>
        <w:t>5(1)</w:t>
      </w:r>
    </w:p>
    <w:p>
      <w:pPr>
        <w:pStyle w:val="DefinedTerms"/>
      </w:pPr>
      <w:r>
        <w:t>industrial award</w:t>
      </w:r>
      <w:r>
        <w:tab/>
        <w:t>5(1)</w:t>
      </w:r>
    </w:p>
    <w:p>
      <w:pPr>
        <w:pStyle w:val="DefinedTerms"/>
      </w:pPr>
      <w:r>
        <w:t>industrial disease premium</w:t>
      </w:r>
      <w:r>
        <w:tab/>
        <w:t>5(1)</w:t>
      </w:r>
    </w:p>
    <w:p>
      <w:pPr>
        <w:pStyle w:val="DefinedTerms"/>
      </w:pPr>
      <w:r>
        <w:t>information</w:t>
      </w:r>
      <w:r>
        <w:tab/>
        <w:t>111A(4), 182R(1)</w:t>
      </w:r>
    </w:p>
    <w:p>
      <w:pPr>
        <w:pStyle w:val="DefinedTerms"/>
      </w:pPr>
      <w:r>
        <w:t>injury</w:t>
      </w:r>
      <w:r>
        <w:tab/>
        <w:t>5(1), 93AC, 180(1), Sch. 1A cl. 1</w:t>
      </w:r>
    </w:p>
    <w:p>
      <w:pPr>
        <w:pStyle w:val="DefinedTerms"/>
      </w:pPr>
      <w:r>
        <w:t>injury management</w:t>
      </w:r>
      <w:r>
        <w:tab/>
        <w:t>5(1)</w:t>
      </w:r>
    </w:p>
    <w:p>
      <w:pPr>
        <w:pStyle w:val="DefinedTerms"/>
      </w:pPr>
      <w:r>
        <w:lastRenderedPageBreak/>
        <w:t>injury management system</w:t>
      </w:r>
      <w:r>
        <w:tab/>
        <w:t>155</w:t>
      </w:r>
    </w:p>
    <w:p>
      <w:pPr>
        <w:pStyle w:val="DefinedTerms"/>
      </w:pPr>
      <w:r>
        <w:t>in respect of the injury or injuries</w:t>
      </w:r>
      <w:r>
        <w:tab/>
        <w:t>93P(3)</w:t>
      </w:r>
    </w:p>
    <w:p>
      <w:pPr>
        <w:pStyle w:val="DefinedTerms"/>
      </w:pPr>
      <w:r>
        <w:t>inspector</w:t>
      </w:r>
      <w:r>
        <w:tab/>
        <w:t>5(1)</w:t>
      </w:r>
    </w:p>
    <w:p>
      <w:pPr>
        <w:pStyle w:val="DefinedTerms"/>
      </w:pPr>
      <w:r>
        <w:t>insurable damages</w:t>
      </w:r>
      <w:r>
        <w:tab/>
        <w:t>159</w:t>
      </w:r>
    </w:p>
    <w:p>
      <w:pPr>
        <w:pStyle w:val="DefinedTerms"/>
      </w:pPr>
      <w:r>
        <w:t xml:space="preserve">Insurance Commission of Western Australia </w:t>
      </w:r>
      <w:r>
        <w:tab/>
        <w:t>5(1)</w:t>
      </w:r>
    </w:p>
    <w:p>
      <w:pPr>
        <w:pStyle w:val="DefinedTerms"/>
      </w:pPr>
      <w:r>
        <w:t>jockey</w:t>
      </w:r>
      <w:r>
        <w:tab/>
        <w:t>Sch. 1 cl. 16A(1)</w:t>
      </w:r>
    </w:p>
    <w:p>
      <w:pPr>
        <w:pStyle w:val="DefinedTerms"/>
      </w:pPr>
      <w:r>
        <w:t>Joint Petroleum Development Area</w:t>
      </w:r>
      <w:r>
        <w:tab/>
        <w:t>Sch. 6 cl. 1</w:t>
      </w:r>
    </w:p>
    <w:p>
      <w:pPr>
        <w:pStyle w:val="DefinedTerms"/>
      </w:pPr>
      <w:r>
        <w:t>judgment</w:t>
      </w:r>
      <w:r>
        <w:tab/>
        <w:t>72K(1)</w:t>
      </w:r>
    </w:p>
    <w:p>
      <w:pPr>
        <w:pStyle w:val="DefinedTerms"/>
      </w:pPr>
      <w:r>
        <w:t>Legal Costs Committee</w:t>
      </w:r>
      <w:r>
        <w:tab/>
        <w:t>269(1)</w:t>
      </w:r>
    </w:p>
    <w:p>
      <w:pPr>
        <w:pStyle w:val="DefinedTerms"/>
      </w:pPr>
      <w:r>
        <w:t>legal service</w:t>
      </w:r>
      <w:r>
        <w:tab/>
        <w:t>261</w:t>
      </w:r>
    </w:p>
    <w:p>
      <w:pPr>
        <w:pStyle w:val="DefinedTerms"/>
      </w:pPr>
      <w:r>
        <w:t>liable</w:t>
      </w:r>
      <w:r>
        <w:tab/>
        <w:t>159</w:t>
      </w:r>
    </w:p>
    <w:p>
      <w:pPr>
        <w:pStyle w:val="DefinedTerms"/>
      </w:pPr>
      <w:r>
        <w:t>licensed facility</w:t>
      </w:r>
      <w:r>
        <w:tab/>
        <w:t>11A(1)</w:t>
      </w:r>
    </w:p>
    <w:p>
      <w:pPr>
        <w:pStyle w:val="DefinedTerms"/>
      </w:pPr>
      <w:r>
        <w:t>licensed jockey</w:t>
      </w:r>
      <w:r>
        <w:tab/>
        <w:t>11A(1)</w:t>
      </w:r>
    </w:p>
    <w:p>
      <w:pPr>
        <w:pStyle w:val="DefinedTerms"/>
      </w:pPr>
      <w:r>
        <w:t>licensed trainer</w:t>
      </w:r>
      <w:r>
        <w:tab/>
        <w:t>11A(1)</w:t>
      </w:r>
    </w:p>
    <w:p>
      <w:pPr>
        <w:pStyle w:val="DefinedTerms"/>
      </w:pPr>
      <w:r>
        <w:t>loss of</w:t>
      </w:r>
      <w:r>
        <w:tab/>
        <w:t>25</w:t>
      </w:r>
    </w:p>
    <w:p>
      <w:pPr>
        <w:pStyle w:val="DefinedTerms"/>
      </w:pPr>
      <w:r>
        <w:t>LPI</w:t>
      </w:r>
      <w:r>
        <w:tab/>
        <w:t>93F(8)</w:t>
      </w:r>
    </w:p>
    <w:p>
      <w:pPr>
        <w:pStyle w:val="DefinedTerms"/>
      </w:pPr>
      <w:r>
        <w:t>LSE</w:t>
      </w:r>
      <w:r>
        <w:tab/>
        <w:t>Sch. 1A cl. 4</w:t>
      </w:r>
    </w:p>
    <w:p>
      <w:pPr>
        <w:pStyle w:val="DefinedTerms"/>
      </w:pPr>
      <w:r>
        <w:t>lump sum entitlement</w:t>
      </w:r>
      <w:r>
        <w:tab/>
        <w:t>Sch. 1A cl. 4</w:t>
      </w:r>
    </w:p>
    <w:p>
      <w:pPr>
        <w:pStyle w:val="DefinedTerms"/>
      </w:pPr>
      <w:r>
        <w:t>March CPI</w:t>
      </w:r>
      <w:r>
        <w:tab/>
        <w:t>5A(2)</w:t>
      </w:r>
    </w:p>
    <w:p>
      <w:pPr>
        <w:pStyle w:val="DefinedTerms"/>
      </w:pPr>
      <w:r>
        <w:t>medical assessment panel</w:t>
      </w:r>
      <w:r>
        <w:tab/>
        <w:t>5(1)</w:t>
      </w:r>
    </w:p>
    <w:p>
      <w:pPr>
        <w:pStyle w:val="DefinedTerms"/>
      </w:pPr>
      <w:r>
        <w:t>medical expenses</w:t>
      </w:r>
      <w:r>
        <w:tab/>
        <w:t>Sch. 1A cl. 9(1)</w:t>
      </w:r>
    </w:p>
    <w:p>
      <w:pPr>
        <w:pStyle w:val="DefinedTerms"/>
      </w:pPr>
      <w:r>
        <w:t>medical practitioner</w:t>
      </w:r>
      <w:r>
        <w:tab/>
        <w:t>5(1)</w:t>
      </w:r>
    </w:p>
    <w:p>
      <w:pPr>
        <w:pStyle w:val="DefinedTerms"/>
      </w:pPr>
      <w:r>
        <w:t>medical report</w:t>
      </w:r>
      <w:r>
        <w:tab/>
        <w:t>5(1)</w:t>
      </w:r>
    </w:p>
    <w:p>
      <w:pPr>
        <w:pStyle w:val="DefinedTerms"/>
      </w:pPr>
      <w:r>
        <w:t>mesothelioma</w:t>
      </w:r>
      <w:r>
        <w:tab/>
        <w:t>5(1)</w:t>
      </w:r>
    </w:p>
    <w:p>
      <w:pPr>
        <w:pStyle w:val="DefinedTerms"/>
      </w:pPr>
      <w:r>
        <w:t>mine</w:t>
      </w:r>
      <w:r>
        <w:tab/>
        <w:t>5(1)</w:t>
      </w:r>
    </w:p>
    <w:p>
      <w:pPr>
        <w:pStyle w:val="DefinedTerms"/>
      </w:pPr>
      <w:r>
        <w:t>minimum award rate</w:t>
      </w:r>
      <w:r>
        <w:tab/>
        <w:t>5(1)</w:t>
      </w:r>
    </w:p>
    <w:p>
      <w:pPr>
        <w:pStyle w:val="DefinedTerms"/>
      </w:pPr>
      <w:r>
        <w:t>mining operation</w:t>
      </w:r>
      <w:r>
        <w:tab/>
        <w:t>5(1)</w:t>
      </w:r>
    </w:p>
    <w:p>
      <w:pPr>
        <w:pStyle w:val="DefinedTerms"/>
      </w:pPr>
      <w:r>
        <w:t>new Board</w:t>
      </w:r>
      <w:r>
        <w:tab/>
        <w:t>316</w:t>
      </w:r>
    </w:p>
    <w:p>
      <w:pPr>
        <w:pStyle w:val="DefinedTerms"/>
      </w:pPr>
      <w:r>
        <w:t xml:space="preserve">new information </w:t>
      </w:r>
      <w:r>
        <w:tab/>
        <w:t>217A(1)</w:t>
      </w:r>
    </w:p>
    <w:p>
      <w:pPr>
        <w:pStyle w:val="DefinedTerms"/>
      </w:pPr>
      <w:r>
        <w:t>new Supplementary Board</w:t>
      </w:r>
      <w:r>
        <w:tab/>
        <w:t>316</w:t>
      </w:r>
    </w:p>
    <w:p>
      <w:pPr>
        <w:pStyle w:val="DefinedTerms"/>
      </w:pPr>
      <w:r>
        <w:t>noise induced hearing loss</w:t>
      </w:r>
      <w:r>
        <w:tab/>
        <w:t>5(1)</w:t>
      </w:r>
    </w:p>
    <w:p>
      <w:pPr>
        <w:pStyle w:val="DefinedTerms"/>
      </w:pPr>
      <w:r>
        <w:t>non-FES employment</w:t>
      </w:r>
      <w:r>
        <w:tab/>
        <w:t>49A</w:t>
      </w:r>
    </w:p>
    <w:p>
      <w:pPr>
        <w:pStyle w:val="DefinedTerms"/>
      </w:pPr>
      <w:r>
        <w:t>normal evaluation</w:t>
      </w:r>
      <w:r>
        <w:tab/>
        <w:t>93N(6), 146C(3)</w:t>
      </w:r>
    </w:p>
    <w:p>
      <w:pPr>
        <w:pStyle w:val="DefinedTerms"/>
      </w:pPr>
      <w:r>
        <w:t>notifiable person</w:t>
      </w:r>
      <w:r>
        <w:tab/>
        <w:t>182(2)</w:t>
      </w:r>
    </w:p>
    <w:p>
      <w:pPr>
        <w:pStyle w:val="DefinedTerms"/>
      </w:pPr>
      <w:r>
        <w:t>notification day</w:t>
      </w:r>
      <w:r>
        <w:tab/>
        <w:t>93EC</w:t>
      </w:r>
    </w:p>
    <w:p>
      <w:pPr>
        <w:pStyle w:val="DefinedTerms"/>
      </w:pPr>
      <w:r>
        <w:t>order</w:t>
      </w:r>
      <w:r>
        <w:tab/>
        <w:t>72L(1)</w:t>
      </w:r>
    </w:p>
    <w:p>
      <w:pPr>
        <w:pStyle w:val="DefinedTerms"/>
      </w:pPr>
      <w:r>
        <w:t>overtime</w:t>
      </w:r>
      <w:r>
        <w:tab/>
        <w:t>Sch. 1 cl. 11(2)</w:t>
      </w:r>
    </w:p>
    <w:p>
      <w:pPr>
        <w:pStyle w:val="DefinedTerms"/>
      </w:pPr>
      <w:r>
        <w:t>parliamentary purposes</w:t>
      </w:r>
      <w:r>
        <w:tab/>
        <w:t>111A(4)</w:t>
      </w:r>
    </w:p>
    <w:p>
      <w:pPr>
        <w:pStyle w:val="DefinedTerms"/>
      </w:pPr>
      <w:r>
        <w:t>participate</w:t>
      </w:r>
      <w:r>
        <w:tab/>
        <w:t>5(1)</w:t>
      </w:r>
    </w:p>
    <w:p>
      <w:pPr>
        <w:pStyle w:val="DefinedTerms"/>
      </w:pPr>
      <w:r>
        <w:t>partner</w:t>
      </w:r>
      <w:r>
        <w:tab/>
        <w:t>Sch. 1A cl. 2(1)</w:t>
      </w:r>
    </w:p>
    <w:p>
      <w:pPr>
        <w:pStyle w:val="DefinedTerms"/>
      </w:pPr>
      <w:r>
        <w:t>party</w:t>
      </w:r>
      <w:r>
        <w:tab/>
        <w:t>5(1)</w:t>
      </w:r>
    </w:p>
    <w:p>
      <w:pPr>
        <w:pStyle w:val="DefinedTerms"/>
      </w:pPr>
      <w:r>
        <w:t>pending arbitration proceeding</w:t>
      </w:r>
      <w:r>
        <w:tab/>
        <w:t>Sch. 8 cl. 1</w:t>
      </w:r>
    </w:p>
    <w:p>
      <w:pPr>
        <w:pStyle w:val="DefinedTerms"/>
      </w:pPr>
      <w:r>
        <w:t>pending Court of Appeal matter</w:t>
      </w:r>
      <w:r>
        <w:tab/>
        <w:t>Sch. 8 cl. 1</w:t>
      </w:r>
    </w:p>
    <w:p>
      <w:pPr>
        <w:pStyle w:val="DefinedTerms"/>
      </w:pPr>
      <w:r>
        <w:t>pending Part XII application</w:t>
      </w:r>
      <w:r>
        <w:tab/>
        <w:t>Sch. 8 cl. 1</w:t>
      </w:r>
    </w:p>
    <w:p>
      <w:pPr>
        <w:pStyle w:val="DefinedTerms"/>
      </w:pPr>
      <w:r>
        <w:t>pending Part XIII matter</w:t>
      </w:r>
      <w:r>
        <w:tab/>
        <w:t>Sch. 8 cl. 1</w:t>
      </w:r>
    </w:p>
    <w:p>
      <w:pPr>
        <w:pStyle w:val="DefinedTerms"/>
      </w:pPr>
      <w:r>
        <w:lastRenderedPageBreak/>
        <w:t>personal injury by accident</w:t>
      </w:r>
      <w:r>
        <w:tab/>
        <w:t>5(3)</w:t>
      </w:r>
    </w:p>
    <w:p>
      <w:pPr>
        <w:pStyle w:val="DefinedTerms"/>
      </w:pPr>
      <w:r>
        <w:t>Petroleum Act</w:t>
      </w:r>
      <w:r>
        <w:tab/>
        <w:t>Sch. 6 cl. 1</w:t>
      </w:r>
    </w:p>
    <w:p>
      <w:pPr>
        <w:pStyle w:val="DefinedTerms"/>
      </w:pPr>
      <w:r>
        <w:t>physiotherapist</w:t>
      </w:r>
      <w:r>
        <w:tab/>
        <w:t>5(1)</w:t>
      </w:r>
    </w:p>
    <w:p>
      <w:pPr>
        <w:pStyle w:val="DefinedTerms"/>
      </w:pPr>
      <w:r>
        <w:t>place of residence</w:t>
      </w:r>
      <w:r>
        <w:tab/>
        <w:t>19(3)</w:t>
      </w:r>
    </w:p>
    <w:p>
      <w:pPr>
        <w:pStyle w:val="DefinedTerms"/>
      </w:pPr>
      <w:r>
        <w:t>prescribed</w:t>
      </w:r>
      <w:r>
        <w:tab/>
        <w:t>175E</w:t>
      </w:r>
    </w:p>
    <w:p>
      <w:pPr>
        <w:pStyle w:val="DefinedTerms"/>
      </w:pPr>
      <w:r>
        <w:t>prescribed amount</w:t>
      </w:r>
      <w:r>
        <w:tab/>
        <w:t>5(1), 5A(1A), Sch. 1 cl. 18A(1d)</w:t>
      </w:r>
    </w:p>
    <w:p>
      <w:pPr>
        <w:pStyle w:val="DefinedTerms"/>
      </w:pPr>
      <w:r>
        <w:t>prescribed Commonwealth award or agreement</w:t>
      </w:r>
      <w:r>
        <w:tab/>
        <w:t>83(2A)</w:t>
      </w:r>
    </w:p>
    <w:p>
      <w:pPr>
        <w:pStyle w:val="DefinedTerms"/>
      </w:pPr>
      <w:r>
        <w:t>prescribed disease</w:t>
      </w:r>
      <w:r>
        <w:tab/>
        <w:t>49F(1)</w:t>
      </w:r>
    </w:p>
    <w:p>
      <w:pPr>
        <w:pStyle w:val="DefinedTerms"/>
      </w:pPr>
      <w:r>
        <w:t>prescribed employment</w:t>
      </w:r>
      <w:r>
        <w:tab/>
        <w:t>49F(1)</w:t>
      </w:r>
    </w:p>
    <w:p>
      <w:pPr>
        <w:pStyle w:val="DefinedTerms"/>
      </w:pPr>
      <w:r>
        <w:t>prescribed family member</w:t>
      </w:r>
      <w:r>
        <w:tab/>
        <w:t>Sch. 1A cl. 2(3)</w:t>
      </w:r>
    </w:p>
    <w:p>
      <w:pPr>
        <w:pStyle w:val="DefinedTerms"/>
      </w:pPr>
      <w:r>
        <w:t>prescribed workplace</w:t>
      </w:r>
      <w:r>
        <w:tab/>
        <w:t>Sch. 7 cl. 1</w:t>
      </w:r>
    </w:p>
    <w:p>
      <w:pPr>
        <w:pStyle w:val="DefinedTerms"/>
      </w:pPr>
      <w:r>
        <w:t>primary power</w:t>
      </w:r>
      <w:r>
        <w:tab/>
        <w:t>212</w:t>
      </w:r>
    </w:p>
    <w:p>
      <w:pPr>
        <w:pStyle w:val="DefinedTerms"/>
      </w:pPr>
      <w:r>
        <w:t>principal</w:t>
      </w:r>
      <w:r>
        <w:tab/>
        <w:t>175(1) and (6)</w:t>
      </w:r>
    </w:p>
    <w:p>
      <w:pPr>
        <w:pStyle w:val="DefinedTerms"/>
      </w:pPr>
      <w:r>
        <w:t>proclaimed date</w:t>
      </w:r>
      <w:r>
        <w:tab/>
        <w:t>4(1), 316, Sch. 5 cl. 1(1), Sch. 7 cl. 1</w:t>
      </w:r>
    </w:p>
    <w:p>
      <w:pPr>
        <w:pStyle w:val="DefinedTerms"/>
      </w:pPr>
      <w:r>
        <w:t>prohibited drug</w:t>
      </w:r>
      <w:r>
        <w:tab/>
        <w:t>31F(1), 93Q(8)</w:t>
      </w:r>
    </w:p>
    <w:p>
      <w:pPr>
        <w:pStyle w:val="DefinedTerms"/>
      </w:pPr>
      <w:r>
        <w:t>prohibited person</w:t>
      </w:r>
      <w:r>
        <w:tab/>
        <w:t>5(1), 5B(2)</w:t>
      </w:r>
    </w:p>
    <w:p>
      <w:pPr>
        <w:pStyle w:val="DefinedTerms"/>
      </w:pPr>
      <w:r>
        <w:t>qualifying period</w:t>
      </w:r>
      <w:r>
        <w:tab/>
        <w:t>49A</w:t>
      </w:r>
    </w:p>
    <w:p>
      <w:pPr>
        <w:pStyle w:val="DefinedTerms"/>
      </w:pPr>
      <w:r>
        <w:t>reasonable expenses referred to in clause 17(1)</w:t>
      </w:r>
      <w:r>
        <w:tab/>
        <w:t>Sch. 1 cl. 18A(1AA) and</w:t>
      </w:r>
      <w:r>
        <w:br/>
      </w:r>
      <w:r>
        <w:tab/>
        <w:t>18D(1A)</w:t>
      </w:r>
    </w:p>
    <w:p>
      <w:pPr>
        <w:pStyle w:val="DefinedTerms"/>
      </w:pPr>
      <w:r>
        <w:t>redemption amount</w:t>
      </w:r>
      <w:r>
        <w:tab/>
        <w:t>Sch. 5 cl. 1(1)</w:t>
      </w:r>
    </w:p>
    <w:p>
      <w:pPr>
        <w:pStyle w:val="DefinedTerms"/>
      </w:pPr>
      <w:r>
        <w:t>registered agent</w:t>
      </w:r>
      <w:r>
        <w:tab/>
        <w:t>5(1)</w:t>
      </w:r>
    </w:p>
    <w:p>
      <w:pPr>
        <w:pStyle w:val="DefinedTerms"/>
      </w:pPr>
      <w:r>
        <w:t>registered club</w:t>
      </w:r>
      <w:r>
        <w:tab/>
        <w:t>11A(1)</w:t>
      </w:r>
    </w:p>
    <w:p>
      <w:pPr>
        <w:pStyle w:val="DefinedTerms"/>
      </w:pPr>
      <w:r>
        <w:t>Registrar</w:t>
      </w:r>
      <w:r>
        <w:tab/>
        <w:t>5(1)</w:t>
      </w:r>
    </w:p>
    <w:p>
      <w:pPr>
        <w:pStyle w:val="DefinedTerms"/>
      </w:pPr>
      <w:r>
        <w:t>relevant authority</w:t>
      </w:r>
      <w:r>
        <w:tab/>
        <w:t>144</w:t>
      </w:r>
    </w:p>
    <w:p>
      <w:pPr>
        <w:pStyle w:val="DefinedTerms"/>
      </w:pPr>
      <w:r>
        <w:t>relevant Commonwealth award</w:t>
      </w:r>
      <w:r>
        <w:tab/>
        <w:t>Sch. 1 cl. 16A(1)</w:t>
      </w:r>
    </w:p>
    <w:p>
      <w:pPr>
        <w:pStyle w:val="DefinedTerms"/>
      </w:pPr>
      <w:r>
        <w:t>relevant day</w:t>
      </w:r>
      <w:r>
        <w:tab/>
        <w:t>11A(1), Sch. 5 cl. 3(8)</w:t>
      </w:r>
    </w:p>
    <w:p>
      <w:pPr>
        <w:pStyle w:val="DefinedTerms"/>
      </w:pPr>
      <w:r>
        <w:t>relevant document</w:t>
      </w:r>
      <w:r>
        <w:tab/>
        <w:t>180(1)</w:t>
      </w:r>
    </w:p>
    <w:p>
      <w:pPr>
        <w:pStyle w:val="DefinedTerms"/>
      </w:pPr>
      <w:r>
        <w:t>relevant employment</w:t>
      </w:r>
      <w:r>
        <w:tab/>
        <w:t>5(1)</w:t>
      </w:r>
    </w:p>
    <w:p>
      <w:pPr>
        <w:pStyle w:val="DefinedTerms"/>
      </w:pPr>
      <w:r>
        <w:t>relevant level</w:t>
      </w:r>
      <w:r>
        <w:tab/>
        <w:t>93D(1)</w:t>
      </w:r>
    </w:p>
    <w:p>
      <w:pPr>
        <w:pStyle w:val="DefinedTerms"/>
      </w:pPr>
      <w:r>
        <w:t>relevant period</w:t>
      </w:r>
      <w:r>
        <w:tab/>
        <w:t>93E(12)</w:t>
      </w:r>
    </w:p>
    <w:p>
      <w:pPr>
        <w:pStyle w:val="DefinedTerms"/>
      </w:pPr>
      <w:r>
        <w:t>remuneration</w:t>
      </w:r>
      <w:r>
        <w:tab/>
        <w:t>159</w:t>
      </w:r>
    </w:p>
    <w:p>
      <w:pPr>
        <w:pStyle w:val="DefinedTerms"/>
      </w:pPr>
      <w:r>
        <w:t>repealed Act</w:t>
      </w:r>
      <w:r>
        <w:tab/>
        <w:t>5(1)</w:t>
      </w:r>
    </w:p>
    <w:p>
      <w:pPr>
        <w:pStyle w:val="DefinedTerms"/>
      </w:pPr>
      <w:r>
        <w:t>representative</w:t>
      </w:r>
      <w:r>
        <w:tab/>
        <w:t>265(1)</w:t>
      </w:r>
    </w:p>
    <w:p>
      <w:pPr>
        <w:pStyle w:val="DefinedTerms"/>
      </w:pPr>
      <w:r>
        <w:t>response</w:t>
      </w:r>
      <w:r>
        <w:tab/>
        <w:t>72H(1)</w:t>
      </w:r>
    </w:p>
    <w:p>
      <w:pPr>
        <w:pStyle w:val="DefinedTerms"/>
      </w:pPr>
      <w:r>
        <w:t>response period</w:t>
      </w:r>
      <w:r>
        <w:tab/>
        <w:t>72H(1)</w:t>
      </w:r>
    </w:p>
    <w:p>
      <w:pPr>
        <w:pStyle w:val="DefinedTerms"/>
      </w:pPr>
      <w:r>
        <w:t>responsible officer</w:t>
      </w:r>
      <w:r>
        <w:tab/>
        <w:t>170(6)</w:t>
      </w:r>
    </w:p>
    <w:p>
      <w:pPr>
        <w:pStyle w:val="DefinedTerms"/>
      </w:pPr>
      <w:r>
        <w:t>retraining criteria</w:t>
      </w:r>
      <w:r>
        <w:tab/>
        <w:t>158(1)</w:t>
      </w:r>
    </w:p>
    <w:p>
      <w:pPr>
        <w:pStyle w:val="DefinedTerms"/>
      </w:pPr>
      <w:r>
        <w:t>return to work</w:t>
      </w:r>
      <w:r>
        <w:tab/>
        <w:t>5(1)</w:t>
      </w:r>
    </w:p>
    <w:p>
      <w:pPr>
        <w:pStyle w:val="DefinedTerms"/>
      </w:pPr>
      <w:r>
        <w:t>return to work program</w:t>
      </w:r>
      <w:r>
        <w:tab/>
        <w:t>155</w:t>
      </w:r>
    </w:p>
    <w:p>
      <w:pPr>
        <w:pStyle w:val="DefinedTerms"/>
      </w:pPr>
      <w:r>
        <w:t>rule</w:t>
      </w:r>
      <w:r>
        <w:tab/>
        <w:t>293(1)</w:t>
      </w:r>
    </w:p>
    <w:p>
      <w:pPr>
        <w:pStyle w:val="DefinedTerms"/>
      </w:pPr>
      <w:r>
        <w:t>rules</w:t>
      </w:r>
      <w:r>
        <w:tab/>
        <w:t>293(1)</w:t>
      </w:r>
    </w:p>
    <w:p>
      <w:pPr>
        <w:pStyle w:val="DefinedTerms"/>
      </w:pPr>
      <w:r>
        <w:t>Seas and Submerged Lands Act</w:t>
      </w:r>
      <w:r>
        <w:tab/>
        <w:t>Sch. 6 cl. 1</w:t>
      </w:r>
    </w:p>
    <w:p>
      <w:pPr>
        <w:pStyle w:val="DefinedTerms"/>
      </w:pPr>
      <w:r>
        <w:t>secondary condition</w:t>
      </w:r>
      <w:r>
        <w:tab/>
        <w:t>146</w:t>
      </w:r>
    </w:p>
    <w:p>
      <w:pPr>
        <w:pStyle w:val="DefinedTerms"/>
      </w:pPr>
      <w:r>
        <w:t>self-insurer</w:t>
      </w:r>
      <w:r>
        <w:tab/>
        <w:t>5(1)</w:t>
      </w:r>
    </w:p>
    <w:p>
      <w:pPr>
        <w:pStyle w:val="DefinedTerms"/>
      </w:pPr>
      <w:r>
        <w:t>settlement</w:t>
      </w:r>
      <w:r>
        <w:tab/>
        <w:t>72K(1)</w:t>
      </w:r>
    </w:p>
    <w:p>
      <w:pPr>
        <w:pStyle w:val="DefinedTerms"/>
      </w:pPr>
      <w:r>
        <w:lastRenderedPageBreak/>
        <w:t>ship</w:t>
      </w:r>
      <w:r>
        <w:tab/>
        <w:t>5(1)</w:t>
      </w:r>
    </w:p>
    <w:p>
      <w:pPr>
        <w:pStyle w:val="DefinedTerms"/>
      </w:pPr>
      <w:r>
        <w:t>special evaluation</w:t>
      </w:r>
      <w:r>
        <w:tab/>
        <w:t>146C(4), 146E(2)</w:t>
      </w:r>
    </w:p>
    <w:p>
      <w:pPr>
        <w:pStyle w:val="DefinedTerms"/>
      </w:pPr>
      <w:r>
        <w:t>specialised retraining assessment panel</w:t>
      </w:r>
      <w:r>
        <w:tab/>
        <w:t>5(1)</w:t>
      </w:r>
    </w:p>
    <w:p>
      <w:pPr>
        <w:pStyle w:val="DefinedTerms"/>
      </w:pPr>
      <w:r>
        <w:t>specialised retraining program</w:t>
      </w:r>
      <w:r>
        <w:tab/>
        <w:t>5(1)</w:t>
      </w:r>
    </w:p>
    <w:p>
      <w:pPr>
        <w:pStyle w:val="DefinedTerms"/>
      </w:pPr>
      <w:r>
        <w:t>specialist</w:t>
      </w:r>
      <w:r>
        <w:tab/>
        <w:t>5(1)</w:t>
      </w:r>
    </w:p>
    <w:p>
      <w:pPr>
        <w:pStyle w:val="DefinedTerms"/>
      </w:pPr>
      <w:r>
        <w:t>specified</w:t>
      </w:r>
      <w:r>
        <w:tab/>
        <w:t>154A(2)</w:t>
      </w:r>
    </w:p>
    <w:p>
      <w:pPr>
        <w:pStyle w:val="DefinedTerms"/>
      </w:pPr>
      <w:r>
        <w:t>specified disease</w:t>
      </w:r>
      <w:r>
        <w:tab/>
        <w:t>49A</w:t>
      </w:r>
    </w:p>
    <w:p>
      <w:pPr>
        <w:pStyle w:val="DefinedTerms"/>
      </w:pPr>
      <w:r>
        <w:t>spouse</w:t>
      </w:r>
      <w:r>
        <w:tab/>
        <w:t>Sch. 5 cl. 1(1)</w:t>
      </w:r>
    </w:p>
    <w:p>
      <w:pPr>
        <w:pStyle w:val="DefinedTerms"/>
      </w:pPr>
      <w:r>
        <w:t>State</w:t>
      </w:r>
      <w:r>
        <w:tab/>
        <w:t>5(1), 20(1)</w:t>
      </w:r>
    </w:p>
    <w:p>
      <w:pPr>
        <w:pStyle w:val="DefinedTerms"/>
      </w:pPr>
      <w:r>
        <w:t>State’s legislation about damages for a work related injury</w:t>
      </w:r>
      <w:r>
        <w:tab/>
        <w:t>93AE</w:t>
      </w:r>
    </w:p>
    <w:p>
      <w:pPr>
        <w:pStyle w:val="DefinedTerms"/>
      </w:pPr>
      <w:r>
        <w:t>statutory expenses</w:t>
      </w:r>
      <w:r>
        <w:tab/>
        <w:t>182K(4)</w:t>
      </w:r>
    </w:p>
    <w:p>
      <w:pPr>
        <w:pStyle w:val="DefinedTerms"/>
      </w:pPr>
      <w:r>
        <w:t>subsequent proceeding</w:t>
      </w:r>
      <w:r>
        <w:tab/>
        <w:t>182ZM(1)</w:t>
      </w:r>
    </w:p>
    <w:p>
      <w:pPr>
        <w:pStyle w:val="DefinedTerms"/>
      </w:pPr>
      <w:r>
        <w:t>substantial interruption</w:t>
      </w:r>
      <w:r>
        <w:tab/>
        <w:t>19(3)</w:t>
      </w:r>
    </w:p>
    <w:p>
      <w:pPr>
        <w:pStyle w:val="DefinedTerms"/>
      </w:pPr>
      <w:r>
        <w:t>substantive law</w:t>
      </w:r>
      <w:r>
        <w:tab/>
        <w:t>93AE</w:t>
      </w:r>
    </w:p>
    <w:p>
      <w:pPr>
        <w:pStyle w:val="DefinedTerms"/>
      </w:pPr>
      <w:r>
        <w:t>supplementary amount</w:t>
      </w:r>
      <w:r>
        <w:tab/>
        <w:t>Sch. 5 cl. 1(1)</w:t>
      </w:r>
    </w:p>
    <w:p>
      <w:pPr>
        <w:pStyle w:val="DefinedTerms"/>
      </w:pPr>
      <w:r>
        <w:t>Supreme Court roll</w:t>
      </w:r>
      <w:r>
        <w:tab/>
        <w:t>5B(1)</w:t>
      </w:r>
    </w:p>
    <w:p>
      <w:pPr>
        <w:pStyle w:val="DefinedTerms"/>
      </w:pPr>
      <w:r>
        <w:t>termination day</w:t>
      </w:r>
      <w:r>
        <w:tab/>
        <w:t>93E(1)</w:t>
      </w:r>
    </w:p>
    <w:p>
      <w:pPr>
        <w:pStyle w:val="DefinedTerms"/>
      </w:pPr>
      <w:r>
        <w:t>territorial sea</w:t>
      </w:r>
      <w:r>
        <w:tab/>
        <w:t>Sch. 6 cl. 1</w:t>
      </w:r>
    </w:p>
    <w:p>
      <w:pPr>
        <w:pStyle w:val="DefinedTerms"/>
      </w:pPr>
      <w:r>
        <w:t>treating medical practitioner</w:t>
      </w:r>
      <w:r>
        <w:tab/>
        <w:t>155</w:t>
      </w:r>
    </w:p>
    <w:p>
      <w:pPr>
        <w:pStyle w:val="DefinedTerms"/>
      </w:pPr>
      <w:r>
        <w:t>tributer</w:t>
      </w:r>
      <w:r>
        <w:tab/>
        <w:t>5(1)</w:t>
      </w:r>
    </w:p>
    <w:p>
      <w:pPr>
        <w:pStyle w:val="DefinedTerms"/>
      </w:pPr>
      <w:r>
        <w:t>Trust Account</w:t>
      </w:r>
      <w:r>
        <w:tab/>
        <w:t>5(1)</w:t>
      </w:r>
    </w:p>
    <w:p>
      <w:pPr>
        <w:pStyle w:val="DefinedTerms"/>
      </w:pPr>
      <w:r>
        <w:t>trust moneys</w:t>
      </w:r>
      <w:r>
        <w:tab/>
        <w:t>72K(1)</w:t>
      </w:r>
    </w:p>
    <w:p>
      <w:pPr>
        <w:pStyle w:val="DefinedTerms"/>
      </w:pPr>
      <w:r>
        <w:t>vocational rehabilitation</w:t>
      </w:r>
      <w:r>
        <w:tab/>
        <w:t>5(1)</w:t>
      </w:r>
    </w:p>
    <w:p>
      <w:pPr>
        <w:pStyle w:val="DefinedTerms"/>
      </w:pPr>
      <w:r>
        <w:t>W</w:t>
      </w:r>
      <w:r>
        <w:tab/>
        <w:t>175AA(1)</w:t>
      </w:r>
    </w:p>
    <w:p>
      <w:pPr>
        <w:pStyle w:val="DefinedTerms"/>
      </w:pPr>
      <w:r>
        <w:t>weekly earnings</w:t>
      </w:r>
      <w:r>
        <w:tab/>
        <w:t>Sch. 1 cl. 11(1) and 14</w:t>
      </w:r>
    </w:p>
    <w:p>
      <w:pPr>
        <w:pStyle w:val="DefinedTerms"/>
      </w:pPr>
      <w:r>
        <w:t>weekly payments</w:t>
      </w:r>
      <w:r>
        <w:tab/>
        <w:t>Sch. 5 cl. 3(2)</w:t>
      </w:r>
    </w:p>
    <w:p>
      <w:pPr>
        <w:pStyle w:val="DefinedTerms"/>
      </w:pPr>
      <w:r>
        <w:t>weekly payments of compensation</w:t>
      </w:r>
      <w:r>
        <w:tab/>
        <w:t>5(1)</w:t>
      </w:r>
    </w:p>
    <w:p>
      <w:pPr>
        <w:pStyle w:val="DefinedTerms"/>
      </w:pPr>
      <w:r>
        <w:t>WorkCover Guides</w:t>
      </w:r>
      <w:r>
        <w:tab/>
        <w:t>5(1)</w:t>
      </w:r>
    </w:p>
    <w:p>
      <w:pPr>
        <w:pStyle w:val="DefinedTerms"/>
      </w:pPr>
      <w:r>
        <w:t>WorkCover WA</w:t>
      </w:r>
      <w:r>
        <w:tab/>
        <w:t>5(1), 314(2)</w:t>
      </w:r>
    </w:p>
    <w:p>
      <w:pPr>
        <w:pStyle w:val="DefinedTerms"/>
      </w:pPr>
      <w:r>
        <w:t>worker</w:t>
      </w:r>
      <w:r>
        <w:tab/>
        <w:t>5(1), 8, 9, 10, 11A(2), 93AC, Sch. 1A cl. 1</w:t>
      </w:r>
    </w:p>
    <w:p>
      <w:pPr>
        <w:pStyle w:val="DefinedTerms"/>
      </w:pPr>
      <w:r>
        <w:t>workers’ compensation cover</w:t>
      </w:r>
      <w:r>
        <w:tab/>
        <w:t>170(7)</w:t>
      </w:r>
    </w:p>
    <w:p>
      <w:pPr>
        <w:pStyle w:val="DefinedTerms"/>
      </w:pPr>
      <w:r>
        <w:t>working director</w:t>
      </w:r>
      <w:r>
        <w:tab/>
        <w:t>10A(1)</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7</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7" w:type="dxa"/>
      <w:jc w:val="center"/>
      <w:tblLayout w:type="fixed"/>
      <w:tblCellMar>
        <w:left w:w="72" w:type="dxa"/>
        <w:right w:w="72" w:type="dxa"/>
      </w:tblCellMar>
      <w:tblLook w:val="0000" w:firstRow="0" w:lastRow="0" w:firstColumn="0" w:lastColumn="0" w:noHBand="0" w:noVBand="0"/>
    </w:tblPr>
    <w:tblGrid>
      <w:gridCol w:w="5715"/>
      <w:gridCol w:w="1552"/>
    </w:tblGrid>
    <w:tr>
      <w:trPr>
        <w:cantSplit/>
        <w:jc w:val="center"/>
      </w:trPr>
      <w:tc>
        <w:tcPr>
          <w:tcW w:w="7267"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552"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2"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styleref CharSDivNo \* charformat</w:instrText>
          </w:r>
          <w:r>
            <w:rPr>
              <w:b/>
            </w:rPr>
            <w:fldChar w:fldCharType="end"/>
          </w:r>
        </w:p>
      </w:tc>
    </w:tr>
    <w:tr>
      <w:trPr>
        <w:jc w:val="center"/>
      </w:trPr>
      <w:tc>
        <w:tcPr>
          <w:tcW w:w="5715" w:type="dxa"/>
        </w:tcPr>
        <w:p>
          <w:pPr>
            <w:pStyle w:val="Header"/>
            <w:spacing w:before="40"/>
            <w:jc w:val="right"/>
          </w:pPr>
        </w:p>
      </w:tc>
      <w:tc>
        <w:tcPr>
          <w:tcW w:w="1552"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bookmarkStart w:id="1054" w:name="Schedule"/>
    <w:bookmarkEnd w:id="105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Compensation entitlements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19</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7" w:type="dxa"/>
      <w:jc w:val="center"/>
      <w:tblLayout w:type="fixed"/>
      <w:tblCellMar>
        <w:left w:w="72" w:type="dxa"/>
        <w:right w:w="72" w:type="dxa"/>
      </w:tblCellMar>
      <w:tblLook w:val="0000" w:firstRow="0" w:lastRow="0" w:firstColumn="0" w:lastColumn="0" w:noHBand="0" w:noVBand="0"/>
    </w:tblPr>
    <w:tblGrid>
      <w:gridCol w:w="5715"/>
      <w:gridCol w:w="1552"/>
    </w:tblGrid>
    <w:tr>
      <w:trPr>
        <w:cantSplit/>
        <w:jc w:val="center"/>
      </w:trPr>
      <w:tc>
        <w:tcPr>
          <w:tcW w:w="7267"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Compensation entitlements</w:t>
          </w:r>
          <w:r>
            <w:fldChar w:fldCharType="end"/>
          </w:r>
        </w:p>
      </w:tc>
      <w:tc>
        <w:tcPr>
          <w:tcW w:w="1552"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2"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p>
      </w:tc>
    </w:tr>
    <w:tr>
      <w:trPr>
        <w:jc w:val="center"/>
      </w:trPr>
      <w:tc>
        <w:tcPr>
          <w:tcW w:w="5715" w:type="dxa"/>
        </w:tcPr>
        <w:p>
          <w:pPr>
            <w:pStyle w:val="Header"/>
            <w:spacing w:before="40"/>
            <w:jc w:val="right"/>
          </w:pPr>
        </w:p>
      </w:tc>
      <w:tc>
        <w:tcPr>
          <w:tcW w:w="1552"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19</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styleref CharSchText</w:instrText>
          </w:r>
          <w:r>
            <w:fldChar w:fldCharType="separate"/>
          </w:r>
          <w:r>
            <w:t>Compensation entitlements when worker has died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Entitlements if the worker’s death does not result from the injury</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96"/>
    </w:tblGrid>
    <w:tr>
      <w:trPr>
        <w:cantSplit/>
        <w:jc w:val="center"/>
      </w:trPr>
      <w:tc>
        <w:tcPr>
          <w:tcW w:w="7211"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Compensation entitlements when worker has died</w:t>
          </w:r>
          <w:r>
            <w:fldChar w:fldCharType="end"/>
          </w:r>
        </w:p>
      </w:tc>
      <w:tc>
        <w:tcPr>
          <w:tcW w:w="1496"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Entitlements if the worker’s death does not result from the injury</w:t>
          </w:r>
          <w:r>
            <w:fldChar w:fldCharType="end"/>
          </w:r>
        </w:p>
      </w:tc>
      <w:tc>
        <w:tcPr>
          <w:tcW w:w="1496"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496" w:type="dxa"/>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Table of compensation payable</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11</w:t>
          </w:r>
          <w:r>
            <w:rPr>
              <w:b/>
            </w:rPr>
            <w:fldChar w:fldCharType="end"/>
          </w: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160" w:type="dxa"/>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Table of compensation payable</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r>
            <w:rPr>
              <w:b/>
            </w:rPr>
            <w:t xml:space="preserve"> </w:t>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11</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238" w:name="Compilation"/>
    <w:bookmarkEnd w:id="1238"/>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240" w:name="DefinedTerms"/>
    <w:bookmarkEnd w:id="1240"/>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41" w:name="Coversheet"/>
    <w:bookmarkEnd w:id="124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96B8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C2746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11668F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A5A0AE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440597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2C7AC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7293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163E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EE299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30233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676E690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1"/>
  </w:num>
  <w:num w:numId="13">
    <w:abstractNumId w:val="16"/>
  </w:num>
  <w:num w:numId="14">
    <w:abstractNumId w:val="18"/>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6"/>
  </w:num>
  <w:num w:numId="27">
    <w:abstractNumId w:val="11"/>
  </w:num>
  <w:num w:numId="28">
    <w:abstractNumId w:val="12"/>
  </w:num>
  <w:num w:numId="29">
    <w:abstractNumId w:val="20"/>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12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7153515"/>
    <w:docVar w:name="WAFER_20140114105013" w:val="RemoveTocBookmarks,RemoveUnusedBookmarks,RemoveLanguageTags,UsedStyles,ResetPageSize,UpdateArrangement"/>
    <w:docVar w:name="WAFER_20140114105013_GUID" w:val="c0e0c5df-e5a9-4c5d-a384-867e4a0c0171"/>
    <w:docVar w:name="WAFER_20140114110434" w:val="RemoveTocBookmarks,RunningHeaders"/>
    <w:docVar w:name="WAFER_20140114110434_GUID" w:val="0a7e5897-8c57-4aac-bbf6-74ec2a92ec87"/>
    <w:docVar w:name="WAFER_20140530161034" w:val="RemoveTocBookmarks,RemoveUnusedBookmarks,RemoveLanguageTags,UsedStyles,ResetPageSize,UpdateArrangement"/>
    <w:docVar w:name="WAFER_20140530161034_GUID" w:val="eec5bfb2-2245-455f-83b9-f76202932079"/>
    <w:docVar w:name="WAFER_20140530161056" w:val="RemoveTocBookmarks,RunningHeaders"/>
    <w:docVar w:name="WAFER_20140530161056_GUID" w:val="d0a58b23-2149-4830-8f91-867e6adab0fe"/>
    <w:docVar w:name="WAFER_20140704134052" w:val="RemoveTocBookmarks,RunningHeaders"/>
    <w:docVar w:name="WAFER_20140704134052_GUID" w:val="0a145869-89f5-4a65-9dd6-1020b82b8a9e"/>
    <w:docVar w:name="WAFER_20150206152207" w:val="RemoveTocBookmarks,RemoveUnusedBookmarks,RemoveLanguageTags,UsedStyles,RemoveTrackChanges"/>
    <w:docVar w:name="WAFER_20150206152207_GUID" w:val="4f904ff9-abd4-49c0-ac1e-87753edf3c2f"/>
    <w:docVar w:name="WAFER_20150206152226" w:val="RemoveTocBookmarks,RemoveLanguageTags,RemoveTrackChanges,RunningHeaders"/>
    <w:docVar w:name="WAFER_20150206152226_GUID" w:val="0710b712-59be-4d4d-9159-cde8019b7eae"/>
    <w:docVar w:name="WAFER_20150219151111" w:val="RemoveTocBookmarks,RemoveLanguageTags,RemoveTrackChanges,RunningHeaders"/>
    <w:docVar w:name="WAFER_20150219151111_GUID" w:val="72cbc590-baf1-4703-b1a1-c7f9ccf5fee6"/>
    <w:docVar w:name="WAFER_20150720145308" w:val="ResetPageSize,UpdateArrangement,UpdateNTable"/>
    <w:docVar w:name="WAFER_20150720145308_GUID" w:val="b110411d-99ec-46bb-9a8a-c73cbb74ce8c"/>
    <w:docVar w:name="WAFER_20151124113345" w:val="UpdateStyles"/>
    <w:docVar w:name="WAFER_20151124113345_GUID" w:val="90fec7f0-d5cc-4ed3-9258-75ed18a6ae77"/>
    <w:docVar w:name="WAFER_20151124124525" w:val="UsedStyles"/>
    <w:docVar w:name="WAFER_20151124124525_GUID" w:val="322a1f1c-5152-4e9a-b2d6-03d7320a7129"/>
    <w:docVar w:name="WAFER_20161129151446" w:val="RemoveTocBookmarks,UpdateStyles,ResetPageSize"/>
    <w:docVar w:name="WAFER_20161129151446_GUID" w:val="8902b61c-e5e7-48df-b760-a70de4c6c1b8"/>
    <w:docVar w:name="WAFER_20170119134615" w:val="RemoveTocBookmarks,RemoveUnusedBookmarks,RemoveLanguageTags,UsedStyles,ResetPageSize"/>
    <w:docVar w:name="WAFER_20170119134615_GUID" w:val="1108c343-3e27-48e0-8bba-45a7f4f72b8f"/>
    <w:docVar w:name="WAFER_20170815091216" w:val="RemoveTocBookmarks,RemoveUnusedBookmarks,RemoveLanguageTags,UsedStyles,ResetPageSize,RemoveCustomizations"/>
    <w:docVar w:name="WAFER_20170815091216_GUID" w:val="7c0189e4-cea3-455f-9711-4196cc34833c"/>
    <w:docVar w:name="WAFER_20171012113954" w:val="RemoveTocBookmarks,RemoveUnusedBookmarks,RemoveLanguageTags,UsedStyles,RemoveTrackChanges"/>
    <w:docVar w:name="WAFER_20171012113954_GUID" w:val="1992767f-72b6-4f86-8162-6c87fe79a3b1"/>
    <w:docVar w:name="WAFER_20171012114016" w:val="RemoveTocBookmarks,RemoveLanguageTags,RemoveTrackChanges,RunningHeaders"/>
    <w:docVar w:name="WAFER_20171012114016_GUID" w:val="ef68b82f-9caa-447d-9cf3-8ed86e32d247"/>
    <w:docVar w:name="WAFER_20180621113218" w:val="RemoveTocBookmarks,RemoveUnusedBookmarks,RemoveLanguageTags,UsedStyles,ResetPageSize"/>
    <w:docVar w:name="WAFER_20180621113218_GUID" w:val="bcd6f0c3-51eb-4df4-929c-5106279be0de"/>
    <w:docVar w:name="WAFER_20180628151036" w:val="RemoveTocBookmarks,RemoveUnusedBookmarks,RemoveLanguageTags,UsedStyles,ResetPageSize"/>
    <w:docVar w:name="WAFER_20180628151036_GUID" w:val="a5f29460-1c03-4632-b195-f599462b093d"/>
    <w:docVar w:name="WAFER_202002120958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5825_GUID" w:val="49c68bf6-8c89-4a78-9291-9762aca782a8"/>
    <w:docVar w:name="WAFER_202010060852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06085210_GUID" w:val="e18d4a31-5e3e-4b20-b723-a8e408fdd845"/>
    <w:docVar w:name="WAFER_202011091533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9153353_GUID" w:val="7a5af23c-0fa7-43f9-bd21-6641843f7b74"/>
    <w:docVar w:name="WAFER_202203041414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41439_GUID" w:val="17904cdc-fe6f-47d0-9274-1c756211c384"/>
    <w:docVar w:name="WAFER_2022031816092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60928_GUID" w:val="c957a0e6-d020-41fe-9f80-8775b200d7ad"/>
    <w:docVar w:name="WAFER_202204071535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7153515_GUID" w:val="124aaa79-3872-44c2-a2a2-bc985dc57d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993"/>
    <o:shapelayout v:ext="edit">
      <o:idmap v:ext="edit" data="1"/>
    </o:shapelayout>
  </w:shapeDefaults>
  <w:decimalSymbol w:val="."/>
  <w:listSeparator w:val=","/>
  <w15:docId w15:val="{E04CDC00-6879-44CF-ABC3-CF5C82898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Heading5Char">
    <w:name w:val="Heading 5 Char"/>
    <w:basedOn w:val="DefaultParagraphFont"/>
    <w:link w:val="Heading5"/>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59646">
      <w:bodyDiv w:val="1"/>
      <w:marLeft w:val="0"/>
      <w:marRight w:val="0"/>
      <w:marTop w:val="0"/>
      <w:marBottom w:val="0"/>
      <w:divBdr>
        <w:top w:val="none" w:sz="0" w:space="0" w:color="auto"/>
        <w:left w:val="none" w:sz="0" w:space="0" w:color="auto"/>
        <w:bottom w:val="none" w:sz="0" w:space="0" w:color="auto"/>
        <w:right w:val="none" w:sz="0" w:space="0" w:color="auto"/>
      </w:divBdr>
    </w:div>
    <w:div w:id="242221174">
      <w:bodyDiv w:val="1"/>
      <w:marLeft w:val="0"/>
      <w:marRight w:val="0"/>
      <w:marTop w:val="0"/>
      <w:marBottom w:val="0"/>
      <w:divBdr>
        <w:top w:val="none" w:sz="0" w:space="0" w:color="auto"/>
        <w:left w:val="none" w:sz="0" w:space="0" w:color="auto"/>
        <w:bottom w:val="none" w:sz="0" w:space="0" w:color="auto"/>
        <w:right w:val="none" w:sz="0" w:space="0" w:color="auto"/>
      </w:divBdr>
    </w:div>
    <w:div w:id="557939864">
      <w:bodyDiv w:val="1"/>
      <w:marLeft w:val="0"/>
      <w:marRight w:val="0"/>
      <w:marTop w:val="0"/>
      <w:marBottom w:val="0"/>
      <w:divBdr>
        <w:top w:val="none" w:sz="0" w:space="0" w:color="auto"/>
        <w:left w:val="none" w:sz="0" w:space="0" w:color="auto"/>
        <w:bottom w:val="none" w:sz="0" w:space="0" w:color="auto"/>
        <w:right w:val="none" w:sz="0" w:space="0" w:color="auto"/>
      </w:divBdr>
    </w:div>
    <w:div w:id="641932159">
      <w:bodyDiv w:val="1"/>
      <w:marLeft w:val="0"/>
      <w:marRight w:val="0"/>
      <w:marTop w:val="0"/>
      <w:marBottom w:val="0"/>
      <w:divBdr>
        <w:top w:val="none" w:sz="0" w:space="0" w:color="auto"/>
        <w:left w:val="none" w:sz="0" w:space="0" w:color="auto"/>
        <w:bottom w:val="none" w:sz="0" w:space="0" w:color="auto"/>
        <w:right w:val="none" w:sz="0" w:space="0" w:color="auto"/>
      </w:divBdr>
    </w:div>
    <w:div w:id="890655642">
      <w:bodyDiv w:val="1"/>
      <w:marLeft w:val="0"/>
      <w:marRight w:val="0"/>
      <w:marTop w:val="0"/>
      <w:marBottom w:val="0"/>
      <w:divBdr>
        <w:top w:val="none" w:sz="0" w:space="0" w:color="auto"/>
        <w:left w:val="none" w:sz="0" w:space="0" w:color="auto"/>
        <w:bottom w:val="none" w:sz="0" w:space="0" w:color="auto"/>
        <w:right w:val="none" w:sz="0" w:space="0" w:color="auto"/>
      </w:divBdr>
    </w:div>
    <w:div w:id="1389644922">
      <w:bodyDiv w:val="1"/>
      <w:marLeft w:val="0"/>
      <w:marRight w:val="0"/>
      <w:marTop w:val="0"/>
      <w:marBottom w:val="0"/>
      <w:divBdr>
        <w:top w:val="none" w:sz="0" w:space="0" w:color="auto"/>
        <w:left w:val="none" w:sz="0" w:space="0" w:color="auto"/>
        <w:bottom w:val="none" w:sz="0" w:space="0" w:color="auto"/>
        <w:right w:val="none" w:sz="0" w:space="0" w:color="auto"/>
      </w:divBdr>
    </w:div>
    <w:div w:id="1710911106">
      <w:bodyDiv w:val="1"/>
      <w:marLeft w:val="0"/>
      <w:marRight w:val="0"/>
      <w:marTop w:val="0"/>
      <w:marBottom w:val="0"/>
      <w:divBdr>
        <w:top w:val="none" w:sz="0" w:space="0" w:color="auto"/>
        <w:left w:val="none" w:sz="0" w:space="0" w:color="auto"/>
        <w:bottom w:val="none" w:sz="0" w:space="0" w:color="auto"/>
        <w:right w:val="none" w:sz="0" w:space="0" w:color="auto"/>
      </w:divBdr>
    </w:div>
    <w:div w:id="1989967615">
      <w:bodyDiv w:val="1"/>
      <w:marLeft w:val="0"/>
      <w:marRight w:val="0"/>
      <w:marTop w:val="0"/>
      <w:marBottom w:val="0"/>
      <w:divBdr>
        <w:top w:val="none" w:sz="0" w:space="0" w:color="auto"/>
        <w:left w:val="none" w:sz="0" w:space="0" w:color="auto"/>
        <w:bottom w:val="none" w:sz="0" w:space="0" w:color="auto"/>
        <w:right w:val="none" w:sz="0" w:space="0" w:color="auto"/>
      </w:divBdr>
    </w:div>
    <w:div w:id="202266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header" Target="header25.xml"/><Relationship Id="rId21" Type="http://schemas.openxmlformats.org/officeDocument/2006/relationships/header" Target="header8.xml"/><Relationship Id="rId34" Type="http://schemas.openxmlformats.org/officeDocument/2006/relationships/header" Target="header20.xml"/><Relationship Id="rId42" Type="http://schemas.openxmlformats.org/officeDocument/2006/relationships/footer" Target="footer8.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image" Target="media/image2.png"/><Relationship Id="rId44"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1.xml"/><Relationship Id="rId43" Type="http://schemas.openxmlformats.org/officeDocument/2006/relationships/header" Target="header27.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theme" Target="theme/theme1.xml"/><Relationship Id="rId20" Type="http://schemas.openxmlformats.org/officeDocument/2006/relationships/header" Target="header7.xml"/><Relationship Id="rId41"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130175</Words>
  <Characters>624843</Characters>
  <Application>Microsoft Office Word</Application>
  <DocSecurity>0</DocSecurity>
  <Lines>16443</Lines>
  <Paragraphs>8483</Paragraphs>
  <ScaleCrop>false</ScaleCrop>
  <HeadingPairs>
    <vt:vector size="2" baseType="variant">
      <vt:variant>
        <vt:lpstr>Title</vt:lpstr>
      </vt:variant>
      <vt:variant>
        <vt:i4>1</vt:i4>
      </vt:variant>
    </vt:vector>
  </HeadingPairs>
  <TitlesOfParts>
    <vt:vector size="1" baseType="lpstr">
      <vt:lpstr>Workers Compensation And Injury Management Act 1981</vt:lpstr>
    </vt:vector>
  </TitlesOfParts>
  <Manager/>
  <Company/>
  <LinksUpToDate>false</LinksUpToDate>
  <CharactersWithSpaces>746535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1981 - 12-k0-00</dc:title>
  <dc:subject/>
  <dc:creator/>
  <cp:keywords/>
  <dc:description/>
  <cp:lastModifiedBy>Master Repository Process</cp:lastModifiedBy>
  <cp:revision>4</cp:revision>
  <cp:lastPrinted>2018-06-29T07:42:00Z</cp:lastPrinted>
  <dcterms:created xsi:type="dcterms:W3CDTF">2023-04-05T04:46:00Z</dcterms:created>
  <dcterms:modified xsi:type="dcterms:W3CDTF">2023-04-05T04:46:00Z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DocumentType">
    <vt:lpwstr>Act</vt:lpwstr>
  </property>
  <property fmtid="{D5CDD505-2E9C-101B-9397-08002B2CF9AE}" pid="4" name="OwlsUID">
    <vt:i4>915</vt:i4>
  </property>
  <property fmtid="{D5CDD505-2E9C-101B-9397-08002B2CF9AE}" pid="5" name="ReprintedAsAt">
    <vt:filetime>2017-11-23T16:00:00Z</vt:filetime>
  </property>
  <property fmtid="{D5CDD505-2E9C-101B-9397-08002B2CF9AE}" pid="6" name="ReprintNo">
    <vt:lpwstr>12</vt:lpwstr>
  </property>
  <property fmtid="{D5CDD505-2E9C-101B-9397-08002B2CF9AE}" pid="7" name="AsAtDate">
    <vt:lpwstr>05 Apr 2023</vt:lpwstr>
  </property>
  <property fmtid="{D5CDD505-2E9C-101B-9397-08002B2CF9AE}" pid="8" name="Suffix">
    <vt:lpwstr>12-k0-00</vt:lpwstr>
  </property>
  <property fmtid="{D5CDD505-2E9C-101B-9397-08002B2CF9AE}" pid="9" name="CommencementDate">
    <vt:lpwstr>20230405</vt:lpwstr>
  </property>
</Properties>
</file>