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Guardianship and Administration Act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_Toc132299184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_Toc132299185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_Toc132299186 \h </w:instrText>
      </w:r>
      <w:r>
        <w:fldChar w:fldCharType="separate"/>
      </w:r>
      <w:r>
        <w:t>2</w:t>
      </w:r>
      <w:r>
        <w:fldChar w:fldCharType="end"/>
      </w:r>
    </w:p>
    <w:p>
      <w:pPr>
        <w:pStyle w:val="TOC8"/>
        <w:rPr>
          <w:rFonts w:asciiTheme="minorHAnsi" w:eastAsiaTheme="minorEastAsia" w:hAnsiTheme="minorHAnsi" w:cstheme="minorBidi"/>
          <w:szCs w:val="22"/>
        </w:rPr>
      </w:pPr>
      <w:r>
        <w:t>3AA</w:t>
      </w:r>
      <w:r>
        <w:rPr>
          <w:color w:val="000000" w:themeColor="text1"/>
        </w:rPr>
        <w:t>.</w:t>
      </w:r>
      <w:r>
        <w:rPr>
          <w:color w:val="000000" w:themeColor="text1"/>
        </w:rPr>
        <w:tab/>
        <w:t>Term used: medical research</w:t>
      </w:r>
      <w:r>
        <w:tab/>
      </w:r>
      <w:r>
        <w:fldChar w:fldCharType="begin"/>
      </w:r>
      <w:r>
        <w:instrText xml:space="preserve"> PAGEREF _Toc132299187 \h </w:instrText>
      </w:r>
      <w:r>
        <w:fldChar w:fldCharType="separate"/>
      </w:r>
      <w:r>
        <w:t>7</w:t>
      </w:r>
      <w:r>
        <w:fldChar w:fldCharType="end"/>
      </w:r>
    </w:p>
    <w:p>
      <w:pPr>
        <w:pStyle w:val="TOC8"/>
        <w:rPr>
          <w:rFonts w:asciiTheme="minorHAnsi" w:eastAsiaTheme="minorEastAsia" w:hAnsiTheme="minorHAnsi" w:cstheme="minorBidi"/>
          <w:szCs w:val="22"/>
        </w:rPr>
      </w:pPr>
      <w:r>
        <w:t>3A.</w:t>
      </w:r>
      <w:r>
        <w:tab/>
        <w:t>Inherent jurisdiction of Supreme Court not affected</w:t>
      </w:r>
      <w:r>
        <w:tab/>
      </w:r>
      <w:r>
        <w:fldChar w:fldCharType="begin"/>
      </w:r>
      <w:r>
        <w:instrText xml:space="preserve"> PAGEREF _Toc132299188 \h </w:instrText>
      </w:r>
      <w:r>
        <w:fldChar w:fldCharType="separate"/>
      </w:r>
      <w:r>
        <w:t>9</w:t>
      </w:r>
      <w:r>
        <w:fldChar w:fldCharType="end"/>
      </w:r>
    </w:p>
    <w:p>
      <w:pPr>
        <w:pStyle w:val="TOC8"/>
        <w:rPr>
          <w:rFonts w:asciiTheme="minorHAnsi" w:eastAsiaTheme="minorEastAsia" w:hAnsiTheme="minorHAnsi" w:cstheme="minorBidi"/>
          <w:szCs w:val="22"/>
        </w:rPr>
      </w:pPr>
      <w:r>
        <w:t>3B.</w:t>
      </w:r>
      <w:r>
        <w:tab/>
        <w:t>Act does not authorise decisions about voluntary assisted dying</w:t>
      </w:r>
      <w:r>
        <w:tab/>
      </w:r>
      <w:r>
        <w:fldChar w:fldCharType="begin"/>
      </w:r>
      <w:r>
        <w:instrText xml:space="preserve"> PAGEREF _Toc132299189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Principles to be observed by State Administrative Tribunal</w:t>
      </w:r>
    </w:p>
    <w:p>
      <w:pPr>
        <w:pStyle w:val="TOC8"/>
        <w:rPr>
          <w:rFonts w:asciiTheme="minorHAnsi" w:eastAsiaTheme="minorEastAsia" w:hAnsiTheme="minorHAnsi" w:cstheme="minorBidi"/>
          <w:szCs w:val="22"/>
        </w:rPr>
      </w:pPr>
      <w:r>
        <w:t>4</w:t>
      </w:r>
      <w:r>
        <w:rPr>
          <w:snapToGrid w:val="0"/>
        </w:rPr>
        <w:t>.</w:t>
      </w:r>
      <w:r>
        <w:rPr>
          <w:snapToGrid w:val="0"/>
        </w:rPr>
        <w:tab/>
        <w:t>Principles stated</w:t>
      </w:r>
      <w:r>
        <w:tab/>
      </w:r>
      <w:r>
        <w:fldChar w:fldCharType="begin"/>
      </w:r>
      <w:r>
        <w:instrText xml:space="preserve"> PAGEREF _Toc132299191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The State Administrative Tribunal</w:t>
      </w:r>
    </w:p>
    <w:p>
      <w:pPr>
        <w:pStyle w:val="TOC4"/>
        <w:tabs>
          <w:tab w:val="right" w:leader="dot" w:pos="7077"/>
        </w:tabs>
        <w:rPr>
          <w:rFonts w:asciiTheme="minorHAnsi" w:eastAsiaTheme="minorEastAsia" w:hAnsiTheme="minorHAnsi" w:cstheme="minorBidi"/>
          <w:b w:val="0"/>
          <w:szCs w:val="22"/>
        </w:rPr>
      </w:pPr>
      <w:r>
        <w:t>Division 1 — Functions and proceedings</w:t>
      </w:r>
    </w:p>
    <w:p>
      <w:pPr>
        <w:pStyle w:val="TOC8"/>
        <w:rPr>
          <w:rFonts w:asciiTheme="minorHAnsi" w:eastAsiaTheme="minorEastAsia" w:hAnsiTheme="minorHAnsi" w:cstheme="minorBidi"/>
          <w:szCs w:val="22"/>
        </w:rPr>
      </w:pPr>
      <w:r>
        <w:t>13</w:t>
      </w:r>
      <w:r>
        <w:rPr>
          <w:snapToGrid w:val="0"/>
        </w:rPr>
        <w:t>.</w:t>
      </w:r>
      <w:r>
        <w:rPr>
          <w:snapToGrid w:val="0"/>
        </w:rPr>
        <w:tab/>
        <w:t>Jurisdiction of State Administrative Tribunal</w:t>
      </w:r>
      <w:r>
        <w:tab/>
      </w:r>
      <w:r>
        <w:fldChar w:fldCharType="begin"/>
      </w:r>
      <w:r>
        <w:instrText xml:space="preserve"> PAGEREF _Toc132299194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Costs</w:t>
      </w:r>
      <w:r>
        <w:tab/>
      </w:r>
      <w:r>
        <w:fldChar w:fldCharType="begin"/>
      </w:r>
      <w:r>
        <w:instrText xml:space="preserve"> PAGEREF _Toc132299195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Further provisions as to proceedings</w:t>
      </w:r>
      <w:r>
        <w:tab/>
      </w:r>
      <w:r>
        <w:fldChar w:fldCharType="begin"/>
      </w:r>
      <w:r>
        <w:instrText xml:space="preserve"> PAGEREF _Toc132299196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Review of determination where State Administrative Tribunal comprises one member</w:t>
      </w:r>
    </w:p>
    <w:p>
      <w:pPr>
        <w:pStyle w:val="TOC8"/>
        <w:rPr>
          <w:rFonts w:asciiTheme="minorHAnsi" w:eastAsiaTheme="minorEastAsia" w:hAnsiTheme="minorHAnsi" w:cstheme="minorBidi"/>
          <w:szCs w:val="22"/>
        </w:rPr>
      </w:pPr>
      <w:r>
        <w:t>17A</w:t>
      </w:r>
      <w:r>
        <w:rPr>
          <w:snapToGrid w:val="0"/>
        </w:rPr>
        <w:t>.</w:t>
      </w:r>
      <w:r>
        <w:rPr>
          <w:snapToGrid w:val="0"/>
        </w:rPr>
        <w:tab/>
        <w:t>Review</w:t>
      </w:r>
      <w:r>
        <w:tab/>
      </w:r>
      <w:r>
        <w:fldChar w:fldCharType="begin"/>
      </w:r>
      <w:r>
        <w:instrText xml:space="preserve"> PAGEREF _Toc132299198 \h </w:instrText>
      </w:r>
      <w:r>
        <w:fldChar w:fldCharType="separate"/>
      </w:r>
      <w:r>
        <w:t>14</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Executive officer to give notice of review</w:t>
      </w:r>
      <w:r>
        <w:tab/>
      </w:r>
      <w:r>
        <w:fldChar w:fldCharType="begin"/>
      </w:r>
      <w:r>
        <w:instrText xml:space="preserve"> PAGEREF _Toc132299199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Appeals</w:t>
      </w:r>
    </w:p>
    <w:p>
      <w:pPr>
        <w:pStyle w:val="TOC8"/>
        <w:rPr>
          <w:rFonts w:asciiTheme="minorHAnsi" w:eastAsiaTheme="minorEastAsia" w:hAnsiTheme="minorHAnsi" w:cstheme="minorBidi"/>
          <w:szCs w:val="22"/>
        </w:rPr>
      </w:pPr>
      <w:r>
        <w:t>18</w:t>
      </w:r>
      <w:r>
        <w:rPr>
          <w:snapToGrid w:val="0"/>
        </w:rPr>
        <w:t>.</w:t>
      </w:r>
      <w:r>
        <w:rPr>
          <w:snapToGrid w:val="0"/>
        </w:rPr>
        <w:tab/>
        <w:t>Term used: Court</w:t>
      </w:r>
      <w:r>
        <w:tab/>
      </w:r>
      <w:r>
        <w:fldChar w:fldCharType="begin"/>
      </w:r>
      <w:r>
        <w:instrText xml:space="preserve"> PAGEREF _Toc132299201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Right of appeal by leave</w:t>
      </w:r>
      <w:r>
        <w:tab/>
      </w:r>
      <w:r>
        <w:fldChar w:fldCharType="begin"/>
      </w:r>
      <w:r>
        <w:instrText xml:space="preserve"> PAGEREF _Toc132299202 \h </w:instrText>
      </w:r>
      <w:r>
        <w:fldChar w:fldCharType="separate"/>
      </w:r>
      <w:r>
        <w:t>16</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Application for leave</w:t>
      </w:r>
      <w:r>
        <w:tab/>
      </w:r>
      <w:r>
        <w:fldChar w:fldCharType="begin"/>
      </w:r>
      <w:r>
        <w:instrText xml:space="preserve"> PAGEREF _Toc132299203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Grounds</w:t>
      </w:r>
      <w:r>
        <w:tab/>
      </w:r>
      <w:r>
        <w:fldChar w:fldCharType="begin"/>
      </w:r>
      <w:r>
        <w:instrText xml:space="preserve"> PAGEREF _Toc132299204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Grant or refusal of leave</w:t>
      </w:r>
      <w:r>
        <w:tab/>
      </w:r>
      <w:r>
        <w:fldChar w:fldCharType="begin"/>
      </w:r>
      <w:r>
        <w:instrText xml:space="preserve"> PAGEREF _Toc132299205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Ancillary orders and directions</w:t>
      </w:r>
      <w:r>
        <w:tab/>
      </w:r>
      <w:r>
        <w:fldChar w:fldCharType="begin"/>
      </w:r>
      <w:r>
        <w:instrText xml:space="preserve"> PAGEREF _Toc132299206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 of application to Court</w:t>
      </w:r>
      <w:r>
        <w:tab/>
      </w:r>
      <w:r>
        <w:fldChar w:fldCharType="begin"/>
      </w:r>
      <w:r>
        <w:instrText xml:space="preserve"> PAGEREF _Toc132299207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Application and appeal may be heard together</w:t>
      </w:r>
      <w:r>
        <w:tab/>
      </w:r>
      <w:r>
        <w:fldChar w:fldCharType="begin"/>
      </w:r>
      <w:r>
        <w:instrText xml:space="preserve"> PAGEREF _Toc132299208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Notice to other parties</w:t>
      </w:r>
      <w:r>
        <w:tab/>
      </w:r>
      <w:r>
        <w:fldChar w:fldCharType="begin"/>
      </w:r>
      <w:r>
        <w:instrText xml:space="preserve"> PAGEREF _Toc132299209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Amendment of grounds of appeal</w:t>
      </w:r>
      <w:r>
        <w:tab/>
      </w:r>
      <w:r>
        <w:fldChar w:fldCharType="begin"/>
      </w:r>
      <w:r>
        <w:instrText xml:space="preserve"> PAGEREF _Toc132299210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Status of State Administrative Tribunal’s determination pending disposal of appeal</w:t>
      </w:r>
      <w:r>
        <w:tab/>
      </w:r>
      <w:r>
        <w:fldChar w:fldCharType="begin"/>
      </w:r>
      <w:r>
        <w:instrText xml:space="preserve"> PAGEREF _Toc132299211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Nature of appeal, and evidence</w:t>
      </w:r>
      <w:r>
        <w:tab/>
      </w:r>
      <w:r>
        <w:fldChar w:fldCharType="begin"/>
      </w:r>
      <w:r>
        <w:instrText xml:space="preserve"> PAGEREF _Toc132299212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Powers of Court</w:t>
      </w:r>
      <w:r>
        <w:tab/>
      </w:r>
      <w:r>
        <w:fldChar w:fldCharType="begin"/>
      </w:r>
      <w:r>
        <w:instrText xml:space="preserve"> PAGEREF _Toc132299213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Want of form</w:t>
      </w:r>
      <w:r>
        <w:tab/>
      </w:r>
      <w:r>
        <w:fldChar w:fldCharType="begin"/>
      </w:r>
      <w:r>
        <w:instrText xml:space="preserve"> PAGEREF _Toc132299214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Notification of result of appeal to executive officer</w:t>
      </w:r>
      <w:r>
        <w:tab/>
      </w:r>
      <w:r>
        <w:fldChar w:fldCharType="begin"/>
      </w:r>
      <w:r>
        <w:instrText xml:space="preserve"> PAGEREF _Toc132299215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Discontinuance of appeal</w:t>
      </w:r>
      <w:r>
        <w:tab/>
      </w:r>
      <w:r>
        <w:fldChar w:fldCharType="begin"/>
      </w:r>
      <w:r>
        <w:instrText xml:space="preserve"> PAGEREF _Toc132299216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Dismissal for want of prosecution</w:t>
      </w:r>
      <w:r>
        <w:tab/>
      </w:r>
      <w:r>
        <w:fldChar w:fldCharType="begin"/>
      </w:r>
      <w:r>
        <w:instrText xml:space="preserve"> PAGEREF _Toc132299217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Application for reinstatement of appeal</w:t>
      </w:r>
      <w:r>
        <w:tab/>
      </w:r>
      <w:r>
        <w:fldChar w:fldCharType="begin"/>
      </w:r>
      <w:r>
        <w:instrText xml:space="preserve"> PAGEREF _Toc132299218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Time may be extended or shortened</w:t>
      </w:r>
      <w:r>
        <w:tab/>
      </w:r>
      <w:r>
        <w:fldChar w:fldCharType="begin"/>
      </w:r>
      <w:r>
        <w:instrText xml:space="preserve"> PAGEREF _Toc132299219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Enforcement of order for costs</w:t>
      </w:r>
      <w:r>
        <w:tab/>
      </w:r>
      <w:r>
        <w:fldChar w:fldCharType="begin"/>
      </w:r>
      <w:r>
        <w:instrText xml:space="preserve"> PAGEREF _Toc132299220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4 — Applications for guardianship and administration orders</w:t>
      </w:r>
    </w:p>
    <w:p>
      <w:pPr>
        <w:pStyle w:val="TOC8"/>
        <w:rPr>
          <w:rFonts w:asciiTheme="minorHAnsi" w:eastAsiaTheme="minorEastAsia" w:hAnsiTheme="minorHAnsi" w:cstheme="minorBidi"/>
          <w:szCs w:val="22"/>
        </w:rPr>
      </w:pPr>
      <w:r>
        <w:t>40</w:t>
      </w:r>
      <w:r>
        <w:rPr>
          <w:snapToGrid w:val="0"/>
        </w:rPr>
        <w:t>.</w:t>
      </w:r>
      <w:r>
        <w:rPr>
          <w:snapToGrid w:val="0"/>
        </w:rPr>
        <w:tab/>
        <w:t>Application</w:t>
      </w:r>
      <w:r>
        <w:tab/>
      </w:r>
      <w:r>
        <w:fldChar w:fldCharType="begin"/>
      </w:r>
      <w:r>
        <w:instrText xml:space="preserve"> PAGEREF _Toc132299222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 of hearing</w:t>
      </w:r>
      <w:r>
        <w:tab/>
      </w:r>
      <w:r>
        <w:fldChar w:fldCharType="begin"/>
      </w:r>
      <w:r>
        <w:instrText xml:space="preserve"> PAGEREF _Toc132299223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Guardianship</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Appointment of guardian</w:t>
      </w:r>
    </w:p>
    <w:p>
      <w:pPr>
        <w:pStyle w:val="TOC8"/>
        <w:rPr>
          <w:rFonts w:asciiTheme="minorHAnsi" w:eastAsiaTheme="minorEastAsia" w:hAnsiTheme="minorHAnsi" w:cstheme="minorBidi"/>
          <w:szCs w:val="22"/>
        </w:rPr>
      </w:pPr>
      <w:r>
        <w:t>43</w:t>
      </w:r>
      <w:r>
        <w:rPr>
          <w:snapToGrid w:val="0"/>
        </w:rPr>
        <w:t>.</w:t>
      </w:r>
      <w:r>
        <w:rPr>
          <w:snapToGrid w:val="0"/>
        </w:rPr>
        <w:tab/>
        <w:t>Making of guardianship order</w:t>
      </w:r>
      <w:r>
        <w:tab/>
      </w:r>
      <w:r>
        <w:fldChar w:fldCharType="begin"/>
      </w:r>
      <w:r>
        <w:instrText xml:space="preserve"> PAGEREF _Toc132299226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Who may be appointed guardian</w:t>
      </w:r>
      <w:r>
        <w:tab/>
      </w:r>
      <w:r>
        <w:fldChar w:fldCharType="begin"/>
      </w:r>
      <w:r>
        <w:instrText xml:space="preserve"> PAGEREF _Toc132299227 \h </w:instrText>
      </w:r>
      <w:r>
        <w:fldChar w:fldCharType="separate"/>
      </w:r>
      <w:r>
        <w:t>30</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Interstate arrangements for guardianship orders</w:t>
      </w:r>
      <w:r>
        <w:tab/>
      </w:r>
      <w:r>
        <w:fldChar w:fldCharType="begin"/>
      </w:r>
      <w:r>
        <w:instrText xml:space="preserve"> PAGEREF _Toc132299228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guardians</w:t>
      </w:r>
    </w:p>
    <w:p>
      <w:pPr>
        <w:pStyle w:val="TOC8"/>
        <w:rPr>
          <w:rFonts w:asciiTheme="minorHAnsi" w:eastAsiaTheme="minorEastAsia" w:hAnsiTheme="minorHAnsi" w:cstheme="minorBidi"/>
          <w:szCs w:val="22"/>
        </w:rPr>
      </w:pPr>
      <w:r>
        <w:t>45</w:t>
      </w:r>
      <w:r>
        <w:rPr>
          <w:snapToGrid w:val="0"/>
        </w:rPr>
        <w:t>.</w:t>
      </w:r>
      <w:r>
        <w:rPr>
          <w:snapToGrid w:val="0"/>
        </w:rPr>
        <w:tab/>
        <w:t>Authority of plenary guardian</w:t>
      </w:r>
      <w:r>
        <w:tab/>
      </w:r>
      <w:r>
        <w:fldChar w:fldCharType="begin"/>
      </w:r>
      <w:r>
        <w:instrText xml:space="preserve"> PAGEREF _Toc132299230 \h </w:instrText>
      </w:r>
      <w:r>
        <w:fldChar w:fldCharType="separate"/>
      </w:r>
      <w:r>
        <w:t>32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Authority of limited guardian</w:t>
      </w:r>
      <w:r>
        <w:tab/>
      </w:r>
      <w:r>
        <w:fldChar w:fldCharType="begin"/>
      </w:r>
      <w:r>
        <w:instrText xml:space="preserve"> PAGEREF _Toc132299231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Guardian may apply for directions</w:t>
      </w:r>
      <w:r>
        <w:tab/>
      </w:r>
      <w:r>
        <w:fldChar w:fldCharType="begin"/>
      </w:r>
      <w:r>
        <w:instrText xml:space="preserve"> PAGEREF _Toc132299232 \h </w:instrText>
      </w:r>
      <w:r>
        <w:fldChar w:fldCharType="separate"/>
      </w:r>
      <w:r>
        <w:t>34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Guardian may execute documents etc.</w:t>
      </w:r>
      <w:r>
        <w:tab/>
      </w:r>
      <w:r>
        <w:fldChar w:fldCharType="begin"/>
      </w:r>
      <w:r>
        <w:instrText xml:space="preserve"> PAGEREF _Toc132299233 \h </w:instrText>
      </w:r>
      <w:r>
        <w:fldChar w:fldCharType="separate"/>
      </w:r>
      <w:r>
        <w:t>35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Guardian may obtain warrant to enter</w:t>
      </w:r>
      <w:r>
        <w:tab/>
      </w:r>
      <w:r>
        <w:fldChar w:fldCharType="begin"/>
      </w:r>
      <w:r>
        <w:instrText xml:space="preserve"> PAGEREF _Toc132299234 \h </w:instrText>
      </w:r>
      <w:r>
        <w:fldChar w:fldCharType="separate"/>
      </w:r>
      <w:r>
        <w:t>35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Effect of actions etc. of guardian</w:t>
      </w:r>
      <w:r>
        <w:tab/>
      </w:r>
      <w:r>
        <w:fldChar w:fldCharType="begin"/>
      </w:r>
      <w:r>
        <w:instrText xml:space="preserve"> PAGEREF _Toc132299235 \h </w:instrText>
      </w:r>
      <w:r>
        <w:fldChar w:fldCharType="separate"/>
      </w:r>
      <w:r>
        <w:t>36</w:t>
      </w:r>
      <w:r>
        <w:fldChar w:fldCharType="end"/>
      </w:r>
    </w:p>
    <w:p>
      <w:pPr>
        <w:pStyle w:val="TOC8"/>
        <w:rPr>
          <w:rFonts w:asciiTheme="minorHAnsi" w:eastAsiaTheme="minorEastAsia" w:hAnsiTheme="minorHAnsi" w:cstheme="minorBidi"/>
          <w:szCs w:val="22"/>
        </w:rPr>
      </w:pPr>
      <w:r>
        <w:lastRenderedPageBreak/>
        <w:t>51</w:t>
      </w:r>
      <w:r>
        <w:rPr>
          <w:snapToGrid w:val="0"/>
        </w:rPr>
        <w:t>.</w:t>
      </w:r>
      <w:r>
        <w:rPr>
          <w:snapToGrid w:val="0"/>
        </w:rPr>
        <w:tab/>
        <w:t>Guardian to act in best interests of represented person</w:t>
      </w:r>
      <w:r>
        <w:tab/>
      </w:r>
      <w:r>
        <w:fldChar w:fldCharType="begin"/>
      </w:r>
      <w:r>
        <w:instrText xml:space="preserve"> PAGEREF _Toc132299236 \h </w:instrText>
      </w:r>
      <w:r>
        <w:fldChar w:fldCharType="separate"/>
      </w:r>
      <w:r>
        <w:t>36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Guardians to act unanimously</w:t>
      </w:r>
      <w:r>
        <w:tab/>
      </w:r>
      <w:r>
        <w:fldChar w:fldCharType="begin"/>
      </w:r>
      <w:r>
        <w:instrText xml:space="preserve"> PAGEREF _Toc132299237 \h </w:instrText>
      </w:r>
      <w:r>
        <w:fldChar w:fldCharType="separate"/>
      </w:r>
      <w:r>
        <w:t>37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Death of joint guardian</w:t>
      </w:r>
      <w:r>
        <w:tab/>
      </w:r>
      <w:r>
        <w:fldChar w:fldCharType="begin"/>
      </w:r>
      <w:r>
        <w:instrText xml:space="preserve"> PAGEREF _Toc132299238 \h </w:instrText>
      </w:r>
      <w:r>
        <w:fldChar w:fldCharType="separate"/>
      </w:r>
      <w:r>
        <w:t>38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Alternate guardian to take over on death of guardian</w:t>
      </w:r>
      <w:r>
        <w:tab/>
      </w:r>
      <w:r>
        <w:fldChar w:fldCharType="begin"/>
      </w:r>
      <w:r>
        <w:instrText xml:space="preserve"> PAGEREF _Toc132299239 \h </w:instrText>
      </w:r>
      <w:r>
        <w:fldChar w:fldCharType="separate"/>
      </w:r>
      <w:r>
        <w:t>38</w:t>
      </w:r>
      <w:r>
        <w:fldChar w:fldCharType="end"/>
      </w:r>
    </w:p>
    <w:p>
      <w:pPr>
        <w:pStyle w:val="TOC8"/>
        <w:rPr>
          <w:rFonts w:asciiTheme="minorHAnsi" w:eastAsiaTheme="minorEastAsia" w:hAnsiTheme="minorHAnsi" w:cstheme="minorBidi"/>
          <w:szCs w:val="22"/>
        </w:rPr>
      </w:pPr>
      <w:r>
        <w:t>55A.</w:t>
      </w:r>
      <w:r>
        <w:tab/>
        <w:t>Priority of guardianship order</w:t>
      </w:r>
      <w:r>
        <w:tab/>
      </w:r>
      <w:r>
        <w:fldChar w:fldCharType="begin"/>
      </w:r>
      <w:r>
        <w:instrText xml:space="preserve"> PAGEREF _Toc132299240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Limitations on sterilisation of persons under guardianship or where application for guardianship made</w:t>
      </w:r>
    </w:p>
    <w:p>
      <w:pPr>
        <w:pStyle w:val="TOC8"/>
        <w:rPr>
          <w:rFonts w:asciiTheme="minorHAnsi" w:eastAsiaTheme="minorEastAsia" w:hAnsiTheme="minorHAnsi" w:cstheme="minorBidi"/>
          <w:szCs w:val="22"/>
        </w:rPr>
      </w:pPr>
      <w:r>
        <w:t>56</w:t>
      </w:r>
      <w:r>
        <w:rPr>
          <w:snapToGrid w:val="0"/>
        </w:rPr>
        <w:t>.</w:t>
      </w:r>
      <w:r>
        <w:rPr>
          <w:snapToGrid w:val="0"/>
        </w:rPr>
        <w:tab/>
        <w:t>Terms used</w:t>
      </w:r>
      <w:r>
        <w:tab/>
      </w:r>
      <w:r>
        <w:fldChar w:fldCharType="begin"/>
      </w:r>
      <w:r>
        <w:instrText xml:space="preserve"> PAGEREF _Toc132299242 \h </w:instrText>
      </w:r>
      <w:r>
        <w:fldChar w:fldCharType="separate"/>
      </w:r>
      <w:r>
        <w:t>39</w:t>
      </w:r>
      <w:r>
        <w:fldChar w:fldCharType="end"/>
      </w:r>
    </w:p>
    <w:p>
      <w:pPr>
        <w:pStyle w:val="TOC8"/>
        <w:rPr>
          <w:rFonts w:asciiTheme="minorHAnsi" w:eastAsiaTheme="minorEastAsia" w:hAnsiTheme="minorHAnsi" w:cstheme="minorBidi"/>
          <w:szCs w:val="22"/>
        </w:rPr>
      </w:pPr>
      <w:r>
        <w:t>56A</w:t>
      </w:r>
      <w:r>
        <w:rPr>
          <w:snapToGrid w:val="0"/>
        </w:rPr>
        <w:t xml:space="preserve">. </w:t>
      </w:r>
      <w:r>
        <w:rPr>
          <w:snapToGrid w:val="0"/>
        </w:rPr>
        <w:tab/>
        <w:t>Only Full Tribunal to act under this Division</w:t>
      </w:r>
      <w:r>
        <w:tab/>
      </w:r>
      <w:r>
        <w:fldChar w:fldCharType="begin"/>
      </w:r>
      <w:r>
        <w:instrText xml:space="preserve"> PAGEREF _Toc132299243 \h </w:instrText>
      </w:r>
      <w:r>
        <w:fldChar w:fldCharType="separate"/>
      </w:r>
      <w:r>
        <w:t>39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Prerequisites for sterilisation of persons to whom this Division applies</w:t>
      </w:r>
      <w:r>
        <w:tab/>
      </w:r>
      <w:r>
        <w:fldChar w:fldCharType="begin"/>
      </w:r>
      <w:r>
        <w:instrText xml:space="preserve"> PAGEREF _Toc132299244 \h </w:instrText>
      </w:r>
      <w:r>
        <w:fldChar w:fldCharType="separate"/>
      </w:r>
      <w:r>
        <w:t>39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Restriction on guardian’s consent</w:t>
      </w:r>
      <w:r>
        <w:tab/>
      </w:r>
      <w:r>
        <w:fldChar w:fldCharType="begin"/>
      </w:r>
      <w:r>
        <w:instrText xml:space="preserve"> PAGEREF _Toc132299245 \h </w:instrText>
      </w:r>
      <w:r>
        <w:fldChar w:fldCharType="separate"/>
      </w:r>
      <w:r>
        <w:t>40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Application for consent</w:t>
      </w:r>
      <w:r>
        <w:tab/>
      </w:r>
      <w:r>
        <w:fldChar w:fldCharType="begin"/>
      </w:r>
      <w:r>
        <w:instrText xml:space="preserve"> PAGEREF _Toc132299246 \h </w:instrText>
      </w:r>
      <w:r>
        <w:fldChar w:fldCharType="separate"/>
      </w:r>
      <w:r>
        <w:t>41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Notice of hearing</w:t>
      </w:r>
      <w:r>
        <w:tab/>
      </w:r>
      <w:r>
        <w:fldChar w:fldCharType="begin"/>
      </w:r>
      <w:r>
        <w:instrText xml:space="preserve"> PAGEREF _Toc132299247 \h </w:instrText>
      </w:r>
      <w:r>
        <w:fldChar w:fldCharType="separate"/>
      </w:r>
      <w:r>
        <w:t>41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State Administrative Tribunal may consent if in best interests of represented person</w:t>
      </w:r>
      <w:r>
        <w:tab/>
      </w:r>
      <w:r>
        <w:fldChar w:fldCharType="begin"/>
      </w:r>
      <w:r>
        <w:instrText xml:space="preserve"> PAGEREF _Toc132299248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6 — Estate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Appointment of administrator</w:t>
      </w:r>
    </w:p>
    <w:p>
      <w:pPr>
        <w:pStyle w:val="TOC8"/>
        <w:rPr>
          <w:rFonts w:asciiTheme="minorHAnsi" w:eastAsiaTheme="minorEastAsia" w:hAnsiTheme="minorHAnsi" w:cstheme="minorBidi"/>
          <w:szCs w:val="22"/>
        </w:rPr>
      </w:pPr>
      <w:r>
        <w:t>64</w:t>
      </w:r>
      <w:r>
        <w:rPr>
          <w:snapToGrid w:val="0"/>
        </w:rPr>
        <w:t>.</w:t>
      </w:r>
      <w:r>
        <w:rPr>
          <w:snapToGrid w:val="0"/>
        </w:rPr>
        <w:tab/>
        <w:t>Making of administration order</w:t>
      </w:r>
      <w:r>
        <w:tab/>
      </w:r>
      <w:r>
        <w:fldChar w:fldCharType="begin"/>
      </w:r>
      <w:r>
        <w:instrText xml:space="preserve"> PAGEREF _Toc132299251 \h </w:instrText>
      </w:r>
      <w:r>
        <w:fldChar w:fldCharType="separate"/>
      </w:r>
      <w:r>
        <w:t>43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Emergency provision</w:t>
      </w:r>
      <w:r>
        <w:tab/>
      </w:r>
      <w:r>
        <w:fldChar w:fldCharType="begin"/>
      </w:r>
      <w:r>
        <w:instrText xml:space="preserve"> PAGEREF _Toc132299252 \h </w:instrText>
      </w:r>
      <w:r>
        <w:fldChar w:fldCharType="separate"/>
      </w:r>
      <w:r>
        <w:t>44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Acts may be authorised without administration order</w:t>
      </w:r>
      <w:r>
        <w:tab/>
      </w:r>
      <w:r>
        <w:fldChar w:fldCharType="begin"/>
      </w:r>
      <w:r>
        <w:instrText xml:space="preserve"> PAGEREF _Toc132299253 \h </w:instrText>
      </w:r>
      <w:r>
        <w:fldChar w:fldCharType="separate"/>
      </w:r>
      <w:r>
        <w:t>44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Non</w:t>
      </w:r>
      <w:r>
        <w:rPr>
          <w:snapToGrid w:val="0"/>
        </w:rPr>
        <w:noBreakHyphen/>
        <w:t>residents etc.</w:t>
      </w:r>
      <w:r>
        <w:tab/>
      </w:r>
      <w:r>
        <w:fldChar w:fldCharType="begin"/>
      </w:r>
      <w:r>
        <w:instrText xml:space="preserve"> PAGEREF _Toc132299254 \h </w:instrText>
      </w:r>
      <w:r>
        <w:fldChar w:fldCharType="separate"/>
      </w:r>
      <w:r>
        <w:t>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Who may be appointed administrator</w:t>
      </w:r>
      <w:r>
        <w:tab/>
      </w:r>
      <w:r>
        <w:fldChar w:fldCharType="begin"/>
      </w:r>
      <w:r>
        <w:instrText xml:space="preserve"> PAGEREF _Toc132299255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administrators</w:t>
      </w:r>
    </w:p>
    <w:p>
      <w:pPr>
        <w:pStyle w:val="TOC8"/>
        <w:rPr>
          <w:rFonts w:asciiTheme="minorHAnsi" w:eastAsiaTheme="minorEastAsia" w:hAnsiTheme="minorHAnsi" w:cstheme="minorBidi"/>
          <w:szCs w:val="22"/>
        </w:rPr>
      </w:pPr>
      <w:r>
        <w:t>69</w:t>
      </w:r>
      <w:r>
        <w:rPr>
          <w:snapToGrid w:val="0"/>
        </w:rPr>
        <w:t>.</w:t>
      </w:r>
      <w:r>
        <w:rPr>
          <w:snapToGrid w:val="0"/>
        </w:rPr>
        <w:tab/>
        <w:t>Authority of administrator</w:t>
      </w:r>
      <w:r>
        <w:tab/>
      </w:r>
      <w:r>
        <w:fldChar w:fldCharType="begin"/>
      </w:r>
      <w:r>
        <w:instrText xml:space="preserve"> PAGEREF _Toc132299257 \h </w:instrText>
      </w:r>
      <w:r>
        <w:fldChar w:fldCharType="separate"/>
      </w:r>
      <w:r>
        <w:t>47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Administrator to act in best interests of represented person</w:t>
      </w:r>
      <w:r>
        <w:tab/>
      </w:r>
      <w:r>
        <w:fldChar w:fldCharType="begin"/>
      </w:r>
      <w:r>
        <w:instrText xml:space="preserve"> PAGEREF _Toc132299258 \h </w:instrText>
      </w:r>
      <w:r>
        <w:fldChar w:fldCharType="separate"/>
      </w:r>
      <w:r>
        <w:t>48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Authority which may be conferred on administrator</w:t>
      </w:r>
      <w:r>
        <w:tab/>
      </w:r>
      <w:r>
        <w:fldChar w:fldCharType="begin"/>
      </w:r>
      <w:r>
        <w:instrText xml:space="preserve"> PAGEREF _Toc132299259 \h </w:instrText>
      </w:r>
      <w:r>
        <w:fldChar w:fldCharType="separate"/>
      </w:r>
      <w:r>
        <w:t>49</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Amendment of order to confer particular function</w:t>
      </w:r>
      <w:r>
        <w:tab/>
      </w:r>
      <w:r>
        <w:fldChar w:fldCharType="begin"/>
      </w:r>
      <w:r>
        <w:instrText xml:space="preserve"> PAGEREF _Toc132299260 \h </w:instrText>
      </w:r>
      <w:r>
        <w:fldChar w:fldCharType="separate"/>
      </w:r>
      <w:r>
        <w:t>50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Further provisions as to authority of administrators</w:t>
      </w:r>
      <w:r>
        <w:tab/>
      </w:r>
      <w:r>
        <w:fldChar w:fldCharType="begin"/>
      </w:r>
      <w:r>
        <w:instrText xml:space="preserve"> PAGEREF _Toc132299261 \h </w:instrText>
      </w:r>
      <w:r>
        <w:fldChar w:fldCharType="separate"/>
      </w:r>
      <w:r>
        <w:t>50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Administrator may apply for directions</w:t>
      </w:r>
      <w:r>
        <w:tab/>
      </w:r>
      <w:r>
        <w:fldChar w:fldCharType="begin"/>
      </w:r>
      <w:r>
        <w:instrText xml:space="preserve"> PAGEREF _Toc132299262 \h </w:instrText>
      </w:r>
      <w:r>
        <w:fldChar w:fldCharType="separate"/>
      </w:r>
      <w:r>
        <w:t>51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Administrators to act unanimously</w:t>
      </w:r>
      <w:r>
        <w:tab/>
      </w:r>
      <w:r>
        <w:fldChar w:fldCharType="begin"/>
      </w:r>
      <w:r>
        <w:instrText xml:space="preserve"> PAGEREF _Toc132299263 \h </w:instrText>
      </w:r>
      <w:r>
        <w:fldChar w:fldCharType="separate"/>
      </w:r>
      <w:r>
        <w:t>51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Administrator may employ agents</w:t>
      </w:r>
      <w:r>
        <w:tab/>
      </w:r>
      <w:r>
        <w:fldChar w:fldCharType="begin"/>
      </w:r>
      <w:r>
        <w:instrText xml:space="preserve"> PAGEREF _Toc132299264 \h </w:instrText>
      </w:r>
      <w:r>
        <w:fldChar w:fldCharType="separate"/>
      </w:r>
      <w:r>
        <w:t>52</w:t>
      </w:r>
      <w:r>
        <w:fldChar w:fldCharType="end"/>
      </w:r>
    </w:p>
    <w:p>
      <w:pPr>
        <w:pStyle w:val="TOC8"/>
        <w:rPr>
          <w:rFonts w:asciiTheme="minorHAnsi" w:eastAsiaTheme="minorEastAsia" w:hAnsiTheme="minorHAnsi" w:cstheme="minorBidi"/>
          <w:szCs w:val="22"/>
        </w:rPr>
      </w:pPr>
      <w:r>
        <w:lastRenderedPageBreak/>
        <w:t>77</w:t>
      </w:r>
      <w:r>
        <w:rPr>
          <w:snapToGrid w:val="0"/>
        </w:rPr>
        <w:t>.</w:t>
      </w:r>
      <w:r>
        <w:rPr>
          <w:snapToGrid w:val="0"/>
        </w:rPr>
        <w:tab/>
        <w:t>Represented person incapable of dealing with estate</w:t>
      </w:r>
      <w:r>
        <w:tab/>
      </w:r>
      <w:r>
        <w:fldChar w:fldCharType="begin"/>
      </w:r>
      <w:r>
        <w:instrText xml:space="preserve"> PAGEREF _Toc132299265 \h </w:instrText>
      </w:r>
      <w:r>
        <w:fldChar w:fldCharType="separate"/>
      </w:r>
      <w:r>
        <w:t>52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Cessation of authority of administrator</w:t>
      </w:r>
      <w:r>
        <w:tab/>
      </w:r>
      <w:r>
        <w:fldChar w:fldCharType="begin"/>
      </w:r>
      <w:r>
        <w:instrText xml:space="preserve"> PAGEREF _Toc132299266 \h </w:instrText>
      </w:r>
      <w:r>
        <w:fldChar w:fldCharType="separate"/>
      </w:r>
      <w:r>
        <w:t>53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Represented person bound by acts of administrator</w:t>
      </w:r>
      <w:r>
        <w:tab/>
      </w:r>
      <w:r>
        <w:fldChar w:fldCharType="begin"/>
      </w:r>
      <w:r>
        <w:instrText xml:space="preserve"> PAGEREF _Toc132299267 \h </w:instrText>
      </w:r>
      <w:r>
        <w:fldChar w:fldCharType="separate"/>
      </w:r>
      <w:r>
        <w:t>54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Accounts</w:t>
      </w:r>
      <w:r>
        <w:tab/>
      </w:r>
      <w:r>
        <w:fldChar w:fldCharType="begin"/>
      </w:r>
      <w:r>
        <w:instrText xml:space="preserve"> PAGEREF _Toc132299268 \h </w:instrText>
      </w:r>
      <w:r>
        <w:fldChar w:fldCharType="separate"/>
      </w:r>
      <w:r>
        <w:t>54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Enforcement of security</w:t>
      </w:r>
      <w:r>
        <w:tab/>
      </w:r>
      <w:r>
        <w:fldChar w:fldCharType="begin"/>
      </w:r>
      <w:r>
        <w:instrText xml:space="preserve"> PAGEREF _Toc132299269 \h </w:instrText>
      </w:r>
      <w:r>
        <w:fldChar w:fldCharType="separate"/>
      </w:r>
      <w:r>
        <w:t>56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Transactions may be set aside</w:t>
      </w:r>
      <w:r>
        <w:tab/>
      </w:r>
      <w:r>
        <w:fldChar w:fldCharType="begin"/>
      </w:r>
      <w:r>
        <w:instrText xml:space="preserve"> PAGEREF _Toc132299270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Saving for certain rules of court</w:t>
      </w:r>
      <w:r>
        <w:tab/>
      </w:r>
      <w:r>
        <w:fldChar w:fldCharType="begin"/>
      </w:r>
      <w:r>
        <w:instrText xml:space="preserve"> PAGEREF _Toc132299271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Interjurisdictional arrangements in relation to administration powers</w:t>
      </w:r>
    </w:p>
    <w:p>
      <w:pPr>
        <w:pStyle w:val="TOC8"/>
        <w:rPr>
          <w:rFonts w:asciiTheme="minorHAnsi" w:eastAsiaTheme="minorEastAsia" w:hAnsiTheme="minorHAnsi" w:cstheme="minorBidi"/>
          <w:szCs w:val="22"/>
        </w:rPr>
      </w:pPr>
      <w:r>
        <w:t>83A</w:t>
      </w:r>
      <w:r>
        <w:rPr>
          <w:snapToGrid w:val="0"/>
        </w:rPr>
        <w:t>.</w:t>
      </w:r>
      <w:r>
        <w:rPr>
          <w:snapToGrid w:val="0"/>
        </w:rPr>
        <w:tab/>
        <w:t>Reciprocating States</w:t>
      </w:r>
      <w:r>
        <w:tab/>
      </w:r>
      <w:r>
        <w:fldChar w:fldCharType="begin"/>
      </w:r>
      <w:r>
        <w:instrText xml:space="preserve"> PAGEREF _Toc132299273 \h </w:instrText>
      </w:r>
      <w:r>
        <w:fldChar w:fldCharType="separate"/>
      </w:r>
      <w:r>
        <w:t>57</w:t>
      </w:r>
      <w:r>
        <w:fldChar w:fldCharType="end"/>
      </w:r>
    </w:p>
    <w:p>
      <w:pPr>
        <w:pStyle w:val="TOC8"/>
        <w:rPr>
          <w:rFonts w:asciiTheme="minorHAnsi" w:eastAsiaTheme="minorEastAsia" w:hAnsiTheme="minorHAnsi" w:cstheme="minorBidi"/>
          <w:szCs w:val="22"/>
        </w:rPr>
      </w:pPr>
      <w:r>
        <w:t>83B</w:t>
      </w:r>
      <w:r>
        <w:rPr>
          <w:snapToGrid w:val="0"/>
        </w:rPr>
        <w:t>.</w:t>
      </w:r>
      <w:r>
        <w:rPr>
          <w:snapToGrid w:val="0"/>
        </w:rPr>
        <w:tab/>
        <w:t>Foreign administrator may authorise Public Trustee to administer property in this State</w:t>
      </w:r>
      <w:r>
        <w:tab/>
      </w:r>
      <w:r>
        <w:fldChar w:fldCharType="begin"/>
      </w:r>
      <w:r>
        <w:instrText xml:space="preserve"> PAGEREF _Toc132299274 \h </w:instrText>
      </w:r>
      <w:r>
        <w:fldChar w:fldCharType="separate"/>
      </w:r>
      <w:r>
        <w:t>58</w:t>
      </w:r>
      <w:r>
        <w:fldChar w:fldCharType="end"/>
      </w:r>
    </w:p>
    <w:p>
      <w:pPr>
        <w:pStyle w:val="TOC8"/>
        <w:rPr>
          <w:rFonts w:asciiTheme="minorHAnsi" w:eastAsiaTheme="minorEastAsia" w:hAnsiTheme="minorHAnsi" w:cstheme="minorBidi"/>
          <w:szCs w:val="22"/>
        </w:rPr>
      </w:pPr>
      <w:r>
        <w:t>83C</w:t>
      </w:r>
      <w:r>
        <w:rPr>
          <w:snapToGrid w:val="0"/>
        </w:rPr>
        <w:t>.</w:t>
      </w:r>
      <w:r>
        <w:rPr>
          <w:snapToGrid w:val="0"/>
        </w:rPr>
        <w:tab/>
        <w:t>Administrator may authorise relevant official to administer property in reciprocating State</w:t>
      </w:r>
      <w:r>
        <w:tab/>
      </w:r>
      <w:r>
        <w:fldChar w:fldCharType="begin"/>
      </w:r>
      <w:r>
        <w:instrText xml:space="preserve"> PAGEREF _Toc132299275 \h </w:instrText>
      </w:r>
      <w:r>
        <w:fldChar w:fldCharType="separate"/>
      </w:r>
      <w:r>
        <w:t>58</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Interstate arrangements for recognition of administration orders</w:t>
      </w:r>
      <w:r>
        <w:tab/>
      </w:r>
      <w:r>
        <w:fldChar w:fldCharType="begin"/>
      </w:r>
      <w:r>
        <w:instrText xml:space="preserve"> PAGEREF _Toc132299276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Review of orders</w:t>
      </w:r>
    </w:p>
    <w:p>
      <w:pPr>
        <w:pStyle w:val="TOC8"/>
        <w:rPr>
          <w:rFonts w:asciiTheme="minorHAnsi" w:eastAsiaTheme="minorEastAsia" w:hAnsiTheme="minorHAnsi" w:cstheme="minorBidi"/>
          <w:szCs w:val="22"/>
        </w:rPr>
      </w:pPr>
      <w:r>
        <w:t>84</w:t>
      </w:r>
      <w:r>
        <w:rPr>
          <w:snapToGrid w:val="0"/>
        </w:rPr>
        <w:t>.</w:t>
      </w:r>
      <w:r>
        <w:rPr>
          <w:snapToGrid w:val="0"/>
        </w:rPr>
        <w:tab/>
        <w:t>State Administrative Tribunal to review orders periodically</w:t>
      </w:r>
      <w:r>
        <w:tab/>
      </w:r>
      <w:r>
        <w:fldChar w:fldCharType="begin"/>
      </w:r>
      <w:r>
        <w:instrText xml:space="preserve"> PAGEREF _Toc132299278 \h </w:instrText>
      </w:r>
      <w:r>
        <w:fldChar w:fldCharType="separate"/>
      </w:r>
      <w:r>
        <w:t>61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Circumstances in which review mandatory</w:t>
      </w:r>
      <w:r>
        <w:tab/>
      </w:r>
      <w:r>
        <w:fldChar w:fldCharType="begin"/>
      </w:r>
      <w:r>
        <w:instrText xml:space="preserve"> PAGEREF _Toc132299279 \h </w:instrText>
      </w:r>
      <w:r>
        <w:fldChar w:fldCharType="separate"/>
      </w:r>
      <w:r>
        <w:t>61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Review on application</w:t>
      </w:r>
      <w:r>
        <w:tab/>
      </w:r>
      <w:r>
        <w:fldChar w:fldCharType="begin"/>
      </w:r>
      <w:r>
        <w:instrText xml:space="preserve"> PAGEREF _Toc132299280 \h </w:instrText>
      </w:r>
      <w:r>
        <w:fldChar w:fldCharType="separate"/>
      </w:r>
      <w:r>
        <w:t>62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Leave to apply for review</w:t>
      </w:r>
      <w:r>
        <w:tab/>
      </w:r>
      <w:r>
        <w:fldChar w:fldCharType="begin"/>
      </w:r>
      <w:r>
        <w:instrText xml:space="preserve"> PAGEREF _Toc132299281 \h </w:instrText>
      </w:r>
      <w:r>
        <w:fldChar w:fldCharType="separate"/>
      </w:r>
      <w:r>
        <w:t>63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Application for review</w:t>
      </w:r>
      <w:r>
        <w:tab/>
      </w:r>
      <w:r>
        <w:fldChar w:fldCharType="begin"/>
      </w:r>
      <w:r>
        <w:instrText xml:space="preserve"> PAGEREF _Toc132299282 \h </w:instrText>
      </w:r>
      <w:r>
        <w:fldChar w:fldCharType="separate"/>
      </w:r>
      <w:r>
        <w:t>63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Notice of review</w:t>
      </w:r>
      <w:r>
        <w:tab/>
      </w:r>
      <w:r>
        <w:fldChar w:fldCharType="begin"/>
      </w:r>
      <w:r>
        <w:instrText xml:space="preserve"> PAGEREF _Toc132299283 \h </w:instrText>
      </w:r>
      <w:r>
        <w:fldChar w:fldCharType="separate"/>
      </w:r>
      <w:r>
        <w:t>63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Powers of State Administrative Tribunal on review</w:t>
      </w:r>
      <w:r>
        <w:tab/>
      </w:r>
      <w:r>
        <w:fldChar w:fldCharType="begin"/>
      </w:r>
      <w:r>
        <w:instrText xml:space="preserve"> PAGEREF _Toc132299284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8 — The Public Advocate</w:t>
      </w:r>
    </w:p>
    <w:p>
      <w:pPr>
        <w:pStyle w:val="TOC8"/>
        <w:rPr>
          <w:rFonts w:asciiTheme="minorHAnsi" w:eastAsiaTheme="minorEastAsia" w:hAnsiTheme="minorHAnsi" w:cstheme="minorBidi"/>
          <w:szCs w:val="22"/>
        </w:rPr>
      </w:pPr>
      <w:r>
        <w:t>91</w:t>
      </w:r>
      <w:r>
        <w:rPr>
          <w:snapToGrid w:val="0"/>
        </w:rPr>
        <w:t>.</w:t>
      </w:r>
      <w:r>
        <w:rPr>
          <w:snapToGrid w:val="0"/>
        </w:rPr>
        <w:tab/>
        <w:t>Public Advocate</w:t>
      </w:r>
      <w:r>
        <w:tab/>
      </w:r>
      <w:r>
        <w:fldChar w:fldCharType="begin"/>
      </w:r>
      <w:r>
        <w:instrText xml:space="preserve"> PAGEREF _Toc132299286 \h </w:instrText>
      </w:r>
      <w:r>
        <w:fldChar w:fldCharType="separate"/>
      </w:r>
      <w:r>
        <w:t>66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Resignation, removal etc.</w:t>
      </w:r>
      <w:r>
        <w:tab/>
      </w:r>
      <w:r>
        <w:fldChar w:fldCharType="begin"/>
      </w:r>
      <w:r>
        <w:instrText xml:space="preserve"> PAGEREF _Toc132299287 \h </w:instrText>
      </w:r>
      <w:r>
        <w:fldChar w:fldCharType="separate"/>
      </w:r>
      <w:r>
        <w:t>66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Acting Public Advocate</w:t>
      </w:r>
      <w:r>
        <w:tab/>
      </w:r>
      <w:r>
        <w:fldChar w:fldCharType="begin"/>
      </w:r>
      <w:r>
        <w:instrText xml:space="preserve"> PAGEREF _Toc132299288 \h </w:instrText>
      </w:r>
      <w:r>
        <w:fldChar w:fldCharType="separate"/>
      </w:r>
      <w:r>
        <w:t>67</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Staff</w:t>
      </w:r>
      <w:r>
        <w:tab/>
      </w:r>
      <w:r>
        <w:fldChar w:fldCharType="begin"/>
      </w:r>
      <w:r>
        <w:instrText xml:space="preserve"> PAGEREF _Toc132299289 \h </w:instrText>
      </w:r>
      <w:r>
        <w:fldChar w:fldCharType="separate"/>
      </w:r>
      <w:r>
        <w:t>68</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Powers of delegation</w:t>
      </w:r>
      <w:r>
        <w:tab/>
      </w:r>
      <w:r>
        <w:fldChar w:fldCharType="begin"/>
      </w:r>
      <w:r>
        <w:instrText xml:space="preserve"> PAGEREF _Toc132299290 \h </w:instrText>
      </w:r>
      <w:r>
        <w:fldChar w:fldCharType="separate"/>
      </w:r>
      <w:r>
        <w:t>68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Existing rights etc.</w:t>
      </w:r>
      <w:r>
        <w:tab/>
      </w:r>
      <w:r>
        <w:fldChar w:fldCharType="begin"/>
      </w:r>
      <w:r>
        <w:instrText xml:space="preserve"> PAGEREF _Toc132299291 \h </w:instrText>
      </w:r>
      <w:r>
        <w:fldChar w:fldCharType="separate"/>
      </w:r>
      <w:r>
        <w:t>69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Functions of Public Advocate</w:t>
      </w:r>
      <w:r>
        <w:tab/>
      </w:r>
      <w:r>
        <w:fldChar w:fldCharType="begin"/>
      </w:r>
      <w:r>
        <w:instrText xml:space="preserve"> PAGEREF _Toc132299292 \h </w:instrText>
      </w:r>
      <w:r>
        <w:fldChar w:fldCharType="separate"/>
      </w:r>
      <w:r>
        <w:t>69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Notification to Public Advocate as to mentally impaired accused</w:t>
      </w:r>
      <w:r>
        <w:tab/>
      </w:r>
      <w:r>
        <w:fldChar w:fldCharType="begin"/>
      </w:r>
      <w:r>
        <w:instrText xml:space="preserve"> PAGEREF _Toc132299293 \h </w:instrText>
      </w:r>
      <w:r>
        <w:fldChar w:fldCharType="separate"/>
      </w:r>
      <w:r>
        <w:t>71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Public Advocate to act on death of guardian or administrator</w:t>
      </w:r>
      <w:r>
        <w:tab/>
      </w:r>
      <w:r>
        <w:fldChar w:fldCharType="begin"/>
      </w:r>
      <w:r>
        <w:instrText xml:space="preserve"> PAGEREF _Toc132299294 \h </w:instrText>
      </w:r>
      <w:r>
        <w:fldChar w:fldCharType="separate"/>
      </w:r>
      <w:r>
        <w:t>72</w:t>
      </w:r>
      <w:r>
        <w:fldChar w:fldCharType="end"/>
      </w:r>
    </w:p>
    <w:p>
      <w:pPr>
        <w:pStyle w:val="TOC8"/>
        <w:rPr>
          <w:rFonts w:asciiTheme="minorHAnsi" w:eastAsiaTheme="minorEastAsia" w:hAnsiTheme="minorHAnsi" w:cstheme="minorBidi"/>
          <w:szCs w:val="22"/>
        </w:rPr>
      </w:pPr>
      <w:r>
        <w:lastRenderedPageBreak/>
        <w:t>100</w:t>
      </w:r>
      <w:r>
        <w:rPr>
          <w:snapToGrid w:val="0"/>
        </w:rPr>
        <w:t>.</w:t>
      </w:r>
      <w:r>
        <w:rPr>
          <w:snapToGrid w:val="0"/>
        </w:rPr>
        <w:tab/>
        <w:t>Judicial notice</w:t>
      </w:r>
      <w:r>
        <w:tab/>
      </w:r>
      <w:r>
        <w:fldChar w:fldCharType="begin"/>
      </w:r>
      <w:r>
        <w:instrText xml:space="preserve"> PAGEREF _Toc132299295 \h </w:instrText>
      </w:r>
      <w:r>
        <w:fldChar w:fldCharType="separate"/>
      </w:r>
      <w:r>
        <w:t>72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Annual report of Public Advocate</w:t>
      </w:r>
      <w:r>
        <w:tab/>
      </w:r>
      <w:r>
        <w:fldChar w:fldCharType="begin"/>
      </w:r>
      <w:r>
        <w:instrText xml:space="preserve"> PAGEREF _Toc132299296 \h </w:instrText>
      </w:r>
      <w:r>
        <w:fldChar w:fldCharType="separate"/>
      </w:r>
      <w:r>
        <w:t>73</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Public Advocate may raise matters with Minister</w:t>
      </w:r>
      <w:r>
        <w:tab/>
      </w:r>
      <w:r>
        <w:fldChar w:fldCharType="begin"/>
      </w:r>
      <w:r>
        <w:instrText xml:space="preserve"> PAGEREF _Toc132299297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9 — Enduring powers of attorney</w:t>
      </w:r>
    </w:p>
    <w:p>
      <w:pPr>
        <w:pStyle w:val="TOC8"/>
        <w:rPr>
          <w:rFonts w:asciiTheme="minorHAnsi" w:eastAsiaTheme="minorEastAsia" w:hAnsiTheme="minorHAnsi" w:cstheme="minorBidi"/>
          <w:szCs w:val="22"/>
        </w:rPr>
      </w:pPr>
      <w:r>
        <w:t>102</w:t>
      </w:r>
      <w:r>
        <w:rPr>
          <w:snapToGrid w:val="0"/>
        </w:rPr>
        <w:t>.</w:t>
      </w:r>
      <w:r>
        <w:rPr>
          <w:snapToGrid w:val="0"/>
        </w:rPr>
        <w:tab/>
        <w:t>Terms used</w:t>
      </w:r>
      <w:r>
        <w:tab/>
      </w:r>
      <w:r>
        <w:fldChar w:fldCharType="begin"/>
      </w:r>
      <w:r>
        <w:instrText xml:space="preserve"> PAGEREF _Toc132299299 \h </w:instrText>
      </w:r>
      <w:r>
        <w:fldChar w:fldCharType="separate"/>
      </w:r>
      <w:r>
        <w:t>74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Other Acts</w:t>
      </w:r>
      <w:r>
        <w:tab/>
      </w:r>
      <w:r>
        <w:fldChar w:fldCharType="begin"/>
      </w:r>
      <w:r>
        <w:instrText xml:space="preserve"> PAGEREF _Toc132299300 \h </w:instrText>
      </w:r>
      <w:r>
        <w:fldChar w:fldCharType="separate"/>
      </w:r>
      <w:r>
        <w:t>74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Execution of enduring power of attorney</w:t>
      </w:r>
      <w:r>
        <w:tab/>
      </w:r>
      <w:r>
        <w:fldChar w:fldCharType="begin"/>
      </w:r>
      <w:r>
        <w:instrText xml:space="preserve"> PAGEREF _Toc132299301 \h </w:instrText>
      </w:r>
      <w:r>
        <w:fldChar w:fldCharType="separate"/>
      </w:r>
      <w:r>
        <w:t>74</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Recognition of powers of attorney created in other jurisdictions</w:t>
      </w:r>
      <w:r>
        <w:tab/>
      </w:r>
      <w:r>
        <w:fldChar w:fldCharType="begin"/>
      </w:r>
      <w:r>
        <w:instrText xml:space="preserve"> PAGEREF _Toc132299302 \h </w:instrText>
      </w:r>
      <w:r>
        <w:fldChar w:fldCharType="separate"/>
      </w:r>
      <w:r>
        <w:t>76</w:t>
      </w:r>
      <w:r>
        <w:fldChar w:fldCharType="end"/>
      </w:r>
    </w:p>
    <w:p>
      <w:pPr>
        <w:pStyle w:val="TOC8"/>
        <w:rPr>
          <w:rFonts w:asciiTheme="minorHAnsi" w:eastAsiaTheme="minorEastAsia" w:hAnsiTheme="minorHAnsi" w:cstheme="minorBidi"/>
          <w:szCs w:val="22"/>
        </w:rPr>
      </w:pPr>
      <w:r>
        <w:t>104B.</w:t>
      </w:r>
      <w:r>
        <w:tab/>
        <w:t>Substitute donees</w:t>
      </w:r>
      <w:r>
        <w:tab/>
      </w:r>
      <w:r>
        <w:fldChar w:fldCharType="begin"/>
      </w:r>
      <w:r>
        <w:instrText xml:space="preserve"> PAGEREF _Toc132299303 \h </w:instrText>
      </w:r>
      <w:r>
        <w:fldChar w:fldCharType="separate"/>
      </w:r>
      <w:r>
        <w:t>76</w:t>
      </w:r>
      <w:r>
        <w:fldChar w:fldCharType="end"/>
      </w:r>
    </w:p>
    <w:p>
      <w:pPr>
        <w:pStyle w:val="TOC8"/>
        <w:rPr>
          <w:rFonts w:asciiTheme="minorHAnsi" w:eastAsiaTheme="minorEastAsia" w:hAnsiTheme="minorHAnsi" w:cstheme="minorBidi"/>
          <w:szCs w:val="22"/>
        </w:rPr>
      </w:pPr>
      <w:r>
        <w:t>104C.</w:t>
      </w:r>
      <w:r>
        <w:tab/>
        <w:t>Eligibility for appointment as donee or substitute donee</w:t>
      </w:r>
      <w:r>
        <w:tab/>
      </w:r>
      <w:r>
        <w:fldChar w:fldCharType="begin"/>
      </w:r>
      <w:r>
        <w:instrText xml:space="preserve"> PAGEREF _Toc132299304 \h </w:instrText>
      </w:r>
      <w:r>
        <w:fldChar w:fldCharType="separate"/>
      </w:r>
      <w:r>
        <w:t>77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Enduring power of attorney survives incapacity</w:t>
      </w:r>
      <w:r>
        <w:tab/>
      </w:r>
      <w:r>
        <w:fldChar w:fldCharType="begin"/>
      </w:r>
      <w:r>
        <w:instrText xml:space="preserve"> PAGEREF _Toc132299305 \h </w:instrText>
      </w:r>
      <w:r>
        <w:fldChar w:fldCharType="separate"/>
      </w:r>
      <w:r>
        <w:t>77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Donee may apply for declaration of legal incapacity</w:t>
      </w:r>
      <w:r>
        <w:tab/>
      </w:r>
      <w:r>
        <w:fldChar w:fldCharType="begin"/>
      </w:r>
      <w:r>
        <w:instrText xml:space="preserve"> PAGEREF _Toc132299306 \h </w:instrText>
      </w:r>
      <w:r>
        <w:fldChar w:fldCharType="separate"/>
      </w:r>
      <w:r>
        <w:t>77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Obligations of donee</w:t>
      </w:r>
      <w:r>
        <w:tab/>
      </w:r>
      <w:r>
        <w:fldChar w:fldCharType="begin"/>
      </w:r>
      <w:r>
        <w:instrText xml:space="preserve"> PAGEREF _Toc132299307 \h </w:instrText>
      </w:r>
      <w:r>
        <w:fldChar w:fldCharType="separate"/>
      </w:r>
      <w:r>
        <w:t>78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administrator</w:t>
      </w:r>
      <w:r>
        <w:tab/>
      </w:r>
      <w:r>
        <w:fldChar w:fldCharType="begin"/>
      </w:r>
      <w:r>
        <w:instrText xml:space="preserve"> PAGEREF _Toc132299308 \h </w:instrText>
      </w:r>
      <w:r>
        <w:fldChar w:fldCharType="separate"/>
      </w:r>
      <w:r>
        <w:t>79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On application State Administrative Tribunal may intervene</w:t>
      </w:r>
      <w:r>
        <w:tab/>
      </w:r>
      <w:r>
        <w:fldChar w:fldCharType="begin"/>
      </w:r>
      <w:r>
        <w:instrText xml:space="preserve"> PAGEREF _Toc132299309 \h </w:instrText>
      </w:r>
      <w:r>
        <w:fldChar w:fldCharType="separate"/>
      </w:r>
      <w:r>
        <w:t>80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Notice of application</w:t>
      </w:r>
      <w:r>
        <w:tab/>
      </w:r>
      <w:r>
        <w:fldChar w:fldCharType="begin"/>
      </w:r>
      <w:r>
        <w:instrText xml:space="preserve"> PAGEREF _Toc132299310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9A</w:t>
      </w:r>
      <w:r>
        <w:rPr>
          <w:b w:val="0"/>
        </w:rPr>
        <w:t> </w:t>
      </w:r>
      <w:r>
        <w:t>—</w:t>
      </w:r>
      <w:r>
        <w:rPr>
          <w:b w:val="0"/>
        </w:rPr>
        <w:t> </w:t>
      </w:r>
      <w:r>
        <w:t>Enduring powers of guardianship</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110A.</w:t>
      </w:r>
      <w:r>
        <w:tab/>
        <w:t>Term used: appointor</w:t>
      </w:r>
      <w:r>
        <w:tab/>
      </w:r>
      <w:r>
        <w:fldChar w:fldCharType="begin"/>
      </w:r>
      <w:r>
        <w:instrText xml:space="preserve"> PAGEREF _Toc132299313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Making of enduring power of guardianship</w:t>
      </w:r>
    </w:p>
    <w:p>
      <w:pPr>
        <w:pStyle w:val="TOC8"/>
        <w:rPr>
          <w:rFonts w:asciiTheme="minorHAnsi" w:eastAsiaTheme="minorEastAsia" w:hAnsiTheme="minorHAnsi" w:cstheme="minorBidi"/>
          <w:szCs w:val="22"/>
        </w:rPr>
      </w:pPr>
      <w:r>
        <w:t>110B.</w:t>
      </w:r>
      <w:r>
        <w:tab/>
        <w:t>Appointing enduring guardian</w:t>
      </w:r>
      <w:r>
        <w:tab/>
      </w:r>
      <w:r>
        <w:fldChar w:fldCharType="begin"/>
      </w:r>
      <w:r>
        <w:instrText xml:space="preserve"> PAGEREF _Toc132299315 \h </w:instrText>
      </w:r>
      <w:r>
        <w:fldChar w:fldCharType="separate"/>
      </w:r>
      <w:r>
        <w:t>82</w:t>
      </w:r>
      <w:r>
        <w:fldChar w:fldCharType="end"/>
      </w:r>
    </w:p>
    <w:p>
      <w:pPr>
        <w:pStyle w:val="TOC8"/>
        <w:rPr>
          <w:rFonts w:asciiTheme="minorHAnsi" w:eastAsiaTheme="minorEastAsia" w:hAnsiTheme="minorHAnsi" w:cstheme="minorBidi"/>
          <w:szCs w:val="22"/>
        </w:rPr>
      </w:pPr>
      <w:r>
        <w:t>110C.</w:t>
      </w:r>
      <w:r>
        <w:tab/>
        <w:t>Substitute enduring guardians</w:t>
      </w:r>
      <w:r>
        <w:tab/>
      </w:r>
      <w:r>
        <w:fldChar w:fldCharType="begin"/>
      </w:r>
      <w:r>
        <w:instrText xml:space="preserve"> PAGEREF _Toc132299316 \h </w:instrText>
      </w:r>
      <w:r>
        <w:fldChar w:fldCharType="separate"/>
      </w:r>
      <w:r>
        <w:t>82</w:t>
      </w:r>
      <w:r>
        <w:fldChar w:fldCharType="end"/>
      </w:r>
    </w:p>
    <w:p>
      <w:pPr>
        <w:pStyle w:val="TOC8"/>
        <w:rPr>
          <w:rFonts w:asciiTheme="minorHAnsi" w:eastAsiaTheme="minorEastAsia" w:hAnsiTheme="minorHAnsi" w:cstheme="minorBidi"/>
          <w:szCs w:val="22"/>
        </w:rPr>
      </w:pPr>
      <w:r>
        <w:t>110D.</w:t>
      </w:r>
      <w:r>
        <w:tab/>
        <w:t>Who is eligible to be appointed</w:t>
      </w:r>
      <w:r>
        <w:tab/>
      </w:r>
      <w:r>
        <w:fldChar w:fldCharType="begin"/>
      </w:r>
      <w:r>
        <w:instrText xml:space="preserve"> PAGEREF _Toc132299317 \h </w:instrText>
      </w:r>
      <w:r>
        <w:fldChar w:fldCharType="separate"/>
      </w:r>
      <w:r>
        <w:t>83</w:t>
      </w:r>
      <w:r>
        <w:fldChar w:fldCharType="end"/>
      </w:r>
    </w:p>
    <w:p>
      <w:pPr>
        <w:pStyle w:val="TOC8"/>
        <w:rPr>
          <w:rFonts w:asciiTheme="minorHAnsi" w:eastAsiaTheme="minorEastAsia" w:hAnsiTheme="minorHAnsi" w:cstheme="minorBidi"/>
          <w:szCs w:val="22"/>
        </w:rPr>
      </w:pPr>
      <w:r>
        <w:t>110E.</w:t>
      </w:r>
      <w:r>
        <w:tab/>
        <w:t>Formal requirements</w:t>
      </w:r>
      <w:r>
        <w:tab/>
      </w:r>
      <w:r>
        <w:fldChar w:fldCharType="begin"/>
      </w:r>
      <w:r>
        <w:instrText xml:space="preserve"> PAGEREF _Toc132299318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Operation of enduring power of guardianship</w:t>
      </w:r>
    </w:p>
    <w:p>
      <w:pPr>
        <w:pStyle w:val="TOC8"/>
        <w:rPr>
          <w:rFonts w:asciiTheme="minorHAnsi" w:eastAsiaTheme="minorEastAsia" w:hAnsiTheme="minorHAnsi" w:cstheme="minorBidi"/>
          <w:szCs w:val="22"/>
        </w:rPr>
      </w:pPr>
      <w:r>
        <w:t>110F.</w:t>
      </w:r>
      <w:r>
        <w:tab/>
        <w:t>When enduring guardian may act</w:t>
      </w:r>
      <w:r>
        <w:tab/>
      </w:r>
      <w:r>
        <w:fldChar w:fldCharType="begin"/>
      </w:r>
      <w:r>
        <w:instrText xml:space="preserve"> PAGEREF _Toc132299320 \h </w:instrText>
      </w:r>
      <w:r>
        <w:fldChar w:fldCharType="separate"/>
      </w:r>
      <w:r>
        <w:t>85</w:t>
      </w:r>
      <w:r>
        <w:fldChar w:fldCharType="end"/>
      </w:r>
    </w:p>
    <w:p>
      <w:pPr>
        <w:pStyle w:val="TOC8"/>
        <w:rPr>
          <w:rFonts w:asciiTheme="minorHAnsi" w:eastAsiaTheme="minorEastAsia" w:hAnsiTheme="minorHAnsi" w:cstheme="minorBidi"/>
          <w:szCs w:val="22"/>
        </w:rPr>
      </w:pPr>
      <w:r>
        <w:t>110G.</w:t>
      </w:r>
      <w:r>
        <w:tab/>
        <w:t>Functions generally</w:t>
      </w:r>
      <w:r>
        <w:tab/>
      </w:r>
      <w:r>
        <w:fldChar w:fldCharType="begin"/>
      </w:r>
      <w:r>
        <w:instrText xml:space="preserve"> PAGEREF _Toc132299321 \h </w:instrText>
      </w:r>
      <w:r>
        <w:fldChar w:fldCharType="separate"/>
      </w:r>
      <w:r>
        <w:t>85</w:t>
      </w:r>
      <w:r>
        <w:fldChar w:fldCharType="end"/>
      </w:r>
    </w:p>
    <w:p>
      <w:pPr>
        <w:pStyle w:val="TOC8"/>
        <w:rPr>
          <w:rFonts w:asciiTheme="minorHAnsi" w:eastAsiaTheme="minorEastAsia" w:hAnsiTheme="minorHAnsi" w:cstheme="minorBidi"/>
          <w:szCs w:val="22"/>
        </w:rPr>
      </w:pPr>
      <w:r>
        <w:t>110H.</w:t>
      </w:r>
      <w:r>
        <w:tab/>
        <w:t>Certain provisions apply in relation to enduring guardian and appointor</w:t>
      </w:r>
      <w:r>
        <w:tab/>
      </w:r>
      <w:r>
        <w:fldChar w:fldCharType="begin"/>
      </w:r>
      <w:r>
        <w:instrText xml:space="preserve"> PAGEREF _Toc132299322 \h </w:instrText>
      </w:r>
      <w:r>
        <w:fldChar w:fldCharType="separate"/>
      </w:r>
      <w:r>
        <w:t>85</w:t>
      </w:r>
      <w:r>
        <w:fldChar w:fldCharType="end"/>
      </w:r>
    </w:p>
    <w:p>
      <w:pPr>
        <w:pStyle w:val="TOC8"/>
        <w:rPr>
          <w:rFonts w:asciiTheme="minorHAnsi" w:eastAsiaTheme="minorEastAsia" w:hAnsiTheme="minorHAnsi" w:cstheme="minorBidi"/>
          <w:szCs w:val="22"/>
        </w:rPr>
      </w:pPr>
      <w:r>
        <w:lastRenderedPageBreak/>
        <w:t>110I.</w:t>
      </w:r>
      <w:r>
        <w:tab/>
        <w:t>Priority of enduring power of guardianship</w:t>
      </w:r>
      <w:r>
        <w:tab/>
      </w:r>
      <w:r>
        <w:fldChar w:fldCharType="begin"/>
      </w:r>
      <w:r>
        <w:instrText xml:space="preserve"> PAGEREF _Toc132299323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 — Jurisdiction of State Administrative Tribunal</w:t>
      </w:r>
    </w:p>
    <w:p>
      <w:pPr>
        <w:pStyle w:val="TOC8"/>
        <w:rPr>
          <w:rFonts w:asciiTheme="minorHAnsi" w:eastAsiaTheme="minorEastAsia" w:hAnsiTheme="minorHAnsi" w:cstheme="minorBidi"/>
          <w:szCs w:val="22"/>
        </w:rPr>
      </w:pPr>
      <w:r>
        <w:t>110J.</w:t>
      </w:r>
      <w:r>
        <w:tab/>
        <w:t>Who may apply</w:t>
      </w:r>
      <w:r>
        <w:tab/>
      </w:r>
      <w:r>
        <w:fldChar w:fldCharType="begin"/>
      </w:r>
      <w:r>
        <w:instrText xml:space="preserve"> PAGEREF _Toc132299325 \h </w:instrText>
      </w:r>
      <w:r>
        <w:fldChar w:fldCharType="separate"/>
      </w:r>
      <w:r>
        <w:t>86</w:t>
      </w:r>
      <w:r>
        <w:fldChar w:fldCharType="end"/>
      </w:r>
    </w:p>
    <w:p>
      <w:pPr>
        <w:pStyle w:val="TOC8"/>
        <w:rPr>
          <w:rFonts w:asciiTheme="minorHAnsi" w:eastAsiaTheme="minorEastAsia" w:hAnsiTheme="minorHAnsi" w:cstheme="minorBidi"/>
          <w:szCs w:val="22"/>
        </w:rPr>
      </w:pPr>
      <w:r>
        <w:t>110K.</w:t>
      </w:r>
      <w:r>
        <w:tab/>
        <w:t>Declaration about validity of enduring power of guardianship</w:t>
      </w:r>
      <w:r>
        <w:tab/>
      </w:r>
      <w:r>
        <w:fldChar w:fldCharType="begin"/>
      </w:r>
      <w:r>
        <w:instrText xml:space="preserve"> PAGEREF _Toc132299326 \h </w:instrText>
      </w:r>
      <w:r>
        <w:fldChar w:fldCharType="separate"/>
      </w:r>
      <w:r>
        <w:t>87</w:t>
      </w:r>
      <w:r>
        <w:fldChar w:fldCharType="end"/>
      </w:r>
    </w:p>
    <w:p>
      <w:pPr>
        <w:pStyle w:val="TOC8"/>
        <w:rPr>
          <w:rFonts w:asciiTheme="minorHAnsi" w:eastAsiaTheme="minorEastAsia" w:hAnsiTheme="minorHAnsi" w:cstheme="minorBidi"/>
          <w:szCs w:val="22"/>
        </w:rPr>
      </w:pPr>
      <w:r>
        <w:t>110L.</w:t>
      </w:r>
      <w:r>
        <w:tab/>
        <w:t>Declaration of incapacity of appointor</w:t>
      </w:r>
      <w:r>
        <w:tab/>
      </w:r>
      <w:r>
        <w:fldChar w:fldCharType="begin"/>
      </w:r>
      <w:r>
        <w:instrText xml:space="preserve"> PAGEREF _Toc132299327 \h </w:instrText>
      </w:r>
      <w:r>
        <w:fldChar w:fldCharType="separate"/>
      </w:r>
      <w:r>
        <w:t>87</w:t>
      </w:r>
      <w:r>
        <w:fldChar w:fldCharType="end"/>
      </w:r>
    </w:p>
    <w:p>
      <w:pPr>
        <w:pStyle w:val="TOC8"/>
        <w:rPr>
          <w:rFonts w:asciiTheme="minorHAnsi" w:eastAsiaTheme="minorEastAsia" w:hAnsiTheme="minorHAnsi" w:cstheme="minorBidi"/>
          <w:szCs w:val="22"/>
        </w:rPr>
      </w:pPr>
      <w:r>
        <w:t>110M.</w:t>
      </w:r>
      <w:r>
        <w:tab/>
        <w:t>Directions as to construction of terms etc.</w:t>
      </w:r>
      <w:r>
        <w:tab/>
      </w:r>
      <w:r>
        <w:fldChar w:fldCharType="begin"/>
      </w:r>
      <w:r>
        <w:instrText xml:space="preserve"> PAGEREF _Toc132299328 \h </w:instrText>
      </w:r>
      <w:r>
        <w:fldChar w:fldCharType="separate"/>
      </w:r>
      <w:r>
        <w:t>87</w:t>
      </w:r>
      <w:r>
        <w:fldChar w:fldCharType="end"/>
      </w:r>
    </w:p>
    <w:p>
      <w:pPr>
        <w:pStyle w:val="TOC8"/>
        <w:rPr>
          <w:rFonts w:asciiTheme="minorHAnsi" w:eastAsiaTheme="minorEastAsia" w:hAnsiTheme="minorHAnsi" w:cstheme="minorBidi"/>
          <w:szCs w:val="22"/>
        </w:rPr>
      </w:pPr>
      <w:r>
        <w:t>110N.</w:t>
      </w:r>
      <w:r>
        <w:tab/>
        <w:t>Revocation or variation of enduring power of guardianship</w:t>
      </w:r>
      <w:r>
        <w:tab/>
      </w:r>
      <w:r>
        <w:fldChar w:fldCharType="begin"/>
      </w:r>
      <w:r>
        <w:instrText xml:space="preserve"> PAGEREF _Toc132299329 \h </w:instrText>
      </w:r>
      <w:r>
        <w:fldChar w:fldCharType="separate"/>
      </w:r>
      <w:r>
        <w:t>87</w:t>
      </w:r>
      <w:r>
        <w:fldChar w:fldCharType="end"/>
      </w:r>
    </w:p>
    <w:p>
      <w:pPr>
        <w:pStyle w:val="TOC8"/>
        <w:rPr>
          <w:rFonts w:asciiTheme="minorHAnsi" w:eastAsiaTheme="minorEastAsia" w:hAnsiTheme="minorHAnsi" w:cstheme="minorBidi"/>
          <w:szCs w:val="22"/>
        </w:rPr>
      </w:pPr>
      <w:r>
        <w:t>110O.</w:t>
      </w:r>
      <w:r>
        <w:tab/>
        <w:t>Recognition of instrument created in another jurisdiction</w:t>
      </w:r>
      <w:r>
        <w:tab/>
      </w:r>
      <w:r>
        <w:fldChar w:fldCharType="begin"/>
      </w:r>
      <w:r>
        <w:instrText xml:space="preserve"> PAGEREF _Toc132299330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9B</w:t>
      </w:r>
      <w:r>
        <w:rPr>
          <w:b w:val="0"/>
        </w:rPr>
        <w:t> </w:t>
      </w:r>
      <w:r>
        <w:t>—</w:t>
      </w:r>
      <w:r>
        <w:rPr>
          <w:b w:val="0"/>
        </w:rPr>
        <w:t> </w:t>
      </w:r>
      <w:r>
        <w:t>Advance health directives</w:t>
      </w:r>
    </w:p>
    <w:p>
      <w:pPr>
        <w:pStyle w:val="TOC4"/>
        <w:tabs>
          <w:tab w:val="right" w:leader="dot" w:pos="7077"/>
        </w:tabs>
        <w:rPr>
          <w:rFonts w:asciiTheme="minorHAnsi" w:eastAsiaTheme="minorEastAsia" w:hAnsiTheme="minorHAnsi" w:cstheme="minorBidi"/>
          <w:b w:val="0"/>
          <w:szCs w:val="22"/>
        </w:rPr>
      </w:pPr>
      <w:r>
        <w:t>Division 1 — Making of advance health directive</w:t>
      </w:r>
    </w:p>
    <w:p>
      <w:pPr>
        <w:pStyle w:val="TOC8"/>
        <w:rPr>
          <w:rFonts w:asciiTheme="minorHAnsi" w:eastAsiaTheme="minorEastAsia" w:hAnsiTheme="minorHAnsi" w:cstheme="minorBidi"/>
          <w:szCs w:val="22"/>
        </w:rPr>
      </w:pPr>
      <w:r>
        <w:t>110P.</w:t>
      </w:r>
      <w:r>
        <w:tab/>
        <w:t>Making advance health directive</w:t>
      </w:r>
      <w:r>
        <w:tab/>
      </w:r>
      <w:r>
        <w:fldChar w:fldCharType="begin"/>
      </w:r>
      <w:r>
        <w:instrText xml:space="preserve"> PAGEREF _Toc132299333 \h </w:instrText>
      </w:r>
      <w:r>
        <w:fldChar w:fldCharType="separate"/>
      </w:r>
      <w:r>
        <w:t>89</w:t>
      </w:r>
      <w:r>
        <w:fldChar w:fldCharType="end"/>
      </w:r>
    </w:p>
    <w:p>
      <w:pPr>
        <w:pStyle w:val="TOC8"/>
        <w:rPr>
          <w:rFonts w:asciiTheme="minorHAnsi" w:eastAsiaTheme="minorEastAsia" w:hAnsiTheme="minorHAnsi" w:cstheme="minorBidi"/>
          <w:szCs w:val="22"/>
        </w:rPr>
      </w:pPr>
      <w:r>
        <w:t>110Q.</w:t>
      </w:r>
      <w:r>
        <w:tab/>
        <w:t>Formal requirements</w:t>
      </w:r>
      <w:r>
        <w:tab/>
      </w:r>
      <w:r>
        <w:fldChar w:fldCharType="begin"/>
      </w:r>
      <w:r>
        <w:instrText xml:space="preserve"> PAGEREF _Toc132299334 \h </w:instrText>
      </w:r>
      <w:r>
        <w:fldChar w:fldCharType="separate"/>
      </w:r>
      <w:r>
        <w:t>89</w:t>
      </w:r>
      <w:r>
        <w:fldChar w:fldCharType="end"/>
      </w:r>
    </w:p>
    <w:p>
      <w:pPr>
        <w:pStyle w:val="TOC8"/>
        <w:rPr>
          <w:rFonts w:asciiTheme="minorHAnsi" w:eastAsiaTheme="minorEastAsia" w:hAnsiTheme="minorHAnsi" w:cstheme="minorBidi"/>
          <w:szCs w:val="22"/>
        </w:rPr>
      </w:pPr>
      <w:r>
        <w:t>110QA.</w:t>
      </w:r>
      <w:r>
        <w:tab/>
        <w:t>Maker may indicate in directive whether advice obtained</w:t>
      </w:r>
      <w:r>
        <w:tab/>
      </w:r>
      <w:r>
        <w:fldChar w:fldCharType="begin"/>
      </w:r>
      <w:r>
        <w:instrText xml:space="preserve"> PAGEREF _Toc132299335 \h </w:instrText>
      </w:r>
      <w:r>
        <w:fldChar w:fldCharType="separate"/>
      </w:r>
      <w:r>
        <w:t>90</w:t>
      </w:r>
      <w:r>
        <w:fldChar w:fldCharType="end"/>
      </w:r>
    </w:p>
    <w:p>
      <w:pPr>
        <w:pStyle w:val="TOC8"/>
        <w:rPr>
          <w:rFonts w:asciiTheme="minorHAnsi" w:eastAsiaTheme="minorEastAsia" w:hAnsiTheme="minorHAnsi" w:cstheme="minorBidi"/>
          <w:szCs w:val="22"/>
        </w:rPr>
      </w:pPr>
      <w:r>
        <w:t>110R.</w:t>
      </w:r>
      <w:r>
        <w:tab/>
        <w:t>Requirements in relation to treatment decision in advance health directive</w:t>
      </w:r>
      <w:r>
        <w:tab/>
      </w:r>
      <w:r>
        <w:fldChar w:fldCharType="begin"/>
      </w:r>
      <w:r>
        <w:instrText xml:space="preserve"> PAGEREF _Toc132299336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 — Operation of advance health directive</w:t>
      </w:r>
    </w:p>
    <w:p>
      <w:pPr>
        <w:pStyle w:val="TOC8"/>
        <w:rPr>
          <w:rFonts w:asciiTheme="minorHAnsi" w:eastAsiaTheme="minorEastAsia" w:hAnsiTheme="minorHAnsi" w:cstheme="minorBidi"/>
          <w:szCs w:val="22"/>
        </w:rPr>
      </w:pPr>
      <w:r>
        <w:t>110S.</w:t>
      </w:r>
      <w:r>
        <w:tab/>
        <w:t>Operation generally</w:t>
      </w:r>
      <w:r>
        <w:tab/>
      </w:r>
      <w:r>
        <w:fldChar w:fldCharType="begin"/>
      </w:r>
      <w:r>
        <w:instrText xml:space="preserve"> PAGEREF _Toc132299338 \h </w:instrText>
      </w:r>
      <w:r>
        <w:fldChar w:fldCharType="separate"/>
      </w:r>
      <w:r>
        <w:t>91</w:t>
      </w:r>
      <w:r>
        <w:fldChar w:fldCharType="end"/>
      </w:r>
    </w:p>
    <w:p>
      <w:pPr>
        <w:pStyle w:val="TOC8"/>
        <w:rPr>
          <w:rFonts w:asciiTheme="minorHAnsi" w:eastAsiaTheme="minorEastAsia" w:hAnsiTheme="minorHAnsi" w:cstheme="minorBidi"/>
          <w:szCs w:val="22"/>
        </w:rPr>
      </w:pPr>
      <w:r>
        <w:t>110T.</w:t>
      </w:r>
      <w:r>
        <w:tab/>
        <w:t>Effect of subsequent enduring power of guardianship</w:t>
      </w:r>
      <w:r>
        <w:tab/>
      </w:r>
      <w:r>
        <w:fldChar w:fldCharType="begin"/>
      </w:r>
      <w:r>
        <w:instrText xml:space="preserve"> PAGEREF _Toc132299339 \h </w:instrText>
      </w:r>
      <w:r>
        <w:fldChar w:fldCharType="separate"/>
      </w:r>
      <w:r>
        <w:t>93</w:t>
      </w:r>
      <w:r>
        <w:fldChar w:fldCharType="end"/>
      </w:r>
    </w:p>
    <w:p>
      <w:pPr>
        <w:pStyle w:val="TOC8"/>
        <w:rPr>
          <w:rFonts w:asciiTheme="minorHAnsi" w:eastAsiaTheme="minorEastAsia" w:hAnsiTheme="minorHAnsi" w:cstheme="minorBidi"/>
          <w:szCs w:val="22"/>
        </w:rPr>
      </w:pPr>
      <w:r>
        <w:t>110U.</w:t>
      </w:r>
      <w:r>
        <w:tab/>
        <w:t>Priority of treatment decision in advance health directive</w:t>
      </w:r>
      <w:r>
        <w:tab/>
      </w:r>
      <w:r>
        <w:fldChar w:fldCharType="begin"/>
      </w:r>
      <w:r>
        <w:instrText xml:space="preserve"> PAGEREF _Toc132299340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110V.</w:t>
      </w:r>
      <w:r>
        <w:tab/>
        <w:t>Who may apply</w:t>
      </w:r>
      <w:r>
        <w:tab/>
      </w:r>
      <w:r>
        <w:fldChar w:fldCharType="begin"/>
      </w:r>
      <w:r>
        <w:instrText xml:space="preserve"> PAGEREF _Toc132299342 \h </w:instrText>
      </w:r>
      <w:r>
        <w:fldChar w:fldCharType="separate"/>
      </w:r>
      <w:r>
        <w:t>93</w:t>
      </w:r>
      <w:r>
        <w:fldChar w:fldCharType="end"/>
      </w:r>
    </w:p>
    <w:p>
      <w:pPr>
        <w:pStyle w:val="TOC8"/>
        <w:rPr>
          <w:rFonts w:asciiTheme="minorHAnsi" w:eastAsiaTheme="minorEastAsia" w:hAnsiTheme="minorHAnsi" w:cstheme="minorBidi"/>
          <w:szCs w:val="22"/>
        </w:rPr>
      </w:pPr>
      <w:r>
        <w:t>110W.</w:t>
      </w:r>
      <w:r>
        <w:tab/>
        <w:t>Declaration about validity of directive or treatment decision</w:t>
      </w:r>
      <w:r>
        <w:tab/>
      </w:r>
      <w:r>
        <w:fldChar w:fldCharType="begin"/>
      </w:r>
      <w:r>
        <w:instrText xml:space="preserve"> PAGEREF _Toc132299343 \h </w:instrText>
      </w:r>
      <w:r>
        <w:fldChar w:fldCharType="separate"/>
      </w:r>
      <w:r>
        <w:t>93</w:t>
      </w:r>
      <w:r>
        <w:fldChar w:fldCharType="end"/>
      </w:r>
    </w:p>
    <w:p>
      <w:pPr>
        <w:pStyle w:val="TOC8"/>
        <w:rPr>
          <w:rFonts w:asciiTheme="minorHAnsi" w:eastAsiaTheme="minorEastAsia" w:hAnsiTheme="minorHAnsi" w:cstheme="minorBidi"/>
          <w:szCs w:val="22"/>
        </w:rPr>
      </w:pPr>
      <w:r>
        <w:t>110X.</w:t>
      </w:r>
      <w:r>
        <w:tab/>
        <w:t>Declaration of incapacity of maker</w:t>
      </w:r>
      <w:r>
        <w:tab/>
      </w:r>
      <w:r>
        <w:fldChar w:fldCharType="begin"/>
      </w:r>
      <w:r>
        <w:instrText xml:space="preserve"> PAGEREF _Toc132299344 \h </w:instrText>
      </w:r>
      <w:r>
        <w:fldChar w:fldCharType="separate"/>
      </w:r>
      <w:r>
        <w:t>94</w:t>
      </w:r>
      <w:r>
        <w:fldChar w:fldCharType="end"/>
      </w:r>
    </w:p>
    <w:p>
      <w:pPr>
        <w:pStyle w:val="TOC8"/>
        <w:rPr>
          <w:rFonts w:asciiTheme="minorHAnsi" w:eastAsiaTheme="minorEastAsia" w:hAnsiTheme="minorHAnsi" w:cstheme="minorBidi"/>
          <w:szCs w:val="22"/>
        </w:rPr>
      </w:pPr>
      <w:r>
        <w:t>110Y.</w:t>
      </w:r>
      <w:r>
        <w:tab/>
        <w:t>Directions as to construction of terms etc.</w:t>
      </w:r>
      <w:r>
        <w:tab/>
      </w:r>
      <w:r>
        <w:fldChar w:fldCharType="begin"/>
      </w:r>
      <w:r>
        <w:instrText xml:space="preserve"> PAGEREF _Toc132299345 \h </w:instrText>
      </w:r>
      <w:r>
        <w:fldChar w:fldCharType="separate"/>
      </w:r>
      <w:r>
        <w:t>94</w:t>
      </w:r>
      <w:r>
        <w:fldChar w:fldCharType="end"/>
      </w:r>
    </w:p>
    <w:p>
      <w:pPr>
        <w:pStyle w:val="TOC8"/>
        <w:rPr>
          <w:rFonts w:asciiTheme="minorHAnsi" w:eastAsiaTheme="minorEastAsia" w:hAnsiTheme="minorHAnsi" w:cstheme="minorBidi"/>
          <w:szCs w:val="22"/>
        </w:rPr>
      </w:pPr>
      <w:r>
        <w:t>110Z.</w:t>
      </w:r>
      <w:r>
        <w:tab/>
        <w:t>Declaration that treatment decision has been revoked</w:t>
      </w:r>
      <w:r>
        <w:tab/>
      </w:r>
      <w:r>
        <w:fldChar w:fldCharType="begin"/>
      </w:r>
      <w:r>
        <w:instrText xml:space="preserve"> PAGEREF _Toc132299346 \h </w:instrText>
      </w:r>
      <w:r>
        <w:fldChar w:fldCharType="separate"/>
      </w:r>
      <w:r>
        <w:t>94</w:t>
      </w:r>
      <w:r>
        <w:fldChar w:fldCharType="end"/>
      </w:r>
    </w:p>
    <w:p>
      <w:pPr>
        <w:pStyle w:val="TOC8"/>
        <w:rPr>
          <w:rFonts w:asciiTheme="minorHAnsi" w:eastAsiaTheme="minorEastAsia" w:hAnsiTheme="minorHAnsi" w:cstheme="minorBidi"/>
          <w:szCs w:val="22"/>
        </w:rPr>
      </w:pPr>
      <w:r>
        <w:lastRenderedPageBreak/>
        <w:t>110ZA.</w:t>
      </w:r>
      <w:r>
        <w:tab/>
        <w:t>Recognition of instrument created in another jurisdiction</w:t>
      </w:r>
      <w:r>
        <w:tab/>
      </w:r>
      <w:r>
        <w:fldChar w:fldCharType="begin"/>
      </w:r>
      <w:r>
        <w:instrText xml:space="preserve"> PAGEREF _Toc132299347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110ZB.</w:t>
      </w:r>
      <w:r>
        <w:tab/>
        <w:t>Common law preserved</w:t>
      </w:r>
      <w:r>
        <w:tab/>
      </w:r>
      <w:r>
        <w:fldChar w:fldCharType="begin"/>
      </w:r>
      <w:r>
        <w:instrText xml:space="preserve"> PAGEREF _Toc132299349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9C</w:t>
      </w:r>
      <w:r>
        <w:rPr>
          <w:b w:val="0"/>
        </w:rPr>
        <w:t> </w:t>
      </w:r>
      <w:r>
        <w:t>—</w:t>
      </w:r>
      <w:r>
        <w:rPr>
          <w:b w:val="0"/>
        </w:rPr>
        <w:t> </w:t>
      </w:r>
      <w:r>
        <w:t>Persons responsible for patients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110ZC.</w:t>
      </w:r>
      <w:r>
        <w:tab/>
        <w:t>Term used: patient</w:t>
      </w:r>
      <w:r>
        <w:tab/>
      </w:r>
      <w:r>
        <w:fldChar w:fldCharType="begin"/>
      </w:r>
      <w:r>
        <w:instrText xml:space="preserve"> PAGEREF _Toc132299352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Treatment decisions by persons responsible for patients</w:t>
      </w:r>
    </w:p>
    <w:p>
      <w:pPr>
        <w:pStyle w:val="TOC8"/>
        <w:rPr>
          <w:rFonts w:asciiTheme="minorHAnsi" w:eastAsiaTheme="minorEastAsia" w:hAnsiTheme="minorHAnsi" w:cstheme="minorBidi"/>
          <w:szCs w:val="22"/>
        </w:rPr>
      </w:pPr>
      <w:r>
        <w:t>110ZD.</w:t>
      </w:r>
      <w:r>
        <w:tab/>
        <w:t>Circumstances in which person responsible may make treatment decision</w:t>
      </w:r>
      <w:r>
        <w:tab/>
      </w:r>
      <w:r>
        <w:fldChar w:fldCharType="begin"/>
      </w:r>
      <w:r>
        <w:instrText xml:space="preserve"> PAGEREF _Toc132299354 \h </w:instrText>
      </w:r>
      <w:r>
        <w:fldChar w:fldCharType="separate"/>
      </w:r>
      <w:r>
        <w:t>96</w:t>
      </w:r>
      <w:r>
        <w:fldChar w:fldCharType="end"/>
      </w:r>
    </w:p>
    <w:p>
      <w:pPr>
        <w:pStyle w:val="TOC8"/>
        <w:rPr>
          <w:rFonts w:asciiTheme="minorHAnsi" w:eastAsiaTheme="minorEastAsia" w:hAnsiTheme="minorHAnsi" w:cstheme="minorBidi"/>
          <w:szCs w:val="22"/>
        </w:rPr>
      </w:pPr>
      <w:r>
        <w:t>110ZE.</w:t>
      </w:r>
      <w:r>
        <w:tab/>
        <w:t>Priority of treatment decision of person responsible</w:t>
      </w:r>
      <w:r>
        <w:tab/>
      </w:r>
      <w:r>
        <w:fldChar w:fldCharType="begin"/>
      </w:r>
      <w:r>
        <w:instrText xml:space="preserve"> PAGEREF _Toc132299355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110ZF.</w:t>
      </w:r>
      <w:r>
        <w:tab/>
        <w:t>Who may apply</w:t>
      </w:r>
      <w:r>
        <w:tab/>
      </w:r>
      <w:r>
        <w:fldChar w:fldCharType="begin"/>
      </w:r>
      <w:r>
        <w:instrText xml:space="preserve"> PAGEREF _Toc132299357 \h </w:instrText>
      </w:r>
      <w:r>
        <w:fldChar w:fldCharType="separate"/>
      </w:r>
      <w:r>
        <w:t>98</w:t>
      </w:r>
      <w:r>
        <w:fldChar w:fldCharType="end"/>
      </w:r>
    </w:p>
    <w:p>
      <w:pPr>
        <w:pStyle w:val="TOC8"/>
        <w:rPr>
          <w:rFonts w:asciiTheme="minorHAnsi" w:eastAsiaTheme="minorEastAsia" w:hAnsiTheme="minorHAnsi" w:cstheme="minorBidi"/>
          <w:szCs w:val="22"/>
        </w:rPr>
      </w:pPr>
      <w:r>
        <w:t>110ZG.</w:t>
      </w:r>
      <w:r>
        <w:tab/>
        <w:t>Declaration that person responsible may make treatment decision</w:t>
      </w:r>
      <w:r>
        <w:tab/>
      </w:r>
      <w:r>
        <w:fldChar w:fldCharType="begin"/>
      </w:r>
      <w:r>
        <w:instrText xml:space="preserve"> PAGEREF _Toc132299358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9D</w:t>
      </w:r>
      <w:r>
        <w:rPr>
          <w:b w:val="0"/>
        </w:rPr>
        <w:t> </w:t>
      </w:r>
      <w:r>
        <w:t>—</w:t>
      </w:r>
      <w:r>
        <w:rPr>
          <w:b w:val="0"/>
        </w:rPr>
        <w:t> </w:t>
      </w:r>
      <w:r>
        <w:t>Treatment decisions in relation to patients under legal incapacity</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110ZH.</w:t>
      </w:r>
      <w:r>
        <w:tab/>
        <w:t>Terms used</w:t>
      </w:r>
      <w:r>
        <w:tab/>
      </w:r>
      <w:r>
        <w:fldChar w:fldCharType="begin"/>
      </w:r>
      <w:r>
        <w:instrText xml:space="preserve"> PAGEREF _Toc132299361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Provision of treatment</w:t>
      </w:r>
    </w:p>
    <w:p>
      <w:pPr>
        <w:pStyle w:val="TOC8"/>
        <w:rPr>
          <w:rFonts w:asciiTheme="minorHAnsi" w:eastAsiaTheme="minorEastAsia" w:hAnsiTheme="minorHAnsi" w:cstheme="minorBidi"/>
          <w:szCs w:val="22"/>
        </w:rPr>
      </w:pPr>
      <w:r>
        <w:t>110ZI.</w:t>
      </w:r>
      <w:r>
        <w:tab/>
        <w:t>Urgent treatment generally</w:t>
      </w:r>
      <w:r>
        <w:tab/>
      </w:r>
      <w:r>
        <w:fldChar w:fldCharType="begin"/>
      </w:r>
      <w:r>
        <w:instrText xml:space="preserve"> PAGEREF _Toc132299363 \h </w:instrText>
      </w:r>
      <w:r>
        <w:fldChar w:fldCharType="separate"/>
      </w:r>
      <w:r>
        <w:t>101</w:t>
      </w:r>
      <w:r>
        <w:fldChar w:fldCharType="end"/>
      </w:r>
    </w:p>
    <w:p>
      <w:pPr>
        <w:pStyle w:val="TOC8"/>
        <w:rPr>
          <w:rFonts w:asciiTheme="minorHAnsi" w:eastAsiaTheme="minorEastAsia" w:hAnsiTheme="minorHAnsi" w:cstheme="minorBidi"/>
          <w:szCs w:val="22"/>
        </w:rPr>
      </w:pPr>
      <w:r>
        <w:t>110ZIA.</w:t>
      </w:r>
      <w:r>
        <w:tab/>
        <w:t>Urgent treatment after attempted suicide</w:t>
      </w:r>
      <w:r>
        <w:tab/>
      </w:r>
      <w:r>
        <w:fldChar w:fldCharType="begin"/>
      </w:r>
      <w:r>
        <w:instrText xml:space="preserve"> PAGEREF _Toc132299364 \h </w:instrText>
      </w:r>
      <w:r>
        <w:fldChar w:fldCharType="separate"/>
      </w:r>
      <w:r>
        <w:t>101</w:t>
      </w:r>
      <w:r>
        <w:fldChar w:fldCharType="end"/>
      </w:r>
    </w:p>
    <w:p>
      <w:pPr>
        <w:pStyle w:val="TOC8"/>
        <w:rPr>
          <w:rFonts w:asciiTheme="minorHAnsi" w:eastAsiaTheme="minorEastAsia" w:hAnsiTheme="minorHAnsi" w:cstheme="minorBidi"/>
          <w:szCs w:val="22"/>
        </w:rPr>
      </w:pPr>
      <w:r>
        <w:t>110ZJ.</w:t>
      </w:r>
      <w:r>
        <w:tab/>
        <w:t>Order of priority of persons who may make treatment decision in relation to patient</w:t>
      </w:r>
      <w:r>
        <w:tab/>
      </w:r>
      <w:r>
        <w:fldChar w:fldCharType="begin"/>
      </w:r>
      <w:r>
        <w:instrText xml:space="preserve"> PAGEREF _Toc132299365 \h </w:instrText>
      </w:r>
      <w:r>
        <w:fldChar w:fldCharType="separate"/>
      </w:r>
      <w:r>
        <w:t>102</w:t>
      </w:r>
      <w:r>
        <w:fldChar w:fldCharType="end"/>
      </w:r>
    </w:p>
    <w:p>
      <w:pPr>
        <w:pStyle w:val="TOC8"/>
        <w:rPr>
          <w:rFonts w:asciiTheme="minorHAnsi" w:eastAsiaTheme="minorEastAsia" w:hAnsiTheme="minorHAnsi" w:cstheme="minorBidi"/>
          <w:szCs w:val="22"/>
        </w:rPr>
      </w:pPr>
      <w:r>
        <w:t>110ZK.</w:t>
      </w:r>
      <w:r>
        <w:tab/>
        <w:t>Reliance by health professional on treatment decision</w:t>
      </w:r>
      <w:r>
        <w:tab/>
      </w:r>
      <w:r>
        <w:fldChar w:fldCharType="begin"/>
      </w:r>
      <w:r>
        <w:instrText xml:space="preserve"> PAGEREF _Toc132299366 \h </w:instrText>
      </w:r>
      <w:r>
        <w:fldChar w:fldCharType="separate"/>
      </w:r>
      <w:r>
        <w:t>103</w:t>
      </w:r>
      <w:r>
        <w:fldChar w:fldCharType="end"/>
      </w:r>
    </w:p>
    <w:p>
      <w:pPr>
        <w:pStyle w:val="TOC8"/>
        <w:rPr>
          <w:rFonts w:asciiTheme="minorHAnsi" w:eastAsiaTheme="minorEastAsia" w:hAnsiTheme="minorHAnsi" w:cstheme="minorBidi"/>
          <w:szCs w:val="22"/>
        </w:rPr>
      </w:pPr>
      <w:r>
        <w:t>110ZL.</w:t>
      </w:r>
      <w:r>
        <w:tab/>
        <w:t>Validity of certain treatment decisions</w:t>
      </w:r>
      <w:r>
        <w:tab/>
      </w:r>
      <w:r>
        <w:fldChar w:fldCharType="begin"/>
      </w:r>
      <w:r>
        <w:instrText xml:space="preserve"> PAGEREF _Toc132299367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110ZM.</w:t>
      </w:r>
      <w:r>
        <w:tab/>
        <w:t>Who may apply</w:t>
      </w:r>
      <w:r>
        <w:tab/>
      </w:r>
      <w:r>
        <w:fldChar w:fldCharType="begin"/>
      </w:r>
      <w:r>
        <w:instrText xml:space="preserve"> PAGEREF _Toc132299369 \h </w:instrText>
      </w:r>
      <w:r>
        <w:fldChar w:fldCharType="separate"/>
      </w:r>
      <w:r>
        <w:t>105</w:t>
      </w:r>
      <w:r>
        <w:fldChar w:fldCharType="end"/>
      </w:r>
    </w:p>
    <w:p>
      <w:pPr>
        <w:pStyle w:val="TOC8"/>
        <w:rPr>
          <w:rFonts w:asciiTheme="minorHAnsi" w:eastAsiaTheme="minorEastAsia" w:hAnsiTheme="minorHAnsi" w:cstheme="minorBidi"/>
          <w:szCs w:val="22"/>
        </w:rPr>
      </w:pPr>
      <w:r>
        <w:lastRenderedPageBreak/>
        <w:t>110ZN.</w:t>
      </w:r>
      <w:r>
        <w:tab/>
        <w:t>Declaration as to who may make treatment decision</w:t>
      </w:r>
      <w:r>
        <w:tab/>
      </w:r>
      <w:r>
        <w:fldChar w:fldCharType="begin"/>
      </w:r>
      <w:r>
        <w:instrText xml:space="preserve"> PAGEREF _Toc132299370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9E</w:t>
      </w:r>
      <w:r>
        <w:rPr>
          <w:color w:val="000000" w:themeColor="text1"/>
        </w:rPr>
        <w:t> — </w:t>
      </w:r>
      <w:r>
        <w:t>Medical research</w:t>
      </w:r>
    </w:p>
    <w:p>
      <w:pPr>
        <w:pStyle w:val="TOC4"/>
        <w:tabs>
          <w:tab w:val="right" w:leader="dot" w:pos="7077"/>
        </w:tabs>
        <w:rPr>
          <w:rFonts w:asciiTheme="minorHAnsi" w:eastAsiaTheme="minorEastAsia" w:hAnsiTheme="minorHAnsi" w:cstheme="minorBidi"/>
          <w:b w:val="0"/>
          <w:szCs w:val="22"/>
        </w:rPr>
      </w:pPr>
      <w:r>
        <w:t>Division 1</w:t>
      </w:r>
      <w:r>
        <w:rPr>
          <w:color w:val="000000" w:themeColor="text1"/>
        </w:rPr>
        <w:t> — </w:t>
      </w:r>
      <w:r>
        <w:t>Preliminary</w:t>
      </w:r>
    </w:p>
    <w:p>
      <w:pPr>
        <w:pStyle w:val="TOC8"/>
        <w:rPr>
          <w:rFonts w:asciiTheme="minorHAnsi" w:eastAsiaTheme="minorEastAsia" w:hAnsiTheme="minorHAnsi" w:cstheme="minorBidi"/>
          <w:szCs w:val="22"/>
        </w:rPr>
      </w:pPr>
      <w:r>
        <w:t>110ZO</w:t>
      </w:r>
      <w:r>
        <w:rPr>
          <w:color w:val="000000" w:themeColor="text1"/>
        </w:rPr>
        <w:t>.</w:t>
      </w:r>
      <w:r>
        <w:rPr>
          <w:color w:val="000000" w:themeColor="text1"/>
        </w:rPr>
        <w:tab/>
        <w:t>Terms used</w:t>
      </w:r>
      <w:r>
        <w:tab/>
      </w:r>
      <w:r>
        <w:fldChar w:fldCharType="begin"/>
      </w:r>
      <w:r>
        <w:instrText xml:space="preserve"> PAGEREF _Toc132299373 \h </w:instrText>
      </w:r>
      <w:r>
        <w:fldChar w:fldCharType="separate"/>
      </w:r>
      <w:r>
        <w:t>107</w:t>
      </w:r>
      <w:r>
        <w:fldChar w:fldCharType="end"/>
      </w:r>
    </w:p>
    <w:p>
      <w:pPr>
        <w:pStyle w:val="TOC8"/>
        <w:rPr>
          <w:rFonts w:asciiTheme="minorHAnsi" w:eastAsiaTheme="minorEastAsia" w:hAnsiTheme="minorHAnsi" w:cstheme="minorBidi"/>
          <w:szCs w:val="22"/>
        </w:rPr>
      </w:pPr>
      <w:r>
        <w:t>110ZP</w:t>
      </w:r>
      <w:r>
        <w:rPr>
          <w:color w:val="000000" w:themeColor="text1"/>
        </w:rPr>
        <w:t>.</w:t>
      </w:r>
      <w:r>
        <w:rPr>
          <w:color w:val="000000" w:themeColor="text1"/>
        </w:rPr>
        <w:tab/>
        <w:t>Term used: research decision</w:t>
      </w:r>
      <w:r>
        <w:rPr>
          <w:color w:val="000000" w:themeColor="text1"/>
        </w:rPr>
        <w:noBreakHyphen/>
        <w:t>maker</w:t>
      </w:r>
      <w:r>
        <w:tab/>
      </w:r>
      <w:r>
        <w:fldChar w:fldCharType="begin"/>
      </w:r>
      <w:r>
        <w:instrText xml:space="preserve"> PAGEREF _Toc132299374 \h </w:instrText>
      </w:r>
      <w:r>
        <w:fldChar w:fldCharType="separate"/>
      </w:r>
      <w:r>
        <w:t>108</w:t>
      </w:r>
      <w:r>
        <w:fldChar w:fldCharType="end"/>
      </w:r>
    </w:p>
    <w:p>
      <w:pPr>
        <w:pStyle w:val="TOC8"/>
        <w:rPr>
          <w:rFonts w:asciiTheme="minorHAnsi" w:eastAsiaTheme="minorEastAsia" w:hAnsiTheme="minorHAnsi" w:cstheme="minorBidi"/>
          <w:szCs w:val="22"/>
        </w:rPr>
      </w:pPr>
      <w:r>
        <w:t>110ZQ</w:t>
      </w:r>
      <w:r>
        <w:rPr>
          <w:color w:val="000000" w:themeColor="text1"/>
        </w:rPr>
        <w:t>.</w:t>
      </w:r>
      <w:r>
        <w:rPr>
          <w:color w:val="000000" w:themeColor="text1"/>
        </w:rPr>
        <w:tab/>
        <w:t>Substitute decision</w:t>
      </w:r>
      <w:r>
        <w:rPr>
          <w:color w:val="000000" w:themeColor="text1"/>
        </w:rPr>
        <w:noBreakHyphen/>
        <w:t>maker for a research candidate</w:t>
      </w:r>
      <w:r>
        <w:tab/>
      </w:r>
      <w:r>
        <w:fldChar w:fldCharType="begin"/>
      </w:r>
      <w:r>
        <w:instrText xml:space="preserve"> PAGEREF _Toc132299375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w:t>
      </w:r>
      <w:r>
        <w:rPr>
          <w:color w:val="000000" w:themeColor="text1"/>
        </w:rPr>
        <w:t> — </w:t>
      </w:r>
      <w:r>
        <w:t>Decisions about medical research</w:t>
      </w:r>
    </w:p>
    <w:p>
      <w:pPr>
        <w:pStyle w:val="TOC8"/>
        <w:rPr>
          <w:rFonts w:asciiTheme="minorHAnsi" w:eastAsiaTheme="minorEastAsia" w:hAnsiTheme="minorHAnsi" w:cstheme="minorBidi"/>
          <w:szCs w:val="22"/>
        </w:rPr>
      </w:pPr>
      <w:r>
        <w:t>110ZR</w:t>
      </w:r>
      <w:r>
        <w:rPr>
          <w:color w:val="000000" w:themeColor="text1"/>
        </w:rPr>
        <w:t>.</w:t>
      </w:r>
      <w:r>
        <w:rPr>
          <w:color w:val="000000" w:themeColor="text1"/>
        </w:rPr>
        <w:tab/>
        <w:t>Medical research with consent of research decision</w:t>
      </w:r>
      <w:r>
        <w:rPr>
          <w:color w:val="000000" w:themeColor="text1"/>
        </w:rPr>
        <w:noBreakHyphen/>
        <w:t>maker</w:t>
      </w:r>
      <w:r>
        <w:tab/>
      </w:r>
      <w:r>
        <w:fldChar w:fldCharType="begin"/>
      </w:r>
      <w:r>
        <w:instrText xml:space="preserve"> PAGEREF _Toc132299377 \h </w:instrText>
      </w:r>
      <w:r>
        <w:fldChar w:fldCharType="separate"/>
      </w:r>
      <w:r>
        <w:t>111</w:t>
      </w:r>
      <w:r>
        <w:fldChar w:fldCharType="end"/>
      </w:r>
    </w:p>
    <w:p>
      <w:pPr>
        <w:pStyle w:val="TOC8"/>
        <w:rPr>
          <w:rFonts w:asciiTheme="minorHAnsi" w:eastAsiaTheme="minorEastAsia" w:hAnsiTheme="minorHAnsi" w:cstheme="minorBidi"/>
          <w:szCs w:val="22"/>
        </w:rPr>
      </w:pPr>
      <w:r>
        <w:t>110ZS</w:t>
      </w:r>
      <w:r>
        <w:rPr>
          <w:color w:val="000000" w:themeColor="text1"/>
        </w:rPr>
        <w:t>.</w:t>
      </w:r>
      <w:r>
        <w:rPr>
          <w:color w:val="000000" w:themeColor="text1"/>
        </w:rPr>
        <w:tab/>
        <w:t>Urgent medical research without consent</w:t>
      </w:r>
      <w:r>
        <w:tab/>
      </w:r>
      <w:r>
        <w:fldChar w:fldCharType="begin"/>
      </w:r>
      <w:r>
        <w:instrText xml:space="preserve"> PAGEREF _Toc132299378 \h </w:instrText>
      </w:r>
      <w:r>
        <w:fldChar w:fldCharType="separate"/>
      </w:r>
      <w:r>
        <w:t>114</w:t>
      </w:r>
      <w:r>
        <w:fldChar w:fldCharType="end"/>
      </w:r>
    </w:p>
    <w:p>
      <w:pPr>
        <w:pStyle w:val="TOC8"/>
        <w:rPr>
          <w:rFonts w:asciiTheme="minorHAnsi" w:eastAsiaTheme="minorEastAsia" w:hAnsiTheme="minorHAnsi" w:cstheme="minorBidi"/>
          <w:szCs w:val="22"/>
        </w:rPr>
      </w:pPr>
      <w:r>
        <w:t>110ZT</w:t>
      </w:r>
      <w:r>
        <w:rPr>
          <w:color w:val="000000" w:themeColor="text1"/>
        </w:rPr>
        <w:t>.</w:t>
      </w:r>
      <w:r>
        <w:rPr>
          <w:color w:val="000000" w:themeColor="text1"/>
        </w:rPr>
        <w:tab/>
        <w:t>Particular medical research not permitted</w:t>
      </w:r>
      <w:r>
        <w:tab/>
      </w:r>
      <w:r>
        <w:fldChar w:fldCharType="begin"/>
      </w:r>
      <w:r>
        <w:instrText xml:space="preserve"> PAGEREF _Toc132299379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3</w:t>
      </w:r>
      <w:r>
        <w:rPr>
          <w:color w:val="000000" w:themeColor="text1"/>
        </w:rPr>
        <w:t> — </w:t>
      </w:r>
      <w:r>
        <w:t>Provisions about research decisions and urgent medical research decisions</w:t>
      </w:r>
    </w:p>
    <w:p>
      <w:pPr>
        <w:pStyle w:val="TOC8"/>
        <w:rPr>
          <w:rFonts w:asciiTheme="minorHAnsi" w:eastAsiaTheme="minorEastAsia" w:hAnsiTheme="minorHAnsi" w:cstheme="minorBidi"/>
          <w:szCs w:val="22"/>
        </w:rPr>
      </w:pPr>
      <w:r>
        <w:t>110ZU</w:t>
      </w:r>
      <w:r>
        <w:rPr>
          <w:color w:val="000000" w:themeColor="text1"/>
        </w:rPr>
        <w:t>.</w:t>
      </w:r>
      <w:r>
        <w:rPr>
          <w:color w:val="000000" w:themeColor="text1"/>
        </w:rPr>
        <w:tab/>
        <w:t>Assessment by independent medical practitioner of research candidate’s best interests</w:t>
      </w:r>
      <w:r>
        <w:tab/>
      </w:r>
      <w:r>
        <w:fldChar w:fldCharType="begin"/>
      </w:r>
      <w:r>
        <w:instrText xml:space="preserve"> PAGEREF _Toc132299381 \h </w:instrText>
      </w:r>
      <w:r>
        <w:fldChar w:fldCharType="separate"/>
      </w:r>
      <w:r>
        <w:t>117</w:t>
      </w:r>
      <w:r>
        <w:fldChar w:fldCharType="end"/>
      </w:r>
    </w:p>
    <w:p>
      <w:pPr>
        <w:pStyle w:val="TOC8"/>
        <w:rPr>
          <w:rFonts w:asciiTheme="minorHAnsi" w:eastAsiaTheme="minorEastAsia" w:hAnsiTheme="minorHAnsi" w:cstheme="minorBidi"/>
          <w:szCs w:val="22"/>
        </w:rPr>
      </w:pPr>
      <w:r>
        <w:t>110ZV</w:t>
      </w:r>
      <w:r>
        <w:rPr>
          <w:color w:val="000000" w:themeColor="text1"/>
        </w:rPr>
        <w:t>.</w:t>
      </w:r>
      <w:r>
        <w:rPr>
          <w:color w:val="000000" w:themeColor="text1"/>
        </w:rPr>
        <w:tab/>
        <w:t>Assessment by independent medical practitioner of likelihood of research candidate regaining ability to consent</w:t>
      </w:r>
      <w:r>
        <w:tab/>
      </w:r>
      <w:r>
        <w:fldChar w:fldCharType="begin"/>
      </w:r>
      <w:r>
        <w:instrText xml:space="preserve"> PAGEREF _Toc132299382 \h </w:instrText>
      </w:r>
      <w:r>
        <w:fldChar w:fldCharType="separate"/>
      </w:r>
      <w:r>
        <w:t>118</w:t>
      </w:r>
      <w:r>
        <w:fldChar w:fldCharType="end"/>
      </w:r>
    </w:p>
    <w:p>
      <w:pPr>
        <w:pStyle w:val="TOC8"/>
        <w:rPr>
          <w:rFonts w:asciiTheme="minorHAnsi" w:eastAsiaTheme="minorEastAsia" w:hAnsiTheme="minorHAnsi" w:cstheme="minorBidi"/>
          <w:szCs w:val="22"/>
        </w:rPr>
      </w:pPr>
      <w:r>
        <w:t>110ZW</w:t>
      </w:r>
      <w:r>
        <w:rPr>
          <w:color w:val="000000" w:themeColor="text1"/>
        </w:rPr>
        <w:t>.</w:t>
      </w:r>
      <w:r>
        <w:rPr>
          <w:color w:val="000000" w:themeColor="text1"/>
        </w:rPr>
        <w:tab/>
        <w:t>Assessment by independent medical practitioner of risks</w:t>
      </w:r>
      <w:r>
        <w:tab/>
      </w:r>
      <w:r>
        <w:fldChar w:fldCharType="begin"/>
      </w:r>
      <w:r>
        <w:instrText xml:space="preserve"> PAGEREF _Toc132299383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4</w:t>
      </w:r>
      <w:r>
        <w:rPr>
          <w:color w:val="000000" w:themeColor="text1"/>
        </w:rPr>
        <w:t> — </w:t>
      </w:r>
      <w:r>
        <w:t>Effect of research decisions and urgent medical research decisions</w:t>
      </w:r>
    </w:p>
    <w:p>
      <w:pPr>
        <w:pStyle w:val="TOC8"/>
        <w:rPr>
          <w:rFonts w:asciiTheme="minorHAnsi" w:eastAsiaTheme="minorEastAsia" w:hAnsiTheme="minorHAnsi" w:cstheme="minorBidi"/>
          <w:szCs w:val="22"/>
        </w:rPr>
      </w:pPr>
      <w:r>
        <w:t>110ZX</w:t>
      </w:r>
      <w:r>
        <w:rPr>
          <w:color w:val="000000" w:themeColor="text1"/>
        </w:rPr>
        <w:t>.</w:t>
      </w:r>
      <w:r>
        <w:rPr>
          <w:color w:val="000000" w:themeColor="text1"/>
        </w:rPr>
        <w:tab/>
        <w:t>Reliance by researcher on research decision or urgent medical research decision</w:t>
      </w:r>
      <w:r>
        <w:tab/>
      </w:r>
      <w:r>
        <w:fldChar w:fldCharType="begin"/>
      </w:r>
      <w:r>
        <w:instrText xml:space="preserve"> PAGEREF _Toc132299385 \h </w:instrText>
      </w:r>
      <w:r>
        <w:fldChar w:fldCharType="separate"/>
      </w:r>
      <w:r>
        <w:t>120</w:t>
      </w:r>
      <w:r>
        <w:fldChar w:fldCharType="end"/>
      </w:r>
    </w:p>
    <w:p>
      <w:pPr>
        <w:pStyle w:val="TOC8"/>
        <w:rPr>
          <w:rFonts w:asciiTheme="minorHAnsi" w:eastAsiaTheme="minorEastAsia" w:hAnsiTheme="minorHAnsi" w:cstheme="minorBidi"/>
          <w:szCs w:val="22"/>
        </w:rPr>
      </w:pPr>
      <w:r>
        <w:t>110ZY</w:t>
      </w:r>
      <w:r>
        <w:rPr>
          <w:color w:val="000000" w:themeColor="text1"/>
        </w:rPr>
        <w:t>.</w:t>
      </w:r>
      <w:r>
        <w:rPr>
          <w:color w:val="000000" w:themeColor="text1"/>
        </w:rPr>
        <w:tab/>
        <w:t>Validity of certain research decisions or urgent medical research decisions</w:t>
      </w:r>
      <w:r>
        <w:tab/>
      </w:r>
      <w:r>
        <w:fldChar w:fldCharType="begin"/>
      </w:r>
      <w:r>
        <w:instrText xml:space="preserve"> PAGEREF _Toc132299386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5</w:t>
      </w:r>
      <w:r>
        <w:rPr>
          <w:color w:val="000000" w:themeColor="text1"/>
        </w:rPr>
        <w:t> — </w:t>
      </w:r>
      <w:r>
        <w:t>Jurisdiction of State Administrative Tribunal</w:t>
      </w:r>
    </w:p>
    <w:p>
      <w:pPr>
        <w:pStyle w:val="TOC8"/>
        <w:rPr>
          <w:rFonts w:asciiTheme="minorHAnsi" w:eastAsiaTheme="minorEastAsia" w:hAnsiTheme="minorHAnsi" w:cstheme="minorBidi"/>
          <w:szCs w:val="22"/>
        </w:rPr>
      </w:pPr>
      <w:r>
        <w:t>110ZZ</w:t>
      </w:r>
      <w:r>
        <w:rPr>
          <w:color w:val="000000" w:themeColor="text1"/>
        </w:rPr>
        <w:t>.</w:t>
      </w:r>
      <w:r>
        <w:rPr>
          <w:color w:val="000000" w:themeColor="text1"/>
        </w:rPr>
        <w:tab/>
        <w:t>Applying for review of decision made under this Part</w:t>
      </w:r>
      <w:r>
        <w:tab/>
      </w:r>
      <w:r>
        <w:fldChar w:fldCharType="begin"/>
      </w:r>
      <w:r>
        <w:instrText xml:space="preserve"> PAGEREF _Toc132299388 \h </w:instrText>
      </w:r>
      <w:r>
        <w:fldChar w:fldCharType="separate"/>
      </w:r>
      <w:r>
        <w:t>123</w:t>
      </w:r>
      <w:r>
        <w:fldChar w:fldCharType="end"/>
      </w:r>
    </w:p>
    <w:p>
      <w:pPr>
        <w:pStyle w:val="TOC8"/>
        <w:rPr>
          <w:rFonts w:asciiTheme="minorHAnsi" w:eastAsiaTheme="minorEastAsia" w:hAnsiTheme="minorHAnsi" w:cstheme="minorBidi"/>
          <w:szCs w:val="22"/>
        </w:rPr>
      </w:pPr>
      <w:r>
        <w:t>110ZZA</w:t>
      </w:r>
      <w:r>
        <w:rPr>
          <w:color w:val="000000" w:themeColor="text1"/>
        </w:rPr>
        <w:t>.</w:t>
      </w:r>
      <w:r>
        <w:rPr>
          <w:color w:val="000000" w:themeColor="text1"/>
        </w:rPr>
        <w:tab/>
        <w:t>Procedure on review</w:t>
      </w:r>
      <w:r>
        <w:tab/>
      </w:r>
      <w:r>
        <w:fldChar w:fldCharType="begin"/>
      </w:r>
      <w:r>
        <w:instrText xml:space="preserve"> PAGEREF _Toc132299389 \h </w:instrText>
      </w:r>
      <w:r>
        <w:fldChar w:fldCharType="separate"/>
      </w:r>
      <w:r>
        <w:t>123</w:t>
      </w:r>
      <w:r>
        <w:fldChar w:fldCharType="end"/>
      </w:r>
    </w:p>
    <w:p>
      <w:pPr>
        <w:pStyle w:val="TOC8"/>
        <w:rPr>
          <w:rFonts w:asciiTheme="minorHAnsi" w:eastAsiaTheme="minorEastAsia" w:hAnsiTheme="minorHAnsi" w:cstheme="minorBidi"/>
          <w:szCs w:val="22"/>
        </w:rPr>
      </w:pPr>
      <w:r>
        <w:t>110ZZB</w:t>
      </w:r>
      <w:r>
        <w:rPr>
          <w:color w:val="000000" w:themeColor="text1"/>
        </w:rPr>
        <w:t>.</w:t>
      </w:r>
      <w:r>
        <w:rPr>
          <w:color w:val="000000" w:themeColor="text1"/>
        </w:rPr>
        <w:tab/>
        <w:t>Effect of State Administrative Tribunal’s decision under this Division</w:t>
      </w:r>
      <w:r>
        <w:tab/>
      </w:r>
      <w:r>
        <w:fldChar w:fldCharType="begin"/>
      </w:r>
      <w:r>
        <w:instrText xml:space="preserve"> PAGEREF _Toc132299390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w:t>
      </w:r>
      <w:r>
        <w:rPr>
          <w:color w:val="000000" w:themeColor="text1"/>
        </w:rPr>
        <w:t> — </w:t>
      </w:r>
      <w:r>
        <w:t>Reporting</w:t>
      </w:r>
    </w:p>
    <w:p>
      <w:pPr>
        <w:pStyle w:val="TOC8"/>
        <w:rPr>
          <w:rFonts w:asciiTheme="minorHAnsi" w:eastAsiaTheme="minorEastAsia" w:hAnsiTheme="minorHAnsi" w:cstheme="minorBidi"/>
          <w:szCs w:val="22"/>
        </w:rPr>
      </w:pPr>
      <w:r>
        <w:t>110ZZC</w:t>
      </w:r>
      <w:r>
        <w:rPr>
          <w:color w:val="000000" w:themeColor="text1"/>
        </w:rPr>
        <w:t>.</w:t>
      </w:r>
      <w:r>
        <w:rPr>
          <w:color w:val="000000" w:themeColor="text1"/>
        </w:rPr>
        <w:tab/>
        <w:t>Researcher to report medical research conducted under this Part to Health Minister</w:t>
      </w:r>
      <w:r>
        <w:tab/>
      </w:r>
      <w:r>
        <w:fldChar w:fldCharType="begin"/>
      </w:r>
      <w:r>
        <w:instrText xml:space="preserve"> PAGEREF _Toc132299392 \h </w:instrText>
      </w:r>
      <w:r>
        <w:fldChar w:fldCharType="separate"/>
      </w:r>
      <w:r>
        <w:t>125</w:t>
      </w:r>
      <w:r>
        <w:fldChar w:fldCharType="end"/>
      </w:r>
    </w:p>
    <w:p>
      <w:pPr>
        <w:pStyle w:val="TOC8"/>
        <w:rPr>
          <w:rFonts w:asciiTheme="minorHAnsi" w:eastAsiaTheme="minorEastAsia" w:hAnsiTheme="minorHAnsi" w:cstheme="minorBidi"/>
          <w:szCs w:val="22"/>
        </w:rPr>
      </w:pPr>
      <w:r>
        <w:t>110ZZD</w:t>
      </w:r>
      <w:r>
        <w:rPr>
          <w:color w:val="000000" w:themeColor="text1"/>
        </w:rPr>
        <w:t>.</w:t>
      </w:r>
      <w:r>
        <w:rPr>
          <w:color w:val="000000" w:themeColor="text1"/>
        </w:rPr>
        <w:tab/>
        <w:t>Health Minister to report to Parliament on medical research carried out under this Part</w:t>
      </w:r>
      <w:r>
        <w:tab/>
      </w:r>
      <w:r>
        <w:fldChar w:fldCharType="begin"/>
      </w:r>
      <w:r>
        <w:instrText xml:space="preserve"> PAGEREF _Toc132299393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7</w:t>
      </w:r>
      <w:r>
        <w:rPr>
          <w:color w:val="000000" w:themeColor="text1"/>
        </w:rPr>
        <w:t> — </w:t>
      </w:r>
      <w:r>
        <w:t>Reviews</w:t>
      </w:r>
    </w:p>
    <w:p>
      <w:pPr>
        <w:pStyle w:val="TOC8"/>
        <w:rPr>
          <w:rFonts w:asciiTheme="minorHAnsi" w:eastAsiaTheme="minorEastAsia" w:hAnsiTheme="minorHAnsi" w:cstheme="minorBidi"/>
          <w:szCs w:val="22"/>
        </w:rPr>
      </w:pPr>
      <w:r>
        <w:t>110ZZE</w:t>
      </w:r>
      <w:r>
        <w:rPr>
          <w:color w:val="000000" w:themeColor="text1"/>
        </w:rPr>
        <w:t>.</w:t>
      </w:r>
      <w:r>
        <w:rPr>
          <w:color w:val="000000" w:themeColor="text1"/>
        </w:rPr>
        <w:tab/>
        <w:t>Review of this Part</w:t>
      </w:r>
      <w:r>
        <w:tab/>
      </w:r>
      <w:r>
        <w:fldChar w:fldCharType="begin"/>
      </w:r>
      <w:r>
        <w:instrText xml:space="preserve"> PAGEREF _Toc132299395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 provisions</w:t>
      </w:r>
    </w:p>
    <w:p>
      <w:pPr>
        <w:pStyle w:val="TOC8"/>
        <w:rPr>
          <w:rFonts w:asciiTheme="minorHAnsi" w:eastAsiaTheme="minorEastAsia" w:hAnsiTheme="minorHAnsi" w:cstheme="minorBidi"/>
          <w:szCs w:val="22"/>
        </w:rPr>
      </w:pPr>
      <w:r>
        <w:t>111</w:t>
      </w:r>
      <w:r>
        <w:rPr>
          <w:snapToGrid w:val="0"/>
        </w:rPr>
        <w:t>.</w:t>
      </w:r>
      <w:r>
        <w:rPr>
          <w:snapToGrid w:val="0"/>
        </w:rPr>
        <w:tab/>
        <w:t>Declaration as to capacity to vote</w:t>
      </w:r>
      <w:r>
        <w:tab/>
      </w:r>
      <w:r>
        <w:fldChar w:fldCharType="begin"/>
      </w:r>
      <w:r>
        <w:instrText xml:space="preserve"> PAGEREF _Toc132299397 \h </w:instrText>
      </w:r>
      <w:r>
        <w:fldChar w:fldCharType="separate"/>
      </w:r>
      <w:r>
        <w:t>128</w:t>
      </w:r>
      <w:r>
        <w:fldChar w:fldCharType="end"/>
      </w:r>
    </w:p>
    <w:p>
      <w:pPr>
        <w:pStyle w:val="TOC8"/>
        <w:rPr>
          <w:rFonts w:asciiTheme="minorHAnsi" w:eastAsiaTheme="minorEastAsia" w:hAnsiTheme="minorHAnsi" w:cstheme="minorBidi"/>
          <w:szCs w:val="22"/>
        </w:rPr>
      </w:pPr>
      <w:r>
        <w:t>111A.</w:t>
      </w:r>
      <w:r>
        <w:tab/>
        <w:t xml:space="preserve">Applications under </w:t>
      </w:r>
      <w:r>
        <w:rPr>
          <w:i/>
          <w:iCs/>
        </w:rPr>
        <w:t xml:space="preserve">Wills Act 1970 </w:t>
      </w:r>
      <w:r>
        <w:t>s. 40</w:t>
      </w:r>
      <w:r>
        <w:tab/>
      </w:r>
      <w:r>
        <w:fldChar w:fldCharType="begin"/>
      </w:r>
      <w:r>
        <w:instrText xml:space="preserve"> PAGEREF _Toc132299398 \h </w:instrText>
      </w:r>
      <w:r>
        <w:fldChar w:fldCharType="separate"/>
      </w:r>
      <w:r>
        <w:t>129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Inspection of records</w:t>
      </w:r>
      <w:r>
        <w:tab/>
      </w:r>
      <w:r>
        <w:fldChar w:fldCharType="begin"/>
      </w:r>
      <w:r>
        <w:instrText xml:space="preserve"> PAGEREF _Toc132299399 \h </w:instrText>
      </w:r>
      <w:r>
        <w:fldChar w:fldCharType="separate"/>
      </w:r>
      <w:r>
        <w:t>129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Confidentiality</w:t>
      </w:r>
      <w:r>
        <w:tab/>
      </w:r>
      <w:r>
        <w:fldChar w:fldCharType="begin"/>
      </w:r>
      <w:r>
        <w:instrText xml:space="preserve"> PAGEREF _Toc132299400 \h </w:instrText>
      </w:r>
      <w:r>
        <w:fldChar w:fldCharType="separate"/>
      </w:r>
      <w:r>
        <w:t>130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Immunity</w:t>
      </w:r>
      <w:r>
        <w:tab/>
      </w:r>
      <w:r>
        <w:fldChar w:fldCharType="begin"/>
      </w:r>
      <w:r>
        <w:instrText xml:space="preserve"> PAGEREF _Toc132299401 \h </w:instrText>
      </w:r>
      <w:r>
        <w:fldChar w:fldCharType="separate"/>
      </w:r>
      <w:r>
        <w:t>131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Service of notices</w:t>
      </w:r>
      <w:r>
        <w:tab/>
      </w:r>
      <w:r>
        <w:fldChar w:fldCharType="begin"/>
      </w:r>
      <w:r>
        <w:instrText xml:space="preserve"> PAGEREF _Toc132299402 \h </w:instrText>
      </w:r>
      <w:r>
        <w:fldChar w:fldCharType="separate"/>
      </w:r>
      <w:r>
        <w:t>131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Remuneration</w:t>
      </w:r>
      <w:r>
        <w:tab/>
      </w:r>
      <w:r>
        <w:fldChar w:fldCharType="begin"/>
      </w:r>
      <w:r>
        <w:instrText xml:space="preserve"> PAGEREF _Toc132299403 \h </w:instrText>
      </w:r>
      <w:r>
        <w:fldChar w:fldCharType="separate"/>
      </w:r>
      <w:r>
        <w:t>132</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Expenses</w:t>
      </w:r>
      <w:r>
        <w:tab/>
      </w:r>
      <w:r>
        <w:fldChar w:fldCharType="begin"/>
      </w:r>
      <w:r>
        <w:instrText xml:space="preserve"> PAGEREF _Toc132299404 \h </w:instrText>
      </w:r>
      <w:r>
        <w:fldChar w:fldCharType="separate"/>
      </w:r>
      <w:r>
        <w:t>133</w:t>
      </w:r>
      <w:r>
        <w:fldChar w:fldCharType="end"/>
      </w:r>
    </w:p>
    <w:p>
      <w:pPr>
        <w:pStyle w:val="TOC8"/>
        <w:rPr>
          <w:rFonts w:asciiTheme="minorHAnsi" w:eastAsiaTheme="minorEastAsia" w:hAnsiTheme="minorHAnsi" w:cstheme="minorBidi"/>
          <w:szCs w:val="22"/>
        </w:rPr>
      </w:pPr>
      <w:r>
        <w:t>119.</w:t>
      </w:r>
      <w:r>
        <w:tab/>
        <w:t>Order of priority of enduring guardian and guardian for matters other than treatment decisions</w:t>
      </w:r>
      <w:r>
        <w:tab/>
      </w:r>
      <w:r>
        <w:fldChar w:fldCharType="begin"/>
      </w:r>
      <w:r>
        <w:instrText xml:space="preserve"> PAGEREF _Toc132299405 \h </w:instrText>
      </w:r>
      <w:r>
        <w:fldChar w:fldCharType="separate"/>
      </w:r>
      <w:r>
        <w:t>133</w:t>
      </w:r>
      <w:r>
        <w:fldChar w:fldCharType="end"/>
      </w:r>
    </w:p>
    <w:p>
      <w:pPr>
        <w:pStyle w:val="TOC8"/>
        <w:rPr>
          <w:rFonts w:asciiTheme="minorHAnsi" w:eastAsiaTheme="minorEastAsia" w:hAnsiTheme="minorHAnsi" w:cstheme="minorBidi"/>
          <w:szCs w:val="22"/>
        </w:rPr>
      </w:pPr>
      <w:r>
        <w:t>119A.</w:t>
      </w:r>
      <w:r>
        <w:tab/>
        <w:t>No fee for application to State Administrative Tribunal</w:t>
      </w:r>
      <w:r>
        <w:tab/>
      </w:r>
      <w:r>
        <w:fldChar w:fldCharType="begin"/>
      </w:r>
      <w:r>
        <w:instrText xml:space="preserve"> PAGEREF _Toc132299406 \h </w:instrText>
      </w:r>
      <w:r>
        <w:fldChar w:fldCharType="separate"/>
      </w:r>
      <w:r>
        <w:t>134</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Regulations</w:t>
      </w:r>
      <w:r>
        <w:tab/>
      </w:r>
      <w:r>
        <w:fldChar w:fldCharType="begin"/>
      </w:r>
      <w:r>
        <w:instrText xml:space="preserve"> PAGEREF _Toc132299407 \h </w:instrText>
      </w:r>
      <w:r>
        <w:fldChar w:fldCharType="separate"/>
      </w:r>
      <w:r>
        <w:t>134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Transitional provisions</w:t>
      </w:r>
      <w:r>
        <w:tab/>
      </w:r>
      <w:r>
        <w:fldChar w:fldCharType="begin"/>
      </w:r>
      <w:r>
        <w:instrText xml:space="preserve"> PAGEREF _Toc132299408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 — Provisions as to proceedings of State Administrative Tribunal</w:t>
      </w:r>
    </w:p>
    <w:p>
      <w:pPr>
        <w:pStyle w:val="TOC8"/>
        <w:rPr>
          <w:rFonts w:asciiTheme="minorHAnsi" w:eastAsiaTheme="minorEastAsia" w:hAnsiTheme="minorHAnsi" w:cstheme="minorBidi"/>
          <w:szCs w:val="22"/>
        </w:rPr>
      </w:pPr>
      <w:r>
        <w:t>11.</w:t>
      </w:r>
      <w:r>
        <w:tab/>
        <w:t>Hearings</w:t>
      </w:r>
      <w:r>
        <w:tab/>
      </w:r>
      <w:r>
        <w:fldChar w:fldCharType="begin"/>
      </w:r>
      <w:r>
        <w:instrText xml:space="preserve"> PAGEREF _Toc132299410 \h </w:instrText>
      </w:r>
      <w:r>
        <w:fldChar w:fldCharType="separate"/>
      </w:r>
      <w:r>
        <w:t>135</w:t>
      </w:r>
      <w:r>
        <w:fldChar w:fldCharType="end"/>
      </w:r>
    </w:p>
    <w:p>
      <w:pPr>
        <w:pStyle w:val="TOC8"/>
        <w:rPr>
          <w:rFonts w:asciiTheme="minorHAnsi" w:eastAsiaTheme="minorEastAsia" w:hAnsiTheme="minorHAnsi" w:cstheme="minorBidi"/>
          <w:szCs w:val="22"/>
        </w:rPr>
      </w:pPr>
      <w:r>
        <w:t>12.</w:t>
      </w:r>
      <w:r>
        <w:tab/>
        <w:t>Limitations on publication of proceedings</w:t>
      </w:r>
      <w:r>
        <w:tab/>
      </w:r>
      <w:r>
        <w:fldChar w:fldCharType="begin"/>
      </w:r>
      <w:r>
        <w:instrText xml:space="preserve"> PAGEREF _Toc132299411 \h </w:instrText>
      </w:r>
      <w:r>
        <w:fldChar w:fldCharType="separate"/>
      </w:r>
      <w:r>
        <w:t>135</w:t>
      </w:r>
      <w:r>
        <w:fldChar w:fldCharType="end"/>
      </w:r>
    </w:p>
    <w:p>
      <w:pPr>
        <w:pStyle w:val="TOC8"/>
        <w:rPr>
          <w:rFonts w:asciiTheme="minorHAnsi" w:eastAsiaTheme="minorEastAsia" w:hAnsiTheme="minorHAnsi" w:cstheme="minorBidi"/>
          <w:szCs w:val="22"/>
        </w:rPr>
      </w:pPr>
      <w:r>
        <w:t>13.</w:t>
      </w:r>
      <w:r>
        <w:tab/>
        <w:t>Entitlement to appear, and representation</w:t>
      </w:r>
      <w:r>
        <w:tab/>
      </w:r>
      <w:r>
        <w:fldChar w:fldCharType="begin"/>
      </w:r>
      <w:r>
        <w:instrText xml:space="preserve"> PAGEREF _Toc132299412 \h </w:instrText>
      </w:r>
      <w:r>
        <w:fldChar w:fldCharType="separate"/>
      </w:r>
      <w:r>
        <w:t>138</w:t>
      </w:r>
      <w:r>
        <w:fldChar w:fldCharType="end"/>
      </w:r>
    </w:p>
    <w:p>
      <w:pPr>
        <w:pStyle w:val="TOC2"/>
        <w:keepNext w:val="0"/>
        <w:tabs>
          <w:tab w:val="right" w:leader="dot" w:pos="7077"/>
        </w:tabs>
        <w:rPr>
          <w:rFonts w:asciiTheme="minorHAnsi" w:eastAsiaTheme="minorEastAsia" w:hAnsiTheme="minorHAnsi" w:cstheme="minorBidi"/>
          <w:b w:val="0"/>
          <w:sz w:val="22"/>
          <w:szCs w:val="22"/>
        </w:rPr>
      </w:pPr>
      <w:r>
        <w:rPr>
          <w:rFonts w:eastAsia="MS Mincho"/>
        </w:rPr>
        <w:t>Schedule 2 — Functions for administration of estates</w:t>
      </w:r>
    </w:p>
    <w:p>
      <w:pPr>
        <w:pStyle w:val="TOC4"/>
        <w:keepNext w:val="0"/>
        <w:tabs>
          <w:tab w:val="right" w:leader="dot" w:pos="7077"/>
        </w:tabs>
        <w:rPr>
          <w:rFonts w:asciiTheme="minorHAnsi" w:eastAsiaTheme="minorEastAsia" w:hAnsiTheme="minorHAnsi" w:cstheme="minorBidi"/>
          <w:b w:val="0"/>
          <w:szCs w:val="22"/>
        </w:rPr>
      </w:pPr>
      <w:r>
        <w:rPr>
          <w:rFonts w:eastAsia="MS Mincho"/>
        </w:rPr>
        <w:t>Part A</w:t>
      </w:r>
      <w:r>
        <w:rPr>
          <w:rFonts w:eastAsia="MS Mincho"/>
          <w:b w:val="0"/>
        </w:rPr>
        <w:t> </w:t>
      </w:r>
      <w:r>
        <w:rPr>
          <w:rFonts w:eastAsia="MS Mincho"/>
        </w:rPr>
        <w:t>— Administrator</w:t>
      </w:r>
    </w:p>
    <w:p>
      <w:pPr>
        <w:pStyle w:val="TOC4"/>
        <w:keepNext w:val="0"/>
        <w:tabs>
          <w:tab w:val="right" w:leader="dot" w:pos="7077"/>
        </w:tabs>
        <w:rPr>
          <w:rFonts w:asciiTheme="minorHAnsi" w:eastAsiaTheme="minorEastAsia" w:hAnsiTheme="minorHAnsi" w:cstheme="minorBidi"/>
          <w:b w:val="0"/>
          <w:szCs w:val="22"/>
        </w:rPr>
      </w:pPr>
      <w:r>
        <w:rPr>
          <w:rFonts w:eastAsia="MS Mincho"/>
        </w:rPr>
        <w:t>Part B — State Administrative Tribunal</w:t>
      </w:r>
    </w:p>
    <w:p>
      <w:pPr>
        <w:pStyle w:val="TOC2"/>
        <w:keepNext w:val="0"/>
        <w:tabs>
          <w:tab w:val="right" w:leader="dot" w:pos="7077"/>
        </w:tabs>
        <w:rPr>
          <w:rFonts w:asciiTheme="minorHAnsi" w:eastAsiaTheme="minorEastAsia" w:hAnsiTheme="minorHAnsi" w:cstheme="minorBidi"/>
          <w:b w:val="0"/>
          <w:sz w:val="22"/>
          <w:szCs w:val="22"/>
        </w:rPr>
      </w:pPr>
      <w:r>
        <w:rPr>
          <w:rFonts w:eastAsia="MS Mincho"/>
        </w:rPr>
        <w:t>Schedule 3 — Forms for enduring power of attorney</w:t>
      </w:r>
    </w:p>
    <w:p>
      <w:pPr>
        <w:pStyle w:val="TOC2"/>
        <w:tabs>
          <w:tab w:val="right" w:leader="dot" w:pos="7077"/>
        </w:tabs>
        <w:rPr>
          <w:rFonts w:asciiTheme="minorHAnsi" w:eastAsiaTheme="minorEastAsia" w:hAnsiTheme="minorHAnsi" w:cstheme="minorBidi"/>
          <w:b w:val="0"/>
          <w:sz w:val="22"/>
          <w:szCs w:val="22"/>
        </w:rPr>
      </w:pPr>
      <w:r>
        <w:lastRenderedPageBreak/>
        <w:t>Schedule 5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matters for </w:t>
      </w:r>
      <w:r>
        <w:rPr>
          <w:i/>
        </w:rPr>
        <w:t>Guardianship and Administration Act 1990</w:t>
      </w:r>
    </w:p>
    <w:p>
      <w:pPr>
        <w:pStyle w:val="TOC8"/>
        <w:rPr>
          <w:rFonts w:asciiTheme="minorHAnsi" w:eastAsiaTheme="minorEastAsia" w:hAnsiTheme="minorHAnsi" w:cstheme="minorBidi"/>
          <w:szCs w:val="22"/>
        </w:rPr>
      </w:pPr>
      <w:r>
        <w:t>1A.</w:t>
      </w:r>
      <w:r>
        <w:tab/>
        <w:t>Application of this Division</w:t>
      </w:r>
      <w:r>
        <w:tab/>
      </w:r>
      <w:r>
        <w:fldChar w:fldCharType="begin"/>
      </w:r>
      <w:r>
        <w:instrText xml:space="preserve"> PAGEREF _Toc132299419 \h </w:instrText>
      </w:r>
      <w:r>
        <w:fldChar w:fldCharType="separate"/>
      </w:r>
      <w:r>
        <w:t>147</w:t>
      </w:r>
      <w:r>
        <w:fldChar w:fldCharType="end"/>
      </w:r>
    </w:p>
    <w:p>
      <w:pPr>
        <w:pStyle w:val="TOC8"/>
        <w:rPr>
          <w:rFonts w:asciiTheme="minorHAnsi" w:eastAsiaTheme="minorEastAsia" w:hAnsiTheme="minorHAnsi" w:cstheme="minorBidi"/>
          <w:szCs w:val="22"/>
        </w:rPr>
      </w:pPr>
      <w:r>
        <w:t xml:space="preserve">1. </w:t>
      </w:r>
      <w:r>
        <w:tab/>
        <w:t>Existing functions of Public Trustee to continue</w:t>
      </w:r>
      <w:r>
        <w:tab/>
      </w:r>
      <w:r>
        <w:fldChar w:fldCharType="begin"/>
      </w:r>
      <w:r>
        <w:instrText xml:space="preserve"> PAGEREF _Toc132299420 \h </w:instrText>
      </w:r>
      <w:r>
        <w:fldChar w:fldCharType="separate"/>
      </w:r>
      <w:r>
        <w:t>147</w:t>
      </w:r>
      <w:r>
        <w:fldChar w:fldCharType="end"/>
      </w:r>
    </w:p>
    <w:p>
      <w:pPr>
        <w:pStyle w:val="TOC8"/>
        <w:rPr>
          <w:rFonts w:asciiTheme="minorHAnsi" w:eastAsiaTheme="minorEastAsia" w:hAnsiTheme="minorHAnsi" w:cstheme="minorBidi"/>
          <w:szCs w:val="22"/>
        </w:rPr>
      </w:pPr>
      <w:r>
        <w:t xml:space="preserve">2. </w:t>
      </w:r>
      <w:r>
        <w:tab/>
        <w:t xml:space="preserve">Existing managers under </w:t>
      </w:r>
      <w:r>
        <w:rPr>
          <w:i/>
        </w:rPr>
        <w:t>Mental Health Act 1962</w:t>
      </w:r>
      <w:r>
        <w:t xml:space="preserve"> to continue</w:t>
      </w:r>
      <w:r>
        <w:tab/>
      </w:r>
      <w:r>
        <w:fldChar w:fldCharType="begin"/>
      </w:r>
      <w:r>
        <w:instrText xml:space="preserve"> PAGEREF _Toc132299421 \h </w:instrText>
      </w:r>
      <w:r>
        <w:fldChar w:fldCharType="separate"/>
      </w:r>
      <w:r>
        <w:t>149</w:t>
      </w:r>
      <w:r>
        <w:fldChar w:fldCharType="end"/>
      </w:r>
    </w:p>
    <w:p>
      <w:pPr>
        <w:pStyle w:val="TOC8"/>
        <w:rPr>
          <w:rFonts w:asciiTheme="minorHAnsi" w:eastAsiaTheme="minorEastAsia" w:hAnsiTheme="minorHAnsi" w:cstheme="minorBidi"/>
          <w:szCs w:val="22"/>
        </w:rPr>
      </w:pPr>
      <w:r>
        <w:t xml:space="preserve">3. </w:t>
      </w:r>
      <w:r>
        <w:tab/>
        <w:t>Application for administration order may be made</w:t>
      </w:r>
      <w:r>
        <w:tab/>
      </w:r>
      <w:r>
        <w:fldChar w:fldCharType="begin"/>
      </w:r>
      <w:r>
        <w:instrText xml:space="preserve"> PAGEREF _Toc132299422 \h </w:instrText>
      </w:r>
      <w:r>
        <w:fldChar w:fldCharType="separate"/>
      </w:r>
      <w:r>
        <w:t>149</w:t>
      </w:r>
      <w:r>
        <w:fldChar w:fldCharType="end"/>
      </w:r>
    </w:p>
    <w:p>
      <w:pPr>
        <w:pStyle w:val="TOC8"/>
        <w:rPr>
          <w:rFonts w:asciiTheme="minorHAnsi" w:eastAsiaTheme="minorEastAsia" w:hAnsiTheme="minorHAnsi" w:cstheme="minorBidi"/>
          <w:szCs w:val="22"/>
        </w:rPr>
      </w:pPr>
      <w:r>
        <w:t xml:space="preserve">4. </w:t>
      </w:r>
      <w:r>
        <w:tab/>
        <w:t>References in other laws</w:t>
      </w:r>
      <w:r>
        <w:tab/>
      </w:r>
      <w:r>
        <w:fldChar w:fldCharType="begin"/>
      </w:r>
      <w:r>
        <w:instrText xml:space="preserve"> PAGEREF _Toc132299423 \h </w:instrText>
      </w:r>
      <w:r>
        <w:fldChar w:fldCharType="separate"/>
      </w:r>
      <w:r>
        <w:t>150</w:t>
      </w:r>
      <w:r>
        <w:fldChar w:fldCharType="end"/>
      </w:r>
    </w:p>
    <w:p>
      <w:pPr>
        <w:pStyle w:val="TOC8"/>
        <w:rPr>
          <w:rFonts w:asciiTheme="minorHAnsi" w:eastAsiaTheme="minorEastAsia" w:hAnsiTheme="minorHAnsi" w:cstheme="minorBidi"/>
          <w:szCs w:val="22"/>
        </w:rPr>
      </w:pPr>
      <w:r>
        <w:t xml:space="preserve">5. </w:t>
      </w:r>
      <w:r>
        <w:tab/>
        <w:t xml:space="preserve">Proceedings in progress under </w:t>
      </w:r>
      <w:r>
        <w:rPr>
          <w:i/>
        </w:rPr>
        <w:t>Mental Health Act 1962</w:t>
      </w:r>
      <w:r>
        <w:t xml:space="preserve"> Pt. VI</w:t>
      </w:r>
      <w:r>
        <w:tab/>
      </w:r>
      <w:r>
        <w:fldChar w:fldCharType="begin"/>
      </w:r>
      <w:r>
        <w:instrText xml:space="preserve"> PAGEREF _Toc132299424 \h </w:instrText>
      </w:r>
      <w:r>
        <w:fldChar w:fldCharType="separate"/>
      </w:r>
      <w:r>
        <w:t>150</w:t>
      </w:r>
      <w:r>
        <w:fldChar w:fldCharType="end"/>
      </w:r>
    </w:p>
    <w:p>
      <w:pPr>
        <w:pStyle w:val="TOC8"/>
        <w:rPr>
          <w:rFonts w:asciiTheme="minorHAnsi" w:eastAsiaTheme="minorEastAsia" w:hAnsiTheme="minorHAnsi" w:cstheme="minorBidi"/>
          <w:szCs w:val="22"/>
        </w:rPr>
      </w:pPr>
      <w:r>
        <w:t xml:space="preserve">6. </w:t>
      </w:r>
      <w:r>
        <w:tab/>
        <w:t>Final accounts where administration order made</w:t>
      </w:r>
      <w:r>
        <w:tab/>
      </w:r>
      <w:r>
        <w:fldChar w:fldCharType="begin"/>
      </w:r>
      <w:r>
        <w:instrText xml:space="preserve"> PAGEREF _Toc132299425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matters in connection with </w:t>
      </w:r>
      <w:r>
        <w:rPr>
          <w:i/>
        </w:rPr>
        <w:t>Mental Health Act 2014</w:t>
      </w:r>
    </w:p>
    <w:p>
      <w:pPr>
        <w:pStyle w:val="TOC8"/>
        <w:rPr>
          <w:rFonts w:asciiTheme="minorHAnsi" w:eastAsiaTheme="minorEastAsia" w:hAnsiTheme="minorHAnsi" w:cstheme="minorBidi"/>
          <w:szCs w:val="22"/>
        </w:rPr>
      </w:pPr>
      <w:r>
        <w:t>7.</w:t>
      </w:r>
      <w:r>
        <w:tab/>
        <w:t>Estates being managed by Public Trustee under Division 1</w:t>
      </w:r>
      <w:r>
        <w:tab/>
      </w:r>
      <w:r>
        <w:fldChar w:fldCharType="begin"/>
      </w:r>
      <w:r>
        <w:instrText xml:space="preserve"> PAGEREF _Toc132299427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_Toc132299429 \h </w:instrText>
      </w:r>
      <w:r>
        <w:fldChar w:fldCharType="separate"/>
      </w:r>
      <w:r>
        <w:t>152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_Toc132299430 \h </w:instrText>
      </w:r>
      <w:r>
        <w:fldChar w:fldCharType="separate"/>
      </w:r>
      <w:r>
        <w:t>155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_Toc132299431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No. 55 of 2004 s. 417; No. 25 of 2008 s. 4.]</w:t>
      </w:r>
    </w:p>
    <w:p>
      <w:pPr>
        <w:pStyle w:val="Heading2"/>
      </w:pPr>
      <w:bookmarkStart w:id="3" w:name="_Toc132193334"/>
      <w:bookmarkStart w:id="4" w:name="_Toc132193584"/>
      <w:bookmarkStart w:id="5" w:name="_Toc132299183"/>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32299184"/>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w:t>
      </w:r>
    </w:p>
    <w:p>
      <w:pPr>
        <w:pStyle w:val="Heading5"/>
        <w:rPr>
          <w:snapToGrid w:val="0"/>
        </w:rPr>
      </w:pPr>
      <w:bookmarkStart w:id="7" w:name="_Toc132299185"/>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8" w:name="_Toc132299186"/>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lastRenderedPageBreak/>
        <w:tab/>
      </w:r>
      <w:r>
        <w:rPr>
          <w:rStyle w:val="CharDefText"/>
        </w:rPr>
        <w:t>determination</w:t>
      </w:r>
      <w:r>
        <w:t>, in relation to the State Administrative Tribunal, means — </w:t>
      </w:r>
    </w:p>
    <w:p>
      <w:pPr>
        <w:pStyle w:val="Defpara"/>
      </w:pPr>
      <w:r>
        <w:tab/>
        <w:t>(a)</w:t>
      </w:r>
      <w:r>
        <w:tab/>
        <w:t>a grant or refusal of leave under section 87;</w:t>
      </w:r>
      <w:r>
        <w:rPr>
          <w:color w:val="000000" w:themeColor="text1"/>
        </w:rPr>
        <w:t xml:space="preserve"> or</w:t>
      </w:r>
    </w:p>
    <w:p>
      <w:pPr>
        <w:pStyle w:val="Defpara"/>
      </w:pPr>
      <w:r>
        <w:tab/>
        <w:t>(b)</w:t>
      </w:r>
      <w:r>
        <w:tab/>
        <w:t>the making of, or refusal to make, an order under section 43 or 64;</w:t>
      </w:r>
      <w:r>
        <w:rPr>
          <w:color w:val="000000" w:themeColor="text1"/>
        </w:rPr>
        <w:t xml:space="preserve"> or</w:t>
      </w:r>
    </w:p>
    <w:p>
      <w:pPr>
        <w:pStyle w:val="Defpara"/>
      </w:pPr>
      <w:r>
        <w:tab/>
        <w:t>(c)</w:t>
      </w:r>
      <w:r>
        <w:tab/>
        <w:t>the refusal to issue a warrant under section 49;</w:t>
      </w:r>
      <w:r>
        <w:rPr>
          <w:color w:val="000000" w:themeColor="text1"/>
        </w:rPr>
        <w:t xml:space="preserve"> or</w:t>
      </w:r>
    </w:p>
    <w:p>
      <w:pPr>
        <w:pStyle w:val="Defpara"/>
      </w:pPr>
      <w:r>
        <w:tab/>
        <w:t>(d)</w:t>
      </w:r>
      <w:r>
        <w:tab/>
        <w:t>the making of, or refusal to make, an order on a review under section 84, 85 or 86;</w:t>
      </w:r>
      <w:r>
        <w:rPr>
          <w:color w:val="000000" w:themeColor="text1"/>
        </w:rPr>
        <w:t xml:space="preserve"> or</w:t>
      </w:r>
    </w:p>
    <w:p>
      <w:pPr>
        <w:pStyle w:val="Defpara"/>
      </w:pPr>
      <w:r>
        <w:tab/>
        <w:t>(e)</w:t>
      </w:r>
      <w:r>
        <w:tab/>
        <w:t>the giving of a direction under section 47 or 74;</w:t>
      </w:r>
      <w:r>
        <w:rPr>
          <w:color w:val="000000" w:themeColor="text1"/>
        </w:rPr>
        <w:t xml:space="preserve"> or</w:t>
      </w:r>
    </w:p>
    <w:p>
      <w:pPr>
        <w:pStyle w:val="Defpara"/>
      </w:pPr>
      <w:r>
        <w:tab/>
        <w:t>(f)</w:t>
      </w:r>
      <w:r>
        <w:tab/>
        <w:t>the giving or refusal of consent under section 63;</w:t>
      </w:r>
      <w:r>
        <w:rPr>
          <w:color w:val="000000" w:themeColor="text1"/>
        </w:rPr>
        <w:t xml:space="preserve"> or</w:t>
      </w:r>
    </w:p>
    <w:p>
      <w:pPr>
        <w:pStyle w:val="Defpara"/>
      </w:pPr>
      <w:r>
        <w:tab/>
        <w:t>(g)</w:t>
      </w:r>
      <w:r>
        <w:tab/>
        <w:t xml:space="preserve">the making of or refusal to make a declaration under section 111 or the revocation of or refusal to revoke such a </w:t>
      </w:r>
      <w:r>
        <w:rPr>
          <w:color w:val="000000" w:themeColor="text1"/>
        </w:rPr>
        <w:t>declaration; or</w:t>
      </w:r>
    </w:p>
    <w:p>
      <w:pPr>
        <w:pStyle w:val="Defpara"/>
      </w:pPr>
      <w:r>
        <w:tab/>
        <w:t>(h)</w:t>
      </w:r>
      <w:r>
        <w:tab/>
        <w:t xml:space="preserve">the making of, or refusal to make, an order under section 66, 104A(2), 106, 109 or </w:t>
      </w:r>
      <w:r>
        <w:rPr>
          <w:color w:val="000000" w:themeColor="text1"/>
        </w:rPr>
        <w:t>112(4); or</w:t>
      </w:r>
    </w:p>
    <w:p>
      <w:pPr>
        <w:pStyle w:val="Defpara"/>
      </w:pPr>
      <w:r>
        <w:rPr>
          <w:color w:val="000000" w:themeColor="text1"/>
        </w:rPr>
        <w:tab/>
        <w:t>(i)</w:t>
      </w:r>
      <w:r>
        <w:rPr>
          <w:color w:val="000000" w:themeColor="text1"/>
        </w:rPr>
        <w:tab/>
        <w:t xml:space="preserve">a decision made under Part 9E Division 5; </w:t>
      </w:r>
    </w:p>
    <w:p>
      <w:pPr>
        <w:pStyle w:val="Defstart"/>
      </w:pPr>
      <w:r>
        <w:rPr>
          <w:color w:val="000000" w:themeColor="text1"/>
        </w:rPr>
        <w:tab/>
      </w:r>
      <w:r>
        <w:rPr>
          <w:rStyle w:val="CharDefText"/>
          <w:color w:val="000000" w:themeColor="text1"/>
        </w:rPr>
        <w:t>electroconvulsive therapy</w:t>
      </w:r>
      <w:r>
        <w:rPr>
          <w:color w:val="000000" w:themeColor="text1"/>
        </w:rPr>
        <w:t xml:space="preserve"> has the meaning given in the </w:t>
      </w:r>
      <w:r>
        <w:rPr>
          <w:i/>
          <w:color w:val="000000" w:themeColor="text1"/>
        </w:rPr>
        <w:t>Mental Health Act 2014</w:t>
      </w:r>
      <w:r>
        <w:rPr>
          <w:color w:val="000000" w:themeColor="text1"/>
        </w:rPr>
        <w:t xml:space="preserve"> section 192;</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lastRenderedPageBreak/>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tab/>
      </w:r>
      <w:r>
        <w:rPr>
          <w:rStyle w:val="CharDefText"/>
          <w:color w:val="000000" w:themeColor="text1"/>
        </w:rPr>
        <w:t>medical research</w:t>
      </w:r>
      <w:r>
        <w:t xml:space="preserve"> has the meaning given in section 3AA;</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lastRenderedPageBreak/>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332"/>
          <w:tab w:val="right" w:pos="1320"/>
          <w:tab w:val="left" w:pos="1610"/>
        </w:tabs>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Schedule 1</w:t>
      </w:r>
      <w:r>
        <w:t>;</w:t>
      </w:r>
    </w:p>
    <w:p>
      <w:pPr>
        <w:pStyle w:val="Defstart"/>
      </w:pPr>
      <w:r>
        <w:tab/>
      </w:r>
      <w:r>
        <w:rPr>
          <w:rStyle w:val="CharDefText"/>
          <w:color w:val="000000" w:themeColor="text1"/>
        </w:rPr>
        <w:t>personal information</w:t>
      </w:r>
      <w:r>
        <w:t xml:space="preserve"> has the meaning given in the </w:t>
      </w:r>
      <w:r>
        <w:rPr>
          <w:i/>
        </w:rPr>
        <w:t>Freedom of Information Act 1992</w:t>
      </w:r>
      <w:r>
        <w:t xml:space="preserve"> Glossary clause 1;</w:t>
      </w:r>
    </w:p>
    <w:p>
      <w:pPr>
        <w:pStyle w:val="Defstart"/>
      </w:pPr>
      <w:r>
        <w:tab/>
      </w:r>
      <w:r>
        <w:rPr>
          <w:rStyle w:val="CharDefText"/>
          <w:color w:val="000000" w:themeColor="text1"/>
        </w:rPr>
        <w:t>placebo</w:t>
      </w:r>
      <w:r>
        <w:t xml:space="preserve"> means a substance not containing an active agent under study administered to some individuals to compare the effects of the active agent administered to other individuals;</w:t>
      </w:r>
    </w:p>
    <w:p>
      <w:pPr>
        <w:pStyle w:val="Defstart"/>
      </w:pPr>
      <w:r>
        <w:rPr>
          <w:b/>
        </w:rPr>
        <w:tab/>
      </w:r>
      <w:r>
        <w:rPr>
          <w:rStyle w:val="CharDefText"/>
        </w:rPr>
        <w:t>President</w:t>
      </w:r>
      <w:r>
        <w:t xml:space="preserve"> means the President of the State Administrative Tribunal;</w:t>
      </w:r>
    </w:p>
    <w:p>
      <w:pPr>
        <w:pStyle w:val="Defstart"/>
      </w:pPr>
      <w:r>
        <w:rPr>
          <w:b/>
        </w:rPr>
        <w:lastRenderedPageBreak/>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tab/>
      </w:r>
      <w:r>
        <w:rPr>
          <w:rStyle w:val="CharDefText"/>
          <w:color w:val="000000" w:themeColor="text1"/>
        </w:rPr>
        <w:t>research candidate</w:t>
      </w:r>
      <w:r>
        <w:t xml:space="preserve"> means an individual — </w:t>
      </w:r>
    </w:p>
    <w:p>
      <w:pPr>
        <w:pStyle w:val="Defpara"/>
      </w:pPr>
      <w:r>
        <w:rPr>
          <w:color w:val="000000" w:themeColor="text1"/>
        </w:rPr>
        <w:tab/>
        <w:t>(a)</w:t>
      </w:r>
      <w:r>
        <w:rPr>
          <w:color w:val="000000" w:themeColor="text1"/>
        </w:rPr>
        <w:tab/>
        <w:t>whose participation is sought in medical research; or</w:t>
      </w:r>
    </w:p>
    <w:p>
      <w:pPr>
        <w:pStyle w:val="Defpara"/>
      </w:pPr>
      <w:r>
        <w:tab/>
        <w:t>(b)</w:t>
      </w:r>
      <w:r>
        <w:tab/>
        <w:t>in respect of whom medical research is conducted under Part 9E;</w:t>
      </w:r>
    </w:p>
    <w:p>
      <w:pPr>
        <w:pStyle w:val="Defstart"/>
      </w:pPr>
      <w:r>
        <w:rPr>
          <w:color w:val="000000" w:themeColor="text1"/>
        </w:rPr>
        <w:tab/>
      </w:r>
      <w:r>
        <w:rPr>
          <w:rStyle w:val="CharDefText"/>
          <w:color w:val="000000" w:themeColor="text1"/>
        </w:rPr>
        <w:t>research decision</w:t>
      </w:r>
      <w:r>
        <w:rPr>
          <w:color w:val="000000" w:themeColor="text1"/>
        </w:rPr>
        <w:t>, in relation to a research candidate, means a decision to consent or refuse consent to the candidate’s participation in medical research;</w:t>
      </w:r>
    </w:p>
    <w:p>
      <w:pPr>
        <w:pStyle w:val="Defstart"/>
      </w:pPr>
      <w:r>
        <w:tab/>
      </w:r>
      <w:r>
        <w:rPr>
          <w:rStyle w:val="CharDefText"/>
          <w:color w:val="000000" w:themeColor="text1"/>
        </w:rPr>
        <w:t>research decision</w:t>
      </w:r>
      <w:r>
        <w:rPr>
          <w:rStyle w:val="CharDefText"/>
          <w:color w:val="000000" w:themeColor="text1"/>
        </w:rPr>
        <w:noBreakHyphen/>
        <w:t>maker</w:t>
      </w:r>
      <w:r>
        <w:t>, for a research candidate, has the meaning given in section 110ZP;</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color w:val="000000" w:themeColor="text1"/>
        </w:rPr>
        <w:t>treatment</w:t>
      </w:r>
      <w:r>
        <w:t xml:space="preserve"> — </w:t>
      </w:r>
    </w:p>
    <w:p>
      <w:pPr>
        <w:pStyle w:val="Defpara"/>
      </w:pPr>
      <w:r>
        <w:rPr>
          <w:color w:val="000000" w:themeColor="text1"/>
        </w:rPr>
        <w:tab/>
        <w:t>(a)</w:t>
      </w:r>
      <w:r>
        <w:rPr>
          <w:color w:val="000000" w:themeColor="text1"/>
        </w:rPr>
        <w:tab/>
        <w:t xml:space="preserve">means — </w:t>
      </w:r>
    </w:p>
    <w:p>
      <w:pPr>
        <w:pStyle w:val="Defsubpara"/>
      </w:pPr>
      <w:r>
        <w:rPr>
          <w:color w:val="000000" w:themeColor="text1"/>
        </w:rPr>
        <w:tab/>
        <w:t>(i)</w:t>
      </w:r>
      <w:r>
        <w:rPr>
          <w:color w:val="000000" w:themeColor="text1"/>
        </w:rPr>
        <w:tab/>
        <w:t>medical or surgical treatment, including a life sustaining measure or palliative care; or</w:t>
      </w:r>
    </w:p>
    <w:p>
      <w:pPr>
        <w:pStyle w:val="Defsubpara"/>
      </w:pPr>
      <w:r>
        <w:tab/>
        <w:t>(ii)</w:t>
      </w:r>
      <w:r>
        <w:tab/>
        <w:t>dental treatment; or</w:t>
      </w:r>
    </w:p>
    <w:p>
      <w:pPr>
        <w:pStyle w:val="Defsubpara"/>
      </w:pPr>
      <w:r>
        <w:tab/>
        <w:t>(iii)</w:t>
      </w:r>
      <w:r>
        <w:tab/>
        <w:t xml:space="preserve">other health care; </w:t>
      </w:r>
    </w:p>
    <w:p>
      <w:pPr>
        <w:pStyle w:val="Defpara"/>
      </w:pPr>
      <w:r>
        <w:rPr>
          <w:color w:val="000000" w:themeColor="text1"/>
        </w:rPr>
        <w:tab/>
      </w:r>
      <w:r>
        <w:rPr>
          <w:color w:val="000000" w:themeColor="text1"/>
        </w:rPr>
        <w:tab/>
        <w:t>and</w:t>
      </w:r>
    </w:p>
    <w:p>
      <w:pPr>
        <w:pStyle w:val="Defpara"/>
      </w:pPr>
      <w:r>
        <w:tab/>
        <w:t>(b)</w:t>
      </w:r>
      <w:r>
        <w:tab/>
        <w:t>in Parts 9B and 9E — includes medical research; and</w:t>
      </w:r>
    </w:p>
    <w:p>
      <w:pPr>
        <w:pStyle w:val="Defpara"/>
      </w:pPr>
      <w:r>
        <w:tab/>
        <w:t>(c)</w:t>
      </w:r>
      <w:r>
        <w:tab/>
        <w:t>if paragraph (b) does not apply — does not include medical research;</w:t>
      </w:r>
    </w:p>
    <w:p>
      <w:pPr>
        <w:pStyle w:val="Defstart"/>
        <w:keepNext/>
      </w:pPr>
      <w:r>
        <w:rPr>
          <w:color w:val="000000" w:themeColor="text1"/>
        </w:rPr>
        <w:lastRenderedPageBreak/>
        <w:tab/>
      </w:r>
      <w:r>
        <w:rPr>
          <w:rStyle w:val="CharDefText"/>
          <w:color w:val="000000" w:themeColor="text1"/>
        </w:rPr>
        <w:t>treatment decision</w:t>
      </w:r>
      <w:r>
        <w:rPr>
          <w:color w:val="000000" w:themeColor="text1"/>
        </w:rPr>
        <w:t xml:space="preserve">, in relation to a person — </w:t>
      </w:r>
    </w:p>
    <w:p>
      <w:pPr>
        <w:pStyle w:val="Defpara"/>
      </w:pPr>
      <w:r>
        <w:rPr>
          <w:color w:val="000000" w:themeColor="text1"/>
        </w:rPr>
        <w:tab/>
        <w:t>(a)</w:t>
      </w:r>
      <w:r>
        <w:rPr>
          <w:color w:val="000000" w:themeColor="text1"/>
        </w:rPr>
        <w:tab/>
        <w:t>means a decision to consent or refuse consent to the commencement or continuation of any treatment of the person; and</w:t>
      </w:r>
    </w:p>
    <w:p>
      <w:pPr>
        <w:pStyle w:val="Defpara"/>
      </w:pPr>
      <w:r>
        <w:tab/>
        <w:t>(b)</w:t>
      </w:r>
      <w:r>
        <w:tab/>
        <w:t>in Part 9B — includes a decision to consent or refuse consent to the commencement or continuation of the person’s participation in medical research.</w:t>
      </w:r>
    </w:p>
    <w:p>
      <w:pPr>
        <w:pStyle w:val="Subsection"/>
      </w:pPr>
      <w:r>
        <w:tab/>
        <w:t>(2)</w:t>
      </w:r>
      <w:r>
        <w:tab/>
        <w:t>A reference in a written law to the committee of the person of a person is to be read as a reference to the guardian of that person.</w:t>
      </w:r>
    </w:p>
    <w:p>
      <w:pPr>
        <w:pStyle w:val="Footnotesection"/>
      </w:pPr>
      <w:r>
        <w:tab/>
        <w:t xml:space="preserve">[Section 3 amended: No. 16 of 1992 s. 4 and 17; No. 7 of 1996 s. 4; No. 69 of 1996 s. 33; No. 70 of 2000 s. 4; No. 3 of 2002 s. 68; No. 65 of 2003 s. 40(2); No. 55 of 2004 s. 418 and 466(1); No. 21 of 2008 s. 667(2); No. 25 of 2008 s. 5; No. 8 of 2009 s. 68; No. 19 of 2010 s. 18(2); No. 25 of 2014 s. 20; No. 14 of 2020 s. 4; No. 9 of 2022 s. 424.] </w:t>
      </w:r>
    </w:p>
    <w:p>
      <w:pPr>
        <w:pStyle w:val="Heading5"/>
      </w:pPr>
      <w:bookmarkStart w:id="9" w:name="_Toc132299187"/>
      <w:r>
        <w:rPr>
          <w:rStyle w:val="CharSectno"/>
        </w:rPr>
        <w:t>3AA</w:t>
      </w:r>
      <w:r>
        <w:rPr>
          <w:color w:val="000000" w:themeColor="text1"/>
        </w:rPr>
        <w:t>.</w:t>
      </w:r>
      <w:r>
        <w:rPr>
          <w:color w:val="000000" w:themeColor="text1"/>
        </w:rPr>
        <w:tab/>
        <w:t>Term used: medical research</w:t>
      </w:r>
      <w:bookmarkEnd w:id="9"/>
    </w:p>
    <w:p>
      <w:pPr>
        <w:pStyle w:val="Subsection"/>
      </w:pPr>
      <w:r>
        <w:rPr>
          <w:color w:val="000000" w:themeColor="text1"/>
        </w:rPr>
        <w:tab/>
        <w:t>(1)</w:t>
      </w:r>
      <w:r>
        <w:rPr>
          <w:color w:val="000000" w:themeColor="text1"/>
        </w:rPr>
        <w:tab/>
        <w:t xml:space="preserve">For the purposes of this Act, </w:t>
      </w:r>
      <w:r>
        <w:rPr>
          <w:rStyle w:val="CharDefText"/>
          <w:color w:val="000000" w:themeColor="text1"/>
        </w:rPr>
        <w:t>medical research</w:t>
      </w:r>
      <w:r>
        <w:rPr>
          <w:color w:val="000000" w:themeColor="text1"/>
        </w:rPr>
        <w:t xml:space="preserve"> — </w:t>
      </w:r>
    </w:p>
    <w:p>
      <w:pPr>
        <w:pStyle w:val="Indenta"/>
      </w:pPr>
      <w:r>
        <w:rPr>
          <w:color w:val="000000" w:themeColor="text1"/>
        </w:rPr>
        <w:tab/>
        <w:t>(a)</w:t>
      </w:r>
      <w:r>
        <w:rPr>
          <w:color w:val="000000" w:themeColor="text1"/>
        </w:rPr>
        <w:tab/>
        <w:t>means research conducted with or about individuals, or their data or tissue, in the field of medicine or health; and</w:t>
      </w:r>
    </w:p>
    <w:p>
      <w:pPr>
        <w:pStyle w:val="Indenta"/>
      </w:pPr>
      <w:r>
        <w:tab/>
        <w:t>(b)</w:t>
      </w:r>
      <w:r>
        <w:tab/>
        <w:t>includes an activity undertaken for the purposes of that research.</w:t>
      </w:r>
    </w:p>
    <w:p>
      <w:pPr>
        <w:pStyle w:val="Subsection"/>
      </w:pPr>
      <w:r>
        <w:rPr>
          <w:color w:val="000000" w:themeColor="text1"/>
        </w:rPr>
        <w:tab/>
        <w:t>(2)</w:t>
      </w:r>
      <w:r>
        <w:rPr>
          <w:color w:val="000000" w:themeColor="text1"/>
        </w:rPr>
        <w:tab/>
        <w:t xml:space="preserve">Without limiting subsection (1), </w:t>
      </w:r>
      <w:r>
        <w:rPr>
          <w:rStyle w:val="CharDefText"/>
          <w:color w:val="000000" w:themeColor="text1"/>
        </w:rPr>
        <w:t>medical research</w:t>
      </w:r>
      <w:r>
        <w:rPr>
          <w:b/>
          <w:i/>
          <w:color w:val="000000" w:themeColor="text1"/>
        </w:rPr>
        <w:t xml:space="preserve"> </w:t>
      </w:r>
      <w:r>
        <w:rPr>
          <w:color w:val="000000" w:themeColor="text1"/>
        </w:rPr>
        <w:t xml:space="preserve">includes the following — </w:t>
      </w:r>
    </w:p>
    <w:p>
      <w:pPr>
        <w:pStyle w:val="Indenta"/>
      </w:pPr>
      <w:r>
        <w:rPr>
          <w:color w:val="000000" w:themeColor="text1"/>
        </w:rPr>
        <w:tab/>
        <w:t>(a)</w:t>
      </w:r>
      <w:r>
        <w:rPr>
          <w:color w:val="000000" w:themeColor="text1"/>
        </w:rPr>
        <w:tab/>
        <w:t>the administration of pharmaceuticals or placebos;</w:t>
      </w:r>
    </w:p>
    <w:p>
      <w:pPr>
        <w:pStyle w:val="Indenta"/>
      </w:pPr>
      <w:r>
        <w:tab/>
        <w:t>(b)</w:t>
      </w:r>
      <w:r>
        <w:tab/>
        <w:t>the use of equipment or a device;</w:t>
      </w:r>
    </w:p>
    <w:p>
      <w:pPr>
        <w:pStyle w:val="Indenta"/>
      </w:pPr>
      <w:r>
        <w:tab/>
        <w:t>(c)</w:t>
      </w:r>
      <w:r>
        <w:tab/>
        <w:t>providing health care that has not yet gained the support of a substantial number of practitioners in that field of health care;</w:t>
      </w:r>
    </w:p>
    <w:p>
      <w:pPr>
        <w:pStyle w:val="Indenta"/>
      </w:pPr>
      <w:r>
        <w:lastRenderedPageBreak/>
        <w:tab/>
        <w:t>(d)</w:t>
      </w:r>
      <w:r>
        <w:tab/>
        <w:t xml:space="preserve">providing health care to which paragraph (c) does not apply to carry out a comparative assessment referred to in paragraph (e); </w:t>
      </w:r>
    </w:p>
    <w:p>
      <w:pPr>
        <w:pStyle w:val="Indenta"/>
      </w:pPr>
      <w:r>
        <w:tab/>
        <w:t>(e)</w:t>
      </w:r>
      <w:r>
        <w:tab/>
        <w:t>carrying out a comparative assessment of the health care provided under paragraphs (c) and (d);</w:t>
      </w:r>
    </w:p>
    <w:p>
      <w:pPr>
        <w:pStyle w:val="Indenta"/>
        <w:keepNext/>
      </w:pPr>
      <w:r>
        <w:tab/>
        <w:t>(f)</w:t>
      </w:r>
      <w:r>
        <w:tab/>
        <w:t xml:space="preserve">taking samples from an individual, including — </w:t>
      </w:r>
    </w:p>
    <w:p>
      <w:pPr>
        <w:pStyle w:val="Indenti"/>
      </w:pPr>
      <w:r>
        <w:rPr>
          <w:color w:val="000000" w:themeColor="text1"/>
        </w:rPr>
        <w:tab/>
        <w:t>(i)</w:t>
      </w:r>
      <w:r>
        <w:rPr>
          <w:color w:val="000000" w:themeColor="text1"/>
        </w:rPr>
        <w:tab/>
        <w:t xml:space="preserve">a blood sample; or </w:t>
      </w:r>
    </w:p>
    <w:p>
      <w:pPr>
        <w:pStyle w:val="Indenti"/>
      </w:pPr>
      <w:r>
        <w:tab/>
        <w:t>(ii)</w:t>
      </w:r>
      <w:r>
        <w:tab/>
        <w:t>a sample of tissue or fluid from the body, including the mouth, throat, nasal cavity, eyes or ears;</w:t>
      </w:r>
    </w:p>
    <w:p>
      <w:pPr>
        <w:pStyle w:val="Indenta"/>
      </w:pPr>
      <w:r>
        <w:rPr>
          <w:color w:val="000000" w:themeColor="text1"/>
        </w:rPr>
        <w:tab/>
        <w:t>(g)</w:t>
      </w:r>
      <w:r>
        <w:rPr>
          <w:color w:val="000000" w:themeColor="text1"/>
        </w:rPr>
        <w:tab/>
        <w:t>any non</w:t>
      </w:r>
      <w:r>
        <w:rPr>
          <w:color w:val="000000" w:themeColor="text1"/>
        </w:rPr>
        <w:noBreakHyphen/>
        <w:t xml:space="preserve">intrusive examination, including — </w:t>
      </w:r>
    </w:p>
    <w:p>
      <w:pPr>
        <w:pStyle w:val="Indenti"/>
      </w:pPr>
      <w:r>
        <w:rPr>
          <w:color w:val="000000" w:themeColor="text1"/>
        </w:rPr>
        <w:tab/>
        <w:t>(i)</w:t>
      </w:r>
      <w:r>
        <w:rPr>
          <w:color w:val="000000" w:themeColor="text1"/>
        </w:rPr>
        <w:tab/>
        <w:t xml:space="preserve">a visual examination of the mouth, throat, nasal cavity, eyes or ears; or </w:t>
      </w:r>
    </w:p>
    <w:p>
      <w:pPr>
        <w:pStyle w:val="Indenti"/>
      </w:pPr>
      <w:r>
        <w:tab/>
        <w:t>(ii)</w:t>
      </w:r>
      <w:r>
        <w:tab/>
        <w:t>the measuring of an individual’s height, weight or vision;</w:t>
      </w:r>
    </w:p>
    <w:p>
      <w:pPr>
        <w:pStyle w:val="Indenta"/>
      </w:pPr>
      <w:r>
        <w:rPr>
          <w:color w:val="000000" w:themeColor="text1"/>
        </w:rPr>
        <w:tab/>
        <w:t>(h)</w:t>
      </w:r>
      <w:r>
        <w:rPr>
          <w:color w:val="000000" w:themeColor="text1"/>
        </w:rPr>
        <w:tab/>
        <w:t>observing an individual;</w:t>
      </w:r>
    </w:p>
    <w:p>
      <w:pPr>
        <w:pStyle w:val="Indenta"/>
      </w:pPr>
      <w:r>
        <w:tab/>
        <w:t>(i)</w:t>
      </w:r>
      <w:r>
        <w:tab/>
        <w:t>undertaking a survey, interview or focus group;</w:t>
      </w:r>
    </w:p>
    <w:p>
      <w:pPr>
        <w:pStyle w:val="Indenta"/>
      </w:pPr>
      <w:r>
        <w:tab/>
        <w:t>(j)</w:t>
      </w:r>
      <w:r>
        <w:tab/>
        <w:t xml:space="preserve">collecting, using or disclosing information, including personal information; </w:t>
      </w:r>
    </w:p>
    <w:p>
      <w:pPr>
        <w:pStyle w:val="Indenta"/>
      </w:pPr>
      <w:r>
        <w:tab/>
        <w:t>(k)</w:t>
      </w:r>
      <w:r>
        <w:tab/>
        <w:t>considering or evaluating samples or information taken under an activity listed in this subsection;</w:t>
      </w:r>
    </w:p>
    <w:p>
      <w:pPr>
        <w:pStyle w:val="Indenta"/>
      </w:pPr>
      <w:r>
        <w:tab/>
        <w:t>(l)</w:t>
      </w:r>
      <w:r>
        <w:tab/>
        <w:t>any other activity prescribed by the regulations to be medical research.</w:t>
      </w:r>
    </w:p>
    <w:p>
      <w:pPr>
        <w:pStyle w:val="Subsection"/>
      </w:pPr>
      <w:r>
        <w:rPr>
          <w:color w:val="000000" w:themeColor="text1"/>
        </w:rPr>
        <w:tab/>
        <w:t>(3)</w:t>
      </w:r>
      <w:r>
        <w:rPr>
          <w:color w:val="000000" w:themeColor="text1"/>
        </w:rPr>
        <w:tab/>
        <w:t xml:space="preserve">Despite subsections (1) and (2), </w:t>
      </w:r>
      <w:r>
        <w:rPr>
          <w:rStyle w:val="CharDefText"/>
          <w:color w:val="000000" w:themeColor="text1"/>
        </w:rPr>
        <w:t>medical research</w:t>
      </w:r>
      <w:r>
        <w:rPr>
          <w:color w:val="000000" w:themeColor="text1"/>
        </w:rPr>
        <w:t xml:space="preserve"> does not include — </w:t>
      </w:r>
    </w:p>
    <w:p>
      <w:pPr>
        <w:pStyle w:val="Indenta"/>
      </w:pPr>
      <w:r>
        <w:rPr>
          <w:color w:val="000000" w:themeColor="text1"/>
        </w:rPr>
        <w:tab/>
        <w:t>(a)</w:t>
      </w:r>
      <w:r>
        <w:rPr>
          <w:color w:val="000000" w:themeColor="text1"/>
        </w:rPr>
        <w:tab/>
        <w:t xml:space="preserve">research conducted about individuals, or their data or tissue, in the field of medicine or health that — </w:t>
      </w:r>
    </w:p>
    <w:p>
      <w:pPr>
        <w:pStyle w:val="Indenti"/>
      </w:pPr>
      <w:r>
        <w:rPr>
          <w:color w:val="000000" w:themeColor="text1"/>
        </w:rPr>
        <w:tab/>
        <w:t>(i)</w:t>
      </w:r>
      <w:r>
        <w:rPr>
          <w:color w:val="000000" w:themeColor="text1"/>
        </w:rPr>
        <w:tab/>
        <w:t>only involves analysing data about the individuals; and</w:t>
      </w:r>
    </w:p>
    <w:p>
      <w:pPr>
        <w:pStyle w:val="Indenti"/>
      </w:pPr>
      <w:r>
        <w:tab/>
        <w:t>(ii)</w:t>
      </w:r>
      <w:r>
        <w:tab/>
        <w:t xml:space="preserve">does not result in the disclosure or publication of personal information; </w:t>
      </w:r>
    </w:p>
    <w:p>
      <w:pPr>
        <w:pStyle w:val="Indenta"/>
      </w:pPr>
      <w:r>
        <w:rPr>
          <w:color w:val="000000" w:themeColor="text1"/>
        </w:rPr>
        <w:lastRenderedPageBreak/>
        <w:tab/>
      </w:r>
      <w:r>
        <w:rPr>
          <w:color w:val="000000" w:themeColor="text1"/>
        </w:rPr>
        <w:tab/>
        <w:t>and</w:t>
      </w:r>
    </w:p>
    <w:p>
      <w:pPr>
        <w:pStyle w:val="Indenta"/>
      </w:pPr>
      <w:r>
        <w:tab/>
        <w:t>(b)</w:t>
      </w:r>
      <w:r>
        <w:tab/>
        <w:t>any other activity prescribed by the regulations not to be medical research.</w:t>
      </w:r>
    </w:p>
    <w:p>
      <w:pPr>
        <w:pStyle w:val="Footnotesection"/>
      </w:pPr>
      <w:r>
        <w:tab/>
        <w:t>[Section 3AA inserted: No. 14 of 2020 s. 5.]</w:t>
      </w:r>
    </w:p>
    <w:p>
      <w:pPr>
        <w:pStyle w:val="Heading5"/>
      </w:pPr>
      <w:bookmarkStart w:id="10" w:name="_Toc132299188"/>
      <w:r>
        <w:rPr>
          <w:rStyle w:val="CharSectno"/>
        </w:rPr>
        <w:t>3A</w:t>
      </w:r>
      <w:r>
        <w:t>.</w:t>
      </w:r>
      <w:r>
        <w:tab/>
        <w:t>Inherent jurisdiction of Supreme Court not affected</w:t>
      </w:r>
      <w:bookmarkEnd w:id="10"/>
    </w:p>
    <w:p>
      <w:pPr>
        <w:pStyle w:val="Subsection"/>
        <w:keepNext/>
      </w:pPr>
      <w:r>
        <w:tab/>
      </w:r>
      <w:r>
        <w:tab/>
        <w:t>Nothing in this Act affects the inherent jurisdiction of the Supreme Court.</w:t>
      </w:r>
    </w:p>
    <w:p>
      <w:pPr>
        <w:pStyle w:val="Footnotesection"/>
      </w:pPr>
      <w:r>
        <w:tab/>
        <w:t>[Section 3A inserted: No. 55 of 2004 s. 419.]</w:t>
      </w:r>
    </w:p>
    <w:p>
      <w:pPr>
        <w:pStyle w:val="Heading5"/>
      </w:pPr>
      <w:bookmarkStart w:id="11" w:name="_Toc132299189"/>
      <w:r>
        <w:rPr>
          <w:rStyle w:val="CharSectno"/>
        </w:rPr>
        <w:t>3B</w:t>
      </w:r>
      <w:r>
        <w:t>.</w:t>
      </w:r>
      <w:r>
        <w:tab/>
        <w:t>Act does not authorise decisions about voluntary assisted dying</w:t>
      </w:r>
      <w:bookmarkEnd w:id="11"/>
    </w:p>
    <w:p>
      <w:pPr>
        <w:pStyle w:val="Subsection"/>
      </w:pPr>
      <w:r>
        <w:tab/>
      </w:r>
      <w:r>
        <w:tab/>
        <w:t xml:space="preserve">Nothing in this Act authorises the making of a treatment decision, whether in an advance health directive or otherwise, in relation to voluntary assisted dying as defined in the </w:t>
      </w:r>
      <w:r>
        <w:rPr>
          <w:i/>
        </w:rPr>
        <w:t>Voluntary Assisted Dying Act 2019</w:t>
      </w:r>
      <w:r>
        <w:t xml:space="preserve"> section 5.</w:t>
      </w:r>
    </w:p>
    <w:p>
      <w:pPr>
        <w:pStyle w:val="Footnotesection"/>
      </w:pPr>
      <w:r>
        <w:tab/>
        <w:t>[Section 3B inserted: No. 27 of 2019 s. 170.]</w:t>
      </w:r>
    </w:p>
    <w:p>
      <w:pPr>
        <w:pStyle w:val="Heading2"/>
      </w:pPr>
      <w:bookmarkStart w:id="12" w:name="_Toc132193341"/>
      <w:bookmarkStart w:id="13" w:name="_Toc132193591"/>
      <w:bookmarkStart w:id="14" w:name="_Toc132299190"/>
      <w:r>
        <w:rPr>
          <w:rStyle w:val="CharPartNo"/>
        </w:rPr>
        <w:lastRenderedPageBreak/>
        <w:t>Part 2</w:t>
      </w:r>
      <w:r>
        <w:rPr>
          <w:rStyle w:val="CharDivNo"/>
        </w:rPr>
        <w:t> </w:t>
      </w:r>
      <w:r>
        <w:t>—</w:t>
      </w:r>
      <w:r>
        <w:rPr>
          <w:rStyle w:val="CharDivText"/>
        </w:rPr>
        <w:t> </w:t>
      </w:r>
      <w:r>
        <w:rPr>
          <w:rStyle w:val="CharPartText"/>
        </w:rPr>
        <w:t>Principles to be observed by State Administrative Tribunal</w:t>
      </w:r>
      <w:bookmarkEnd w:id="12"/>
      <w:bookmarkEnd w:id="13"/>
      <w:bookmarkEnd w:id="14"/>
    </w:p>
    <w:p>
      <w:pPr>
        <w:pStyle w:val="Footnotesection"/>
      </w:pPr>
      <w:r>
        <w:tab/>
        <w:t>[Heading amended: No. 55 of 2004 s. 466(1).]</w:t>
      </w:r>
    </w:p>
    <w:p>
      <w:pPr>
        <w:pStyle w:val="Heading5"/>
        <w:rPr>
          <w:snapToGrid w:val="0"/>
        </w:rPr>
      </w:pPr>
      <w:bookmarkStart w:id="15" w:name="_Toc132299191"/>
      <w:r>
        <w:rPr>
          <w:rStyle w:val="CharSectno"/>
        </w:rPr>
        <w:t>4</w:t>
      </w:r>
      <w:r>
        <w:rPr>
          <w:snapToGrid w:val="0"/>
        </w:rPr>
        <w:t>.</w:t>
      </w:r>
      <w:r>
        <w:rPr>
          <w:snapToGrid w:val="0"/>
        </w:rPr>
        <w:tab/>
        <w:t>Principles stated</w:t>
      </w:r>
      <w:bookmarkEnd w:id="15"/>
      <w:r>
        <w:rPr>
          <w:snapToGrid w:val="0"/>
        </w:rPr>
        <w:t xml:space="preserve"> </w:t>
      </w:r>
    </w:p>
    <w:p>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r>
        <w:t>this section.</w:t>
      </w:r>
    </w:p>
    <w:p>
      <w:pPr>
        <w:pStyle w:val="Subsection"/>
        <w:rPr>
          <w:snapToGrid w:val="0"/>
        </w:rPr>
      </w:pPr>
      <w:r>
        <w:rPr>
          <w:snapToGrid w:val="0"/>
        </w:rPr>
        <w:tab/>
        <w:t>(2)</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(3)</w:t>
      </w:r>
      <w:r>
        <w:rPr>
          <w:snapToGrid w:val="0"/>
        </w:rPr>
        <w:tab/>
        <w:t>Every person shall be presumed to be capable of — </w:t>
      </w:r>
    </w:p>
    <w:p>
      <w:pPr>
        <w:pStyle w:val="Indenta"/>
        <w:rPr>
          <w:snapToGrid w:val="0"/>
        </w:rPr>
      </w:pPr>
      <w:r>
        <w:rPr>
          <w:snapToGrid w:val="0"/>
        </w:rPr>
        <w:tab/>
        <w:t>(a)</w:t>
      </w:r>
      <w:r>
        <w:rPr>
          <w:snapToGrid w:val="0"/>
        </w:rPr>
        <w:tab/>
        <w:t>looking after his own health and safety;</w:t>
      </w:r>
    </w:p>
    <w:p>
      <w:pPr>
        <w:pStyle w:val="Indenta"/>
        <w:rPr>
          <w:snapToGrid w:val="0"/>
        </w:rPr>
      </w:pPr>
      <w:r>
        <w:rPr>
          <w:snapToGrid w:val="0"/>
        </w:rPr>
        <w:tab/>
        <w:t>(b)</w:t>
      </w:r>
      <w:r>
        <w:rPr>
          <w:snapToGrid w:val="0"/>
        </w:rPr>
        <w:tab/>
        <w:t>making reasonable judgments in respect of matters relating to his person;</w:t>
      </w:r>
    </w:p>
    <w:p>
      <w:pPr>
        <w:pStyle w:val="Indenta"/>
        <w:rPr>
          <w:snapToGrid w:val="0"/>
        </w:rPr>
      </w:pPr>
      <w:r>
        <w:rPr>
          <w:snapToGrid w:val="0"/>
        </w:rPr>
        <w:tab/>
        <w:t>(c)</w:t>
      </w:r>
      <w:r>
        <w:rPr>
          <w:snapToGrid w:val="0"/>
        </w:rPr>
        <w:tab/>
        <w:t>managing his own affairs; and</w:t>
      </w:r>
    </w:p>
    <w:p>
      <w:pPr>
        <w:pStyle w:val="Indenta"/>
        <w:rPr>
          <w:snapToGrid w:val="0"/>
        </w:rPr>
      </w:pPr>
      <w:r>
        <w:rPr>
          <w:snapToGrid w:val="0"/>
        </w:rPr>
        <w:tab/>
        <w:t>(d)</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(4)</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(5)</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lastRenderedPageBreak/>
        <w:tab/>
        <w:t>(6)</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(7)</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No. 7 of 1996 s. 5; No. 55 of 2004 s. 420 and 466(1); No. 5 of 2008 s. 57(3); No. 19 of 2010 s. 51.] </w:t>
      </w:r>
    </w:p>
    <w:p>
      <w:pPr>
        <w:pStyle w:val="Heading2"/>
        <w:rPr>
          <w:snapToGrid/>
        </w:rPr>
      </w:pPr>
      <w:bookmarkStart w:id="16" w:name="_Toc132193343"/>
      <w:bookmarkStart w:id="17" w:name="_Toc132193593"/>
      <w:bookmarkStart w:id="18" w:name="_Toc132299192"/>
      <w:r>
        <w:rPr>
          <w:rStyle w:val="CharPartNo"/>
        </w:rPr>
        <w:lastRenderedPageBreak/>
        <w:t>Part 3</w:t>
      </w:r>
      <w:r>
        <w:rPr>
          <w:snapToGrid/>
        </w:rPr>
        <w:t xml:space="preserve"> — </w:t>
      </w:r>
      <w:r>
        <w:rPr>
          <w:rStyle w:val="CharPartText"/>
        </w:rPr>
        <w:t>The State Administrative Tribunal</w:t>
      </w:r>
      <w:bookmarkEnd w:id="16"/>
      <w:bookmarkEnd w:id="17"/>
      <w:bookmarkEnd w:id="18"/>
    </w:p>
    <w:p>
      <w:pPr>
        <w:pStyle w:val="Footnoteheading"/>
        <w:tabs>
          <w:tab w:val="left" w:pos="851"/>
        </w:tabs>
      </w:pPr>
      <w:r>
        <w:tab/>
        <w:t>[Heading inserted: No. 55 of 2004 s. 421.]</w:t>
      </w:r>
    </w:p>
    <w:p>
      <w:pPr>
        <w:pStyle w:val="Heading3"/>
        <w:rPr>
          <w:snapToGrid w:val="0"/>
        </w:rPr>
      </w:pPr>
      <w:bookmarkStart w:id="19" w:name="_Toc132193344"/>
      <w:bookmarkStart w:id="20" w:name="_Toc132193594"/>
      <w:bookmarkStart w:id="21" w:name="_Toc132299193"/>
      <w:r>
        <w:rPr>
          <w:rStyle w:val="CharDivNo"/>
        </w:rPr>
        <w:t>Division 1</w:t>
      </w:r>
      <w:r>
        <w:t xml:space="preserve"> — </w:t>
      </w:r>
      <w:r>
        <w:rPr>
          <w:rStyle w:val="CharDivText"/>
        </w:rPr>
        <w:t>Functions and proceedings</w:t>
      </w:r>
      <w:bookmarkEnd w:id="19"/>
      <w:bookmarkEnd w:id="20"/>
      <w:bookmarkEnd w:id="21"/>
    </w:p>
    <w:p>
      <w:pPr>
        <w:pStyle w:val="Footnoteheading"/>
        <w:tabs>
          <w:tab w:val="left" w:pos="851"/>
        </w:tabs>
      </w:pPr>
      <w:r>
        <w:tab/>
        <w:t>[Heading inserted: No. 55 of 2004 s. 421; amended: No. 5 of 2008 s. 56(2).]</w:t>
      </w:r>
    </w:p>
    <w:p>
      <w:pPr>
        <w:pStyle w:val="Ednotesection"/>
        <w:ind w:left="890" w:hanging="890"/>
      </w:pPr>
      <w:r>
        <w:t>[</w:t>
      </w:r>
      <w:r>
        <w:rPr>
          <w:b/>
          <w:bCs/>
        </w:rPr>
        <w:t>5.</w:t>
      </w:r>
      <w:r>
        <w:tab/>
        <w:t>Deleted: No. 5 of 2008 s. 56(1).]</w:t>
      </w:r>
    </w:p>
    <w:p>
      <w:pPr>
        <w:pStyle w:val="Ednotesection"/>
        <w:rPr>
          <w:b/>
        </w:rPr>
      </w:pPr>
      <w:r>
        <w:t>[</w:t>
      </w:r>
      <w:r>
        <w:rPr>
          <w:b/>
        </w:rPr>
        <w:t>6</w:t>
      </w:r>
      <w:r>
        <w:rPr>
          <w:b/>
        </w:rPr>
        <w:noBreakHyphen/>
        <w:t>12.</w:t>
      </w:r>
      <w:r>
        <w:rPr>
          <w:b/>
        </w:rPr>
        <w:tab/>
      </w:r>
      <w:r>
        <w:t>Deleted: No. 55 of 2004 s. 423.]</w:t>
      </w:r>
    </w:p>
    <w:p>
      <w:pPr>
        <w:pStyle w:val="Footnoteheading"/>
        <w:tabs>
          <w:tab w:val="left" w:pos="851"/>
        </w:tabs>
        <w:spacing w:before="240"/>
      </w:pPr>
      <w:r>
        <w:tab/>
        <w:t>[Heading deleted: No. 55 of 2004 s. 424.]</w:t>
      </w:r>
    </w:p>
    <w:p>
      <w:pPr>
        <w:pStyle w:val="Heading5"/>
        <w:spacing w:before="240"/>
        <w:rPr>
          <w:snapToGrid w:val="0"/>
        </w:rPr>
      </w:pPr>
      <w:bookmarkStart w:id="22" w:name="_Toc132299194"/>
      <w:r>
        <w:rPr>
          <w:rStyle w:val="CharSectno"/>
        </w:rPr>
        <w:t>13</w:t>
      </w:r>
      <w:r>
        <w:rPr>
          <w:snapToGrid w:val="0"/>
        </w:rPr>
        <w:t>.</w:t>
      </w:r>
      <w:r>
        <w:rPr>
          <w:snapToGrid w:val="0"/>
        </w:rPr>
        <w:tab/>
        <w:t>Jurisdiction of State Administrative Tribunal</w:t>
      </w:r>
      <w:bookmarkEnd w:id="22"/>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r>
        <w:rPr>
          <w:color w:val="000000" w:themeColor="text1"/>
        </w:rPr>
        <w:t xml:space="preserve"> and</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r>
        <w:rPr>
          <w:color w:val="000000" w:themeColor="text1"/>
        </w:rPr>
        <w:t xml:space="preserve"> and</w:t>
      </w:r>
    </w:p>
    <w:p>
      <w:pPr>
        <w:pStyle w:val="Indenta"/>
        <w:rPr>
          <w:snapToGrid w:val="0"/>
        </w:rPr>
      </w:pPr>
      <w:r>
        <w:rPr>
          <w:snapToGrid w:val="0"/>
        </w:rPr>
        <w:tab/>
        <w:t>(c)</w:t>
      </w:r>
      <w:r>
        <w:rPr>
          <w:snapToGrid w:val="0"/>
        </w:rPr>
        <w:tab/>
        <w:t>jurisdiction to make orders declaring the capacity of a represented person to vote at parliamentary elections;</w:t>
      </w:r>
      <w:r>
        <w:rPr>
          <w:color w:val="000000" w:themeColor="text1"/>
        </w:rPr>
        <w:t xml:space="preserve"> and</w:t>
      </w:r>
    </w:p>
    <w:p>
      <w:pPr>
        <w:pStyle w:val="Indenta"/>
        <w:rPr>
          <w:snapToGrid w:val="0"/>
        </w:rPr>
      </w:pPr>
      <w:r>
        <w:rPr>
          <w:snapToGrid w:val="0"/>
        </w:rPr>
        <w:tab/>
        <w:t>(d)</w:t>
      </w:r>
      <w:r>
        <w:rPr>
          <w:snapToGrid w:val="0"/>
        </w:rPr>
        <w:tab/>
        <w:t>jurisdiction to review guardianship and administration orders and to make orders consequential thereon;</w:t>
      </w:r>
      <w:r>
        <w:rPr>
          <w:color w:val="000000" w:themeColor="text1"/>
        </w:rPr>
        <w:t xml:space="preserve"> and</w:t>
      </w:r>
    </w:p>
    <w:p>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r>
        <w:rPr>
          <w:color w:val="000000" w:themeColor="text1"/>
        </w:rPr>
        <w:t>and</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lastRenderedPageBreak/>
        <w:tab/>
        <w:t>(g)</w:t>
      </w:r>
      <w:r>
        <w:rPr>
          <w:snapToGrid w:val="0"/>
        </w:rPr>
        <w:tab/>
        <w:t xml:space="preserve">any other jurisdiction vested in it by this Act or any other Act in relation to matters of guardianship and </w:t>
      </w:r>
      <w:r>
        <w:rPr>
          <w:color w:val="000000" w:themeColor="text1"/>
        </w:rPr>
        <w:t>administration; and</w:t>
      </w:r>
      <w:r>
        <w:rPr>
          <w:snapToGrid w:val="0"/>
        </w:rPr>
        <w:t xml:space="preserve"> </w:t>
      </w:r>
    </w:p>
    <w:p>
      <w:pPr>
        <w:pStyle w:val="Indenta"/>
      </w:pPr>
      <w:r>
        <w:rPr>
          <w:color w:val="000000" w:themeColor="text1"/>
        </w:rPr>
        <w:tab/>
        <w:t>(h)</w:t>
      </w:r>
      <w:r>
        <w:rPr>
          <w:color w:val="000000" w:themeColor="text1"/>
        </w:rPr>
        <w:tab/>
        <w:t xml:space="preserve">jurisdiction otherwise conferred on the Tribunal under this Act. </w:t>
      </w:r>
    </w:p>
    <w:p>
      <w:pPr>
        <w:pStyle w:val="Footnotesection"/>
        <w:keepLines w:val="0"/>
        <w:ind w:left="890" w:hanging="890"/>
      </w:pPr>
      <w:r>
        <w:tab/>
        <w:t xml:space="preserve">[Section 13 amended: No. 7 of 1996 s. 10; No. 55 of 2004 s. 425; No. 14 of 2020 s. 6.] </w:t>
      </w:r>
    </w:p>
    <w:p>
      <w:pPr>
        <w:pStyle w:val="Ednotesection"/>
      </w:pPr>
      <w:r>
        <w:t>[</w:t>
      </w:r>
      <w:r>
        <w:rPr>
          <w:b/>
        </w:rPr>
        <w:t>14</w:t>
      </w:r>
      <w:r>
        <w:rPr>
          <w:b/>
        </w:rPr>
        <w:noBreakHyphen/>
        <w:t>15A.</w:t>
      </w:r>
      <w:r>
        <w:tab/>
        <w:t>Deleted: No. 55 of 2004 s. 426.]</w:t>
      </w:r>
    </w:p>
    <w:p>
      <w:pPr>
        <w:pStyle w:val="Heading5"/>
        <w:rPr>
          <w:snapToGrid w:val="0"/>
        </w:rPr>
      </w:pPr>
      <w:bookmarkStart w:id="23" w:name="_Toc132299195"/>
      <w:r>
        <w:rPr>
          <w:rStyle w:val="CharSectno"/>
        </w:rPr>
        <w:t>16</w:t>
      </w:r>
      <w:r>
        <w:rPr>
          <w:snapToGrid w:val="0"/>
        </w:rPr>
        <w:t>.</w:t>
      </w:r>
      <w:r>
        <w:rPr>
          <w:snapToGrid w:val="0"/>
        </w:rPr>
        <w:tab/>
        <w:t>Costs</w:t>
      </w:r>
      <w:bookmarkEnd w:id="2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lastRenderedPageBreak/>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No. 16 of 1992 s. 18; No. 55 of 2004 s. 427 and 466.] </w:t>
      </w:r>
    </w:p>
    <w:p>
      <w:pPr>
        <w:pStyle w:val="Heading5"/>
        <w:rPr>
          <w:snapToGrid w:val="0"/>
        </w:rPr>
      </w:pPr>
      <w:bookmarkStart w:id="24" w:name="_Toc132299196"/>
      <w:r>
        <w:rPr>
          <w:rStyle w:val="CharSectno"/>
        </w:rPr>
        <w:t>17</w:t>
      </w:r>
      <w:r>
        <w:rPr>
          <w:snapToGrid w:val="0"/>
        </w:rPr>
        <w:t>.</w:t>
      </w:r>
      <w:r>
        <w:rPr>
          <w:snapToGrid w:val="0"/>
        </w:rPr>
        <w:tab/>
        <w:t>Further provisions as to proceedings</w:t>
      </w:r>
      <w:bookmarkEnd w:id="24"/>
      <w:r>
        <w:rPr>
          <w:snapToGrid w:val="0"/>
        </w:rPr>
        <w:t xml:space="preserve"> </w:t>
      </w:r>
    </w:p>
    <w:p>
      <w:pPr>
        <w:pStyle w:val="Subsection"/>
        <w:rPr>
          <w:snapToGrid w:val="0"/>
        </w:rPr>
      </w:pPr>
      <w:r>
        <w:rPr>
          <w:snapToGrid w:val="0"/>
        </w:rPr>
        <w:tab/>
        <w:t>(1)</w:t>
      </w:r>
      <w:r>
        <w:rPr>
          <w:snapToGrid w:val="0"/>
        </w:rPr>
        <w:tab/>
        <w:t xml:space="preserve">The provisions of </w:t>
      </w:r>
      <w:r>
        <w:rPr>
          <w:rFonts w:eastAsia="MS Mincho"/>
        </w:rPr>
        <w:t xml:space="preserve">Schedule 1 </w:t>
      </w:r>
      <w:r>
        <w:rPr>
          <w:snapToGrid w:val="0"/>
        </w:rPr>
        <w:t>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No. 55 of 2004 s. 428; No. 19 of 2010 s. 18(2).]</w:t>
      </w:r>
    </w:p>
    <w:p>
      <w:pPr>
        <w:pStyle w:val="Heading3"/>
        <w:rPr>
          <w:snapToGrid w:val="0"/>
        </w:rPr>
      </w:pPr>
      <w:bookmarkStart w:id="25" w:name="_Toc132193348"/>
      <w:bookmarkStart w:id="26" w:name="_Toc132193598"/>
      <w:bookmarkStart w:id="27" w:name="_Toc132299197"/>
      <w:r>
        <w:rPr>
          <w:rStyle w:val="CharDivNo"/>
        </w:rPr>
        <w:t>Division 2A</w:t>
      </w:r>
      <w:r>
        <w:rPr>
          <w:snapToGrid w:val="0"/>
        </w:rPr>
        <w:t> — </w:t>
      </w:r>
      <w:r>
        <w:rPr>
          <w:rStyle w:val="CharDivText"/>
        </w:rPr>
        <w:t>Review of determination where State Administrative Tribunal comprises one member</w:t>
      </w:r>
      <w:bookmarkEnd w:id="25"/>
      <w:bookmarkEnd w:id="26"/>
      <w:bookmarkEnd w:id="27"/>
      <w:r>
        <w:rPr>
          <w:rStyle w:val="CharDivText"/>
        </w:rPr>
        <w:t xml:space="preserve"> </w:t>
      </w:r>
    </w:p>
    <w:p>
      <w:pPr>
        <w:pStyle w:val="Footnoteheading"/>
        <w:rPr>
          <w:snapToGrid w:val="0"/>
        </w:rPr>
      </w:pPr>
      <w:r>
        <w:rPr>
          <w:snapToGrid w:val="0"/>
        </w:rPr>
        <w:tab/>
        <w:t xml:space="preserve">[Heading inserted: No. 16 of 1992 s. 8; amended: No. 55 of 2004 s. 466(1).] </w:t>
      </w:r>
    </w:p>
    <w:p>
      <w:pPr>
        <w:pStyle w:val="Heading5"/>
        <w:rPr>
          <w:snapToGrid w:val="0"/>
        </w:rPr>
      </w:pPr>
      <w:bookmarkStart w:id="28" w:name="_Toc132299198"/>
      <w:r>
        <w:rPr>
          <w:rStyle w:val="CharSectno"/>
        </w:rPr>
        <w:t>17A</w:t>
      </w:r>
      <w:r>
        <w:rPr>
          <w:snapToGrid w:val="0"/>
        </w:rPr>
        <w:t>.</w:t>
      </w:r>
      <w:r>
        <w:rPr>
          <w:snapToGrid w:val="0"/>
        </w:rPr>
        <w:tab/>
        <w:t>Review</w:t>
      </w:r>
      <w:bookmarkEnd w:id="28"/>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No. 16 of 1992 s. 8; amended: No. 7 of 1996 s. 37; No. 70 of 2000 s. 7; No. 55 of 2004 s. 429 and 466.] </w:t>
      </w:r>
    </w:p>
    <w:p>
      <w:pPr>
        <w:pStyle w:val="Heading5"/>
        <w:rPr>
          <w:snapToGrid w:val="0"/>
        </w:rPr>
      </w:pPr>
      <w:bookmarkStart w:id="29" w:name="_Toc132299199"/>
      <w:r>
        <w:rPr>
          <w:rStyle w:val="CharSectno"/>
        </w:rPr>
        <w:lastRenderedPageBreak/>
        <w:t>17B</w:t>
      </w:r>
      <w:r>
        <w:rPr>
          <w:snapToGrid w:val="0"/>
        </w:rPr>
        <w:t>.</w:t>
      </w:r>
      <w:r>
        <w:rPr>
          <w:snapToGrid w:val="0"/>
        </w:rPr>
        <w:tab/>
        <w:t>Executive officer to give notice of review</w:t>
      </w:r>
      <w:bookmarkEnd w:id="29"/>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w:t>
      </w:r>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lastRenderedPageBreak/>
        <w:tab/>
        <w:t xml:space="preserve">[Section 17B inserted: No. 16 of 1992 s. 8; amended: No. 7 of 1996 s. 36; No. 55 of 2004 s. 430 and 466(1); No. 19 of 2010 s. 18(2).] </w:t>
      </w:r>
    </w:p>
    <w:p>
      <w:pPr>
        <w:pStyle w:val="Ednotesection"/>
      </w:pPr>
      <w:r>
        <w:t>[</w:t>
      </w:r>
      <w:r>
        <w:rPr>
          <w:b/>
        </w:rPr>
        <w:t>17C, 17D.</w:t>
      </w:r>
      <w:r>
        <w:rPr>
          <w:b/>
        </w:rPr>
        <w:tab/>
      </w:r>
      <w:r>
        <w:t>Deleted: No. 55 of 2004 s. 431.]</w:t>
      </w:r>
    </w:p>
    <w:p>
      <w:pPr>
        <w:pStyle w:val="Heading3"/>
        <w:rPr>
          <w:snapToGrid w:val="0"/>
        </w:rPr>
      </w:pPr>
      <w:bookmarkStart w:id="30" w:name="_Toc132193351"/>
      <w:bookmarkStart w:id="31" w:name="_Toc132193601"/>
      <w:bookmarkStart w:id="32" w:name="_Toc132299200"/>
      <w:r>
        <w:rPr>
          <w:rStyle w:val="CharDivNo"/>
        </w:rPr>
        <w:t>Division 3</w:t>
      </w:r>
      <w:r>
        <w:rPr>
          <w:snapToGrid w:val="0"/>
        </w:rPr>
        <w:t> — </w:t>
      </w:r>
      <w:r>
        <w:rPr>
          <w:rStyle w:val="CharDivText"/>
        </w:rPr>
        <w:t>Appeals</w:t>
      </w:r>
      <w:bookmarkEnd w:id="30"/>
      <w:bookmarkEnd w:id="31"/>
      <w:bookmarkEnd w:id="32"/>
      <w:r>
        <w:rPr>
          <w:rStyle w:val="CharDivText"/>
        </w:rPr>
        <w:t xml:space="preserve"> </w:t>
      </w:r>
    </w:p>
    <w:p>
      <w:pPr>
        <w:pStyle w:val="Heading5"/>
        <w:rPr>
          <w:snapToGrid w:val="0"/>
        </w:rPr>
      </w:pPr>
      <w:bookmarkStart w:id="33" w:name="_Toc132299201"/>
      <w:r>
        <w:rPr>
          <w:rStyle w:val="CharSectno"/>
        </w:rPr>
        <w:t>18</w:t>
      </w:r>
      <w:r>
        <w:rPr>
          <w:snapToGrid w:val="0"/>
        </w:rPr>
        <w:t>.</w:t>
      </w:r>
      <w:r>
        <w:rPr>
          <w:snapToGrid w:val="0"/>
        </w:rPr>
        <w:tab/>
        <w:t>Term used: Court</w:t>
      </w:r>
      <w:bookmarkEnd w:id="33"/>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No. 7 of 1996 s. 13; No. 45 of 2004 s. 37; No. 55 of 2004 s. 466.] </w:t>
      </w:r>
    </w:p>
    <w:p>
      <w:pPr>
        <w:pStyle w:val="Heading5"/>
        <w:spacing w:before="180"/>
        <w:rPr>
          <w:snapToGrid w:val="0"/>
        </w:rPr>
      </w:pPr>
      <w:bookmarkStart w:id="34" w:name="_Toc132299202"/>
      <w:r>
        <w:rPr>
          <w:rStyle w:val="CharSectno"/>
        </w:rPr>
        <w:t>19</w:t>
      </w:r>
      <w:r>
        <w:rPr>
          <w:snapToGrid w:val="0"/>
        </w:rPr>
        <w:t>.</w:t>
      </w:r>
      <w:r>
        <w:rPr>
          <w:snapToGrid w:val="0"/>
        </w:rPr>
        <w:tab/>
        <w:t>Right of appeal by leave</w:t>
      </w:r>
      <w:bookmarkEnd w:id="34"/>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No. 7 of 1996 s. 14; amended: No. 45 of 2004 s. 37; No. 55 of 2004 s. 432 and 466(1).] </w:t>
      </w:r>
    </w:p>
    <w:p>
      <w:pPr>
        <w:pStyle w:val="Heading5"/>
        <w:spacing w:before="180"/>
        <w:rPr>
          <w:snapToGrid w:val="0"/>
        </w:rPr>
      </w:pPr>
      <w:bookmarkStart w:id="35" w:name="_Toc132299203"/>
      <w:r>
        <w:rPr>
          <w:rStyle w:val="CharSectno"/>
        </w:rPr>
        <w:lastRenderedPageBreak/>
        <w:t>20</w:t>
      </w:r>
      <w:r>
        <w:rPr>
          <w:snapToGrid w:val="0"/>
        </w:rPr>
        <w:t>.</w:t>
      </w:r>
      <w:r>
        <w:rPr>
          <w:snapToGrid w:val="0"/>
        </w:rPr>
        <w:tab/>
        <w:t>Application for leave</w:t>
      </w:r>
      <w:bookmarkEnd w:id="35"/>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No. 7 of 1996 s. 15.] </w:t>
      </w:r>
    </w:p>
    <w:p>
      <w:pPr>
        <w:pStyle w:val="Heading5"/>
        <w:spacing w:before="180"/>
        <w:rPr>
          <w:snapToGrid w:val="0"/>
        </w:rPr>
      </w:pPr>
      <w:bookmarkStart w:id="36" w:name="_Toc132299204"/>
      <w:r>
        <w:rPr>
          <w:rStyle w:val="CharSectno"/>
        </w:rPr>
        <w:t>21</w:t>
      </w:r>
      <w:r>
        <w:rPr>
          <w:snapToGrid w:val="0"/>
        </w:rPr>
        <w:t>.</w:t>
      </w:r>
      <w:r>
        <w:rPr>
          <w:snapToGrid w:val="0"/>
        </w:rPr>
        <w:tab/>
        <w:t>Grounds</w:t>
      </w:r>
      <w:bookmarkEnd w:id="36"/>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No. 55 of 2004 s. 466(1).]</w:t>
      </w:r>
    </w:p>
    <w:p>
      <w:pPr>
        <w:pStyle w:val="Heading5"/>
        <w:spacing w:before="180"/>
        <w:rPr>
          <w:snapToGrid w:val="0"/>
        </w:rPr>
      </w:pPr>
      <w:bookmarkStart w:id="37" w:name="_Toc132299205"/>
      <w:r>
        <w:rPr>
          <w:rStyle w:val="CharSectno"/>
        </w:rPr>
        <w:lastRenderedPageBreak/>
        <w:t>22</w:t>
      </w:r>
      <w:r>
        <w:rPr>
          <w:snapToGrid w:val="0"/>
        </w:rPr>
        <w:t>.</w:t>
      </w:r>
      <w:r>
        <w:rPr>
          <w:snapToGrid w:val="0"/>
        </w:rPr>
        <w:tab/>
        <w:t>Grant or refusal of leave</w:t>
      </w:r>
      <w:bookmarkEnd w:id="37"/>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38" w:name="_Toc132299206"/>
      <w:r>
        <w:rPr>
          <w:rStyle w:val="CharSectno"/>
        </w:rPr>
        <w:t>23</w:t>
      </w:r>
      <w:r>
        <w:rPr>
          <w:snapToGrid w:val="0"/>
        </w:rPr>
        <w:t>.</w:t>
      </w:r>
      <w:r>
        <w:rPr>
          <w:snapToGrid w:val="0"/>
        </w:rPr>
        <w:tab/>
        <w:t>Ancillary orders and directions</w:t>
      </w:r>
      <w:bookmarkEnd w:id="38"/>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39" w:name="_Toc132299207"/>
      <w:r>
        <w:rPr>
          <w:rStyle w:val="CharSectno"/>
        </w:rPr>
        <w:t>24</w:t>
      </w:r>
      <w:r>
        <w:rPr>
          <w:snapToGrid w:val="0"/>
        </w:rPr>
        <w:t>.</w:t>
      </w:r>
      <w:r>
        <w:rPr>
          <w:snapToGrid w:val="0"/>
        </w:rPr>
        <w:tab/>
        <w:t>Reference of application to Court</w:t>
      </w:r>
      <w:bookmarkEnd w:id="39"/>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lastRenderedPageBreak/>
        <w:tab/>
        <w:t xml:space="preserve">[Section 24 inserted: No. 16 of 1992 s. 10; amended: No. 55 of 2004 s. 466.] </w:t>
      </w:r>
    </w:p>
    <w:p>
      <w:pPr>
        <w:pStyle w:val="Heading5"/>
        <w:rPr>
          <w:snapToGrid w:val="0"/>
        </w:rPr>
      </w:pPr>
      <w:bookmarkStart w:id="40" w:name="_Toc132299208"/>
      <w:r>
        <w:rPr>
          <w:rStyle w:val="CharSectno"/>
        </w:rPr>
        <w:t>25</w:t>
      </w:r>
      <w:r>
        <w:rPr>
          <w:snapToGrid w:val="0"/>
        </w:rPr>
        <w:t>.</w:t>
      </w:r>
      <w:r>
        <w:rPr>
          <w:snapToGrid w:val="0"/>
        </w:rPr>
        <w:tab/>
        <w:t>Application and appeal may be heard together</w:t>
      </w:r>
      <w:bookmarkEnd w:id="40"/>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41" w:name="_Toc132299209"/>
      <w:r>
        <w:rPr>
          <w:rStyle w:val="CharSectno"/>
        </w:rPr>
        <w:t>26</w:t>
      </w:r>
      <w:r>
        <w:rPr>
          <w:snapToGrid w:val="0"/>
        </w:rPr>
        <w:t>.</w:t>
      </w:r>
      <w:r>
        <w:rPr>
          <w:snapToGrid w:val="0"/>
        </w:rPr>
        <w:tab/>
        <w:t>Notice to other parties</w:t>
      </w:r>
      <w:bookmarkEnd w:id="41"/>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No. 55 of 2004 s. 466(1).]</w:t>
      </w:r>
    </w:p>
    <w:p>
      <w:pPr>
        <w:pStyle w:val="Heading5"/>
        <w:rPr>
          <w:snapToGrid w:val="0"/>
        </w:rPr>
      </w:pPr>
      <w:bookmarkStart w:id="42" w:name="_Toc132299210"/>
      <w:r>
        <w:rPr>
          <w:rStyle w:val="CharSectno"/>
        </w:rPr>
        <w:t>27</w:t>
      </w:r>
      <w:r>
        <w:rPr>
          <w:snapToGrid w:val="0"/>
        </w:rPr>
        <w:t>.</w:t>
      </w:r>
      <w:r>
        <w:rPr>
          <w:snapToGrid w:val="0"/>
        </w:rPr>
        <w:tab/>
        <w:t>Amendment of grounds of appeal</w:t>
      </w:r>
      <w:bookmarkEnd w:id="42"/>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43" w:name="_Toc132299211"/>
      <w:r>
        <w:rPr>
          <w:rStyle w:val="CharSectno"/>
        </w:rPr>
        <w:t>28</w:t>
      </w:r>
      <w:r>
        <w:rPr>
          <w:snapToGrid w:val="0"/>
        </w:rPr>
        <w:t>.</w:t>
      </w:r>
      <w:r>
        <w:rPr>
          <w:snapToGrid w:val="0"/>
        </w:rPr>
        <w:tab/>
        <w:t>Status of State Administrative Tribunal’s determination pending disposal of appeal</w:t>
      </w:r>
      <w:bookmarkEnd w:id="43"/>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xml:space="preserve">, </w:t>
      </w:r>
      <w:r>
        <w:rPr>
          <w:snapToGrid w:val="0"/>
        </w:rPr>
        <w:lastRenderedPageBreak/>
        <w:t>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pPr>
        <w:pStyle w:val="Footnotesection"/>
      </w:pPr>
      <w:r>
        <w:tab/>
        <w:t>[Section 28 amended: No. 55 of 2004 s. 466(1).]</w:t>
      </w:r>
    </w:p>
    <w:p>
      <w:pPr>
        <w:pStyle w:val="Heading5"/>
        <w:rPr>
          <w:snapToGrid w:val="0"/>
        </w:rPr>
      </w:pPr>
      <w:bookmarkStart w:id="44" w:name="_Toc132299212"/>
      <w:r>
        <w:rPr>
          <w:rStyle w:val="CharSectno"/>
        </w:rPr>
        <w:t>29</w:t>
      </w:r>
      <w:r>
        <w:rPr>
          <w:snapToGrid w:val="0"/>
        </w:rPr>
        <w:t>.</w:t>
      </w:r>
      <w:r>
        <w:rPr>
          <w:snapToGrid w:val="0"/>
        </w:rPr>
        <w:tab/>
        <w:t>Nature of appeal, and evidence</w:t>
      </w:r>
      <w:bookmarkEnd w:id="44"/>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No. 55 of 2004 s. 466.]</w:t>
      </w:r>
    </w:p>
    <w:p>
      <w:pPr>
        <w:pStyle w:val="Heading5"/>
        <w:spacing w:before="180"/>
        <w:rPr>
          <w:snapToGrid w:val="0"/>
        </w:rPr>
      </w:pPr>
      <w:bookmarkStart w:id="45" w:name="_Toc132299213"/>
      <w:r>
        <w:rPr>
          <w:rStyle w:val="CharSectno"/>
        </w:rPr>
        <w:t>30</w:t>
      </w:r>
      <w:r>
        <w:rPr>
          <w:snapToGrid w:val="0"/>
        </w:rPr>
        <w:t>.</w:t>
      </w:r>
      <w:r>
        <w:rPr>
          <w:snapToGrid w:val="0"/>
        </w:rPr>
        <w:tab/>
        <w:t>Powers of Court</w:t>
      </w:r>
      <w:bookmarkEnd w:id="45"/>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lastRenderedPageBreak/>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No. 55 of 2004 s. 466.]</w:t>
      </w:r>
    </w:p>
    <w:p>
      <w:pPr>
        <w:pStyle w:val="Heading5"/>
        <w:rPr>
          <w:snapToGrid w:val="0"/>
        </w:rPr>
      </w:pPr>
      <w:bookmarkStart w:id="46" w:name="_Toc132299214"/>
      <w:r>
        <w:rPr>
          <w:rStyle w:val="CharSectno"/>
        </w:rPr>
        <w:t>31</w:t>
      </w:r>
      <w:r>
        <w:rPr>
          <w:snapToGrid w:val="0"/>
        </w:rPr>
        <w:t>.</w:t>
      </w:r>
      <w:r>
        <w:rPr>
          <w:snapToGrid w:val="0"/>
        </w:rPr>
        <w:tab/>
        <w:t>Want of form</w:t>
      </w:r>
      <w:bookmarkEnd w:id="46"/>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No. 55 of 2004 s. 466(1).]</w:t>
      </w:r>
    </w:p>
    <w:p>
      <w:pPr>
        <w:pStyle w:val="Heading5"/>
        <w:rPr>
          <w:snapToGrid w:val="0"/>
        </w:rPr>
      </w:pPr>
      <w:bookmarkStart w:id="47" w:name="_Toc132299215"/>
      <w:r>
        <w:rPr>
          <w:rStyle w:val="CharSectno"/>
        </w:rPr>
        <w:t>32</w:t>
      </w:r>
      <w:r>
        <w:rPr>
          <w:snapToGrid w:val="0"/>
        </w:rPr>
        <w:t>.</w:t>
      </w:r>
      <w:r>
        <w:rPr>
          <w:snapToGrid w:val="0"/>
        </w:rPr>
        <w:tab/>
        <w:t>Notification of result of appeal to executive officer</w:t>
      </w:r>
      <w:bookmarkEnd w:id="47"/>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lastRenderedPageBreak/>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No. 16 of 1992 s. 11.] </w:t>
      </w:r>
    </w:p>
    <w:p>
      <w:pPr>
        <w:pStyle w:val="Heading5"/>
        <w:rPr>
          <w:snapToGrid w:val="0"/>
        </w:rPr>
      </w:pPr>
      <w:bookmarkStart w:id="48" w:name="_Toc132299216"/>
      <w:r>
        <w:rPr>
          <w:rStyle w:val="CharSectno"/>
        </w:rPr>
        <w:t>33</w:t>
      </w:r>
      <w:r>
        <w:rPr>
          <w:snapToGrid w:val="0"/>
        </w:rPr>
        <w:t>.</w:t>
      </w:r>
      <w:r>
        <w:rPr>
          <w:snapToGrid w:val="0"/>
        </w:rPr>
        <w:tab/>
        <w:t>Discontinuance of appeal</w:t>
      </w:r>
      <w:bookmarkEnd w:id="48"/>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No. 16 of 1992 s. 18; No. 55 of 2004 s. 433.] </w:t>
      </w:r>
    </w:p>
    <w:p>
      <w:pPr>
        <w:pStyle w:val="Heading5"/>
        <w:rPr>
          <w:snapToGrid w:val="0"/>
        </w:rPr>
      </w:pPr>
      <w:bookmarkStart w:id="49" w:name="_Toc132299217"/>
      <w:r>
        <w:rPr>
          <w:rStyle w:val="CharSectno"/>
        </w:rPr>
        <w:t>34</w:t>
      </w:r>
      <w:r>
        <w:rPr>
          <w:snapToGrid w:val="0"/>
        </w:rPr>
        <w:t>.</w:t>
      </w:r>
      <w:r>
        <w:rPr>
          <w:snapToGrid w:val="0"/>
        </w:rPr>
        <w:tab/>
        <w:t>Dismissal for want of prosecution</w:t>
      </w:r>
      <w:bookmarkEnd w:id="49"/>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lastRenderedPageBreak/>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50" w:name="_Toc132299218"/>
      <w:r>
        <w:rPr>
          <w:rStyle w:val="CharSectno"/>
        </w:rPr>
        <w:t>35</w:t>
      </w:r>
      <w:r>
        <w:rPr>
          <w:snapToGrid w:val="0"/>
        </w:rPr>
        <w:t>.</w:t>
      </w:r>
      <w:r>
        <w:rPr>
          <w:snapToGrid w:val="0"/>
        </w:rPr>
        <w:tab/>
        <w:t>Application for reinstatement of appeal</w:t>
      </w:r>
      <w:bookmarkEnd w:id="50"/>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51" w:name="_Toc132299219"/>
      <w:r>
        <w:rPr>
          <w:rStyle w:val="CharSectno"/>
        </w:rPr>
        <w:t>36</w:t>
      </w:r>
      <w:r>
        <w:rPr>
          <w:snapToGrid w:val="0"/>
        </w:rPr>
        <w:t>.</w:t>
      </w:r>
      <w:r>
        <w:rPr>
          <w:snapToGrid w:val="0"/>
        </w:rPr>
        <w:tab/>
        <w:t>Time may be extended or shortened</w:t>
      </w:r>
      <w:bookmarkEnd w:id="51"/>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52" w:name="_Toc132299220"/>
      <w:r>
        <w:rPr>
          <w:rStyle w:val="CharSectno"/>
        </w:rPr>
        <w:t>37</w:t>
      </w:r>
      <w:r>
        <w:rPr>
          <w:snapToGrid w:val="0"/>
        </w:rPr>
        <w:t>.</w:t>
      </w:r>
      <w:r>
        <w:rPr>
          <w:snapToGrid w:val="0"/>
        </w:rPr>
        <w:tab/>
        <w:t>Enforcement of order for costs</w:t>
      </w:r>
      <w:bookmarkEnd w:id="52"/>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lastRenderedPageBreak/>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No. 55 of 2004 s. 434.]</w:t>
      </w:r>
    </w:p>
    <w:p>
      <w:pPr>
        <w:pStyle w:val="Heading2"/>
      </w:pPr>
      <w:bookmarkStart w:id="53" w:name="_Toc132193372"/>
      <w:bookmarkStart w:id="54" w:name="_Toc132193622"/>
      <w:bookmarkStart w:id="55" w:name="_Toc132299221"/>
      <w:r>
        <w:rPr>
          <w:rStyle w:val="CharPartNo"/>
        </w:rPr>
        <w:lastRenderedPageBreak/>
        <w:t>Part 4</w:t>
      </w:r>
      <w:r>
        <w:rPr>
          <w:rStyle w:val="CharDivNo"/>
        </w:rPr>
        <w:t> </w:t>
      </w:r>
      <w:r>
        <w:t>—</w:t>
      </w:r>
      <w:r>
        <w:rPr>
          <w:rStyle w:val="CharDivText"/>
        </w:rPr>
        <w:t> </w:t>
      </w:r>
      <w:r>
        <w:rPr>
          <w:rStyle w:val="CharPartText"/>
        </w:rPr>
        <w:t>Applications for guardianship and administration orders</w:t>
      </w:r>
      <w:bookmarkEnd w:id="53"/>
      <w:bookmarkEnd w:id="54"/>
      <w:bookmarkEnd w:id="55"/>
      <w:r>
        <w:rPr>
          <w:rStyle w:val="CharPartText"/>
        </w:rPr>
        <w:t xml:space="preserve"> </w:t>
      </w:r>
    </w:p>
    <w:p>
      <w:pPr>
        <w:pStyle w:val="Ednotesection"/>
        <w:ind w:left="890" w:hanging="890"/>
      </w:pPr>
      <w:r>
        <w:t>[</w:t>
      </w:r>
      <w:r>
        <w:rPr>
          <w:b/>
        </w:rPr>
        <w:t>39.</w:t>
      </w:r>
      <w:r>
        <w:tab/>
        <w:t xml:space="preserve">Deleted: No. 7 of 1996 s. 17.] </w:t>
      </w:r>
    </w:p>
    <w:p>
      <w:pPr>
        <w:pStyle w:val="Heading5"/>
        <w:rPr>
          <w:snapToGrid w:val="0"/>
        </w:rPr>
      </w:pPr>
      <w:bookmarkStart w:id="56" w:name="_Toc132299222"/>
      <w:r>
        <w:rPr>
          <w:rStyle w:val="CharSectno"/>
        </w:rPr>
        <w:t>40</w:t>
      </w:r>
      <w:r>
        <w:rPr>
          <w:snapToGrid w:val="0"/>
        </w:rPr>
        <w:t>.</w:t>
      </w:r>
      <w:r>
        <w:rPr>
          <w:snapToGrid w:val="0"/>
        </w:rPr>
        <w:tab/>
        <w:t>Application</w:t>
      </w:r>
      <w:bookmarkEnd w:id="56"/>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No. 16 of 1992 s. 18; No. 7 of 1996 s. 18; No. 55 of 2004 s. 435 and 466(1).] </w:t>
      </w:r>
    </w:p>
    <w:p>
      <w:pPr>
        <w:pStyle w:val="Heading5"/>
        <w:rPr>
          <w:snapToGrid w:val="0"/>
        </w:rPr>
      </w:pPr>
      <w:bookmarkStart w:id="57" w:name="_Toc132299223"/>
      <w:r>
        <w:rPr>
          <w:rStyle w:val="CharSectno"/>
        </w:rPr>
        <w:t>41</w:t>
      </w:r>
      <w:r>
        <w:rPr>
          <w:snapToGrid w:val="0"/>
        </w:rPr>
        <w:t>.</w:t>
      </w:r>
      <w:r>
        <w:rPr>
          <w:snapToGrid w:val="0"/>
        </w:rPr>
        <w:tab/>
        <w:t>Notice of hearing</w:t>
      </w:r>
      <w:bookmarkEnd w:id="57"/>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lastRenderedPageBreak/>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lastRenderedPageBreak/>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No. 16 of 1992 s. 18; No. 7 of 1996 s. 36; No. 55 of 2004 s. 436 and 466(1); No. 19 of 2010 s. 18(2).] </w:t>
      </w:r>
    </w:p>
    <w:p>
      <w:pPr>
        <w:pStyle w:val="Ednotesection"/>
      </w:pPr>
      <w:r>
        <w:t>[</w:t>
      </w:r>
      <w:r>
        <w:rPr>
          <w:b/>
        </w:rPr>
        <w:t>42.</w:t>
      </w:r>
      <w:r>
        <w:rPr>
          <w:b/>
        </w:rPr>
        <w:tab/>
      </w:r>
      <w:r>
        <w:t>Deleted: No. 55 of 2004 s. 437.]</w:t>
      </w:r>
    </w:p>
    <w:p>
      <w:pPr>
        <w:pStyle w:val="Heading2"/>
      </w:pPr>
      <w:bookmarkStart w:id="58" w:name="_Toc132193375"/>
      <w:bookmarkStart w:id="59" w:name="_Toc132193625"/>
      <w:bookmarkStart w:id="60" w:name="_Toc132299224"/>
      <w:r>
        <w:rPr>
          <w:rStyle w:val="CharPartNo"/>
        </w:rPr>
        <w:lastRenderedPageBreak/>
        <w:t>Part 5</w:t>
      </w:r>
      <w:r>
        <w:t> — </w:t>
      </w:r>
      <w:r>
        <w:rPr>
          <w:rStyle w:val="CharPartText"/>
        </w:rPr>
        <w:t>Guardianship</w:t>
      </w:r>
      <w:bookmarkEnd w:id="58"/>
      <w:bookmarkEnd w:id="59"/>
      <w:bookmarkEnd w:id="60"/>
      <w:r>
        <w:rPr>
          <w:rStyle w:val="CharPartText"/>
        </w:rPr>
        <w:t xml:space="preserve"> </w:t>
      </w:r>
    </w:p>
    <w:p>
      <w:pPr>
        <w:pStyle w:val="Heading3"/>
        <w:rPr>
          <w:snapToGrid w:val="0"/>
        </w:rPr>
      </w:pPr>
      <w:bookmarkStart w:id="61" w:name="_Toc132193376"/>
      <w:bookmarkStart w:id="62" w:name="_Toc132193626"/>
      <w:bookmarkStart w:id="63" w:name="_Toc132299225"/>
      <w:r>
        <w:rPr>
          <w:rStyle w:val="CharDivNo"/>
        </w:rPr>
        <w:t>Division 1</w:t>
      </w:r>
      <w:r>
        <w:rPr>
          <w:snapToGrid w:val="0"/>
        </w:rPr>
        <w:t> — </w:t>
      </w:r>
      <w:r>
        <w:rPr>
          <w:rStyle w:val="CharDivText"/>
        </w:rPr>
        <w:t>Appointment of guardian</w:t>
      </w:r>
      <w:bookmarkEnd w:id="61"/>
      <w:bookmarkEnd w:id="62"/>
      <w:bookmarkEnd w:id="63"/>
      <w:r>
        <w:rPr>
          <w:rStyle w:val="CharDivText"/>
        </w:rPr>
        <w:t xml:space="preserve"> </w:t>
      </w:r>
    </w:p>
    <w:p>
      <w:pPr>
        <w:pStyle w:val="Heading5"/>
        <w:rPr>
          <w:snapToGrid w:val="0"/>
        </w:rPr>
      </w:pPr>
      <w:bookmarkStart w:id="64" w:name="_Toc132299226"/>
      <w:r>
        <w:rPr>
          <w:rStyle w:val="CharSectno"/>
        </w:rPr>
        <w:t>43</w:t>
      </w:r>
      <w:r>
        <w:rPr>
          <w:snapToGrid w:val="0"/>
        </w:rPr>
        <w:t>.</w:t>
      </w:r>
      <w:r>
        <w:rPr>
          <w:snapToGrid w:val="0"/>
        </w:rPr>
        <w:tab/>
        <w:t>Making of guardianship order</w:t>
      </w:r>
      <w:bookmarkEnd w:id="64"/>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lastRenderedPageBreak/>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lastRenderedPageBreak/>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No. 55 of 2004 s. 466; No. 5 of 2008 s. 57(1) and (2).]</w:t>
      </w:r>
    </w:p>
    <w:p>
      <w:pPr>
        <w:pStyle w:val="Heading5"/>
        <w:spacing w:before="180"/>
        <w:rPr>
          <w:snapToGrid w:val="0"/>
        </w:rPr>
      </w:pPr>
      <w:bookmarkStart w:id="65" w:name="_Toc132299227"/>
      <w:r>
        <w:rPr>
          <w:rStyle w:val="CharSectno"/>
        </w:rPr>
        <w:t>44</w:t>
      </w:r>
      <w:r>
        <w:rPr>
          <w:snapToGrid w:val="0"/>
        </w:rPr>
        <w:t>.</w:t>
      </w:r>
      <w:r>
        <w:rPr>
          <w:snapToGrid w:val="0"/>
        </w:rPr>
        <w:tab/>
        <w:t>Who may be appointed guardian</w:t>
      </w:r>
      <w:bookmarkEnd w:id="65"/>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lastRenderedPageBreak/>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No. 7 of 1996 s. 36; No. 55 of 2004 s. 466(1).] </w:t>
      </w:r>
    </w:p>
    <w:p>
      <w:pPr>
        <w:pStyle w:val="Heading5"/>
        <w:rPr>
          <w:snapToGrid w:val="0"/>
        </w:rPr>
      </w:pPr>
      <w:bookmarkStart w:id="66" w:name="_Toc132299228"/>
      <w:r>
        <w:rPr>
          <w:rStyle w:val="CharSectno"/>
        </w:rPr>
        <w:t>44A</w:t>
      </w:r>
      <w:r>
        <w:rPr>
          <w:snapToGrid w:val="0"/>
        </w:rPr>
        <w:t xml:space="preserve">. </w:t>
      </w:r>
      <w:r>
        <w:rPr>
          <w:snapToGrid w:val="0"/>
        </w:rPr>
        <w:tab/>
        <w:t>Interstate arrangements for guardianship orders</w:t>
      </w:r>
      <w:bookmarkEnd w:id="66"/>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keepNext/>
        <w:keepLines/>
        <w:rPr>
          <w:snapToGrid w:val="0"/>
        </w:rPr>
      </w:pPr>
      <w:r>
        <w:rPr>
          <w:snapToGrid w:val="0"/>
        </w:rPr>
        <w:lastRenderedPageBreak/>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 xml:space="preserve">[Section 44A inserted: No. 7 of 1996 s. 19.] </w:t>
      </w:r>
    </w:p>
    <w:p>
      <w:pPr>
        <w:pStyle w:val="Heading3"/>
        <w:rPr>
          <w:snapToGrid w:val="0"/>
        </w:rPr>
      </w:pPr>
      <w:bookmarkStart w:id="67" w:name="_Toc132193380"/>
      <w:bookmarkStart w:id="68" w:name="_Toc132193630"/>
      <w:bookmarkStart w:id="69" w:name="_Toc132299229"/>
      <w:r>
        <w:rPr>
          <w:rStyle w:val="CharDivNo"/>
        </w:rPr>
        <w:t>Division 2</w:t>
      </w:r>
      <w:r>
        <w:rPr>
          <w:snapToGrid w:val="0"/>
        </w:rPr>
        <w:t> — </w:t>
      </w:r>
      <w:r>
        <w:rPr>
          <w:rStyle w:val="CharDivText"/>
        </w:rPr>
        <w:t>Functions of guardians</w:t>
      </w:r>
      <w:bookmarkEnd w:id="67"/>
      <w:bookmarkEnd w:id="68"/>
      <w:bookmarkEnd w:id="69"/>
      <w:r>
        <w:rPr>
          <w:rStyle w:val="CharDivText"/>
        </w:rPr>
        <w:t xml:space="preserve"> </w:t>
      </w:r>
    </w:p>
    <w:p>
      <w:pPr>
        <w:pStyle w:val="Heading5"/>
        <w:rPr>
          <w:snapToGrid w:val="0"/>
        </w:rPr>
      </w:pPr>
      <w:bookmarkStart w:id="70" w:name="_Toc132299230"/>
      <w:r>
        <w:rPr>
          <w:rStyle w:val="CharSectno"/>
        </w:rPr>
        <w:t>45</w:t>
      </w:r>
      <w:r>
        <w:rPr>
          <w:snapToGrid w:val="0"/>
        </w:rPr>
        <w:t>.</w:t>
      </w:r>
      <w:r>
        <w:rPr>
          <w:snapToGrid w:val="0"/>
        </w:rPr>
        <w:tab/>
        <w:t>Authority of plenary guardian</w:t>
      </w:r>
      <w:bookmarkEnd w:id="70"/>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lastRenderedPageBreak/>
        <w:tab/>
        <w:t>(d)</w:t>
      </w:r>
      <w:r>
        <w:tab/>
        <w:t>subject to subsection (4A), make treatment decisions for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w:t>
      </w:r>
      <w:r>
        <w:rPr>
          <w:color w:val="000000" w:themeColor="text1"/>
        </w:rPr>
        <w:t>person;</w:t>
      </w:r>
    </w:p>
    <w:p>
      <w:pPr>
        <w:pStyle w:val="Indenta"/>
      </w:pPr>
      <w:r>
        <w:rPr>
          <w:color w:val="000000" w:themeColor="text1"/>
        </w:rPr>
        <w:tab/>
        <w:t>(i)</w:t>
      </w:r>
      <w:r>
        <w:rPr>
          <w:color w:val="000000" w:themeColor="text1"/>
        </w:rPr>
        <w:tab/>
        <w:t>if the plenary guardian is a research decision</w:t>
      </w:r>
      <w:r>
        <w:rPr>
          <w:color w:val="000000" w:themeColor="text1"/>
        </w:rPr>
        <w:noBreakHyphen/>
        <w:t>maker for the represented person — subject to subsection (4A)(a) and sections 110ZR and 110ZT, make research decisions in relation to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pPr>
      <w:r>
        <w:rPr>
          <w:color w:val="000000" w:themeColor="text1"/>
        </w:rPr>
        <w:tab/>
        <w:t>(4A)</w:t>
      </w:r>
      <w:r>
        <w:rPr>
          <w:color w:val="000000" w:themeColor="text1"/>
        </w:rPr>
        <w:tab/>
        <w:t xml:space="preserve">A plenary guardian — </w:t>
      </w:r>
    </w:p>
    <w:p>
      <w:pPr>
        <w:pStyle w:val="Indenta"/>
      </w:pPr>
      <w:r>
        <w:rPr>
          <w:color w:val="000000" w:themeColor="text1"/>
        </w:rPr>
        <w:lastRenderedPageBreak/>
        <w:tab/>
        <w:t>(a)</w:t>
      </w:r>
      <w:r>
        <w:rPr>
          <w:color w:val="000000" w:themeColor="text1"/>
        </w:rPr>
        <w:tab/>
        <w:t xml:space="preserve">cannot consent, for the purposes of medical research, to — </w:t>
      </w:r>
    </w:p>
    <w:p>
      <w:pPr>
        <w:pStyle w:val="Indenti"/>
      </w:pPr>
      <w:r>
        <w:rPr>
          <w:color w:val="000000" w:themeColor="text1"/>
        </w:rPr>
        <w:tab/>
        <w:t>(i)</w:t>
      </w:r>
      <w:r>
        <w:rPr>
          <w:color w:val="000000" w:themeColor="text1"/>
        </w:rPr>
        <w:tab/>
        <w:t xml:space="preserve">the sterilisation of the represented person; or </w:t>
      </w:r>
    </w:p>
    <w:p>
      <w:pPr>
        <w:pStyle w:val="Indenti"/>
      </w:pPr>
      <w:r>
        <w:tab/>
        <w:t>(ii)</w:t>
      </w:r>
      <w:r>
        <w:tab/>
        <w:t>electroconvulsive therapy being performed on a research candidate;</w:t>
      </w:r>
    </w:p>
    <w:p>
      <w:pPr>
        <w:pStyle w:val="Indenta"/>
      </w:pPr>
      <w:r>
        <w:rPr>
          <w:color w:val="000000" w:themeColor="text1"/>
        </w:rPr>
        <w:tab/>
      </w:r>
      <w:r>
        <w:rPr>
          <w:color w:val="000000" w:themeColor="text1"/>
        </w:rPr>
        <w:tab/>
        <w:t>and</w:t>
      </w:r>
    </w:p>
    <w:p>
      <w:pPr>
        <w:pStyle w:val="Indenta"/>
      </w:pPr>
      <w:r>
        <w:tab/>
        <w:t>(b)</w:t>
      </w:r>
      <w:r>
        <w:tab/>
        <w:t>cannot consent to the sterilisation of the represented person for any other purposes,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No. 7 of 1996 s. 20; No. 69 of 1996 s. 34; No. 41 of 1997 s. 32; No. 70 of 2000 s. 8; No. 35 of 2006 s. 205; No. 27 of 2007 s. 25; No. 25 of 2008 s. 6; No. 47 of 2008 s. 64; No. 17 of 2014 s. 22(2) and (3); No. 14 of 2020 s. 7.] </w:t>
      </w:r>
    </w:p>
    <w:p>
      <w:pPr>
        <w:pStyle w:val="Heading5"/>
        <w:rPr>
          <w:snapToGrid w:val="0"/>
        </w:rPr>
      </w:pPr>
      <w:bookmarkStart w:id="71" w:name="_Toc132299231"/>
      <w:r>
        <w:rPr>
          <w:rStyle w:val="CharSectno"/>
        </w:rPr>
        <w:t>46</w:t>
      </w:r>
      <w:r>
        <w:rPr>
          <w:snapToGrid w:val="0"/>
        </w:rPr>
        <w:t>.</w:t>
      </w:r>
      <w:r>
        <w:rPr>
          <w:snapToGrid w:val="0"/>
        </w:rPr>
        <w:tab/>
        <w:t>Authority of limited guardian</w:t>
      </w:r>
      <w:bookmarkEnd w:id="71"/>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No. 55 of 2004 s. 466(1).]</w:t>
      </w:r>
    </w:p>
    <w:p>
      <w:pPr>
        <w:pStyle w:val="Heading5"/>
        <w:keepLines w:val="0"/>
        <w:rPr>
          <w:snapToGrid w:val="0"/>
        </w:rPr>
      </w:pPr>
      <w:bookmarkStart w:id="72" w:name="_Toc132299232"/>
      <w:r>
        <w:rPr>
          <w:rStyle w:val="CharSectno"/>
        </w:rPr>
        <w:t>47</w:t>
      </w:r>
      <w:r>
        <w:rPr>
          <w:snapToGrid w:val="0"/>
        </w:rPr>
        <w:t>.</w:t>
      </w:r>
      <w:r>
        <w:rPr>
          <w:snapToGrid w:val="0"/>
        </w:rPr>
        <w:tab/>
        <w:t>Guardian may apply for directions</w:t>
      </w:r>
      <w:bookmarkEnd w:id="72"/>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lastRenderedPageBreak/>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No. 16 of 1992 s. 18; No. 55 of 2004 s. 466.] </w:t>
      </w:r>
    </w:p>
    <w:p>
      <w:pPr>
        <w:pStyle w:val="Heading5"/>
        <w:rPr>
          <w:snapToGrid w:val="0"/>
        </w:rPr>
      </w:pPr>
      <w:bookmarkStart w:id="73" w:name="_Toc132299233"/>
      <w:r>
        <w:rPr>
          <w:rStyle w:val="CharSectno"/>
        </w:rPr>
        <w:t>48</w:t>
      </w:r>
      <w:r>
        <w:rPr>
          <w:snapToGrid w:val="0"/>
        </w:rPr>
        <w:t>.</w:t>
      </w:r>
      <w:r>
        <w:rPr>
          <w:snapToGrid w:val="0"/>
        </w:rPr>
        <w:tab/>
        <w:t>Guardian may execute documents etc.</w:t>
      </w:r>
      <w:bookmarkEnd w:id="73"/>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74" w:name="_Toc132299234"/>
      <w:r>
        <w:rPr>
          <w:rStyle w:val="CharSectno"/>
        </w:rPr>
        <w:t>49</w:t>
      </w:r>
      <w:r>
        <w:rPr>
          <w:snapToGrid w:val="0"/>
        </w:rPr>
        <w:t>.</w:t>
      </w:r>
      <w:r>
        <w:rPr>
          <w:snapToGrid w:val="0"/>
        </w:rPr>
        <w:tab/>
        <w:t>Guardian may obtain warrant to enter</w:t>
      </w:r>
      <w:bookmarkEnd w:id="74"/>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40"/>
        <w:rPr>
          <w:snapToGrid w:val="0"/>
        </w:rPr>
      </w:pPr>
      <w:r>
        <w:rPr>
          <w:snapToGrid w:val="0"/>
        </w:rPr>
        <w:lastRenderedPageBreak/>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No. 50 of 2003 s. 70(2); No. 55 of 2004 s. 466(1).]</w:t>
      </w:r>
    </w:p>
    <w:p>
      <w:pPr>
        <w:pStyle w:val="Heading5"/>
        <w:rPr>
          <w:snapToGrid w:val="0"/>
        </w:rPr>
      </w:pPr>
      <w:bookmarkStart w:id="75" w:name="_Toc132299235"/>
      <w:r>
        <w:rPr>
          <w:rStyle w:val="CharSectno"/>
        </w:rPr>
        <w:t>50</w:t>
      </w:r>
      <w:r>
        <w:rPr>
          <w:snapToGrid w:val="0"/>
        </w:rPr>
        <w:t>.</w:t>
      </w:r>
      <w:r>
        <w:rPr>
          <w:snapToGrid w:val="0"/>
        </w:rPr>
        <w:tab/>
        <w:t>Effect of actions etc. of guardian</w:t>
      </w:r>
      <w:bookmarkEnd w:id="75"/>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 No. 25 of 2008 s. 7.]</w:t>
      </w:r>
    </w:p>
    <w:p>
      <w:pPr>
        <w:pStyle w:val="Heading5"/>
        <w:rPr>
          <w:snapToGrid w:val="0"/>
        </w:rPr>
      </w:pPr>
      <w:bookmarkStart w:id="76" w:name="_Toc132299236"/>
      <w:r>
        <w:rPr>
          <w:rStyle w:val="CharSectno"/>
        </w:rPr>
        <w:t>51</w:t>
      </w:r>
      <w:r>
        <w:rPr>
          <w:snapToGrid w:val="0"/>
        </w:rPr>
        <w:t>.</w:t>
      </w:r>
      <w:r>
        <w:rPr>
          <w:snapToGrid w:val="0"/>
        </w:rPr>
        <w:tab/>
        <w:t>Guardian to act in best interests of represented person</w:t>
      </w:r>
      <w:bookmarkEnd w:id="76"/>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xml:space="preserve">, a guardian </w:t>
      </w:r>
      <w:r>
        <w:rPr>
          <w:color w:val="000000" w:themeColor="text1"/>
        </w:rPr>
        <w:t>must act according to the guardian’s</w:t>
      </w:r>
      <w:r>
        <w:rPr>
          <w:snapToGrid w:val="0"/>
        </w:rPr>
        <w:t xml:space="preserve"> opinion of the best interests of the represented person.</w:t>
      </w:r>
    </w:p>
    <w:p>
      <w:pPr>
        <w:pStyle w:val="Subsection"/>
        <w:rPr>
          <w:snapToGrid w:val="0"/>
        </w:rPr>
      </w:pPr>
      <w:r>
        <w:rPr>
          <w:snapToGrid w:val="0"/>
        </w:rPr>
        <w:tab/>
        <w:t>(2)</w:t>
      </w:r>
      <w:r>
        <w:rPr>
          <w:snapToGrid w:val="0"/>
        </w:rPr>
        <w:tab/>
        <w:t xml:space="preserve">Without limiting the generality of subsection (1), a guardian acts in the best interests of a represented person if </w:t>
      </w:r>
      <w:r>
        <w:rPr>
          <w:color w:val="000000" w:themeColor="text1"/>
        </w:rPr>
        <w:t>the guardian</w:t>
      </w:r>
      <w:r>
        <w:rPr>
          <w:snapToGrid w:val="0"/>
        </w:rPr>
        <w:t xml:space="preserv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 xml:space="preserve">in such a way as to encourage and assist the represented person to become capable of caring for </w:t>
      </w:r>
      <w:r>
        <w:rPr>
          <w:color w:val="000000" w:themeColor="text1"/>
        </w:rPr>
        <w:t xml:space="preserve">themself </w:t>
      </w:r>
      <w:r>
        <w:rPr>
          <w:snapToGrid w:val="0"/>
          <w:color w:val="000000" w:themeColor="text1"/>
        </w:rPr>
        <w:t>and of making reasonable judgments in respect of matters relating to their</w:t>
      </w:r>
      <w:r>
        <w:rPr>
          <w:snapToGrid w:val="0"/>
        </w:rPr>
        <w:t xml:space="preserve"> person;</w:t>
      </w:r>
    </w:p>
    <w:p>
      <w:pPr>
        <w:pStyle w:val="Indenta"/>
        <w:rPr>
          <w:snapToGrid w:val="0"/>
        </w:rPr>
      </w:pPr>
      <w:r>
        <w:rPr>
          <w:snapToGrid w:val="0"/>
        </w:rPr>
        <w:lastRenderedPageBreak/>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pPr>
      <w:r>
        <w:rPr>
          <w:color w:val="000000" w:themeColor="text1"/>
        </w:rPr>
        <w:tab/>
        <w:t>(2A)</w:t>
      </w:r>
      <w:r>
        <w:rPr>
          <w:color w:val="000000" w:themeColor="text1"/>
        </w:rPr>
        <w:tab/>
        <w:t>Without limiting the generality of subsection (1), a guardian acts in the best interests of a represented person in making a research decision in relation to the represented person if the guardian acts in accordance with sections 110ZR and 110ZT.</w:t>
      </w:r>
    </w:p>
    <w:p>
      <w:pPr>
        <w:pStyle w:val="Subsection"/>
        <w:rPr>
          <w:snapToGrid w:val="0"/>
        </w:rPr>
      </w:pPr>
      <w:r>
        <w:rPr>
          <w:snapToGrid w:val="0"/>
        </w:rPr>
        <w:tab/>
        <w:t>(3)</w:t>
      </w:r>
      <w:r>
        <w:rPr>
          <w:snapToGrid w:val="0"/>
        </w:rPr>
        <w:tab/>
        <w:t xml:space="preserve">Nothing in subsection (2)(a) </w:t>
      </w:r>
      <w:r>
        <w:rPr>
          <w:color w:val="000000" w:themeColor="text1"/>
        </w:rPr>
        <w:t>is to</w:t>
      </w:r>
      <w:r>
        <w:rPr>
          <w:snapToGrid w:val="0"/>
        </w:rPr>
        <w:t xml:space="preserve"> be read as authorising a guardian to act contrary to the</w:t>
      </w:r>
      <w:r>
        <w:rPr>
          <w:i/>
        </w:rPr>
        <w:t xml:space="preserve"> Legal Profession Uniform Law (WA)</w:t>
      </w:r>
      <w:r>
        <w:rPr>
          <w:snapToGrid w:val="0"/>
        </w:rPr>
        <w:t>.</w:t>
      </w:r>
    </w:p>
    <w:p>
      <w:pPr>
        <w:pStyle w:val="Footnotesection"/>
      </w:pPr>
      <w:r>
        <w:tab/>
        <w:t xml:space="preserve">[Section 51 amended: No. 7 of 1996 s. 21; No. 65 of 2003 s. 40(4); No. 55 of 2004 s. 466(1); No. 21 of 2008 s. 667(3); No. 14 of 2020 s. 8; No. 9 of 2022 s. 424.] </w:t>
      </w:r>
    </w:p>
    <w:p>
      <w:pPr>
        <w:pStyle w:val="Ednotesection"/>
        <w:ind w:left="890" w:hanging="890"/>
      </w:pPr>
      <w:r>
        <w:t>[</w:t>
      </w:r>
      <w:r>
        <w:rPr>
          <w:b/>
        </w:rPr>
        <w:t>52.</w:t>
      </w:r>
      <w:r>
        <w:tab/>
        <w:t>Deleted: No. 69 of 1996 s. 35.]</w:t>
      </w:r>
    </w:p>
    <w:p>
      <w:pPr>
        <w:pStyle w:val="Heading5"/>
        <w:rPr>
          <w:snapToGrid w:val="0"/>
        </w:rPr>
      </w:pPr>
      <w:bookmarkStart w:id="77" w:name="_Toc132299237"/>
      <w:r>
        <w:rPr>
          <w:rStyle w:val="CharSectno"/>
        </w:rPr>
        <w:t>53</w:t>
      </w:r>
      <w:r>
        <w:rPr>
          <w:snapToGrid w:val="0"/>
        </w:rPr>
        <w:t>.</w:t>
      </w:r>
      <w:r>
        <w:rPr>
          <w:snapToGrid w:val="0"/>
        </w:rPr>
        <w:tab/>
        <w:t>Guardians to act unanimously</w:t>
      </w:r>
      <w:bookmarkEnd w:id="77"/>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lastRenderedPageBreak/>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No. 55 of 2004 s. 466(1).]</w:t>
      </w:r>
    </w:p>
    <w:p>
      <w:pPr>
        <w:pStyle w:val="Heading5"/>
        <w:rPr>
          <w:snapToGrid w:val="0"/>
        </w:rPr>
      </w:pPr>
      <w:bookmarkStart w:id="78" w:name="_Toc132299238"/>
      <w:r>
        <w:rPr>
          <w:rStyle w:val="CharSectno"/>
        </w:rPr>
        <w:t>54</w:t>
      </w:r>
      <w:r>
        <w:rPr>
          <w:snapToGrid w:val="0"/>
        </w:rPr>
        <w:t>.</w:t>
      </w:r>
      <w:r>
        <w:rPr>
          <w:snapToGrid w:val="0"/>
        </w:rPr>
        <w:tab/>
        <w:t>Death of joint guardian</w:t>
      </w:r>
      <w:bookmarkEnd w:id="78"/>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79" w:name="_Toc132299239"/>
      <w:r>
        <w:rPr>
          <w:rStyle w:val="CharSectno"/>
        </w:rPr>
        <w:t>55</w:t>
      </w:r>
      <w:r>
        <w:rPr>
          <w:snapToGrid w:val="0"/>
        </w:rPr>
        <w:t>.</w:t>
      </w:r>
      <w:r>
        <w:rPr>
          <w:snapToGrid w:val="0"/>
        </w:rPr>
        <w:tab/>
        <w:t>Alternate guardian to take over on death of guardian</w:t>
      </w:r>
      <w:bookmarkEnd w:id="79"/>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No. 55 of 2004 s. 438.]</w:t>
      </w:r>
    </w:p>
    <w:p>
      <w:pPr>
        <w:pStyle w:val="Heading5"/>
      </w:pPr>
      <w:bookmarkStart w:id="80" w:name="_Toc132299240"/>
      <w:r>
        <w:rPr>
          <w:rStyle w:val="CharSectno"/>
        </w:rPr>
        <w:t>55A</w:t>
      </w:r>
      <w:r>
        <w:t>.</w:t>
      </w:r>
      <w:r>
        <w:tab/>
        <w:t>Priority of guardianship order</w:t>
      </w:r>
      <w:bookmarkEnd w:id="80"/>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pPr>
      <w:r>
        <w:rPr>
          <w:color w:val="000000" w:themeColor="text1"/>
        </w:rPr>
        <w:tab/>
        <w:t>(1A)</w:t>
      </w:r>
      <w:r>
        <w:rPr>
          <w:color w:val="000000" w:themeColor="text1"/>
        </w:rPr>
        <w:tab/>
        <w:t xml:space="preserve">To the extent a guardianship order relates to the making of a research decision in relation to the represented person, a </w:t>
      </w:r>
      <w:r>
        <w:rPr>
          <w:color w:val="000000" w:themeColor="text1"/>
        </w:rPr>
        <w:lastRenderedPageBreak/>
        <w:t>guardian appointed under the order may make the decision only if the guardian is the research decision</w:t>
      </w:r>
      <w:r>
        <w:rPr>
          <w:color w:val="000000" w:themeColor="text1"/>
        </w:rPr>
        <w:noBreakHyphen/>
        <w:t>maker for the person the subject of the guardianship order.</w:t>
      </w:r>
    </w:p>
    <w:p>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pPr>
        <w:pStyle w:val="Footnotesection"/>
        <w:spacing w:before="100"/>
        <w:ind w:left="890" w:hanging="890"/>
      </w:pPr>
      <w:r>
        <w:tab/>
        <w:t>[Section 55A inserted: No. 25 of 2008 s. 8; amended: No. 14 of 2020 s. 9.]</w:t>
      </w:r>
    </w:p>
    <w:p>
      <w:pPr>
        <w:pStyle w:val="Heading3"/>
        <w:spacing w:before="200"/>
        <w:rPr>
          <w:snapToGrid w:val="0"/>
        </w:rPr>
      </w:pPr>
      <w:bookmarkStart w:id="81" w:name="_Toc132193392"/>
      <w:bookmarkStart w:id="82" w:name="_Toc132193642"/>
      <w:bookmarkStart w:id="83" w:name="_Toc132299241"/>
      <w:r>
        <w:rPr>
          <w:rStyle w:val="CharDivNo"/>
        </w:rPr>
        <w:t>Division 3</w:t>
      </w:r>
      <w:r>
        <w:rPr>
          <w:snapToGrid w:val="0"/>
        </w:rPr>
        <w:t> — </w:t>
      </w:r>
      <w:r>
        <w:rPr>
          <w:rStyle w:val="CharDivText"/>
        </w:rPr>
        <w:t>Limitations on sterilisation of persons under guardianship or where application for guardianship made</w:t>
      </w:r>
      <w:bookmarkEnd w:id="81"/>
      <w:bookmarkEnd w:id="82"/>
      <w:bookmarkEnd w:id="83"/>
      <w:r>
        <w:rPr>
          <w:rStyle w:val="CharDivText"/>
        </w:rPr>
        <w:t xml:space="preserve"> </w:t>
      </w:r>
    </w:p>
    <w:p>
      <w:pPr>
        <w:pStyle w:val="Heading5"/>
        <w:spacing w:before="180"/>
        <w:rPr>
          <w:snapToGrid w:val="0"/>
        </w:rPr>
      </w:pPr>
      <w:bookmarkStart w:id="84" w:name="_Toc132299242"/>
      <w:r>
        <w:rPr>
          <w:rStyle w:val="CharSectno"/>
        </w:rPr>
        <w:t>56</w:t>
      </w:r>
      <w:r>
        <w:rPr>
          <w:snapToGrid w:val="0"/>
        </w:rPr>
        <w:t>.</w:t>
      </w:r>
      <w:r>
        <w:rPr>
          <w:snapToGrid w:val="0"/>
        </w:rPr>
        <w:tab/>
        <w:t>Terms used</w:t>
      </w:r>
      <w:bookmarkEnd w:id="84"/>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85" w:name="_Toc132299243"/>
      <w:r>
        <w:rPr>
          <w:rStyle w:val="CharSectno"/>
        </w:rPr>
        <w:t>56A</w:t>
      </w:r>
      <w:r>
        <w:rPr>
          <w:snapToGrid w:val="0"/>
        </w:rPr>
        <w:t xml:space="preserve">. </w:t>
      </w:r>
      <w:r>
        <w:rPr>
          <w:snapToGrid w:val="0"/>
        </w:rPr>
        <w:tab/>
        <w:t>Only Full Tribunal to act under this Division</w:t>
      </w:r>
      <w:bookmarkEnd w:id="85"/>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 xml:space="preserve">[Section 56A inserted: No. 16 of 1992 s. 12; amended: No. 55 of 2004 s. 439 and 466; No. 5 of 2008 s. 58.] </w:t>
      </w:r>
    </w:p>
    <w:p>
      <w:pPr>
        <w:pStyle w:val="Heading5"/>
        <w:keepNext w:val="0"/>
        <w:keepLines w:val="0"/>
        <w:spacing w:before="180"/>
        <w:rPr>
          <w:snapToGrid w:val="0"/>
        </w:rPr>
      </w:pPr>
      <w:bookmarkStart w:id="86" w:name="_Toc132299244"/>
      <w:r>
        <w:rPr>
          <w:rStyle w:val="CharSectno"/>
        </w:rPr>
        <w:t>57</w:t>
      </w:r>
      <w:r>
        <w:rPr>
          <w:snapToGrid w:val="0"/>
        </w:rPr>
        <w:t>.</w:t>
      </w:r>
      <w:r>
        <w:rPr>
          <w:snapToGrid w:val="0"/>
        </w:rPr>
        <w:tab/>
        <w:t>Prerequisites for sterilisation of persons to whom this Division applies</w:t>
      </w:r>
      <w:bookmarkEnd w:id="86"/>
      <w:r>
        <w:rPr>
          <w:snapToGrid w:val="0"/>
        </w:rPr>
        <w:t xml:space="preserve"> </w:t>
      </w:r>
    </w:p>
    <w:p>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pPr>
        <w:pStyle w:val="Indenta"/>
        <w:rPr>
          <w:snapToGrid w:val="0"/>
        </w:rPr>
      </w:pPr>
      <w:r>
        <w:rPr>
          <w:snapToGrid w:val="0"/>
        </w:rPr>
        <w:lastRenderedPageBreak/>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sterilisation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No. 55 of 2004 s. 466(1).]</w:t>
      </w:r>
    </w:p>
    <w:p>
      <w:pPr>
        <w:pStyle w:val="Heading5"/>
        <w:rPr>
          <w:snapToGrid w:val="0"/>
        </w:rPr>
      </w:pPr>
      <w:bookmarkStart w:id="87" w:name="_Toc132299245"/>
      <w:r>
        <w:rPr>
          <w:rStyle w:val="CharSectno"/>
        </w:rPr>
        <w:t>58</w:t>
      </w:r>
      <w:r>
        <w:rPr>
          <w:snapToGrid w:val="0"/>
        </w:rPr>
        <w:t>.</w:t>
      </w:r>
      <w:r>
        <w:rPr>
          <w:snapToGrid w:val="0"/>
        </w:rPr>
        <w:tab/>
        <w:t>Restriction on guardian’s consent</w:t>
      </w:r>
      <w:bookmarkEnd w:id="87"/>
      <w:r>
        <w:rPr>
          <w:snapToGrid w:val="0"/>
        </w:rPr>
        <w:t xml:space="preserve"> </w:t>
      </w:r>
    </w:p>
    <w:p>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lastRenderedPageBreak/>
        <w:tab/>
        <w:t>(2)</w:t>
      </w:r>
      <w:r>
        <w:rPr>
          <w:snapToGrid w:val="0"/>
        </w:rPr>
        <w:tab/>
        <w:t>The consent of the guardian may be given subject to compliance with any condition.</w:t>
      </w:r>
    </w:p>
    <w:p>
      <w:pPr>
        <w:pStyle w:val="Footnotesection"/>
      </w:pPr>
      <w:r>
        <w:tab/>
        <w:t>[Section 58 amended: No. 55 of 2004 s. 466(1).]</w:t>
      </w:r>
    </w:p>
    <w:p>
      <w:pPr>
        <w:pStyle w:val="Heading5"/>
        <w:rPr>
          <w:snapToGrid w:val="0"/>
        </w:rPr>
      </w:pPr>
      <w:bookmarkStart w:id="88" w:name="_Toc132299246"/>
      <w:r>
        <w:rPr>
          <w:rStyle w:val="CharSectno"/>
        </w:rPr>
        <w:t>59</w:t>
      </w:r>
      <w:r>
        <w:rPr>
          <w:snapToGrid w:val="0"/>
        </w:rPr>
        <w:t>.</w:t>
      </w:r>
      <w:r>
        <w:rPr>
          <w:snapToGrid w:val="0"/>
        </w:rPr>
        <w:tab/>
        <w:t>Application for consent</w:t>
      </w:r>
      <w:bookmarkEnd w:id="88"/>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pPr>
        <w:pStyle w:val="Ednotesubsection"/>
      </w:pPr>
      <w:r>
        <w:tab/>
        <w:t>[(2)</w:t>
      </w:r>
      <w:r>
        <w:tab/>
        <w:t>deleted]</w:t>
      </w:r>
    </w:p>
    <w:p>
      <w:pPr>
        <w:pStyle w:val="Footnotesection"/>
      </w:pPr>
      <w:r>
        <w:tab/>
        <w:t xml:space="preserve">[Section 59 amended: No. 16 of 1992 s. 18; No. 7 of 1996 s. 36; No. 55 of 2004 s. 440 and 466(1).] </w:t>
      </w:r>
    </w:p>
    <w:p>
      <w:pPr>
        <w:pStyle w:val="Heading5"/>
        <w:rPr>
          <w:snapToGrid w:val="0"/>
        </w:rPr>
      </w:pPr>
      <w:bookmarkStart w:id="89" w:name="_Toc132299247"/>
      <w:r>
        <w:rPr>
          <w:rStyle w:val="CharSectno"/>
        </w:rPr>
        <w:t>60</w:t>
      </w:r>
      <w:r>
        <w:rPr>
          <w:snapToGrid w:val="0"/>
        </w:rPr>
        <w:t>.</w:t>
      </w:r>
      <w:r>
        <w:rPr>
          <w:snapToGrid w:val="0"/>
        </w:rPr>
        <w:tab/>
        <w:t>Notice of hearing</w:t>
      </w:r>
      <w:bookmarkEnd w:id="89"/>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w:t>
      </w:r>
      <w:r>
        <w:rPr>
          <w:rFonts w:eastAsia="MS Mincho"/>
        </w:rPr>
        <w:t>Schedule 1</w:t>
      </w:r>
      <w:r>
        <w:rPr>
          <w:snapToGrid w:val="0"/>
        </w:rPr>
        <w:t xml:space="preserve">, and sections 39, 87 and 88 of the </w:t>
      </w:r>
      <w:r>
        <w:rPr>
          <w:i/>
          <w:snapToGrid w:val="0"/>
        </w:rPr>
        <w:lastRenderedPageBreak/>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No. 16 of 1992 s. 18; No. 7 of 1996 s. 36; No. 55 of 2004 s. 441 and 466(1); No. 19 of 2010 s. 18(2).] </w:t>
      </w:r>
    </w:p>
    <w:p>
      <w:pPr>
        <w:pStyle w:val="Ednotesection"/>
        <w:ind w:left="890" w:hanging="890"/>
      </w:pPr>
      <w:r>
        <w:t>[</w:t>
      </w:r>
      <w:r>
        <w:rPr>
          <w:b/>
        </w:rPr>
        <w:t>61.</w:t>
      </w:r>
      <w:r>
        <w:tab/>
        <w:t xml:space="preserve">Deleted: No. 55 of 2004 s. 442.] </w:t>
      </w:r>
    </w:p>
    <w:p>
      <w:pPr>
        <w:pStyle w:val="Ednotesection"/>
        <w:ind w:left="890" w:hanging="890"/>
      </w:pPr>
      <w:r>
        <w:t>[</w:t>
      </w:r>
      <w:r>
        <w:rPr>
          <w:b/>
        </w:rPr>
        <w:t>62.</w:t>
      </w:r>
      <w:r>
        <w:tab/>
        <w:t xml:space="preserve">Deleted: No. 7 of 1996 s. 22.] </w:t>
      </w:r>
    </w:p>
    <w:p>
      <w:pPr>
        <w:pStyle w:val="Heading5"/>
        <w:rPr>
          <w:snapToGrid w:val="0"/>
        </w:rPr>
      </w:pPr>
      <w:bookmarkStart w:id="90" w:name="_Toc132299248"/>
      <w:r>
        <w:rPr>
          <w:rStyle w:val="CharSectno"/>
        </w:rPr>
        <w:t>63</w:t>
      </w:r>
      <w:r>
        <w:rPr>
          <w:snapToGrid w:val="0"/>
        </w:rPr>
        <w:t>.</w:t>
      </w:r>
      <w:r>
        <w:rPr>
          <w:snapToGrid w:val="0"/>
        </w:rPr>
        <w:tab/>
        <w:t>State Administrative Tribunal may consent if in best interests of represented person</w:t>
      </w:r>
      <w:bookmarkEnd w:id="9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No. 55 of 2004 s. 466(1).]</w:t>
      </w:r>
    </w:p>
    <w:p>
      <w:pPr>
        <w:pStyle w:val="Heading2"/>
      </w:pPr>
      <w:bookmarkStart w:id="91" w:name="_Toc132193400"/>
      <w:bookmarkStart w:id="92" w:name="_Toc132193650"/>
      <w:bookmarkStart w:id="93" w:name="_Toc132299249"/>
      <w:r>
        <w:rPr>
          <w:rStyle w:val="CharPartNo"/>
        </w:rPr>
        <w:lastRenderedPageBreak/>
        <w:t>Part 6</w:t>
      </w:r>
      <w:r>
        <w:t> — </w:t>
      </w:r>
      <w:r>
        <w:rPr>
          <w:rStyle w:val="CharPartText"/>
        </w:rPr>
        <w:t>Estate administration</w:t>
      </w:r>
      <w:bookmarkEnd w:id="91"/>
      <w:bookmarkEnd w:id="92"/>
      <w:bookmarkEnd w:id="93"/>
      <w:r>
        <w:rPr>
          <w:rStyle w:val="CharPartText"/>
        </w:rPr>
        <w:t xml:space="preserve"> </w:t>
      </w:r>
    </w:p>
    <w:p>
      <w:pPr>
        <w:pStyle w:val="Heading3"/>
        <w:rPr>
          <w:snapToGrid w:val="0"/>
        </w:rPr>
      </w:pPr>
      <w:bookmarkStart w:id="94" w:name="_Toc132193401"/>
      <w:bookmarkStart w:id="95" w:name="_Toc132193651"/>
      <w:bookmarkStart w:id="96" w:name="_Toc132299250"/>
      <w:r>
        <w:rPr>
          <w:rStyle w:val="CharDivNo"/>
        </w:rPr>
        <w:t>Division 1</w:t>
      </w:r>
      <w:r>
        <w:rPr>
          <w:snapToGrid w:val="0"/>
        </w:rPr>
        <w:t> — </w:t>
      </w:r>
      <w:r>
        <w:rPr>
          <w:rStyle w:val="CharDivText"/>
        </w:rPr>
        <w:t>Appointment of administrator</w:t>
      </w:r>
      <w:bookmarkEnd w:id="94"/>
      <w:bookmarkEnd w:id="95"/>
      <w:bookmarkEnd w:id="96"/>
      <w:r>
        <w:rPr>
          <w:rStyle w:val="CharDivText"/>
        </w:rPr>
        <w:t xml:space="preserve"> </w:t>
      </w:r>
    </w:p>
    <w:p>
      <w:pPr>
        <w:pStyle w:val="Heading5"/>
        <w:spacing w:before="180"/>
        <w:rPr>
          <w:snapToGrid w:val="0"/>
        </w:rPr>
      </w:pPr>
      <w:bookmarkStart w:id="97" w:name="_Toc132299251"/>
      <w:r>
        <w:rPr>
          <w:rStyle w:val="CharSectno"/>
        </w:rPr>
        <w:t>64</w:t>
      </w:r>
      <w:r>
        <w:rPr>
          <w:snapToGrid w:val="0"/>
        </w:rPr>
        <w:t>.</w:t>
      </w:r>
      <w:r>
        <w:rPr>
          <w:snapToGrid w:val="0"/>
        </w:rPr>
        <w:tab/>
        <w:t>Making of administration order</w:t>
      </w:r>
      <w:bookmarkEnd w:id="97"/>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No. 16 of 1992 s. 18; No. 57 of 1997 s. 67; No 70 of 2000 s. 9; </w:t>
      </w:r>
      <w:r>
        <w:rPr>
          <w:spacing w:val="-6"/>
        </w:rPr>
        <w:t>No. 34 of 2004 Sch. 2 cl. 11</w:t>
      </w:r>
      <w:r>
        <w:t xml:space="preserve">; No. 55 of 2004 s. 466.] </w:t>
      </w:r>
    </w:p>
    <w:p>
      <w:pPr>
        <w:pStyle w:val="Heading5"/>
        <w:rPr>
          <w:snapToGrid w:val="0"/>
        </w:rPr>
      </w:pPr>
      <w:bookmarkStart w:id="98" w:name="_Toc132299252"/>
      <w:r>
        <w:rPr>
          <w:rStyle w:val="CharSectno"/>
        </w:rPr>
        <w:lastRenderedPageBreak/>
        <w:t>65</w:t>
      </w:r>
      <w:r>
        <w:rPr>
          <w:snapToGrid w:val="0"/>
        </w:rPr>
        <w:t>.</w:t>
      </w:r>
      <w:r>
        <w:rPr>
          <w:snapToGrid w:val="0"/>
        </w:rPr>
        <w:tab/>
        <w:t>Emergency provision</w:t>
      </w:r>
      <w:bookmarkEnd w:id="98"/>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No. 55 of 2004 s. 466.]</w:t>
      </w:r>
    </w:p>
    <w:p>
      <w:pPr>
        <w:pStyle w:val="Heading5"/>
        <w:spacing w:before="180"/>
        <w:rPr>
          <w:snapToGrid w:val="0"/>
        </w:rPr>
      </w:pPr>
      <w:bookmarkStart w:id="99" w:name="_Toc132299253"/>
      <w:r>
        <w:rPr>
          <w:rStyle w:val="CharSectno"/>
        </w:rPr>
        <w:t>66</w:t>
      </w:r>
      <w:r>
        <w:rPr>
          <w:snapToGrid w:val="0"/>
        </w:rPr>
        <w:t>.</w:t>
      </w:r>
      <w:r>
        <w:rPr>
          <w:snapToGrid w:val="0"/>
        </w:rPr>
        <w:tab/>
        <w:t>Acts may be authorised without administration order</w:t>
      </w:r>
      <w:bookmarkEnd w:id="99"/>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lastRenderedPageBreak/>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No. 55 of 2004 s. 466.]</w:t>
      </w:r>
    </w:p>
    <w:p>
      <w:pPr>
        <w:pStyle w:val="Heading5"/>
        <w:rPr>
          <w:snapToGrid w:val="0"/>
        </w:rPr>
      </w:pPr>
      <w:bookmarkStart w:id="100" w:name="_Toc132299254"/>
      <w:r>
        <w:rPr>
          <w:rStyle w:val="CharSectno"/>
        </w:rPr>
        <w:t>67</w:t>
      </w:r>
      <w:r>
        <w:rPr>
          <w:snapToGrid w:val="0"/>
        </w:rPr>
        <w:t>.</w:t>
      </w:r>
      <w:r>
        <w:rPr>
          <w:snapToGrid w:val="0"/>
        </w:rPr>
        <w:tab/>
        <w:t>Non</w:t>
      </w:r>
      <w:r>
        <w:rPr>
          <w:snapToGrid w:val="0"/>
        </w:rPr>
        <w:noBreakHyphen/>
        <w:t>residents etc.</w:t>
      </w:r>
      <w:bookmarkEnd w:id="100"/>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lastRenderedPageBreak/>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No. 55 of 2004 s. 466(1).]</w:t>
      </w:r>
    </w:p>
    <w:p>
      <w:pPr>
        <w:pStyle w:val="Heading5"/>
        <w:rPr>
          <w:snapToGrid w:val="0"/>
        </w:rPr>
      </w:pPr>
      <w:bookmarkStart w:id="101" w:name="_Toc132299255"/>
      <w:r>
        <w:rPr>
          <w:rStyle w:val="CharSectno"/>
        </w:rPr>
        <w:t>68</w:t>
      </w:r>
      <w:r>
        <w:rPr>
          <w:snapToGrid w:val="0"/>
        </w:rPr>
        <w:t>.</w:t>
      </w:r>
      <w:r>
        <w:rPr>
          <w:snapToGrid w:val="0"/>
        </w:rPr>
        <w:tab/>
        <w:t>Who may be appointed administrator</w:t>
      </w:r>
      <w:bookmarkEnd w:id="101"/>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lastRenderedPageBreak/>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No. 7 of 1996 s. 23; No. 55 of 2004 s. 466(1).] </w:t>
      </w:r>
    </w:p>
    <w:p>
      <w:pPr>
        <w:pStyle w:val="Heading3"/>
        <w:rPr>
          <w:snapToGrid w:val="0"/>
        </w:rPr>
      </w:pPr>
      <w:bookmarkStart w:id="102" w:name="_Toc132193407"/>
      <w:bookmarkStart w:id="103" w:name="_Toc132193657"/>
      <w:bookmarkStart w:id="104" w:name="_Toc132299256"/>
      <w:r>
        <w:rPr>
          <w:rStyle w:val="CharDivNo"/>
        </w:rPr>
        <w:t>Division 2</w:t>
      </w:r>
      <w:r>
        <w:rPr>
          <w:snapToGrid w:val="0"/>
        </w:rPr>
        <w:t> — </w:t>
      </w:r>
      <w:r>
        <w:rPr>
          <w:rStyle w:val="CharDivText"/>
        </w:rPr>
        <w:t>Functions of administrators</w:t>
      </w:r>
      <w:bookmarkEnd w:id="102"/>
      <w:bookmarkEnd w:id="103"/>
      <w:bookmarkEnd w:id="104"/>
      <w:r>
        <w:rPr>
          <w:rStyle w:val="CharDivText"/>
        </w:rPr>
        <w:t xml:space="preserve"> </w:t>
      </w:r>
    </w:p>
    <w:p>
      <w:pPr>
        <w:pStyle w:val="Heading5"/>
        <w:rPr>
          <w:snapToGrid w:val="0"/>
        </w:rPr>
      </w:pPr>
      <w:bookmarkStart w:id="105" w:name="_Toc132299257"/>
      <w:r>
        <w:rPr>
          <w:rStyle w:val="CharSectno"/>
        </w:rPr>
        <w:t>69</w:t>
      </w:r>
      <w:r>
        <w:rPr>
          <w:snapToGrid w:val="0"/>
        </w:rPr>
        <w:t>.</w:t>
      </w:r>
      <w:r>
        <w:rPr>
          <w:snapToGrid w:val="0"/>
        </w:rPr>
        <w:tab/>
        <w:t>Authority of administrator</w:t>
      </w:r>
      <w:bookmarkEnd w:id="105"/>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No. 55 of 2004 s. 466(1).]</w:t>
      </w:r>
    </w:p>
    <w:p>
      <w:pPr>
        <w:pStyle w:val="Heading5"/>
        <w:rPr>
          <w:snapToGrid w:val="0"/>
        </w:rPr>
      </w:pPr>
      <w:bookmarkStart w:id="106" w:name="_Toc132299258"/>
      <w:r>
        <w:rPr>
          <w:rStyle w:val="CharSectno"/>
        </w:rPr>
        <w:lastRenderedPageBreak/>
        <w:t>70</w:t>
      </w:r>
      <w:r>
        <w:rPr>
          <w:snapToGrid w:val="0"/>
        </w:rPr>
        <w:t>.</w:t>
      </w:r>
      <w:r>
        <w:rPr>
          <w:snapToGrid w:val="0"/>
        </w:rPr>
        <w:tab/>
        <w:t>Administrator to act in best interests of represented person</w:t>
      </w:r>
      <w:bookmarkEnd w:id="106"/>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Profession Uniform Law (WA)</w:t>
      </w:r>
      <w:r>
        <w:t>.</w:t>
      </w:r>
    </w:p>
    <w:p>
      <w:pPr>
        <w:pStyle w:val="Subsection"/>
        <w:keepNext/>
      </w:pPr>
      <w:r>
        <w:lastRenderedPageBreak/>
        <w:tab/>
        <w:t>(4)</w:t>
      </w:r>
      <w:r>
        <w:tab/>
        <w:t>Nothing in subsection (2) shall be read as restricting the functions of an administrator at common law or under any written law.</w:t>
      </w:r>
    </w:p>
    <w:p>
      <w:pPr>
        <w:pStyle w:val="Footnotesection"/>
      </w:pPr>
      <w:r>
        <w:tab/>
        <w:t>[Section 70 amended: No. 70 of 2000 s. 10; No. 65 of 2003 s. 40(4); No. 21 of 2008 s. 667(4); No. 9 of 2022 s. 424.]</w:t>
      </w:r>
    </w:p>
    <w:p>
      <w:pPr>
        <w:pStyle w:val="Heading5"/>
        <w:rPr>
          <w:snapToGrid w:val="0"/>
        </w:rPr>
      </w:pPr>
      <w:bookmarkStart w:id="107" w:name="_Toc132299259"/>
      <w:r>
        <w:rPr>
          <w:rStyle w:val="CharSectno"/>
        </w:rPr>
        <w:t>71</w:t>
      </w:r>
      <w:r>
        <w:rPr>
          <w:snapToGrid w:val="0"/>
        </w:rPr>
        <w:t>.</w:t>
      </w:r>
      <w:r>
        <w:rPr>
          <w:snapToGrid w:val="0"/>
        </w:rPr>
        <w:tab/>
        <w:t>Authority which may be conferred on administrator</w:t>
      </w:r>
      <w:bookmarkEnd w:id="10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keepNext/>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 and in particular may, if the circumstances so require, empower an administrator to make a payment or enter into a transaction of </w:t>
      </w:r>
      <w:r>
        <w:rPr>
          <w:snapToGrid w:val="0"/>
        </w:rPr>
        <w:lastRenderedPageBreak/>
        <w:t>a kind described in section 72(3) on behalf of the represented person.</w:t>
      </w:r>
    </w:p>
    <w:p>
      <w:pPr>
        <w:pStyle w:val="Footnotesection"/>
      </w:pPr>
      <w:r>
        <w:tab/>
        <w:t>[Section 71 amended: No. 55 of 2004 s. 466(1); No. 27 of 2007 s. 25; No. 19 of 2010 s. 51.]</w:t>
      </w:r>
    </w:p>
    <w:p>
      <w:pPr>
        <w:pStyle w:val="Heading5"/>
        <w:rPr>
          <w:snapToGrid w:val="0"/>
        </w:rPr>
      </w:pPr>
      <w:bookmarkStart w:id="108" w:name="_Toc132299260"/>
      <w:r>
        <w:rPr>
          <w:rStyle w:val="CharSectno"/>
        </w:rPr>
        <w:t>71A</w:t>
      </w:r>
      <w:r>
        <w:rPr>
          <w:snapToGrid w:val="0"/>
        </w:rPr>
        <w:t>.</w:t>
      </w:r>
      <w:r>
        <w:rPr>
          <w:snapToGrid w:val="0"/>
        </w:rPr>
        <w:tab/>
        <w:t>Amendment of order to confer particular function</w:t>
      </w:r>
      <w:bookmarkEnd w:id="10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No. 7 of 1996 s. 24; amended: No. 55 of 2004 s. 466(1).] </w:t>
      </w:r>
    </w:p>
    <w:p>
      <w:pPr>
        <w:pStyle w:val="Heading5"/>
        <w:rPr>
          <w:snapToGrid w:val="0"/>
        </w:rPr>
      </w:pPr>
      <w:bookmarkStart w:id="109" w:name="_Toc132299261"/>
      <w:r>
        <w:rPr>
          <w:rStyle w:val="CharSectno"/>
        </w:rPr>
        <w:t>72</w:t>
      </w:r>
      <w:r>
        <w:rPr>
          <w:snapToGrid w:val="0"/>
        </w:rPr>
        <w:t>.</w:t>
      </w:r>
      <w:r>
        <w:rPr>
          <w:snapToGrid w:val="0"/>
        </w:rPr>
        <w:tab/>
        <w:t>Further provisions as to authority of administrators</w:t>
      </w:r>
      <w:bookmarkEnd w:id="10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lastRenderedPageBreak/>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No. 55 of 2004 s. 466(1).]</w:t>
      </w:r>
    </w:p>
    <w:p>
      <w:pPr>
        <w:pStyle w:val="Ednotesection"/>
        <w:ind w:left="890" w:hanging="890"/>
      </w:pPr>
      <w:r>
        <w:t>[</w:t>
      </w:r>
      <w:r>
        <w:rPr>
          <w:b/>
        </w:rPr>
        <w:t>73.</w:t>
      </w:r>
      <w:r>
        <w:rPr>
          <w:b/>
        </w:rPr>
        <w:tab/>
      </w:r>
      <w:r>
        <w:t xml:space="preserve">Deleted: No. 7 of 1996 s. 25.] </w:t>
      </w:r>
    </w:p>
    <w:p>
      <w:pPr>
        <w:pStyle w:val="Heading5"/>
        <w:rPr>
          <w:snapToGrid w:val="0"/>
        </w:rPr>
      </w:pPr>
      <w:bookmarkStart w:id="110" w:name="_Toc132299262"/>
      <w:r>
        <w:rPr>
          <w:rStyle w:val="CharSectno"/>
        </w:rPr>
        <w:t>74</w:t>
      </w:r>
      <w:r>
        <w:rPr>
          <w:snapToGrid w:val="0"/>
        </w:rPr>
        <w:t>.</w:t>
      </w:r>
      <w:r>
        <w:rPr>
          <w:snapToGrid w:val="0"/>
        </w:rPr>
        <w:tab/>
        <w:t>Administrator may apply for directions</w:t>
      </w:r>
      <w:bookmarkEnd w:id="110"/>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No. 16 of 1992 s. 18; No. 55 of 2004 s. 466.] </w:t>
      </w:r>
    </w:p>
    <w:p>
      <w:pPr>
        <w:pStyle w:val="Heading5"/>
        <w:rPr>
          <w:snapToGrid w:val="0"/>
        </w:rPr>
      </w:pPr>
      <w:bookmarkStart w:id="111" w:name="_Toc132299263"/>
      <w:r>
        <w:rPr>
          <w:rStyle w:val="CharSectno"/>
        </w:rPr>
        <w:t>75</w:t>
      </w:r>
      <w:r>
        <w:rPr>
          <w:snapToGrid w:val="0"/>
        </w:rPr>
        <w:t>.</w:t>
      </w:r>
      <w:r>
        <w:rPr>
          <w:snapToGrid w:val="0"/>
        </w:rPr>
        <w:tab/>
        <w:t>Administrators to act unanimously</w:t>
      </w:r>
      <w:bookmarkEnd w:id="111"/>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lastRenderedPageBreak/>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No. 55 of 2004 s. 466(1).]</w:t>
      </w:r>
    </w:p>
    <w:p>
      <w:pPr>
        <w:pStyle w:val="Heading5"/>
        <w:rPr>
          <w:snapToGrid w:val="0"/>
        </w:rPr>
      </w:pPr>
      <w:bookmarkStart w:id="112" w:name="_Toc132299264"/>
      <w:r>
        <w:rPr>
          <w:rStyle w:val="CharSectno"/>
        </w:rPr>
        <w:t>76</w:t>
      </w:r>
      <w:r>
        <w:rPr>
          <w:snapToGrid w:val="0"/>
        </w:rPr>
        <w:t>.</w:t>
      </w:r>
      <w:r>
        <w:rPr>
          <w:snapToGrid w:val="0"/>
        </w:rPr>
        <w:tab/>
        <w:t>Administrator may employ agents</w:t>
      </w:r>
      <w:bookmarkEnd w:id="112"/>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w:t>
      </w:r>
      <w:r>
        <w:t xml:space="preserve">section 50 </w:t>
      </w:r>
      <w:r>
        <w:rPr>
          <w:snapToGrid w:val="0"/>
        </w:rPr>
        <w:t xml:space="preserve">of the </w:t>
      </w:r>
      <w:r>
        <w:rPr>
          <w:i/>
          <w:snapToGrid w:val="0"/>
        </w:rPr>
        <w:t>Public Trustee Act 1941</w:t>
      </w:r>
      <w:r>
        <w:rPr>
          <w:snapToGrid w:val="0"/>
          <w:vertAlign w:val="superscript"/>
        </w:rPr>
        <w:t> 4</w:t>
      </w:r>
      <w:r>
        <w:rPr>
          <w:snapToGrid w:val="0"/>
        </w:rPr>
        <w:t>.</w:t>
      </w:r>
    </w:p>
    <w:p>
      <w:pPr>
        <w:pStyle w:val="Footnotesection"/>
      </w:pPr>
      <w:r>
        <w:tab/>
        <w:t>[Section 76 amended: No. 17 of 2014 s. 22(4).]</w:t>
      </w:r>
    </w:p>
    <w:p>
      <w:pPr>
        <w:pStyle w:val="Heading5"/>
        <w:rPr>
          <w:snapToGrid w:val="0"/>
        </w:rPr>
      </w:pPr>
      <w:bookmarkStart w:id="113" w:name="_Toc132299265"/>
      <w:r>
        <w:rPr>
          <w:rStyle w:val="CharSectno"/>
        </w:rPr>
        <w:t>77</w:t>
      </w:r>
      <w:r>
        <w:rPr>
          <w:snapToGrid w:val="0"/>
        </w:rPr>
        <w:t>.</w:t>
      </w:r>
      <w:r>
        <w:rPr>
          <w:snapToGrid w:val="0"/>
        </w:rPr>
        <w:tab/>
        <w:t>Represented person incapable of dealing with estate</w:t>
      </w:r>
      <w:bookmarkEnd w:id="113"/>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lastRenderedPageBreak/>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No. 55 of 2004 s. 466.]</w:t>
      </w:r>
    </w:p>
    <w:p>
      <w:pPr>
        <w:pStyle w:val="Heading5"/>
        <w:rPr>
          <w:snapToGrid w:val="0"/>
        </w:rPr>
      </w:pPr>
      <w:bookmarkStart w:id="114" w:name="_Toc132299266"/>
      <w:r>
        <w:rPr>
          <w:rStyle w:val="CharSectno"/>
        </w:rPr>
        <w:t>78</w:t>
      </w:r>
      <w:r>
        <w:rPr>
          <w:snapToGrid w:val="0"/>
        </w:rPr>
        <w:t>.</w:t>
      </w:r>
      <w:r>
        <w:rPr>
          <w:snapToGrid w:val="0"/>
        </w:rPr>
        <w:tab/>
        <w:t>Cessation of authority of administrator</w:t>
      </w:r>
      <w:bookmarkEnd w:id="114"/>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lastRenderedPageBreak/>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No. 55 of 2004 s. 466(1).]</w:t>
      </w:r>
    </w:p>
    <w:p>
      <w:pPr>
        <w:pStyle w:val="Heading5"/>
        <w:rPr>
          <w:snapToGrid w:val="0"/>
        </w:rPr>
      </w:pPr>
      <w:bookmarkStart w:id="115" w:name="_Toc132299267"/>
      <w:r>
        <w:rPr>
          <w:rStyle w:val="CharSectno"/>
        </w:rPr>
        <w:t>79</w:t>
      </w:r>
      <w:r>
        <w:rPr>
          <w:snapToGrid w:val="0"/>
        </w:rPr>
        <w:t>.</w:t>
      </w:r>
      <w:r>
        <w:rPr>
          <w:snapToGrid w:val="0"/>
        </w:rPr>
        <w:tab/>
        <w:t>Represented person bound by acts of administrator</w:t>
      </w:r>
      <w:bookmarkEnd w:id="115"/>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116" w:name="_Toc132299268"/>
      <w:r>
        <w:rPr>
          <w:rStyle w:val="CharSectno"/>
        </w:rPr>
        <w:t>80</w:t>
      </w:r>
      <w:r>
        <w:rPr>
          <w:snapToGrid w:val="0"/>
        </w:rPr>
        <w:t>.</w:t>
      </w:r>
      <w:r>
        <w:rPr>
          <w:snapToGrid w:val="0"/>
        </w:rPr>
        <w:tab/>
        <w:t>Accounts</w:t>
      </w:r>
      <w:bookmarkEnd w:id="116"/>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lastRenderedPageBreak/>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keepNext/>
        <w:rPr>
          <w:snapToGrid w:val="0"/>
        </w:rPr>
      </w:pPr>
      <w:r>
        <w:rPr>
          <w:snapToGrid w:val="0"/>
        </w:rPr>
        <w:lastRenderedPageBreak/>
        <w:tab/>
        <w:t>(7)</w:t>
      </w:r>
      <w:r>
        <w:rPr>
          <w:snapToGrid w:val="0"/>
        </w:rPr>
        <w:tab/>
        <w:t>This section does not apply to the Public Trustee in the Public Trustee’s capacity as an administrator.</w:t>
      </w:r>
    </w:p>
    <w:p>
      <w:pPr>
        <w:pStyle w:val="Footnotesection"/>
      </w:pPr>
      <w:r>
        <w:tab/>
        <w:t xml:space="preserve">[Section 80 amended: No. 16 of 1992 s. 13 and 18; No. 55 of 2004 s. 443.] </w:t>
      </w:r>
    </w:p>
    <w:p>
      <w:pPr>
        <w:pStyle w:val="Heading5"/>
        <w:rPr>
          <w:snapToGrid w:val="0"/>
        </w:rPr>
      </w:pPr>
      <w:bookmarkStart w:id="117" w:name="_Toc132299269"/>
      <w:r>
        <w:rPr>
          <w:rStyle w:val="CharSectno"/>
        </w:rPr>
        <w:t>81</w:t>
      </w:r>
      <w:r>
        <w:rPr>
          <w:snapToGrid w:val="0"/>
        </w:rPr>
        <w:t>.</w:t>
      </w:r>
      <w:r>
        <w:rPr>
          <w:snapToGrid w:val="0"/>
        </w:rPr>
        <w:tab/>
        <w:t>Enforcement of security</w:t>
      </w:r>
      <w:bookmarkEnd w:id="117"/>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 xml:space="preserve">[Section 81 amended: No. 16 of 1992 s. 18; No. 55 of 2004 s. 466(1).] </w:t>
      </w:r>
    </w:p>
    <w:p>
      <w:pPr>
        <w:pStyle w:val="Heading5"/>
        <w:rPr>
          <w:snapToGrid w:val="0"/>
        </w:rPr>
      </w:pPr>
      <w:bookmarkStart w:id="118" w:name="_Toc132299270"/>
      <w:r>
        <w:rPr>
          <w:rStyle w:val="CharSectno"/>
        </w:rPr>
        <w:t>82</w:t>
      </w:r>
      <w:r>
        <w:rPr>
          <w:snapToGrid w:val="0"/>
        </w:rPr>
        <w:t>.</w:t>
      </w:r>
      <w:r>
        <w:rPr>
          <w:snapToGrid w:val="0"/>
        </w:rPr>
        <w:tab/>
        <w:t>Transactions may be set aside</w:t>
      </w:r>
      <w:bookmarkEnd w:id="118"/>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lastRenderedPageBreak/>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No. 55 of 2004 s. 444.]</w:t>
      </w:r>
    </w:p>
    <w:p>
      <w:pPr>
        <w:pStyle w:val="Heading5"/>
        <w:rPr>
          <w:snapToGrid w:val="0"/>
        </w:rPr>
      </w:pPr>
      <w:bookmarkStart w:id="119" w:name="_Toc132299271"/>
      <w:r>
        <w:rPr>
          <w:rStyle w:val="CharSectno"/>
        </w:rPr>
        <w:t>83</w:t>
      </w:r>
      <w:r>
        <w:rPr>
          <w:snapToGrid w:val="0"/>
        </w:rPr>
        <w:t>.</w:t>
      </w:r>
      <w:r>
        <w:rPr>
          <w:snapToGrid w:val="0"/>
        </w:rPr>
        <w:tab/>
        <w:t>Saving for certain rules of court</w:t>
      </w:r>
      <w:bookmarkEnd w:id="119"/>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120" w:name="_Toc132193423"/>
      <w:bookmarkStart w:id="121" w:name="_Toc132193673"/>
      <w:bookmarkStart w:id="122" w:name="_Toc132299272"/>
      <w:r>
        <w:rPr>
          <w:rStyle w:val="CharDivNo"/>
        </w:rPr>
        <w:t>Division 3</w:t>
      </w:r>
      <w:r>
        <w:rPr>
          <w:snapToGrid w:val="0"/>
        </w:rPr>
        <w:t> — </w:t>
      </w:r>
      <w:r>
        <w:rPr>
          <w:rStyle w:val="CharDivText"/>
        </w:rPr>
        <w:t>Interjurisdictional arrangements in relation to administration powers</w:t>
      </w:r>
      <w:bookmarkEnd w:id="120"/>
      <w:bookmarkEnd w:id="121"/>
      <w:bookmarkEnd w:id="122"/>
      <w:r>
        <w:rPr>
          <w:rStyle w:val="CharDivText"/>
        </w:rPr>
        <w:t xml:space="preserve"> </w:t>
      </w:r>
    </w:p>
    <w:p>
      <w:pPr>
        <w:pStyle w:val="Footnoteheading"/>
        <w:rPr>
          <w:snapToGrid w:val="0"/>
        </w:rPr>
      </w:pPr>
      <w:r>
        <w:rPr>
          <w:snapToGrid w:val="0"/>
        </w:rPr>
        <w:tab/>
        <w:t xml:space="preserve">[Heading inserted: No. 7 of 1996 s. 26.] </w:t>
      </w:r>
    </w:p>
    <w:p>
      <w:pPr>
        <w:pStyle w:val="Heading5"/>
        <w:rPr>
          <w:snapToGrid w:val="0"/>
        </w:rPr>
      </w:pPr>
      <w:bookmarkStart w:id="123" w:name="_Toc132299273"/>
      <w:r>
        <w:rPr>
          <w:rStyle w:val="CharSectno"/>
        </w:rPr>
        <w:t>83A</w:t>
      </w:r>
      <w:r>
        <w:rPr>
          <w:snapToGrid w:val="0"/>
        </w:rPr>
        <w:t>.</w:t>
      </w:r>
      <w:r>
        <w:rPr>
          <w:snapToGrid w:val="0"/>
        </w:rPr>
        <w:tab/>
        <w:t>Reciprocating States</w:t>
      </w:r>
      <w:bookmarkEnd w:id="123"/>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lastRenderedPageBreak/>
        <w:tab/>
        <w:t>(b)</w:t>
      </w:r>
      <w:r>
        <w:rPr>
          <w:snapToGrid w:val="0"/>
        </w:rPr>
        <w:tab/>
        <w:t>in like manner vary or revoke any such notice.</w:t>
      </w:r>
    </w:p>
    <w:p>
      <w:pPr>
        <w:pStyle w:val="Footnotesection"/>
      </w:pPr>
      <w:r>
        <w:tab/>
        <w:t xml:space="preserve">[Section 83A inserted: No. 7 of 1996 s. 26.] </w:t>
      </w:r>
    </w:p>
    <w:p>
      <w:pPr>
        <w:pStyle w:val="Heading5"/>
        <w:rPr>
          <w:snapToGrid w:val="0"/>
        </w:rPr>
      </w:pPr>
      <w:bookmarkStart w:id="124" w:name="_Toc132299274"/>
      <w:r>
        <w:rPr>
          <w:rStyle w:val="CharSectno"/>
        </w:rPr>
        <w:t>83B</w:t>
      </w:r>
      <w:r>
        <w:rPr>
          <w:snapToGrid w:val="0"/>
        </w:rPr>
        <w:t>.</w:t>
      </w:r>
      <w:r>
        <w:rPr>
          <w:snapToGrid w:val="0"/>
        </w:rPr>
        <w:tab/>
        <w:t>Foreign administrator may authorise Public Trustee to administer property in this State</w:t>
      </w:r>
      <w:bookmarkEnd w:id="124"/>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No. 7 of 1996 s. 26.] </w:t>
      </w:r>
    </w:p>
    <w:p>
      <w:pPr>
        <w:pStyle w:val="Heading5"/>
        <w:rPr>
          <w:snapToGrid w:val="0"/>
        </w:rPr>
      </w:pPr>
      <w:bookmarkStart w:id="125" w:name="_Toc132299275"/>
      <w:r>
        <w:rPr>
          <w:rStyle w:val="CharSectno"/>
        </w:rPr>
        <w:t>83C</w:t>
      </w:r>
      <w:r>
        <w:rPr>
          <w:snapToGrid w:val="0"/>
        </w:rPr>
        <w:t>.</w:t>
      </w:r>
      <w:r>
        <w:rPr>
          <w:snapToGrid w:val="0"/>
        </w:rPr>
        <w:tab/>
        <w:t>Administrator may authorise relevant official to administer property in reciprocating State</w:t>
      </w:r>
      <w:bookmarkEnd w:id="125"/>
      <w:r>
        <w:rPr>
          <w:snapToGrid w:val="0"/>
        </w:rPr>
        <w:t xml:space="preserve"> </w:t>
      </w:r>
    </w:p>
    <w:p>
      <w:pPr>
        <w:pStyle w:val="Subsection"/>
        <w:rPr>
          <w:snapToGrid w:val="0"/>
        </w:rPr>
      </w:pPr>
      <w:r>
        <w:rPr>
          <w:snapToGrid w:val="0"/>
        </w:rPr>
        <w:tab/>
        <w:t>(1)</w:t>
      </w:r>
      <w:r>
        <w:rPr>
          <w:snapToGrid w:val="0"/>
        </w:rPr>
        <w:tab/>
        <w:t xml:space="preserve">Where it appears to the administrator of the estate of a represented person that the represented person has property in a </w:t>
      </w:r>
      <w:r>
        <w:rPr>
          <w:snapToGrid w:val="0"/>
        </w:rPr>
        <w:lastRenderedPageBreak/>
        <w:t>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No. 7 of 1996 s. 26.] </w:t>
      </w:r>
    </w:p>
    <w:p>
      <w:pPr>
        <w:pStyle w:val="Heading5"/>
        <w:rPr>
          <w:snapToGrid w:val="0"/>
        </w:rPr>
      </w:pPr>
      <w:bookmarkStart w:id="126" w:name="_Toc132299276"/>
      <w:r>
        <w:rPr>
          <w:rStyle w:val="CharSectno"/>
        </w:rPr>
        <w:t>83D</w:t>
      </w:r>
      <w:r>
        <w:rPr>
          <w:snapToGrid w:val="0"/>
        </w:rPr>
        <w:t>.</w:t>
      </w:r>
      <w:r>
        <w:rPr>
          <w:snapToGrid w:val="0"/>
        </w:rPr>
        <w:tab/>
        <w:t>Interstate arrangements for recognition of administration orders</w:t>
      </w:r>
      <w:bookmarkEnd w:id="126"/>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lastRenderedPageBreak/>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 xml:space="preserve">[Section 83D inserted: No. 7 of 1996 s. 26.] </w:t>
      </w:r>
    </w:p>
    <w:p>
      <w:pPr>
        <w:pStyle w:val="Heading2"/>
      </w:pPr>
      <w:bookmarkStart w:id="127" w:name="_Toc132193428"/>
      <w:bookmarkStart w:id="128" w:name="_Toc132193678"/>
      <w:bookmarkStart w:id="129" w:name="_Toc132299277"/>
      <w:r>
        <w:rPr>
          <w:rStyle w:val="CharPartNo"/>
        </w:rPr>
        <w:lastRenderedPageBreak/>
        <w:t>Part 7</w:t>
      </w:r>
      <w:r>
        <w:rPr>
          <w:rStyle w:val="CharDivNo"/>
        </w:rPr>
        <w:t> </w:t>
      </w:r>
      <w:r>
        <w:t>—</w:t>
      </w:r>
      <w:r>
        <w:rPr>
          <w:rStyle w:val="CharDivText"/>
        </w:rPr>
        <w:t> </w:t>
      </w:r>
      <w:r>
        <w:rPr>
          <w:rStyle w:val="CharPartText"/>
        </w:rPr>
        <w:t>Review of orders</w:t>
      </w:r>
      <w:bookmarkEnd w:id="127"/>
      <w:bookmarkEnd w:id="128"/>
      <w:bookmarkEnd w:id="129"/>
      <w:r>
        <w:rPr>
          <w:rStyle w:val="CharPartText"/>
        </w:rPr>
        <w:t xml:space="preserve"> </w:t>
      </w:r>
    </w:p>
    <w:p>
      <w:pPr>
        <w:pStyle w:val="Heading5"/>
        <w:rPr>
          <w:snapToGrid w:val="0"/>
        </w:rPr>
      </w:pPr>
      <w:bookmarkStart w:id="130" w:name="_Toc132299278"/>
      <w:r>
        <w:rPr>
          <w:rStyle w:val="CharSectno"/>
        </w:rPr>
        <w:t>84</w:t>
      </w:r>
      <w:r>
        <w:rPr>
          <w:snapToGrid w:val="0"/>
        </w:rPr>
        <w:t>.</w:t>
      </w:r>
      <w:r>
        <w:rPr>
          <w:snapToGrid w:val="0"/>
        </w:rPr>
        <w:tab/>
        <w:t>State Administrative Tribunal to review orders periodically</w:t>
      </w:r>
      <w:bookmarkEnd w:id="130"/>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No. 55 of 2004 s. 466(1).]</w:t>
      </w:r>
    </w:p>
    <w:p>
      <w:pPr>
        <w:pStyle w:val="Heading5"/>
        <w:rPr>
          <w:snapToGrid w:val="0"/>
        </w:rPr>
      </w:pPr>
      <w:bookmarkStart w:id="131" w:name="_Toc132299279"/>
      <w:r>
        <w:rPr>
          <w:rStyle w:val="CharSectno"/>
        </w:rPr>
        <w:t>85</w:t>
      </w:r>
      <w:r>
        <w:rPr>
          <w:snapToGrid w:val="0"/>
        </w:rPr>
        <w:t>.</w:t>
      </w:r>
      <w:r>
        <w:rPr>
          <w:snapToGrid w:val="0"/>
        </w:rPr>
        <w:tab/>
        <w:t>Circumstances in which review mandatory</w:t>
      </w:r>
      <w:bookmarkEnd w:id="131"/>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keepNext/>
        <w:rPr>
          <w:snapToGrid w:val="0"/>
        </w:rPr>
      </w:pPr>
      <w:r>
        <w:rPr>
          <w:snapToGrid w:val="0"/>
        </w:rPr>
        <w:lastRenderedPageBreak/>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No. 55 of 2004 s. 445 and 466; No. 18 of 2009 s. 38(2).]</w:t>
      </w:r>
    </w:p>
    <w:p>
      <w:pPr>
        <w:pStyle w:val="Heading5"/>
        <w:rPr>
          <w:snapToGrid w:val="0"/>
        </w:rPr>
      </w:pPr>
      <w:bookmarkStart w:id="132" w:name="_Toc132299280"/>
      <w:r>
        <w:rPr>
          <w:rStyle w:val="CharSectno"/>
        </w:rPr>
        <w:t>86</w:t>
      </w:r>
      <w:r>
        <w:rPr>
          <w:snapToGrid w:val="0"/>
        </w:rPr>
        <w:t>.</w:t>
      </w:r>
      <w:r>
        <w:rPr>
          <w:snapToGrid w:val="0"/>
        </w:rPr>
        <w:tab/>
        <w:t>Review on application</w:t>
      </w:r>
      <w:bookmarkEnd w:id="132"/>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No. 16 of 1992 s. 14; No. 55 of 2004 s. 446; No. 5 of 2008 s. 59.] </w:t>
      </w:r>
    </w:p>
    <w:p>
      <w:pPr>
        <w:pStyle w:val="Heading5"/>
        <w:rPr>
          <w:snapToGrid w:val="0"/>
        </w:rPr>
      </w:pPr>
      <w:bookmarkStart w:id="133" w:name="_Toc132299281"/>
      <w:r>
        <w:rPr>
          <w:rStyle w:val="CharSectno"/>
        </w:rPr>
        <w:lastRenderedPageBreak/>
        <w:t>87</w:t>
      </w:r>
      <w:r>
        <w:rPr>
          <w:snapToGrid w:val="0"/>
        </w:rPr>
        <w:t>.</w:t>
      </w:r>
      <w:r>
        <w:rPr>
          <w:snapToGrid w:val="0"/>
        </w:rPr>
        <w:tab/>
        <w:t>Leave to apply for review</w:t>
      </w:r>
      <w:bookmarkEnd w:id="133"/>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No. 16 of 1992 s. 18; No. 55 of 2004 s. 447 and 466(1).] </w:t>
      </w:r>
    </w:p>
    <w:p>
      <w:pPr>
        <w:pStyle w:val="Heading5"/>
        <w:rPr>
          <w:snapToGrid w:val="0"/>
        </w:rPr>
      </w:pPr>
      <w:bookmarkStart w:id="134" w:name="_Toc132299282"/>
      <w:r>
        <w:rPr>
          <w:rStyle w:val="CharSectno"/>
        </w:rPr>
        <w:t>88</w:t>
      </w:r>
      <w:r>
        <w:rPr>
          <w:snapToGrid w:val="0"/>
        </w:rPr>
        <w:t>.</w:t>
      </w:r>
      <w:r>
        <w:rPr>
          <w:snapToGrid w:val="0"/>
        </w:rPr>
        <w:tab/>
        <w:t>Application for review</w:t>
      </w:r>
      <w:bookmarkEnd w:id="134"/>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No. 16 of 1992 s. 18; No. 55 of 2004 s. 448.] </w:t>
      </w:r>
    </w:p>
    <w:p>
      <w:pPr>
        <w:pStyle w:val="Heading5"/>
        <w:rPr>
          <w:snapToGrid w:val="0"/>
        </w:rPr>
      </w:pPr>
      <w:bookmarkStart w:id="135" w:name="_Toc132299283"/>
      <w:r>
        <w:rPr>
          <w:rStyle w:val="CharSectno"/>
        </w:rPr>
        <w:t>89</w:t>
      </w:r>
      <w:r>
        <w:rPr>
          <w:snapToGrid w:val="0"/>
        </w:rPr>
        <w:t>.</w:t>
      </w:r>
      <w:r>
        <w:rPr>
          <w:snapToGrid w:val="0"/>
        </w:rPr>
        <w:tab/>
        <w:t>Notice of review</w:t>
      </w:r>
      <w:bookmarkEnd w:id="135"/>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lastRenderedPageBreak/>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No. 16 of 1992 s. 18; No. 7 of 1996 s. 36; No. 55 of 2004 s. 449 and 466(1); No. 19 of 2010 s. 18(2).] </w:t>
      </w:r>
    </w:p>
    <w:p>
      <w:pPr>
        <w:pStyle w:val="Heading5"/>
        <w:keepLines w:val="0"/>
        <w:rPr>
          <w:snapToGrid w:val="0"/>
        </w:rPr>
      </w:pPr>
      <w:bookmarkStart w:id="136" w:name="_Toc132299284"/>
      <w:r>
        <w:rPr>
          <w:rStyle w:val="CharSectno"/>
        </w:rPr>
        <w:lastRenderedPageBreak/>
        <w:t>90</w:t>
      </w:r>
      <w:r>
        <w:rPr>
          <w:snapToGrid w:val="0"/>
        </w:rPr>
        <w:t>.</w:t>
      </w:r>
      <w:r>
        <w:rPr>
          <w:snapToGrid w:val="0"/>
        </w:rPr>
        <w:tab/>
        <w:t>Powers of State Administrative Tribunal on review</w:t>
      </w:r>
      <w:bookmarkEnd w:id="136"/>
      <w:r>
        <w:rPr>
          <w:snapToGrid w:val="0"/>
        </w:rPr>
        <w:t xml:space="preserve"> </w:t>
      </w:r>
    </w:p>
    <w:p>
      <w:pPr>
        <w:pStyle w:val="Subsection"/>
        <w:keepNext/>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keepNext/>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No. 70 of 2000 s. 11; No. 55 of 2004 s. 450 and 466(1).]</w:t>
      </w:r>
    </w:p>
    <w:p>
      <w:pPr>
        <w:pStyle w:val="Heading2"/>
      </w:pPr>
      <w:bookmarkStart w:id="137" w:name="_Toc132193436"/>
      <w:bookmarkStart w:id="138" w:name="_Toc132193686"/>
      <w:bookmarkStart w:id="139" w:name="_Toc132299285"/>
      <w:r>
        <w:rPr>
          <w:rStyle w:val="CharPartNo"/>
        </w:rPr>
        <w:lastRenderedPageBreak/>
        <w:t>Part 8</w:t>
      </w:r>
      <w:r>
        <w:rPr>
          <w:rStyle w:val="CharDivNo"/>
        </w:rPr>
        <w:t> </w:t>
      </w:r>
      <w:r>
        <w:t>—</w:t>
      </w:r>
      <w:r>
        <w:rPr>
          <w:rStyle w:val="CharDivText"/>
        </w:rPr>
        <w:t> </w:t>
      </w:r>
      <w:r>
        <w:rPr>
          <w:rStyle w:val="CharPartText"/>
        </w:rPr>
        <w:t>The Public Advocate</w:t>
      </w:r>
      <w:bookmarkEnd w:id="137"/>
      <w:bookmarkEnd w:id="138"/>
      <w:bookmarkEnd w:id="139"/>
      <w:r>
        <w:rPr>
          <w:rStyle w:val="CharPartText"/>
        </w:rPr>
        <w:t xml:space="preserve"> </w:t>
      </w:r>
    </w:p>
    <w:p>
      <w:pPr>
        <w:pStyle w:val="Footnoteheading"/>
        <w:rPr>
          <w:snapToGrid w:val="0"/>
        </w:rPr>
      </w:pPr>
      <w:r>
        <w:rPr>
          <w:snapToGrid w:val="0"/>
        </w:rPr>
        <w:tab/>
        <w:t xml:space="preserve">[Heading amended: No. 7 of 1996 s. 36.] </w:t>
      </w:r>
    </w:p>
    <w:p>
      <w:pPr>
        <w:pStyle w:val="Heading5"/>
        <w:rPr>
          <w:snapToGrid w:val="0"/>
        </w:rPr>
      </w:pPr>
      <w:bookmarkStart w:id="140" w:name="_Toc132299286"/>
      <w:r>
        <w:rPr>
          <w:rStyle w:val="CharSectno"/>
        </w:rPr>
        <w:t>91</w:t>
      </w:r>
      <w:r>
        <w:rPr>
          <w:snapToGrid w:val="0"/>
        </w:rPr>
        <w:t>.</w:t>
      </w:r>
      <w:r>
        <w:rPr>
          <w:snapToGrid w:val="0"/>
        </w:rPr>
        <w:tab/>
        <w:t>Public Advocate</w:t>
      </w:r>
      <w:bookmarkEnd w:id="140"/>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w:t>
      </w:r>
      <w:r>
        <w:t xml:space="preserve"> Public Sector Commissioner</w:t>
      </w:r>
      <w:r>
        <w:rPr>
          <w:snapToGrid w:val="0"/>
          <w:spacing w:val="-2"/>
        </w:rPr>
        <w:t>.</w:t>
      </w:r>
    </w:p>
    <w:p>
      <w:pPr>
        <w:pStyle w:val="Footnotesection"/>
      </w:pPr>
      <w:r>
        <w:tab/>
        <w:t xml:space="preserve">[Section 91 amended: No. 7 of 1996 s. 36; No. 39 of 2010 s. 89.] </w:t>
      </w:r>
    </w:p>
    <w:p>
      <w:pPr>
        <w:pStyle w:val="Heading5"/>
        <w:rPr>
          <w:snapToGrid w:val="0"/>
        </w:rPr>
      </w:pPr>
      <w:bookmarkStart w:id="141" w:name="_Toc132299287"/>
      <w:r>
        <w:rPr>
          <w:rStyle w:val="CharSectno"/>
        </w:rPr>
        <w:t>92</w:t>
      </w:r>
      <w:r>
        <w:rPr>
          <w:snapToGrid w:val="0"/>
        </w:rPr>
        <w:t>.</w:t>
      </w:r>
      <w:r>
        <w:rPr>
          <w:snapToGrid w:val="0"/>
        </w:rPr>
        <w:tab/>
        <w:t>Resignation, removal etc.</w:t>
      </w:r>
      <w:bookmarkEnd w:id="141"/>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No. 7 of 1996 s. 36; No. 18 of 2009 s. 38(3).] </w:t>
      </w:r>
    </w:p>
    <w:p>
      <w:pPr>
        <w:pStyle w:val="Heading5"/>
        <w:rPr>
          <w:snapToGrid w:val="0"/>
        </w:rPr>
      </w:pPr>
      <w:bookmarkStart w:id="142" w:name="_Toc132299288"/>
      <w:r>
        <w:rPr>
          <w:rStyle w:val="CharSectno"/>
        </w:rPr>
        <w:lastRenderedPageBreak/>
        <w:t>93</w:t>
      </w:r>
      <w:r>
        <w:rPr>
          <w:snapToGrid w:val="0"/>
        </w:rPr>
        <w:t>.</w:t>
      </w:r>
      <w:r>
        <w:rPr>
          <w:snapToGrid w:val="0"/>
        </w:rPr>
        <w:tab/>
        <w:t>Acting Public Advocate</w:t>
      </w:r>
      <w:bookmarkEnd w:id="142"/>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w:t>
      </w:r>
      <w:r>
        <w:t xml:space="preserve"> Public Sector Commissioner</w:t>
      </w:r>
      <w:r>
        <w:rPr>
          <w:snapToGrid w:val="0"/>
        </w:rPr>
        <w: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lastRenderedPageBreak/>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No. 7 of 1996 s. 36; No. 39 of 2010 s. 89.] </w:t>
      </w:r>
    </w:p>
    <w:p>
      <w:pPr>
        <w:pStyle w:val="Heading5"/>
        <w:rPr>
          <w:snapToGrid w:val="0"/>
        </w:rPr>
      </w:pPr>
      <w:bookmarkStart w:id="143" w:name="_Toc132299289"/>
      <w:r>
        <w:rPr>
          <w:rStyle w:val="CharSectno"/>
        </w:rPr>
        <w:t>94</w:t>
      </w:r>
      <w:r>
        <w:rPr>
          <w:snapToGrid w:val="0"/>
        </w:rPr>
        <w:t>.</w:t>
      </w:r>
      <w:r>
        <w:rPr>
          <w:snapToGrid w:val="0"/>
        </w:rPr>
        <w:tab/>
        <w:t>Staff</w:t>
      </w:r>
      <w:bookmarkEnd w:id="143"/>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No. 32 of 1994 s. 3(2); No. 7 of 1996 s. 36.] </w:t>
      </w:r>
    </w:p>
    <w:p>
      <w:pPr>
        <w:pStyle w:val="Heading5"/>
        <w:rPr>
          <w:snapToGrid w:val="0"/>
        </w:rPr>
      </w:pPr>
      <w:bookmarkStart w:id="144" w:name="_Toc132299290"/>
      <w:r>
        <w:rPr>
          <w:rStyle w:val="CharSectno"/>
        </w:rPr>
        <w:t>95</w:t>
      </w:r>
      <w:r>
        <w:rPr>
          <w:snapToGrid w:val="0"/>
        </w:rPr>
        <w:t>.</w:t>
      </w:r>
      <w:r>
        <w:rPr>
          <w:snapToGrid w:val="0"/>
        </w:rPr>
        <w:tab/>
        <w:t>Powers of delegation</w:t>
      </w:r>
      <w:bookmarkEnd w:id="144"/>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lastRenderedPageBreak/>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No. 7 of 1996 s. 36; No. 55 of 2004 s. 466.] </w:t>
      </w:r>
    </w:p>
    <w:p>
      <w:pPr>
        <w:pStyle w:val="Heading5"/>
        <w:rPr>
          <w:snapToGrid w:val="0"/>
        </w:rPr>
      </w:pPr>
      <w:bookmarkStart w:id="145" w:name="_Toc132299291"/>
      <w:r>
        <w:rPr>
          <w:rStyle w:val="CharSectno"/>
        </w:rPr>
        <w:t>96</w:t>
      </w:r>
      <w:r>
        <w:rPr>
          <w:snapToGrid w:val="0"/>
        </w:rPr>
        <w:t>.</w:t>
      </w:r>
      <w:r>
        <w:rPr>
          <w:snapToGrid w:val="0"/>
        </w:rPr>
        <w:tab/>
        <w:t>Existing rights etc.</w:t>
      </w:r>
      <w:bookmarkEnd w:id="145"/>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No. 32 of 1994 s. 3(2); No. 7 of 1996 s. 36.] </w:t>
      </w:r>
    </w:p>
    <w:p>
      <w:pPr>
        <w:pStyle w:val="Heading5"/>
        <w:rPr>
          <w:snapToGrid w:val="0"/>
        </w:rPr>
      </w:pPr>
      <w:bookmarkStart w:id="146" w:name="_Toc132299292"/>
      <w:r>
        <w:rPr>
          <w:rStyle w:val="CharSectno"/>
        </w:rPr>
        <w:t>97</w:t>
      </w:r>
      <w:r>
        <w:rPr>
          <w:snapToGrid w:val="0"/>
        </w:rPr>
        <w:t>.</w:t>
      </w:r>
      <w:r>
        <w:rPr>
          <w:snapToGrid w:val="0"/>
        </w:rPr>
        <w:tab/>
        <w:t>Functions of Public Advocate</w:t>
      </w:r>
      <w:bookmarkEnd w:id="146"/>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lastRenderedPageBreak/>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 xml:space="preserve">the protection of the rights of represented persons and persons who may become subject to </w:t>
      </w:r>
      <w:r>
        <w:rPr>
          <w:snapToGrid w:val="0"/>
        </w:rPr>
        <w:lastRenderedPageBreak/>
        <w:t>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No. 7 of 1996 s. 27; No. 55 of 2004 s. 451 and 466; No. 59 of 2004 s. 141; No. 59 of 2006 s. 73.]</w:t>
      </w:r>
    </w:p>
    <w:p>
      <w:pPr>
        <w:pStyle w:val="Heading5"/>
        <w:rPr>
          <w:snapToGrid w:val="0"/>
        </w:rPr>
      </w:pPr>
      <w:bookmarkStart w:id="147" w:name="_Toc132299293"/>
      <w:r>
        <w:rPr>
          <w:rStyle w:val="CharSectno"/>
        </w:rPr>
        <w:t>98</w:t>
      </w:r>
      <w:r>
        <w:rPr>
          <w:snapToGrid w:val="0"/>
        </w:rPr>
        <w:t>.</w:t>
      </w:r>
      <w:r>
        <w:rPr>
          <w:snapToGrid w:val="0"/>
        </w:rPr>
        <w:tab/>
        <w:t>Notification to Public Advocate as to mentally impaired accused</w:t>
      </w:r>
      <w:bookmarkEnd w:id="147"/>
    </w:p>
    <w:p>
      <w:pPr>
        <w:pStyle w:val="Subsection"/>
      </w:pPr>
      <w:r>
        <w:tab/>
        <w:t>(1)</w:t>
      </w:r>
      <w:r>
        <w:tab/>
        <w:t xml:space="preserve">If a person becomes a mentally impaired accused (as defined in Part 5 of the </w:t>
      </w:r>
      <w:r>
        <w:rPr>
          <w:i/>
        </w:rPr>
        <w:t>Criminal Law (Mentally Impaired Accused) Act 1996</w:t>
      </w:r>
      <w:r>
        <w:t>) the registrar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No. 7 of 1996 s. 36; No. 69 of 1996 s. 36; No. 84 of 2004 s. 82; No. 17 of 2014 s. 12.] </w:t>
      </w:r>
    </w:p>
    <w:p>
      <w:pPr>
        <w:pStyle w:val="Heading5"/>
        <w:rPr>
          <w:snapToGrid w:val="0"/>
        </w:rPr>
      </w:pPr>
      <w:bookmarkStart w:id="148" w:name="_Toc132299294"/>
      <w:r>
        <w:rPr>
          <w:rStyle w:val="CharSectno"/>
        </w:rPr>
        <w:lastRenderedPageBreak/>
        <w:t>99</w:t>
      </w:r>
      <w:r>
        <w:rPr>
          <w:snapToGrid w:val="0"/>
        </w:rPr>
        <w:t>.</w:t>
      </w:r>
      <w:r>
        <w:rPr>
          <w:snapToGrid w:val="0"/>
        </w:rPr>
        <w:tab/>
        <w:t>Public Advocate to act on death of guardian or administrator</w:t>
      </w:r>
      <w:bookmarkEnd w:id="148"/>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No. 7 of 1996 s. 36.] </w:t>
      </w:r>
    </w:p>
    <w:p>
      <w:pPr>
        <w:pStyle w:val="Heading5"/>
        <w:rPr>
          <w:snapToGrid w:val="0"/>
        </w:rPr>
      </w:pPr>
      <w:bookmarkStart w:id="149" w:name="_Toc132299295"/>
      <w:r>
        <w:rPr>
          <w:rStyle w:val="CharSectno"/>
        </w:rPr>
        <w:t>100</w:t>
      </w:r>
      <w:r>
        <w:rPr>
          <w:snapToGrid w:val="0"/>
        </w:rPr>
        <w:t>.</w:t>
      </w:r>
      <w:r>
        <w:rPr>
          <w:snapToGrid w:val="0"/>
        </w:rPr>
        <w:tab/>
        <w:t>Judicial notice</w:t>
      </w:r>
      <w:bookmarkEnd w:id="149"/>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No. 7 of 1996 s. 36.] </w:t>
      </w:r>
    </w:p>
    <w:p>
      <w:pPr>
        <w:pStyle w:val="Heading5"/>
        <w:rPr>
          <w:snapToGrid w:val="0"/>
        </w:rPr>
      </w:pPr>
      <w:bookmarkStart w:id="150" w:name="_Toc132299296"/>
      <w:r>
        <w:rPr>
          <w:rStyle w:val="CharSectno"/>
        </w:rPr>
        <w:lastRenderedPageBreak/>
        <w:t>101</w:t>
      </w:r>
      <w:r>
        <w:rPr>
          <w:snapToGrid w:val="0"/>
        </w:rPr>
        <w:t>.</w:t>
      </w:r>
      <w:r>
        <w:rPr>
          <w:snapToGrid w:val="0"/>
        </w:rPr>
        <w:tab/>
        <w:t>Annual report of Public Advocate</w:t>
      </w:r>
      <w:bookmarkEnd w:id="150"/>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No. 7 of 1996 s. 28 and 36.] </w:t>
      </w:r>
    </w:p>
    <w:p>
      <w:pPr>
        <w:pStyle w:val="Heading5"/>
        <w:rPr>
          <w:snapToGrid w:val="0"/>
        </w:rPr>
      </w:pPr>
      <w:bookmarkStart w:id="151" w:name="_Toc132299297"/>
      <w:r>
        <w:rPr>
          <w:rStyle w:val="CharSectno"/>
        </w:rPr>
        <w:t>101A</w:t>
      </w:r>
      <w:r>
        <w:rPr>
          <w:snapToGrid w:val="0"/>
        </w:rPr>
        <w:t>.</w:t>
      </w:r>
      <w:r>
        <w:rPr>
          <w:snapToGrid w:val="0"/>
        </w:rPr>
        <w:tab/>
        <w:t>Public Advocate may raise matters with Minister</w:t>
      </w:r>
      <w:bookmarkEnd w:id="151"/>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No. 7 of 1996 s. 29.] </w:t>
      </w:r>
    </w:p>
    <w:p>
      <w:pPr>
        <w:pStyle w:val="Heading2"/>
      </w:pPr>
      <w:bookmarkStart w:id="152" w:name="_Toc132193449"/>
      <w:bookmarkStart w:id="153" w:name="_Toc132193699"/>
      <w:bookmarkStart w:id="154" w:name="_Toc132299298"/>
      <w:r>
        <w:rPr>
          <w:rStyle w:val="CharPartNo"/>
        </w:rPr>
        <w:lastRenderedPageBreak/>
        <w:t>Part 9</w:t>
      </w:r>
      <w:r>
        <w:rPr>
          <w:rStyle w:val="CharDivNo"/>
        </w:rPr>
        <w:t> </w:t>
      </w:r>
      <w:r>
        <w:t>—</w:t>
      </w:r>
      <w:r>
        <w:rPr>
          <w:rStyle w:val="CharDivText"/>
        </w:rPr>
        <w:t> </w:t>
      </w:r>
      <w:r>
        <w:rPr>
          <w:rStyle w:val="CharPartText"/>
        </w:rPr>
        <w:t>Enduring powers of attorney</w:t>
      </w:r>
      <w:bookmarkEnd w:id="152"/>
      <w:bookmarkEnd w:id="153"/>
      <w:bookmarkEnd w:id="154"/>
      <w:r>
        <w:rPr>
          <w:rStyle w:val="CharPartText"/>
        </w:rPr>
        <w:t xml:space="preserve"> </w:t>
      </w:r>
    </w:p>
    <w:p>
      <w:pPr>
        <w:pStyle w:val="Heading5"/>
        <w:rPr>
          <w:snapToGrid w:val="0"/>
        </w:rPr>
      </w:pPr>
      <w:bookmarkStart w:id="155" w:name="_Toc132299299"/>
      <w:r>
        <w:rPr>
          <w:rStyle w:val="CharSectno"/>
        </w:rPr>
        <w:t>102</w:t>
      </w:r>
      <w:r>
        <w:rPr>
          <w:snapToGrid w:val="0"/>
        </w:rPr>
        <w:t>.</w:t>
      </w:r>
      <w:r>
        <w:rPr>
          <w:snapToGrid w:val="0"/>
        </w:rPr>
        <w:tab/>
        <w:t>Terms used</w:t>
      </w:r>
      <w:bookmarkEnd w:id="15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pPr>
        <w:pStyle w:val="Footnotesection"/>
      </w:pPr>
      <w:r>
        <w:tab/>
        <w:t xml:space="preserve">[Section 102 amended: No. 7 of 1996 s. 30; No. 70 of 2000 s. 12; No. 55 of 2004 s. 466(1).] </w:t>
      </w:r>
    </w:p>
    <w:p>
      <w:pPr>
        <w:pStyle w:val="Heading5"/>
        <w:rPr>
          <w:snapToGrid w:val="0"/>
        </w:rPr>
      </w:pPr>
      <w:bookmarkStart w:id="156" w:name="_Toc132299300"/>
      <w:r>
        <w:rPr>
          <w:rStyle w:val="CharSectno"/>
        </w:rPr>
        <w:t>103</w:t>
      </w:r>
      <w:r>
        <w:rPr>
          <w:snapToGrid w:val="0"/>
        </w:rPr>
        <w:t>.</w:t>
      </w:r>
      <w:r>
        <w:rPr>
          <w:snapToGrid w:val="0"/>
        </w:rPr>
        <w:tab/>
        <w:t>Other Acts</w:t>
      </w:r>
      <w:bookmarkEnd w:id="156"/>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157" w:name="_Toc132299301"/>
      <w:r>
        <w:rPr>
          <w:rStyle w:val="CharSectno"/>
        </w:rPr>
        <w:t>104</w:t>
      </w:r>
      <w:r>
        <w:rPr>
          <w:snapToGrid w:val="0"/>
        </w:rPr>
        <w:t>.</w:t>
      </w:r>
      <w:r>
        <w:rPr>
          <w:snapToGrid w:val="0"/>
        </w:rPr>
        <w:tab/>
        <w:t>Execution of enduring power of attorney</w:t>
      </w:r>
      <w:bookmarkEnd w:id="157"/>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lastRenderedPageBreak/>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No. 70 of 2000 s. 13; No. 55 of 2004 s. 466(1); No. 25 of 2008 s. 9.]</w:t>
      </w:r>
    </w:p>
    <w:p>
      <w:pPr>
        <w:pStyle w:val="Heading5"/>
        <w:rPr>
          <w:snapToGrid w:val="0"/>
        </w:rPr>
      </w:pPr>
      <w:bookmarkStart w:id="158" w:name="_Toc132299302"/>
      <w:r>
        <w:rPr>
          <w:rStyle w:val="CharSectno"/>
        </w:rPr>
        <w:lastRenderedPageBreak/>
        <w:t>104A</w:t>
      </w:r>
      <w:r>
        <w:rPr>
          <w:snapToGrid w:val="0"/>
        </w:rPr>
        <w:t>.</w:t>
      </w:r>
      <w:r>
        <w:rPr>
          <w:snapToGrid w:val="0"/>
        </w:rPr>
        <w:tab/>
        <w:t>Recognition of powers of attorney created in other jurisdictions</w:t>
      </w:r>
      <w:bookmarkEnd w:id="158"/>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No. 7 of 1996 s. 3; amended: No. 55 of 2004 s. 452 and 466.] </w:t>
      </w:r>
    </w:p>
    <w:p>
      <w:pPr>
        <w:pStyle w:val="Heading5"/>
      </w:pPr>
      <w:bookmarkStart w:id="159" w:name="_Toc132299303"/>
      <w:r>
        <w:rPr>
          <w:rStyle w:val="CharSectno"/>
        </w:rPr>
        <w:t>104B</w:t>
      </w:r>
      <w:r>
        <w:t>.</w:t>
      </w:r>
      <w:r>
        <w:tab/>
        <w:t>Substitute donees</w:t>
      </w:r>
      <w:bookmarkEnd w:id="159"/>
    </w:p>
    <w:p>
      <w:pPr>
        <w:pStyle w:val="Subsection"/>
      </w:pPr>
      <w:r>
        <w:tab/>
        <w:t>(1)</w:t>
      </w:r>
      <w:r>
        <w:tab/>
        <w:t>A person creating an enduring power of attorney may, in the instrument creating the power of attorney, appoint a person to be a substitute donee of the power.</w:t>
      </w:r>
    </w:p>
    <w:p>
      <w:pPr>
        <w:pStyle w:val="Subsection"/>
      </w:pPr>
      <w:r>
        <w:lastRenderedPageBreak/>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No. 70 of 2000 s. 14.]</w:t>
      </w:r>
    </w:p>
    <w:p>
      <w:pPr>
        <w:pStyle w:val="Heading5"/>
      </w:pPr>
      <w:bookmarkStart w:id="160" w:name="_Toc132299304"/>
      <w:r>
        <w:rPr>
          <w:rStyle w:val="CharSectno"/>
        </w:rPr>
        <w:t>104C</w:t>
      </w:r>
      <w:r>
        <w:t>.</w:t>
      </w:r>
      <w:r>
        <w:tab/>
        <w:t>Eligibility for appointment as donee or substitute donee</w:t>
      </w:r>
      <w:bookmarkEnd w:id="160"/>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 No. 25 of 2008 s. 10.]</w:t>
      </w:r>
    </w:p>
    <w:p>
      <w:pPr>
        <w:pStyle w:val="Heading5"/>
        <w:rPr>
          <w:snapToGrid w:val="0"/>
        </w:rPr>
      </w:pPr>
      <w:bookmarkStart w:id="161" w:name="_Toc132299305"/>
      <w:r>
        <w:rPr>
          <w:rStyle w:val="CharSectno"/>
        </w:rPr>
        <w:t>105</w:t>
      </w:r>
      <w:r>
        <w:rPr>
          <w:snapToGrid w:val="0"/>
        </w:rPr>
        <w:t>.</w:t>
      </w:r>
      <w:r>
        <w:rPr>
          <w:snapToGrid w:val="0"/>
        </w:rPr>
        <w:tab/>
        <w:t>Enduring power of attorney survives incapacity</w:t>
      </w:r>
      <w:bookmarkEnd w:id="161"/>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162" w:name="_Toc132299306"/>
      <w:r>
        <w:rPr>
          <w:rStyle w:val="CharSectno"/>
        </w:rPr>
        <w:t>106</w:t>
      </w:r>
      <w:r>
        <w:rPr>
          <w:snapToGrid w:val="0"/>
        </w:rPr>
        <w:t>.</w:t>
      </w:r>
      <w:r>
        <w:rPr>
          <w:snapToGrid w:val="0"/>
        </w:rPr>
        <w:tab/>
        <w:t>Donee may apply for declaration of legal incapacity</w:t>
      </w:r>
      <w:bookmarkEnd w:id="162"/>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lastRenderedPageBreak/>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No. 70 of 2000 s. 15; No. 55 of 2004 s. 453 and 466.]</w:t>
      </w:r>
    </w:p>
    <w:p>
      <w:pPr>
        <w:pStyle w:val="Heading5"/>
        <w:keepLines w:val="0"/>
        <w:rPr>
          <w:snapToGrid w:val="0"/>
        </w:rPr>
      </w:pPr>
      <w:bookmarkStart w:id="163" w:name="_Toc132299307"/>
      <w:r>
        <w:rPr>
          <w:rStyle w:val="CharSectno"/>
        </w:rPr>
        <w:t>107</w:t>
      </w:r>
      <w:r>
        <w:rPr>
          <w:snapToGrid w:val="0"/>
        </w:rPr>
        <w:t>.</w:t>
      </w:r>
      <w:r>
        <w:rPr>
          <w:snapToGrid w:val="0"/>
        </w:rPr>
        <w:tab/>
        <w:t>Obligations of donee</w:t>
      </w:r>
      <w:bookmarkEnd w:id="163"/>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lastRenderedPageBreak/>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No. 7 of 1996 s. 32; No. 70 of 2000 s. 16; No. 55 of 2004 s. 466(1).] </w:t>
      </w:r>
    </w:p>
    <w:p>
      <w:pPr>
        <w:pStyle w:val="Heading5"/>
        <w:rPr>
          <w:snapToGrid w:val="0"/>
        </w:rPr>
      </w:pPr>
      <w:bookmarkStart w:id="164" w:name="_Toc132299308"/>
      <w:r>
        <w:rPr>
          <w:rStyle w:val="CharSectno"/>
        </w:rPr>
        <w:t>108</w:t>
      </w:r>
      <w:r>
        <w:rPr>
          <w:snapToGrid w:val="0"/>
        </w:rPr>
        <w:t>.</w:t>
      </w:r>
      <w:r>
        <w:rPr>
          <w:snapToGrid w:val="0"/>
        </w:rPr>
        <w:tab/>
        <w:t>Appointment of administrator</w:t>
      </w:r>
      <w:bookmarkEnd w:id="164"/>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pPr>
        <w:pStyle w:val="Subsection"/>
        <w:rPr>
          <w:snapToGrid w:val="0"/>
        </w:rPr>
      </w:pPr>
      <w:r>
        <w:rPr>
          <w:snapToGrid w:val="0"/>
        </w:rPr>
        <w:lastRenderedPageBreak/>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No. 7 of 1996 s. 33; No. 55 of 2004 s. 454 and 466.] </w:t>
      </w:r>
    </w:p>
    <w:p>
      <w:pPr>
        <w:pStyle w:val="Heading5"/>
        <w:keepLines w:val="0"/>
        <w:spacing w:before="180"/>
        <w:rPr>
          <w:snapToGrid w:val="0"/>
        </w:rPr>
      </w:pPr>
      <w:bookmarkStart w:id="165" w:name="_Toc132299309"/>
      <w:r>
        <w:rPr>
          <w:rStyle w:val="CharSectno"/>
        </w:rPr>
        <w:t>109</w:t>
      </w:r>
      <w:r>
        <w:rPr>
          <w:snapToGrid w:val="0"/>
        </w:rPr>
        <w:t>.</w:t>
      </w:r>
      <w:r>
        <w:rPr>
          <w:snapToGrid w:val="0"/>
        </w:rPr>
        <w:tab/>
        <w:t>On application State Administrative Tribunal may intervene</w:t>
      </w:r>
      <w:bookmarkEnd w:id="165"/>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w:t>
      </w:r>
      <w:r>
        <w:rPr>
          <w:snapToGrid w:val="0"/>
        </w:rPr>
        <w:lastRenderedPageBreak/>
        <w:t xml:space="preserve">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No. 7 of 1996 s. 34; No. 70 of 2000 s. 17; No. 55 of 2004 s. 466.] </w:t>
      </w:r>
    </w:p>
    <w:p>
      <w:pPr>
        <w:pStyle w:val="Heading5"/>
        <w:rPr>
          <w:snapToGrid w:val="0"/>
        </w:rPr>
      </w:pPr>
      <w:bookmarkStart w:id="166" w:name="_Toc132299310"/>
      <w:r>
        <w:rPr>
          <w:rStyle w:val="CharSectno"/>
        </w:rPr>
        <w:t>110</w:t>
      </w:r>
      <w:r>
        <w:rPr>
          <w:snapToGrid w:val="0"/>
        </w:rPr>
        <w:t>.</w:t>
      </w:r>
      <w:r>
        <w:rPr>
          <w:snapToGrid w:val="0"/>
        </w:rPr>
        <w:tab/>
        <w:t>Notice of application</w:t>
      </w:r>
      <w:bookmarkEnd w:id="166"/>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No. 55 of 2004 s. 466(1).]</w:t>
      </w:r>
    </w:p>
    <w:p>
      <w:pPr>
        <w:pStyle w:val="Heading2"/>
      </w:pPr>
      <w:bookmarkStart w:id="167" w:name="_Toc132193462"/>
      <w:bookmarkStart w:id="168" w:name="_Toc132193712"/>
      <w:bookmarkStart w:id="169" w:name="_Toc132299311"/>
      <w:r>
        <w:rPr>
          <w:rStyle w:val="CharPartNo"/>
        </w:rPr>
        <w:lastRenderedPageBreak/>
        <w:t>Part 9A</w:t>
      </w:r>
      <w:r>
        <w:rPr>
          <w:b w:val="0"/>
        </w:rPr>
        <w:t> </w:t>
      </w:r>
      <w:r>
        <w:t>—</w:t>
      </w:r>
      <w:r>
        <w:rPr>
          <w:b w:val="0"/>
        </w:rPr>
        <w:t> </w:t>
      </w:r>
      <w:r>
        <w:rPr>
          <w:rStyle w:val="CharPartText"/>
        </w:rPr>
        <w:t>Enduring powers of guardianship</w:t>
      </w:r>
      <w:bookmarkEnd w:id="167"/>
      <w:bookmarkEnd w:id="168"/>
      <w:bookmarkEnd w:id="169"/>
    </w:p>
    <w:p>
      <w:pPr>
        <w:pStyle w:val="Footnoteheading"/>
      </w:pPr>
      <w:r>
        <w:tab/>
        <w:t>[Heading inserted: No. 25 of 2008 s. 11.]</w:t>
      </w:r>
    </w:p>
    <w:p>
      <w:pPr>
        <w:pStyle w:val="Heading3"/>
      </w:pPr>
      <w:bookmarkStart w:id="170" w:name="_Toc132193463"/>
      <w:bookmarkStart w:id="171" w:name="_Toc132193713"/>
      <w:bookmarkStart w:id="172" w:name="_Toc132299312"/>
      <w:r>
        <w:rPr>
          <w:rStyle w:val="CharDivNo"/>
        </w:rPr>
        <w:t>Division 1</w:t>
      </w:r>
      <w:r>
        <w:t> — </w:t>
      </w:r>
      <w:r>
        <w:rPr>
          <w:rStyle w:val="CharDivText"/>
        </w:rPr>
        <w:t>Preliminary matters</w:t>
      </w:r>
      <w:bookmarkEnd w:id="170"/>
      <w:bookmarkEnd w:id="171"/>
      <w:bookmarkEnd w:id="172"/>
    </w:p>
    <w:p>
      <w:pPr>
        <w:pStyle w:val="Footnoteheading"/>
      </w:pPr>
      <w:r>
        <w:tab/>
        <w:t>[Heading inserted: No. 25 of 2008 s. 11.]</w:t>
      </w:r>
    </w:p>
    <w:p>
      <w:pPr>
        <w:pStyle w:val="Heading5"/>
      </w:pPr>
      <w:bookmarkStart w:id="173" w:name="_Toc132299313"/>
      <w:r>
        <w:rPr>
          <w:rStyle w:val="CharSectno"/>
        </w:rPr>
        <w:t>110A</w:t>
      </w:r>
      <w:r>
        <w:t>.</w:t>
      </w:r>
      <w:r>
        <w:tab/>
        <w:t>Term used: appointor</w:t>
      </w:r>
      <w:bookmarkEnd w:id="173"/>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r>
        <w:tab/>
        <w:t>[Section 110A inserted: No. 25 of 2008 s. 11.]</w:t>
      </w:r>
    </w:p>
    <w:p>
      <w:pPr>
        <w:pStyle w:val="Heading3"/>
      </w:pPr>
      <w:bookmarkStart w:id="174" w:name="_Toc132193465"/>
      <w:bookmarkStart w:id="175" w:name="_Toc132193715"/>
      <w:bookmarkStart w:id="176" w:name="_Toc132299314"/>
      <w:r>
        <w:rPr>
          <w:rStyle w:val="CharDivNo"/>
        </w:rPr>
        <w:t>Division 2</w:t>
      </w:r>
      <w:r>
        <w:t> — </w:t>
      </w:r>
      <w:r>
        <w:rPr>
          <w:rStyle w:val="CharDivText"/>
        </w:rPr>
        <w:t>Making of enduring power of guardianship</w:t>
      </w:r>
      <w:bookmarkEnd w:id="174"/>
      <w:bookmarkEnd w:id="175"/>
      <w:bookmarkEnd w:id="176"/>
    </w:p>
    <w:p>
      <w:pPr>
        <w:pStyle w:val="Footnoteheading"/>
      </w:pPr>
      <w:r>
        <w:tab/>
        <w:t>[Heading inserted: No. 25 of 2008 s. 11.]</w:t>
      </w:r>
    </w:p>
    <w:p>
      <w:pPr>
        <w:pStyle w:val="Heading5"/>
      </w:pPr>
      <w:bookmarkStart w:id="177" w:name="_Toc132299315"/>
      <w:r>
        <w:rPr>
          <w:rStyle w:val="CharSectno"/>
        </w:rPr>
        <w:t>110B.</w:t>
      </w:r>
      <w:r>
        <w:tab/>
        <w:t>Appointing enduring guardian</w:t>
      </w:r>
      <w:bookmarkEnd w:id="177"/>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r>
        <w:tab/>
        <w:t>[Section 110B inserted: No. 25 of 2008 s. 11.]</w:t>
      </w:r>
    </w:p>
    <w:p>
      <w:pPr>
        <w:pStyle w:val="Heading5"/>
      </w:pPr>
      <w:bookmarkStart w:id="178" w:name="_Toc132299316"/>
      <w:r>
        <w:rPr>
          <w:rStyle w:val="CharSectno"/>
        </w:rPr>
        <w:t>110C</w:t>
      </w:r>
      <w:r>
        <w:t>.</w:t>
      </w:r>
      <w:r>
        <w:tab/>
        <w:t>Substitute enduring guardians</w:t>
      </w:r>
      <w:bookmarkEnd w:id="178"/>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r>
        <w:tab/>
        <w:t>[Section 110C inserted: No. 25 of 2008 s. 11.]</w:t>
      </w:r>
    </w:p>
    <w:p>
      <w:pPr>
        <w:pStyle w:val="Heading5"/>
      </w:pPr>
      <w:bookmarkStart w:id="179" w:name="_Toc132299317"/>
      <w:r>
        <w:rPr>
          <w:rStyle w:val="CharSectno"/>
        </w:rPr>
        <w:lastRenderedPageBreak/>
        <w:t>110D</w:t>
      </w:r>
      <w:r>
        <w:t>.</w:t>
      </w:r>
      <w:r>
        <w:tab/>
        <w:t>Who is eligible to be appointed</w:t>
      </w:r>
      <w:bookmarkEnd w:id="179"/>
    </w:p>
    <w:p>
      <w:pPr>
        <w:pStyle w:val="Subsection"/>
      </w:pPr>
      <w:r>
        <w:tab/>
      </w:r>
      <w:r>
        <w:tab/>
        <w:t>A person is eligible to be appointed under section 110B or 110C(1) if the person has reached 18 years of age and has full legal capacity.</w:t>
      </w:r>
    </w:p>
    <w:p>
      <w:pPr>
        <w:pStyle w:val="Footnotesection"/>
      </w:pPr>
      <w:r>
        <w:tab/>
        <w:t>[Section 110D inserted: No. 25 of 2008 s. 11.]</w:t>
      </w:r>
    </w:p>
    <w:p>
      <w:pPr>
        <w:pStyle w:val="Heading5"/>
      </w:pPr>
      <w:bookmarkStart w:id="180" w:name="_Toc132299318"/>
      <w:r>
        <w:rPr>
          <w:rStyle w:val="CharSectno"/>
        </w:rPr>
        <w:t>110E</w:t>
      </w:r>
      <w:r>
        <w:t>.</w:t>
      </w:r>
      <w:r>
        <w:tab/>
        <w:t>Formal requirements</w:t>
      </w:r>
      <w:bookmarkEnd w:id="180"/>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lastRenderedPageBreak/>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r>
        <w:tab/>
        <w:t>[Section 110E inserted: No. 25 of 2008 s. 11.]</w:t>
      </w:r>
    </w:p>
    <w:p>
      <w:pPr>
        <w:pStyle w:val="Heading3"/>
        <w:keepLines/>
      </w:pPr>
      <w:bookmarkStart w:id="181" w:name="_Toc132193470"/>
      <w:bookmarkStart w:id="182" w:name="_Toc132193720"/>
      <w:bookmarkStart w:id="183" w:name="_Toc132299319"/>
      <w:r>
        <w:rPr>
          <w:rStyle w:val="CharDivNo"/>
        </w:rPr>
        <w:lastRenderedPageBreak/>
        <w:t>Division 3</w:t>
      </w:r>
      <w:r>
        <w:t> — </w:t>
      </w:r>
      <w:r>
        <w:rPr>
          <w:rStyle w:val="CharDivText"/>
        </w:rPr>
        <w:t>Operation of enduring power of guardianship</w:t>
      </w:r>
      <w:bookmarkEnd w:id="181"/>
      <w:bookmarkEnd w:id="182"/>
      <w:bookmarkEnd w:id="183"/>
    </w:p>
    <w:p>
      <w:pPr>
        <w:pStyle w:val="Footnoteheading"/>
        <w:keepNext/>
        <w:keepLines/>
      </w:pPr>
      <w:r>
        <w:tab/>
        <w:t>[Heading inserted: No. 25 of 2008 s. 11.]</w:t>
      </w:r>
    </w:p>
    <w:p>
      <w:pPr>
        <w:pStyle w:val="Heading5"/>
      </w:pPr>
      <w:bookmarkStart w:id="184" w:name="_Toc132299320"/>
      <w:r>
        <w:rPr>
          <w:rStyle w:val="CharSectno"/>
        </w:rPr>
        <w:t>110F</w:t>
      </w:r>
      <w:r>
        <w:t>.</w:t>
      </w:r>
      <w:r>
        <w:tab/>
        <w:t>When enduring guardian may act</w:t>
      </w:r>
      <w:bookmarkEnd w:id="184"/>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r>
        <w:tab/>
        <w:t>[Section 110F inserted: No. 25 of 2008 s. 11.]</w:t>
      </w:r>
    </w:p>
    <w:p>
      <w:pPr>
        <w:pStyle w:val="Heading5"/>
      </w:pPr>
      <w:bookmarkStart w:id="185" w:name="_Toc132299321"/>
      <w:r>
        <w:rPr>
          <w:rStyle w:val="CharSectno"/>
        </w:rPr>
        <w:t>110G</w:t>
      </w:r>
      <w:r>
        <w:t>.</w:t>
      </w:r>
      <w:r>
        <w:tab/>
        <w:t>Functions generally</w:t>
      </w:r>
      <w:bookmarkEnd w:id="185"/>
    </w:p>
    <w:p>
      <w:pPr>
        <w:pStyle w:val="Subsection"/>
      </w:pPr>
      <w:r>
        <w:tab/>
        <w:t>(1)</w:t>
      </w:r>
      <w:r>
        <w:tab/>
        <w:t xml:space="preserve">Subject to this section, an enduring guardian has the same functions under section 45(1) and (2), and is subject to the same limitations under </w:t>
      </w:r>
      <w:r>
        <w:rPr>
          <w:color w:val="000000" w:themeColor="text1"/>
        </w:rPr>
        <w:t xml:space="preserve">sections 45(3), (4A) and (4), 110ZR and 110ZT, </w:t>
      </w:r>
      <w:r>
        <w:t>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r>
        <w:tab/>
        <w:t>[Section 110G inserted: No. 25 of 2008 s. 11; amended: No. 17 of 2014 s. 22(5); No. 14 of 2020 s. 10.]</w:t>
      </w:r>
    </w:p>
    <w:p>
      <w:pPr>
        <w:pStyle w:val="Heading5"/>
      </w:pPr>
      <w:bookmarkStart w:id="186" w:name="_Toc132299322"/>
      <w:r>
        <w:rPr>
          <w:rStyle w:val="CharSectno"/>
        </w:rPr>
        <w:t>110H</w:t>
      </w:r>
      <w:r>
        <w:t>.</w:t>
      </w:r>
      <w:r>
        <w:tab/>
        <w:t>Certain provisions apply in relation to enduring guardian and appointor</w:t>
      </w:r>
      <w:bookmarkEnd w:id="186"/>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lastRenderedPageBreak/>
        <w:tab/>
        <w:t>(b)</w:t>
      </w:r>
      <w:r>
        <w:tab/>
        <w:t>section 53(a);</w:t>
      </w:r>
    </w:p>
    <w:p>
      <w:pPr>
        <w:pStyle w:val="Indenta"/>
      </w:pPr>
      <w:r>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r>
        <w:tab/>
        <w:t>[Section 110H inserted: No. 25 of 2008 s. 11.]</w:t>
      </w:r>
    </w:p>
    <w:p>
      <w:pPr>
        <w:pStyle w:val="Heading5"/>
      </w:pPr>
      <w:bookmarkStart w:id="187" w:name="_Toc132299323"/>
      <w:r>
        <w:rPr>
          <w:rStyle w:val="CharSectno"/>
        </w:rPr>
        <w:t>110I</w:t>
      </w:r>
      <w:r>
        <w:t>.</w:t>
      </w:r>
      <w:r>
        <w:tab/>
        <w:t>Priority of enduring power of guardianship</w:t>
      </w:r>
      <w:bookmarkEnd w:id="187"/>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rPr>
          <w:color w:val="000000" w:themeColor="text1"/>
        </w:rPr>
        <w:tab/>
        <w:t>(1A)</w:t>
      </w:r>
      <w:r>
        <w:rPr>
          <w:color w:val="000000" w:themeColor="text1"/>
        </w:rPr>
        <w:tab/>
        <w:t>To the extent an enduring power of guardianship relates to the making of a research decision in relation to the appointor, the power may be exercised only if the enduring guardian is the research decision</w:t>
      </w:r>
      <w:r>
        <w:rPr>
          <w:color w:val="000000" w:themeColor="text1"/>
        </w:rPr>
        <w:noBreakHyphen/>
        <w:t>maker for the appointor.</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r>
        <w:tab/>
        <w:t>[Section 110I inserted: No. 25 of 2008 s. 11; amended: No. 14 of 2020 s. 11.]</w:t>
      </w:r>
    </w:p>
    <w:p>
      <w:pPr>
        <w:pStyle w:val="Heading3"/>
      </w:pPr>
      <w:bookmarkStart w:id="188" w:name="_Toc132193475"/>
      <w:bookmarkStart w:id="189" w:name="_Toc132193725"/>
      <w:bookmarkStart w:id="190" w:name="_Toc132299324"/>
      <w:r>
        <w:rPr>
          <w:rStyle w:val="CharDivNo"/>
        </w:rPr>
        <w:t>Division 4</w:t>
      </w:r>
      <w:r>
        <w:t> — </w:t>
      </w:r>
      <w:r>
        <w:rPr>
          <w:rStyle w:val="CharDivText"/>
        </w:rPr>
        <w:t>Jurisdiction of State Administrative Tribunal</w:t>
      </w:r>
      <w:bookmarkEnd w:id="188"/>
      <w:bookmarkEnd w:id="189"/>
      <w:bookmarkEnd w:id="190"/>
    </w:p>
    <w:p>
      <w:pPr>
        <w:pStyle w:val="Footnoteheading"/>
      </w:pPr>
      <w:r>
        <w:tab/>
        <w:t>[Heading inserted: No. 25 of 2008 s. 11.]</w:t>
      </w:r>
    </w:p>
    <w:p>
      <w:pPr>
        <w:pStyle w:val="Heading5"/>
      </w:pPr>
      <w:bookmarkStart w:id="191" w:name="_Toc132299325"/>
      <w:r>
        <w:rPr>
          <w:rStyle w:val="CharSectno"/>
        </w:rPr>
        <w:t>110J</w:t>
      </w:r>
      <w:r>
        <w:t>.</w:t>
      </w:r>
      <w:r>
        <w:tab/>
        <w:t>Who may apply</w:t>
      </w:r>
      <w:bookmarkEnd w:id="191"/>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110J inserted: No. 25 of 2008 s. 11.]</w:t>
      </w:r>
    </w:p>
    <w:p>
      <w:pPr>
        <w:pStyle w:val="Heading5"/>
      </w:pPr>
      <w:bookmarkStart w:id="192" w:name="_Toc132299326"/>
      <w:r>
        <w:rPr>
          <w:rStyle w:val="CharSectno"/>
        </w:rPr>
        <w:lastRenderedPageBreak/>
        <w:t>110K</w:t>
      </w:r>
      <w:r>
        <w:t>.</w:t>
      </w:r>
      <w:r>
        <w:tab/>
        <w:t>Declaration about validity of enduring power of guardianship</w:t>
      </w:r>
      <w:bookmarkEnd w:id="192"/>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r>
        <w:tab/>
        <w:t>[Section 110K inserted: No. 25 of 2008 s. 11.]</w:t>
      </w:r>
    </w:p>
    <w:p>
      <w:pPr>
        <w:pStyle w:val="Heading5"/>
      </w:pPr>
      <w:bookmarkStart w:id="193" w:name="_Toc132299327"/>
      <w:r>
        <w:rPr>
          <w:rStyle w:val="CharSectno"/>
        </w:rPr>
        <w:t>110L</w:t>
      </w:r>
      <w:r>
        <w:t>.</w:t>
      </w:r>
      <w:r>
        <w:tab/>
        <w:t>Declaration of incapacity of appointor</w:t>
      </w:r>
      <w:bookmarkEnd w:id="193"/>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110L inserted: No. 25 of 2008 s. 11.]</w:t>
      </w:r>
    </w:p>
    <w:p>
      <w:pPr>
        <w:pStyle w:val="Heading5"/>
      </w:pPr>
      <w:bookmarkStart w:id="194" w:name="_Toc132299328"/>
      <w:r>
        <w:rPr>
          <w:rStyle w:val="CharSectno"/>
        </w:rPr>
        <w:t>110M</w:t>
      </w:r>
      <w:r>
        <w:t>.</w:t>
      </w:r>
      <w:r>
        <w:tab/>
        <w:t>Directions as to construction of terms etc.</w:t>
      </w:r>
      <w:bookmarkEnd w:id="194"/>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r>
        <w:tab/>
        <w:t>[Section 110M inserted: No. 25 of 2008 s. 11.]</w:t>
      </w:r>
    </w:p>
    <w:p>
      <w:pPr>
        <w:pStyle w:val="Heading5"/>
      </w:pPr>
      <w:bookmarkStart w:id="195" w:name="_Toc132299329"/>
      <w:r>
        <w:rPr>
          <w:rStyle w:val="CharSectno"/>
        </w:rPr>
        <w:t>110N</w:t>
      </w:r>
      <w:r>
        <w:t>.</w:t>
      </w:r>
      <w:r>
        <w:tab/>
        <w:t>Revocation or variation of enduring power of guardianship</w:t>
      </w:r>
      <w:bookmarkEnd w:id="195"/>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lastRenderedPageBreak/>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r>
        <w:tab/>
        <w:t>[Section 110N inserted: No. 25 of 2008 s. 11.]</w:t>
      </w:r>
    </w:p>
    <w:p>
      <w:pPr>
        <w:pStyle w:val="Heading5"/>
      </w:pPr>
      <w:bookmarkStart w:id="196" w:name="_Toc132299330"/>
      <w:r>
        <w:rPr>
          <w:rStyle w:val="CharSectno"/>
        </w:rPr>
        <w:t>110O</w:t>
      </w:r>
      <w:r>
        <w:t>.</w:t>
      </w:r>
      <w:r>
        <w:tab/>
        <w:t>Recognition of instrument created in another jurisdiction</w:t>
      </w:r>
      <w:bookmarkEnd w:id="196"/>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r>
        <w:tab/>
        <w:t>[Section 110O inserted: No. 25 of 2008 s. 11.]</w:t>
      </w:r>
    </w:p>
    <w:p>
      <w:pPr>
        <w:pStyle w:val="Heading2"/>
      </w:pPr>
      <w:bookmarkStart w:id="197" w:name="_Toc132193482"/>
      <w:bookmarkStart w:id="198" w:name="_Toc132193732"/>
      <w:bookmarkStart w:id="199" w:name="_Toc132299331"/>
      <w:r>
        <w:rPr>
          <w:rStyle w:val="CharPartNo"/>
        </w:rPr>
        <w:lastRenderedPageBreak/>
        <w:t>Part 9B</w:t>
      </w:r>
      <w:r>
        <w:rPr>
          <w:b w:val="0"/>
        </w:rPr>
        <w:t> </w:t>
      </w:r>
      <w:r>
        <w:t>—</w:t>
      </w:r>
      <w:r>
        <w:rPr>
          <w:b w:val="0"/>
        </w:rPr>
        <w:t> </w:t>
      </w:r>
      <w:r>
        <w:rPr>
          <w:rStyle w:val="CharPartText"/>
        </w:rPr>
        <w:t>Advance health directives</w:t>
      </w:r>
      <w:bookmarkEnd w:id="197"/>
      <w:bookmarkEnd w:id="198"/>
      <w:bookmarkEnd w:id="199"/>
    </w:p>
    <w:p>
      <w:pPr>
        <w:pStyle w:val="Footnoteheading"/>
      </w:pPr>
      <w:r>
        <w:tab/>
        <w:t>[Heading inserted: No. 25 of 2008 s. 11.]</w:t>
      </w:r>
    </w:p>
    <w:p>
      <w:pPr>
        <w:pStyle w:val="Heading3"/>
      </w:pPr>
      <w:bookmarkStart w:id="200" w:name="_Toc132193483"/>
      <w:bookmarkStart w:id="201" w:name="_Toc132193733"/>
      <w:bookmarkStart w:id="202" w:name="_Toc132299332"/>
      <w:r>
        <w:rPr>
          <w:rStyle w:val="CharDivNo"/>
        </w:rPr>
        <w:t>Division 1</w:t>
      </w:r>
      <w:r>
        <w:t> — </w:t>
      </w:r>
      <w:r>
        <w:rPr>
          <w:rStyle w:val="CharDivText"/>
        </w:rPr>
        <w:t>Making of advance health directive</w:t>
      </w:r>
      <w:bookmarkEnd w:id="200"/>
      <w:bookmarkEnd w:id="201"/>
      <w:bookmarkEnd w:id="202"/>
    </w:p>
    <w:p>
      <w:pPr>
        <w:pStyle w:val="Footnoteheading"/>
      </w:pPr>
      <w:r>
        <w:tab/>
        <w:t>[Heading inserted: No. 25 of 2008 s. 11.]</w:t>
      </w:r>
    </w:p>
    <w:p>
      <w:pPr>
        <w:pStyle w:val="Heading5"/>
      </w:pPr>
      <w:bookmarkStart w:id="203" w:name="_Toc132299333"/>
      <w:r>
        <w:rPr>
          <w:rStyle w:val="CharSectno"/>
        </w:rPr>
        <w:t>110P</w:t>
      </w:r>
      <w:r>
        <w:t>.</w:t>
      </w:r>
      <w:r>
        <w:tab/>
        <w:t>Making advance health directive</w:t>
      </w:r>
      <w:bookmarkEnd w:id="203"/>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r>
        <w:tab/>
        <w:t>[Section 110P inserted: No. 25 of 2008 s. 11.]</w:t>
      </w:r>
    </w:p>
    <w:p>
      <w:pPr>
        <w:pStyle w:val="Heading5"/>
      </w:pPr>
      <w:bookmarkStart w:id="204" w:name="_Toc132299334"/>
      <w:r>
        <w:rPr>
          <w:rStyle w:val="CharSectno"/>
        </w:rPr>
        <w:t>110Q</w:t>
      </w:r>
      <w:r>
        <w:t>.</w:t>
      </w:r>
      <w:r>
        <w:tab/>
        <w:t>Formal requirements</w:t>
      </w:r>
      <w:bookmarkEnd w:id="204"/>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tab/>
        <w:t>(e)</w:t>
      </w:r>
      <w:r>
        <w:tab/>
        <w:t xml:space="preserve">it is signed by the witnesses in the presence of — </w:t>
      </w:r>
    </w:p>
    <w:p>
      <w:pPr>
        <w:pStyle w:val="Indenti"/>
      </w:pPr>
      <w:r>
        <w:lastRenderedPageBreak/>
        <w:tab/>
        <w:t>(i)</w:t>
      </w:r>
      <w:r>
        <w:tab/>
        <w:t>its maker; and</w:t>
      </w:r>
    </w:p>
    <w:p>
      <w:pPr>
        <w:pStyle w:val="Indenti"/>
      </w:pPr>
      <w:r>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r>
        <w:tab/>
        <w:t>[Section 110Q inserted: No. 25 of 2008 s. 11.]</w:t>
      </w:r>
    </w:p>
    <w:p>
      <w:pPr>
        <w:pStyle w:val="Heading5"/>
      </w:pPr>
      <w:bookmarkStart w:id="205" w:name="_Toc132299335"/>
      <w:r>
        <w:rPr>
          <w:rStyle w:val="CharSectno"/>
        </w:rPr>
        <w:t>110QA</w:t>
      </w:r>
      <w:r>
        <w:t>.</w:t>
      </w:r>
      <w:r>
        <w:tab/>
        <w:t>Maker may indicate in directive whether advice obtained</w:t>
      </w:r>
      <w:bookmarkEnd w:id="205"/>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r>
        <w:tab/>
        <w:t>[Section 110QA inserted: No. 25 of 2008 s. 11.]</w:t>
      </w:r>
    </w:p>
    <w:p>
      <w:pPr>
        <w:pStyle w:val="Heading5"/>
      </w:pPr>
      <w:bookmarkStart w:id="206" w:name="_Toc132299336"/>
      <w:r>
        <w:rPr>
          <w:rStyle w:val="CharSectno"/>
        </w:rPr>
        <w:t>110R</w:t>
      </w:r>
      <w:r>
        <w:t>.</w:t>
      </w:r>
      <w:r>
        <w:tab/>
        <w:t>Requirements in relation to treatment decision in advance health directive</w:t>
      </w:r>
      <w:bookmarkEnd w:id="206"/>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tab/>
        <w:t>(b)</w:t>
      </w:r>
      <w:r>
        <w:tab/>
        <w:t>is made as a result of inducement or coercion.</w:t>
      </w:r>
    </w:p>
    <w:p>
      <w:pPr>
        <w:pStyle w:val="Subsection"/>
      </w:pPr>
      <w:r>
        <w:lastRenderedPageBreak/>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r>
        <w:tab/>
        <w:t>[Section 110R inserted: No. 25 of 2008 s. 11.]</w:t>
      </w:r>
    </w:p>
    <w:p>
      <w:pPr>
        <w:pStyle w:val="Ednotesection"/>
        <w:ind w:left="890" w:hanging="890"/>
      </w:pPr>
      <w:r>
        <w:t>[</w:t>
      </w:r>
      <w:r>
        <w:rPr>
          <w:b/>
          <w:bCs/>
        </w:rPr>
        <w:t>110RA.</w:t>
      </w:r>
      <w:r>
        <w:tab/>
        <w:t>Has not come into operation.]</w:t>
      </w:r>
    </w:p>
    <w:p>
      <w:pPr>
        <w:pStyle w:val="Heading3"/>
      </w:pPr>
      <w:bookmarkStart w:id="207" w:name="_Toc132193488"/>
      <w:bookmarkStart w:id="208" w:name="_Toc132193738"/>
      <w:bookmarkStart w:id="209" w:name="_Toc132299337"/>
      <w:r>
        <w:rPr>
          <w:rStyle w:val="CharDivNo"/>
        </w:rPr>
        <w:t>Division 2</w:t>
      </w:r>
      <w:r>
        <w:t> — </w:t>
      </w:r>
      <w:r>
        <w:rPr>
          <w:rStyle w:val="CharDivText"/>
        </w:rPr>
        <w:t>Operation of advance health directive</w:t>
      </w:r>
      <w:bookmarkEnd w:id="207"/>
      <w:bookmarkEnd w:id="208"/>
      <w:bookmarkEnd w:id="209"/>
    </w:p>
    <w:p>
      <w:pPr>
        <w:pStyle w:val="Footnoteheading"/>
      </w:pPr>
      <w:r>
        <w:tab/>
        <w:t>[Heading inserted: No. 25 of 2008 s. 11.]</w:t>
      </w:r>
    </w:p>
    <w:p>
      <w:pPr>
        <w:pStyle w:val="Heading5"/>
      </w:pPr>
      <w:bookmarkStart w:id="210" w:name="_Toc132299338"/>
      <w:r>
        <w:rPr>
          <w:rStyle w:val="CharSectno"/>
        </w:rPr>
        <w:t>110S</w:t>
      </w:r>
      <w:r>
        <w:t>.</w:t>
      </w:r>
      <w:r>
        <w:tab/>
        <w:t>Operation generally</w:t>
      </w:r>
      <w:bookmarkEnd w:id="210"/>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tab/>
        <w:t>(b)</w:t>
      </w:r>
      <w:r>
        <w:tab/>
        <w:t>would have caused a reasonable person in the maker’s position to have changed his or her mind about the treatment decision.</w:t>
      </w:r>
    </w:p>
    <w:p>
      <w:pPr>
        <w:pStyle w:val="Subsection"/>
      </w:pPr>
      <w:r>
        <w:lastRenderedPageBreak/>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Footnotesection"/>
      </w:pPr>
      <w:r>
        <w:tab/>
        <w:t>[Section 110S inserted: No. 25 of 2008 s. 11.]</w:t>
      </w:r>
    </w:p>
    <w:p>
      <w:pPr>
        <w:pStyle w:val="Heading5"/>
      </w:pPr>
      <w:bookmarkStart w:id="211" w:name="_Toc132299339"/>
      <w:r>
        <w:rPr>
          <w:rStyle w:val="CharSectno"/>
        </w:rPr>
        <w:lastRenderedPageBreak/>
        <w:t>110T</w:t>
      </w:r>
      <w:r>
        <w:t>.</w:t>
      </w:r>
      <w:r>
        <w:tab/>
        <w:t>Effect of subsequent enduring power of guardianship</w:t>
      </w:r>
      <w:bookmarkEnd w:id="211"/>
    </w:p>
    <w:p>
      <w:pPr>
        <w:pStyle w:val="Subsection"/>
        <w:keepNext/>
      </w:pPr>
      <w:r>
        <w:tab/>
      </w:r>
      <w:r>
        <w:tab/>
        <w:t xml:space="preserve">For the purposes of this Act — </w:t>
      </w:r>
    </w:p>
    <w:p>
      <w:pPr>
        <w:pStyle w:val="Indenta"/>
        <w:keepNext/>
      </w:pPr>
      <w:r>
        <w:tab/>
        <w:t>(a)</w:t>
      </w:r>
      <w:r>
        <w:tab/>
        <w:t>a treatment decision in an advance health directive is not taken to have been revoked; and</w:t>
      </w:r>
    </w:p>
    <w:p>
      <w:pPr>
        <w:pStyle w:val="Indenta"/>
        <w:keepNext/>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r>
        <w:tab/>
        <w:t>[Section 110T inserted: No. 25 of 2008 s. 11.]</w:t>
      </w:r>
    </w:p>
    <w:p>
      <w:pPr>
        <w:pStyle w:val="Heading5"/>
      </w:pPr>
      <w:bookmarkStart w:id="212" w:name="_Toc132299340"/>
      <w:r>
        <w:rPr>
          <w:rStyle w:val="CharSectno"/>
        </w:rPr>
        <w:t>110U</w:t>
      </w:r>
      <w:r>
        <w:t>.</w:t>
      </w:r>
      <w:r>
        <w:tab/>
        <w:t>Priority of treatment decision in advance health directive</w:t>
      </w:r>
      <w:bookmarkEnd w:id="212"/>
    </w:p>
    <w:p>
      <w:pPr>
        <w:pStyle w:val="Subsection"/>
      </w:pPr>
      <w:r>
        <w:tab/>
      </w:r>
      <w:r>
        <w:tab/>
        <w:t>The priority to be given to a treatment decision in an advance health directive is determined in accordance with section 110ZJ.</w:t>
      </w:r>
    </w:p>
    <w:p>
      <w:pPr>
        <w:pStyle w:val="Footnotesection"/>
      </w:pPr>
      <w:r>
        <w:tab/>
        <w:t>[Section 110U inserted: No. 25 of 2008 s. 11.]</w:t>
      </w:r>
    </w:p>
    <w:p>
      <w:pPr>
        <w:pStyle w:val="Heading3"/>
      </w:pPr>
      <w:bookmarkStart w:id="213" w:name="_Toc132193492"/>
      <w:bookmarkStart w:id="214" w:name="_Toc132193742"/>
      <w:bookmarkStart w:id="215" w:name="_Toc132299341"/>
      <w:r>
        <w:rPr>
          <w:rStyle w:val="CharDivNo"/>
        </w:rPr>
        <w:t>Division 3</w:t>
      </w:r>
      <w:r>
        <w:t> — </w:t>
      </w:r>
      <w:r>
        <w:rPr>
          <w:rStyle w:val="CharDivText"/>
        </w:rPr>
        <w:t>Jurisdiction of State Administrative Tribunal</w:t>
      </w:r>
      <w:bookmarkEnd w:id="213"/>
      <w:bookmarkEnd w:id="214"/>
      <w:bookmarkEnd w:id="215"/>
    </w:p>
    <w:p>
      <w:pPr>
        <w:pStyle w:val="Footnoteheading"/>
      </w:pPr>
      <w:r>
        <w:tab/>
        <w:t>[Heading inserted: No. 25 of 2008 s. 11.]</w:t>
      </w:r>
    </w:p>
    <w:p>
      <w:pPr>
        <w:pStyle w:val="Heading5"/>
      </w:pPr>
      <w:bookmarkStart w:id="216" w:name="_Toc132299342"/>
      <w:r>
        <w:rPr>
          <w:rStyle w:val="CharSectno"/>
        </w:rPr>
        <w:t>110V</w:t>
      </w:r>
      <w:r>
        <w:t>.</w:t>
      </w:r>
      <w:r>
        <w:tab/>
        <w:t>Who may apply</w:t>
      </w:r>
      <w:bookmarkEnd w:id="216"/>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110V inserted: No. 25 of 2008 s. 11.]</w:t>
      </w:r>
    </w:p>
    <w:p>
      <w:pPr>
        <w:pStyle w:val="Heading5"/>
      </w:pPr>
      <w:bookmarkStart w:id="217" w:name="_Toc132299343"/>
      <w:r>
        <w:rPr>
          <w:rStyle w:val="CharSectno"/>
        </w:rPr>
        <w:t>110W</w:t>
      </w:r>
      <w:r>
        <w:t>.</w:t>
      </w:r>
      <w:r>
        <w:tab/>
        <w:t>Declaration about validity of directive or treatment decision</w:t>
      </w:r>
      <w:bookmarkEnd w:id="217"/>
    </w:p>
    <w:p>
      <w:pPr>
        <w:pStyle w:val="Subsection"/>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lastRenderedPageBreak/>
        <w:tab/>
        <w:t>(2)</w:t>
      </w:r>
      <w:r>
        <w:tab/>
        <w:t>A declaration made under subsection (1) has effect according to its terms.</w:t>
      </w:r>
    </w:p>
    <w:p>
      <w:pPr>
        <w:pStyle w:val="Footnotesection"/>
      </w:pPr>
      <w:r>
        <w:tab/>
        <w:t>[Section 110W inserted: No. 25 of 2008 s. 11.]</w:t>
      </w:r>
    </w:p>
    <w:p>
      <w:pPr>
        <w:pStyle w:val="Heading5"/>
      </w:pPr>
      <w:bookmarkStart w:id="218" w:name="_Toc132299344"/>
      <w:r>
        <w:rPr>
          <w:rStyle w:val="CharSectno"/>
        </w:rPr>
        <w:t>110X</w:t>
      </w:r>
      <w:r>
        <w:t>.</w:t>
      </w:r>
      <w:r>
        <w:tab/>
        <w:t>Declaration of incapacity of maker</w:t>
      </w:r>
      <w:bookmarkEnd w:id="218"/>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110X inserted: No. 25 of 2008 s. 11.]</w:t>
      </w:r>
    </w:p>
    <w:p>
      <w:pPr>
        <w:pStyle w:val="Heading5"/>
      </w:pPr>
      <w:bookmarkStart w:id="219" w:name="_Toc132299345"/>
      <w:r>
        <w:rPr>
          <w:rStyle w:val="CharSectno"/>
        </w:rPr>
        <w:t>110Y</w:t>
      </w:r>
      <w:r>
        <w:t>.</w:t>
      </w:r>
      <w:r>
        <w:tab/>
        <w:t>Directions as to construction of terms etc.</w:t>
      </w:r>
      <w:bookmarkEnd w:id="219"/>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r>
        <w:tab/>
        <w:t>[Section 110Y inserted: No. 25 of 2008 s. 11.]</w:t>
      </w:r>
    </w:p>
    <w:p>
      <w:pPr>
        <w:pStyle w:val="Heading5"/>
      </w:pPr>
      <w:bookmarkStart w:id="220" w:name="_Toc132299346"/>
      <w:r>
        <w:rPr>
          <w:rStyle w:val="CharSectno"/>
        </w:rPr>
        <w:t>110Z</w:t>
      </w:r>
      <w:r>
        <w:t>.</w:t>
      </w:r>
      <w:r>
        <w:tab/>
        <w:t>Declaration that treatment decision has been revoked</w:t>
      </w:r>
      <w:bookmarkEnd w:id="220"/>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lastRenderedPageBreak/>
        <w:tab/>
        <w:t>(3)</w:t>
      </w:r>
      <w:r>
        <w:tab/>
        <w:t>The Tribunal may revoke a declaration made under subsection (1).</w:t>
      </w:r>
    </w:p>
    <w:p>
      <w:pPr>
        <w:pStyle w:val="Footnotesection"/>
        <w:keepNext/>
      </w:pPr>
      <w:r>
        <w:tab/>
        <w:t>[Section 110Z inserted: No. 25 of 2008 s. 11.]</w:t>
      </w:r>
    </w:p>
    <w:p>
      <w:pPr>
        <w:pStyle w:val="Heading5"/>
      </w:pPr>
      <w:bookmarkStart w:id="221" w:name="_Toc132299347"/>
      <w:r>
        <w:rPr>
          <w:rStyle w:val="CharSectno"/>
        </w:rPr>
        <w:t>110ZA</w:t>
      </w:r>
      <w:r>
        <w:t>.</w:t>
      </w:r>
      <w:r>
        <w:tab/>
        <w:t>Recognition of instrument created in another jurisdiction</w:t>
      </w:r>
      <w:bookmarkEnd w:id="221"/>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r>
        <w:tab/>
        <w:t>[Section 110ZA inserted: No. 25 of 2008 s. 11.]</w:t>
      </w:r>
    </w:p>
    <w:p>
      <w:pPr>
        <w:pStyle w:val="Heading3"/>
      </w:pPr>
      <w:bookmarkStart w:id="222" w:name="_Toc132193499"/>
      <w:bookmarkStart w:id="223" w:name="_Toc132193749"/>
      <w:bookmarkStart w:id="224" w:name="_Toc132299348"/>
      <w:r>
        <w:rPr>
          <w:rStyle w:val="CharDivNo"/>
        </w:rPr>
        <w:t>Division 4</w:t>
      </w:r>
      <w:r>
        <w:t> — </w:t>
      </w:r>
      <w:r>
        <w:rPr>
          <w:rStyle w:val="CharDivText"/>
        </w:rPr>
        <w:t>Miscellaneous matters</w:t>
      </w:r>
      <w:bookmarkEnd w:id="222"/>
      <w:bookmarkEnd w:id="223"/>
      <w:bookmarkEnd w:id="224"/>
    </w:p>
    <w:p>
      <w:pPr>
        <w:pStyle w:val="Footnoteheading"/>
      </w:pPr>
      <w:r>
        <w:tab/>
        <w:t>[Heading inserted: No. 25 of 2008 s. 11.]</w:t>
      </w:r>
    </w:p>
    <w:p>
      <w:pPr>
        <w:pStyle w:val="Ednotesection"/>
      </w:pPr>
      <w:r>
        <w:t>[</w:t>
      </w:r>
      <w:r>
        <w:rPr>
          <w:b/>
          <w:bCs/>
        </w:rPr>
        <w:t>110ZAA, 110ZAB, 110ZAC.</w:t>
      </w:r>
      <w:r>
        <w:rPr>
          <w:b/>
          <w:bCs/>
        </w:rPr>
        <w:tab/>
      </w:r>
      <w:r>
        <w:tab/>
        <w:t>Have not come into operation.]</w:t>
      </w:r>
    </w:p>
    <w:p>
      <w:pPr>
        <w:pStyle w:val="Heading5"/>
      </w:pPr>
      <w:bookmarkStart w:id="225" w:name="_Toc132299349"/>
      <w:r>
        <w:rPr>
          <w:rStyle w:val="CharSectno"/>
        </w:rPr>
        <w:t>110ZB</w:t>
      </w:r>
      <w:r>
        <w:t>.</w:t>
      </w:r>
      <w:r>
        <w:tab/>
        <w:t>Common law preserved</w:t>
      </w:r>
      <w:bookmarkEnd w:id="225"/>
    </w:p>
    <w:p>
      <w:pPr>
        <w:pStyle w:val="Subsection"/>
      </w:pPr>
      <w:r>
        <w:tab/>
      </w:r>
      <w:r>
        <w:tab/>
        <w:t>This Part does not affect the common law relating to a person’s entitlement to make treatment decisions in respect of the person’s future treatment.</w:t>
      </w:r>
    </w:p>
    <w:p>
      <w:pPr>
        <w:pStyle w:val="Footnotesection"/>
      </w:pPr>
      <w:r>
        <w:tab/>
        <w:t>[Section 110ZB inserted: No. 25 of 2008 s. 11.]</w:t>
      </w:r>
    </w:p>
    <w:p>
      <w:pPr>
        <w:pStyle w:val="Heading2"/>
      </w:pPr>
      <w:bookmarkStart w:id="226" w:name="_Toc132193501"/>
      <w:bookmarkStart w:id="227" w:name="_Toc132193751"/>
      <w:bookmarkStart w:id="228" w:name="_Toc132299350"/>
      <w:r>
        <w:rPr>
          <w:rStyle w:val="CharPartNo"/>
        </w:rPr>
        <w:lastRenderedPageBreak/>
        <w:t>Part 9C</w:t>
      </w:r>
      <w:r>
        <w:rPr>
          <w:b w:val="0"/>
        </w:rPr>
        <w:t> </w:t>
      </w:r>
      <w:r>
        <w:t>—</w:t>
      </w:r>
      <w:r>
        <w:rPr>
          <w:b w:val="0"/>
        </w:rPr>
        <w:t> </w:t>
      </w:r>
      <w:r>
        <w:rPr>
          <w:rStyle w:val="CharPartText"/>
        </w:rPr>
        <w:t>Persons responsible for patients</w:t>
      </w:r>
      <w:bookmarkEnd w:id="226"/>
      <w:bookmarkEnd w:id="227"/>
      <w:bookmarkEnd w:id="228"/>
    </w:p>
    <w:p>
      <w:pPr>
        <w:pStyle w:val="Footnoteheading"/>
      </w:pPr>
      <w:r>
        <w:tab/>
        <w:t>[Heading inserted: No. 25 of 2008 s. 11.]</w:t>
      </w:r>
    </w:p>
    <w:p>
      <w:pPr>
        <w:pStyle w:val="Heading3"/>
      </w:pPr>
      <w:bookmarkStart w:id="229" w:name="_Toc132193502"/>
      <w:bookmarkStart w:id="230" w:name="_Toc132193752"/>
      <w:bookmarkStart w:id="231" w:name="_Toc132299351"/>
      <w:r>
        <w:rPr>
          <w:rStyle w:val="CharDivNo"/>
        </w:rPr>
        <w:t>Division 1</w:t>
      </w:r>
      <w:r>
        <w:t> — </w:t>
      </w:r>
      <w:r>
        <w:rPr>
          <w:rStyle w:val="CharDivText"/>
        </w:rPr>
        <w:t>Preliminary matters</w:t>
      </w:r>
      <w:bookmarkEnd w:id="229"/>
      <w:bookmarkEnd w:id="230"/>
      <w:bookmarkEnd w:id="231"/>
    </w:p>
    <w:p>
      <w:pPr>
        <w:pStyle w:val="Footnoteheading"/>
      </w:pPr>
      <w:r>
        <w:tab/>
        <w:t>[Heading inserted: No. 25 of 2008 s. 11.]</w:t>
      </w:r>
    </w:p>
    <w:p>
      <w:pPr>
        <w:pStyle w:val="Heading5"/>
      </w:pPr>
      <w:bookmarkStart w:id="232" w:name="_Toc132299352"/>
      <w:r>
        <w:rPr>
          <w:rStyle w:val="CharSectno"/>
        </w:rPr>
        <w:t>110ZC</w:t>
      </w:r>
      <w:r>
        <w:t>.</w:t>
      </w:r>
      <w:r>
        <w:tab/>
      </w:r>
      <w:r>
        <w:rPr>
          <w:szCs w:val="22"/>
        </w:rPr>
        <w:t>Term used: patient</w:t>
      </w:r>
      <w:bookmarkEnd w:id="232"/>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r>
        <w:tab/>
        <w:t>[Section 110ZC inserted: No. 25 of 2008 s. 11.]</w:t>
      </w:r>
    </w:p>
    <w:p>
      <w:pPr>
        <w:pStyle w:val="Heading3"/>
      </w:pPr>
      <w:bookmarkStart w:id="233" w:name="_Toc132193504"/>
      <w:bookmarkStart w:id="234" w:name="_Toc132193754"/>
      <w:bookmarkStart w:id="235" w:name="_Toc132299353"/>
      <w:r>
        <w:rPr>
          <w:rStyle w:val="CharDivNo"/>
        </w:rPr>
        <w:t>Division 2</w:t>
      </w:r>
      <w:r>
        <w:t> — </w:t>
      </w:r>
      <w:r>
        <w:rPr>
          <w:rStyle w:val="CharDivText"/>
        </w:rPr>
        <w:t>Treatment decisions by persons responsible for patients</w:t>
      </w:r>
      <w:bookmarkEnd w:id="233"/>
      <w:bookmarkEnd w:id="234"/>
      <w:bookmarkEnd w:id="235"/>
    </w:p>
    <w:p>
      <w:pPr>
        <w:pStyle w:val="Footnoteheading"/>
      </w:pPr>
      <w:r>
        <w:tab/>
        <w:t>[Heading inserted: No. 25 of 2008 s. 11.]</w:t>
      </w:r>
    </w:p>
    <w:p>
      <w:pPr>
        <w:pStyle w:val="Heading5"/>
      </w:pPr>
      <w:bookmarkStart w:id="236" w:name="_Toc132299354"/>
      <w:r>
        <w:rPr>
          <w:rStyle w:val="CharSectno"/>
        </w:rPr>
        <w:t>110ZD</w:t>
      </w:r>
      <w:r>
        <w:t>.</w:t>
      </w:r>
      <w:r>
        <w:tab/>
        <w:t>Circumstances in which person responsible may make treatment decision</w:t>
      </w:r>
      <w:bookmarkEnd w:id="236"/>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lastRenderedPageBreak/>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tab/>
        <w:t>(7)</w:t>
      </w:r>
      <w:r>
        <w:tab/>
        <w:t>The person responsible for the patient cannot consent to the sterilisation of the patient.</w:t>
      </w:r>
    </w:p>
    <w:p>
      <w:pPr>
        <w:pStyle w:val="Subsection"/>
        <w:rPr>
          <w:szCs w:val="22"/>
        </w:rPr>
      </w:pPr>
      <w:r>
        <w:rPr>
          <w:szCs w:val="22"/>
        </w:rPr>
        <w:lastRenderedPageBreak/>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r>
        <w:tab/>
        <w:t>[Section 110ZD inserted: No. 25 of 2008 s. 11.]</w:t>
      </w:r>
    </w:p>
    <w:p>
      <w:pPr>
        <w:pStyle w:val="Heading5"/>
      </w:pPr>
      <w:bookmarkStart w:id="237" w:name="_Toc132299355"/>
      <w:r>
        <w:rPr>
          <w:rStyle w:val="CharSectno"/>
        </w:rPr>
        <w:t>110ZE</w:t>
      </w:r>
      <w:r>
        <w:t>.</w:t>
      </w:r>
      <w:r>
        <w:tab/>
        <w:t>Priority of treatment decision of person responsible</w:t>
      </w:r>
      <w:bookmarkEnd w:id="237"/>
    </w:p>
    <w:p>
      <w:pPr>
        <w:pStyle w:val="Subsection"/>
      </w:pPr>
      <w:r>
        <w:tab/>
      </w:r>
      <w:r>
        <w:tab/>
        <w:t>The priority to be given to a treatment decision of a person responsible for a patient under section 110ZD is determined in accordance with section 110ZJ.</w:t>
      </w:r>
    </w:p>
    <w:p>
      <w:pPr>
        <w:pStyle w:val="Footnotesection"/>
      </w:pPr>
      <w:r>
        <w:tab/>
        <w:t>[Section 110ZE inserted: No. 25 of 2008 s. 11.]</w:t>
      </w:r>
    </w:p>
    <w:p>
      <w:pPr>
        <w:pStyle w:val="Heading3"/>
      </w:pPr>
      <w:bookmarkStart w:id="238" w:name="_Toc132193507"/>
      <w:bookmarkStart w:id="239" w:name="_Toc132193757"/>
      <w:bookmarkStart w:id="240" w:name="_Toc132299356"/>
      <w:r>
        <w:rPr>
          <w:rStyle w:val="CharDivNo"/>
        </w:rPr>
        <w:t>Division 3</w:t>
      </w:r>
      <w:r>
        <w:t> — </w:t>
      </w:r>
      <w:r>
        <w:rPr>
          <w:rStyle w:val="CharDivText"/>
        </w:rPr>
        <w:t>Jurisdiction of State Administrative Tribunal</w:t>
      </w:r>
      <w:bookmarkEnd w:id="238"/>
      <w:bookmarkEnd w:id="239"/>
      <w:bookmarkEnd w:id="240"/>
    </w:p>
    <w:p>
      <w:pPr>
        <w:pStyle w:val="Footnoteheading"/>
      </w:pPr>
      <w:r>
        <w:tab/>
        <w:t>[Heading inserted: No. 25 of 2008 s. 11.]</w:t>
      </w:r>
    </w:p>
    <w:p>
      <w:pPr>
        <w:pStyle w:val="Heading5"/>
      </w:pPr>
      <w:bookmarkStart w:id="241" w:name="_Toc132299357"/>
      <w:r>
        <w:rPr>
          <w:rStyle w:val="CharSectno"/>
        </w:rPr>
        <w:t>110ZF</w:t>
      </w:r>
      <w:r>
        <w:t>.</w:t>
      </w:r>
      <w:r>
        <w:tab/>
        <w:t>Who may apply</w:t>
      </w:r>
      <w:bookmarkEnd w:id="241"/>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110ZF inserted: No. 25 of 2008 s. 11.]</w:t>
      </w:r>
    </w:p>
    <w:p>
      <w:pPr>
        <w:pStyle w:val="Heading5"/>
      </w:pPr>
      <w:bookmarkStart w:id="242" w:name="_Toc132299358"/>
      <w:r>
        <w:rPr>
          <w:rStyle w:val="CharSectno"/>
        </w:rPr>
        <w:t>110ZG</w:t>
      </w:r>
      <w:r>
        <w:t>.</w:t>
      </w:r>
      <w:r>
        <w:tab/>
        <w:t>Declaration that person responsible may make treatment decision</w:t>
      </w:r>
      <w:bookmarkEnd w:id="242"/>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lastRenderedPageBreak/>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110ZG inserted: No. 25 of 2008 s. 11.]</w:t>
      </w:r>
    </w:p>
    <w:p>
      <w:pPr>
        <w:pStyle w:val="Heading2"/>
      </w:pPr>
      <w:bookmarkStart w:id="243" w:name="_Toc132193510"/>
      <w:bookmarkStart w:id="244" w:name="_Toc132193760"/>
      <w:bookmarkStart w:id="245" w:name="_Toc132299359"/>
      <w:r>
        <w:rPr>
          <w:rStyle w:val="CharPartNo"/>
        </w:rPr>
        <w:lastRenderedPageBreak/>
        <w:t>Part 9D</w:t>
      </w:r>
      <w:r>
        <w:rPr>
          <w:b w:val="0"/>
        </w:rPr>
        <w:t> </w:t>
      </w:r>
      <w:r>
        <w:t>—</w:t>
      </w:r>
      <w:r>
        <w:rPr>
          <w:b w:val="0"/>
        </w:rPr>
        <w:t> </w:t>
      </w:r>
      <w:r>
        <w:rPr>
          <w:rStyle w:val="CharPartText"/>
        </w:rPr>
        <w:t>Treatment decisions in relation to patients under legal incapacity</w:t>
      </w:r>
      <w:bookmarkEnd w:id="243"/>
      <w:bookmarkEnd w:id="244"/>
      <w:bookmarkEnd w:id="245"/>
    </w:p>
    <w:p>
      <w:pPr>
        <w:pStyle w:val="Footnoteheading"/>
      </w:pPr>
      <w:r>
        <w:tab/>
        <w:t>[Heading inserted: No. 25 of 2008 s. 11.]</w:t>
      </w:r>
    </w:p>
    <w:p>
      <w:pPr>
        <w:pStyle w:val="Heading3"/>
      </w:pPr>
      <w:bookmarkStart w:id="246" w:name="_Toc132193511"/>
      <w:bookmarkStart w:id="247" w:name="_Toc132193761"/>
      <w:bookmarkStart w:id="248" w:name="_Toc132299360"/>
      <w:r>
        <w:rPr>
          <w:rStyle w:val="CharDivNo"/>
        </w:rPr>
        <w:t>Division 1</w:t>
      </w:r>
      <w:r>
        <w:t> — </w:t>
      </w:r>
      <w:r>
        <w:rPr>
          <w:rStyle w:val="CharDivText"/>
        </w:rPr>
        <w:t>Preliminary matters</w:t>
      </w:r>
      <w:bookmarkEnd w:id="246"/>
      <w:bookmarkEnd w:id="247"/>
      <w:bookmarkEnd w:id="248"/>
    </w:p>
    <w:p>
      <w:pPr>
        <w:pStyle w:val="Footnoteheading"/>
      </w:pPr>
      <w:r>
        <w:tab/>
        <w:t>[Heading inserted: No. 25 of 2008 s. 11.]</w:t>
      </w:r>
    </w:p>
    <w:p>
      <w:pPr>
        <w:pStyle w:val="Heading5"/>
      </w:pPr>
      <w:bookmarkStart w:id="249" w:name="_Toc132299361"/>
      <w:r>
        <w:rPr>
          <w:rStyle w:val="CharSectno"/>
        </w:rPr>
        <w:t>110ZH</w:t>
      </w:r>
      <w:r>
        <w:t>.</w:t>
      </w:r>
      <w:r>
        <w:tab/>
        <w:t>Terms used</w:t>
      </w:r>
      <w:bookmarkEnd w:id="249"/>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rPr>
          <w:b/>
        </w:rPr>
        <w:tab/>
      </w:r>
      <w:r>
        <w:rPr>
          <w:rStyle w:val="CharDefText"/>
        </w:rPr>
        <w:t>urgent treatment</w:t>
      </w:r>
      <w:r>
        <w:t xml:space="preserve"> means treatment urgently needed by a patient — </w:t>
      </w:r>
    </w:p>
    <w:p>
      <w:pPr>
        <w:pStyle w:val="Defpara"/>
      </w:pPr>
      <w:r>
        <w:tab/>
        <w:t>(a)</w:t>
      </w:r>
      <w:r>
        <w:tab/>
        <w:t>to save the patient’s life; or</w:t>
      </w:r>
    </w:p>
    <w:p>
      <w:pPr>
        <w:pStyle w:val="Defpara"/>
      </w:pPr>
      <w:r>
        <w:tab/>
        <w:t>(b)</w:t>
      </w:r>
      <w:r>
        <w:tab/>
        <w:t>to prevent serious damage to the patient’s health; or</w:t>
      </w:r>
    </w:p>
    <w:p>
      <w:pPr>
        <w:pStyle w:val="Defpara"/>
      </w:pPr>
      <w:r>
        <w:tab/>
        <w:t>(c)</w:t>
      </w:r>
      <w:r>
        <w:tab/>
        <w:t>to prevent the patient from suffering or continuing to suffer significant pain or distress,</w:t>
      </w:r>
    </w:p>
    <w:p>
      <w:pPr>
        <w:pStyle w:val="Defstart"/>
      </w:pPr>
      <w:r>
        <w:tab/>
        <w:t xml:space="preserve">but does not include — </w:t>
      </w:r>
    </w:p>
    <w:p>
      <w:pPr>
        <w:pStyle w:val="Defpara"/>
      </w:pPr>
      <w:r>
        <w:tab/>
        <w:t>(d)</w:t>
      </w:r>
      <w:r>
        <w:tab/>
        <w:t xml:space="preserve">psychiatric treatment, which is treatment as defined in the </w:t>
      </w:r>
      <w:r>
        <w:rPr>
          <w:i/>
          <w:iCs/>
        </w:rPr>
        <w:t>Mental Health Act 2014</w:t>
      </w:r>
      <w:r>
        <w:t xml:space="preserve"> section 4; or</w:t>
      </w:r>
    </w:p>
    <w:p>
      <w:pPr>
        <w:pStyle w:val="Defpara"/>
      </w:pPr>
      <w:r>
        <w:tab/>
        <w:t>(e)</w:t>
      </w:r>
      <w:r>
        <w:tab/>
        <w:t>the sterilisation of the patient.</w:t>
      </w:r>
    </w:p>
    <w:p>
      <w:pPr>
        <w:pStyle w:val="Footnotesection"/>
      </w:pPr>
      <w:r>
        <w:tab/>
        <w:t>[Section 110ZH inserted: No. 25 of 2008 s. 11; amended: No. 25 of 2014 s. 21.]</w:t>
      </w:r>
    </w:p>
    <w:p>
      <w:pPr>
        <w:pStyle w:val="Heading3"/>
        <w:keepLines/>
      </w:pPr>
      <w:bookmarkStart w:id="250" w:name="_Toc132193513"/>
      <w:bookmarkStart w:id="251" w:name="_Toc132193763"/>
      <w:bookmarkStart w:id="252" w:name="_Toc132299362"/>
      <w:r>
        <w:rPr>
          <w:rStyle w:val="CharDivNo"/>
        </w:rPr>
        <w:lastRenderedPageBreak/>
        <w:t>Division 2</w:t>
      </w:r>
      <w:r>
        <w:t> — </w:t>
      </w:r>
      <w:r>
        <w:rPr>
          <w:rStyle w:val="CharDivText"/>
        </w:rPr>
        <w:t>Provision of treatment</w:t>
      </w:r>
      <w:bookmarkEnd w:id="250"/>
      <w:bookmarkEnd w:id="251"/>
      <w:bookmarkEnd w:id="252"/>
    </w:p>
    <w:p>
      <w:pPr>
        <w:pStyle w:val="Footnoteheading"/>
        <w:keepNext/>
        <w:keepLines/>
      </w:pPr>
      <w:r>
        <w:tab/>
        <w:t>[Heading inserted: No. 25 of 2008 s. 11.]</w:t>
      </w:r>
    </w:p>
    <w:p>
      <w:pPr>
        <w:pStyle w:val="Heading5"/>
      </w:pPr>
      <w:bookmarkStart w:id="253" w:name="_Toc132299363"/>
      <w:r>
        <w:rPr>
          <w:rStyle w:val="CharSectno"/>
        </w:rPr>
        <w:t>110ZI</w:t>
      </w:r>
      <w:r>
        <w:t>.</w:t>
      </w:r>
      <w:r>
        <w:tab/>
        <w:t>Urgent treatment generally</w:t>
      </w:r>
      <w:bookmarkEnd w:id="253"/>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Subsection"/>
      </w:pPr>
      <w:r>
        <w:tab/>
        <w:t>(2)</w:t>
      </w:r>
      <w:r>
        <w:tab/>
        <w:t>The health professional may provide the treatment to the patient in the absence of a treatment decision in relation to the patient.</w:t>
      </w:r>
    </w:p>
    <w:p>
      <w:pPr>
        <w:pStyle w:val="Footnotesection"/>
      </w:pPr>
      <w:r>
        <w:tab/>
        <w:t>[Section 110ZI inserted: No. 25 of 2008 s. 11.]</w:t>
      </w:r>
    </w:p>
    <w:p>
      <w:pPr>
        <w:pStyle w:val="Heading5"/>
      </w:pPr>
      <w:bookmarkStart w:id="254" w:name="_Toc132299364"/>
      <w:r>
        <w:rPr>
          <w:rStyle w:val="CharSectno"/>
        </w:rPr>
        <w:t>110ZIA</w:t>
      </w:r>
      <w:r>
        <w:t>.</w:t>
      </w:r>
      <w:r>
        <w:tab/>
        <w:t>Urgent treatment after attempted suicide</w:t>
      </w:r>
      <w:bookmarkEnd w:id="254"/>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keepNext/>
      </w:pPr>
      <w:r>
        <w:lastRenderedPageBreak/>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tab/>
        <w:t>(b)</w:t>
      </w:r>
      <w:r>
        <w:tab/>
        <w:t>the patient’s guardian or enduring guardian or the person responsible for the patient under section 110ZD having made such a treatment decision in relation to the patient.</w:t>
      </w:r>
    </w:p>
    <w:p>
      <w:pPr>
        <w:pStyle w:val="Footnotesection"/>
      </w:pPr>
      <w:r>
        <w:tab/>
        <w:t>[Section 110ZIA inserted: No. 25 of 2008 s. 11.]</w:t>
      </w:r>
    </w:p>
    <w:p>
      <w:pPr>
        <w:pStyle w:val="Heading5"/>
      </w:pPr>
      <w:bookmarkStart w:id="255" w:name="_Toc132299365"/>
      <w:r>
        <w:rPr>
          <w:rStyle w:val="CharSectno"/>
        </w:rPr>
        <w:t>110ZJ</w:t>
      </w:r>
      <w:r>
        <w:t>.</w:t>
      </w:r>
      <w:r>
        <w:tab/>
        <w:t>Order of priority of persons who may make treatment decision in relation to patient</w:t>
      </w:r>
      <w:bookmarkEnd w:id="255"/>
    </w:p>
    <w:p>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lastRenderedPageBreak/>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r>
        <w:tab/>
        <w:t>[Section 110ZJ inserted: No. 25 of 2008 s. 11.]</w:t>
      </w:r>
    </w:p>
    <w:p>
      <w:pPr>
        <w:pStyle w:val="Heading5"/>
        <w:spacing w:before="180"/>
      </w:pPr>
      <w:bookmarkStart w:id="256" w:name="_Toc132299366"/>
      <w:r>
        <w:rPr>
          <w:rStyle w:val="CharSectno"/>
        </w:rPr>
        <w:t>110ZK</w:t>
      </w:r>
      <w:r>
        <w:t>.</w:t>
      </w:r>
      <w:r>
        <w:tab/>
        <w:t>Reliance by health professional on treatment decision</w:t>
      </w:r>
      <w:bookmarkEnd w:id="256"/>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pPr>
      <w:r>
        <w:tab/>
        <w:t>(ii)</w:t>
      </w:r>
      <w:r>
        <w:tab/>
        <w:t xml:space="preserve">relying in good faith on what is purportedly a treatment decision — </w:t>
      </w:r>
    </w:p>
    <w:p>
      <w:pPr>
        <w:pStyle w:val="IndentI0"/>
      </w:pPr>
      <w:r>
        <w:lastRenderedPageBreak/>
        <w:tab/>
        <w:t>(I)</w:t>
      </w:r>
      <w:r>
        <w:tab/>
        <w:t>in an advance health directive made by the patient; or</w:t>
      </w:r>
    </w:p>
    <w:p>
      <w:pPr>
        <w:pStyle w:val="IndentI0"/>
      </w:pPr>
      <w:r>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Indenta"/>
      </w:pPr>
      <w:r>
        <w:lastRenderedPageBreak/>
        <w:tab/>
        <w:t>(b)</w:t>
      </w:r>
      <w:r>
        <w:tab/>
        <w:t>anything else relevant to the determination.</w:t>
      </w:r>
    </w:p>
    <w:p>
      <w:pPr>
        <w:pStyle w:val="Footnotesection"/>
      </w:pPr>
      <w:r>
        <w:tab/>
        <w:t>[Section 110ZK inserted: No. 25 of 2008 s. 11.]</w:t>
      </w:r>
    </w:p>
    <w:p>
      <w:pPr>
        <w:pStyle w:val="Heading5"/>
      </w:pPr>
      <w:bookmarkStart w:id="257" w:name="_Toc132299367"/>
      <w:r>
        <w:rPr>
          <w:rStyle w:val="CharSectno"/>
        </w:rPr>
        <w:t>110ZL</w:t>
      </w:r>
      <w:r>
        <w:t>.</w:t>
      </w:r>
      <w:r>
        <w:tab/>
        <w:t>Validity of certain treatment decisions</w:t>
      </w:r>
      <w:bookmarkEnd w:id="257"/>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r>
        <w:tab/>
        <w:t>[Section 110ZL inserted: No. 25 of 2008 s. 11.]</w:t>
      </w:r>
    </w:p>
    <w:p>
      <w:pPr>
        <w:pStyle w:val="Heading3"/>
      </w:pPr>
      <w:bookmarkStart w:id="258" w:name="_Toc132193519"/>
      <w:bookmarkStart w:id="259" w:name="_Toc132193769"/>
      <w:bookmarkStart w:id="260" w:name="_Toc132299368"/>
      <w:r>
        <w:rPr>
          <w:rStyle w:val="CharDivNo"/>
        </w:rPr>
        <w:t>Division 3</w:t>
      </w:r>
      <w:r>
        <w:t> — </w:t>
      </w:r>
      <w:r>
        <w:rPr>
          <w:rStyle w:val="CharDivText"/>
        </w:rPr>
        <w:t>Jurisdiction of State Administrative Tribunal</w:t>
      </w:r>
      <w:bookmarkEnd w:id="258"/>
      <w:bookmarkEnd w:id="259"/>
      <w:bookmarkEnd w:id="260"/>
    </w:p>
    <w:p>
      <w:pPr>
        <w:pStyle w:val="Footnoteheading"/>
      </w:pPr>
      <w:r>
        <w:tab/>
        <w:t>[Heading inserted: No. 25 of 2008 s. 11.]</w:t>
      </w:r>
    </w:p>
    <w:p>
      <w:pPr>
        <w:pStyle w:val="Heading5"/>
      </w:pPr>
      <w:bookmarkStart w:id="261" w:name="_Toc132299369"/>
      <w:r>
        <w:rPr>
          <w:rStyle w:val="CharSectno"/>
        </w:rPr>
        <w:t>110ZM</w:t>
      </w:r>
      <w:r>
        <w:rPr>
          <w:szCs w:val="22"/>
        </w:rPr>
        <w:t>.</w:t>
      </w:r>
      <w:r>
        <w:rPr>
          <w:szCs w:val="22"/>
        </w:rPr>
        <w:tab/>
        <w:t>Who may apply</w:t>
      </w:r>
      <w:bookmarkEnd w:id="261"/>
    </w:p>
    <w:p>
      <w:pPr>
        <w:pStyle w:val="Subsection"/>
      </w:pPr>
      <w:r>
        <w:rPr>
          <w:szCs w:val="22"/>
        </w:rPr>
        <w:tab/>
      </w:r>
      <w:r>
        <w:rPr>
          <w:szCs w:val="22"/>
        </w:rPr>
        <w:tab/>
        <w:t>A person who, in the opinion of the State Administrative Tribunal, has a proper interest in the matter may apply to the Tribunal for a decision under this Division.</w:t>
      </w:r>
    </w:p>
    <w:p>
      <w:pPr>
        <w:pStyle w:val="Footnotesection"/>
      </w:pPr>
      <w:r>
        <w:tab/>
        <w:t>[Section 110ZM inserted: No. 25 of 2008 s. 11.]</w:t>
      </w:r>
    </w:p>
    <w:p>
      <w:pPr>
        <w:pStyle w:val="Heading5"/>
      </w:pPr>
      <w:bookmarkStart w:id="262" w:name="_Toc132299370"/>
      <w:r>
        <w:rPr>
          <w:rStyle w:val="CharSectno"/>
        </w:rPr>
        <w:lastRenderedPageBreak/>
        <w:t>110ZN</w:t>
      </w:r>
      <w:r>
        <w:rPr>
          <w:szCs w:val="22"/>
        </w:rPr>
        <w:t>.</w:t>
      </w:r>
      <w:r>
        <w:rPr>
          <w:szCs w:val="22"/>
        </w:rPr>
        <w:tab/>
        <w:t>Declaration as to who may make treatment decision</w:t>
      </w:r>
      <w:bookmarkEnd w:id="262"/>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110ZN inserted: No. 25 of 2008 s. 11.]</w:t>
      </w:r>
    </w:p>
    <w:p>
      <w:pPr>
        <w:pStyle w:val="Heading2"/>
      </w:pPr>
      <w:bookmarkStart w:id="263" w:name="_Toc132193522"/>
      <w:bookmarkStart w:id="264" w:name="_Toc132193772"/>
      <w:bookmarkStart w:id="265" w:name="_Toc132299371"/>
      <w:r>
        <w:rPr>
          <w:rStyle w:val="CharPartNo"/>
        </w:rPr>
        <w:lastRenderedPageBreak/>
        <w:t>Part 9E</w:t>
      </w:r>
      <w:r>
        <w:rPr>
          <w:color w:val="000000" w:themeColor="text1"/>
        </w:rPr>
        <w:t> — </w:t>
      </w:r>
      <w:r>
        <w:rPr>
          <w:rStyle w:val="CharPartText"/>
        </w:rPr>
        <w:t>Medical research</w:t>
      </w:r>
      <w:bookmarkEnd w:id="263"/>
      <w:bookmarkEnd w:id="264"/>
      <w:bookmarkEnd w:id="265"/>
    </w:p>
    <w:p>
      <w:pPr>
        <w:pStyle w:val="Footnoteheading"/>
      </w:pPr>
      <w:r>
        <w:tab/>
        <w:t>[Heading inserted: No. 14 of 2020 s. 12.]</w:t>
      </w:r>
    </w:p>
    <w:p>
      <w:pPr>
        <w:pStyle w:val="Heading3"/>
      </w:pPr>
      <w:bookmarkStart w:id="266" w:name="_Toc132193523"/>
      <w:bookmarkStart w:id="267" w:name="_Toc132193773"/>
      <w:bookmarkStart w:id="268" w:name="_Toc132299372"/>
      <w:r>
        <w:rPr>
          <w:rStyle w:val="CharDivNo"/>
        </w:rPr>
        <w:t>Division 1</w:t>
      </w:r>
      <w:r>
        <w:rPr>
          <w:color w:val="000000" w:themeColor="text1"/>
        </w:rPr>
        <w:t> — </w:t>
      </w:r>
      <w:r>
        <w:rPr>
          <w:rStyle w:val="CharDivText"/>
        </w:rPr>
        <w:t>Preliminary</w:t>
      </w:r>
      <w:bookmarkEnd w:id="266"/>
      <w:bookmarkEnd w:id="267"/>
      <w:bookmarkEnd w:id="268"/>
    </w:p>
    <w:p>
      <w:pPr>
        <w:pStyle w:val="Footnoteheading"/>
      </w:pPr>
      <w:r>
        <w:tab/>
        <w:t>[Heading inserted: No. 14 of 2020 s. 12.]</w:t>
      </w:r>
    </w:p>
    <w:p>
      <w:pPr>
        <w:pStyle w:val="Heading5"/>
      </w:pPr>
      <w:bookmarkStart w:id="269" w:name="_Toc132299373"/>
      <w:r>
        <w:rPr>
          <w:rStyle w:val="CharSectno"/>
        </w:rPr>
        <w:t>110ZO</w:t>
      </w:r>
      <w:r>
        <w:rPr>
          <w:color w:val="000000" w:themeColor="text1"/>
        </w:rPr>
        <w:t>.</w:t>
      </w:r>
      <w:r>
        <w:rPr>
          <w:color w:val="000000" w:themeColor="text1"/>
        </w:rPr>
        <w:tab/>
        <w:t>Terms used</w:t>
      </w:r>
      <w:bookmarkEnd w:id="269"/>
    </w:p>
    <w:p>
      <w:pPr>
        <w:pStyle w:val="Subsection"/>
      </w:pPr>
      <w:r>
        <w:rPr>
          <w:color w:val="000000" w:themeColor="text1"/>
        </w:rPr>
        <w:tab/>
      </w:r>
      <w:r>
        <w:rPr>
          <w:color w:val="000000" w:themeColor="text1"/>
        </w:rPr>
        <w:tab/>
        <w:t xml:space="preserve">In this Part — </w:t>
      </w:r>
    </w:p>
    <w:p>
      <w:pPr>
        <w:pStyle w:val="Defstart"/>
      </w:pPr>
      <w:r>
        <w:rPr>
          <w:color w:val="000000" w:themeColor="text1"/>
        </w:rPr>
        <w:tab/>
      </w:r>
      <w:r>
        <w:rPr>
          <w:rStyle w:val="CharDefText"/>
          <w:color w:val="000000" w:themeColor="text1"/>
        </w:rPr>
        <w:t>Health Minister</w:t>
      </w:r>
      <w:r>
        <w:rPr>
          <w:color w:val="000000" w:themeColor="text1"/>
        </w:rPr>
        <w:t xml:space="preserve"> means the Minister administering the </w:t>
      </w:r>
      <w:r>
        <w:rPr>
          <w:i/>
          <w:color w:val="000000" w:themeColor="text1"/>
        </w:rPr>
        <w:t>Health Services Act 2016</w:t>
      </w:r>
      <w:r>
        <w:rPr>
          <w:color w:val="000000" w:themeColor="text1"/>
        </w:rPr>
        <w:t>;</w:t>
      </w:r>
    </w:p>
    <w:p>
      <w:pPr>
        <w:pStyle w:val="Defstart"/>
      </w:pPr>
      <w:r>
        <w:tab/>
      </w:r>
      <w:r>
        <w:rPr>
          <w:rStyle w:val="CharDefText"/>
          <w:color w:val="000000" w:themeColor="text1"/>
        </w:rPr>
        <w:t>HREC</w:t>
      </w:r>
      <w:r>
        <w:t xml:space="preserve"> means a human research ethics committee established in accordance with the National Statement;</w:t>
      </w:r>
    </w:p>
    <w:p>
      <w:pPr>
        <w:pStyle w:val="Defstart"/>
      </w:pPr>
      <w:r>
        <w:tab/>
      </w:r>
      <w:r>
        <w:rPr>
          <w:rStyle w:val="CharDefText"/>
          <w:color w:val="000000" w:themeColor="text1"/>
        </w:rPr>
        <w:t>independent medical practitioner</w:t>
      </w:r>
      <w:r>
        <w:t xml:space="preserve">, in relation to medical research, means a medical practitioner who — </w:t>
      </w:r>
    </w:p>
    <w:p>
      <w:pPr>
        <w:pStyle w:val="Defpara"/>
      </w:pPr>
      <w:r>
        <w:tab/>
        <w:t>(a)</w:t>
      </w:r>
      <w:r>
        <w:tab/>
        <w:t xml:space="preserve">is not involved in providing treatment under this Part to the research candidate whose participation is sought in the research; and </w:t>
      </w:r>
    </w:p>
    <w:p>
      <w:pPr>
        <w:pStyle w:val="Defpara"/>
      </w:pPr>
      <w:r>
        <w:tab/>
        <w:t>(b)</w:t>
      </w:r>
      <w:r>
        <w:tab/>
        <w:t xml:space="preserve">is not involved in, nor connected to, the research, other than having a professional interest in the area of the research; and </w:t>
      </w:r>
    </w:p>
    <w:p>
      <w:pPr>
        <w:pStyle w:val="Defpara"/>
      </w:pPr>
      <w:r>
        <w:tab/>
        <w:t>(c)</w:t>
      </w:r>
      <w:r>
        <w:tab/>
        <w:t>is not the spouse, de facto partner, parent, grandparent, sibling, child or grandchild of the research candidate whose participation is sought in the research; and</w:t>
      </w:r>
    </w:p>
    <w:p>
      <w:pPr>
        <w:pStyle w:val="Defpara"/>
      </w:pPr>
      <w:r>
        <w:tab/>
        <w:t>(d)</w:t>
      </w:r>
      <w:r>
        <w:tab/>
        <w:t>is not a member of the HREC that approved the research;</w:t>
      </w:r>
    </w:p>
    <w:p>
      <w:pPr>
        <w:pStyle w:val="Defstart"/>
      </w:pPr>
      <w:r>
        <w:rPr>
          <w:color w:val="000000" w:themeColor="text1"/>
        </w:rPr>
        <w:tab/>
      </w:r>
      <w:r>
        <w:rPr>
          <w:rStyle w:val="CharDefText"/>
          <w:color w:val="000000" w:themeColor="text1"/>
        </w:rPr>
        <w:t>lead researcher</w:t>
      </w:r>
      <w:r>
        <w:rPr>
          <w:color w:val="000000" w:themeColor="text1"/>
        </w:rPr>
        <w:t>, in relation to medical research, means a medical practitioner who has sole or joint overall responsibility for conducting the research;</w:t>
      </w:r>
    </w:p>
    <w:p>
      <w:pPr>
        <w:pStyle w:val="Defstart"/>
      </w:pPr>
      <w:r>
        <w:tab/>
      </w:r>
      <w:r>
        <w:rPr>
          <w:rStyle w:val="CharDefText"/>
          <w:color w:val="000000" w:themeColor="text1"/>
        </w:rPr>
        <w:t>medical practitioner</w:t>
      </w:r>
      <w:r>
        <w:t xml:space="preserve"> means a person registered under the </w:t>
      </w:r>
      <w:r>
        <w:rPr>
          <w:i/>
        </w:rPr>
        <w:t>Health Practitioner Regulation National Law (Western Australia)</w:t>
      </w:r>
      <w:r>
        <w:t xml:space="preserve"> in the medical profession (other than as a student);</w:t>
      </w:r>
    </w:p>
    <w:p>
      <w:pPr>
        <w:pStyle w:val="Defstart"/>
        <w:keepNext/>
        <w:keepLines/>
      </w:pPr>
      <w:r>
        <w:lastRenderedPageBreak/>
        <w:tab/>
      </w:r>
      <w:r>
        <w:rPr>
          <w:rStyle w:val="CharDefText"/>
          <w:color w:val="000000" w:themeColor="text1"/>
        </w:rPr>
        <w:t>National Statement</w:t>
      </w:r>
      <w:r>
        <w:t xml:space="preserve"> means the National Statement on Ethical Conduct in Human Research (2007), as modified or replaced from time to time, issued under the </w:t>
      </w:r>
      <w:r>
        <w:rPr>
          <w:i/>
        </w:rPr>
        <w:t>National Health and Medical Research Council Act 1992</w:t>
      </w:r>
      <w:r>
        <w:t xml:space="preserve"> (Commonwealth) section 7(1)(a);</w:t>
      </w:r>
    </w:p>
    <w:p>
      <w:pPr>
        <w:pStyle w:val="Defstart"/>
      </w:pPr>
      <w:r>
        <w:tab/>
      </w:r>
      <w:r>
        <w:rPr>
          <w:rStyle w:val="CharDefText"/>
          <w:color w:val="000000" w:themeColor="text1"/>
        </w:rPr>
        <w:t>researcher</w:t>
      </w:r>
      <w:r>
        <w:t xml:space="preserve"> means — </w:t>
      </w:r>
    </w:p>
    <w:p>
      <w:pPr>
        <w:pStyle w:val="Defpara"/>
      </w:pPr>
      <w:r>
        <w:rPr>
          <w:color w:val="000000" w:themeColor="text1"/>
        </w:rPr>
        <w:tab/>
        <w:t>(a)</w:t>
      </w:r>
      <w:r>
        <w:rPr>
          <w:color w:val="000000" w:themeColor="text1"/>
        </w:rPr>
        <w:tab/>
        <w:t>a lead researcher; or</w:t>
      </w:r>
    </w:p>
    <w:p>
      <w:pPr>
        <w:pStyle w:val="Defpara"/>
      </w:pPr>
      <w:r>
        <w:tab/>
        <w:t>(b)</w:t>
      </w:r>
      <w:r>
        <w:tab/>
        <w:t>an individual who conducts, or assists with the conduct of, medical research;</w:t>
      </w:r>
    </w:p>
    <w:p>
      <w:pPr>
        <w:pStyle w:val="Defstart"/>
      </w:pPr>
      <w:r>
        <w:rPr>
          <w:color w:val="000000" w:themeColor="text1"/>
        </w:rPr>
        <w:tab/>
      </w:r>
      <w:r>
        <w:rPr>
          <w:rStyle w:val="CharDefText"/>
          <w:color w:val="000000" w:themeColor="text1"/>
        </w:rPr>
        <w:t>review application</w:t>
      </w:r>
      <w:r>
        <w:rPr>
          <w:color w:val="000000" w:themeColor="text1"/>
        </w:rPr>
        <w:t xml:space="preserve"> means an application for review made under section 110ZZ;</w:t>
      </w:r>
    </w:p>
    <w:p>
      <w:pPr>
        <w:pStyle w:val="Defstart"/>
      </w:pPr>
      <w:r>
        <w:tab/>
      </w:r>
      <w:r>
        <w:rPr>
          <w:rStyle w:val="CharDefText"/>
          <w:color w:val="000000" w:themeColor="text1"/>
        </w:rPr>
        <w:t>reviewed decision</w:t>
      </w:r>
      <w:r>
        <w:t xml:space="preserve"> means a decision made under this Part that is the subject of a review application;</w:t>
      </w:r>
    </w:p>
    <w:p>
      <w:pPr>
        <w:pStyle w:val="Defstart"/>
      </w:pPr>
      <w:r>
        <w:tab/>
      </w:r>
      <w:r>
        <w:rPr>
          <w:rStyle w:val="CharDefText"/>
          <w:color w:val="000000" w:themeColor="text1"/>
        </w:rPr>
        <w:t>urgent medical research decision</w:t>
      </w:r>
      <w:r>
        <w:t xml:space="preserve"> means a decision to conduct medical research under section 110ZS(1).</w:t>
      </w:r>
    </w:p>
    <w:p>
      <w:pPr>
        <w:pStyle w:val="Footnotesection"/>
      </w:pPr>
      <w:r>
        <w:tab/>
        <w:t>[Section 110ZO inserted: No. 14 of 2020 s. 12.]</w:t>
      </w:r>
    </w:p>
    <w:p>
      <w:pPr>
        <w:pStyle w:val="Heading5"/>
      </w:pPr>
      <w:bookmarkStart w:id="270" w:name="_Toc132299374"/>
      <w:r>
        <w:rPr>
          <w:rStyle w:val="CharSectno"/>
        </w:rPr>
        <w:t>110ZP</w:t>
      </w:r>
      <w:r>
        <w:rPr>
          <w:color w:val="000000" w:themeColor="text1"/>
        </w:rPr>
        <w:t>.</w:t>
      </w:r>
      <w:r>
        <w:rPr>
          <w:color w:val="000000" w:themeColor="text1"/>
        </w:rPr>
        <w:tab/>
        <w:t>Term used: research decision</w:t>
      </w:r>
      <w:r>
        <w:rPr>
          <w:color w:val="000000" w:themeColor="text1"/>
        </w:rPr>
        <w:noBreakHyphen/>
        <w:t>maker</w:t>
      </w:r>
      <w:bookmarkEnd w:id="270"/>
    </w:p>
    <w:p>
      <w:pPr>
        <w:pStyle w:val="Subsection"/>
      </w:pPr>
      <w:r>
        <w:rPr>
          <w:color w:val="000000" w:themeColor="text1"/>
        </w:rPr>
        <w:tab/>
        <w:t>(1)</w:t>
      </w:r>
      <w:r>
        <w:rPr>
          <w:color w:val="000000" w:themeColor="text1"/>
        </w:rPr>
        <w:tab/>
        <w:t xml:space="preserve">A person is a </w:t>
      </w:r>
      <w:r>
        <w:rPr>
          <w:rStyle w:val="CharDefText"/>
          <w:color w:val="000000" w:themeColor="text1"/>
        </w:rPr>
        <w:t>research decision</w:t>
      </w:r>
      <w:r>
        <w:rPr>
          <w:rStyle w:val="CharDefText"/>
          <w:color w:val="000000" w:themeColor="text1"/>
        </w:rPr>
        <w:noBreakHyphen/>
        <w:t>maker</w:t>
      </w:r>
      <w:r>
        <w:rPr>
          <w:color w:val="000000" w:themeColor="text1"/>
        </w:rPr>
        <w:t xml:space="preserve"> for a research candidate if — </w:t>
      </w:r>
    </w:p>
    <w:p>
      <w:pPr>
        <w:pStyle w:val="Indenta"/>
      </w:pPr>
      <w:r>
        <w:rPr>
          <w:color w:val="000000" w:themeColor="text1"/>
        </w:rPr>
        <w:tab/>
        <w:t>(a)</w:t>
      </w:r>
      <w:r>
        <w:rPr>
          <w:color w:val="000000" w:themeColor="text1"/>
        </w:rPr>
        <w:tab/>
        <w:t>the candidate is unable to make reasonable judgments in respect of their participation in medical research; and</w:t>
      </w:r>
    </w:p>
    <w:p>
      <w:pPr>
        <w:pStyle w:val="Indenta"/>
      </w:pPr>
      <w:r>
        <w:tab/>
        <w:t>(b)</w:t>
      </w:r>
      <w:r>
        <w:tab/>
        <w:t xml:space="preserve">the person is first in order of the following persons — </w:t>
      </w:r>
    </w:p>
    <w:p>
      <w:pPr>
        <w:pStyle w:val="Indenti"/>
      </w:pPr>
      <w:r>
        <w:rPr>
          <w:color w:val="000000" w:themeColor="text1"/>
        </w:rPr>
        <w:tab/>
        <w:t>(i)</w:t>
      </w:r>
      <w:r>
        <w:rPr>
          <w:color w:val="000000" w:themeColor="text1"/>
        </w:rPr>
        <w:tab/>
        <w:t xml:space="preserve">a person to whom subsection (2) applies; </w:t>
      </w:r>
    </w:p>
    <w:p>
      <w:pPr>
        <w:pStyle w:val="Indenti"/>
      </w:pPr>
      <w:r>
        <w:tab/>
        <w:t>(ii)</w:t>
      </w:r>
      <w:r>
        <w:tab/>
        <w:t xml:space="preserve">if there is no person to whom subsection (2) applies — a person to whom subsection (3) applies; </w:t>
      </w:r>
    </w:p>
    <w:p>
      <w:pPr>
        <w:pStyle w:val="Indenti"/>
      </w:pPr>
      <w:r>
        <w:tab/>
        <w:t>(iii)</w:t>
      </w:r>
      <w:r>
        <w:tab/>
        <w:t>if there is no person to whom either subsection (2) or (3) applies — a person to whom subsection (4) applies.</w:t>
      </w:r>
    </w:p>
    <w:p>
      <w:pPr>
        <w:pStyle w:val="Subsection"/>
        <w:keepNext/>
      </w:pPr>
      <w:r>
        <w:rPr>
          <w:color w:val="000000" w:themeColor="text1"/>
        </w:rPr>
        <w:lastRenderedPageBreak/>
        <w:tab/>
        <w:t>(2)</w:t>
      </w:r>
      <w:r>
        <w:rPr>
          <w:color w:val="000000" w:themeColor="text1"/>
        </w:rPr>
        <w:tab/>
        <w:t xml:space="preserve">This subsection applies to a person who is — </w:t>
      </w:r>
    </w:p>
    <w:p>
      <w:pPr>
        <w:pStyle w:val="Indenta"/>
        <w:keepNext/>
      </w:pPr>
      <w:r>
        <w:rPr>
          <w:color w:val="000000" w:themeColor="text1"/>
        </w:rPr>
        <w:tab/>
        <w:t>(a)</w:t>
      </w:r>
      <w:r>
        <w:rPr>
          <w:color w:val="000000" w:themeColor="text1"/>
        </w:rPr>
        <w:tab/>
        <w:t>an enduring guardian for the research candidate; and</w:t>
      </w:r>
    </w:p>
    <w:p>
      <w:pPr>
        <w:pStyle w:val="Indenta"/>
      </w:pPr>
      <w:r>
        <w:tab/>
        <w:t>(b)</w:t>
      </w:r>
      <w:r>
        <w:tab/>
        <w:t>authorised to make a research decision in relation to the candidate; and</w:t>
      </w:r>
    </w:p>
    <w:p>
      <w:pPr>
        <w:pStyle w:val="Indenta"/>
      </w:pPr>
      <w:r>
        <w:tab/>
        <w:t>(c)</w:t>
      </w:r>
      <w:r>
        <w:tab/>
        <w:t>reasonably available; and</w:t>
      </w:r>
    </w:p>
    <w:p>
      <w:pPr>
        <w:pStyle w:val="Indenta"/>
      </w:pPr>
      <w:r>
        <w:tab/>
        <w:t>(d)</w:t>
      </w:r>
      <w:r>
        <w:tab/>
        <w:t>willing to make a research decision in relation to the candidate.</w:t>
      </w:r>
    </w:p>
    <w:p>
      <w:pPr>
        <w:pStyle w:val="Subsection"/>
      </w:pPr>
      <w:r>
        <w:rPr>
          <w:color w:val="000000" w:themeColor="text1"/>
        </w:rPr>
        <w:tab/>
        <w:t>(3)</w:t>
      </w:r>
      <w:r>
        <w:rPr>
          <w:color w:val="000000" w:themeColor="text1"/>
        </w:rPr>
        <w:tab/>
        <w:t xml:space="preserve">This subsection applies to a person who is — </w:t>
      </w:r>
    </w:p>
    <w:p>
      <w:pPr>
        <w:pStyle w:val="Indenta"/>
      </w:pPr>
      <w:r>
        <w:rPr>
          <w:color w:val="000000" w:themeColor="text1"/>
        </w:rPr>
        <w:tab/>
        <w:t>(a)</w:t>
      </w:r>
      <w:r>
        <w:rPr>
          <w:color w:val="000000" w:themeColor="text1"/>
        </w:rPr>
        <w:tab/>
        <w:t>a guardian for the research candidate; and</w:t>
      </w:r>
    </w:p>
    <w:p>
      <w:pPr>
        <w:pStyle w:val="Indenta"/>
      </w:pPr>
      <w:r>
        <w:tab/>
        <w:t>(b)</w:t>
      </w:r>
      <w:r>
        <w:tab/>
        <w:t>authorised to make a research decision in relation to the candidate; and</w:t>
      </w:r>
    </w:p>
    <w:p>
      <w:pPr>
        <w:pStyle w:val="Indenta"/>
      </w:pPr>
      <w:r>
        <w:tab/>
        <w:t>(c)</w:t>
      </w:r>
      <w:r>
        <w:tab/>
        <w:t>reasonably available; and</w:t>
      </w:r>
    </w:p>
    <w:p>
      <w:pPr>
        <w:pStyle w:val="Indenta"/>
      </w:pPr>
      <w:r>
        <w:tab/>
        <w:t>(d)</w:t>
      </w:r>
      <w:r>
        <w:tab/>
        <w:t>willing to make a research decision in relation to the candidate.</w:t>
      </w:r>
    </w:p>
    <w:p>
      <w:pPr>
        <w:pStyle w:val="Subsection"/>
      </w:pPr>
      <w:r>
        <w:rPr>
          <w:color w:val="000000" w:themeColor="text1"/>
        </w:rPr>
        <w:tab/>
        <w:t>(4)</w:t>
      </w:r>
      <w:r>
        <w:rPr>
          <w:color w:val="000000" w:themeColor="text1"/>
        </w:rPr>
        <w:tab/>
        <w:t>This subsection applies to a person who is a substitute decision</w:t>
      </w:r>
      <w:r>
        <w:rPr>
          <w:color w:val="000000" w:themeColor="text1"/>
        </w:rPr>
        <w:noBreakHyphen/>
        <w:t xml:space="preserve">maker for the research candidate under section 110ZQ. </w:t>
      </w:r>
    </w:p>
    <w:p>
      <w:pPr>
        <w:pStyle w:val="Subsection"/>
      </w:pPr>
      <w:r>
        <w:tab/>
        <w:t>(5)</w:t>
      </w:r>
      <w:r>
        <w:tab/>
        <w:t>If there are 2 or more persons who are the research decision</w:t>
      </w:r>
      <w:r>
        <w:noBreakHyphen/>
        <w:t xml:space="preserve">makers for a research candidate under this section — </w:t>
      </w:r>
    </w:p>
    <w:p>
      <w:pPr>
        <w:pStyle w:val="Indenta"/>
      </w:pPr>
      <w:r>
        <w:rPr>
          <w:color w:val="000000" w:themeColor="text1"/>
        </w:rPr>
        <w:tab/>
        <w:t>(a)</w:t>
      </w:r>
      <w:r>
        <w:rPr>
          <w:color w:val="000000" w:themeColor="text1"/>
        </w:rPr>
        <w:tab/>
        <w:t>the persons are jointly the research decision</w:t>
      </w:r>
      <w:r>
        <w:rPr>
          <w:color w:val="000000" w:themeColor="text1"/>
        </w:rPr>
        <w:noBreakHyphen/>
        <w:t>maker for the candidate; and</w:t>
      </w:r>
    </w:p>
    <w:p>
      <w:pPr>
        <w:pStyle w:val="Indenta"/>
      </w:pPr>
      <w:r>
        <w:tab/>
        <w:t>(b)</w:t>
      </w:r>
      <w:r>
        <w:tab/>
        <w:t>if the persons cannot agree on a research decision for the candidate — the person next in order of priority under this section is the research decision</w:t>
      </w:r>
      <w:r>
        <w:noBreakHyphen/>
        <w:t xml:space="preserve">maker for the candidate. </w:t>
      </w:r>
    </w:p>
    <w:p>
      <w:pPr>
        <w:pStyle w:val="Footnotesection"/>
      </w:pPr>
      <w:r>
        <w:tab/>
        <w:t>[Section 110ZP inserted: No. 14 of 2020 s. 12.]</w:t>
      </w:r>
    </w:p>
    <w:p>
      <w:pPr>
        <w:pStyle w:val="Heading5"/>
      </w:pPr>
      <w:bookmarkStart w:id="271" w:name="_Toc132299375"/>
      <w:r>
        <w:rPr>
          <w:rStyle w:val="CharSectno"/>
        </w:rPr>
        <w:lastRenderedPageBreak/>
        <w:t>110ZQ</w:t>
      </w:r>
      <w:r>
        <w:rPr>
          <w:color w:val="000000" w:themeColor="text1"/>
        </w:rPr>
        <w:t>.</w:t>
      </w:r>
      <w:r>
        <w:rPr>
          <w:color w:val="000000" w:themeColor="text1"/>
        </w:rPr>
        <w:tab/>
        <w:t>Substitute decision</w:t>
      </w:r>
      <w:r>
        <w:rPr>
          <w:color w:val="000000" w:themeColor="text1"/>
        </w:rPr>
        <w:noBreakHyphen/>
        <w:t>maker for a research candidate</w:t>
      </w:r>
      <w:bookmarkEnd w:id="271"/>
    </w:p>
    <w:p>
      <w:pPr>
        <w:pStyle w:val="Subsection"/>
        <w:keepNext/>
        <w:keepLines/>
      </w:pPr>
      <w:r>
        <w:rPr>
          <w:color w:val="000000" w:themeColor="text1"/>
        </w:rPr>
        <w:tab/>
        <w:t>(1)</w:t>
      </w:r>
      <w:r>
        <w:rPr>
          <w:color w:val="000000" w:themeColor="text1"/>
        </w:rPr>
        <w:tab/>
        <w:t>For the purposes of section 110ZP(4), a person is a substitute decision</w:t>
      </w:r>
      <w:r>
        <w:rPr>
          <w:color w:val="000000" w:themeColor="text1"/>
        </w:rPr>
        <w:noBreakHyphen/>
        <w:t xml:space="preserve">maker for a research candidate if the person is the first in order of the persons listed in subsection (2) who is — </w:t>
      </w:r>
    </w:p>
    <w:p>
      <w:pPr>
        <w:pStyle w:val="Indenta"/>
        <w:keepNext/>
        <w:keepLines/>
      </w:pPr>
      <w:r>
        <w:rPr>
          <w:color w:val="000000" w:themeColor="text1"/>
        </w:rPr>
        <w:tab/>
        <w:t>(a)</w:t>
      </w:r>
      <w:r>
        <w:rPr>
          <w:color w:val="000000" w:themeColor="text1"/>
        </w:rPr>
        <w:tab/>
        <w:t>of full legal capacity; and</w:t>
      </w:r>
    </w:p>
    <w:p>
      <w:pPr>
        <w:pStyle w:val="Indenta"/>
        <w:keepNext/>
      </w:pPr>
      <w:r>
        <w:tab/>
        <w:t>(b)</w:t>
      </w:r>
      <w:r>
        <w:tab/>
        <w:t>reasonably available; and</w:t>
      </w:r>
    </w:p>
    <w:p>
      <w:pPr>
        <w:pStyle w:val="Indenta"/>
        <w:keepNext/>
      </w:pPr>
      <w:r>
        <w:tab/>
        <w:t>(c)</w:t>
      </w:r>
      <w:r>
        <w:tab/>
        <w:t>willing to make a research decision in relation to the candidate.</w:t>
      </w:r>
    </w:p>
    <w:p>
      <w:pPr>
        <w:pStyle w:val="Subsection"/>
        <w:keepNext/>
      </w:pPr>
      <w:r>
        <w:rPr>
          <w:color w:val="000000" w:themeColor="text1"/>
        </w:rPr>
        <w:tab/>
        <w:t>(2)</w:t>
      </w:r>
      <w:r>
        <w:rPr>
          <w:color w:val="000000" w:themeColor="text1"/>
        </w:rPr>
        <w:tab/>
        <w:t xml:space="preserve">For subsection (1), the persons are the following — </w:t>
      </w:r>
    </w:p>
    <w:p>
      <w:pPr>
        <w:pStyle w:val="Indenta"/>
      </w:pPr>
      <w:r>
        <w:rPr>
          <w:color w:val="000000" w:themeColor="text1"/>
        </w:rPr>
        <w:tab/>
        <w:t>(a)</w:t>
      </w:r>
      <w:r>
        <w:rPr>
          <w:color w:val="000000" w:themeColor="text1"/>
        </w:rPr>
        <w:tab/>
        <w:t>the research candidate’s spouse or de facto partner if that person —</w:t>
      </w:r>
    </w:p>
    <w:p>
      <w:pPr>
        <w:pStyle w:val="Indenti"/>
      </w:pPr>
      <w:r>
        <w:rPr>
          <w:color w:val="000000" w:themeColor="text1"/>
        </w:rPr>
        <w:tab/>
        <w:t>(i)</w:t>
      </w:r>
      <w:r>
        <w:rPr>
          <w:color w:val="000000" w:themeColor="text1"/>
        </w:rPr>
        <w:tab/>
        <w:t>has reached 18 years of age; and</w:t>
      </w:r>
    </w:p>
    <w:p>
      <w:pPr>
        <w:pStyle w:val="Indenti"/>
      </w:pPr>
      <w:r>
        <w:tab/>
        <w:t>(ii)</w:t>
      </w:r>
      <w:r>
        <w:tab/>
        <w:t>is living with the candidate or maintains a close personal relationship with the candidate;</w:t>
      </w:r>
    </w:p>
    <w:p>
      <w:pPr>
        <w:pStyle w:val="Indenta"/>
      </w:pPr>
      <w:r>
        <w:rPr>
          <w:color w:val="000000" w:themeColor="text1"/>
        </w:rPr>
        <w:tab/>
        <w:t>(b)</w:t>
      </w:r>
      <w:r>
        <w:rPr>
          <w:color w:val="000000" w:themeColor="text1"/>
        </w:rPr>
        <w:tab/>
        <w:t xml:space="preserve">the person who is first in the following order of priority of relatives of the research candidate who has reached 18 years of age and maintains a close personal relationship with the candidate — </w:t>
      </w:r>
    </w:p>
    <w:p>
      <w:pPr>
        <w:pStyle w:val="Indenti"/>
      </w:pPr>
      <w:r>
        <w:rPr>
          <w:color w:val="000000" w:themeColor="text1"/>
        </w:rPr>
        <w:tab/>
        <w:t>(i)</w:t>
      </w:r>
      <w:r>
        <w:rPr>
          <w:color w:val="000000" w:themeColor="text1"/>
        </w:rPr>
        <w:tab/>
        <w:t>a child;</w:t>
      </w:r>
    </w:p>
    <w:p>
      <w:pPr>
        <w:pStyle w:val="Indenti"/>
      </w:pPr>
      <w:r>
        <w:tab/>
        <w:t>(ii)</w:t>
      </w:r>
      <w:r>
        <w:tab/>
        <w:t>a parent;</w:t>
      </w:r>
    </w:p>
    <w:p>
      <w:pPr>
        <w:pStyle w:val="Indenti"/>
      </w:pPr>
      <w:r>
        <w:tab/>
        <w:t>(iii)</w:t>
      </w:r>
      <w:r>
        <w:tab/>
        <w:t>a sibling;</w:t>
      </w:r>
    </w:p>
    <w:p>
      <w:pPr>
        <w:pStyle w:val="Indenta"/>
      </w:pPr>
      <w:r>
        <w:rPr>
          <w:color w:val="000000" w:themeColor="text1"/>
        </w:rPr>
        <w:tab/>
        <w:t>(c)</w:t>
      </w:r>
      <w:r>
        <w:rPr>
          <w:color w:val="000000" w:themeColor="text1"/>
        </w:rPr>
        <w:tab/>
        <w:t>the person who —</w:t>
      </w:r>
    </w:p>
    <w:p>
      <w:pPr>
        <w:pStyle w:val="Indenti"/>
      </w:pPr>
      <w:r>
        <w:rPr>
          <w:color w:val="000000" w:themeColor="text1"/>
        </w:rPr>
        <w:tab/>
        <w:t>(i)</w:t>
      </w:r>
      <w:r>
        <w:rPr>
          <w:color w:val="000000" w:themeColor="text1"/>
        </w:rPr>
        <w:tab/>
        <w:t>has reached 18 years of age; and</w:t>
      </w:r>
    </w:p>
    <w:p>
      <w:pPr>
        <w:pStyle w:val="Indenti"/>
      </w:pPr>
      <w:r>
        <w:tab/>
        <w:t>(ii)</w:t>
      </w:r>
      <w:r>
        <w:tab/>
        <w:t>is the primary provider of care and support (including emotional support) to the research candidate, but is not remunerated for providing that care and support;</w:t>
      </w:r>
    </w:p>
    <w:p>
      <w:pPr>
        <w:pStyle w:val="Indenta"/>
      </w:pPr>
      <w:r>
        <w:rPr>
          <w:color w:val="000000" w:themeColor="text1"/>
        </w:rPr>
        <w:tab/>
        <w:t>(d)</w:t>
      </w:r>
      <w:r>
        <w:rPr>
          <w:color w:val="000000" w:themeColor="text1"/>
        </w:rPr>
        <w:tab/>
        <w:t>any other person who —</w:t>
      </w:r>
    </w:p>
    <w:p>
      <w:pPr>
        <w:pStyle w:val="Indenti"/>
      </w:pPr>
      <w:r>
        <w:rPr>
          <w:color w:val="000000" w:themeColor="text1"/>
        </w:rPr>
        <w:tab/>
        <w:t>(i)</w:t>
      </w:r>
      <w:r>
        <w:rPr>
          <w:color w:val="000000" w:themeColor="text1"/>
        </w:rPr>
        <w:tab/>
        <w:t>has reached 18 years of age; and</w:t>
      </w:r>
    </w:p>
    <w:p>
      <w:pPr>
        <w:pStyle w:val="Indenti"/>
      </w:pPr>
      <w:r>
        <w:tab/>
        <w:t>(ii)</w:t>
      </w:r>
      <w:r>
        <w:tab/>
        <w:t>maintains a close personal relationship with the research candidate.</w:t>
      </w:r>
    </w:p>
    <w:p>
      <w:pPr>
        <w:pStyle w:val="Subsection"/>
      </w:pPr>
      <w:r>
        <w:rPr>
          <w:color w:val="000000" w:themeColor="text1"/>
        </w:rPr>
        <w:lastRenderedPageBreak/>
        <w:tab/>
        <w:t>(3)</w:t>
      </w:r>
      <w:r>
        <w:rPr>
          <w:color w:val="000000" w:themeColor="text1"/>
        </w:rPr>
        <w:tab/>
        <w:t xml:space="preserve">For subsection (2)(a)(ii), (b) and (d)(ii), a person maintains a close personal relationship with a research candidate only if the person — </w:t>
      </w:r>
    </w:p>
    <w:p>
      <w:pPr>
        <w:pStyle w:val="Indenta"/>
      </w:pPr>
      <w:r>
        <w:rPr>
          <w:color w:val="000000" w:themeColor="text1"/>
        </w:rPr>
        <w:tab/>
        <w:t>(a)</w:t>
      </w:r>
      <w:r>
        <w:rPr>
          <w:color w:val="000000" w:themeColor="text1"/>
        </w:rPr>
        <w:tab/>
        <w:t>has frequent contact of a personal (as opposed to a business or professional) nature with the candidate; and</w:t>
      </w:r>
    </w:p>
    <w:p>
      <w:pPr>
        <w:pStyle w:val="Indenta"/>
      </w:pPr>
      <w:r>
        <w:tab/>
        <w:t>(b)</w:t>
      </w:r>
      <w:r>
        <w:tab/>
        <w:t>takes a genuine interest in the candidate’s welfare.</w:t>
      </w:r>
    </w:p>
    <w:p>
      <w:pPr>
        <w:pStyle w:val="Subsection"/>
      </w:pPr>
      <w:r>
        <w:rPr>
          <w:color w:val="000000" w:themeColor="text1"/>
        </w:rPr>
        <w:tab/>
        <w:t>(4)</w:t>
      </w:r>
      <w:r>
        <w:rPr>
          <w:color w:val="000000" w:themeColor="text1"/>
        </w:rPr>
        <w:tab/>
        <w:t>For subsection (2)(c)(ii), a person is not remunerated for providing care and support to a research candidate only because the person receives a carer payment or other benefit from the Commonwealth or a State or Territory for providing home care for the candidate.</w:t>
      </w:r>
    </w:p>
    <w:p>
      <w:pPr>
        <w:pStyle w:val="Subsection"/>
      </w:pPr>
      <w:r>
        <w:tab/>
        <w:t>(5)</w:t>
      </w:r>
      <w:r>
        <w:tab/>
        <w:t>If there are 2 or more persons who are the substitute decision</w:t>
      </w:r>
      <w:r>
        <w:noBreakHyphen/>
        <w:t xml:space="preserve">makers for a research candidate under this section — </w:t>
      </w:r>
    </w:p>
    <w:p>
      <w:pPr>
        <w:pStyle w:val="Indenta"/>
      </w:pPr>
      <w:r>
        <w:rPr>
          <w:color w:val="000000" w:themeColor="text1"/>
        </w:rPr>
        <w:tab/>
        <w:t>(a)</w:t>
      </w:r>
      <w:r>
        <w:rPr>
          <w:color w:val="000000" w:themeColor="text1"/>
        </w:rPr>
        <w:tab/>
        <w:t>the persons are jointly the substitute decision</w:t>
      </w:r>
      <w:r>
        <w:rPr>
          <w:color w:val="000000" w:themeColor="text1"/>
        </w:rPr>
        <w:noBreakHyphen/>
        <w:t>maker for the candidate; and</w:t>
      </w:r>
    </w:p>
    <w:p>
      <w:pPr>
        <w:pStyle w:val="Indenta"/>
      </w:pPr>
      <w:r>
        <w:tab/>
        <w:t>(b)</w:t>
      </w:r>
      <w:r>
        <w:tab/>
        <w:t>if the persons cannot agree on a research decision for the candidate — the person next in order of priority under this section is the substitute decision</w:t>
      </w:r>
      <w:r>
        <w:noBreakHyphen/>
        <w:t xml:space="preserve">maker for the candidate. </w:t>
      </w:r>
    </w:p>
    <w:p>
      <w:pPr>
        <w:pStyle w:val="Footnotesection"/>
      </w:pPr>
      <w:r>
        <w:tab/>
        <w:t>[Section 110ZQ inserted: No. 14 of 2020 s. 12.]</w:t>
      </w:r>
    </w:p>
    <w:p>
      <w:pPr>
        <w:pStyle w:val="Heading3"/>
      </w:pPr>
      <w:bookmarkStart w:id="272" w:name="_Toc132193527"/>
      <w:bookmarkStart w:id="273" w:name="_Toc132193777"/>
      <w:bookmarkStart w:id="274" w:name="_Toc132299376"/>
      <w:r>
        <w:rPr>
          <w:rStyle w:val="CharDivNo"/>
        </w:rPr>
        <w:t>Division 2</w:t>
      </w:r>
      <w:r>
        <w:rPr>
          <w:color w:val="000000" w:themeColor="text1"/>
        </w:rPr>
        <w:t> — </w:t>
      </w:r>
      <w:r>
        <w:rPr>
          <w:rStyle w:val="CharDivText"/>
        </w:rPr>
        <w:t>Decisions about medical research</w:t>
      </w:r>
      <w:bookmarkEnd w:id="272"/>
      <w:bookmarkEnd w:id="273"/>
      <w:bookmarkEnd w:id="274"/>
    </w:p>
    <w:p>
      <w:pPr>
        <w:pStyle w:val="Footnoteheading"/>
      </w:pPr>
      <w:r>
        <w:tab/>
        <w:t>[Heading inserted: No. 14 of 2020 s. 12.]</w:t>
      </w:r>
    </w:p>
    <w:p>
      <w:pPr>
        <w:pStyle w:val="Heading5"/>
      </w:pPr>
      <w:bookmarkStart w:id="275" w:name="_Toc132299377"/>
      <w:r>
        <w:rPr>
          <w:rStyle w:val="CharSectno"/>
        </w:rPr>
        <w:t>110ZR</w:t>
      </w:r>
      <w:r>
        <w:rPr>
          <w:color w:val="000000" w:themeColor="text1"/>
        </w:rPr>
        <w:t>.</w:t>
      </w:r>
      <w:r>
        <w:rPr>
          <w:color w:val="000000" w:themeColor="text1"/>
        </w:rPr>
        <w:tab/>
        <w:t>Medical research with consent of research decision</w:t>
      </w:r>
      <w:r>
        <w:rPr>
          <w:color w:val="000000" w:themeColor="text1"/>
        </w:rPr>
        <w:noBreakHyphen/>
        <w:t>maker</w:t>
      </w:r>
      <w:bookmarkEnd w:id="275"/>
    </w:p>
    <w:p>
      <w:pPr>
        <w:pStyle w:val="Subsection"/>
      </w:pPr>
      <w:r>
        <w:rPr>
          <w:color w:val="000000" w:themeColor="text1"/>
        </w:rPr>
        <w:tab/>
        <w:t>(1)</w:t>
      </w:r>
      <w:r>
        <w:rPr>
          <w:color w:val="000000" w:themeColor="text1"/>
        </w:rPr>
        <w:tab/>
        <w:t>The research decision</w:t>
      </w:r>
      <w:r>
        <w:rPr>
          <w:color w:val="000000" w:themeColor="text1"/>
        </w:rPr>
        <w:noBreakHyphen/>
        <w:t xml:space="preserve">maker for a research candidate may make a research decision in relation to the candidate’s participation in medical research if — </w:t>
      </w:r>
    </w:p>
    <w:p>
      <w:pPr>
        <w:pStyle w:val="Indenta"/>
      </w:pPr>
      <w:r>
        <w:rPr>
          <w:color w:val="000000" w:themeColor="text1"/>
        </w:rPr>
        <w:tab/>
        <w:t>(a)</w:t>
      </w:r>
      <w:r>
        <w:rPr>
          <w:color w:val="000000" w:themeColor="text1"/>
        </w:rPr>
        <w:tab/>
        <w:t>the research has been approved by an HREC; and</w:t>
      </w:r>
    </w:p>
    <w:p>
      <w:pPr>
        <w:pStyle w:val="Indenta"/>
      </w:pPr>
      <w:r>
        <w:tab/>
        <w:t>(b)</w:t>
      </w:r>
      <w:r>
        <w:tab/>
        <w:t>the candidate is unable to make reasonable judgments in relation to participating in the research; and</w:t>
      </w:r>
    </w:p>
    <w:p>
      <w:pPr>
        <w:pStyle w:val="Indenta"/>
        <w:keepNext/>
        <w:keepLines/>
      </w:pPr>
      <w:r>
        <w:lastRenderedPageBreak/>
        <w:tab/>
        <w:t>(c)</w:t>
      </w:r>
      <w:r>
        <w:tab/>
        <w:t>an independent medical practitioner determines in accordance with section 110ZV that the candidate is not likely to be able to make reasonable judgments within the timeframe for the research approved by the HREC.</w:t>
      </w:r>
    </w:p>
    <w:p>
      <w:pPr>
        <w:pStyle w:val="Subsection"/>
      </w:pPr>
      <w:r>
        <w:rPr>
          <w:color w:val="000000" w:themeColor="text1"/>
        </w:rPr>
        <w:tab/>
        <w:t>(2)</w:t>
      </w:r>
      <w:r>
        <w:rPr>
          <w:color w:val="000000" w:themeColor="text1"/>
        </w:rPr>
        <w:tab/>
        <w:t>The research decision</w:t>
      </w:r>
      <w:r>
        <w:rPr>
          <w:color w:val="000000" w:themeColor="text1"/>
        </w:rPr>
        <w:noBreakHyphen/>
        <w:t>maker for a research candidate must not consent to the candidate’s participation in medical research unless the research decision</w:t>
      </w:r>
      <w:r>
        <w:rPr>
          <w:color w:val="000000" w:themeColor="text1"/>
        </w:rPr>
        <w:noBreakHyphen/>
        <w:t xml:space="preserve">maker — </w:t>
      </w:r>
    </w:p>
    <w:p>
      <w:pPr>
        <w:pStyle w:val="Indenta"/>
      </w:pPr>
      <w:r>
        <w:rPr>
          <w:color w:val="000000" w:themeColor="text1"/>
        </w:rPr>
        <w:tab/>
        <w:t>(a)</w:t>
      </w:r>
      <w:r>
        <w:rPr>
          <w:color w:val="000000" w:themeColor="text1"/>
        </w:rPr>
        <w:tab/>
        <w:t>receives the determination of an independent medical practitioner under subsection (3); and</w:t>
      </w:r>
    </w:p>
    <w:p>
      <w:pPr>
        <w:pStyle w:val="Indenta"/>
      </w:pPr>
      <w:r>
        <w:tab/>
        <w:t>(b)</w:t>
      </w:r>
      <w:r>
        <w:tab/>
        <w:t>determines, having regard to the independent medical practitioner’s determination under subsection (3)(a), that the candidate’s participation in the research is in the best interests of the candidate or is not adverse to the interests of the candidate; and</w:t>
      </w:r>
    </w:p>
    <w:p>
      <w:pPr>
        <w:pStyle w:val="Indenta"/>
      </w:pPr>
      <w:r>
        <w:tab/>
        <w:t>(c)</w:t>
      </w:r>
      <w:r>
        <w:tab/>
        <w:t xml:space="preserve">determines, having regard to the independent medical practitioner’s determination under subsection (3)(b), that the candidate’s participation — </w:t>
      </w:r>
    </w:p>
    <w:p>
      <w:pPr>
        <w:pStyle w:val="Indenti"/>
      </w:pPr>
      <w:r>
        <w:rPr>
          <w:color w:val="000000" w:themeColor="text1"/>
        </w:rPr>
        <w:tab/>
        <w:t>(i)</w:t>
      </w:r>
      <w:r>
        <w:rPr>
          <w:color w:val="000000" w:themeColor="text1"/>
        </w:rPr>
        <w:tab/>
        <w:t>will only involve observing the candidate or carrying out another non</w:t>
      </w:r>
      <w:r>
        <w:rPr>
          <w:color w:val="000000" w:themeColor="text1"/>
        </w:rPr>
        <w:noBreakHyphen/>
        <w:t>invasive examination, treatment or procedure; or</w:t>
      </w:r>
    </w:p>
    <w:p>
      <w:pPr>
        <w:pStyle w:val="Indenti"/>
      </w:pPr>
      <w:r>
        <w:tab/>
        <w:t>(ii)</w:t>
      </w:r>
      <w:r>
        <w:tab/>
        <w:t>if subparagraph (i) does not apply — will not involve any known substantial risks to the candidate; or</w:t>
      </w:r>
    </w:p>
    <w:p>
      <w:pPr>
        <w:pStyle w:val="Indenti"/>
      </w:pPr>
      <w:r>
        <w:tab/>
        <w:t>(iii)</w:t>
      </w:r>
      <w:r>
        <w:tab/>
        <w:t>if subparagraphs (i) and (ii) do not apply and there is an existing treatment available to the candidate — will not involve any known substantial risks to the candidate greater than the risks associated with that treatment; or</w:t>
      </w:r>
    </w:p>
    <w:p>
      <w:pPr>
        <w:pStyle w:val="Indenti"/>
      </w:pPr>
      <w:r>
        <w:tab/>
        <w:t>(iv)</w:t>
      </w:r>
      <w:r>
        <w:tab/>
        <w:t xml:space="preserve">if subparagraphs (i) to (iii) do not apply — will not involve substantial risks to the candidate greater than if the candidate did not participate in the research. </w:t>
      </w:r>
    </w:p>
    <w:p>
      <w:pPr>
        <w:pStyle w:val="Subsection"/>
        <w:keepNext/>
        <w:keepLines/>
      </w:pPr>
      <w:r>
        <w:rPr>
          <w:color w:val="000000" w:themeColor="text1"/>
        </w:rPr>
        <w:lastRenderedPageBreak/>
        <w:tab/>
        <w:t>(3)</w:t>
      </w:r>
      <w:r>
        <w:rPr>
          <w:color w:val="000000" w:themeColor="text1"/>
        </w:rPr>
        <w:tab/>
        <w:t xml:space="preserve">An independent medical practitioner must determine — </w:t>
      </w:r>
    </w:p>
    <w:p>
      <w:pPr>
        <w:pStyle w:val="Indenta"/>
      </w:pPr>
      <w:r>
        <w:rPr>
          <w:color w:val="000000" w:themeColor="text1"/>
        </w:rPr>
        <w:tab/>
        <w:t>(a)</w:t>
      </w:r>
      <w:r>
        <w:rPr>
          <w:color w:val="000000" w:themeColor="text1"/>
        </w:rPr>
        <w:tab/>
        <w:t>whether the research candidate’s participation will be in the best interests of the candidate or will not be adverse to the interests of the candidate in accordance with section 110ZU; and</w:t>
      </w:r>
    </w:p>
    <w:p>
      <w:pPr>
        <w:pStyle w:val="Indenta"/>
      </w:pPr>
      <w:r>
        <w:tab/>
        <w:t>(b)</w:t>
      </w:r>
      <w:r>
        <w:tab/>
        <w:t xml:space="preserve">the matters stated in subsection (2)(c) in accordance with section 110ZW. </w:t>
      </w:r>
    </w:p>
    <w:p>
      <w:pPr>
        <w:pStyle w:val="Subsection"/>
      </w:pPr>
      <w:r>
        <w:rPr>
          <w:color w:val="000000" w:themeColor="text1"/>
        </w:rPr>
        <w:tab/>
        <w:t>(4)</w:t>
      </w:r>
      <w:r>
        <w:rPr>
          <w:color w:val="000000" w:themeColor="text1"/>
        </w:rPr>
        <w:tab/>
        <w:t>A research decision</w:t>
      </w:r>
      <w:r>
        <w:rPr>
          <w:color w:val="000000" w:themeColor="text1"/>
        </w:rPr>
        <w:noBreakHyphen/>
        <w:t>maker for a research candidate cannot make a research decision under this section to consent to the candidate’s participation in the medical research if the participation is inconsistent with any advance health directive in operation in respect of the candidate.</w:t>
      </w:r>
    </w:p>
    <w:p>
      <w:pPr>
        <w:pStyle w:val="Subsection"/>
      </w:pPr>
      <w:r>
        <w:tab/>
        <w:t>(5)</w:t>
      </w:r>
      <w:r>
        <w:tab/>
        <w:t xml:space="preserve">A research decision made under this section has effect as if — </w:t>
      </w:r>
    </w:p>
    <w:p>
      <w:pPr>
        <w:pStyle w:val="Indenta"/>
      </w:pPr>
      <w:r>
        <w:rPr>
          <w:color w:val="000000" w:themeColor="text1"/>
        </w:rPr>
        <w:tab/>
        <w:t>(a)</w:t>
      </w:r>
      <w:r>
        <w:rPr>
          <w:color w:val="000000" w:themeColor="text1"/>
        </w:rPr>
        <w:tab/>
        <w:t>it were made by the research candidate or with the candidate’s consent; and</w:t>
      </w:r>
    </w:p>
    <w:p>
      <w:pPr>
        <w:pStyle w:val="Indenta"/>
      </w:pPr>
      <w:r>
        <w:tab/>
        <w:t>(b)</w:t>
      </w:r>
      <w:r>
        <w:tab/>
        <w:t>the research candidate were of full legal capacity.</w:t>
      </w:r>
    </w:p>
    <w:p>
      <w:pPr>
        <w:pStyle w:val="Subsection"/>
      </w:pPr>
      <w:r>
        <w:rPr>
          <w:color w:val="000000" w:themeColor="text1"/>
        </w:rPr>
        <w:tab/>
        <w:t>(6)</w:t>
      </w:r>
      <w:r>
        <w:rPr>
          <w:color w:val="000000" w:themeColor="text1"/>
        </w:rPr>
        <w:tab/>
        <w:t>If a research decision</w:t>
      </w:r>
      <w:r>
        <w:rPr>
          <w:color w:val="000000" w:themeColor="text1"/>
        </w:rPr>
        <w:noBreakHyphen/>
        <w:t>maker for a research candidate has made a research decision to consent to the candidate’s participation in the medical research under subsection (1), a research decision</w:t>
      </w:r>
      <w:r>
        <w:rPr>
          <w:color w:val="000000" w:themeColor="text1"/>
        </w:rPr>
        <w:noBreakHyphen/>
        <w:t xml:space="preserve">maker for the candidate may decide that, contrary to the research decision, the candidate will no longer participate in the research. </w:t>
      </w:r>
    </w:p>
    <w:p>
      <w:pPr>
        <w:pStyle w:val="Subsection"/>
      </w:pPr>
      <w:r>
        <w:tab/>
        <w:t>(7)</w:t>
      </w:r>
      <w:r>
        <w:tab/>
        <w:t>If a research candidate regains the ability to make reasonable judgments in respect of medical research while the candidate participates in the research or a research decision</w:t>
      </w:r>
      <w:r>
        <w:noBreakHyphen/>
        <w:t xml:space="preserve">maker makes a decision under subsection (6) — </w:t>
      </w:r>
    </w:p>
    <w:p>
      <w:pPr>
        <w:pStyle w:val="Indenta"/>
      </w:pPr>
      <w:r>
        <w:rPr>
          <w:color w:val="000000" w:themeColor="text1"/>
        </w:rPr>
        <w:tab/>
        <w:t>(a)</w:t>
      </w:r>
      <w:r>
        <w:rPr>
          <w:color w:val="000000" w:themeColor="text1"/>
        </w:rPr>
        <w:tab/>
        <w:t>the research decision made under subsection (1) ceases to have further effect; and</w:t>
      </w:r>
    </w:p>
    <w:p>
      <w:pPr>
        <w:pStyle w:val="Indenta"/>
      </w:pPr>
      <w:r>
        <w:tab/>
        <w:t>(b)</w:t>
      </w:r>
      <w:r>
        <w:tab/>
        <w:t xml:space="preserve">the lead researcher in relation to the research must ensure that — </w:t>
      </w:r>
    </w:p>
    <w:p>
      <w:pPr>
        <w:pStyle w:val="Indenti"/>
      </w:pPr>
      <w:r>
        <w:rPr>
          <w:color w:val="000000" w:themeColor="text1"/>
        </w:rPr>
        <w:tab/>
        <w:t>(i)</w:t>
      </w:r>
      <w:r>
        <w:rPr>
          <w:color w:val="000000" w:themeColor="text1"/>
        </w:rPr>
        <w:tab/>
        <w:t>the research is discontinued as soon as is safely practicable; and</w:t>
      </w:r>
    </w:p>
    <w:p>
      <w:pPr>
        <w:pStyle w:val="Indenti"/>
      </w:pPr>
      <w:r>
        <w:lastRenderedPageBreak/>
        <w:tab/>
        <w:t>(ii)</w:t>
      </w:r>
      <w:r>
        <w:tab/>
        <w:t>the research is not recommenced unless a research decision is made by the candidate, or by the research decision</w:t>
      </w:r>
      <w:r>
        <w:noBreakHyphen/>
        <w:t>maker under subsection (1), to consent to continue to participate in the research.</w:t>
      </w:r>
    </w:p>
    <w:p>
      <w:pPr>
        <w:pStyle w:val="Footnotesection"/>
      </w:pPr>
      <w:r>
        <w:tab/>
        <w:t>[Section 110ZR inserted: No. 14 of 2020 s. 12.]</w:t>
      </w:r>
    </w:p>
    <w:p>
      <w:pPr>
        <w:pStyle w:val="Heading5"/>
      </w:pPr>
      <w:bookmarkStart w:id="276" w:name="_Toc132299378"/>
      <w:r>
        <w:rPr>
          <w:rStyle w:val="CharSectno"/>
        </w:rPr>
        <w:t>110ZS</w:t>
      </w:r>
      <w:r>
        <w:rPr>
          <w:color w:val="000000" w:themeColor="text1"/>
        </w:rPr>
        <w:t>.</w:t>
      </w:r>
      <w:r>
        <w:rPr>
          <w:color w:val="000000" w:themeColor="text1"/>
        </w:rPr>
        <w:tab/>
        <w:t>Urgent medical research without consent</w:t>
      </w:r>
      <w:bookmarkEnd w:id="276"/>
    </w:p>
    <w:p>
      <w:pPr>
        <w:pStyle w:val="Subsection"/>
      </w:pPr>
      <w:r>
        <w:rPr>
          <w:color w:val="000000" w:themeColor="text1"/>
        </w:rPr>
        <w:tab/>
        <w:t>(1)</w:t>
      </w:r>
      <w:r>
        <w:rPr>
          <w:color w:val="000000" w:themeColor="text1"/>
        </w:rPr>
        <w:tab/>
        <w:t xml:space="preserve">A researcher may conduct medical research in relation to a research candidate if — </w:t>
      </w:r>
    </w:p>
    <w:p>
      <w:pPr>
        <w:pStyle w:val="Indenta"/>
      </w:pPr>
      <w:r>
        <w:rPr>
          <w:color w:val="000000" w:themeColor="text1"/>
        </w:rPr>
        <w:tab/>
        <w:t>(a)</w:t>
      </w:r>
      <w:r>
        <w:rPr>
          <w:color w:val="000000" w:themeColor="text1"/>
        </w:rPr>
        <w:tab/>
        <w:t>the research has been approved by an HREC; and</w:t>
      </w:r>
    </w:p>
    <w:p>
      <w:pPr>
        <w:pStyle w:val="Indenta"/>
      </w:pPr>
      <w:r>
        <w:tab/>
        <w:t>(b)</w:t>
      </w:r>
      <w:r>
        <w:tab/>
        <w:t>the candidate requires urgent treatment as defined in section 110ZH; and</w:t>
      </w:r>
    </w:p>
    <w:p>
      <w:pPr>
        <w:pStyle w:val="Indenta"/>
      </w:pPr>
      <w:r>
        <w:tab/>
        <w:t>(c)</w:t>
      </w:r>
      <w:r>
        <w:tab/>
        <w:t>the candidate is unable to make reasonable judgments in respect of their participation in the research; and</w:t>
      </w:r>
    </w:p>
    <w:p>
      <w:pPr>
        <w:pStyle w:val="Indenta"/>
      </w:pPr>
      <w:r>
        <w:tab/>
        <w:t>(d)</w:t>
      </w:r>
      <w:r>
        <w:tab/>
        <w:t>there is no research decision in relation to the candidate in respect of their participation in the research; and</w:t>
      </w:r>
    </w:p>
    <w:p>
      <w:pPr>
        <w:pStyle w:val="Indenta"/>
      </w:pPr>
      <w:r>
        <w:tab/>
        <w:t>(e)</w:t>
      </w:r>
      <w:r>
        <w:tab/>
        <w:t>it is not practicable for the researcher to obtain a research decision in relation to the candidate from the research decision</w:t>
      </w:r>
      <w:r>
        <w:noBreakHyphen/>
        <w:t>maker for the candidate; and</w:t>
      </w:r>
    </w:p>
    <w:p>
      <w:pPr>
        <w:pStyle w:val="Indenta"/>
      </w:pPr>
      <w:r>
        <w:tab/>
        <w:t>(f)</w:t>
      </w:r>
      <w:r>
        <w:tab/>
        <w:t>it is unlikely that it will be practicable for the researcher to obtain a research decision in relation to the candidate from the research decision</w:t>
      </w:r>
      <w:r>
        <w:noBreakHyphen/>
        <w:t>maker for the candidate within the timeframe for the research approved by the HREC; and</w:t>
      </w:r>
    </w:p>
    <w:p>
      <w:pPr>
        <w:pStyle w:val="Indenta"/>
      </w:pPr>
      <w:r>
        <w:tab/>
        <w:t>(g)</w:t>
      </w:r>
      <w:r>
        <w:tab/>
        <w:t>the researcher receives an independent medical practitioner’s determination in accordance with section 110ZV that the candidate is not likely to be able to make reasonable judgments in respect of their participation in the research within the timeframe for the research approved by the HREC; and</w:t>
      </w:r>
    </w:p>
    <w:p>
      <w:pPr>
        <w:pStyle w:val="Indenta"/>
      </w:pPr>
      <w:r>
        <w:tab/>
        <w:t>(h)</w:t>
      </w:r>
      <w:r>
        <w:tab/>
        <w:t xml:space="preserve">the researcher receives an independent medical practitioner’s determination in accordance with </w:t>
      </w:r>
      <w:r>
        <w:lastRenderedPageBreak/>
        <w:t>section 110ZU that the candidate’s participation is in the best interests of the candidate or is not adverse to the interests of the candidate; and</w:t>
      </w:r>
    </w:p>
    <w:p>
      <w:pPr>
        <w:pStyle w:val="Indenta"/>
      </w:pPr>
      <w:r>
        <w:tab/>
        <w:t>(i)</w:t>
      </w:r>
      <w:r>
        <w:tab/>
        <w:t xml:space="preserve">the researcher receives an independent medical practitioner’s determination in accordance with section 110ZW that the candidate’s participation in the research — </w:t>
      </w:r>
    </w:p>
    <w:p>
      <w:pPr>
        <w:pStyle w:val="Indenti"/>
      </w:pPr>
      <w:r>
        <w:rPr>
          <w:color w:val="000000" w:themeColor="text1"/>
        </w:rPr>
        <w:tab/>
        <w:t>(i)</w:t>
      </w:r>
      <w:r>
        <w:rPr>
          <w:color w:val="000000" w:themeColor="text1"/>
        </w:rPr>
        <w:tab/>
        <w:t>will only involve observing the candidate or carrying out another non</w:t>
      </w:r>
      <w:r>
        <w:rPr>
          <w:color w:val="000000" w:themeColor="text1"/>
        </w:rPr>
        <w:noBreakHyphen/>
        <w:t>invasive examination, treatment or procedure; or</w:t>
      </w:r>
    </w:p>
    <w:p>
      <w:pPr>
        <w:pStyle w:val="Indenti"/>
      </w:pPr>
      <w:r>
        <w:tab/>
        <w:t>(ii)</w:t>
      </w:r>
      <w:r>
        <w:tab/>
        <w:t>if subparagraph (i) does not apply — will not involve any known substantial risks to the candidate; or</w:t>
      </w:r>
    </w:p>
    <w:p>
      <w:pPr>
        <w:pStyle w:val="Indenti"/>
      </w:pPr>
      <w:r>
        <w:tab/>
        <w:t>(iii)</w:t>
      </w:r>
      <w:r>
        <w:tab/>
        <w:t>if subparagraphs (i) and (ii) do not apply and there is an existing treatment available to the candidate — will not involve any known substantial risks to the candidate greater than the risks associated with that treatment; or</w:t>
      </w:r>
    </w:p>
    <w:p>
      <w:pPr>
        <w:pStyle w:val="Indenti"/>
      </w:pPr>
      <w:r>
        <w:tab/>
        <w:t>(iv)</w:t>
      </w:r>
      <w:r>
        <w:tab/>
        <w:t xml:space="preserve">if subparagraphs (i) to (iii) do not apply — will not involve substantial risks to the candidate greater than if the candidate did not participate in the research. </w:t>
      </w:r>
    </w:p>
    <w:p>
      <w:pPr>
        <w:pStyle w:val="Subsection"/>
      </w:pPr>
      <w:r>
        <w:rPr>
          <w:color w:val="000000" w:themeColor="text1"/>
        </w:rPr>
        <w:tab/>
        <w:t>(2)</w:t>
      </w:r>
      <w:r>
        <w:rPr>
          <w:color w:val="000000" w:themeColor="text1"/>
        </w:rPr>
        <w:tab/>
        <w:t xml:space="preserve">A researcher must not conduct medical research in relation to a research candidate in accordance with an urgent medical research decision if the researcher is aware, or ought reasonably to be aware, the research is inconsistent with any advance health directive in operation in respect of the candidate. </w:t>
      </w:r>
    </w:p>
    <w:p>
      <w:pPr>
        <w:pStyle w:val="Subsection"/>
      </w:pPr>
      <w:r>
        <w:tab/>
        <w:t>(3)</w:t>
      </w:r>
      <w:r>
        <w:tab/>
        <w:t>While a researcher conducts medical research in relation to a research candidate in accordance with an urgent medical research decision, the lead researcher in relation to the research must continue to take reasonable steps to obtain a research decision under section 110ZR in relation to the research candidate from the research decision</w:t>
      </w:r>
      <w:r>
        <w:noBreakHyphen/>
        <w:t xml:space="preserve">maker for the candidate. </w:t>
      </w:r>
    </w:p>
    <w:p>
      <w:pPr>
        <w:pStyle w:val="Subsection"/>
        <w:keepNext/>
      </w:pPr>
      <w:r>
        <w:lastRenderedPageBreak/>
        <w:tab/>
        <w:t>(4)</w:t>
      </w:r>
      <w:r>
        <w:tab/>
        <w:t xml:space="preserve">Subsection (5) applies if — </w:t>
      </w:r>
    </w:p>
    <w:p>
      <w:pPr>
        <w:pStyle w:val="Indenta"/>
      </w:pPr>
      <w:r>
        <w:rPr>
          <w:color w:val="000000" w:themeColor="text1"/>
        </w:rPr>
        <w:tab/>
        <w:t>(a)</w:t>
      </w:r>
      <w:r>
        <w:rPr>
          <w:color w:val="000000" w:themeColor="text1"/>
        </w:rPr>
        <w:tab/>
        <w:t>a researcher conducts medical research in relation to a research candidate in accordance with an urgent medical research decision; and</w:t>
      </w:r>
    </w:p>
    <w:p>
      <w:pPr>
        <w:pStyle w:val="Indenta"/>
      </w:pPr>
      <w:r>
        <w:tab/>
        <w:t>(b)</w:t>
      </w:r>
      <w:r>
        <w:tab/>
        <w:t xml:space="preserve">either — </w:t>
      </w:r>
    </w:p>
    <w:p>
      <w:pPr>
        <w:pStyle w:val="Indenti"/>
      </w:pPr>
      <w:r>
        <w:rPr>
          <w:color w:val="000000" w:themeColor="text1"/>
        </w:rPr>
        <w:tab/>
        <w:t>(i)</w:t>
      </w:r>
      <w:r>
        <w:rPr>
          <w:color w:val="000000" w:themeColor="text1"/>
        </w:rPr>
        <w:tab/>
        <w:t xml:space="preserve">the research candidate regains the ability to make reasonable judgments in respect of the medical research; or </w:t>
      </w:r>
    </w:p>
    <w:p>
      <w:pPr>
        <w:pStyle w:val="Indenti"/>
      </w:pPr>
      <w:r>
        <w:tab/>
        <w:t>(ii)</w:t>
      </w:r>
      <w:r>
        <w:tab/>
        <w:t>a research decision</w:t>
      </w:r>
      <w:r>
        <w:noBreakHyphen/>
        <w:t xml:space="preserve">maker makes a research decision under section 110ZR to refuse consent to the candidate’s participation in the research. </w:t>
      </w:r>
    </w:p>
    <w:p>
      <w:pPr>
        <w:pStyle w:val="Subsection"/>
      </w:pPr>
      <w:r>
        <w:rPr>
          <w:color w:val="000000" w:themeColor="text1"/>
        </w:rPr>
        <w:tab/>
        <w:t>(5)</w:t>
      </w:r>
      <w:r>
        <w:rPr>
          <w:color w:val="000000" w:themeColor="text1"/>
        </w:rPr>
        <w:tab/>
        <w:t>The lead researcher in relation to the medical research must ensure that —</w:t>
      </w:r>
    </w:p>
    <w:p>
      <w:pPr>
        <w:pStyle w:val="Indenta"/>
      </w:pPr>
      <w:r>
        <w:rPr>
          <w:color w:val="000000" w:themeColor="text1"/>
        </w:rPr>
        <w:tab/>
        <w:t>(a)</w:t>
      </w:r>
      <w:r>
        <w:rPr>
          <w:color w:val="000000" w:themeColor="text1"/>
        </w:rPr>
        <w:tab/>
        <w:t>the research is discontinued as soon as is safely practicable; and</w:t>
      </w:r>
    </w:p>
    <w:p>
      <w:pPr>
        <w:pStyle w:val="Indenta"/>
      </w:pPr>
      <w:r>
        <w:tab/>
        <w:t>(b)</w:t>
      </w:r>
      <w:r>
        <w:tab/>
        <w:t>the research is not recommenced unless the research candidate or research decision-maker consents to continue to participate in the research.</w:t>
      </w:r>
    </w:p>
    <w:p>
      <w:pPr>
        <w:pStyle w:val="Footnotesection"/>
      </w:pPr>
      <w:r>
        <w:tab/>
        <w:t>[Section 110ZS inserted: No. 14 of 2020 s. 12.]</w:t>
      </w:r>
    </w:p>
    <w:p>
      <w:pPr>
        <w:pStyle w:val="Heading5"/>
      </w:pPr>
      <w:bookmarkStart w:id="277" w:name="_Toc132299379"/>
      <w:r>
        <w:rPr>
          <w:rStyle w:val="CharSectno"/>
        </w:rPr>
        <w:t>110ZT</w:t>
      </w:r>
      <w:r>
        <w:rPr>
          <w:color w:val="000000" w:themeColor="text1"/>
        </w:rPr>
        <w:t>.</w:t>
      </w:r>
      <w:r>
        <w:rPr>
          <w:color w:val="000000" w:themeColor="text1"/>
        </w:rPr>
        <w:tab/>
        <w:t>Particular medical research not permitted</w:t>
      </w:r>
      <w:bookmarkEnd w:id="277"/>
    </w:p>
    <w:p>
      <w:pPr>
        <w:pStyle w:val="Subsection"/>
      </w:pPr>
      <w:r>
        <w:rPr>
          <w:color w:val="000000" w:themeColor="text1"/>
        </w:rPr>
        <w:tab/>
        <w:t>(1)</w:t>
      </w:r>
      <w:r>
        <w:rPr>
          <w:color w:val="000000" w:themeColor="text1"/>
        </w:rPr>
        <w:tab/>
        <w:t xml:space="preserve">In this section — </w:t>
      </w:r>
    </w:p>
    <w:p>
      <w:pPr>
        <w:pStyle w:val="Defstart"/>
      </w:pPr>
      <w:r>
        <w:rPr>
          <w:color w:val="000000" w:themeColor="text1"/>
        </w:rPr>
        <w:tab/>
      </w:r>
      <w:r>
        <w:rPr>
          <w:rStyle w:val="CharDefText"/>
          <w:color w:val="000000" w:themeColor="text1"/>
        </w:rPr>
        <w:t>procedure for the sterilisation</w:t>
      </w:r>
      <w:r>
        <w:rPr>
          <w:color w:val="000000" w:themeColor="text1"/>
        </w:rPr>
        <w:t xml:space="preserve"> has the meaning given in section 56.</w:t>
      </w:r>
    </w:p>
    <w:p>
      <w:pPr>
        <w:pStyle w:val="Subsection"/>
      </w:pPr>
      <w:r>
        <w:rPr>
          <w:color w:val="000000" w:themeColor="text1"/>
        </w:rPr>
        <w:tab/>
        <w:t>(2)</w:t>
      </w:r>
      <w:r>
        <w:rPr>
          <w:color w:val="000000" w:themeColor="text1"/>
        </w:rPr>
        <w:tab/>
        <w:t>A research decision</w:t>
      </w:r>
      <w:r>
        <w:rPr>
          <w:color w:val="000000" w:themeColor="text1"/>
        </w:rPr>
        <w:noBreakHyphen/>
        <w:t xml:space="preserve">maker for a research candidate cannot consent under this Part to — </w:t>
      </w:r>
    </w:p>
    <w:p>
      <w:pPr>
        <w:pStyle w:val="Indenta"/>
      </w:pPr>
      <w:r>
        <w:rPr>
          <w:color w:val="000000" w:themeColor="text1"/>
        </w:rPr>
        <w:tab/>
        <w:t>(a)</w:t>
      </w:r>
      <w:r>
        <w:rPr>
          <w:color w:val="000000" w:themeColor="text1"/>
        </w:rPr>
        <w:tab/>
        <w:t>a procedure for the sterilisation of the candidate; or</w:t>
      </w:r>
    </w:p>
    <w:p>
      <w:pPr>
        <w:pStyle w:val="Indenta"/>
      </w:pPr>
      <w:r>
        <w:tab/>
        <w:t>(b)</w:t>
      </w:r>
      <w:r>
        <w:tab/>
        <w:t>electroconvulsive therapy being performed on the candidate.</w:t>
      </w:r>
    </w:p>
    <w:p>
      <w:pPr>
        <w:pStyle w:val="Subsection"/>
        <w:keepNext/>
      </w:pPr>
      <w:r>
        <w:rPr>
          <w:color w:val="000000" w:themeColor="text1"/>
        </w:rPr>
        <w:lastRenderedPageBreak/>
        <w:tab/>
        <w:t>(3)</w:t>
      </w:r>
      <w:r>
        <w:rPr>
          <w:color w:val="000000" w:themeColor="text1"/>
        </w:rPr>
        <w:tab/>
        <w:t xml:space="preserve">A person must not, for the purposes of medical research, carry out or take part in — </w:t>
      </w:r>
    </w:p>
    <w:p>
      <w:pPr>
        <w:pStyle w:val="Indenta"/>
      </w:pPr>
      <w:r>
        <w:rPr>
          <w:color w:val="000000" w:themeColor="text1"/>
        </w:rPr>
        <w:tab/>
        <w:t>(a)</w:t>
      </w:r>
      <w:r>
        <w:rPr>
          <w:color w:val="000000" w:themeColor="text1"/>
        </w:rPr>
        <w:tab/>
        <w:t>a procedure for the sterilisation of a research candidate; or</w:t>
      </w:r>
    </w:p>
    <w:p>
      <w:pPr>
        <w:pStyle w:val="Indenta"/>
      </w:pPr>
      <w:r>
        <w:tab/>
        <w:t>(b)</w:t>
      </w:r>
      <w:r>
        <w:tab/>
        <w:t>electroconvulsive therapy being performed on a research candidate.</w:t>
      </w:r>
    </w:p>
    <w:p>
      <w:pPr>
        <w:pStyle w:val="Penstart"/>
      </w:pPr>
      <w:r>
        <w:rPr>
          <w:color w:val="000000" w:themeColor="text1"/>
        </w:rPr>
        <w:tab/>
        <w:t xml:space="preserve">Penalty for this subsection: </w:t>
      </w:r>
      <w:r>
        <w:rPr>
          <w:snapToGrid w:val="0"/>
          <w:color w:val="000000" w:themeColor="text1"/>
        </w:rPr>
        <w:t>imprisonment for 2 years or a fine of $10 000.</w:t>
      </w:r>
    </w:p>
    <w:p>
      <w:pPr>
        <w:pStyle w:val="Footnotesection"/>
      </w:pPr>
      <w:r>
        <w:tab/>
        <w:t>[Section 110ZT inserted: No. 14 of 2020 s. 12.]</w:t>
      </w:r>
    </w:p>
    <w:p>
      <w:pPr>
        <w:pStyle w:val="Heading3"/>
        <w:keepLines/>
      </w:pPr>
      <w:bookmarkStart w:id="278" w:name="_Toc132193531"/>
      <w:bookmarkStart w:id="279" w:name="_Toc132193781"/>
      <w:bookmarkStart w:id="280" w:name="_Toc132299380"/>
      <w:r>
        <w:rPr>
          <w:rStyle w:val="CharDivNo"/>
        </w:rPr>
        <w:t>Division 3</w:t>
      </w:r>
      <w:r>
        <w:rPr>
          <w:color w:val="000000" w:themeColor="text1"/>
        </w:rPr>
        <w:t> — </w:t>
      </w:r>
      <w:r>
        <w:rPr>
          <w:rStyle w:val="CharDivText"/>
        </w:rPr>
        <w:t>Provisions about research decisions and urgent medical research decisions</w:t>
      </w:r>
      <w:bookmarkEnd w:id="278"/>
      <w:bookmarkEnd w:id="279"/>
      <w:bookmarkEnd w:id="280"/>
    </w:p>
    <w:p>
      <w:pPr>
        <w:pStyle w:val="Footnoteheading"/>
        <w:keepNext/>
        <w:keepLines/>
      </w:pPr>
      <w:r>
        <w:tab/>
        <w:t>[Heading inserted: No. 14 of 2020 s. 12.]</w:t>
      </w:r>
    </w:p>
    <w:p>
      <w:pPr>
        <w:pStyle w:val="Heading5"/>
      </w:pPr>
      <w:bookmarkStart w:id="281" w:name="_Toc132299381"/>
      <w:r>
        <w:rPr>
          <w:rStyle w:val="CharSectno"/>
        </w:rPr>
        <w:t>110ZU</w:t>
      </w:r>
      <w:r>
        <w:rPr>
          <w:color w:val="000000" w:themeColor="text1"/>
        </w:rPr>
        <w:t>.</w:t>
      </w:r>
      <w:r>
        <w:rPr>
          <w:color w:val="000000" w:themeColor="text1"/>
        </w:rPr>
        <w:tab/>
        <w:t>Assessment by independent medical practitioner of research candidate’s best interests</w:t>
      </w:r>
      <w:bookmarkEnd w:id="281"/>
    </w:p>
    <w:p>
      <w:pPr>
        <w:pStyle w:val="Subsection"/>
      </w:pPr>
      <w:r>
        <w:rPr>
          <w:color w:val="000000" w:themeColor="text1"/>
        </w:rPr>
        <w:tab/>
        <w:t>(1)</w:t>
      </w:r>
      <w:r>
        <w:rPr>
          <w:color w:val="000000" w:themeColor="text1"/>
        </w:rPr>
        <w:tab/>
        <w:t xml:space="preserve">An independent medical practitioner must take into account the following in making a determination under section 110ZR(3)(a) or 110ZS(1)(h) — </w:t>
      </w:r>
    </w:p>
    <w:p>
      <w:pPr>
        <w:pStyle w:val="Indenta"/>
      </w:pPr>
      <w:r>
        <w:rPr>
          <w:color w:val="000000" w:themeColor="text1"/>
        </w:rPr>
        <w:tab/>
        <w:t>(a)</w:t>
      </w:r>
      <w:r>
        <w:rPr>
          <w:color w:val="000000" w:themeColor="text1"/>
        </w:rPr>
        <w:tab/>
        <w:t>the wishes of the research candidate (to the extent they can be ascertained) as the paramount consideration;</w:t>
      </w:r>
    </w:p>
    <w:p>
      <w:pPr>
        <w:pStyle w:val="Indenta"/>
      </w:pPr>
      <w:r>
        <w:tab/>
        <w:t>(b)</w:t>
      </w:r>
      <w:r>
        <w:tab/>
        <w:t xml:space="preserve">the likely effects of the research candidate’s participation, including — </w:t>
      </w:r>
    </w:p>
    <w:p>
      <w:pPr>
        <w:pStyle w:val="Indenti"/>
      </w:pPr>
      <w:r>
        <w:rPr>
          <w:color w:val="000000" w:themeColor="text1"/>
        </w:rPr>
        <w:tab/>
        <w:t>(i)</w:t>
      </w:r>
      <w:r>
        <w:rPr>
          <w:color w:val="000000" w:themeColor="text1"/>
        </w:rPr>
        <w:tab/>
        <w:t>the existence, likelihood and severity of any potential risks to the candidate; and</w:t>
      </w:r>
    </w:p>
    <w:p>
      <w:pPr>
        <w:pStyle w:val="Indenti"/>
      </w:pPr>
      <w:r>
        <w:tab/>
        <w:t>(ii)</w:t>
      </w:r>
      <w:r>
        <w:tab/>
        <w:t>whether those risks are justified by any likely benefits of the research to the candidate or to the broader community;</w:t>
      </w:r>
    </w:p>
    <w:p>
      <w:pPr>
        <w:pStyle w:val="Indenta"/>
      </w:pPr>
      <w:r>
        <w:rPr>
          <w:color w:val="000000" w:themeColor="text1"/>
        </w:rPr>
        <w:tab/>
        <w:t>(c)</w:t>
      </w:r>
      <w:r>
        <w:rPr>
          <w:color w:val="000000" w:themeColor="text1"/>
        </w:rPr>
        <w:tab/>
        <w:t>any consequences for the research candidate if they are not involved in the research;</w:t>
      </w:r>
    </w:p>
    <w:p>
      <w:pPr>
        <w:pStyle w:val="Indenta"/>
      </w:pPr>
      <w:r>
        <w:tab/>
        <w:t>(d)</w:t>
      </w:r>
      <w:r>
        <w:tab/>
        <w:t>any alternative treatments available to the research candidate;</w:t>
      </w:r>
    </w:p>
    <w:p>
      <w:pPr>
        <w:pStyle w:val="Indenta"/>
      </w:pPr>
      <w:r>
        <w:lastRenderedPageBreak/>
        <w:tab/>
        <w:t>(e)</w:t>
      </w:r>
      <w:r>
        <w:tab/>
        <w:t>any other prescribed matters.</w:t>
      </w:r>
    </w:p>
    <w:p>
      <w:pPr>
        <w:pStyle w:val="Subsection"/>
      </w:pPr>
      <w:r>
        <w:rPr>
          <w:color w:val="000000" w:themeColor="text1"/>
        </w:rPr>
        <w:tab/>
        <w:t>(2)</w:t>
      </w:r>
      <w:r>
        <w:rPr>
          <w:color w:val="000000" w:themeColor="text1"/>
        </w:rPr>
        <w:tab/>
        <w:t>The fact that medical research may involve the giving of placebos does not prevent a research decision</w:t>
      </w:r>
      <w:r>
        <w:rPr>
          <w:color w:val="000000" w:themeColor="text1"/>
        </w:rPr>
        <w:noBreakHyphen/>
        <w:t>maker or an independent medical practitioner from being satisfied that it is in the best interests of a research candidate or is not adverse to the interests of the candidate that they participate in the research.</w:t>
      </w:r>
    </w:p>
    <w:p>
      <w:pPr>
        <w:pStyle w:val="Subsection"/>
      </w:pPr>
      <w:r>
        <w:tab/>
        <w:t>(3)</w:t>
      </w:r>
      <w:r>
        <w:tab/>
        <w:t>The independent medical practitioner must inform a research decision</w:t>
      </w:r>
      <w: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110ZU inserted: No. 14 of 2020 s. 12.]</w:t>
      </w:r>
    </w:p>
    <w:p>
      <w:pPr>
        <w:pStyle w:val="Heading5"/>
      </w:pPr>
      <w:bookmarkStart w:id="282" w:name="_Toc132299382"/>
      <w:r>
        <w:rPr>
          <w:rStyle w:val="CharSectno"/>
        </w:rPr>
        <w:t>110ZV</w:t>
      </w:r>
      <w:r>
        <w:rPr>
          <w:color w:val="000000" w:themeColor="text1"/>
        </w:rPr>
        <w:t>.</w:t>
      </w:r>
      <w:r>
        <w:rPr>
          <w:color w:val="000000" w:themeColor="text1"/>
        </w:rPr>
        <w:tab/>
        <w:t>Assessment by independent medical practitioner of likelihood of research candidate regaining ability to consent</w:t>
      </w:r>
      <w:bookmarkEnd w:id="282"/>
    </w:p>
    <w:p>
      <w:pPr>
        <w:pStyle w:val="Subsection"/>
      </w:pPr>
      <w:r>
        <w:rPr>
          <w:color w:val="000000" w:themeColor="text1"/>
        </w:rPr>
        <w:tab/>
        <w:t>(1)</w:t>
      </w:r>
      <w:r>
        <w:rPr>
          <w:color w:val="000000" w:themeColor="text1"/>
        </w:rPr>
        <w:tab/>
        <w:t xml:space="preserve">An independent medical practitioner must take into account the following when making a determination under section 110ZR(1)(c) or 110ZS(1)(g) — </w:t>
      </w:r>
    </w:p>
    <w:p>
      <w:pPr>
        <w:pStyle w:val="Indenta"/>
      </w:pPr>
      <w:r>
        <w:rPr>
          <w:color w:val="000000" w:themeColor="text1"/>
        </w:rPr>
        <w:tab/>
        <w:t>(a)</w:t>
      </w:r>
      <w:r>
        <w:rPr>
          <w:color w:val="000000" w:themeColor="text1"/>
        </w:rPr>
        <w:tab/>
        <w:t>the research candidate’s medical, mental and physical condition;</w:t>
      </w:r>
    </w:p>
    <w:p>
      <w:pPr>
        <w:pStyle w:val="Indenta"/>
        <w:rPr>
          <w:sz w:val="20"/>
        </w:rPr>
      </w:pPr>
      <w:r>
        <w:tab/>
        <w:t>(b)</w:t>
      </w:r>
      <w:r>
        <w:tab/>
        <w:t>the severity of the research candidate’s condition and the prognosis for the candidate;</w:t>
      </w:r>
    </w:p>
    <w:p>
      <w:pPr>
        <w:pStyle w:val="Indenta"/>
      </w:pPr>
      <w:r>
        <w:tab/>
        <w:t>(c)</w:t>
      </w:r>
      <w:r>
        <w:tab/>
        <w:t>the current stage of treatment and care required for the research candidate;</w:t>
      </w:r>
    </w:p>
    <w:p>
      <w:pPr>
        <w:pStyle w:val="Indenta"/>
      </w:pPr>
      <w:r>
        <w:tab/>
        <w:t>(d)</w:t>
      </w:r>
      <w:r>
        <w:tab/>
        <w:t>any other circumstances relevant to the research candidate;</w:t>
      </w:r>
    </w:p>
    <w:p>
      <w:pPr>
        <w:pStyle w:val="Indenta"/>
      </w:pPr>
      <w:r>
        <w:lastRenderedPageBreak/>
        <w:tab/>
        <w:t>(e)</w:t>
      </w:r>
      <w:r>
        <w:tab/>
        <w:t>the nature of, and the timeframe approved by the HREC for, the medical research in which the research candidate is to participate.</w:t>
      </w:r>
    </w:p>
    <w:p>
      <w:pPr>
        <w:pStyle w:val="Subsection"/>
      </w:pPr>
      <w:r>
        <w:rPr>
          <w:color w:val="000000" w:themeColor="text1"/>
        </w:rPr>
        <w:tab/>
        <w:t>(2)</w:t>
      </w:r>
      <w:r>
        <w:rPr>
          <w:color w:val="000000" w:themeColor="text1"/>
        </w:rPr>
        <w:tab/>
        <w:t>The independent medical practitioner must inform a research decision</w:t>
      </w:r>
      <w:r>
        <w:rPr>
          <w:color w:val="000000" w:themeColor="text1"/>
        </w:rP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110ZV inserted: No. 14 of 2020 s. 12.]</w:t>
      </w:r>
    </w:p>
    <w:p>
      <w:pPr>
        <w:pStyle w:val="Heading5"/>
      </w:pPr>
      <w:bookmarkStart w:id="283" w:name="_Toc132299383"/>
      <w:r>
        <w:rPr>
          <w:rStyle w:val="CharSectno"/>
        </w:rPr>
        <w:t>110ZW</w:t>
      </w:r>
      <w:r>
        <w:rPr>
          <w:color w:val="000000" w:themeColor="text1"/>
        </w:rPr>
        <w:t>.</w:t>
      </w:r>
      <w:r>
        <w:rPr>
          <w:color w:val="000000" w:themeColor="text1"/>
        </w:rPr>
        <w:tab/>
        <w:t>Assessment by independent medical practitioner of risks</w:t>
      </w:r>
      <w:bookmarkEnd w:id="283"/>
    </w:p>
    <w:p>
      <w:pPr>
        <w:pStyle w:val="Subsection"/>
      </w:pPr>
      <w:r>
        <w:rPr>
          <w:color w:val="000000" w:themeColor="text1"/>
        </w:rPr>
        <w:tab/>
        <w:t>(1)</w:t>
      </w:r>
      <w:r>
        <w:rPr>
          <w:color w:val="000000" w:themeColor="text1"/>
        </w:rPr>
        <w:tab/>
        <w:t xml:space="preserve">An independent medical practitioner must take into account the following in making a determination under section 110ZR(3)(b) or 110ZS(1)(i) — </w:t>
      </w:r>
    </w:p>
    <w:p>
      <w:pPr>
        <w:pStyle w:val="Indenta"/>
      </w:pPr>
      <w:r>
        <w:rPr>
          <w:color w:val="000000" w:themeColor="text1"/>
        </w:rPr>
        <w:tab/>
        <w:t>(a)</w:t>
      </w:r>
      <w:r>
        <w:rPr>
          <w:color w:val="000000" w:themeColor="text1"/>
        </w:rPr>
        <w:tab/>
        <w:t xml:space="preserve">whether the research candidate’s participation in medical research will involve any known substantial risks to the candidate; </w:t>
      </w:r>
    </w:p>
    <w:p>
      <w:pPr>
        <w:pStyle w:val="Indenta"/>
      </w:pPr>
      <w:r>
        <w:tab/>
        <w:t>(b)</w:t>
      </w:r>
      <w:r>
        <w:tab/>
        <w:t xml:space="preserve">whether there is an existing treatment available to the research candidate; </w:t>
      </w:r>
    </w:p>
    <w:p>
      <w:pPr>
        <w:pStyle w:val="Indenta"/>
      </w:pPr>
      <w:r>
        <w:tab/>
        <w:t>(c)</w:t>
      </w:r>
      <w:r>
        <w:tab/>
        <w:t xml:space="preserve">if there is an existing treatment available to the research candidate — </w:t>
      </w:r>
    </w:p>
    <w:p>
      <w:pPr>
        <w:pStyle w:val="Indenti"/>
      </w:pPr>
      <w:r>
        <w:rPr>
          <w:color w:val="000000" w:themeColor="text1"/>
        </w:rPr>
        <w:tab/>
        <w:t>(i)</w:t>
      </w:r>
      <w:r>
        <w:rPr>
          <w:color w:val="000000" w:themeColor="text1"/>
        </w:rPr>
        <w:tab/>
        <w:t>whether there are substantial risks to the candidate involved in the existing treatment available to the candidate; and</w:t>
      </w:r>
    </w:p>
    <w:p>
      <w:pPr>
        <w:pStyle w:val="Indenti"/>
      </w:pPr>
      <w:r>
        <w:tab/>
        <w:t>(ii)</w:t>
      </w:r>
      <w:r>
        <w:tab/>
        <w:t>if there are substantial risks involved in the existing treatment — whether those risks are greater than the risks involved in participating in the medical research;</w:t>
      </w:r>
    </w:p>
    <w:p>
      <w:pPr>
        <w:pStyle w:val="Indenta"/>
      </w:pPr>
      <w:r>
        <w:rPr>
          <w:color w:val="000000" w:themeColor="text1"/>
        </w:rPr>
        <w:lastRenderedPageBreak/>
        <w:tab/>
        <w:t>(d)</w:t>
      </w:r>
      <w:r>
        <w:rPr>
          <w:color w:val="000000" w:themeColor="text1"/>
        </w:rPr>
        <w:tab/>
        <w:t>if there is no existing treatment available — whether the risks involved in participating in the medical research are greater than not participating in the research.</w:t>
      </w:r>
    </w:p>
    <w:p>
      <w:pPr>
        <w:pStyle w:val="Subsection"/>
      </w:pPr>
      <w:r>
        <w:rPr>
          <w:color w:val="000000" w:themeColor="text1"/>
        </w:rPr>
        <w:tab/>
        <w:t>(2)</w:t>
      </w:r>
      <w:r>
        <w:rPr>
          <w:color w:val="000000" w:themeColor="text1"/>
        </w:rPr>
        <w:tab/>
        <w:t>The independent medical practitioner must inform the research decision</w:t>
      </w:r>
      <w:r>
        <w:rPr>
          <w:color w:val="000000" w:themeColor="text1"/>
        </w:rP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110ZW inserted: No. 14 of 2020 s. 12.]</w:t>
      </w:r>
    </w:p>
    <w:p>
      <w:pPr>
        <w:pStyle w:val="Heading3"/>
      </w:pPr>
      <w:bookmarkStart w:id="284" w:name="_Toc132193535"/>
      <w:bookmarkStart w:id="285" w:name="_Toc132193785"/>
      <w:bookmarkStart w:id="286" w:name="_Toc132299384"/>
      <w:r>
        <w:rPr>
          <w:rStyle w:val="CharDivNo"/>
        </w:rPr>
        <w:t>Division 4</w:t>
      </w:r>
      <w:r>
        <w:rPr>
          <w:color w:val="000000" w:themeColor="text1"/>
        </w:rPr>
        <w:t> — </w:t>
      </w:r>
      <w:r>
        <w:rPr>
          <w:rStyle w:val="CharDivText"/>
        </w:rPr>
        <w:t>Effect of research decisions and urgent medical research decisions</w:t>
      </w:r>
      <w:bookmarkEnd w:id="284"/>
      <w:bookmarkEnd w:id="285"/>
      <w:bookmarkEnd w:id="286"/>
    </w:p>
    <w:p>
      <w:pPr>
        <w:pStyle w:val="Footnoteheading"/>
      </w:pPr>
      <w:r>
        <w:tab/>
        <w:t>[Heading inserted: No. 14 of 2020 s. 12.]</w:t>
      </w:r>
    </w:p>
    <w:p>
      <w:pPr>
        <w:pStyle w:val="Heading5"/>
      </w:pPr>
      <w:bookmarkStart w:id="287" w:name="_Toc132299385"/>
      <w:r>
        <w:rPr>
          <w:rStyle w:val="CharSectno"/>
        </w:rPr>
        <w:t>110ZX</w:t>
      </w:r>
      <w:r>
        <w:rPr>
          <w:color w:val="000000" w:themeColor="text1"/>
        </w:rPr>
        <w:t>.</w:t>
      </w:r>
      <w:r>
        <w:rPr>
          <w:color w:val="000000" w:themeColor="text1"/>
        </w:rPr>
        <w:tab/>
        <w:t>Reliance by researcher on research decision or urgent medical research decision</w:t>
      </w:r>
      <w:bookmarkEnd w:id="287"/>
      <w:r>
        <w:rPr>
          <w:color w:val="000000" w:themeColor="text1"/>
        </w:rPr>
        <w:t xml:space="preserve"> </w:t>
      </w:r>
    </w:p>
    <w:p>
      <w:pPr>
        <w:pStyle w:val="Subsection"/>
      </w:pPr>
      <w:r>
        <w:rPr>
          <w:color w:val="000000" w:themeColor="text1"/>
        </w:rPr>
        <w:tab/>
        <w:t>(1)</w:t>
      </w:r>
      <w:r>
        <w:rPr>
          <w:color w:val="000000" w:themeColor="text1"/>
        </w:rPr>
        <w:tab/>
        <w:t xml:space="preserve">In this section — </w:t>
      </w:r>
    </w:p>
    <w:p>
      <w:pPr>
        <w:pStyle w:val="Defstart"/>
      </w:pPr>
      <w:r>
        <w:rPr>
          <w:color w:val="000000" w:themeColor="text1"/>
        </w:rPr>
        <w:tab/>
      </w:r>
      <w:r>
        <w:rPr>
          <w:rStyle w:val="CharDefText"/>
          <w:color w:val="000000" w:themeColor="text1"/>
        </w:rPr>
        <w:t>take research action</w:t>
      </w:r>
      <w:r>
        <w:rPr>
          <w:color w:val="000000" w:themeColor="text1"/>
        </w:rPr>
        <w:t xml:space="preserve"> means — </w:t>
      </w:r>
    </w:p>
    <w:p>
      <w:pPr>
        <w:pStyle w:val="Defpara"/>
      </w:pPr>
      <w:r>
        <w:rPr>
          <w:color w:val="000000" w:themeColor="text1"/>
        </w:rPr>
        <w:tab/>
        <w:t>(a)</w:t>
      </w:r>
      <w:r>
        <w:rPr>
          <w:color w:val="000000" w:themeColor="text1"/>
        </w:rPr>
        <w:tab/>
        <w:t>to commence or continue any medical research in relation to a research candidate; or</w:t>
      </w:r>
    </w:p>
    <w:p>
      <w:pPr>
        <w:pStyle w:val="Defpara"/>
      </w:pPr>
      <w:r>
        <w:tab/>
        <w:t>(b)</w:t>
      </w:r>
      <w:r>
        <w:tab/>
        <w:t>to not commence or to discontinue any medical research in relation to a research candidate.</w:t>
      </w:r>
    </w:p>
    <w:p>
      <w:pPr>
        <w:pStyle w:val="Subsection"/>
      </w:pPr>
      <w:r>
        <w:rPr>
          <w:color w:val="000000" w:themeColor="text1"/>
        </w:rPr>
        <w:tab/>
        <w:t>(2)</w:t>
      </w:r>
      <w:r>
        <w:rPr>
          <w:color w:val="000000" w:themeColor="text1"/>
        </w:rPr>
        <w:tab/>
        <w:t xml:space="preserve">This section applies if a researcher — </w:t>
      </w:r>
    </w:p>
    <w:p>
      <w:pPr>
        <w:pStyle w:val="Indenta"/>
      </w:pPr>
      <w:r>
        <w:rPr>
          <w:color w:val="000000" w:themeColor="text1"/>
        </w:rPr>
        <w:tab/>
        <w:t>(a)</w:t>
      </w:r>
      <w:r>
        <w:rPr>
          <w:color w:val="000000" w:themeColor="text1"/>
        </w:rPr>
        <w:tab/>
        <w:t xml:space="preserve">takes research action — </w:t>
      </w:r>
    </w:p>
    <w:p>
      <w:pPr>
        <w:pStyle w:val="Indenti"/>
      </w:pPr>
      <w:r>
        <w:rPr>
          <w:color w:val="000000" w:themeColor="text1"/>
        </w:rPr>
        <w:tab/>
        <w:t>(i)</w:t>
      </w:r>
      <w:r>
        <w:rPr>
          <w:color w:val="000000" w:themeColor="text1"/>
        </w:rPr>
        <w:tab/>
        <w:t>reasonably believing that a research candidate is unable to make reasonable judgments in respect of the research action; and</w:t>
      </w:r>
    </w:p>
    <w:p>
      <w:pPr>
        <w:pStyle w:val="Indenti"/>
      </w:pPr>
      <w:r>
        <w:lastRenderedPageBreak/>
        <w:tab/>
        <w:t>(ii)</w:t>
      </w:r>
      <w:r>
        <w:tab/>
        <w:t>relying in good faith on what is purportedly a research decision made by the research decision</w:t>
      </w:r>
      <w:r>
        <w:noBreakHyphen/>
        <w:t>maker for the research candidate under section 110ZR;</w:t>
      </w:r>
    </w:p>
    <w:p>
      <w:pPr>
        <w:pStyle w:val="Indenta"/>
      </w:pPr>
      <w:r>
        <w:rPr>
          <w:color w:val="000000" w:themeColor="text1"/>
        </w:rPr>
        <w:tab/>
      </w:r>
      <w:r>
        <w:rPr>
          <w:color w:val="000000" w:themeColor="text1"/>
        </w:rPr>
        <w:tab/>
        <w:t>or</w:t>
      </w:r>
    </w:p>
    <w:p>
      <w:pPr>
        <w:pStyle w:val="Indenta"/>
      </w:pPr>
      <w:r>
        <w:tab/>
        <w:t>(b)</w:t>
      </w:r>
      <w:r>
        <w:tab/>
        <w:t xml:space="preserve">takes research action — </w:t>
      </w:r>
    </w:p>
    <w:p>
      <w:pPr>
        <w:pStyle w:val="Indenti"/>
      </w:pPr>
      <w:r>
        <w:rPr>
          <w:color w:val="000000" w:themeColor="text1"/>
        </w:rPr>
        <w:tab/>
        <w:t>(i)</w:t>
      </w:r>
      <w:r>
        <w:rPr>
          <w:color w:val="000000" w:themeColor="text1"/>
        </w:rPr>
        <w:tab/>
        <w:t>in circumstances where it is reasonable for the researcher to rely on another researcher having ascertained whether the research action is in accordance with a research decision by the research decision</w:t>
      </w:r>
      <w:r>
        <w:rPr>
          <w:color w:val="000000" w:themeColor="text1"/>
        </w:rPr>
        <w:noBreakHyphen/>
        <w:t>maker for the research candidate under section 110ZR; and</w:t>
      </w:r>
    </w:p>
    <w:p>
      <w:pPr>
        <w:pStyle w:val="Indenti"/>
      </w:pPr>
      <w:r>
        <w:tab/>
        <w:t>(ii)</w:t>
      </w:r>
      <w:r>
        <w:tab/>
        <w:t>reasonably assuming that another researcher has ascertained that the research action is in accordance with a research decision by the research decision</w:t>
      </w:r>
      <w:r>
        <w:noBreakHyphen/>
        <w:t xml:space="preserve">maker for the research candidate under section 110ZR; </w:t>
      </w:r>
    </w:p>
    <w:p>
      <w:pPr>
        <w:pStyle w:val="Indenta"/>
      </w:pPr>
      <w:r>
        <w:rPr>
          <w:color w:val="000000" w:themeColor="text1"/>
        </w:rPr>
        <w:tab/>
      </w:r>
      <w:r>
        <w:rPr>
          <w:color w:val="000000" w:themeColor="text1"/>
        </w:rPr>
        <w:tab/>
        <w:t>or</w:t>
      </w:r>
    </w:p>
    <w:p>
      <w:pPr>
        <w:pStyle w:val="Indenta"/>
      </w:pPr>
      <w:r>
        <w:tab/>
        <w:t>(c)</w:t>
      </w:r>
      <w:r>
        <w:tab/>
        <w:t xml:space="preserve">takes research action — </w:t>
      </w:r>
    </w:p>
    <w:p>
      <w:pPr>
        <w:pStyle w:val="Indenti"/>
      </w:pPr>
      <w:r>
        <w:rPr>
          <w:color w:val="000000" w:themeColor="text1"/>
        </w:rPr>
        <w:tab/>
        <w:t>(i)</w:t>
      </w:r>
      <w:r>
        <w:rPr>
          <w:color w:val="000000" w:themeColor="text1"/>
        </w:rPr>
        <w:tab/>
        <w:t>reasonably believing that the research candidate is unable to make reasonable judgments in respect of the research action; and</w:t>
      </w:r>
    </w:p>
    <w:p>
      <w:pPr>
        <w:pStyle w:val="Indenti"/>
      </w:pPr>
      <w:r>
        <w:tab/>
        <w:t>(ii)</w:t>
      </w:r>
      <w:r>
        <w:tab/>
        <w:t>relying in good faith on what is purportedly an urgent medical research decision made by a researcher;</w:t>
      </w:r>
    </w:p>
    <w:p>
      <w:pPr>
        <w:pStyle w:val="Indenta"/>
      </w:pPr>
      <w:r>
        <w:rPr>
          <w:color w:val="000000" w:themeColor="text1"/>
        </w:rPr>
        <w:tab/>
      </w:r>
      <w:r>
        <w:rPr>
          <w:color w:val="000000" w:themeColor="text1"/>
        </w:rPr>
        <w:tab/>
        <w:t>or</w:t>
      </w:r>
    </w:p>
    <w:p>
      <w:pPr>
        <w:pStyle w:val="Indenta"/>
      </w:pPr>
      <w:r>
        <w:tab/>
        <w:t>(d)</w:t>
      </w:r>
      <w:r>
        <w:tab/>
        <w:t xml:space="preserve">takes research action — </w:t>
      </w:r>
    </w:p>
    <w:p>
      <w:pPr>
        <w:pStyle w:val="Indenti"/>
      </w:pPr>
      <w:r>
        <w:rPr>
          <w:color w:val="000000" w:themeColor="text1"/>
        </w:rPr>
        <w:tab/>
        <w:t>(i)</w:t>
      </w:r>
      <w:r>
        <w:rPr>
          <w:color w:val="000000" w:themeColor="text1"/>
        </w:rPr>
        <w:tab/>
        <w:t>in circumstances where it is reasonable for the researcher to rely on another researcher having ascertained whether the research action is in accordance with an urgent medical research decision; and</w:t>
      </w:r>
    </w:p>
    <w:p>
      <w:pPr>
        <w:pStyle w:val="Indenti"/>
        <w:keepNext/>
        <w:keepLines/>
      </w:pPr>
      <w:r>
        <w:lastRenderedPageBreak/>
        <w:tab/>
        <w:t>(ii)</w:t>
      </w:r>
      <w:r>
        <w:tab/>
        <w:t xml:space="preserve">reasonably assuming that another researcher has ascertained that the research action is in accordance with an urgent medical research decision. </w:t>
      </w:r>
    </w:p>
    <w:p>
      <w:pPr>
        <w:pStyle w:val="Subsection"/>
      </w:pPr>
      <w:r>
        <w:rPr>
          <w:color w:val="000000" w:themeColor="text1"/>
        </w:rPr>
        <w:tab/>
        <w:t>(3)</w:t>
      </w:r>
      <w:r>
        <w:rPr>
          <w:color w:val="000000" w:themeColor="text1"/>
        </w:rPr>
        <w:tab/>
        <w:t xml:space="preserve">However, this section does not apply to the extent that a researcher takes research action inconsistent with — </w:t>
      </w:r>
    </w:p>
    <w:p>
      <w:pPr>
        <w:pStyle w:val="Indenta"/>
      </w:pPr>
      <w:r>
        <w:rPr>
          <w:color w:val="000000" w:themeColor="text1"/>
        </w:rPr>
        <w:tab/>
        <w:t>(a)</w:t>
      </w:r>
      <w:r>
        <w:rPr>
          <w:color w:val="000000" w:themeColor="text1"/>
        </w:rPr>
        <w:tab/>
        <w:t>section 110ZR(4) or (7)(b) or 110ZS(2) or (5); or</w:t>
      </w:r>
    </w:p>
    <w:p>
      <w:pPr>
        <w:pStyle w:val="Indenta"/>
      </w:pPr>
      <w:r>
        <w:tab/>
        <w:t>(b)</w:t>
      </w:r>
      <w:r>
        <w:tab/>
        <w:t>section 110ZT; or</w:t>
      </w:r>
    </w:p>
    <w:p>
      <w:pPr>
        <w:pStyle w:val="Indenta"/>
      </w:pPr>
      <w:r>
        <w:tab/>
        <w:t>(c)</w:t>
      </w:r>
      <w:r>
        <w:tab/>
        <w:t>a decision made under Division 5.</w:t>
      </w:r>
    </w:p>
    <w:p>
      <w:pPr>
        <w:pStyle w:val="Subsection"/>
      </w:pPr>
      <w:r>
        <w:rPr>
          <w:color w:val="000000" w:themeColor="text1"/>
        </w:rPr>
        <w:tab/>
        <w:t>(4)</w:t>
      </w:r>
      <w:r>
        <w:rPr>
          <w:color w:val="000000" w:themeColor="text1"/>
        </w:rPr>
        <w:tab/>
        <w:t xml:space="preserve">If this section applies, the researcher is taken for all purposes to take the research action in accordance with a research decision or urgent medical research decision that has effect as if — </w:t>
      </w:r>
    </w:p>
    <w:p>
      <w:pPr>
        <w:pStyle w:val="Indenta"/>
      </w:pPr>
      <w:r>
        <w:rPr>
          <w:color w:val="000000" w:themeColor="text1"/>
        </w:rPr>
        <w:tab/>
        <w:t>(a)</w:t>
      </w:r>
      <w:r>
        <w:rPr>
          <w:color w:val="000000" w:themeColor="text1"/>
        </w:rPr>
        <w:tab/>
        <w:t xml:space="preserve">the decision were made by the research candidate; and </w:t>
      </w:r>
    </w:p>
    <w:p>
      <w:pPr>
        <w:pStyle w:val="Indenta"/>
      </w:pPr>
      <w:r>
        <w:tab/>
        <w:t>(b)</w:t>
      </w:r>
      <w:r>
        <w:tab/>
        <w:t>the research action is taken with the research candidate’s consent; and</w:t>
      </w:r>
    </w:p>
    <w:p>
      <w:pPr>
        <w:pStyle w:val="Indenta"/>
      </w:pPr>
      <w:r>
        <w:tab/>
        <w:t>(c)</w:t>
      </w:r>
      <w:r>
        <w:tab/>
        <w:t>the research candidate were of full legal capacity.</w:t>
      </w:r>
    </w:p>
    <w:p>
      <w:pPr>
        <w:pStyle w:val="Subsection"/>
      </w:pPr>
      <w:r>
        <w:rPr>
          <w:color w:val="000000" w:themeColor="text1"/>
        </w:rPr>
        <w:tab/>
        <w:t>(5)</w:t>
      </w:r>
      <w:r>
        <w:rPr>
          <w:color w:val="000000" w:themeColor="text1"/>
        </w:rPr>
        <w:tab/>
        <w:t>For the purposes of subsection (2)(a)(ii) and (c)(ii), a researcher is taken to have relied in good faith on what was purportedly a research decision or urgent medical research decision if, after considering whether or not to rely on it, the researcher acted honestly in relying on it.</w:t>
      </w:r>
    </w:p>
    <w:p>
      <w:pPr>
        <w:pStyle w:val="Subsection"/>
      </w:pPr>
      <w:r>
        <w:tab/>
        <w:t>(6)</w:t>
      </w:r>
      <w:r>
        <w:tab/>
        <w:t xml:space="preserve">For the purposes of determining under subsection (2)(b)(ii) and (d)(ii) whether the researcher’s assumption was reasonable, the following matters must be taken into account — </w:t>
      </w:r>
    </w:p>
    <w:p>
      <w:pPr>
        <w:pStyle w:val="Indenta"/>
      </w:pPr>
      <w:r>
        <w:rPr>
          <w:color w:val="000000" w:themeColor="text1"/>
        </w:rPr>
        <w:tab/>
        <w:t>(a)</w:t>
      </w:r>
      <w:r>
        <w:rPr>
          <w:color w:val="000000" w:themeColor="text1"/>
        </w:rPr>
        <w:tab/>
        <w:t>whether the researcher sighted any written evidence that another researcher had ascertained that the research action was in accordance with a research decision or urgent medical research decision;</w:t>
      </w:r>
    </w:p>
    <w:p>
      <w:pPr>
        <w:pStyle w:val="Indenta"/>
      </w:pPr>
      <w:r>
        <w:tab/>
        <w:t>(b)</w:t>
      </w:r>
      <w:r>
        <w:tab/>
        <w:t>anything else relevant to the determination.</w:t>
      </w:r>
    </w:p>
    <w:p>
      <w:pPr>
        <w:pStyle w:val="Footnotesection"/>
      </w:pPr>
      <w:r>
        <w:tab/>
        <w:t>[Section 110ZX inserted: No. 14 of 2020 s. 12.]</w:t>
      </w:r>
    </w:p>
    <w:p>
      <w:pPr>
        <w:pStyle w:val="Heading5"/>
      </w:pPr>
      <w:bookmarkStart w:id="288" w:name="_Toc132299386"/>
      <w:r>
        <w:rPr>
          <w:rStyle w:val="CharSectno"/>
        </w:rPr>
        <w:lastRenderedPageBreak/>
        <w:t>110ZY</w:t>
      </w:r>
      <w:r>
        <w:rPr>
          <w:color w:val="000000" w:themeColor="text1"/>
        </w:rPr>
        <w:t>.</w:t>
      </w:r>
      <w:r>
        <w:rPr>
          <w:color w:val="000000" w:themeColor="text1"/>
        </w:rPr>
        <w:tab/>
        <w:t>Validity of certain research decisions or urgent medical research decisions</w:t>
      </w:r>
      <w:bookmarkEnd w:id="288"/>
    </w:p>
    <w:p>
      <w:pPr>
        <w:pStyle w:val="Subsection"/>
      </w:pPr>
      <w:r>
        <w:rPr>
          <w:color w:val="000000" w:themeColor="text1"/>
        </w:rPr>
        <w:tab/>
        <w:t>(1)</w:t>
      </w:r>
      <w:r>
        <w:rPr>
          <w:color w:val="000000" w:themeColor="text1"/>
        </w:rPr>
        <w:tab/>
        <w:t>If a researcher does not commence or discontinues medical research in relation to a research candidate in accordance with a research decision or urgent medical research decision, the researcher is taken for all purposes to have done so in accordance with a valid decision, even if an effect of doing so is to worsen the severity of the candidate’s condition or the prognosis for the candidate.</w:t>
      </w:r>
    </w:p>
    <w:p>
      <w:pPr>
        <w:pStyle w:val="Subsection"/>
      </w:pPr>
      <w:r>
        <w:tab/>
        <w:t>(2)</w:t>
      </w:r>
      <w:r>
        <w:tab/>
        <w:t xml:space="preserve">However, subsection (1) does not apply to the extent that an act or omission of a researcher is inconsistent with — </w:t>
      </w:r>
    </w:p>
    <w:p>
      <w:pPr>
        <w:pStyle w:val="Indenta"/>
      </w:pPr>
      <w:r>
        <w:rPr>
          <w:color w:val="000000" w:themeColor="text1"/>
        </w:rPr>
        <w:tab/>
        <w:t>(a)</w:t>
      </w:r>
      <w:r>
        <w:rPr>
          <w:color w:val="000000" w:themeColor="text1"/>
        </w:rPr>
        <w:tab/>
        <w:t>section 110ZR(4) or (7)(b) or 110ZS(2) or (5); or</w:t>
      </w:r>
    </w:p>
    <w:p>
      <w:pPr>
        <w:pStyle w:val="Indenta"/>
      </w:pPr>
      <w:r>
        <w:tab/>
        <w:t>(b)</w:t>
      </w:r>
      <w:r>
        <w:tab/>
        <w:t>section 110ZT; or</w:t>
      </w:r>
    </w:p>
    <w:p>
      <w:pPr>
        <w:pStyle w:val="Indenta"/>
      </w:pPr>
      <w:r>
        <w:tab/>
        <w:t>(c)</w:t>
      </w:r>
      <w:r>
        <w:tab/>
        <w:t>a decision made under Division 5.</w:t>
      </w:r>
    </w:p>
    <w:p>
      <w:pPr>
        <w:pStyle w:val="Footnotesection"/>
      </w:pPr>
      <w:r>
        <w:tab/>
        <w:t>[Section 110ZY inserted: No. 14 of 2020 s. 12.]</w:t>
      </w:r>
    </w:p>
    <w:p>
      <w:pPr>
        <w:pStyle w:val="Heading3"/>
      </w:pPr>
      <w:bookmarkStart w:id="289" w:name="_Toc132193538"/>
      <w:bookmarkStart w:id="290" w:name="_Toc132193788"/>
      <w:bookmarkStart w:id="291" w:name="_Toc132299387"/>
      <w:r>
        <w:rPr>
          <w:rStyle w:val="CharDivNo"/>
        </w:rPr>
        <w:t>Division 5</w:t>
      </w:r>
      <w:r>
        <w:rPr>
          <w:color w:val="000000" w:themeColor="text1"/>
        </w:rPr>
        <w:t> — </w:t>
      </w:r>
      <w:r>
        <w:rPr>
          <w:rStyle w:val="CharDivText"/>
        </w:rPr>
        <w:t>Jurisdiction of State Administrative Tribunal</w:t>
      </w:r>
      <w:bookmarkEnd w:id="289"/>
      <w:bookmarkEnd w:id="290"/>
      <w:bookmarkEnd w:id="291"/>
    </w:p>
    <w:p>
      <w:pPr>
        <w:pStyle w:val="Footnoteheading"/>
      </w:pPr>
      <w:r>
        <w:tab/>
        <w:t>[Heading inserted: No. 14 of 2020 s. 12.]</w:t>
      </w:r>
    </w:p>
    <w:p>
      <w:pPr>
        <w:pStyle w:val="Heading5"/>
      </w:pPr>
      <w:bookmarkStart w:id="292" w:name="_Toc132299388"/>
      <w:r>
        <w:rPr>
          <w:rStyle w:val="CharSectno"/>
        </w:rPr>
        <w:t>110ZZ</w:t>
      </w:r>
      <w:r>
        <w:rPr>
          <w:color w:val="000000" w:themeColor="text1"/>
        </w:rPr>
        <w:t>.</w:t>
      </w:r>
      <w:r>
        <w:rPr>
          <w:color w:val="000000" w:themeColor="text1"/>
        </w:rPr>
        <w:tab/>
        <w:t>Applying for review of decision made under this Part</w:t>
      </w:r>
      <w:bookmarkEnd w:id="292"/>
    </w:p>
    <w:p>
      <w:pPr>
        <w:pStyle w:val="Subsection"/>
      </w:pPr>
      <w:r>
        <w:rPr>
          <w:color w:val="000000" w:themeColor="text1"/>
        </w:rPr>
        <w:tab/>
      </w:r>
      <w:r>
        <w:rPr>
          <w:color w:val="000000" w:themeColor="text1"/>
        </w:rPr>
        <w:tab/>
        <w:t>A person who, in the opinion of the State Administrative Tribunal, is interested in a decision made under this Part may apply for a review of a decision.</w:t>
      </w:r>
    </w:p>
    <w:p>
      <w:pPr>
        <w:pStyle w:val="Footnotesection"/>
      </w:pPr>
      <w:r>
        <w:tab/>
        <w:t>[Section 110ZZ inserted: No. 14 of 2020 s. 12.]</w:t>
      </w:r>
    </w:p>
    <w:p>
      <w:pPr>
        <w:pStyle w:val="Heading5"/>
      </w:pPr>
      <w:bookmarkStart w:id="293" w:name="_Toc132299389"/>
      <w:r>
        <w:rPr>
          <w:rStyle w:val="CharSectno"/>
        </w:rPr>
        <w:t>110ZZA</w:t>
      </w:r>
      <w:r>
        <w:rPr>
          <w:color w:val="000000" w:themeColor="text1"/>
        </w:rPr>
        <w:t>.</w:t>
      </w:r>
      <w:r>
        <w:rPr>
          <w:color w:val="000000" w:themeColor="text1"/>
        </w:rPr>
        <w:tab/>
        <w:t>Procedure on review</w:t>
      </w:r>
      <w:bookmarkEnd w:id="293"/>
    </w:p>
    <w:p>
      <w:pPr>
        <w:pStyle w:val="Subsection"/>
      </w:pPr>
      <w:r>
        <w:rPr>
          <w:color w:val="000000" w:themeColor="text1"/>
        </w:rPr>
        <w:tab/>
        <w:t>(1)</w:t>
      </w:r>
      <w:r>
        <w:rPr>
          <w:color w:val="000000" w:themeColor="text1"/>
        </w:rPr>
        <w:tab/>
        <w:t xml:space="preserve">The following provisions of the </w:t>
      </w:r>
      <w:r>
        <w:rPr>
          <w:i/>
          <w:color w:val="000000" w:themeColor="text1"/>
        </w:rPr>
        <w:t>State Administrative Tribunal Act 2004</w:t>
      </w:r>
      <w:r>
        <w:rPr>
          <w:color w:val="000000" w:themeColor="text1"/>
        </w:rPr>
        <w:t xml:space="preserve"> do not apply in relation to a review application — </w:t>
      </w:r>
    </w:p>
    <w:p>
      <w:pPr>
        <w:pStyle w:val="Indenta"/>
      </w:pPr>
      <w:r>
        <w:rPr>
          <w:color w:val="000000" w:themeColor="text1"/>
        </w:rPr>
        <w:tab/>
        <w:t>(a)</w:t>
      </w:r>
      <w:r>
        <w:rPr>
          <w:color w:val="000000" w:themeColor="text1"/>
        </w:rPr>
        <w:tab/>
        <w:t xml:space="preserve">section 20; </w:t>
      </w:r>
    </w:p>
    <w:p>
      <w:pPr>
        <w:pStyle w:val="Indenta"/>
      </w:pPr>
      <w:r>
        <w:tab/>
        <w:t>(b)</w:t>
      </w:r>
      <w:r>
        <w:tab/>
        <w:t>subject to subsection (4) — sections 21, 22 and 23;</w:t>
      </w:r>
    </w:p>
    <w:p>
      <w:pPr>
        <w:pStyle w:val="Indenta"/>
      </w:pPr>
      <w:r>
        <w:tab/>
        <w:t>(c)</w:t>
      </w:r>
      <w:r>
        <w:tab/>
        <w:t>sections 26(e) and 31;</w:t>
      </w:r>
    </w:p>
    <w:p>
      <w:pPr>
        <w:pStyle w:val="Indenta"/>
        <w:keepNext/>
      </w:pPr>
      <w:r>
        <w:lastRenderedPageBreak/>
        <w:tab/>
        <w:t>(d)</w:t>
      </w:r>
      <w:r>
        <w:tab/>
        <w:t>section 29(3)(c)(ii);</w:t>
      </w:r>
    </w:p>
    <w:p>
      <w:pPr>
        <w:pStyle w:val="Indenta"/>
      </w:pPr>
      <w:r>
        <w:tab/>
        <w:t>(e)</w:t>
      </w:r>
      <w:r>
        <w:tab/>
        <w:t>section 29(5)(b).</w:t>
      </w:r>
    </w:p>
    <w:p>
      <w:pPr>
        <w:pStyle w:val="Subsection"/>
      </w:pPr>
      <w:r>
        <w:rPr>
          <w:color w:val="000000" w:themeColor="text1"/>
        </w:rPr>
        <w:tab/>
        <w:t>(2)</w:t>
      </w:r>
      <w:r>
        <w:rPr>
          <w:color w:val="000000" w:themeColor="text1"/>
        </w:rPr>
        <w:tab/>
        <w:t xml:space="preserve">For the purposes of the </w:t>
      </w:r>
      <w:r>
        <w:rPr>
          <w:i/>
          <w:color w:val="000000" w:themeColor="text1"/>
        </w:rPr>
        <w:t>State Administrative Tribunal Act 2004</w:t>
      </w:r>
      <w:r>
        <w:rPr>
          <w:color w:val="000000" w:themeColor="text1"/>
        </w:rPr>
        <w:t xml:space="preserve"> section 26(c), a reviewed decision may be varied or ceased by the person making the decision.</w:t>
      </w:r>
    </w:p>
    <w:p>
      <w:pPr>
        <w:pStyle w:val="Subsection"/>
      </w:pPr>
      <w:r>
        <w:tab/>
        <w:t>(3)</w:t>
      </w:r>
      <w:r>
        <w:tab/>
        <w:t xml:space="preserve">A person who makes a review application may request (a </w:t>
      </w:r>
      <w:r>
        <w:rPr>
          <w:rStyle w:val="CharDefText"/>
          <w:color w:val="000000" w:themeColor="text1"/>
        </w:rPr>
        <w:t>report request</w:t>
      </w:r>
      <w:r>
        <w:t xml:space="preserve">) the independent medical practitioner’s written reports under Division 3 made in relation to the reviewed decision from — </w:t>
      </w:r>
    </w:p>
    <w:p>
      <w:pPr>
        <w:pStyle w:val="Indenta"/>
      </w:pPr>
      <w:r>
        <w:rPr>
          <w:color w:val="000000" w:themeColor="text1"/>
        </w:rPr>
        <w:tab/>
        <w:t>(a)</w:t>
      </w:r>
      <w:r>
        <w:rPr>
          <w:color w:val="000000" w:themeColor="text1"/>
        </w:rPr>
        <w:tab/>
        <w:t>the research decision</w:t>
      </w:r>
      <w:r>
        <w:rPr>
          <w:color w:val="000000" w:themeColor="text1"/>
        </w:rPr>
        <w:noBreakHyphen/>
        <w:t xml:space="preserve">maker or researcher who made the reviewed decision; or </w:t>
      </w:r>
    </w:p>
    <w:p>
      <w:pPr>
        <w:pStyle w:val="Indenta"/>
      </w:pPr>
      <w:r>
        <w:tab/>
        <w:t>(b)</w:t>
      </w:r>
      <w:r>
        <w:tab/>
        <w:t>the independent medical practitioner who made the report.</w:t>
      </w:r>
    </w:p>
    <w:p>
      <w:pPr>
        <w:pStyle w:val="Subsection"/>
      </w:pPr>
      <w:r>
        <w:rPr>
          <w:color w:val="000000" w:themeColor="text1"/>
        </w:rPr>
        <w:tab/>
        <w:t>(4)</w:t>
      </w:r>
      <w:r>
        <w:rPr>
          <w:color w:val="000000" w:themeColor="text1"/>
        </w:rPr>
        <w:tab/>
        <w:t xml:space="preserve">The </w:t>
      </w:r>
      <w:r>
        <w:rPr>
          <w:i/>
          <w:color w:val="000000" w:themeColor="text1"/>
        </w:rPr>
        <w:t>State Administrative Tribunal Act 2004</w:t>
      </w:r>
      <w:r>
        <w:rPr>
          <w:color w:val="000000" w:themeColor="text1"/>
        </w:rPr>
        <w:t xml:space="preserve"> sections 21(3) to (5), 22 and 23 apply to a report request as if — </w:t>
      </w:r>
    </w:p>
    <w:p>
      <w:pPr>
        <w:pStyle w:val="Indenta"/>
      </w:pPr>
      <w:r>
        <w:rPr>
          <w:color w:val="000000" w:themeColor="text1"/>
        </w:rPr>
        <w:tab/>
        <w:t>(a)</w:t>
      </w:r>
      <w:r>
        <w:rPr>
          <w:color w:val="000000" w:themeColor="text1"/>
        </w:rPr>
        <w:tab/>
        <w:t>the report request were a request made under section 21(1) or 22(1) of that Act; and</w:t>
      </w:r>
    </w:p>
    <w:p>
      <w:pPr>
        <w:pStyle w:val="Indenta"/>
      </w:pPr>
      <w:r>
        <w:tab/>
        <w:t>(b)</w:t>
      </w:r>
      <w:r>
        <w:tab/>
        <w:t>the person to whom the report request is made were the decision</w:t>
      </w:r>
      <w:r>
        <w:noBreakHyphen/>
        <w:t>maker.</w:t>
      </w:r>
    </w:p>
    <w:p>
      <w:pPr>
        <w:pStyle w:val="Footnotesection"/>
      </w:pPr>
      <w:r>
        <w:tab/>
        <w:t>[Section 110ZZA inserted: No. 14 of 2020 s. 12.]</w:t>
      </w:r>
    </w:p>
    <w:p>
      <w:pPr>
        <w:pStyle w:val="Heading5"/>
      </w:pPr>
      <w:bookmarkStart w:id="294" w:name="_Toc132299390"/>
      <w:r>
        <w:rPr>
          <w:rStyle w:val="CharSectno"/>
        </w:rPr>
        <w:t>110ZZB</w:t>
      </w:r>
      <w:r>
        <w:rPr>
          <w:color w:val="000000" w:themeColor="text1"/>
        </w:rPr>
        <w:t>.</w:t>
      </w:r>
      <w:r>
        <w:rPr>
          <w:color w:val="000000" w:themeColor="text1"/>
        </w:rPr>
        <w:tab/>
        <w:t>Effect of State Administrative Tribunal’s decision under this Division</w:t>
      </w:r>
      <w:bookmarkEnd w:id="294"/>
    </w:p>
    <w:p>
      <w:pPr>
        <w:pStyle w:val="Subsection"/>
      </w:pPr>
      <w:r>
        <w:rPr>
          <w:color w:val="000000" w:themeColor="text1"/>
        </w:rPr>
        <w:tab/>
        <w:t>(1)</w:t>
      </w:r>
      <w:r>
        <w:rPr>
          <w:color w:val="000000" w:themeColor="text1"/>
        </w:rPr>
        <w:tab/>
        <w:t xml:space="preserve">A decision of the State Administrative Tribunal on a review application takes effect on the day on which the Tribunal’s decision is made. </w:t>
      </w:r>
    </w:p>
    <w:p>
      <w:pPr>
        <w:pStyle w:val="Subsection"/>
      </w:pPr>
      <w:r>
        <w:tab/>
        <w:t>(2)</w:t>
      </w:r>
      <w:r>
        <w:tab/>
        <w:t>If the State Administrative Tribunal sets aside a reviewed decision, the Tribunal’s decision does not affect the operation of sections 110ZX and 110ZY in relation to actions or omissions of a researcher before the day the Tribunal’s decision takes effect under subsection (1).</w:t>
      </w:r>
    </w:p>
    <w:p>
      <w:pPr>
        <w:pStyle w:val="Footnotesection"/>
      </w:pPr>
      <w:r>
        <w:tab/>
        <w:t>[Section 110ZZB inserted: No. 14 of 2020 s. 12.]</w:t>
      </w:r>
    </w:p>
    <w:p>
      <w:pPr>
        <w:pStyle w:val="Heading3"/>
      </w:pPr>
      <w:bookmarkStart w:id="295" w:name="_Toc132193542"/>
      <w:bookmarkStart w:id="296" w:name="_Toc132193792"/>
      <w:bookmarkStart w:id="297" w:name="_Toc132299391"/>
      <w:r>
        <w:rPr>
          <w:rStyle w:val="CharDivNo"/>
        </w:rPr>
        <w:lastRenderedPageBreak/>
        <w:t>Division 6</w:t>
      </w:r>
      <w:r>
        <w:rPr>
          <w:color w:val="000000" w:themeColor="text1"/>
        </w:rPr>
        <w:t> — </w:t>
      </w:r>
      <w:r>
        <w:rPr>
          <w:rStyle w:val="CharDivText"/>
        </w:rPr>
        <w:t>Reporting</w:t>
      </w:r>
      <w:bookmarkEnd w:id="295"/>
      <w:bookmarkEnd w:id="296"/>
      <w:bookmarkEnd w:id="297"/>
    </w:p>
    <w:p>
      <w:pPr>
        <w:pStyle w:val="Footnoteheading"/>
        <w:keepNext/>
      </w:pPr>
      <w:r>
        <w:tab/>
        <w:t>[Heading inserted: No. 14 of 2020 s. 12.]</w:t>
      </w:r>
    </w:p>
    <w:p>
      <w:pPr>
        <w:pStyle w:val="Heading5"/>
      </w:pPr>
      <w:bookmarkStart w:id="298" w:name="_Toc132299392"/>
      <w:r>
        <w:rPr>
          <w:rStyle w:val="CharSectno"/>
        </w:rPr>
        <w:t>110ZZC</w:t>
      </w:r>
      <w:r>
        <w:rPr>
          <w:color w:val="000000" w:themeColor="text1"/>
        </w:rPr>
        <w:t>.</w:t>
      </w:r>
      <w:r>
        <w:rPr>
          <w:color w:val="000000" w:themeColor="text1"/>
        </w:rPr>
        <w:tab/>
        <w:t>Researcher to report medical research conducted under this Part to Health Minister</w:t>
      </w:r>
      <w:bookmarkEnd w:id="298"/>
      <w:r>
        <w:rPr>
          <w:color w:val="000000" w:themeColor="text1"/>
        </w:rPr>
        <w:t xml:space="preserve"> </w:t>
      </w:r>
    </w:p>
    <w:p>
      <w:pPr>
        <w:pStyle w:val="Subsection"/>
        <w:keepNext/>
      </w:pPr>
      <w:r>
        <w:rPr>
          <w:color w:val="000000" w:themeColor="text1"/>
        </w:rPr>
        <w:tab/>
      </w:r>
      <w:r>
        <w:rPr>
          <w:color w:val="000000" w:themeColor="text1"/>
        </w:rPr>
        <w:tab/>
        <w:t xml:space="preserve">If a researcher conducts medical research in relation to a research candidate under this Part, the researcher must give the Health Minister a written notice, in the form approved by the Health Minister, stating the following — </w:t>
      </w:r>
    </w:p>
    <w:p>
      <w:pPr>
        <w:pStyle w:val="Indenta"/>
      </w:pPr>
      <w:r>
        <w:rPr>
          <w:color w:val="000000" w:themeColor="text1"/>
        </w:rPr>
        <w:tab/>
        <w:t>(a)</w:t>
      </w:r>
      <w:r>
        <w:rPr>
          <w:color w:val="000000" w:themeColor="text1"/>
        </w:rPr>
        <w:tab/>
        <w:t xml:space="preserve">that the researcher is conducting medical research in relation to the candidate; </w:t>
      </w:r>
    </w:p>
    <w:p>
      <w:pPr>
        <w:pStyle w:val="Indenta"/>
        <w:keepNext/>
      </w:pPr>
      <w:r>
        <w:tab/>
        <w:t>(b)</w:t>
      </w:r>
      <w:r>
        <w:tab/>
        <w:t xml:space="preserve">whether the medical research is carried out pursuant to — </w:t>
      </w:r>
    </w:p>
    <w:p>
      <w:pPr>
        <w:pStyle w:val="Indenti"/>
      </w:pPr>
      <w:r>
        <w:rPr>
          <w:color w:val="000000" w:themeColor="text1"/>
        </w:rPr>
        <w:tab/>
        <w:t>(i)</w:t>
      </w:r>
      <w:r>
        <w:rPr>
          <w:color w:val="000000" w:themeColor="text1"/>
        </w:rPr>
        <w:tab/>
        <w:t>a research decision by the research decision</w:t>
      </w:r>
      <w:r>
        <w:rPr>
          <w:color w:val="000000" w:themeColor="text1"/>
        </w:rPr>
        <w:noBreakHyphen/>
        <w:t>maker for the candidate under section 110ZR; or</w:t>
      </w:r>
    </w:p>
    <w:p>
      <w:pPr>
        <w:pStyle w:val="Indenti"/>
      </w:pPr>
      <w:r>
        <w:tab/>
        <w:t>(ii)</w:t>
      </w:r>
      <w:r>
        <w:tab/>
        <w:t xml:space="preserve">an urgent medical research decision; </w:t>
      </w:r>
    </w:p>
    <w:p>
      <w:pPr>
        <w:pStyle w:val="Indenta"/>
      </w:pPr>
      <w:r>
        <w:rPr>
          <w:color w:val="000000" w:themeColor="text1"/>
        </w:rPr>
        <w:tab/>
        <w:t>(c)</w:t>
      </w:r>
      <w:r>
        <w:rPr>
          <w:color w:val="000000" w:themeColor="text1"/>
        </w:rPr>
        <w:tab/>
        <w:t xml:space="preserve">the type of medical research the researcher is conducting in relation to the candidate; </w:t>
      </w:r>
    </w:p>
    <w:p>
      <w:pPr>
        <w:pStyle w:val="Indenta"/>
      </w:pPr>
      <w:r>
        <w:tab/>
        <w:t>(d)</w:t>
      </w:r>
      <w:r>
        <w:tab/>
        <w:t xml:space="preserve">the purpose of the medical research; </w:t>
      </w:r>
    </w:p>
    <w:p>
      <w:pPr>
        <w:pStyle w:val="Indenta"/>
      </w:pPr>
      <w:r>
        <w:tab/>
        <w:t>(e)</w:t>
      </w:r>
      <w:r>
        <w:tab/>
        <w:t>any other information required by the approved form.</w:t>
      </w:r>
    </w:p>
    <w:p>
      <w:pPr>
        <w:pStyle w:val="Footnotesection"/>
      </w:pPr>
      <w:r>
        <w:tab/>
        <w:t>[Section 110ZZC inserted: No. 14 of 2020 s. 12.]</w:t>
      </w:r>
    </w:p>
    <w:p>
      <w:pPr>
        <w:pStyle w:val="Heading5"/>
      </w:pPr>
      <w:bookmarkStart w:id="299" w:name="_Toc132299393"/>
      <w:r>
        <w:rPr>
          <w:rStyle w:val="CharSectno"/>
        </w:rPr>
        <w:t>110ZZD</w:t>
      </w:r>
      <w:r>
        <w:rPr>
          <w:color w:val="000000" w:themeColor="text1"/>
        </w:rPr>
        <w:t>.</w:t>
      </w:r>
      <w:r>
        <w:rPr>
          <w:color w:val="000000" w:themeColor="text1"/>
        </w:rPr>
        <w:tab/>
        <w:t>Health Minister to report to Parliament on medical research carried out under this Part</w:t>
      </w:r>
      <w:bookmarkEnd w:id="299"/>
    </w:p>
    <w:p>
      <w:pPr>
        <w:pStyle w:val="Subsection"/>
        <w:rPr>
          <w:snapToGrid w:val="0"/>
        </w:rPr>
      </w:pPr>
      <w:r>
        <w:rPr>
          <w:color w:val="000000" w:themeColor="text1"/>
        </w:rPr>
        <w:tab/>
        <w:t>(1)</w:t>
      </w:r>
      <w:r>
        <w:rPr>
          <w:color w:val="000000" w:themeColor="text1"/>
        </w:rPr>
        <w:tab/>
        <w:t xml:space="preserve">The Health Minister must, as soon as practicable after each anniversary of the day on which </w:t>
      </w:r>
      <w:r>
        <w:rPr>
          <w:snapToGrid w:val="0"/>
          <w:color w:val="000000" w:themeColor="text1"/>
        </w:rPr>
        <w:t xml:space="preserve">the </w:t>
      </w:r>
      <w:r>
        <w:rPr>
          <w:i/>
          <w:color w:val="000000" w:themeColor="text1"/>
        </w:rPr>
        <w:t>Guardianship and Administration Amendment (Medical Research) Act 2020</w:t>
      </w:r>
      <w:r>
        <w:rPr>
          <w:color w:val="000000" w:themeColor="text1"/>
        </w:rPr>
        <w:t xml:space="preserve"> section 12</w:t>
      </w:r>
      <w:r>
        <w:rPr>
          <w:snapToGrid w:val="0"/>
          <w:color w:val="000000" w:themeColor="text1"/>
        </w:rPr>
        <w:t xml:space="preserve"> comes into operation, report to Parliament on the following in relation to the year to which the report relates — </w:t>
      </w:r>
    </w:p>
    <w:p>
      <w:pPr>
        <w:pStyle w:val="Indenta"/>
      </w:pPr>
      <w:r>
        <w:rPr>
          <w:snapToGrid w:val="0"/>
          <w:color w:val="000000" w:themeColor="text1"/>
        </w:rPr>
        <w:tab/>
        <w:t>(a)</w:t>
      </w:r>
      <w:r>
        <w:rPr>
          <w:snapToGrid w:val="0"/>
          <w:color w:val="000000" w:themeColor="text1"/>
        </w:rPr>
        <w:tab/>
      </w:r>
      <w:r>
        <w:rPr>
          <w:color w:val="000000" w:themeColor="text1"/>
        </w:rPr>
        <w:t xml:space="preserve">the number of research candidates who have participated in medical research under this Part; </w:t>
      </w:r>
    </w:p>
    <w:p>
      <w:pPr>
        <w:pStyle w:val="Indenta"/>
      </w:pPr>
      <w:r>
        <w:lastRenderedPageBreak/>
        <w:tab/>
        <w:t>(b)</w:t>
      </w:r>
      <w:r>
        <w:tab/>
        <w:t xml:space="preserve">whether the medical research is carried out pursuant to — </w:t>
      </w:r>
    </w:p>
    <w:p>
      <w:pPr>
        <w:pStyle w:val="Indenti"/>
      </w:pPr>
      <w:r>
        <w:rPr>
          <w:color w:val="000000" w:themeColor="text1"/>
        </w:rPr>
        <w:tab/>
        <w:t>(i)</w:t>
      </w:r>
      <w:r>
        <w:rPr>
          <w:color w:val="000000" w:themeColor="text1"/>
        </w:rPr>
        <w:tab/>
        <w:t>a research decision by the research decision</w:t>
      </w:r>
      <w:r>
        <w:rPr>
          <w:color w:val="000000" w:themeColor="text1"/>
        </w:rPr>
        <w:noBreakHyphen/>
        <w:t>maker for the candidate under section 110ZR; or</w:t>
      </w:r>
    </w:p>
    <w:p>
      <w:pPr>
        <w:pStyle w:val="Indenti"/>
      </w:pPr>
      <w:r>
        <w:tab/>
        <w:t>(ii)</w:t>
      </w:r>
      <w:r>
        <w:tab/>
        <w:t xml:space="preserve">an urgent medical research decision; </w:t>
      </w:r>
    </w:p>
    <w:p>
      <w:pPr>
        <w:pStyle w:val="Indenta"/>
      </w:pPr>
      <w:r>
        <w:rPr>
          <w:color w:val="000000" w:themeColor="text1"/>
        </w:rPr>
        <w:tab/>
        <w:t>(c)</w:t>
      </w:r>
      <w:r>
        <w:rPr>
          <w:color w:val="000000" w:themeColor="text1"/>
        </w:rPr>
        <w:tab/>
        <w:t xml:space="preserve">the type of medical research the researcher is conducting in relation to the candidate; </w:t>
      </w:r>
    </w:p>
    <w:p>
      <w:pPr>
        <w:pStyle w:val="Indenta"/>
      </w:pPr>
      <w:r>
        <w:tab/>
        <w:t>(d)</w:t>
      </w:r>
      <w:r>
        <w:tab/>
        <w:t>the purpose of the medical research;</w:t>
      </w:r>
    </w:p>
    <w:p>
      <w:pPr>
        <w:pStyle w:val="Indenta"/>
      </w:pPr>
      <w:r>
        <w:tab/>
        <w:t>(e)</w:t>
      </w:r>
      <w:r>
        <w:tab/>
        <w:t>any other matter relating to the operation of this Part that the Health Minister considers appropriate.</w:t>
      </w:r>
    </w:p>
    <w:p>
      <w:pPr>
        <w:pStyle w:val="Subsection"/>
      </w:pPr>
      <w:r>
        <w:rPr>
          <w:color w:val="000000" w:themeColor="text1"/>
        </w:rPr>
        <w:tab/>
        <w:t>(2)</w:t>
      </w:r>
      <w:r>
        <w:rPr>
          <w:color w:val="000000" w:themeColor="text1"/>
        </w:rPr>
        <w:tab/>
        <w:t xml:space="preserve">The report under subsection (1) — </w:t>
      </w:r>
    </w:p>
    <w:p>
      <w:pPr>
        <w:pStyle w:val="Indenta"/>
        <w:rPr>
          <w:snapToGrid w:val="0"/>
        </w:rPr>
      </w:pPr>
      <w:r>
        <w:rPr>
          <w:color w:val="000000" w:themeColor="text1"/>
        </w:rPr>
        <w:tab/>
        <w:t>(a)</w:t>
      </w:r>
      <w:r>
        <w:rPr>
          <w:color w:val="000000" w:themeColor="text1"/>
        </w:rPr>
        <w:tab/>
        <w:t xml:space="preserve">may include statistics or other general information derived from a written notice the Health Minister receives under </w:t>
      </w:r>
      <w:r>
        <w:rPr>
          <w:snapToGrid w:val="0"/>
          <w:color w:val="000000" w:themeColor="text1"/>
        </w:rPr>
        <w:t>section 110ZZC; but</w:t>
      </w:r>
    </w:p>
    <w:p>
      <w:pPr>
        <w:pStyle w:val="Indenta"/>
      </w:pPr>
      <w:r>
        <w:tab/>
        <w:t>(b)</w:t>
      </w:r>
      <w:r>
        <w:tab/>
        <w:t>must not include personal information.</w:t>
      </w:r>
    </w:p>
    <w:p>
      <w:pPr>
        <w:pStyle w:val="Footnotesection"/>
      </w:pPr>
      <w:r>
        <w:tab/>
        <w:t>[Section 110ZZD inserted: No. 14 of 2020 s. 12.]</w:t>
      </w:r>
    </w:p>
    <w:p>
      <w:pPr>
        <w:pStyle w:val="Heading3"/>
      </w:pPr>
      <w:bookmarkStart w:id="300" w:name="_Toc132193545"/>
      <w:bookmarkStart w:id="301" w:name="_Toc132193795"/>
      <w:bookmarkStart w:id="302" w:name="_Toc132299394"/>
      <w:r>
        <w:rPr>
          <w:rStyle w:val="CharDivNo"/>
        </w:rPr>
        <w:t>Division 7</w:t>
      </w:r>
      <w:r>
        <w:rPr>
          <w:color w:val="000000" w:themeColor="text1"/>
        </w:rPr>
        <w:t> — </w:t>
      </w:r>
      <w:r>
        <w:rPr>
          <w:rStyle w:val="CharDivText"/>
        </w:rPr>
        <w:t>Reviews</w:t>
      </w:r>
      <w:bookmarkEnd w:id="300"/>
      <w:bookmarkEnd w:id="301"/>
      <w:bookmarkEnd w:id="302"/>
    </w:p>
    <w:p>
      <w:pPr>
        <w:pStyle w:val="Footnoteheading"/>
      </w:pPr>
      <w:r>
        <w:tab/>
        <w:t>[Heading inserted: No. 14 of 2020 s. 12.]</w:t>
      </w:r>
    </w:p>
    <w:p>
      <w:pPr>
        <w:pStyle w:val="Heading5"/>
      </w:pPr>
      <w:bookmarkStart w:id="303" w:name="_Toc132299395"/>
      <w:r>
        <w:rPr>
          <w:rStyle w:val="CharSectno"/>
        </w:rPr>
        <w:t>110ZZE</w:t>
      </w:r>
      <w:r>
        <w:rPr>
          <w:color w:val="000000" w:themeColor="text1"/>
        </w:rPr>
        <w:t>.</w:t>
      </w:r>
      <w:r>
        <w:rPr>
          <w:color w:val="000000" w:themeColor="text1"/>
        </w:rPr>
        <w:tab/>
        <w:t>Review of this Part</w:t>
      </w:r>
      <w:bookmarkEnd w:id="303"/>
    </w:p>
    <w:p>
      <w:pPr>
        <w:pStyle w:val="Subsection"/>
        <w:rPr>
          <w:snapToGrid w:val="0"/>
        </w:rPr>
      </w:pPr>
      <w:r>
        <w:rPr>
          <w:snapToGrid w:val="0"/>
          <w:color w:val="000000" w:themeColor="text1"/>
        </w:rPr>
        <w:tab/>
        <w:t>(1)</w:t>
      </w:r>
      <w:r>
        <w:rPr>
          <w:snapToGrid w:val="0"/>
          <w:color w:val="000000" w:themeColor="text1"/>
        </w:rPr>
        <w:tab/>
        <w:t xml:space="preserve">The Minister must review the operation and effectiveness of this Part and prepare a report based on the review — </w:t>
      </w:r>
    </w:p>
    <w:p>
      <w:pPr>
        <w:pStyle w:val="Indenta"/>
        <w:rPr>
          <w:snapToGrid w:val="0"/>
        </w:rPr>
      </w:pPr>
      <w:r>
        <w:rPr>
          <w:snapToGrid w:val="0"/>
          <w:color w:val="000000" w:themeColor="text1"/>
        </w:rPr>
        <w:tab/>
        <w:t>(a)</w:t>
      </w:r>
      <w:r>
        <w:rPr>
          <w:snapToGrid w:val="0"/>
          <w:color w:val="000000" w:themeColor="text1"/>
        </w:rPr>
        <w:tab/>
        <w:t>as soon as practicable after the 1</w:t>
      </w:r>
      <w:r>
        <w:rPr>
          <w:snapToGrid w:val="0"/>
          <w:color w:val="000000" w:themeColor="text1"/>
          <w:vertAlign w:val="superscript"/>
        </w:rPr>
        <w:t>st</w:t>
      </w:r>
      <w:r>
        <w:rPr>
          <w:snapToGrid w:val="0"/>
          <w:color w:val="000000" w:themeColor="text1"/>
        </w:rPr>
        <w:t xml:space="preserve"> anniversary of the day on </w:t>
      </w:r>
      <w:r>
        <w:rPr>
          <w:color w:val="000000" w:themeColor="text1"/>
        </w:rPr>
        <w:t>which</w:t>
      </w:r>
      <w:r>
        <w:rPr>
          <w:snapToGrid w:val="0"/>
          <w:color w:val="000000" w:themeColor="text1"/>
        </w:rPr>
        <w:t xml:space="preserve"> the </w:t>
      </w:r>
      <w:r>
        <w:rPr>
          <w:i/>
          <w:color w:val="000000" w:themeColor="text1"/>
        </w:rPr>
        <w:t>Guardianship and Administration Amendment (Medical Research) Act 2020</w:t>
      </w:r>
      <w:r>
        <w:rPr>
          <w:color w:val="000000" w:themeColor="text1"/>
        </w:rPr>
        <w:t xml:space="preserve"> section 12 </w:t>
      </w:r>
      <w:r>
        <w:rPr>
          <w:snapToGrid w:val="0"/>
          <w:color w:val="000000" w:themeColor="text1"/>
        </w:rPr>
        <w:t>comes into operation; and</w:t>
      </w:r>
    </w:p>
    <w:p>
      <w:pPr>
        <w:pStyle w:val="Indenta"/>
      </w:pPr>
      <w:r>
        <w:rPr>
          <w:snapToGrid w:val="0"/>
        </w:rPr>
        <w:tab/>
        <w:t>(b)</w:t>
      </w:r>
      <w:r>
        <w:rPr>
          <w:snapToGrid w:val="0"/>
        </w:rPr>
        <w:tab/>
        <w:t>after that, at intervals of not more than 3 years.</w:t>
      </w:r>
    </w:p>
    <w:p>
      <w:pPr>
        <w:pStyle w:val="Subsection"/>
        <w:keepNext/>
        <w:keepLines/>
        <w:rPr>
          <w:snapToGrid w:val="0"/>
        </w:rPr>
      </w:pPr>
      <w:r>
        <w:rPr>
          <w:snapToGrid w:val="0"/>
          <w:color w:val="000000" w:themeColor="text1"/>
        </w:rPr>
        <w:lastRenderedPageBreak/>
        <w:tab/>
        <w:t>(2)</w:t>
      </w:r>
      <w:r>
        <w:rPr>
          <w:snapToGrid w:val="0"/>
          <w:color w:val="000000" w:themeColor="text1"/>
        </w:rPr>
        <w:tab/>
        <w:t>The Minister must cause the report to be laid before each House of Parliament as soon as practicable after it is prepared, but not later than 12 months after the 1</w:t>
      </w:r>
      <w:r>
        <w:rPr>
          <w:snapToGrid w:val="0"/>
          <w:color w:val="000000" w:themeColor="text1"/>
          <w:vertAlign w:val="superscript"/>
        </w:rPr>
        <w:t>st</w:t>
      </w:r>
      <w:r>
        <w:rPr>
          <w:snapToGrid w:val="0"/>
          <w:color w:val="000000" w:themeColor="text1"/>
        </w:rPr>
        <w:t xml:space="preserve"> anniversary or the expiry of the period of 3 years, as the case may be.</w:t>
      </w:r>
    </w:p>
    <w:p>
      <w:pPr>
        <w:pStyle w:val="Footnotesection"/>
      </w:pPr>
      <w:r>
        <w:tab/>
        <w:t>[Section 110ZZE inserted: No. 14 of 2020 s. 12.]</w:t>
      </w:r>
    </w:p>
    <w:p>
      <w:pPr>
        <w:pStyle w:val="Heading2"/>
      </w:pPr>
      <w:bookmarkStart w:id="304" w:name="_Toc132193547"/>
      <w:bookmarkStart w:id="305" w:name="_Toc132193797"/>
      <w:bookmarkStart w:id="306" w:name="_Toc132299396"/>
      <w:r>
        <w:rPr>
          <w:rStyle w:val="CharPartNo"/>
        </w:rPr>
        <w:lastRenderedPageBreak/>
        <w:t>Part 10</w:t>
      </w:r>
      <w:r>
        <w:rPr>
          <w:rStyle w:val="CharDivNo"/>
        </w:rPr>
        <w:t> </w:t>
      </w:r>
      <w:r>
        <w:t>—</w:t>
      </w:r>
      <w:r>
        <w:rPr>
          <w:rStyle w:val="CharDivText"/>
        </w:rPr>
        <w:t> </w:t>
      </w:r>
      <w:r>
        <w:rPr>
          <w:rStyle w:val="CharPartText"/>
        </w:rPr>
        <w:t>Miscellaneous provisions</w:t>
      </w:r>
      <w:bookmarkEnd w:id="304"/>
      <w:bookmarkEnd w:id="305"/>
      <w:bookmarkEnd w:id="306"/>
      <w:r>
        <w:rPr>
          <w:rStyle w:val="CharPartText"/>
        </w:rPr>
        <w:t xml:space="preserve"> </w:t>
      </w:r>
    </w:p>
    <w:p>
      <w:pPr>
        <w:pStyle w:val="Heading5"/>
        <w:rPr>
          <w:snapToGrid w:val="0"/>
        </w:rPr>
      </w:pPr>
      <w:bookmarkStart w:id="307" w:name="_Toc132299397"/>
      <w:r>
        <w:rPr>
          <w:rStyle w:val="CharSectno"/>
        </w:rPr>
        <w:t>111</w:t>
      </w:r>
      <w:r>
        <w:rPr>
          <w:snapToGrid w:val="0"/>
        </w:rPr>
        <w:t>.</w:t>
      </w:r>
      <w:r>
        <w:rPr>
          <w:snapToGrid w:val="0"/>
        </w:rPr>
        <w:tab/>
        <w:t>Declaration as to capacity to vote</w:t>
      </w:r>
      <w:bookmarkEnd w:id="307"/>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w:t>
      </w:r>
      <w:r>
        <w:rPr>
          <w:snapToGrid w:val="0"/>
        </w:rPr>
        <w:lastRenderedPageBreak/>
        <w:t xml:space="preserve">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No. 16 of 1992 s. 18; No. 55 of 2004 s. 455 and 466.] </w:t>
      </w:r>
    </w:p>
    <w:p>
      <w:pPr>
        <w:pStyle w:val="Heading5"/>
      </w:pPr>
      <w:bookmarkStart w:id="308" w:name="_Toc132299398"/>
      <w:r>
        <w:rPr>
          <w:rStyle w:val="CharSectno"/>
        </w:rPr>
        <w:t>111A</w:t>
      </w:r>
      <w:r>
        <w:t>.</w:t>
      </w:r>
      <w:r>
        <w:tab/>
        <w:t xml:space="preserve">Applications under </w:t>
      </w:r>
      <w:r>
        <w:rPr>
          <w:i/>
          <w:iCs/>
        </w:rPr>
        <w:t xml:space="preserve">Wills Act 1970 </w:t>
      </w:r>
      <w:r>
        <w:t>s. 40</w:t>
      </w:r>
      <w:bookmarkEnd w:id="308"/>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No. 27 of 2007 s. 25.]</w:t>
      </w:r>
    </w:p>
    <w:p>
      <w:pPr>
        <w:pStyle w:val="Heading5"/>
        <w:rPr>
          <w:snapToGrid w:val="0"/>
        </w:rPr>
      </w:pPr>
      <w:bookmarkStart w:id="309" w:name="_Toc132299399"/>
      <w:r>
        <w:rPr>
          <w:rStyle w:val="CharSectno"/>
        </w:rPr>
        <w:t>112</w:t>
      </w:r>
      <w:r>
        <w:rPr>
          <w:snapToGrid w:val="0"/>
        </w:rPr>
        <w:t>.</w:t>
      </w:r>
      <w:r>
        <w:rPr>
          <w:snapToGrid w:val="0"/>
        </w:rPr>
        <w:tab/>
        <w:t>Inspection of records</w:t>
      </w:r>
      <w:bookmarkEnd w:id="309"/>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lastRenderedPageBreak/>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No. 50 of 2003 s. 70(3); No. 55 of 2004 s. 456 and 466.]</w:t>
      </w:r>
    </w:p>
    <w:p>
      <w:pPr>
        <w:pStyle w:val="Heading5"/>
        <w:rPr>
          <w:snapToGrid w:val="0"/>
        </w:rPr>
      </w:pPr>
      <w:bookmarkStart w:id="310" w:name="_Toc132299400"/>
      <w:r>
        <w:rPr>
          <w:rStyle w:val="CharSectno"/>
        </w:rPr>
        <w:t>113</w:t>
      </w:r>
      <w:r>
        <w:rPr>
          <w:snapToGrid w:val="0"/>
        </w:rPr>
        <w:t>.</w:t>
      </w:r>
      <w:r>
        <w:rPr>
          <w:snapToGrid w:val="0"/>
        </w:rPr>
        <w:tab/>
        <w:t>Confidentiality</w:t>
      </w:r>
      <w:bookmarkEnd w:id="310"/>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lastRenderedPageBreak/>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No. 50 of 2003 s. 70(4); No. 55 of 2004 s. 457.]</w:t>
      </w:r>
    </w:p>
    <w:p>
      <w:pPr>
        <w:pStyle w:val="Heading5"/>
        <w:rPr>
          <w:snapToGrid w:val="0"/>
        </w:rPr>
      </w:pPr>
      <w:bookmarkStart w:id="311" w:name="_Toc132299401"/>
      <w:r>
        <w:rPr>
          <w:rStyle w:val="CharSectno"/>
        </w:rPr>
        <w:t>114</w:t>
      </w:r>
      <w:r>
        <w:rPr>
          <w:snapToGrid w:val="0"/>
        </w:rPr>
        <w:t>.</w:t>
      </w:r>
      <w:r>
        <w:rPr>
          <w:snapToGrid w:val="0"/>
        </w:rPr>
        <w:tab/>
        <w:t>Immunity</w:t>
      </w:r>
      <w:bookmarkEnd w:id="311"/>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No. 55 of 2004 s. 458 and 466.]</w:t>
      </w:r>
    </w:p>
    <w:p>
      <w:pPr>
        <w:pStyle w:val="Heading5"/>
        <w:rPr>
          <w:snapToGrid w:val="0"/>
        </w:rPr>
      </w:pPr>
      <w:bookmarkStart w:id="312" w:name="_Toc132299402"/>
      <w:r>
        <w:rPr>
          <w:rStyle w:val="CharSectno"/>
        </w:rPr>
        <w:t>115</w:t>
      </w:r>
      <w:r>
        <w:rPr>
          <w:snapToGrid w:val="0"/>
        </w:rPr>
        <w:t>.</w:t>
      </w:r>
      <w:r>
        <w:rPr>
          <w:snapToGrid w:val="0"/>
        </w:rPr>
        <w:tab/>
        <w:t>Service of notices</w:t>
      </w:r>
      <w:bookmarkEnd w:id="312"/>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 xml:space="preserve">The contents of any notice referred to in subsection (1) shall, at the time when the notice is given to the person, be explained to him by the person who gives the notice or some other person and, as far as is practicable, in the language, mode of </w:t>
      </w:r>
      <w:r>
        <w:rPr>
          <w:snapToGrid w:val="0"/>
        </w:rPr>
        <w:lastRenderedPageBreak/>
        <w:t>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No. 55 of 2004 s. 459.] </w:t>
      </w:r>
    </w:p>
    <w:p>
      <w:pPr>
        <w:pStyle w:val="Heading5"/>
        <w:rPr>
          <w:snapToGrid w:val="0"/>
        </w:rPr>
      </w:pPr>
      <w:bookmarkStart w:id="313" w:name="_Toc132299403"/>
      <w:r>
        <w:rPr>
          <w:rStyle w:val="CharSectno"/>
        </w:rPr>
        <w:t>117</w:t>
      </w:r>
      <w:r>
        <w:rPr>
          <w:snapToGrid w:val="0"/>
        </w:rPr>
        <w:t>.</w:t>
      </w:r>
      <w:r>
        <w:rPr>
          <w:snapToGrid w:val="0"/>
        </w:rPr>
        <w:tab/>
        <w:t>Remuneration</w:t>
      </w:r>
      <w:bookmarkEnd w:id="31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No. 55 of 2004 s. 460 and 466.]</w:t>
      </w:r>
    </w:p>
    <w:p>
      <w:pPr>
        <w:pStyle w:val="Heading5"/>
        <w:rPr>
          <w:snapToGrid w:val="0"/>
        </w:rPr>
      </w:pPr>
      <w:bookmarkStart w:id="314" w:name="_Toc132299404"/>
      <w:r>
        <w:rPr>
          <w:rStyle w:val="CharSectno"/>
        </w:rPr>
        <w:lastRenderedPageBreak/>
        <w:t>118</w:t>
      </w:r>
      <w:r>
        <w:rPr>
          <w:snapToGrid w:val="0"/>
        </w:rPr>
        <w:t>.</w:t>
      </w:r>
      <w:r>
        <w:rPr>
          <w:snapToGrid w:val="0"/>
        </w:rPr>
        <w:tab/>
        <w:t>Expenses</w:t>
      </w:r>
      <w:bookmarkEnd w:id="314"/>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No. 55 of 2004 s. 466(1).]</w:t>
      </w:r>
    </w:p>
    <w:p>
      <w:pPr>
        <w:pStyle w:val="Heading5"/>
      </w:pPr>
      <w:bookmarkStart w:id="315" w:name="_Toc132299405"/>
      <w:r>
        <w:rPr>
          <w:rStyle w:val="CharSectno"/>
        </w:rPr>
        <w:t>119</w:t>
      </w:r>
      <w:r>
        <w:t>.</w:t>
      </w:r>
      <w:r>
        <w:tab/>
        <w:t>Order of priority of enduring guardian and guardian for matters other than treatment decisions</w:t>
      </w:r>
      <w:bookmarkEnd w:id="315"/>
    </w:p>
    <w:p>
      <w:pPr>
        <w:pStyle w:val="Subsection"/>
      </w:pPr>
      <w:r>
        <w:rPr>
          <w:color w:val="000000" w:themeColor="text1"/>
        </w:rPr>
        <w:tab/>
        <w:t>(1)</w:t>
      </w:r>
      <w:r>
        <w:rPr>
          <w:color w:val="000000" w:themeColor="text1"/>
        </w:rPr>
        <w:tab/>
        <w:t xml:space="preserve">This section applies if a person is unable to make reasonable judgments in respect of a matter relating to their person other than — </w:t>
      </w:r>
    </w:p>
    <w:p>
      <w:pPr>
        <w:pStyle w:val="Indenta"/>
      </w:pPr>
      <w:r>
        <w:rPr>
          <w:color w:val="000000" w:themeColor="text1"/>
        </w:rPr>
        <w:tab/>
        <w:t>(a)</w:t>
      </w:r>
      <w:r>
        <w:rPr>
          <w:color w:val="000000" w:themeColor="text1"/>
        </w:rPr>
        <w:tab/>
        <w:t>treatment proposed to be provided to the person; or</w:t>
      </w:r>
    </w:p>
    <w:p>
      <w:pPr>
        <w:pStyle w:val="Indenta"/>
        <w:rPr>
          <w:sz w:val="20"/>
        </w:rPr>
      </w:pPr>
      <w:r>
        <w:tab/>
        <w:t>(b)</w:t>
      </w:r>
      <w:r>
        <w:tab/>
        <w:t>medical research proposed to be conducted in relation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keepNext/>
      </w:pPr>
      <w:r>
        <w:lastRenderedPageBreak/>
        <w:tab/>
        <w:t>(3)</w:t>
      </w:r>
      <w:r>
        <w:tab/>
        <w:t xml:space="preserve">If — </w:t>
      </w:r>
    </w:p>
    <w:p>
      <w:pPr>
        <w:pStyle w:val="Indenta"/>
        <w:keepNext/>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 No. 25 of 2008 s. 13; amended: No. 14 of 2020 s. 14.]</w:t>
      </w:r>
    </w:p>
    <w:p>
      <w:pPr>
        <w:pStyle w:val="Heading5"/>
      </w:pPr>
      <w:bookmarkStart w:id="316" w:name="_Toc132299406"/>
      <w:r>
        <w:rPr>
          <w:rStyle w:val="CharSectno"/>
        </w:rPr>
        <w:t>119A</w:t>
      </w:r>
      <w:r>
        <w:t>.</w:t>
      </w:r>
      <w:r>
        <w:tab/>
        <w:t>No fee for application to State Administrative Tribunal</w:t>
      </w:r>
      <w:bookmarkEnd w:id="316"/>
    </w:p>
    <w:p>
      <w:pPr>
        <w:pStyle w:val="Subsection"/>
      </w:pPr>
      <w:r>
        <w:tab/>
      </w:r>
      <w:r>
        <w:tab/>
        <w:t>No fee is payable in respect of an application made to the State Administrative Tribunal under this Act.</w:t>
      </w:r>
    </w:p>
    <w:p>
      <w:pPr>
        <w:pStyle w:val="Footnotesection"/>
      </w:pPr>
      <w:r>
        <w:tab/>
        <w:t>[Section 119A inserted: No. 55 of 2004 s. 461.]</w:t>
      </w:r>
    </w:p>
    <w:p>
      <w:pPr>
        <w:pStyle w:val="Heading5"/>
        <w:rPr>
          <w:snapToGrid w:val="0"/>
        </w:rPr>
      </w:pPr>
      <w:bookmarkStart w:id="317" w:name="_Toc132299407"/>
      <w:r>
        <w:rPr>
          <w:rStyle w:val="CharSectno"/>
        </w:rPr>
        <w:t>120</w:t>
      </w:r>
      <w:r>
        <w:rPr>
          <w:snapToGrid w:val="0"/>
        </w:rPr>
        <w:t>.</w:t>
      </w:r>
      <w:r>
        <w:rPr>
          <w:snapToGrid w:val="0"/>
        </w:rPr>
        <w:tab/>
        <w:t>Regulations</w:t>
      </w:r>
      <w:bookmarkEnd w:id="31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No. 55 of 2004 s. 462.]</w:t>
      </w:r>
    </w:p>
    <w:p>
      <w:pPr>
        <w:pStyle w:val="Ednotesection"/>
      </w:pPr>
      <w:r>
        <w:t>[</w:t>
      </w:r>
      <w:r>
        <w:rPr>
          <w:b/>
        </w:rPr>
        <w:t>121</w:t>
      </w:r>
      <w:r>
        <w:rPr>
          <w:b/>
        </w:rPr>
        <w:noBreakHyphen/>
        <w:t>123.</w:t>
      </w:r>
      <w:r>
        <w:rPr>
          <w:b/>
        </w:rPr>
        <w:tab/>
      </w:r>
      <w:r>
        <w:t xml:space="preserve">Deleted: No. 55 of 2004 s. 463.] </w:t>
      </w:r>
    </w:p>
    <w:p>
      <w:pPr>
        <w:pStyle w:val="Heading5"/>
        <w:rPr>
          <w:snapToGrid w:val="0"/>
        </w:rPr>
      </w:pPr>
      <w:bookmarkStart w:id="318" w:name="_Toc132299408"/>
      <w:r>
        <w:rPr>
          <w:rStyle w:val="CharSectno"/>
        </w:rPr>
        <w:t>124</w:t>
      </w:r>
      <w:r>
        <w:rPr>
          <w:snapToGrid w:val="0"/>
        </w:rPr>
        <w:t>.</w:t>
      </w:r>
      <w:r>
        <w:rPr>
          <w:snapToGrid w:val="0"/>
        </w:rPr>
        <w:tab/>
        <w:t>Transitional provisions</w:t>
      </w:r>
      <w:bookmarkEnd w:id="318"/>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rPr>
          <w:rFonts w:eastAsia="MS Mincho"/>
        </w:rPr>
      </w:pPr>
      <w:bookmarkStart w:id="319" w:name="_Toc132193560"/>
      <w:bookmarkStart w:id="320" w:name="_Toc132193810"/>
      <w:bookmarkStart w:id="321" w:name="_Toc132299409"/>
      <w:r>
        <w:rPr>
          <w:rStyle w:val="CharSchNo"/>
          <w:rFonts w:eastAsia="MS Mincho"/>
        </w:rPr>
        <w:lastRenderedPageBreak/>
        <w:t>Schedule 1</w:t>
      </w:r>
      <w:r>
        <w:rPr>
          <w:rStyle w:val="CharSDivNo"/>
          <w:rFonts w:eastAsia="MS Mincho"/>
        </w:rPr>
        <w:t> </w:t>
      </w:r>
      <w:r>
        <w:rPr>
          <w:rFonts w:eastAsia="MS Mincho"/>
        </w:rPr>
        <w:t>—</w:t>
      </w:r>
      <w:r>
        <w:rPr>
          <w:rStyle w:val="CharSDivText"/>
          <w:rFonts w:eastAsia="MS Mincho"/>
        </w:rPr>
        <w:t> </w:t>
      </w:r>
      <w:r>
        <w:rPr>
          <w:rStyle w:val="CharSchText"/>
          <w:rFonts w:eastAsia="MS Mincho"/>
        </w:rPr>
        <w:t>Provisions as to proceedings of State Administrative Tribunal</w:t>
      </w:r>
      <w:bookmarkEnd w:id="319"/>
      <w:bookmarkEnd w:id="320"/>
      <w:bookmarkEnd w:id="321"/>
    </w:p>
    <w:p>
      <w:pPr>
        <w:pStyle w:val="yShoulderClause"/>
        <w:rPr>
          <w:rFonts w:eastAsia="MS Mincho"/>
        </w:rPr>
      </w:pPr>
      <w:r>
        <w:rPr>
          <w:rFonts w:eastAsia="MS Mincho"/>
        </w:rPr>
        <w:t>[s. 17]</w:t>
      </w:r>
    </w:p>
    <w:p>
      <w:pPr>
        <w:pStyle w:val="yFootnoteheading"/>
      </w:pPr>
      <w:r>
        <w:tab/>
        <w:t>[Heading inserted: No. 19 of 2010 s. 18(3).]</w:t>
      </w:r>
    </w:p>
    <w:p>
      <w:pPr>
        <w:pStyle w:val="yEdnotesection"/>
        <w:spacing w:before="180"/>
      </w:pPr>
      <w:r>
        <w:t>[</w:t>
      </w:r>
      <w:r>
        <w:rPr>
          <w:b/>
        </w:rPr>
        <w:t>1</w:t>
      </w:r>
      <w:r>
        <w:rPr>
          <w:b/>
        </w:rPr>
        <w:noBreakHyphen/>
        <w:t>10</w:t>
      </w:r>
      <w:r>
        <w:t>.</w:t>
      </w:r>
      <w:r>
        <w:tab/>
        <w:t>Deleted: No. 55 of 2004 s. 464(3).]</w:t>
      </w:r>
    </w:p>
    <w:p>
      <w:pPr>
        <w:pStyle w:val="yHeading5"/>
      </w:pPr>
      <w:bookmarkStart w:id="322" w:name="_Toc132299410"/>
      <w:r>
        <w:rPr>
          <w:rStyle w:val="CharSClsNo"/>
        </w:rPr>
        <w:t>11</w:t>
      </w:r>
      <w:r>
        <w:t>.</w:t>
      </w:r>
      <w:r>
        <w:tab/>
        <w:t>Hearings</w:t>
      </w:r>
      <w:bookmarkEnd w:id="322"/>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No. 50 of 2003 s. 70(5); No. 55 of 2004 s. 464(4)</w:t>
      </w:r>
      <w:r>
        <w:noBreakHyphen/>
        <w:t>(7) and 466.]</w:t>
      </w:r>
    </w:p>
    <w:p>
      <w:pPr>
        <w:pStyle w:val="yHeading5"/>
      </w:pPr>
      <w:bookmarkStart w:id="323" w:name="_Toc132299411"/>
      <w:r>
        <w:rPr>
          <w:rStyle w:val="CharSClsNo"/>
        </w:rPr>
        <w:t>12</w:t>
      </w:r>
      <w:r>
        <w:t>.</w:t>
      </w:r>
      <w:r>
        <w:tab/>
        <w:t>Limitations on publication of proceedings</w:t>
      </w:r>
      <w:bookmarkEnd w:id="323"/>
      <w: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lastRenderedPageBreak/>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lastRenderedPageBreak/>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lastRenderedPageBreak/>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No. 50 of 2003 s. 70(6); No. 4 of 2004 s. 58; No. 55 of 2004 s. 464(8) and 466.]</w:t>
      </w:r>
    </w:p>
    <w:p>
      <w:pPr>
        <w:pStyle w:val="yHeading5"/>
      </w:pPr>
      <w:bookmarkStart w:id="324" w:name="_Toc132299412"/>
      <w:r>
        <w:rPr>
          <w:rStyle w:val="CharSClsNo"/>
        </w:rPr>
        <w:t>13</w:t>
      </w:r>
      <w:r>
        <w:t>.</w:t>
      </w:r>
      <w:r>
        <w:tab/>
        <w:t>Entitlement to appear, and representation</w:t>
      </w:r>
      <w:bookmarkEnd w:id="324"/>
      <w: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lastRenderedPageBreak/>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No. 16 of 1992 s. 18; No. 55 of 2004 s. 464(9)</w:t>
      </w:r>
      <w:r>
        <w:noBreakHyphen/>
        <w:t>(11) and 466.]</w:t>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rPr>
          <w:rFonts w:eastAsia="MS Mincho"/>
        </w:rPr>
      </w:pPr>
      <w:bookmarkStart w:id="326" w:name="_Toc132193564"/>
      <w:bookmarkStart w:id="327" w:name="_Toc132193814"/>
      <w:bookmarkStart w:id="328" w:name="_Toc132299413"/>
      <w:r>
        <w:rPr>
          <w:rStyle w:val="CharSchNo"/>
          <w:rFonts w:eastAsia="MS Mincho"/>
        </w:rPr>
        <w:lastRenderedPageBreak/>
        <w:t>Schedule 2</w:t>
      </w:r>
      <w:r>
        <w:rPr>
          <w:rFonts w:eastAsia="MS Mincho"/>
        </w:rPr>
        <w:t> — </w:t>
      </w:r>
      <w:r>
        <w:rPr>
          <w:rStyle w:val="CharSchText"/>
          <w:rFonts w:eastAsia="MS Mincho"/>
        </w:rPr>
        <w:t>Functions for administration of estates</w:t>
      </w:r>
      <w:bookmarkEnd w:id="326"/>
      <w:bookmarkEnd w:id="327"/>
      <w:bookmarkEnd w:id="328"/>
    </w:p>
    <w:p>
      <w:pPr>
        <w:pStyle w:val="yShoulderClause"/>
        <w:rPr>
          <w:rFonts w:eastAsia="MS Mincho"/>
        </w:rPr>
      </w:pPr>
      <w:r>
        <w:rPr>
          <w:rFonts w:eastAsia="MS Mincho"/>
        </w:rPr>
        <w:t>[s. 71(3) and 72(1)]</w:t>
      </w:r>
    </w:p>
    <w:p>
      <w:pPr>
        <w:pStyle w:val="yFootnoteheading"/>
      </w:pPr>
      <w:r>
        <w:tab/>
        <w:t>[Heading inserted: No. 19 of 2010 s. 18(4).]</w:t>
      </w:r>
    </w:p>
    <w:p>
      <w:pPr>
        <w:pStyle w:val="yHeading3"/>
        <w:rPr>
          <w:rFonts w:eastAsia="MS Mincho"/>
        </w:rPr>
      </w:pPr>
      <w:bookmarkStart w:id="329" w:name="_Toc132193565"/>
      <w:bookmarkStart w:id="330" w:name="_Toc132193815"/>
      <w:bookmarkStart w:id="331" w:name="_Toc132299414"/>
      <w:r>
        <w:rPr>
          <w:rStyle w:val="CharSDivNo"/>
          <w:rFonts w:eastAsia="MS Mincho"/>
        </w:rPr>
        <w:t>Part A</w:t>
      </w:r>
      <w:r>
        <w:rPr>
          <w:rFonts w:eastAsia="MS Mincho"/>
          <w:b w:val="0"/>
        </w:rPr>
        <w:t> </w:t>
      </w:r>
      <w:r>
        <w:rPr>
          <w:rFonts w:eastAsia="MS Mincho"/>
        </w:rPr>
        <w:t>— </w:t>
      </w:r>
      <w:r>
        <w:rPr>
          <w:rStyle w:val="CharSDivText"/>
          <w:rFonts w:eastAsia="MS Mincho"/>
        </w:rPr>
        <w:t>Administrator</w:t>
      </w:r>
      <w:bookmarkEnd w:id="329"/>
      <w:bookmarkEnd w:id="330"/>
      <w:bookmarkEnd w:id="331"/>
    </w:p>
    <w:p>
      <w:pPr>
        <w:pStyle w:val="yFootnoteheading"/>
      </w:pPr>
      <w:r>
        <w:tab/>
        <w:t>[Heading inserted: No. 19 of 2010 s. 18(4).]</w:t>
      </w:r>
    </w:p>
    <w:p>
      <w:pPr>
        <w:pStyle w:val="ySubsection"/>
        <w:rPr>
          <w:snapToGrid w:val="0"/>
        </w:rPr>
      </w:pPr>
      <w:r>
        <w:rPr>
          <w:snapToGrid w:val="0"/>
        </w:rPr>
        <w:t>1.</w:t>
      </w:r>
      <w:r>
        <w:rPr>
          <w:snapToGrid w:val="0"/>
        </w:rPr>
        <w:tab/>
      </w:r>
      <w:r>
        <w:rPr>
          <w:snapToGrid w:val="0"/>
        </w:rPr>
        <w:tab/>
        <w:t>To take possession of all or any of the property of the represented person.</w:t>
      </w:r>
    </w:p>
    <w:p>
      <w:pPr>
        <w:pStyle w:val="ySubsection"/>
        <w:rPr>
          <w:snapToGrid w:val="0"/>
        </w:rPr>
      </w:pPr>
      <w:r>
        <w:rPr>
          <w:snapToGrid w:val="0"/>
        </w:rPr>
        <w:t>2</w:t>
      </w:r>
      <w:r>
        <w:rPr>
          <w:b/>
          <w:bCs/>
          <w:snapToGrid w:val="0"/>
        </w:rPr>
        <w:t>.</w:t>
      </w: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r>
        <w:rPr>
          <w:snapToGrid w:val="0"/>
        </w:rPr>
        <w:t>3.</w:t>
      </w:r>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r>
        <w:rPr>
          <w:snapToGrid w:val="0"/>
        </w:rPr>
        <w:t>4.</w:t>
      </w:r>
      <w:r>
        <w:rPr>
          <w:snapToGrid w:val="0"/>
        </w:rPr>
        <w:tab/>
      </w:r>
      <w:r>
        <w:rPr>
          <w:snapToGrid w:val="0"/>
        </w:rPr>
        <w:tab/>
        <w:t>To invest any moneys forming part of the estate in any securities in which trustees may by law invest.</w:t>
      </w:r>
    </w:p>
    <w:p>
      <w:pPr>
        <w:pStyle w:val="ySubsection"/>
        <w:rPr>
          <w:snapToGrid w:val="0"/>
        </w:rPr>
      </w:pPr>
      <w:r>
        <w:rPr>
          <w:snapToGrid w:val="0"/>
        </w:rPr>
        <w:t>5.</w:t>
      </w: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6.</w:t>
      </w: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7.</w:t>
      </w:r>
      <w:r>
        <w:rPr>
          <w:snapToGrid w:val="0"/>
        </w:rPr>
        <w:tab/>
      </w:r>
      <w:r>
        <w:rPr>
          <w:snapToGrid w:val="0"/>
        </w:rPr>
        <w:tab/>
        <w:t>To surrender, or concur in surrendering any lease, accept any lease, accept the surrender of any lease or renew any lease.</w:t>
      </w:r>
    </w:p>
    <w:p>
      <w:pPr>
        <w:pStyle w:val="ySubsection"/>
        <w:rPr>
          <w:snapToGrid w:val="0"/>
        </w:rPr>
      </w:pPr>
      <w:r>
        <w:rPr>
          <w:snapToGrid w:val="0"/>
        </w:rPr>
        <w:t>8.</w:t>
      </w:r>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r>
        <w:rPr>
          <w:snapToGrid w:val="0"/>
        </w:rPr>
        <w:t>9.</w:t>
      </w:r>
      <w:r>
        <w:rPr>
          <w:snapToGrid w:val="0"/>
        </w:rPr>
        <w:tab/>
      </w:r>
      <w:r>
        <w:rPr>
          <w:snapToGrid w:val="0"/>
        </w:rPr>
        <w:tab/>
        <w:t>To repair, and effect any insurance necessary for the protection of, any of the property of the represented person.</w:t>
      </w:r>
    </w:p>
    <w:p>
      <w:pPr>
        <w:pStyle w:val="ySubsection"/>
        <w:rPr>
          <w:snapToGrid w:val="0"/>
        </w:rPr>
      </w:pPr>
      <w:r>
        <w:rPr>
          <w:snapToGrid w:val="0"/>
        </w:rPr>
        <w:lastRenderedPageBreak/>
        <w:t>10.</w:t>
      </w:r>
      <w:r>
        <w:rPr>
          <w:snapToGrid w:val="0"/>
        </w:rPr>
        <w:tab/>
      </w:r>
      <w:r>
        <w:rPr>
          <w:snapToGrid w:val="0"/>
        </w:rPr>
        <w:tab/>
        <w:t>To expend money in the improvement of any property of the represented person by way of building or otherwise.</w:t>
      </w:r>
    </w:p>
    <w:p>
      <w:pPr>
        <w:pStyle w:val="ySubsection"/>
        <w:rPr>
          <w:snapToGrid w:val="0"/>
        </w:rPr>
      </w:pPr>
      <w:r>
        <w:rPr>
          <w:snapToGrid w:val="0"/>
        </w:rPr>
        <w:t>11.</w:t>
      </w:r>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r>
        <w:rPr>
          <w:snapToGrid w:val="0"/>
        </w:rPr>
        <w:t>12.</w:t>
      </w: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r>
        <w:rPr>
          <w:snapToGrid w:val="0"/>
        </w:rPr>
        <w:t>13.</w:t>
      </w: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r>
        <w:rPr>
          <w:snapToGrid w:val="0"/>
        </w:rPr>
        <w:t>14.</w:t>
      </w:r>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r>
        <w:rPr>
          <w:snapToGrid w:val="0"/>
        </w:rPr>
        <w:t>15.</w:t>
      </w:r>
      <w:r>
        <w:rPr>
          <w:snapToGrid w:val="0"/>
        </w:rPr>
        <w:tab/>
      </w:r>
      <w:r>
        <w:rPr>
          <w:snapToGrid w:val="0"/>
        </w:rPr>
        <w:tab/>
        <w:t>To bring, and defend, actions, suits and other legal proceedings in the name of the represented person.</w:t>
      </w:r>
    </w:p>
    <w:p>
      <w:pPr>
        <w:pStyle w:val="ySubsection"/>
        <w:rPr>
          <w:snapToGrid w:val="0"/>
        </w:rPr>
      </w:pPr>
      <w:r>
        <w:rPr>
          <w:snapToGrid w:val="0"/>
        </w:rPr>
        <w:t>16.</w:t>
      </w: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r>
        <w:rPr>
          <w:snapToGrid w:val="0"/>
        </w:rPr>
        <w:t>17.</w:t>
      </w:r>
      <w:r>
        <w:rPr>
          <w:snapToGrid w:val="0"/>
        </w:rPr>
        <w:tab/>
      </w:r>
      <w:r>
        <w:rPr>
          <w:snapToGrid w:val="0"/>
        </w:rPr>
        <w:tab/>
        <w:t>To surrender, assign, or otherwise dispose of, with or without consideration, any onerous property of the represented person.</w:t>
      </w:r>
    </w:p>
    <w:p>
      <w:pPr>
        <w:pStyle w:val="ySubsection"/>
        <w:rPr>
          <w:snapToGrid w:val="0"/>
        </w:rPr>
      </w:pPr>
      <w:r>
        <w:rPr>
          <w:snapToGrid w:val="0"/>
        </w:rPr>
        <w:t>18.</w:t>
      </w:r>
      <w:r>
        <w:rPr>
          <w:snapToGrid w:val="0"/>
        </w:rPr>
        <w:tab/>
      </w:r>
      <w:r>
        <w:rPr>
          <w:snapToGrid w:val="0"/>
        </w:rPr>
        <w:tab/>
        <w:t>To sequestrate the estate of the represented person, under the provisions of the bankruptcy laws.</w:t>
      </w:r>
    </w:p>
    <w:p>
      <w:pPr>
        <w:pStyle w:val="ySubsection"/>
        <w:rPr>
          <w:snapToGrid w:val="0"/>
        </w:rPr>
      </w:pPr>
      <w:r>
        <w:rPr>
          <w:snapToGrid w:val="0"/>
        </w:rPr>
        <w:t>19.</w:t>
      </w: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r>
        <w:rPr>
          <w:snapToGrid w:val="0"/>
        </w:rPr>
        <w:t>20.</w:t>
      </w:r>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w:t>
      </w:r>
      <w:r>
        <w:rPr>
          <w:snapToGrid w:val="0"/>
        </w:rPr>
        <w:lastRenderedPageBreak/>
        <w:t>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r>
        <w:rPr>
          <w:snapToGrid w:val="0"/>
        </w:rPr>
        <w:t>22.</w:t>
      </w: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r>
        <w:rPr>
          <w:snapToGrid w:val="0"/>
        </w:rPr>
        <w:t>23.</w:t>
      </w: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No. 3 of 2002 s. 70; No. 55 of 2004 s. 466.]</w:t>
      </w:r>
    </w:p>
    <w:p>
      <w:pPr>
        <w:pStyle w:val="yHeading3"/>
        <w:rPr>
          <w:rFonts w:eastAsia="MS Mincho"/>
        </w:rPr>
      </w:pPr>
      <w:bookmarkStart w:id="332" w:name="_Toc132193566"/>
      <w:bookmarkStart w:id="333" w:name="_Toc132193816"/>
      <w:bookmarkStart w:id="334" w:name="_Toc132299415"/>
      <w:r>
        <w:rPr>
          <w:rStyle w:val="CharSDivNo"/>
          <w:rFonts w:eastAsia="MS Mincho"/>
        </w:rPr>
        <w:t>Part B</w:t>
      </w:r>
      <w:r>
        <w:rPr>
          <w:rFonts w:eastAsia="MS Mincho"/>
        </w:rPr>
        <w:t> — </w:t>
      </w:r>
      <w:r>
        <w:rPr>
          <w:rStyle w:val="CharSDivText"/>
          <w:rFonts w:eastAsia="MS Mincho"/>
        </w:rPr>
        <w:t>State Administrative Tribunal</w:t>
      </w:r>
      <w:bookmarkEnd w:id="332"/>
      <w:bookmarkEnd w:id="333"/>
      <w:bookmarkEnd w:id="334"/>
    </w:p>
    <w:p>
      <w:pPr>
        <w:pStyle w:val="yFootnoteheading"/>
      </w:pPr>
      <w:r>
        <w:tab/>
        <w:t>[Heading inserted: No. 19 of 2010 s. 18(5).]</w:t>
      </w:r>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lastRenderedPageBreak/>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No. 55 of 2004 s. 466.]</w:t>
      </w:r>
    </w:p>
    <w:p>
      <w:pPr>
        <w:pStyle w:val="yScheduleHeading"/>
        <w:rPr>
          <w:rFonts w:eastAsia="MS Mincho"/>
        </w:rPr>
      </w:pPr>
      <w:bookmarkStart w:id="335" w:name="_Toc132193567"/>
      <w:bookmarkStart w:id="336" w:name="_Toc132193817"/>
      <w:bookmarkStart w:id="337" w:name="_Toc132299416"/>
      <w:r>
        <w:rPr>
          <w:rStyle w:val="CharSchNo"/>
          <w:rFonts w:eastAsia="MS Mincho"/>
        </w:rPr>
        <w:lastRenderedPageBreak/>
        <w:t>Schedule 3</w:t>
      </w:r>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bookmarkEnd w:id="335"/>
      <w:bookmarkEnd w:id="336"/>
      <w:bookmarkEnd w:id="337"/>
    </w:p>
    <w:p>
      <w:pPr>
        <w:pStyle w:val="yShoulderClause"/>
        <w:rPr>
          <w:rFonts w:eastAsia="MS Mincho"/>
        </w:rPr>
      </w:pPr>
      <w:r>
        <w:rPr>
          <w:rFonts w:eastAsia="MS Mincho"/>
        </w:rPr>
        <w:t>[s. 104]</w:t>
      </w:r>
    </w:p>
    <w:p>
      <w:pPr>
        <w:pStyle w:val="yFootnoteheading"/>
      </w:pPr>
      <w:r>
        <w:tab/>
        <w:t>[Heading inserted: No. 19 of 2010 s. 18(6).]</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No. 70 of 2000 s. 20(1); No. 55 of 2004 s. 465.]</w:t>
      </w:r>
    </w:p>
    <w:p>
      <w:pPr>
        <w:pStyle w:val="MiscellaneousHeading"/>
        <w:pageBreakBefore/>
        <w:rPr>
          <w:snapToGrid w:val="0"/>
          <w:sz w:val="22"/>
        </w:rPr>
      </w:pPr>
      <w:r>
        <w:rPr>
          <w:snapToGrid w:val="0"/>
          <w:sz w:val="22"/>
        </w:rPr>
        <w:lastRenderedPageBreak/>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No. 70 of 2000 s. 20(2); No. 55 of 2004 s. 465.]</w:t>
      </w:r>
    </w:p>
    <w:p>
      <w:pPr>
        <w:pStyle w:val="yEdnoteschedule"/>
      </w:pPr>
      <w:r>
        <w:t>[Schedule 4 omitted under the Reprints Act 1984 s. 7(4)(e).]</w:t>
      </w:r>
    </w:p>
    <w:p>
      <w:pPr>
        <w:sectPr>
          <w:headerReference w:type="even" r:id="rId27"/>
          <w:headerReference w:type="default" r:id="rId28"/>
          <w:headerReference w:type="first" r:id="rId29"/>
          <w:pgSz w:w="11907" w:h="16840" w:code="9"/>
          <w:pgMar w:top="2376" w:right="2405" w:bottom="3542" w:left="2405" w:header="706" w:footer="3544" w:gutter="0"/>
          <w:cols w:space="720"/>
          <w:noEndnote/>
          <w:docGrid w:linePitch="326"/>
        </w:sectPr>
      </w:pPr>
    </w:p>
    <w:p>
      <w:pPr>
        <w:pStyle w:val="yScheduleHeading"/>
      </w:pPr>
      <w:bookmarkStart w:id="338" w:name="_Toc132193568"/>
      <w:bookmarkStart w:id="339" w:name="_Toc132193818"/>
      <w:bookmarkStart w:id="340" w:name="_Toc132299417"/>
      <w:r>
        <w:rPr>
          <w:rStyle w:val="CharSchNo"/>
        </w:rPr>
        <w:lastRenderedPageBreak/>
        <w:t>Schedule 5</w:t>
      </w:r>
      <w:r>
        <w:t> — </w:t>
      </w:r>
      <w:r>
        <w:rPr>
          <w:rStyle w:val="CharSchText"/>
        </w:rPr>
        <w:t>Transitional provisions</w:t>
      </w:r>
      <w:bookmarkEnd w:id="338"/>
      <w:bookmarkEnd w:id="339"/>
      <w:bookmarkEnd w:id="340"/>
    </w:p>
    <w:p>
      <w:pPr>
        <w:pStyle w:val="yShoulderClause"/>
      </w:pPr>
      <w:r>
        <w:t>[s. 124]</w:t>
      </w:r>
    </w:p>
    <w:p>
      <w:pPr>
        <w:pStyle w:val="yFootnoteheading"/>
      </w:pPr>
      <w:r>
        <w:tab/>
        <w:t>[Heading amended: No. 19 of 2010 s. 18(7).]</w:t>
      </w:r>
    </w:p>
    <w:p>
      <w:pPr>
        <w:pStyle w:val="yHeading3"/>
      </w:pPr>
      <w:bookmarkStart w:id="341" w:name="_Toc132193569"/>
      <w:bookmarkStart w:id="342" w:name="_Toc132193819"/>
      <w:bookmarkStart w:id="343" w:name="_Toc132299418"/>
      <w:r>
        <w:rPr>
          <w:rStyle w:val="CharSDivNo"/>
        </w:rPr>
        <w:t>Division 1</w:t>
      </w:r>
      <w:r>
        <w:t> — </w:t>
      </w:r>
      <w:r>
        <w:rPr>
          <w:rStyle w:val="CharSDivText"/>
        </w:rPr>
        <w:t xml:space="preserve">Transitional matters for </w:t>
      </w:r>
      <w:r>
        <w:rPr>
          <w:rStyle w:val="CharSDivText"/>
          <w:i/>
        </w:rPr>
        <w:t>Guardianship and Administration Act 1990</w:t>
      </w:r>
      <w:bookmarkEnd w:id="341"/>
      <w:bookmarkEnd w:id="342"/>
      <w:bookmarkEnd w:id="343"/>
    </w:p>
    <w:p>
      <w:pPr>
        <w:pStyle w:val="yFootnoteheading"/>
      </w:pPr>
      <w:r>
        <w:tab/>
        <w:t>[Heading inserted: No. 25 of 2014 s. 22.]</w:t>
      </w:r>
    </w:p>
    <w:p>
      <w:pPr>
        <w:pStyle w:val="yHeading5"/>
      </w:pPr>
      <w:bookmarkStart w:id="344" w:name="_Toc132299419"/>
      <w:r>
        <w:rPr>
          <w:rStyle w:val="CharSClsNo"/>
        </w:rPr>
        <w:t>1A</w:t>
      </w:r>
      <w:r>
        <w:t>.</w:t>
      </w:r>
      <w:r>
        <w:tab/>
        <w:t>Application of this Division</w:t>
      </w:r>
      <w:bookmarkEnd w:id="344"/>
    </w:p>
    <w:p>
      <w:pPr>
        <w:pStyle w:val="ySubsection"/>
      </w:pPr>
      <w:r>
        <w:tab/>
      </w:r>
      <w:r>
        <w:tab/>
        <w:t>This Division does not apply in relation to the estate of a person to whom Division 2 applies.</w:t>
      </w:r>
    </w:p>
    <w:p>
      <w:pPr>
        <w:pStyle w:val="yFootnotesection"/>
      </w:pPr>
      <w:r>
        <w:tab/>
        <w:t>[Clause 1A inserted: No. 25 of 2014 s. 23.]</w:t>
      </w:r>
    </w:p>
    <w:p>
      <w:pPr>
        <w:pStyle w:val="yHeading5"/>
      </w:pPr>
      <w:bookmarkStart w:id="345" w:name="_Toc132299420"/>
      <w:r>
        <w:rPr>
          <w:rStyle w:val="CharSClsNo"/>
        </w:rPr>
        <w:t>1</w:t>
      </w:r>
      <w:r>
        <w:t xml:space="preserve">. </w:t>
      </w:r>
      <w:r>
        <w:tab/>
        <w:t>Existing functions of Public Trustee to continue</w:t>
      </w:r>
      <w:bookmarkEnd w:id="345"/>
      <w: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lastRenderedPageBreak/>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No. 69 of 1996 s. 37.]</w:t>
      </w:r>
    </w:p>
    <w:p>
      <w:pPr>
        <w:pStyle w:val="yHeading5"/>
      </w:pPr>
      <w:bookmarkStart w:id="346" w:name="_Toc132299421"/>
      <w:r>
        <w:rPr>
          <w:rStyle w:val="CharSClsNo"/>
        </w:rPr>
        <w:lastRenderedPageBreak/>
        <w:t>2</w:t>
      </w:r>
      <w:r>
        <w:t xml:space="preserve">. </w:t>
      </w:r>
      <w:r>
        <w:tab/>
        <w:t xml:space="preserve">Existing managers under </w:t>
      </w:r>
      <w:r>
        <w:rPr>
          <w:i/>
        </w:rPr>
        <w:t>Mental Health Act 1962</w:t>
      </w:r>
      <w:r>
        <w:t xml:space="preserve"> to continue</w:t>
      </w:r>
      <w:bookmarkEnd w:id="346"/>
      <w: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pPr>
      <w:bookmarkStart w:id="347" w:name="_Toc132299422"/>
      <w:r>
        <w:rPr>
          <w:rStyle w:val="CharSClsNo"/>
        </w:rPr>
        <w:t>3</w:t>
      </w:r>
      <w:r>
        <w:t xml:space="preserve">. </w:t>
      </w:r>
      <w:r>
        <w:tab/>
        <w:t>Application for administration order may be made</w:t>
      </w:r>
      <w:bookmarkEnd w:id="347"/>
      <w: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keepNext/>
        <w:keepLines/>
        <w:rPr>
          <w:snapToGrid w:val="0"/>
        </w:rPr>
      </w:pPr>
      <w:r>
        <w:rPr>
          <w:snapToGrid w:val="0"/>
        </w:rPr>
        <w:lastRenderedPageBreak/>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No. 55 of 2004 s. 466(1).]</w:t>
      </w:r>
    </w:p>
    <w:p>
      <w:pPr>
        <w:pStyle w:val="yHeading5"/>
      </w:pPr>
      <w:bookmarkStart w:id="348" w:name="_Toc132299423"/>
      <w:r>
        <w:rPr>
          <w:rStyle w:val="CharSClsNo"/>
        </w:rPr>
        <w:t>4</w:t>
      </w:r>
      <w:r>
        <w:t xml:space="preserve">. </w:t>
      </w:r>
      <w:r>
        <w:tab/>
        <w:t>References in other laws</w:t>
      </w:r>
      <w:bookmarkEnd w:id="348"/>
      <w: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pPr>
      <w:bookmarkStart w:id="349" w:name="_Toc132299424"/>
      <w:r>
        <w:rPr>
          <w:rStyle w:val="CharSClsNo"/>
        </w:rPr>
        <w:t>5</w:t>
      </w:r>
      <w:r>
        <w:t xml:space="preserve">. </w:t>
      </w:r>
      <w:r>
        <w:tab/>
        <w:t xml:space="preserve">Proceedings in progress under </w:t>
      </w:r>
      <w:r>
        <w:rPr>
          <w:i/>
        </w:rPr>
        <w:t>Mental Health Act 1962</w:t>
      </w:r>
      <w:r>
        <w:t xml:space="preserve"> Pt. VI</w:t>
      </w:r>
      <w:bookmarkEnd w:id="349"/>
      <w:r>
        <w:t>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pPr>
        <w:pStyle w:val="yHeading5"/>
      </w:pPr>
      <w:bookmarkStart w:id="350" w:name="_Toc132299425"/>
      <w:r>
        <w:rPr>
          <w:rStyle w:val="CharSClsNo"/>
        </w:rPr>
        <w:lastRenderedPageBreak/>
        <w:t>6</w:t>
      </w:r>
      <w:r>
        <w:t xml:space="preserve">. </w:t>
      </w:r>
      <w:r>
        <w:tab/>
        <w:t>Final accounts where administration order made</w:t>
      </w:r>
      <w:bookmarkEnd w:id="350"/>
      <w:r>
        <w:t xml:space="preserve"> </w:t>
      </w:r>
    </w:p>
    <w:p>
      <w:pPr>
        <w:pStyle w:val="ySubsection"/>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pStyle w:val="yHeading3"/>
      </w:pPr>
      <w:bookmarkStart w:id="351" w:name="_Toc132193577"/>
      <w:bookmarkStart w:id="352" w:name="_Toc132193827"/>
      <w:bookmarkStart w:id="353" w:name="_Toc132299426"/>
      <w:r>
        <w:rPr>
          <w:rStyle w:val="CharSDivNo"/>
        </w:rPr>
        <w:t>Division 2</w:t>
      </w:r>
      <w:r>
        <w:t> — </w:t>
      </w:r>
      <w:r>
        <w:rPr>
          <w:rStyle w:val="CharSDivText"/>
        </w:rPr>
        <w:t xml:space="preserve">Transitional matters in connection with </w:t>
      </w:r>
      <w:r>
        <w:rPr>
          <w:rStyle w:val="CharSDivText"/>
          <w:i/>
        </w:rPr>
        <w:t>Mental Health Act 2014</w:t>
      </w:r>
      <w:bookmarkEnd w:id="351"/>
      <w:bookmarkEnd w:id="352"/>
      <w:bookmarkEnd w:id="353"/>
    </w:p>
    <w:p>
      <w:pPr>
        <w:pStyle w:val="Footnoteheading"/>
      </w:pPr>
      <w:r>
        <w:tab/>
        <w:t>[Heading inserted: No. 25 of 2014 s. 24.]</w:t>
      </w:r>
    </w:p>
    <w:p>
      <w:pPr>
        <w:pStyle w:val="yHeading5"/>
      </w:pPr>
      <w:bookmarkStart w:id="354" w:name="_Toc132299427"/>
      <w:r>
        <w:rPr>
          <w:rStyle w:val="CharSClsNo"/>
        </w:rPr>
        <w:t>7</w:t>
      </w:r>
      <w:r>
        <w:t>.</w:t>
      </w:r>
      <w:r>
        <w:tab/>
        <w:t>Estates being managed by Public Trustee under Division 1</w:t>
      </w:r>
      <w:bookmarkEnd w:id="354"/>
    </w:p>
    <w:p>
      <w:pPr>
        <w:pStyle w:val="ySubsection"/>
      </w:pPr>
      <w:r>
        <w:tab/>
        <w:t>(1)</w:t>
      </w:r>
      <w:r>
        <w:tab/>
        <w:t xml:space="preserve">Subclause (2) applies to a person whose estate was, immediately before the day on which the </w:t>
      </w:r>
      <w:r>
        <w:rPr>
          <w:i/>
        </w:rPr>
        <w:t>Mental Health Legislation Amendment Act 2014</w:t>
      </w:r>
      <w:r>
        <w:t xml:space="preserve"> section 24 commences (the </w:t>
      </w:r>
      <w:r>
        <w:rPr>
          <w:rStyle w:val="CharDefText"/>
        </w:rPr>
        <w:t>prescribed day</w:t>
      </w:r>
      <w:r>
        <w:t xml:space="preserve">) — </w:t>
      </w:r>
    </w:p>
    <w:p>
      <w:pPr>
        <w:pStyle w:val="yIndenta"/>
      </w:pPr>
      <w:r>
        <w:tab/>
        <w:t>(a)</w:t>
      </w:r>
      <w:r>
        <w:tab/>
        <w:t>under the care and management of the Public Trustee as provided by clause 1; or</w:t>
      </w:r>
    </w:p>
    <w:p>
      <w:pPr>
        <w:pStyle w:val="yIndenta"/>
      </w:pPr>
      <w:r>
        <w:tab/>
        <w:t>(b)</w:t>
      </w:r>
      <w:r>
        <w:tab/>
        <w:t>being managed by the Public Trustee as provided by clause 2 or because of clause 5.</w:t>
      </w:r>
    </w:p>
    <w:p>
      <w:pPr>
        <w:pStyle w:val="ySubsection"/>
      </w:pPr>
      <w:r>
        <w:tab/>
        <w:t>(2)</w:t>
      </w:r>
      <w:r>
        <w:tab/>
        <w:t>The person is taken to be under an administration order appointing the Public Trustee as the administrator of the person’s estate.</w:t>
      </w:r>
    </w:p>
    <w:p>
      <w:pPr>
        <w:pStyle w:val="ySubsection"/>
      </w:pPr>
      <w:r>
        <w:tab/>
        <w:t>(3)</w:t>
      </w:r>
      <w:r>
        <w:tab/>
        <w:t xml:space="preserve">Despite any other provision of this Act or any provision of the </w:t>
      </w:r>
      <w:r>
        <w:rPr>
          <w:i/>
        </w:rPr>
        <w:t>Public Trustee Act 1941</w:t>
      </w:r>
      <w:r>
        <w:t>, the Public Trustee has the same functions, duties and powers in relation to the person’s estate that the Public Trustee had immediately before the prescribed day.</w:t>
      </w:r>
    </w:p>
    <w:p>
      <w:pPr>
        <w:pStyle w:val="ySubsection"/>
      </w:pPr>
      <w:r>
        <w:tab/>
        <w:t>(4)</w:t>
      </w:r>
      <w:r>
        <w:tab/>
        <w:t>An administration order referred to in subclause (2) must be reviewed under section 84 on or within 3 years after the prescribed day.</w:t>
      </w:r>
    </w:p>
    <w:p>
      <w:pPr>
        <w:pStyle w:val="ySubsection"/>
      </w:pPr>
      <w:r>
        <w:tab/>
        <w:t>(5)</w:t>
      </w:r>
      <w:r>
        <w:tab/>
        <w:t>The Public Trustee must, on or as soon as practicable after the prescribed day, give to the Public Advocate and the State Administrative Tribunal a list of the persons to whom subclause (2) applies.</w:t>
      </w:r>
    </w:p>
    <w:p>
      <w:pPr>
        <w:pStyle w:val="yFootnotesection"/>
      </w:pPr>
      <w:r>
        <w:tab/>
        <w:t>[Clause 7 inserted: No. 25 of 2014 s. 24.]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31"/>
          <w:headerReference w:type="default" r:id="rId32"/>
          <w:pgSz w:w="11907" w:h="16840" w:code="9"/>
          <w:pgMar w:top="2381" w:right="2410" w:bottom="3544" w:left="2410" w:header="720" w:footer="3544" w:gutter="0"/>
          <w:cols w:space="720"/>
        </w:sectPr>
      </w:pPr>
    </w:p>
    <w:p>
      <w:pPr>
        <w:pStyle w:val="nHeading2"/>
      </w:pPr>
      <w:bookmarkStart w:id="355" w:name="_Toc132193579"/>
      <w:bookmarkStart w:id="356" w:name="_Toc132193829"/>
      <w:bookmarkStart w:id="357" w:name="_Toc132299428"/>
      <w:r>
        <w:lastRenderedPageBreak/>
        <w:t>Notes</w:t>
      </w:r>
      <w:bookmarkEnd w:id="355"/>
      <w:bookmarkEnd w:id="356"/>
      <w:bookmarkEnd w:id="357"/>
    </w:p>
    <w:p>
      <w:pPr>
        <w:pStyle w:val="nStatement"/>
      </w:pPr>
      <w:r>
        <w:t xml:space="preserve">This is a compilation of the </w:t>
      </w:r>
      <w:r>
        <w:rPr>
          <w:i/>
          <w:noProof/>
        </w:rPr>
        <w:t>Guardianship and Administration Act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58" w:name="_Toc132299429"/>
      <w:r>
        <w:t>Compilation table</w:t>
      </w:r>
      <w:bookmarkEnd w:id="358"/>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trPr>
          <w:tblHeader/>
        </w:trPr>
        <w:tc>
          <w:tcPr>
            <w:tcW w:w="2259" w:type="dxa"/>
            <w:tcBorders>
              <w:top w:val="single" w:sz="8" w:space="0" w:color="auto"/>
              <w:bottom w:val="single" w:sz="8" w:space="0" w:color="auto"/>
            </w:tcBorders>
          </w:tcPr>
          <w:p>
            <w:pPr>
              <w:pStyle w:val="nTable"/>
              <w:spacing w:after="40"/>
              <w:rPr>
                <w:b/>
              </w:rPr>
            </w:pPr>
            <w:r>
              <w:rPr>
                <w:b/>
              </w:rPr>
              <w:t>Short title</w:t>
            </w:r>
          </w:p>
        </w:tc>
        <w:tc>
          <w:tcPr>
            <w:tcW w:w="1131" w:type="dxa"/>
            <w:tcBorders>
              <w:top w:val="single" w:sz="8" w:space="0" w:color="auto"/>
              <w:bottom w:val="single" w:sz="8" w:space="0" w:color="auto"/>
            </w:tcBorders>
          </w:tcPr>
          <w:p>
            <w:pPr>
              <w:pStyle w:val="nTable"/>
              <w:spacing w:after="40"/>
              <w:rPr>
                <w:b/>
              </w:rPr>
            </w:pPr>
            <w:r>
              <w:rPr>
                <w:b/>
              </w:rPr>
              <w:t>Number and year</w:t>
            </w:r>
          </w:p>
        </w:tc>
        <w:tc>
          <w:tcPr>
            <w:tcW w:w="1130" w:type="dxa"/>
            <w:tcBorders>
              <w:top w:val="single" w:sz="8" w:space="0" w:color="auto"/>
              <w:bottom w:val="single" w:sz="8" w:space="0" w:color="auto"/>
            </w:tcBorders>
          </w:tcPr>
          <w:p>
            <w:pPr>
              <w:pStyle w:val="nTable"/>
              <w:spacing w:after="40"/>
              <w:rPr>
                <w:b/>
              </w:rPr>
            </w:pPr>
            <w:r>
              <w:rPr>
                <w:b/>
              </w:rPr>
              <w:t>Assent</w:t>
            </w:r>
          </w:p>
        </w:tc>
        <w:tc>
          <w:tcPr>
            <w:tcW w:w="2570"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59" w:type="dxa"/>
          </w:tcPr>
          <w:p>
            <w:pPr>
              <w:pStyle w:val="nTable"/>
              <w:spacing w:after="40"/>
            </w:pPr>
            <w:r>
              <w:rPr>
                <w:i/>
              </w:rPr>
              <w:t>Guardianship and Administration Act 1990</w:t>
            </w:r>
          </w:p>
        </w:tc>
        <w:tc>
          <w:tcPr>
            <w:tcW w:w="1131" w:type="dxa"/>
          </w:tcPr>
          <w:p>
            <w:pPr>
              <w:pStyle w:val="nTable"/>
              <w:spacing w:after="40"/>
            </w:pPr>
            <w:r>
              <w:t>24 of 1990</w:t>
            </w:r>
          </w:p>
        </w:tc>
        <w:tc>
          <w:tcPr>
            <w:tcW w:w="1130" w:type="dxa"/>
          </w:tcPr>
          <w:p>
            <w:pPr>
              <w:pStyle w:val="nTable"/>
              <w:spacing w:after="40"/>
            </w:pPr>
            <w:r>
              <w:t>7 Sep 1990</w:t>
            </w:r>
          </w:p>
        </w:tc>
        <w:tc>
          <w:tcPr>
            <w:tcW w:w="2570" w:type="dxa"/>
            <w:gridSpan w:val="2"/>
          </w:tcPr>
          <w:p>
            <w:pPr>
              <w:pStyle w:val="nTable"/>
              <w:spacing w:after="40"/>
            </w:pPr>
            <w:r>
              <w:rPr>
                <w:color w:val="000000"/>
              </w:rPr>
              <w:t>s. 1 and 2: 7 Sep 1990;</w:t>
            </w:r>
            <w:r>
              <w:rPr>
                <w:color w:val="000000"/>
              </w:rPr>
              <w:br/>
            </w:r>
            <w:r>
              <w:t>Act other than s. 1 and 2, Pt. 4</w:t>
            </w:r>
            <w:r>
              <w:noBreakHyphen/>
              <w:t xml:space="preserve">7, s. 123, 124 and Sch. 2, 4 and 5: 1 Jul 1992 (see s. 2 and </w:t>
            </w:r>
            <w:r>
              <w:rPr>
                <w:i/>
              </w:rPr>
              <w:t>Gazette</w:t>
            </w:r>
            <w:r>
              <w:t xml:space="preserve"> 26 Jun 1992 p. 2649); </w:t>
            </w:r>
            <w:r>
              <w:br/>
              <w:t>Pt. 4</w:t>
            </w:r>
            <w:r>
              <w:noBreakHyphen/>
              <w:t xml:space="preserve">7, s. 123, 124 and Sch. 2, 4 and 5: 20 Oct 1992 (see s. 2 and </w:t>
            </w:r>
            <w:r>
              <w:rPr>
                <w:i/>
              </w:rPr>
              <w:t>Gazette</w:t>
            </w:r>
            <w:r>
              <w:t xml:space="preserve"> 2 Oct 1992 p. 4811)</w:t>
            </w:r>
          </w:p>
        </w:tc>
      </w:tr>
      <w:tr>
        <w:trPr>
          <w:cantSplit/>
        </w:trPr>
        <w:tc>
          <w:tcPr>
            <w:tcW w:w="2259" w:type="dxa"/>
          </w:tcPr>
          <w:p>
            <w:pPr>
              <w:pStyle w:val="nTable"/>
              <w:spacing w:after="40"/>
            </w:pPr>
            <w:r>
              <w:rPr>
                <w:i/>
              </w:rPr>
              <w:t>Guardianship and Administration Amendment Act 1992</w:t>
            </w:r>
          </w:p>
        </w:tc>
        <w:tc>
          <w:tcPr>
            <w:tcW w:w="1131" w:type="dxa"/>
          </w:tcPr>
          <w:p>
            <w:pPr>
              <w:pStyle w:val="nTable"/>
              <w:spacing w:after="40"/>
            </w:pPr>
            <w:r>
              <w:t>16 of 1992</w:t>
            </w:r>
          </w:p>
        </w:tc>
        <w:tc>
          <w:tcPr>
            <w:tcW w:w="1130" w:type="dxa"/>
          </w:tcPr>
          <w:p>
            <w:pPr>
              <w:pStyle w:val="nTable"/>
              <w:spacing w:after="40"/>
            </w:pPr>
            <w:r>
              <w:t>17 Jun 1992</w:t>
            </w:r>
          </w:p>
        </w:tc>
        <w:tc>
          <w:tcPr>
            <w:tcW w:w="2570" w:type="dxa"/>
            <w:gridSpan w:val="2"/>
          </w:tcPr>
          <w:p>
            <w:pPr>
              <w:pStyle w:val="nTable"/>
              <w:spacing w:after="40"/>
            </w:pPr>
            <w:r>
              <w:t>17 Jun 1992 (see s. 2)</w:t>
            </w:r>
          </w:p>
        </w:tc>
      </w:tr>
      <w:tr>
        <w:trPr>
          <w:cantSplit/>
        </w:trPr>
        <w:tc>
          <w:tcPr>
            <w:tcW w:w="2259" w:type="dxa"/>
          </w:tcPr>
          <w:p>
            <w:pPr>
              <w:pStyle w:val="nTable"/>
              <w:spacing w:after="40"/>
            </w:pPr>
            <w:r>
              <w:rPr>
                <w:i/>
              </w:rPr>
              <w:t>Acts Amendment (Public Sector Management) Act 1994</w:t>
            </w:r>
            <w:r>
              <w:t xml:space="preserve"> s. 3(2)</w:t>
            </w:r>
          </w:p>
        </w:tc>
        <w:tc>
          <w:tcPr>
            <w:tcW w:w="1131" w:type="dxa"/>
          </w:tcPr>
          <w:p>
            <w:pPr>
              <w:pStyle w:val="nTable"/>
              <w:spacing w:after="40"/>
            </w:pPr>
            <w:r>
              <w:t>32 of 1994</w:t>
            </w:r>
          </w:p>
        </w:tc>
        <w:tc>
          <w:tcPr>
            <w:tcW w:w="1130" w:type="dxa"/>
          </w:tcPr>
          <w:p>
            <w:pPr>
              <w:pStyle w:val="nTable"/>
              <w:spacing w:after="40"/>
            </w:pPr>
            <w:r>
              <w:t>29 Jun 1994</w:t>
            </w:r>
          </w:p>
        </w:tc>
        <w:tc>
          <w:tcPr>
            <w:tcW w:w="2570" w:type="dxa"/>
            <w:gridSpan w:val="2"/>
          </w:tcPr>
          <w:p>
            <w:pPr>
              <w:pStyle w:val="nTable"/>
              <w:spacing w:after="40"/>
            </w:pPr>
            <w:r>
              <w:t xml:space="preserve">1 Oct 1994 (see s. 2 and </w:t>
            </w:r>
            <w:r>
              <w:rPr>
                <w:i/>
              </w:rPr>
              <w:t>Gazette</w:t>
            </w:r>
            <w:r>
              <w:t xml:space="preserve"> 30 Sep 1994 p. 4948)</w:t>
            </w:r>
          </w:p>
        </w:tc>
      </w:tr>
      <w:tr>
        <w:trPr>
          <w:cantSplit/>
        </w:trPr>
        <w:tc>
          <w:tcPr>
            <w:tcW w:w="2259" w:type="dxa"/>
          </w:tcPr>
          <w:p>
            <w:pPr>
              <w:pStyle w:val="nTable"/>
              <w:spacing w:after="40"/>
            </w:pPr>
            <w:r>
              <w:rPr>
                <w:i/>
              </w:rPr>
              <w:t>Guardianship and Administration Amendment Act 1996</w:t>
            </w:r>
          </w:p>
        </w:tc>
        <w:tc>
          <w:tcPr>
            <w:tcW w:w="1131" w:type="dxa"/>
          </w:tcPr>
          <w:p>
            <w:pPr>
              <w:pStyle w:val="nTable"/>
              <w:spacing w:after="40"/>
            </w:pPr>
            <w:r>
              <w:t>7 of 1996</w:t>
            </w:r>
          </w:p>
        </w:tc>
        <w:tc>
          <w:tcPr>
            <w:tcW w:w="1130" w:type="dxa"/>
          </w:tcPr>
          <w:p>
            <w:pPr>
              <w:pStyle w:val="nTable"/>
              <w:spacing w:after="40"/>
            </w:pPr>
            <w:r>
              <w:t>24 May 1996</w:t>
            </w:r>
          </w:p>
        </w:tc>
        <w:tc>
          <w:tcPr>
            <w:tcW w:w="2570" w:type="dxa"/>
            <w:gridSpan w:val="2"/>
          </w:tcPr>
          <w:p>
            <w:pPr>
              <w:pStyle w:val="nTable"/>
              <w:spacing w:after="40"/>
            </w:pPr>
            <w:r>
              <w:rPr>
                <w:color w:val="000000"/>
              </w:rPr>
              <w:t>s. 1 and 2: 24 May 1996;</w:t>
            </w:r>
            <w:r>
              <w:rPr>
                <w:color w:val="000000"/>
              </w:rPr>
              <w:br/>
              <w:t xml:space="preserve">Act other than s. 1 and 2: </w:t>
            </w:r>
            <w:r>
              <w:t xml:space="preserve">1 Jul 1996 (see s. 2 and </w:t>
            </w:r>
            <w:r>
              <w:rPr>
                <w:i/>
              </w:rPr>
              <w:t>Gazette</w:t>
            </w:r>
            <w:r>
              <w:t xml:space="preserve"> 28 Jun 1996 p. 3014)</w:t>
            </w:r>
          </w:p>
        </w:tc>
      </w:tr>
      <w:tr>
        <w:trPr>
          <w:cantSplit/>
        </w:trPr>
        <w:tc>
          <w:tcPr>
            <w:tcW w:w="2259" w:type="dxa"/>
          </w:tcPr>
          <w:p>
            <w:pPr>
              <w:pStyle w:val="nTable"/>
              <w:spacing w:after="40"/>
            </w:pPr>
            <w:r>
              <w:rPr>
                <w:i/>
              </w:rPr>
              <w:t>Mental Health (Consequential Provisions) Act 1996</w:t>
            </w:r>
            <w:r>
              <w:t xml:space="preserve"> Pt. 8</w:t>
            </w:r>
          </w:p>
        </w:tc>
        <w:tc>
          <w:tcPr>
            <w:tcW w:w="1131" w:type="dxa"/>
          </w:tcPr>
          <w:p>
            <w:pPr>
              <w:pStyle w:val="nTable"/>
              <w:spacing w:after="40"/>
            </w:pPr>
            <w:r>
              <w:t>69 of 1996</w:t>
            </w:r>
          </w:p>
        </w:tc>
        <w:tc>
          <w:tcPr>
            <w:tcW w:w="1130" w:type="dxa"/>
          </w:tcPr>
          <w:p>
            <w:pPr>
              <w:pStyle w:val="nTable"/>
              <w:spacing w:after="40"/>
            </w:pPr>
            <w:r>
              <w:t>13 Nov 1996</w:t>
            </w:r>
          </w:p>
        </w:tc>
        <w:tc>
          <w:tcPr>
            <w:tcW w:w="2570" w:type="dxa"/>
            <w:gridSpan w:val="2"/>
          </w:tcPr>
          <w:p>
            <w:pPr>
              <w:pStyle w:val="nTable"/>
              <w:spacing w:after="40"/>
            </w:pPr>
            <w:r>
              <w:t>13 Nov 1997 (see s. 2)</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21 Apr 1997 </w:t>
            </w:r>
            <w:r>
              <w:br/>
              <w:t xml:space="preserve">(includes amendments listed above except those in the </w:t>
            </w:r>
            <w:r>
              <w:rPr>
                <w:i/>
              </w:rPr>
              <w:t>Mental Health (Consequential Provisions) Act 1996</w:t>
            </w:r>
            <w:r>
              <w:t>)</w:t>
            </w:r>
          </w:p>
        </w:tc>
      </w:tr>
      <w:tr>
        <w:trPr>
          <w:cantSplit/>
        </w:trPr>
        <w:tc>
          <w:tcPr>
            <w:tcW w:w="2259" w:type="dxa"/>
          </w:tcPr>
          <w:p>
            <w:pPr>
              <w:pStyle w:val="nTable"/>
              <w:spacing w:after="40"/>
            </w:pPr>
            <w:r>
              <w:rPr>
                <w:i/>
              </w:rPr>
              <w:t>Acts Amendment and Repeal (Family Court) Act 1997</w:t>
            </w:r>
            <w:r>
              <w:t xml:space="preserve"> s. 32</w:t>
            </w:r>
          </w:p>
        </w:tc>
        <w:tc>
          <w:tcPr>
            <w:tcW w:w="1131" w:type="dxa"/>
          </w:tcPr>
          <w:p>
            <w:pPr>
              <w:pStyle w:val="nTable"/>
              <w:spacing w:after="40"/>
            </w:pPr>
            <w:r>
              <w:t>41 of 1997</w:t>
            </w:r>
          </w:p>
        </w:tc>
        <w:tc>
          <w:tcPr>
            <w:tcW w:w="1130" w:type="dxa"/>
          </w:tcPr>
          <w:p>
            <w:pPr>
              <w:pStyle w:val="nTable"/>
              <w:spacing w:after="40"/>
            </w:pPr>
            <w:r>
              <w:t>9 Dec 1997</w:t>
            </w:r>
          </w:p>
        </w:tc>
        <w:tc>
          <w:tcPr>
            <w:tcW w:w="2570" w:type="dxa"/>
            <w:gridSpan w:val="2"/>
          </w:tcPr>
          <w:p>
            <w:pPr>
              <w:pStyle w:val="nTable"/>
              <w:spacing w:after="40"/>
            </w:pPr>
            <w:r>
              <w:t xml:space="preserve">26 Sep 1998 (see s. 2 and </w:t>
            </w:r>
            <w:r>
              <w:rPr>
                <w:i/>
              </w:rPr>
              <w:t>Gazette</w:t>
            </w:r>
            <w:r>
              <w:t xml:space="preserve"> 25 Sep 1998 p. 5295)</w:t>
            </w:r>
          </w:p>
        </w:tc>
      </w:tr>
      <w:tr>
        <w:trPr>
          <w:cantSplit/>
        </w:trPr>
        <w:tc>
          <w:tcPr>
            <w:tcW w:w="2259" w:type="dxa"/>
          </w:tcPr>
          <w:p>
            <w:pPr>
              <w:pStyle w:val="nTable"/>
              <w:spacing w:after="40"/>
            </w:pPr>
            <w:r>
              <w:rPr>
                <w:i/>
              </w:rPr>
              <w:t>Statutes (Repeals and Minor Amendments) Act 1997</w:t>
            </w:r>
            <w:r>
              <w:t xml:space="preserve"> s. 67</w:t>
            </w:r>
          </w:p>
        </w:tc>
        <w:tc>
          <w:tcPr>
            <w:tcW w:w="1131" w:type="dxa"/>
          </w:tcPr>
          <w:p>
            <w:pPr>
              <w:pStyle w:val="nTable"/>
              <w:spacing w:after="40"/>
            </w:pPr>
            <w:r>
              <w:t>57 of 1997</w:t>
            </w:r>
          </w:p>
        </w:tc>
        <w:tc>
          <w:tcPr>
            <w:tcW w:w="1130" w:type="dxa"/>
          </w:tcPr>
          <w:p>
            <w:pPr>
              <w:pStyle w:val="nTable"/>
              <w:spacing w:after="40"/>
            </w:pPr>
            <w:r>
              <w:t>15 Dec 1997</w:t>
            </w:r>
          </w:p>
        </w:tc>
        <w:tc>
          <w:tcPr>
            <w:tcW w:w="2570" w:type="dxa"/>
            <w:gridSpan w:val="2"/>
          </w:tcPr>
          <w:p>
            <w:pPr>
              <w:pStyle w:val="nTable"/>
              <w:spacing w:after="40"/>
            </w:pPr>
            <w:r>
              <w:t>15 Dec 1997 (see s. 2(1))</w:t>
            </w:r>
          </w:p>
        </w:tc>
      </w:tr>
      <w:tr>
        <w:trPr>
          <w:cantSplit/>
        </w:trPr>
        <w:tc>
          <w:tcPr>
            <w:tcW w:w="2259" w:type="dxa"/>
          </w:tcPr>
          <w:p>
            <w:pPr>
              <w:pStyle w:val="nTable"/>
              <w:spacing w:after="40"/>
            </w:pPr>
            <w:r>
              <w:rPr>
                <w:i/>
              </w:rPr>
              <w:lastRenderedPageBreak/>
              <w:t>Guardianship and Administration Amendment Act 1998</w:t>
            </w:r>
          </w:p>
        </w:tc>
        <w:tc>
          <w:tcPr>
            <w:tcW w:w="1131" w:type="dxa"/>
          </w:tcPr>
          <w:p>
            <w:pPr>
              <w:pStyle w:val="nTable"/>
              <w:spacing w:after="40"/>
            </w:pPr>
            <w:r>
              <w:t>8 of 1998</w:t>
            </w:r>
          </w:p>
        </w:tc>
        <w:tc>
          <w:tcPr>
            <w:tcW w:w="1130" w:type="dxa"/>
          </w:tcPr>
          <w:p>
            <w:pPr>
              <w:pStyle w:val="nTable"/>
              <w:spacing w:after="40"/>
            </w:pPr>
            <w:r>
              <w:t>30 Apr 1998</w:t>
            </w:r>
          </w:p>
        </w:tc>
        <w:tc>
          <w:tcPr>
            <w:tcW w:w="2570" w:type="dxa"/>
            <w:gridSpan w:val="2"/>
          </w:tcPr>
          <w:p>
            <w:pPr>
              <w:pStyle w:val="nTable"/>
              <w:spacing w:after="40"/>
            </w:pPr>
            <w:r>
              <w:t>30 Apr 1998 (see s. 2)</w:t>
            </w:r>
          </w:p>
        </w:tc>
      </w:tr>
      <w:tr>
        <w:trPr>
          <w:cantSplit/>
        </w:trPr>
        <w:tc>
          <w:tcPr>
            <w:tcW w:w="2259" w:type="dxa"/>
          </w:tcPr>
          <w:p>
            <w:pPr>
              <w:pStyle w:val="nTable"/>
              <w:spacing w:after="40"/>
            </w:pPr>
            <w:r>
              <w:rPr>
                <w:i/>
              </w:rPr>
              <w:t>Guardianship and Administration Amendment Act 2000</w:t>
            </w:r>
            <w:r>
              <w:rPr>
                <w:vertAlign w:val="superscript"/>
              </w:rPr>
              <w:t> 8</w:t>
            </w:r>
          </w:p>
        </w:tc>
        <w:tc>
          <w:tcPr>
            <w:tcW w:w="1131" w:type="dxa"/>
          </w:tcPr>
          <w:p>
            <w:pPr>
              <w:pStyle w:val="nTable"/>
              <w:spacing w:after="40"/>
            </w:pPr>
            <w:r>
              <w:t>70 of 2000</w:t>
            </w:r>
          </w:p>
        </w:tc>
        <w:tc>
          <w:tcPr>
            <w:tcW w:w="1130" w:type="dxa"/>
          </w:tcPr>
          <w:p>
            <w:pPr>
              <w:pStyle w:val="nTable"/>
              <w:spacing w:after="40"/>
            </w:pPr>
            <w:r>
              <w:t>4 Dec 2000</w:t>
            </w:r>
          </w:p>
        </w:tc>
        <w:tc>
          <w:tcPr>
            <w:tcW w:w="2570" w:type="dxa"/>
            <w:gridSpan w:val="2"/>
          </w:tcPr>
          <w:p>
            <w:pPr>
              <w:pStyle w:val="nTable"/>
              <w:spacing w:after="40"/>
            </w:pPr>
            <w:r>
              <w:t>4 Dec 2000 (see s. 2)</w:t>
            </w:r>
          </w:p>
        </w:tc>
      </w:tr>
      <w:tr>
        <w:trPr>
          <w:cantSplit/>
        </w:trPr>
        <w:tc>
          <w:tcPr>
            <w:tcW w:w="2259" w:type="dxa"/>
          </w:tcPr>
          <w:p>
            <w:pPr>
              <w:pStyle w:val="nTable"/>
              <w:spacing w:after="40"/>
              <w:rPr>
                <w:i/>
              </w:rPr>
            </w:pPr>
            <w:r>
              <w:rPr>
                <w:i/>
              </w:rPr>
              <w:t xml:space="preserve">Acts Amendment (Lesbian and Gay Law Reform) Act 2002 </w:t>
            </w:r>
            <w:r>
              <w:t>Pt. 10</w:t>
            </w:r>
          </w:p>
        </w:tc>
        <w:tc>
          <w:tcPr>
            <w:tcW w:w="1131" w:type="dxa"/>
          </w:tcPr>
          <w:p>
            <w:pPr>
              <w:pStyle w:val="nTable"/>
              <w:spacing w:after="40"/>
            </w:pPr>
            <w:r>
              <w:t>3 of 2002</w:t>
            </w:r>
          </w:p>
        </w:tc>
        <w:tc>
          <w:tcPr>
            <w:tcW w:w="1130" w:type="dxa"/>
          </w:tcPr>
          <w:p>
            <w:pPr>
              <w:pStyle w:val="nTable"/>
              <w:spacing w:after="40"/>
            </w:pPr>
            <w:r>
              <w:t>17 Apr 2002</w:t>
            </w:r>
          </w:p>
        </w:tc>
        <w:tc>
          <w:tcPr>
            <w:tcW w:w="2570" w:type="dxa"/>
            <w:gridSpan w:val="2"/>
          </w:tcPr>
          <w:p>
            <w:pPr>
              <w:pStyle w:val="nTable"/>
              <w:spacing w:after="40"/>
            </w:pPr>
            <w:r>
              <w:t xml:space="preserve">21 Sep 2002 (see s. 2 and </w:t>
            </w:r>
            <w:r>
              <w:rPr>
                <w:i/>
              </w:rPr>
              <w:t>Gazette</w:t>
            </w:r>
            <w:r>
              <w:t xml:space="preserve"> 20 Sep 2002 p. 4693)</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22 Nov 2002 </w:t>
            </w:r>
            <w:r>
              <w:br/>
              <w:t>(includes amendments listed above)</w:t>
            </w:r>
          </w:p>
        </w:tc>
      </w:tr>
      <w:tr>
        <w:trPr>
          <w:cantSplit/>
        </w:trPr>
        <w:tc>
          <w:tcPr>
            <w:tcW w:w="2259" w:type="dxa"/>
          </w:tcPr>
          <w:p>
            <w:pPr>
              <w:pStyle w:val="nTable"/>
              <w:spacing w:after="40"/>
              <w:rPr>
                <w:i/>
              </w:rPr>
            </w:pPr>
            <w:r>
              <w:rPr>
                <w:i/>
              </w:rPr>
              <w:t xml:space="preserve">Sentencing Legislation Amendment and Repeal Act 2003 </w:t>
            </w:r>
            <w:r>
              <w:t>s. 70</w:t>
            </w:r>
          </w:p>
        </w:tc>
        <w:tc>
          <w:tcPr>
            <w:tcW w:w="1131" w:type="dxa"/>
          </w:tcPr>
          <w:p>
            <w:pPr>
              <w:pStyle w:val="nTable"/>
              <w:spacing w:after="40"/>
            </w:pPr>
            <w:r>
              <w:t>50 of 2003</w:t>
            </w:r>
          </w:p>
        </w:tc>
        <w:tc>
          <w:tcPr>
            <w:tcW w:w="1130" w:type="dxa"/>
          </w:tcPr>
          <w:p>
            <w:pPr>
              <w:pStyle w:val="nTable"/>
              <w:spacing w:after="40"/>
            </w:pPr>
            <w:r>
              <w:t>9 Jul 2003</w:t>
            </w:r>
          </w:p>
        </w:tc>
        <w:tc>
          <w:tcPr>
            <w:tcW w:w="2570" w:type="dxa"/>
            <w:gridSpan w:val="2"/>
          </w:tcPr>
          <w:p>
            <w:pPr>
              <w:pStyle w:val="nTable"/>
              <w:spacing w:after="40"/>
            </w:pPr>
            <w:r>
              <w:t>15</w:t>
            </w:r>
            <w:r>
              <w:rPr>
                <w:i/>
              </w:rPr>
              <w:t> </w:t>
            </w:r>
            <w:r>
              <w:t>May 2004 (see s. 2 and</w:t>
            </w:r>
            <w:r>
              <w:rPr>
                <w:i/>
              </w:rPr>
              <w:t xml:space="preserve"> Gazette </w:t>
            </w:r>
            <w:r>
              <w:t>14 May 2004 p. 1445)</w:t>
            </w:r>
          </w:p>
        </w:tc>
      </w:tr>
      <w:tr>
        <w:trPr>
          <w:cantSplit/>
        </w:trPr>
        <w:tc>
          <w:tcPr>
            <w:tcW w:w="2259" w:type="dxa"/>
          </w:tcPr>
          <w:p>
            <w:pPr>
              <w:pStyle w:val="nTable"/>
              <w:spacing w:after="40"/>
            </w:pPr>
            <w:r>
              <w:rPr>
                <w:i/>
              </w:rPr>
              <w:t>Acts Amendment and Repeal (Courts and Legal Practice) Act 2003</w:t>
            </w:r>
            <w:r>
              <w:t xml:space="preserve"> s. 40</w:t>
            </w:r>
          </w:p>
        </w:tc>
        <w:tc>
          <w:tcPr>
            <w:tcW w:w="1131" w:type="dxa"/>
          </w:tcPr>
          <w:p>
            <w:pPr>
              <w:pStyle w:val="nTable"/>
              <w:spacing w:after="40"/>
            </w:pPr>
            <w:r>
              <w:t>65 of 2003</w:t>
            </w:r>
          </w:p>
        </w:tc>
        <w:tc>
          <w:tcPr>
            <w:tcW w:w="1130" w:type="dxa"/>
          </w:tcPr>
          <w:p>
            <w:pPr>
              <w:pStyle w:val="nTable"/>
              <w:spacing w:after="40"/>
            </w:pPr>
            <w:r>
              <w:t>4 Dec 2003</w:t>
            </w:r>
          </w:p>
        </w:tc>
        <w:tc>
          <w:tcPr>
            <w:tcW w:w="2570" w:type="dxa"/>
            <w:gridSpan w:val="2"/>
          </w:tcPr>
          <w:p>
            <w:pPr>
              <w:pStyle w:val="nTable"/>
              <w:spacing w:after="40"/>
            </w:pPr>
            <w:r>
              <w:t xml:space="preserve">1 Jan 2004 (see s. 2 and </w:t>
            </w:r>
            <w:r>
              <w:rPr>
                <w:i/>
              </w:rPr>
              <w:t>Gazette</w:t>
            </w:r>
            <w:r>
              <w:t xml:space="preserve"> 30 Dec 2003 p. 5722)</w:t>
            </w:r>
          </w:p>
        </w:tc>
      </w:tr>
      <w:tr>
        <w:trPr>
          <w:cantSplit/>
        </w:trPr>
        <w:tc>
          <w:tcPr>
            <w:tcW w:w="2259" w:type="dxa"/>
          </w:tcPr>
          <w:p>
            <w:pPr>
              <w:pStyle w:val="nTable"/>
              <w:spacing w:after="40"/>
              <w:rPr>
                <w:i/>
              </w:rPr>
            </w:pPr>
            <w:r>
              <w:rPr>
                <w:i/>
              </w:rPr>
              <w:t xml:space="preserve">Criminal Code Amendment Act 2004 </w:t>
            </w:r>
            <w:r>
              <w:t>s. 58</w:t>
            </w:r>
          </w:p>
        </w:tc>
        <w:tc>
          <w:tcPr>
            <w:tcW w:w="1131" w:type="dxa"/>
          </w:tcPr>
          <w:p>
            <w:pPr>
              <w:pStyle w:val="nTable"/>
              <w:spacing w:after="40"/>
            </w:pPr>
            <w:r>
              <w:t>4 of 2004</w:t>
            </w:r>
          </w:p>
        </w:tc>
        <w:tc>
          <w:tcPr>
            <w:tcW w:w="1130" w:type="dxa"/>
          </w:tcPr>
          <w:p>
            <w:pPr>
              <w:pStyle w:val="nTable"/>
              <w:spacing w:after="40"/>
            </w:pPr>
            <w:r>
              <w:t>23 Apr 2004</w:t>
            </w:r>
          </w:p>
        </w:tc>
        <w:tc>
          <w:tcPr>
            <w:tcW w:w="2570" w:type="dxa"/>
            <w:gridSpan w:val="2"/>
          </w:tcPr>
          <w:p>
            <w:pPr>
              <w:pStyle w:val="nTable"/>
              <w:spacing w:after="40"/>
            </w:pPr>
            <w:r>
              <w:t>21 May 2004 (see s. 2)</w:t>
            </w:r>
          </w:p>
        </w:tc>
      </w:tr>
      <w:tr>
        <w:trPr>
          <w:cantSplit/>
        </w:trPr>
        <w:tc>
          <w:tcPr>
            <w:tcW w:w="2259" w:type="dxa"/>
          </w:tcPr>
          <w:p>
            <w:pPr>
              <w:pStyle w:val="nTable"/>
              <w:spacing w:after="40"/>
              <w:rPr>
                <w:i/>
              </w:rPr>
            </w:pPr>
            <w:r>
              <w:rPr>
                <w:i/>
                <w:snapToGrid w:val="0"/>
              </w:rPr>
              <w:t>Children and Community Services Act 2004</w:t>
            </w:r>
            <w:r>
              <w:rPr>
                <w:snapToGrid w:val="0"/>
              </w:rPr>
              <w:t xml:space="preserve"> Sch. </w:t>
            </w:r>
            <w:r>
              <w:t>2 cl. 11</w:t>
            </w:r>
          </w:p>
        </w:tc>
        <w:tc>
          <w:tcPr>
            <w:tcW w:w="1131" w:type="dxa"/>
          </w:tcPr>
          <w:p>
            <w:pPr>
              <w:pStyle w:val="nTable"/>
              <w:spacing w:after="40"/>
            </w:pPr>
            <w:r>
              <w:rPr>
                <w:snapToGrid w:val="0"/>
              </w:rPr>
              <w:t>34 of 2004</w:t>
            </w:r>
          </w:p>
        </w:tc>
        <w:tc>
          <w:tcPr>
            <w:tcW w:w="1130" w:type="dxa"/>
          </w:tcPr>
          <w:p>
            <w:pPr>
              <w:pStyle w:val="nTable"/>
              <w:spacing w:after="40"/>
            </w:pPr>
            <w:r>
              <w:t>20 Oct 2004</w:t>
            </w:r>
          </w:p>
        </w:tc>
        <w:tc>
          <w:tcPr>
            <w:tcW w:w="2570" w:type="dxa"/>
            <w:gridSpan w:val="2"/>
          </w:tcPr>
          <w:p>
            <w:pPr>
              <w:pStyle w:val="nTable"/>
              <w:spacing w:after="40"/>
            </w:pPr>
            <w:r>
              <w:t xml:space="preserve">1 Mar 2006 (see s. 2 and </w:t>
            </w:r>
            <w:r>
              <w:rPr>
                <w:i/>
              </w:rPr>
              <w:t>Gazette</w:t>
            </w:r>
            <w:r>
              <w:t xml:space="preserve"> 14 Feb 2006 p. 695)</w:t>
            </w:r>
          </w:p>
        </w:tc>
      </w:tr>
      <w:tr>
        <w:trPr>
          <w:cantSplit/>
        </w:trPr>
        <w:tc>
          <w:tcPr>
            <w:tcW w:w="2259" w:type="dxa"/>
          </w:tcPr>
          <w:p>
            <w:pPr>
              <w:pStyle w:val="nTable"/>
              <w:spacing w:after="40"/>
              <w:rPr>
                <w:i/>
              </w:rPr>
            </w:pPr>
            <w:r>
              <w:rPr>
                <w:i/>
                <w:snapToGrid w:val="0"/>
              </w:rPr>
              <w:t>Acts Amendment (Court of Appeal) Act 2004</w:t>
            </w:r>
            <w:r>
              <w:rPr>
                <w:snapToGrid w:val="0"/>
              </w:rPr>
              <w:t xml:space="preserve"> s. 37</w:t>
            </w:r>
            <w:r>
              <w:t xml:space="preserve"> (Sch. 1 cl. 7)</w:t>
            </w:r>
            <w:r>
              <w:rPr>
                <w:snapToGrid w:val="0"/>
                <w:vertAlign w:val="superscript"/>
              </w:rPr>
              <w:t xml:space="preserve"> 9</w:t>
            </w:r>
          </w:p>
        </w:tc>
        <w:tc>
          <w:tcPr>
            <w:tcW w:w="1131" w:type="dxa"/>
          </w:tcPr>
          <w:p>
            <w:pPr>
              <w:pStyle w:val="nTable"/>
              <w:spacing w:after="40"/>
            </w:pPr>
            <w:r>
              <w:rPr>
                <w:snapToGrid w:val="0"/>
              </w:rPr>
              <w:t>45 of 2004 (as amended by No. 2 of 2008 s. 75(3))</w:t>
            </w:r>
          </w:p>
        </w:tc>
        <w:tc>
          <w:tcPr>
            <w:tcW w:w="1130" w:type="dxa"/>
          </w:tcPr>
          <w:p>
            <w:pPr>
              <w:pStyle w:val="nTable"/>
              <w:spacing w:after="40"/>
            </w:pPr>
            <w:r>
              <w:t>9 Nov 2004</w:t>
            </w:r>
          </w:p>
        </w:tc>
        <w:tc>
          <w:tcPr>
            <w:tcW w:w="2570" w:type="dxa"/>
            <w:gridSpan w:val="2"/>
          </w:tcPr>
          <w:p>
            <w:pPr>
              <w:pStyle w:val="nTable"/>
              <w:spacing w:after="40"/>
            </w:pPr>
            <w:r>
              <w:t>Sch. 1 cl. 7 (the amendments to s. 18(1) and 19(b)):</w:t>
            </w:r>
            <w:r>
              <w:br/>
            </w:r>
            <w:r>
              <w:rPr>
                <w:snapToGrid w:val="0"/>
              </w:rPr>
              <w:t xml:space="preserve">1 Feb 2005 (see s. 2 and </w:t>
            </w:r>
            <w:r>
              <w:rPr>
                <w:i/>
                <w:snapToGrid w:val="0"/>
              </w:rPr>
              <w:t>Gazette</w:t>
            </w:r>
            <w:r>
              <w:rPr>
                <w:snapToGrid w:val="0"/>
              </w:rPr>
              <w:t xml:space="preserve"> 14 Jan 2005 p. 163)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 xml:space="preserve">Courts Legislation Amendment and Repeal Act 2004 </w:t>
            </w:r>
            <w:r>
              <w:rPr>
                <w:snapToGrid w:val="0"/>
              </w:rPr>
              <w:t>s. 141</w:t>
            </w:r>
          </w:p>
        </w:tc>
        <w:tc>
          <w:tcPr>
            <w:tcW w:w="1131" w:type="dxa"/>
            <w:tcBorders>
              <w:top w:val="nil"/>
              <w:bottom w:val="nil"/>
            </w:tcBorders>
          </w:tcPr>
          <w:p>
            <w:pPr>
              <w:pStyle w:val="nTable"/>
              <w:spacing w:after="40"/>
              <w:rPr>
                <w:snapToGrid w:val="0"/>
              </w:rPr>
            </w:pPr>
            <w:r>
              <w:rPr>
                <w:snapToGrid w:val="0"/>
              </w:rPr>
              <w:t>59 of 2004</w:t>
            </w:r>
          </w:p>
        </w:tc>
        <w:tc>
          <w:tcPr>
            <w:tcW w:w="1130" w:type="dxa"/>
            <w:tcBorders>
              <w:top w:val="nil"/>
              <w:bottom w:val="nil"/>
            </w:tcBorders>
          </w:tcPr>
          <w:p>
            <w:pPr>
              <w:pStyle w:val="nTable"/>
              <w:spacing w:after="40"/>
            </w:pPr>
            <w:r>
              <w:rPr>
                <w:snapToGrid w:val="0"/>
              </w:rPr>
              <w:t>23 Nov 2004</w:t>
            </w:r>
          </w:p>
        </w:tc>
        <w:tc>
          <w:tcPr>
            <w:tcW w:w="2570" w:type="dxa"/>
            <w:gridSpan w:val="2"/>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pPr>
            <w:r>
              <w:rPr>
                <w:i/>
              </w:rPr>
              <w:t>State Administrative Tribunal (Conferral of Jurisdiction) Amendment and Repeal Act 2004</w:t>
            </w:r>
            <w:r>
              <w:t xml:space="preserve"> Pt. 2 Div. 56 Subdiv. 1</w:t>
            </w:r>
            <w:r>
              <w:rPr>
                <w:vertAlign w:val="superscript"/>
              </w:rPr>
              <w:t> 10, 11</w:t>
            </w:r>
          </w:p>
        </w:tc>
        <w:tc>
          <w:tcPr>
            <w:tcW w:w="1131" w:type="dxa"/>
            <w:tcBorders>
              <w:top w:val="nil"/>
              <w:bottom w:val="nil"/>
            </w:tcBorders>
          </w:tcPr>
          <w:p>
            <w:pPr>
              <w:pStyle w:val="nTable"/>
              <w:spacing w:after="40"/>
            </w:pPr>
            <w:r>
              <w:t>55 of 2004</w:t>
            </w:r>
          </w:p>
        </w:tc>
        <w:tc>
          <w:tcPr>
            <w:tcW w:w="1130" w:type="dxa"/>
            <w:tcBorders>
              <w:top w:val="nil"/>
              <w:bottom w:val="nil"/>
            </w:tcBorders>
          </w:tcPr>
          <w:p>
            <w:pPr>
              <w:pStyle w:val="nTable"/>
              <w:spacing w:after="40"/>
            </w:pPr>
            <w:r>
              <w:t>24 Nov 2004</w:t>
            </w:r>
          </w:p>
        </w:tc>
        <w:tc>
          <w:tcPr>
            <w:tcW w:w="2570" w:type="dxa"/>
            <w:gridSpan w:val="2"/>
            <w:tcBorders>
              <w:top w:val="nil"/>
              <w:bottom w:val="nil"/>
            </w:tcBorders>
          </w:tcPr>
          <w:p>
            <w:pPr>
              <w:pStyle w:val="nTable"/>
              <w:spacing w:after="40"/>
            </w:pPr>
            <w:r>
              <w:t xml:space="preserve">24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1" w:type="dxa"/>
            <w:tcBorders>
              <w:top w:val="nil"/>
              <w:bottom w:val="nil"/>
            </w:tcBorders>
          </w:tcPr>
          <w:p>
            <w:pPr>
              <w:pStyle w:val="nTable"/>
              <w:spacing w:after="40"/>
            </w:pPr>
            <w:r>
              <w:rPr>
                <w:snapToGrid w:val="0"/>
              </w:rPr>
              <w:t>84 of 2004</w:t>
            </w:r>
          </w:p>
        </w:tc>
        <w:tc>
          <w:tcPr>
            <w:tcW w:w="1130" w:type="dxa"/>
            <w:tcBorders>
              <w:top w:val="nil"/>
              <w:bottom w:val="nil"/>
            </w:tcBorders>
          </w:tcPr>
          <w:p>
            <w:pPr>
              <w:pStyle w:val="nTable"/>
              <w:spacing w:after="40"/>
            </w:pPr>
            <w:r>
              <w:t>16 Dec 2004</w:t>
            </w:r>
          </w:p>
        </w:tc>
        <w:tc>
          <w:tcPr>
            <w:tcW w:w="2570" w:type="dxa"/>
            <w:gridSpan w:val="2"/>
            <w:tcBorders>
              <w:top w:val="nil"/>
              <w:bottom w:val="nil"/>
            </w:tcBorders>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pPr>
              <w:pStyle w:val="nTable"/>
              <w:spacing w:after="40"/>
            </w:pPr>
            <w:r>
              <w:rPr>
                <w:b/>
              </w:rPr>
              <w:lastRenderedPageBreak/>
              <w:t xml:space="preserve">Reprint 3: The </w:t>
            </w:r>
            <w:r>
              <w:rPr>
                <w:b/>
                <w:i/>
              </w:rPr>
              <w:t>Guardianship and Administration Act 1990</w:t>
            </w:r>
            <w:r>
              <w:rPr>
                <w:b/>
              </w:rPr>
              <w:t xml:space="preserve"> as at 1 Apr 2005 </w:t>
            </w:r>
            <w:r>
              <w:br/>
              <w:t xml:space="preserve">(includes amendments listed above except those in </w:t>
            </w:r>
            <w:r>
              <w:rPr>
                <w:snapToGrid w:val="0"/>
              </w:rPr>
              <w:t xml:space="preserve">the </w:t>
            </w:r>
            <w:r>
              <w:rPr>
                <w:i/>
                <w:snapToGrid w:val="0"/>
              </w:rPr>
              <w:t>Children and Community Services Act 2004</w:t>
            </w:r>
            <w:r>
              <w:rPr>
                <w:iCs/>
                <w:snapToGrid w:val="0"/>
              </w:rPr>
              <w:t xml:space="preserve">,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 xml:space="preserve">Family Legislation Amendment Act 2006 </w:t>
            </w:r>
            <w:r>
              <w:rPr>
                <w:snapToGrid w:val="0"/>
              </w:rPr>
              <w:t>Pt. 6 Div. 2</w:t>
            </w:r>
          </w:p>
        </w:tc>
        <w:tc>
          <w:tcPr>
            <w:tcW w:w="1131" w:type="dxa"/>
            <w:tcBorders>
              <w:top w:val="nil"/>
              <w:bottom w:val="nil"/>
            </w:tcBorders>
          </w:tcPr>
          <w:p>
            <w:pPr>
              <w:pStyle w:val="nTable"/>
              <w:spacing w:after="40"/>
            </w:pPr>
            <w:r>
              <w:t>35 of 2006</w:t>
            </w:r>
          </w:p>
        </w:tc>
        <w:tc>
          <w:tcPr>
            <w:tcW w:w="1130" w:type="dxa"/>
            <w:tcBorders>
              <w:top w:val="nil"/>
              <w:bottom w:val="nil"/>
            </w:tcBorders>
          </w:tcPr>
          <w:p>
            <w:pPr>
              <w:pStyle w:val="nTable"/>
              <w:spacing w:after="40"/>
            </w:pPr>
            <w:r>
              <w:t>4 Jul 2006</w:t>
            </w:r>
          </w:p>
        </w:tc>
        <w:tc>
          <w:tcPr>
            <w:tcW w:w="2570" w:type="dxa"/>
            <w:gridSpan w:val="2"/>
            <w:tcBorders>
              <w:top w:val="nil"/>
              <w:bottom w:val="nil"/>
            </w:tcBorders>
          </w:tcPr>
          <w:p>
            <w:pPr>
              <w:pStyle w:val="nTable"/>
              <w:spacing w:after="40"/>
            </w:pPr>
            <w:r>
              <w:rPr>
                <w:snapToGrid w:val="0"/>
              </w:rPr>
              <w:t xml:space="preserve">15 Jul 2006 (see s. 2 and </w:t>
            </w:r>
            <w:r>
              <w:rPr>
                <w:i/>
                <w:iCs/>
                <w:snapToGrid w:val="0"/>
              </w:rPr>
              <w:t>Gazette</w:t>
            </w:r>
            <w:r>
              <w:rPr>
                <w:snapToGrid w:val="0"/>
              </w:rPr>
              <w:t xml:space="preserve"> 14 Jul 2006 p. 2559)</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Criminal Investigation (Consequential Provisions) Act 2006</w:t>
            </w:r>
            <w:r>
              <w:rPr>
                <w:iCs/>
                <w:snapToGrid w:val="0"/>
              </w:rPr>
              <w:t xml:space="preserve"> s. 73</w:t>
            </w:r>
          </w:p>
        </w:tc>
        <w:tc>
          <w:tcPr>
            <w:tcW w:w="1131" w:type="dxa"/>
            <w:tcBorders>
              <w:top w:val="nil"/>
              <w:bottom w:val="nil"/>
            </w:tcBorders>
          </w:tcPr>
          <w:p>
            <w:pPr>
              <w:pStyle w:val="nTable"/>
              <w:spacing w:after="40"/>
            </w:pPr>
            <w:r>
              <w:rPr>
                <w:snapToGrid w:val="0"/>
              </w:rPr>
              <w:t>59 of 2006</w:t>
            </w:r>
          </w:p>
        </w:tc>
        <w:tc>
          <w:tcPr>
            <w:tcW w:w="1130" w:type="dxa"/>
            <w:tcBorders>
              <w:top w:val="nil"/>
              <w:bottom w:val="nil"/>
            </w:tcBorders>
          </w:tcPr>
          <w:p>
            <w:pPr>
              <w:pStyle w:val="nTable"/>
              <w:spacing w:after="40"/>
            </w:pPr>
            <w:r>
              <w:t>16 Nov 2006</w:t>
            </w:r>
          </w:p>
        </w:tc>
        <w:tc>
          <w:tcPr>
            <w:tcW w:w="2570" w:type="dxa"/>
            <w:gridSpan w:val="2"/>
            <w:tcBorders>
              <w:top w:val="nil"/>
              <w:bottom w:val="nil"/>
            </w:tcBorders>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rPr>
              <w:t>Wills Amendment Act 2007</w:t>
            </w:r>
            <w:r>
              <w:rPr>
                <w:iCs/>
              </w:rPr>
              <w:t xml:space="preserve"> s. 25</w:t>
            </w:r>
          </w:p>
        </w:tc>
        <w:tc>
          <w:tcPr>
            <w:tcW w:w="1131" w:type="dxa"/>
            <w:tcBorders>
              <w:top w:val="nil"/>
              <w:bottom w:val="nil"/>
            </w:tcBorders>
          </w:tcPr>
          <w:p>
            <w:pPr>
              <w:pStyle w:val="nTable"/>
              <w:spacing w:after="40"/>
              <w:rPr>
                <w:snapToGrid w:val="0"/>
              </w:rPr>
            </w:pPr>
            <w:r>
              <w:rPr>
                <w:snapToGrid w:val="0"/>
              </w:rPr>
              <w:t>27 of 2007</w:t>
            </w:r>
          </w:p>
        </w:tc>
        <w:tc>
          <w:tcPr>
            <w:tcW w:w="1130" w:type="dxa"/>
            <w:tcBorders>
              <w:top w:val="nil"/>
              <w:bottom w:val="nil"/>
            </w:tcBorders>
          </w:tcPr>
          <w:p>
            <w:pPr>
              <w:pStyle w:val="nTable"/>
              <w:spacing w:after="40"/>
            </w:pPr>
            <w:r>
              <w:rPr>
                <w:snapToGrid w:val="0"/>
              </w:rPr>
              <w:t>26 Oct 2007</w:t>
            </w:r>
          </w:p>
        </w:tc>
        <w:tc>
          <w:tcPr>
            <w:tcW w:w="2570" w:type="dxa"/>
            <w:gridSpan w:val="2"/>
            <w:tcBorders>
              <w:top w:val="nil"/>
              <w:bottom w:val="nil"/>
            </w:tcBorders>
          </w:tcPr>
          <w:p>
            <w:pPr>
              <w:pStyle w:val="nTable"/>
              <w:spacing w:after="40"/>
              <w:rPr>
                <w:snapToGrid w:val="0"/>
              </w:rPr>
            </w:pPr>
            <w:r>
              <w:rPr>
                <w:snapToGrid w:val="0"/>
              </w:rPr>
              <w:t xml:space="preserve">9 Feb 2008 (see s. 2 and </w:t>
            </w:r>
            <w:r>
              <w:rPr>
                <w:i/>
                <w:iCs/>
                <w:snapToGrid w:val="0"/>
              </w:rPr>
              <w:t>Gazette</w:t>
            </w:r>
            <w:r>
              <w:rPr>
                <w:snapToGrid w:val="0"/>
              </w:rPr>
              <w:t xml:space="preserve"> 8 Feb 2008 p. 313)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Acts Amendment (Justice) Act 2008</w:t>
            </w:r>
            <w:r>
              <w:rPr>
                <w:iCs/>
                <w:snapToGrid w:val="0"/>
              </w:rPr>
              <w:t xml:space="preserve"> Pt. 12</w:t>
            </w:r>
          </w:p>
        </w:tc>
        <w:tc>
          <w:tcPr>
            <w:tcW w:w="1131" w:type="dxa"/>
            <w:tcBorders>
              <w:top w:val="nil"/>
              <w:bottom w:val="nil"/>
            </w:tcBorders>
          </w:tcPr>
          <w:p>
            <w:pPr>
              <w:pStyle w:val="nTable"/>
              <w:spacing w:after="40"/>
              <w:rPr>
                <w:snapToGrid w:val="0"/>
              </w:rPr>
            </w:pPr>
            <w:r>
              <w:t>5 of 2008</w:t>
            </w:r>
          </w:p>
        </w:tc>
        <w:tc>
          <w:tcPr>
            <w:tcW w:w="1130" w:type="dxa"/>
            <w:tcBorders>
              <w:top w:val="nil"/>
              <w:bottom w:val="nil"/>
            </w:tcBorders>
          </w:tcPr>
          <w:p>
            <w:pPr>
              <w:pStyle w:val="nTable"/>
              <w:spacing w:after="40"/>
              <w:rPr>
                <w:snapToGrid w:val="0"/>
              </w:rPr>
            </w:pPr>
            <w:r>
              <w:t>31 Mar 2008</w:t>
            </w:r>
          </w:p>
        </w:tc>
        <w:tc>
          <w:tcPr>
            <w:tcW w:w="2570" w:type="dxa"/>
            <w:gridSpan w:val="2"/>
            <w:tcBorders>
              <w:top w:val="nil"/>
              <w:bottom w:val="nil"/>
            </w:tcBorders>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s. 667</w:t>
            </w:r>
          </w:p>
        </w:tc>
        <w:tc>
          <w:tcPr>
            <w:tcW w:w="1131" w:type="dxa"/>
            <w:tcBorders>
              <w:top w:val="nil"/>
              <w:bottom w:val="nil"/>
            </w:tcBorders>
          </w:tcPr>
          <w:p>
            <w:pPr>
              <w:pStyle w:val="nTable"/>
              <w:spacing w:after="40"/>
            </w:pPr>
            <w:r>
              <w:t>21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pPr>
            <w:r>
              <w:rPr>
                <w:i/>
                <w:snapToGrid w:val="0"/>
              </w:rPr>
              <w:t>Medical Practitioners Act 2008</w:t>
            </w:r>
            <w:r>
              <w:t xml:space="preserve"> Sch. 3 cl. 22</w:t>
            </w:r>
          </w:p>
        </w:tc>
        <w:tc>
          <w:tcPr>
            <w:tcW w:w="1131" w:type="dxa"/>
            <w:tcBorders>
              <w:top w:val="nil"/>
              <w:bottom w:val="nil"/>
            </w:tcBorders>
          </w:tcPr>
          <w:p>
            <w:pPr>
              <w:pStyle w:val="nTable"/>
              <w:spacing w:after="40"/>
            </w:pPr>
            <w:r>
              <w:t>22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Acts Amendment (Consent to Medical Treatment) Act 2008</w:t>
            </w:r>
            <w:r>
              <w:rPr>
                <w:iCs/>
                <w:snapToGrid w:val="0"/>
              </w:rPr>
              <w:t xml:space="preserve"> Pt. 2</w:t>
            </w:r>
            <w:r>
              <w:rPr>
                <w:iCs/>
                <w:snapToGrid w:val="0"/>
                <w:vertAlign w:val="superscript"/>
              </w:rPr>
              <w:t xml:space="preserve"> 12</w:t>
            </w:r>
          </w:p>
        </w:tc>
        <w:tc>
          <w:tcPr>
            <w:tcW w:w="1131" w:type="dxa"/>
            <w:tcBorders>
              <w:top w:val="nil"/>
              <w:bottom w:val="nil"/>
            </w:tcBorders>
          </w:tcPr>
          <w:p>
            <w:pPr>
              <w:pStyle w:val="nTable"/>
              <w:spacing w:after="40"/>
            </w:pPr>
            <w:r>
              <w:t>25 of 2008</w:t>
            </w:r>
          </w:p>
        </w:tc>
        <w:tc>
          <w:tcPr>
            <w:tcW w:w="1130" w:type="dxa"/>
            <w:tcBorders>
              <w:top w:val="nil"/>
              <w:bottom w:val="nil"/>
            </w:tcBorders>
          </w:tcPr>
          <w:p>
            <w:pPr>
              <w:pStyle w:val="nTable"/>
              <w:spacing w:after="40"/>
            </w:pPr>
            <w:r>
              <w:t>19 Jun 2008</w:t>
            </w:r>
          </w:p>
        </w:tc>
        <w:tc>
          <w:tcPr>
            <w:tcW w:w="2570" w:type="dxa"/>
            <w:gridSpan w:val="2"/>
            <w:tcBorders>
              <w:top w:val="nil"/>
              <w:bottom w:val="nil"/>
            </w:tcBorders>
          </w:tcPr>
          <w:p>
            <w:pPr>
              <w:pStyle w:val="nTable"/>
              <w:spacing w:after="40"/>
              <w:rPr>
                <w:snapToGrid w:val="0"/>
              </w:rPr>
            </w:pPr>
            <w:r>
              <w:t xml:space="preserve">Pt. 2 other than s. 11 (to the extent that it inserts s. 110RA, 110ZAA, 110ZAB and 110ZAC) and s. 12: 15 Feb 2010 (see s. 2 and </w:t>
            </w:r>
            <w:r>
              <w:rPr>
                <w:i/>
                <w:iCs/>
              </w:rPr>
              <w:t>Gazette</w:t>
            </w:r>
            <w:r>
              <w:t xml:space="preserve"> 8 Jan 2010 p. 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 xml:space="preserve">Surrogacy Act 2008 </w:t>
            </w:r>
            <w:r>
              <w:rPr>
                <w:snapToGrid w:val="0"/>
              </w:rPr>
              <w:t>Pt. 4 Div. 4</w:t>
            </w:r>
          </w:p>
        </w:tc>
        <w:tc>
          <w:tcPr>
            <w:tcW w:w="1131" w:type="dxa"/>
            <w:tcBorders>
              <w:top w:val="nil"/>
              <w:bottom w:val="nil"/>
            </w:tcBorders>
          </w:tcPr>
          <w:p>
            <w:pPr>
              <w:pStyle w:val="nTable"/>
              <w:spacing w:after="40"/>
            </w:pPr>
            <w:r>
              <w:t>47 of 2008</w:t>
            </w:r>
          </w:p>
        </w:tc>
        <w:tc>
          <w:tcPr>
            <w:tcW w:w="1130" w:type="dxa"/>
            <w:tcBorders>
              <w:top w:val="nil"/>
              <w:bottom w:val="nil"/>
            </w:tcBorders>
          </w:tcPr>
          <w:p>
            <w:pPr>
              <w:pStyle w:val="nTable"/>
              <w:spacing w:after="40"/>
            </w:pPr>
            <w:r>
              <w:t>10 Dec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pPr>
              <w:pStyle w:val="nTable"/>
              <w:spacing w:after="40"/>
              <w:rPr>
                <w:snapToGrid w:val="0"/>
              </w:rPr>
            </w:pPr>
            <w:r>
              <w:rPr>
                <w:b/>
              </w:rPr>
              <w:t xml:space="preserve">Reprint 4: The </w:t>
            </w:r>
            <w:r>
              <w:rPr>
                <w:b/>
                <w:i/>
              </w:rPr>
              <w:t>Guardianship and Administration Act 1990</w:t>
            </w:r>
            <w:r>
              <w:rPr>
                <w:b/>
              </w:rPr>
              <w:t xml:space="preserve"> as at 6 Feb 2009 </w:t>
            </w:r>
            <w:r>
              <w:br/>
              <w:t xml:space="preserve">(includes amendments listed above except those in the </w:t>
            </w:r>
            <w:r>
              <w:rPr>
                <w:i/>
                <w:iCs/>
              </w:rPr>
              <w:t>Legal Profession Act 2008</w:t>
            </w:r>
            <w:r>
              <w:t xml:space="preserve">, the </w:t>
            </w:r>
            <w:r>
              <w:rPr>
                <w:i/>
                <w:snapToGrid w:val="0"/>
              </w:rPr>
              <w:t xml:space="preserve">Surrogacy Act 2008 </w:t>
            </w:r>
            <w:r>
              <w:rPr>
                <w:iCs/>
                <w:snapToGrid w:val="0"/>
              </w:rPr>
              <w:t xml:space="preserve">and the </w:t>
            </w:r>
            <w:r>
              <w:rPr>
                <w:i/>
                <w:snapToGrid w:val="0"/>
              </w:rPr>
              <w:t>Acts Amendment (Consent to Medical Treatment) Act 2008</w:t>
            </w:r>
            <w:r>
              <w:t>)</w:t>
            </w:r>
          </w:p>
        </w:tc>
      </w:tr>
      <w:tr>
        <w:trPr>
          <w:cantSplit/>
        </w:trPr>
        <w:tc>
          <w:tcPr>
            <w:tcW w:w="2259" w:type="dxa"/>
          </w:tcPr>
          <w:p>
            <w:pPr>
              <w:pStyle w:val="nTable"/>
              <w:spacing w:after="40"/>
              <w:ind w:right="113"/>
              <w:rPr>
                <w:iCs/>
              </w:rPr>
            </w:pPr>
            <w:r>
              <w:rPr>
                <w:i/>
              </w:rPr>
              <w:t>Statutes (Repeals and Miscellaneous Amendments) Act 2009</w:t>
            </w:r>
            <w:r>
              <w:rPr>
                <w:iCs/>
              </w:rPr>
              <w:t xml:space="preserve"> s. 68</w:t>
            </w:r>
          </w:p>
        </w:tc>
        <w:tc>
          <w:tcPr>
            <w:tcW w:w="1131" w:type="dxa"/>
          </w:tcPr>
          <w:p>
            <w:pPr>
              <w:pStyle w:val="nTable"/>
              <w:spacing w:after="40"/>
            </w:pPr>
            <w:r>
              <w:t xml:space="preserve">8 of 2009 </w:t>
            </w:r>
          </w:p>
        </w:tc>
        <w:tc>
          <w:tcPr>
            <w:tcW w:w="1130" w:type="dxa"/>
          </w:tcPr>
          <w:p>
            <w:pPr>
              <w:pStyle w:val="nTable"/>
              <w:spacing w:after="40"/>
            </w:pPr>
            <w:r>
              <w:t>21 May 2009</w:t>
            </w:r>
          </w:p>
        </w:tc>
        <w:tc>
          <w:tcPr>
            <w:tcW w:w="2570" w:type="dxa"/>
            <w:gridSpan w:val="2"/>
          </w:tcPr>
          <w:p>
            <w:pPr>
              <w:pStyle w:val="nTable"/>
              <w:spacing w:after="40"/>
            </w:pPr>
            <w:r>
              <w:t>22 May 2009 (see s. 2(b))</w:t>
            </w:r>
          </w:p>
        </w:tc>
      </w:tr>
      <w:tr>
        <w:trPr>
          <w:cantSplit/>
        </w:trPr>
        <w:tc>
          <w:tcPr>
            <w:tcW w:w="2259" w:type="dxa"/>
          </w:tcPr>
          <w:p>
            <w:pPr>
              <w:pStyle w:val="nTable"/>
              <w:spacing w:after="40"/>
              <w:rPr>
                <w:iCs/>
                <w:snapToGrid w:val="0"/>
              </w:rPr>
            </w:pPr>
            <w:r>
              <w:rPr>
                <w:i/>
                <w:snapToGrid w:val="0"/>
              </w:rPr>
              <w:t>Acts Amendment (Bankruptcy) Act 2009</w:t>
            </w:r>
            <w:r>
              <w:rPr>
                <w:iCs/>
                <w:snapToGrid w:val="0"/>
              </w:rPr>
              <w:t xml:space="preserve"> s. 38</w:t>
            </w:r>
          </w:p>
        </w:tc>
        <w:tc>
          <w:tcPr>
            <w:tcW w:w="1131" w:type="dxa"/>
          </w:tcPr>
          <w:p>
            <w:pPr>
              <w:pStyle w:val="nTable"/>
              <w:spacing w:after="40"/>
            </w:pPr>
            <w:r>
              <w:t>18 of 2009</w:t>
            </w:r>
          </w:p>
        </w:tc>
        <w:tc>
          <w:tcPr>
            <w:tcW w:w="1130" w:type="dxa"/>
          </w:tcPr>
          <w:p>
            <w:pPr>
              <w:pStyle w:val="nTable"/>
              <w:spacing w:after="40"/>
            </w:pPr>
            <w:r>
              <w:t>16 Sep 2009</w:t>
            </w:r>
          </w:p>
        </w:tc>
        <w:tc>
          <w:tcPr>
            <w:tcW w:w="2570" w:type="dxa"/>
            <w:gridSpan w:val="2"/>
          </w:tcPr>
          <w:p>
            <w:pPr>
              <w:pStyle w:val="nTable"/>
              <w:spacing w:after="40"/>
            </w:pPr>
            <w:r>
              <w:t>17 Sep 2009 (see s. 2(b))</w:t>
            </w:r>
          </w:p>
        </w:tc>
      </w:tr>
      <w:tr>
        <w:trPr>
          <w:cantSplit/>
        </w:trPr>
        <w:tc>
          <w:tcPr>
            <w:tcW w:w="7090" w:type="dxa"/>
            <w:gridSpan w:val="5"/>
          </w:tcPr>
          <w:p>
            <w:pPr>
              <w:pStyle w:val="nTable"/>
              <w:spacing w:after="40"/>
            </w:pPr>
            <w:r>
              <w:rPr>
                <w:b/>
              </w:rPr>
              <w:t xml:space="preserve">Reprint 5: The </w:t>
            </w:r>
            <w:r>
              <w:rPr>
                <w:b/>
                <w:i/>
              </w:rPr>
              <w:t>Guardianship and Administration Act 1990</w:t>
            </w:r>
            <w:r>
              <w:rPr>
                <w:b/>
              </w:rPr>
              <w:t xml:space="preserve"> as at 5 Mar 2010 </w:t>
            </w:r>
            <w:r>
              <w:t>(includes amendments listed above)</w:t>
            </w:r>
          </w:p>
        </w:tc>
      </w:tr>
      <w:tr>
        <w:trPr>
          <w:gridAfter w:val="1"/>
          <w:wAfter w:w="8" w:type="dxa"/>
          <w:cantSplit/>
        </w:trPr>
        <w:tc>
          <w:tcPr>
            <w:tcW w:w="2259" w:type="dxa"/>
          </w:tcPr>
          <w:p>
            <w:pPr>
              <w:pStyle w:val="nTable"/>
              <w:spacing w:after="40"/>
              <w:ind w:right="113"/>
              <w:rPr>
                <w:iCs/>
                <w:snapToGrid w:val="0"/>
              </w:rPr>
            </w:pPr>
            <w:r>
              <w:rPr>
                <w:i/>
                <w:snapToGrid w:val="0"/>
              </w:rPr>
              <w:lastRenderedPageBreak/>
              <w:t>Standardisation of Formatting Act 2010</w:t>
            </w:r>
            <w:r>
              <w:rPr>
                <w:iCs/>
                <w:snapToGrid w:val="0"/>
              </w:rPr>
              <w:t xml:space="preserve"> s. 18 and 51</w:t>
            </w:r>
          </w:p>
        </w:tc>
        <w:tc>
          <w:tcPr>
            <w:tcW w:w="1131" w:type="dxa"/>
          </w:tcPr>
          <w:p>
            <w:pPr>
              <w:pStyle w:val="nTable"/>
              <w:spacing w:after="40"/>
              <w:rPr>
                <w:snapToGrid w:val="0"/>
              </w:rPr>
            </w:pPr>
            <w:r>
              <w:rPr>
                <w:snapToGrid w:val="0"/>
              </w:rPr>
              <w:t>19 of 2010</w:t>
            </w:r>
          </w:p>
        </w:tc>
        <w:tc>
          <w:tcPr>
            <w:tcW w:w="1130" w:type="dxa"/>
          </w:tcPr>
          <w:p>
            <w:pPr>
              <w:pStyle w:val="nTable"/>
              <w:spacing w:after="40"/>
              <w:rPr>
                <w:snapToGrid w:val="0"/>
              </w:rPr>
            </w:pPr>
            <w:r>
              <w:rPr>
                <w:snapToGrid w:val="0"/>
              </w:rPr>
              <w:t>28 Jun 2010</w:t>
            </w:r>
          </w:p>
        </w:tc>
        <w:tc>
          <w:tcPr>
            <w:tcW w:w="256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8" w:type="dxa"/>
          <w:cantSplit/>
        </w:trPr>
        <w:tc>
          <w:tcPr>
            <w:tcW w:w="2259"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1" w:type="dxa"/>
          </w:tcPr>
          <w:p>
            <w:pPr>
              <w:pStyle w:val="nTable"/>
              <w:spacing w:after="40"/>
              <w:rPr>
                <w:snapToGrid w:val="0"/>
              </w:rPr>
            </w:pPr>
            <w:r>
              <w:rPr>
                <w:snapToGrid w:val="0"/>
              </w:rPr>
              <w:t>39 of 2010</w:t>
            </w:r>
          </w:p>
        </w:tc>
        <w:tc>
          <w:tcPr>
            <w:tcW w:w="1130" w:type="dxa"/>
          </w:tcPr>
          <w:p>
            <w:pPr>
              <w:pStyle w:val="nTable"/>
              <w:spacing w:after="40"/>
              <w:rPr>
                <w:snapToGrid w:val="0"/>
              </w:rPr>
            </w:pPr>
            <w:r>
              <w:rPr>
                <w:snapToGrid w:val="0"/>
              </w:rPr>
              <w:t>1 Oct 2010</w:t>
            </w:r>
          </w:p>
        </w:tc>
        <w:tc>
          <w:tcPr>
            <w:tcW w:w="256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8" w:type="dxa"/>
          <w:cantSplit/>
        </w:trPr>
        <w:tc>
          <w:tcPr>
            <w:tcW w:w="2259" w:type="dxa"/>
          </w:tcPr>
          <w:p>
            <w:pPr>
              <w:pStyle w:val="nTable"/>
              <w:spacing w:after="40"/>
              <w:ind w:right="113"/>
              <w:rPr>
                <w:i/>
                <w:iCs/>
                <w:snapToGrid w:val="0"/>
              </w:rPr>
            </w:pPr>
            <w:r>
              <w:rPr>
                <w:i/>
                <w:iCs/>
                <w:snapToGrid w:val="0"/>
              </w:rPr>
              <w:t>Statutes (Repeals and Minor Amendments) Act 2014</w:t>
            </w:r>
            <w:r>
              <w:rPr>
                <w:iCs/>
                <w:snapToGrid w:val="0"/>
              </w:rPr>
              <w:t xml:space="preserve"> s. 12 and 22</w:t>
            </w:r>
          </w:p>
        </w:tc>
        <w:tc>
          <w:tcPr>
            <w:tcW w:w="1131" w:type="dxa"/>
          </w:tcPr>
          <w:p>
            <w:pPr>
              <w:pStyle w:val="nTable"/>
              <w:spacing w:after="40"/>
              <w:rPr>
                <w:snapToGrid w:val="0"/>
              </w:rPr>
            </w:pPr>
            <w:r>
              <w:rPr>
                <w:snapToGrid w:val="0"/>
              </w:rPr>
              <w:t>17 of 2014</w:t>
            </w:r>
          </w:p>
        </w:tc>
        <w:tc>
          <w:tcPr>
            <w:tcW w:w="1130" w:type="dxa"/>
          </w:tcPr>
          <w:p>
            <w:pPr>
              <w:pStyle w:val="nTable"/>
              <w:spacing w:after="40"/>
              <w:rPr>
                <w:snapToGrid w:val="0"/>
              </w:rPr>
            </w:pPr>
            <w:r>
              <w:rPr>
                <w:snapToGrid w:val="0"/>
              </w:rPr>
              <w:t>2 Jul 2014</w:t>
            </w:r>
          </w:p>
        </w:tc>
        <w:tc>
          <w:tcPr>
            <w:tcW w:w="256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8" w:type="dxa"/>
          <w:cantSplit/>
        </w:trPr>
        <w:tc>
          <w:tcPr>
            <w:tcW w:w="2259" w:type="dxa"/>
          </w:tcPr>
          <w:p>
            <w:pPr>
              <w:pStyle w:val="nTable"/>
              <w:spacing w:after="40"/>
              <w:ind w:right="113"/>
              <w:rPr>
                <w:i/>
                <w:iCs/>
                <w:snapToGrid w:val="0"/>
              </w:rPr>
            </w:pPr>
            <w:r>
              <w:rPr>
                <w:i/>
              </w:rPr>
              <w:t>Mental Health Legislation Amendment Act 2014</w:t>
            </w:r>
            <w:r>
              <w:t xml:space="preserve"> Pt. 4 Div. 2</w:t>
            </w:r>
          </w:p>
        </w:tc>
        <w:tc>
          <w:tcPr>
            <w:tcW w:w="1131" w:type="dxa"/>
          </w:tcPr>
          <w:p>
            <w:pPr>
              <w:pStyle w:val="nTable"/>
              <w:spacing w:after="40"/>
              <w:rPr>
                <w:snapToGrid w:val="0"/>
              </w:rPr>
            </w:pPr>
            <w:r>
              <w:rPr>
                <w:snapToGrid w:val="0"/>
              </w:rPr>
              <w:t>25 of 2014</w:t>
            </w:r>
          </w:p>
        </w:tc>
        <w:tc>
          <w:tcPr>
            <w:tcW w:w="1130" w:type="dxa"/>
          </w:tcPr>
          <w:p>
            <w:pPr>
              <w:pStyle w:val="nTable"/>
              <w:spacing w:after="40"/>
              <w:rPr>
                <w:snapToGrid w:val="0"/>
              </w:rPr>
            </w:pPr>
            <w:r>
              <w:t>3 Nov 2014</w:t>
            </w:r>
          </w:p>
        </w:tc>
        <w:tc>
          <w:tcPr>
            <w:tcW w:w="256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After w:val="1"/>
          <w:wAfter w:w="8" w:type="dxa"/>
          <w:cantSplit/>
        </w:trPr>
        <w:tc>
          <w:tcPr>
            <w:tcW w:w="2259" w:type="dxa"/>
          </w:tcPr>
          <w:p>
            <w:pPr>
              <w:pStyle w:val="nTable"/>
              <w:spacing w:after="40"/>
              <w:ind w:right="113"/>
              <w:rPr>
                <w:i/>
              </w:rPr>
            </w:pPr>
            <w:r>
              <w:rPr>
                <w:i/>
                <w:snapToGrid w:val="0"/>
              </w:rPr>
              <w:t>Voluntary Assisted Dying Act 2019</w:t>
            </w:r>
            <w:r>
              <w:rPr>
                <w:snapToGrid w:val="0"/>
              </w:rPr>
              <w:t xml:space="preserve"> Pt. 12 Div. 3</w:t>
            </w:r>
          </w:p>
        </w:tc>
        <w:tc>
          <w:tcPr>
            <w:tcW w:w="1131" w:type="dxa"/>
          </w:tcPr>
          <w:p>
            <w:pPr>
              <w:pStyle w:val="nTable"/>
              <w:spacing w:after="40"/>
              <w:rPr>
                <w:snapToGrid w:val="0"/>
              </w:rPr>
            </w:pPr>
            <w:r>
              <w:t>27 of 2019</w:t>
            </w:r>
          </w:p>
        </w:tc>
        <w:tc>
          <w:tcPr>
            <w:tcW w:w="1130" w:type="dxa"/>
          </w:tcPr>
          <w:p>
            <w:pPr>
              <w:pStyle w:val="nTable"/>
              <w:spacing w:after="40"/>
            </w:pPr>
            <w:r>
              <w:t>19 Dec 2019</w:t>
            </w:r>
          </w:p>
        </w:tc>
        <w:tc>
          <w:tcPr>
            <w:tcW w:w="2562" w:type="dxa"/>
          </w:tcPr>
          <w:p>
            <w:pPr>
              <w:pStyle w:val="nTable"/>
              <w:spacing w:after="40"/>
              <w:rPr>
                <w:snapToGrid w:val="0"/>
              </w:rPr>
            </w:pPr>
            <w:r>
              <w:t>1 Jul 2021 (see s. 2(b) and SL 2021/83 cl. 2)</w:t>
            </w:r>
          </w:p>
        </w:tc>
      </w:tr>
      <w:tr>
        <w:trPr>
          <w:gridAfter w:val="1"/>
          <w:wAfter w:w="8" w:type="dxa"/>
          <w:cantSplit/>
        </w:trPr>
        <w:tc>
          <w:tcPr>
            <w:tcW w:w="2259" w:type="dxa"/>
          </w:tcPr>
          <w:p>
            <w:pPr>
              <w:pStyle w:val="nTable"/>
              <w:spacing w:after="40"/>
              <w:ind w:right="113"/>
            </w:pPr>
            <w:r>
              <w:rPr>
                <w:i/>
                <w:color w:val="000000" w:themeColor="text1"/>
              </w:rPr>
              <w:t>Guardianship and Administration Amendment (Medical Research) Act 2020</w:t>
            </w:r>
            <w:r>
              <w:rPr>
                <w:color w:val="000000" w:themeColor="text1"/>
              </w:rPr>
              <w:t xml:space="preserve"> (other than s. 13 and 15)</w:t>
            </w:r>
          </w:p>
        </w:tc>
        <w:tc>
          <w:tcPr>
            <w:tcW w:w="1131" w:type="dxa"/>
          </w:tcPr>
          <w:p>
            <w:pPr>
              <w:pStyle w:val="nTable"/>
              <w:spacing w:after="40"/>
              <w:rPr>
                <w:snapToGrid w:val="0"/>
              </w:rPr>
            </w:pPr>
            <w:r>
              <w:rPr>
                <w:snapToGrid w:val="0"/>
              </w:rPr>
              <w:t>14 of 2020</w:t>
            </w:r>
          </w:p>
        </w:tc>
        <w:tc>
          <w:tcPr>
            <w:tcW w:w="1130" w:type="dxa"/>
          </w:tcPr>
          <w:p>
            <w:pPr>
              <w:pStyle w:val="nTable"/>
              <w:spacing w:after="40"/>
            </w:pPr>
            <w:r>
              <w:t>6 Apr 2020</w:t>
            </w:r>
          </w:p>
        </w:tc>
        <w:tc>
          <w:tcPr>
            <w:tcW w:w="2562" w:type="dxa"/>
          </w:tcPr>
          <w:p>
            <w:pPr>
              <w:pStyle w:val="nTable"/>
              <w:spacing w:after="40"/>
              <w:rPr>
                <w:snapToGrid w:val="0"/>
              </w:rPr>
            </w:pPr>
            <w:r>
              <w:rPr>
                <w:snapToGrid w:val="0"/>
              </w:rPr>
              <w:t>s. 1 and 2: 6 Apr 2020 (see s. 2(a));</w:t>
            </w:r>
            <w:r>
              <w:rPr>
                <w:snapToGrid w:val="0"/>
              </w:rPr>
              <w:br/>
              <w:t>Act other than s. 1, 2, 13 and 15: 7 Apr 2020 (see s. 2(c))</w:t>
            </w:r>
          </w:p>
        </w:tc>
      </w:tr>
      <w:tr>
        <w:trPr>
          <w:gridAfter w:val="1"/>
          <w:wAfter w:w="8" w:type="dxa"/>
          <w:cantSplit/>
        </w:trPr>
        <w:tc>
          <w:tcPr>
            <w:tcW w:w="2259" w:type="dxa"/>
            <w:tcBorders>
              <w:bottom w:val="single" w:sz="4" w:space="0" w:color="auto"/>
            </w:tcBorders>
          </w:tcPr>
          <w:p>
            <w:pPr>
              <w:pStyle w:val="nTable"/>
              <w:spacing w:after="40"/>
              <w:ind w:right="113"/>
              <w:rPr>
                <w:i/>
                <w:color w:val="000000" w:themeColor="text1"/>
              </w:rPr>
            </w:pPr>
            <w:r>
              <w:rPr>
                <w:i/>
                <w:color w:val="000000" w:themeColor="text1"/>
              </w:rPr>
              <w:t>Legal Profession Uniform Law Application Act 2022</w:t>
            </w:r>
            <w:r>
              <w:rPr>
                <w:color w:val="000000" w:themeColor="text1"/>
              </w:rPr>
              <w:t xml:space="preserve"> s. 424</w:t>
            </w:r>
          </w:p>
        </w:tc>
        <w:tc>
          <w:tcPr>
            <w:tcW w:w="1131" w:type="dxa"/>
            <w:tcBorders>
              <w:bottom w:val="single" w:sz="4" w:space="0" w:color="auto"/>
            </w:tcBorders>
          </w:tcPr>
          <w:p>
            <w:pPr>
              <w:pStyle w:val="nTable"/>
              <w:spacing w:after="40"/>
              <w:rPr>
                <w:snapToGrid w:val="0"/>
              </w:rPr>
            </w:pPr>
            <w:r>
              <w:rPr>
                <w:snapToGrid w:val="0"/>
              </w:rPr>
              <w:t>9 of 2022</w:t>
            </w:r>
          </w:p>
        </w:tc>
        <w:tc>
          <w:tcPr>
            <w:tcW w:w="1130" w:type="dxa"/>
            <w:tcBorders>
              <w:bottom w:val="single" w:sz="4" w:space="0" w:color="auto"/>
            </w:tcBorders>
          </w:tcPr>
          <w:p>
            <w:pPr>
              <w:pStyle w:val="nTable"/>
              <w:spacing w:after="40"/>
            </w:pPr>
            <w:r>
              <w:t>14 Apr 2022</w:t>
            </w:r>
          </w:p>
        </w:tc>
        <w:tc>
          <w:tcPr>
            <w:tcW w:w="2562" w:type="dxa"/>
            <w:tcBorders>
              <w:bottom w:val="single" w:sz="4" w:space="0" w:color="auto"/>
            </w:tcBorders>
          </w:tcPr>
          <w:p>
            <w:pPr>
              <w:pStyle w:val="nTable"/>
              <w:spacing w:after="40"/>
              <w:rPr>
                <w:snapToGrid w:val="0"/>
              </w:rPr>
            </w:pPr>
            <w:r>
              <w:rPr>
                <w:snapToGrid w:val="0"/>
              </w:rPr>
              <w:t>1 Jul 2022 (see s. 2(c) and SL 2022/113 cl. 2)</w:t>
            </w:r>
          </w:p>
        </w:tc>
      </w:tr>
    </w:tbl>
    <w:p>
      <w:pPr>
        <w:pStyle w:val="nHeading3"/>
      </w:pPr>
      <w:bookmarkStart w:id="359" w:name="_Toc132299430"/>
      <w:r>
        <w:t>Uncommenced provisions table</w:t>
      </w:r>
      <w:bookmarkEnd w:id="359"/>
    </w:p>
    <w:p>
      <w:pPr>
        <w:pStyle w:val="nStatement"/>
        <w:keepNext/>
        <w:spacing w:after="240"/>
      </w:pPr>
      <w:r>
        <w:t xml:space="preserve">To view the text of the uncommenced provisions see </w:t>
      </w:r>
      <w:r>
        <w:rPr>
          <w:i/>
        </w:rPr>
        <w:t>Acts as passed</w:t>
      </w:r>
      <w:r>
        <w:t xml:space="preserve"> on the WA Legislation website.</w:t>
      </w:r>
    </w:p>
    <w:tbl>
      <w:tblPr>
        <w:tblW w:w="7103" w:type="dxa"/>
        <w:tblInd w:w="28" w:type="dxa"/>
        <w:tblLayout w:type="fixed"/>
        <w:tblCellMar>
          <w:left w:w="56" w:type="dxa"/>
          <w:right w:w="56" w:type="dxa"/>
        </w:tblCellMar>
        <w:tblLook w:val="0000" w:firstRow="0" w:lastRow="0" w:firstColumn="0" w:lastColumn="0" w:noHBand="0" w:noVBand="0"/>
      </w:tblPr>
      <w:tblGrid>
        <w:gridCol w:w="2278"/>
        <w:gridCol w:w="1138"/>
        <w:gridCol w:w="1135"/>
        <w:gridCol w:w="2552"/>
      </w:tblGrid>
      <w:tr>
        <w:trPr>
          <w:cantSplit/>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78" w:type="dxa"/>
            <w:tcBorders>
              <w:top w:val="single" w:sz="8" w:space="0" w:color="auto"/>
            </w:tcBorders>
          </w:tcPr>
          <w:p>
            <w:pPr>
              <w:pStyle w:val="nTable"/>
              <w:spacing w:after="40"/>
              <w:rPr>
                <w:iCs/>
                <w:snapToGrid w:val="0"/>
                <w:vertAlign w:val="superscript"/>
              </w:rPr>
            </w:pPr>
            <w:r>
              <w:rPr>
                <w:i/>
                <w:snapToGrid w:val="0"/>
              </w:rPr>
              <w:t>Acts Amendment (Consent to Medical Treatment) Act 2008</w:t>
            </w:r>
            <w:r>
              <w:rPr>
                <w:iCs/>
                <w:snapToGrid w:val="0"/>
              </w:rPr>
              <w:t xml:space="preserve"> Pt. 2</w:t>
            </w:r>
          </w:p>
        </w:tc>
        <w:tc>
          <w:tcPr>
            <w:tcW w:w="1138" w:type="dxa"/>
            <w:tcBorders>
              <w:top w:val="single" w:sz="8" w:space="0" w:color="auto"/>
            </w:tcBorders>
          </w:tcPr>
          <w:p>
            <w:pPr>
              <w:pStyle w:val="nTable"/>
              <w:spacing w:after="40"/>
            </w:pPr>
            <w:r>
              <w:t>25 of 2008</w:t>
            </w:r>
          </w:p>
        </w:tc>
        <w:tc>
          <w:tcPr>
            <w:tcW w:w="1135" w:type="dxa"/>
            <w:tcBorders>
              <w:top w:val="single" w:sz="8" w:space="0" w:color="auto"/>
            </w:tcBorders>
          </w:tcPr>
          <w:p>
            <w:pPr>
              <w:pStyle w:val="nTable"/>
              <w:spacing w:after="40"/>
            </w:pPr>
            <w:r>
              <w:t>19 Jun 2008</w:t>
            </w:r>
          </w:p>
        </w:tc>
        <w:tc>
          <w:tcPr>
            <w:tcW w:w="2552" w:type="dxa"/>
            <w:tcBorders>
              <w:top w:val="single" w:sz="8" w:space="0" w:color="auto"/>
            </w:tcBorders>
          </w:tcPr>
          <w:p>
            <w:pPr>
              <w:pStyle w:val="nTable"/>
              <w:spacing w:after="40"/>
            </w:pPr>
            <w:r>
              <w:t>s. 11 (to the extent that it inserts s. 110RA, 110ZAA, 110ZAB and 110ZAC) and s. 12: to be proclaimed (see s. 2)</w:t>
            </w:r>
          </w:p>
        </w:tc>
      </w:tr>
      <w:tr>
        <w:trPr>
          <w:cantSplit/>
        </w:trPr>
        <w:tc>
          <w:tcPr>
            <w:tcW w:w="2278" w:type="dxa"/>
          </w:tcPr>
          <w:p>
            <w:pPr>
              <w:pStyle w:val="nTable"/>
              <w:spacing w:after="40"/>
              <w:rPr>
                <w:snapToGrid w:val="0"/>
              </w:rPr>
            </w:pPr>
            <w:r>
              <w:rPr>
                <w:i/>
                <w:color w:val="000000" w:themeColor="text1"/>
              </w:rPr>
              <w:t>Guardianship and Administration Amendment (Medical Research) Act 2020</w:t>
            </w:r>
            <w:r>
              <w:rPr>
                <w:color w:val="000000" w:themeColor="text1"/>
              </w:rPr>
              <w:t xml:space="preserve"> s. 13 and 15</w:t>
            </w:r>
          </w:p>
        </w:tc>
        <w:tc>
          <w:tcPr>
            <w:tcW w:w="1138" w:type="dxa"/>
          </w:tcPr>
          <w:p>
            <w:pPr>
              <w:pStyle w:val="nTable"/>
              <w:spacing w:after="40"/>
            </w:pPr>
            <w:r>
              <w:rPr>
                <w:snapToGrid w:val="0"/>
              </w:rPr>
              <w:t>14 of 2020</w:t>
            </w:r>
          </w:p>
        </w:tc>
        <w:tc>
          <w:tcPr>
            <w:tcW w:w="1135" w:type="dxa"/>
          </w:tcPr>
          <w:p>
            <w:pPr>
              <w:pStyle w:val="nTable"/>
              <w:spacing w:after="40"/>
            </w:pPr>
            <w:r>
              <w:t>6 Apr 2020</w:t>
            </w:r>
          </w:p>
        </w:tc>
        <w:tc>
          <w:tcPr>
            <w:tcW w:w="2552" w:type="dxa"/>
          </w:tcPr>
          <w:p>
            <w:pPr>
              <w:pStyle w:val="nTable"/>
              <w:spacing w:after="40"/>
            </w:pPr>
            <w:r>
              <w:t>7 Apr 2024 (see s. 2(b))</w:t>
            </w:r>
          </w:p>
        </w:tc>
      </w:tr>
      <w:tr>
        <w:trPr>
          <w:cantSplit/>
        </w:trPr>
        <w:tc>
          <w:tcPr>
            <w:tcW w:w="2278" w:type="dxa"/>
            <w:tcBorders>
              <w:bottom w:val="single" w:sz="4" w:space="0" w:color="auto"/>
            </w:tcBorders>
          </w:tcPr>
          <w:p>
            <w:pPr>
              <w:pStyle w:val="nTable"/>
              <w:spacing w:after="40"/>
              <w:rPr>
                <w:color w:val="000000" w:themeColor="text1"/>
              </w:rPr>
            </w:pPr>
            <w:r>
              <w:rPr>
                <w:i/>
                <w:color w:val="000000" w:themeColor="text1"/>
              </w:rPr>
              <w:lastRenderedPageBreak/>
              <w:t>Criminal Law (Mental Impairment) Act 2023</w:t>
            </w:r>
            <w:r>
              <w:rPr>
                <w:color w:val="000000" w:themeColor="text1"/>
              </w:rPr>
              <w:t xml:space="preserve"> Pt. 15 Div. 16</w:t>
            </w:r>
          </w:p>
        </w:tc>
        <w:tc>
          <w:tcPr>
            <w:tcW w:w="1138" w:type="dxa"/>
            <w:tcBorders>
              <w:bottom w:val="single" w:sz="4" w:space="0" w:color="auto"/>
            </w:tcBorders>
          </w:tcPr>
          <w:p>
            <w:pPr>
              <w:pStyle w:val="nTable"/>
              <w:spacing w:after="40"/>
              <w:rPr>
                <w:snapToGrid w:val="0"/>
              </w:rPr>
            </w:pPr>
            <w:r>
              <w:rPr>
                <w:snapToGrid w:val="0"/>
              </w:rPr>
              <w:t>10 of 2023</w:t>
            </w:r>
          </w:p>
        </w:tc>
        <w:tc>
          <w:tcPr>
            <w:tcW w:w="1135" w:type="dxa"/>
            <w:tcBorders>
              <w:bottom w:val="single" w:sz="4" w:space="0" w:color="auto"/>
            </w:tcBorders>
          </w:tcPr>
          <w:p>
            <w:pPr>
              <w:pStyle w:val="nTable"/>
              <w:spacing w:after="40"/>
            </w:pPr>
            <w:r>
              <w:t>13 Apr 2023</w:t>
            </w:r>
          </w:p>
        </w:tc>
        <w:tc>
          <w:tcPr>
            <w:tcW w:w="2552" w:type="dxa"/>
            <w:tcBorders>
              <w:bottom w:val="single" w:sz="4" w:space="0" w:color="auto"/>
            </w:tcBorders>
          </w:tcPr>
          <w:p>
            <w:pPr>
              <w:pStyle w:val="nTable"/>
              <w:spacing w:after="40"/>
            </w:pPr>
            <w:r>
              <w:t>To be proclaimed (see s. 2(b))</w:t>
            </w:r>
          </w:p>
        </w:tc>
      </w:tr>
    </w:tbl>
    <w:p>
      <w:pPr>
        <w:pStyle w:val="nHeading3"/>
      </w:pPr>
      <w:bookmarkStart w:id="360" w:name="_Toc132299431"/>
      <w:r>
        <w:t>Other notes</w:t>
      </w:r>
      <w:bookmarkEnd w:id="360"/>
    </w:p>
    <w:p>
      <w:pPr>
        <w:pStyle w:val="nNote"/>
        <w:spacing w:before="160"/>
        <w:rPr>
          <w:iCs/>
          <w:snapToGrid w:val="0"/>
        </w:rPr>
      </w:pPr>
      <w:r>
        <w:rPr>
          <w:snapToGrid w:val="0"/>
          <w:vertAlign w:val="superscript"/>
        </w:rPr>
        <w:t>1-3</w:t>
      </w:r>
      <w:r>
        <w:rPr>
          <w:snapToGrid w:val="0"/>
          <w:vertAlign w:val="superscript"/>
        </w:rPr>
        <w:tab/>
      </w:r>
      <w:r>
        <w:rPr>
          <w:snapToGrid w:val="0"/>
        </w:rPr>
        <w:t>Footnotes no longer applicable.</w:t>
      </w:r>
    </w:p>
    <w:p>
      <w:pPr>
        <w:pStyle w:val="nNote"/>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pPr>
        <w:pStyle w:val="nNote"/>
        <w:keepLines/>
        <w:rPr>
          <w:snapToGrid w:val="0"/>
        </w:rPr>
      </w:pPr>
      <w:r>
        <w:rPr>
          <w:snapToGrid w:val="0"/>
          <w:vertAlign w:val="superscript"/>
        </w:rPr>
        <w:t>5, 6</w:t>
      </w:r>
      <w:r>
        <w:rPr>
          <w:snapToGrid w:val="0"/>
          <w:vertAlign w:val="superscript"/>
        </w:rPr>
        <w:tab/>
      </w:r>
      <w:r>
        <w:rPr>
          <w:snapToGrid w:val="0"/>
        </w:rPr>
        <w:t>Footnotes no longer applicable.</w:t>
      </w:r>
    </w:p>
    <w:p>
      <w:pPr>
        <w:pStyle w:val="nNote"/>
        <w:spacing w:before="200"/>
      </w:pPr>
      <w:r>
        <w:rPr>
          <w:vertAlign w:val="superscript"/>
        </w:rPr>
        <w:t>7</w:t>
      </w:r>
      <w:r>
        <w:tab/>
        <w:t xml:space="preserve">Repealed by the </w:t>
      </w:r>
      <w:r>
        <w:rPr>
          <w:i/>
        </w:rPr>
        <w:t>Mental Health (Consequential Provisions) Act 1996</w:t>
      </w:r>
      <w:r>
        <w:t>.</w:t>
      </w:r>
    </w:p>
    <w:p>
      <w:pPr>
        <w:pStyle w:val="nNote"/>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BlankClose"/>
      </w:pPr>
    </w:p>
    <w:p>
      <w:pPr>
        <w:pStyle w:val="nNote"/>
        <w:rPr>
          <w:snapToGrid w:val="0"/>
        </w:rPr>
      </w:pPr>
      <w:r>
        <w:rPr>
          <w:snapToGrid w:val="0"/>
          <w:vertAlign w:val="superscript"/>
        </w:rPr>
        <w:lastRenderedPageBreak/>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Note"/>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11</w:t>
      </w:r>
      <w:r>
        <w:tab/>
        <w:t xml:space="preserve">The </w:t>
      </w:r>
      <w:r>
        <w:rPr>
          <w:i/>
        </w:rPr>
        <w:t>State Administrative Tribunal Regulations 2004</w:t>
      </w:r>
      <w:r>
        <w:t xml:space="preserve"> r. 52 reads as follows:</w:t>
      </w:r>
    </w:p>
    <w:p>
      <w:pPr>
        <w:pStyle w:val="BlankOpen"/>
      </w:pPr>
    </w:p>
    <w:p>
      <w:pPr>
        <w:pStyle w:val="nzHeading5"/>
      </w:pPr>
      <w:r>
        <w:rPr>
          <w:rStyle w:val="CharSectno"/>
        </w:rPr>
        <w:t>52</w:t>
      </w:r>
      <w:r>
        <w:t>.</w:t>
      </w:r>
      <w:r>
        <w:tab/>
      </w:r>
      <w:r>
        <w:rPr>
          <w:i/>
        </w:rPr>
        <w:t>Guardianship and Administration Act 1990</w:t>
      </w:r>
    </w:p>
    <w:p>
      <w:pPr>
        <w:pStyle w:val="nzSubsection"/>
        <w:keepNext/>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lastRenderedPageBreak/>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BlankClose"/>
      </w:pPr>
    </w:p>
    <w:p>
      <w:pPr>
        <w:pStyle w:val="nNote"/>
      </w:pPr>
      <w:r>
        <w:rPr>
          <w:vertAlign w:val="superscript"/>
        </w:rPr>
        <w:t>12</w:t>
      </w:r>
      <w:r>
        <w:tab/>
        <w:t xml:space="preserve">The </w:t>
      </w:r>
      <w:r>
        <w:rPr>
          <w:i/>
          <w:iCs/>
        </w:rPr>
        <w:t xml:space="preserve">Acts Amendment (Consent to Medical Treatment) Act 2008 </w:t>
      </w:r>
      <w:r>
        <w:t>s. 14 reads as follows:</w:t>
      </w:r>
    </w:p>
    <w:p>
      <w:pPr>
        <w:pStyle w:val="BlankOpen"/>
      </w:pPr>
    </w:p>
    <w:p>
      <w:pPr>
        <w:pStyle w:val="nzHeading5"/>
      </w:pPr>
      <w:r>
        <w:t>14.</w:t>
      </w:r>
      <w:r>
        <w:tab/>
        <w:t xml:space="preserve">Review of the </w:t>
      </w:r>
      <w:r>
        <w:rPr>
          <w:i/>
        </w:rPr>
        <w:t>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BlankClose"/>
      </w:pPr>
    </w:p>
    <w:p/>
    <w:p>
      <w:pPr>
        <w:sectPr>
          <w:headerReference w:type="even" r:id="rId33"/>
          <w:headerReference w:type="default" r:id="rId34"/>
          <w:pgSz w:w="11907" w:h="16840" w:code="9"/>
          <w:pgMar w:top="2376" w:right="2405" w:bottom="3542" w:left="2405" w:header="706" w:footer="3544" w:gutter="0"/>
          <w:cols w:space="720"/>
          <w:noEndnote/>
          <w:docGrid w:linePitch="326"/>
        </w:sectPr>
      </w:pPr>
    </w:p>
    <w:p>
      <w:pPr>
        <w:pStyle w:val="nHeading2"/>
        <w:rPr>
          <w:sz w:val="28"/>
        </w:rPr>
      </w:pPr>
      <w:bookmarkStart w:id="362" w:name="_Toc132193583"/>
      <w:bookmarkStart w:id="363" w:name="_Toc132193833"/>
      <w:bookmarkStart w:id="364" w:name="_Toc132299432"/>
      <w:r>
        <w:rPr>
          <w:sz w:val="28"/>
        </w:rPr>
        <w:lastRenderedPageBreak/>
        <w:t>Defined terms</w:t>
      </w:r>
      <w:bookmarkEnd w:id="362"/>
      <w:bookmarkEnd w:id="363"/>
      <w:bookmarkEnd w:id="3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114(4)</w:t>
      </w:r>
    </w:p>
    <w:p>
      <w:pPr>
        <w:pStyle w:val="DefinedTerms"/>
      </w:pPr>
      <w:r>
        <w:t>administration order</w:t>
      </w:r>
      <w:r>
        <w:tab/>
        <w:t>3(1)</w:t>
      </w:r>
    </w:p>
    <w:p>
      <w:pPr>
        <w:pStyle w:val="DefinedTerms"/>
      </w:pPr>
      <w:r>
        <w:t>administrator</w:t>
      </w:r>
      <w:r>
        <w:tab/>
        <w:t>3(1)</w:t>
      </w:r>
    </w:p>
    <w:p>
      <w:pPr>
        <w:pStyle w:val="DefinedTerms"/>
      </w:pPr>
      <w:r>
        <w:t>advance health directive</w:t>
      </w:r>
      <w:r>
        <w:tab/>
        <w:t>3(1), 110ZH</w:t>
      </w:r>
    </w:p>
    <w:p>
      <w:pPr>
        <w:pStyle w:val="DefinedTerms"/>
      </w:pPr>
      <w:r>
        <w:t>application</w:t>
      </w:r>
      <w:r>
        <w:tab/>
        <w:t>3(1)</w:t>
      </w:r>
    </w:p>
    <w:p>
      <w:pPr>
        <w:pStyle w:val="DefinedTerms"/>
      </w:pPr>
      <w:r>
        <w:t>appointee</w:t>
      </w:r>
      <w:r>
        <w:tab/>
        <w:t>110E(1)</w:t>
      </w:r>
    </w:p>
    <w:p>
      <w:pPr>
        <w:pStyle w:val="DefinedTerms"/>
      </w:pPr>
      <w:r>
        <w:t>appointor</w:t>
      </w:r>
      <w:r>
        <w:tab/>
        <w:t>110A</w:t>
      </w:r>
    </w:p>
    <w:p>
      <w:pPr>
        <w:pStyle w:val="DefinedTerms"/>
      </w:pPr>
      <w:r>
        <w:t>corporate trustee</w:t>
      </w:r>
      <w:r>
        <w:tab/>
        <w:t>3(1)</w:t>
      </w:r>
    </w:p>
    <w:p>
      <w:pPr>
        <w:pStyle w:val="DefinedTerms"/>
      </w:pPr>
      <w:r>
        <w:t>Court</w:t>
      </w:r>
      <w:r>
        <w:tab/>
        <w:t>18(1)</w:t>
      </w:r>
    </w:p>
    <w:p>
      <w:pPr>
        <w:pStyle w:val="DefinedTerms"/>
      </w:pPr>
      <w:r>
        <w:t>Deputy President</w:t>
      </w:r>
      <w:r>
        <w:tab/>
        <w:t>3(1)</w:t>
      </w:r>
    </w:p>
    <w:p>
      <w:pPr>
        <w:pStyle w:val="DefinedTerms"/>
      </w:pPr>
      <w:r>
        <w:t>designated country</w:t>
      </w:r>
      <w:r>
        <w:tab/>
        <w:t>67(5)</w:t>
      </w:r>
    </w:p>
    <w:p>
      <w:pPr>
        <w:pStyle w:val="DefinedTerms"/>
      </w:pPr>
      <w:r>
        <w:t>determination</w:t>
      </w:r>
      <w:r>
        <w:tab/>
        <w:t>3(1)</w:t>
      </w:r>
    </w:p>
    <w:p>
      <w:pPr>
        <w:pStyle w:val="DefinedTerms"/>
      </w:pPr>
      <w:r>
        <w:t>donee</w:t>
      </w:r>
      <w:r>
        <w:tab/>
        <w:t>102</w:t>
      </w:r>
    </w:p>
    <w:p>
      <w:pPr>
        <w:pStyle w:val="DefinedTerms"/>
      </w:pPr>
      <w:r>
        <w:t>electroconvulsive therapy</w:t>
      </w:r>
      <w:r>
        <w:tab/>
        <w:t>3(1)</w:t>
      </w:r>
    </w:p>
    <w:p>
      <w:pPr>
        <w:pStyle w:val="DefinedTerms"/>
      </w:pPr>
      <w:r>
        <w:t>enduring guardian</w:t>
      </w:r>
      <w:r>
        <w:tab/>
        <w:t>3(1)</w:t>
      </w:r>
    </w:p>
    <w:p>
      <w:pPr>
        <w:pStyle w:val="DefinedTerms"/>
      </w:pPr>
      <w:r>
        <w:t>enduring power of attorney</w:t>
      </w:r>
      <w:r>
        <w:tab/>
        <w:t>102</w:t>
      </w:r>
    </w:p>
    <w:p>
      <w:pPr>
        <w:pStyle w:val="DefinedTerms"/>
      </w:pPr>
      <w:r>
        <w:t>enduring power of guardianship</w:t>
      </w:r>
      <w:r>
        <w:tab/>
        <w:t>3(1)</w:t>
      </w:r>
    </w:p>
    <w:p>
      <w:pPr>
        <w:pStyle w:val="DefinedTerms"/>
      </w:pPr>
      <w:r>
        <w:t>executive officer</w:t>
      </w:r>
      <w:r>
        <w:tab/>
        <w:t>3(1)</w:t>
      </w:r>
    </w:p>
    <w:p>
      <w:pPr>
        <w:pStyle w:val="DefinedTerms"/>
      </w:pPr>
      <w:r>
        <w:t>foreign administrator</w:t>
      </w:r>
      <w:r>
        <w:tab/>
        <w:t>83B(4)</w:t>
      </w:r>
    </w:p>
    <w:p>
      <w:pPr>
        <w:pStyle w:val="DefinedTerms"/>
      </w:pPr>
      <w:r>
        <w:t>Full Tribunal</w:t>
      </w:r>
      <w:r>
        <w:tab/>
        <w:t>3(1)</w:t>
      </w:r>
    </w:p>
    <w:p>
      <w:pPr>
        <w:pStyle w:val="DefinedTerms"/>
      </w:pPr>
      <w:r>
        <w:t>guardian</w:t>
      </w:r>
      <w:r>
        <w:tab/>
        <w:t>3(1)</w:t>
      </w:r>
    </w:p>
    <w:p>
      <w:pPr>
        <w:pStyle w:val="DefinedTerms"/>
      </w:pPr>
      <w:r>
        <w:t>guardianship order</w:t>
      </w:r>
      <w:r>
        <w:tab/>
        <w:t>3(1)</w:t>
      </w:r>
    </w:p>
    <w:p>
      <w:pPr>
        <w:pStyle w:val="DefinedTerms"/>
      </w:pPr>
      <w:r>
        <w:t>Health Minister</w:t>
      </w:r>
      <w:r>
        <w:tab/>
        <w:t>110ZO</w:t>
      </w:r>
    </w:p>
    <w:p>
      <w:pPr>
        <w:pStyle w:val="DefinedTerms"/>
      </w:pPr>
      <w:r>
        <w:t>health professional</w:t>
      </w:r>
      <w:r>
        <w:tab/>
        <w:t>110ZH</w:t>
      </w:r>
    </w:p>
    <w:p>
      <w:pPr>
        <w:pStyle w:val="DefinedTerms"/>
      </w:pPr>
      <w:r>
        <w:t>HREC</w:t>
      </w:r>
      <w:r>
        <w:tab/>
        <w:t>110ZO</w:t>
      </w:r>
    </w:p>
    <w:p>
      <w:pPr>
        <w:pStyle w:val="DefinedTerms"/>
      </w:pPr>
      <w:r>
        <w:t>independent medical practitioner</w:t>
      </w:r>
      <w:r>
        <w:tab/>
        <w:t>110ZO</w:t>
      </w:r>
    </w:p>
    <w:p>
      <w:pPr>
        <w:pStyle w:val="DefinedTerms"/>
      </w:pPr>
      <w:r>
        <w:t>lead researcher</w:t>
      </w:r>
      <w:r>
        <w:tab/>
        <w:t>110ZO</w:t>
      </w:r>
    </w:p>
    <w:p>
      <w:pPr>
        <w:pStyle w:val="DefinedTerms"/>
      </w:pPr>
      <w:r>
        <w:t>life sustaining measure</w:t>
      </w:r>
      <w:r>
        <w:tab/>
        <w:t>3(1)</w:t>
      </w:r>
    </w:p>
    <w:p>
      <w:pPr>
        <w:pStyle w:val="DefinedTerms"/>
      </w:pPr>
      <w:r>
        <w:t>medical practitioner</w:t>
      </w:r>
      <w:r>
        <w:tab/>
        <w:t>110ZO</w:t>
      </w:r>
    </w:p>
    <w:p>
      <w:pPr>
        <w:pStyle w:val="DefinedTerms"/>
      </w:pPr>
      <w:r>
        <w:t>medical research</w:t>
      </w:r>
      <w:r>
        <w:tab/>
        <w:t>3(1), 3AA(1), 3AA(2), 3AA(3)</w:t>
      </w:r>
    </w:p>
    <w:p>
      <w:pPr>
        <w:pStyle w:val="DefinedTerms"/>
      </w:pPr>
      <w:r>
        <w:t>member</w:t>
      </w:r>
      <w:r>
        <w:tab/>
        <w:t>3(1)</w:t>
      </w:r>
    </w:p>
    <w:p>
      <w:pPr>
        <w:pStyle w:val="DefinedTerms"/>
      </w:pPr>
      <w:r>
        <w:t>mental disability</w:t>
      </w:r>
      <w:r>
        <w:tab/>
        <w:t>3(1)</w:t>
      </w:r>
    </w:p>
    <w:p>
      <w:pPr>
        <w:pStyle w:val="DefinedTerms"/>
      </w:pPr>
      <w:r>
        <w:t>National Statement</w:t>
      </w:r>
      <w:r>
        <w:tab/>
        <w:t>110ZO</w:t>
      </w:r>
    </w:p>
    <w:p>
      <w:pPr>
        <w:pStyle w:val="DefinedTerms"/>
      </w:pPr>
      <w:r>
        <w:t>nearest relative</w:t>
      </w:r>
      <w:r>
        <w:tab/>
        <w:t>3(1)</w:t>
      </w:r>
    </w:p>
    <w:p>
      <w:pPr>
        <w:pStyle w:val="DefinedTerms"/>
      </w:pPr>
      <w:r>
        <w:t>palliative care</w:t>
      </w:r>
      <w:r>
        <w:tab/>
        <w:t>3(1)</w:t>
      </w:r>
    </w:p>
    <w:p>
      <w:pPr>
        <w:pStyle w:val="DefinedTerms"/>
      </w:pPr>
      <w:r>
        <w:t>party</w:t>
      </w:r>
      <w:r>
        <w:tab/>
        <w:t>3(1)</w:t>
      </w:r>
    </w:p>
    <w:p>
      <w:pPr>
        <w:pStyle w:val="DefinedTerms"/>
      </w:pPr>
      <w:r>
        <w:t>patient</w:t>
      </w:r>
      <w:r>
        <w:tab/>
        <w:t>110ZC, 110ZH</w:t>
      </w:r>
    </w:p>
    <w:p>
      <w:pPr>
        <w:pStyle w:val="DefinedTerms"/>
      </w:pPr>
      <w:r>
        <w:t>personal information</w:t>
      </w:r>
      <w:r>
        <w:tab/>
        <w:t>3(1)</w:t>
      </w:r>
    </w:p>
    <w:p>
      <w:pPr>
        <w:pStyle w:val="DefinedTerms"/>
      </w:pPr>
      <w:r>
        <w:t>placebo</w:t>
      </w:r>
      <w:r>
        <w:tab/>
        <w:t>3(1)</w:t>
      </w:r>
    </w:p>
    <w:p>
      <w:pPr>
        <w:pStyle w:val="DefinedTerms"/>
      </w:pPr>
      <w:r>
        <w:lastRenderedPageBreak/>
        <w:t>prescribed day</w:t>
      </w:r>
      <w:r>
        <w:tab/>
        <w:t>Sch. 5 cl. 7(1)</w:t>
      </w:r>
    </w:p>
    <w:p>
      <w:pPr>
        <w:pStyle w:val="DefinedTerms"/>
      </w:pPr>
      <w:r>
        <w:t>President</w:t>
      </w:r>
      <w:r>
        <w:tab/>
        <w:t>3(1)</w:t>
      </w:r>
    </w:p>
    <w:p>
      <w:pPr>
        <w:pStyle w:val="DefinedTerms"/>
      </w:pPr>
      <w:r>
        <w:t>procedure for the sterilisation</w:t>
      </w:r>
      <w:r>
        <w:tab/>
        <w:t>56, 110ZT(1)</w:t>
      </w:r>
    </w:p>
    <w:p>
      <w:pPr>
        <w:pStyle w:val="DefinedTerms"/>
      </w:pPr>
      <w:r>
        <w:t>Public Advocate</w:t>
      </w:r>
      <w:r>
        <w:tab/>
        <w:t>3(1)</w:t>
      </w:r>
    </w:p>
    <w:p>
      <w:pPr>
        <w:pStyle w:val="DefinedTerms"/>
      </w:pPr>
      <w:r>
        <w:t>Public Trustee</w:t>
      </w:r>
      <w:r>
        <w:tab/>
        <w:t>3(1)</w:t>
      </w:r>
    </w:p>
    <w:p>
      <w:pPr>
        <w:pStyle w:val="DefinedTerms"/>
      </w:pPr>
      <w:r>
        <w:t>relevant finding</w:t>
      </w:r>
      <w:r>
        <w:tab/>
        <w:t>67(5)</w:t>
      </w:r>
    </w:p>
    <w:p>
      <w:pPr>
        <w:pStyle w:val="DefinedTerms"/>
      </w:pPr>
      <w:r>
        <w:t>relevant official</w:t>
      </w:r>
      <w:r>
        <w:tab/>
        <w:t>83C(4)</w:t>
      </w:r>
    </w:p>
    <w:p>
      <w:pPr>
        <w:pStyle w:val="DefinedTerms"/>
      </w:pPr>
      <w:r>
        <w:t>report request</w:t>
      </w:r>
      <w:r>
        <w:tab/>
        <w:t>110ZZA(3)</w:t>
      </w:r>
    </w:p>
    <w:p>
      <w:pPr>
        <w:pStyle w:val="DefinedTerms"/>
      </w:pPr>
      <w:r>
        <w:t>represented person</w:t>
      </w:r>
      <w:r>
        <w:tab/>
        <w:t>3(1), 56</w:t>
      </w:r>
    </w:p>
    <w:p>
      <w:pPr>
        <w:pStyle w:val="DefinedTerms"/>
      </w:pPr>
      <w:r>
        <w:t>research candidate</w:t>
      </w:r>
      <w:r>
        <w:tab/>
        <w:t>3(1)</w:t>
      </w:r>
    </w:p>
    <w:p>
      <w:pPr>
        <w:pStyle w:val="DefinedTerms"/>
      </w:pPr>
      <w:r>
        <w:t>research decision</w:t>
      </w:r>
      <w:r>
        <w:tab/>
        <w:t>3(1)</w:t>
      </w:r>
    </w:p>
    <w:p>
      <w:pPr>
        <w:pStyle w:val="DefinedTerms"/>
      </w:pPr>
      <w:r>
        <w:t>research decision</w:t>
      </w:r>
      <w:r>
        <w:noBreakHyphen/>
        <w:t>maker</w:t>
      </w:r>
      <w:r>
        <w:tab/>
        <w:t>3(1), 110ZP(1)</w:t>
      </w:r>
    </w:p>
    <w:p>
      <w:pPr>
        <w:pStyle w:val="DefinedTerms"/>
      </w:pPr>
      <w:r>
        <w:t>researcher</w:t>
      </w:r>
      <w:r>
        <w:tab/>
        <w:t>110ZO</w:t>
      </w:r>
    </w:p>
    <w:p>
      <w:pPr>
        <w:pStyle w:val="DefinedTerms"/>
      </w:pPr>
      <w:r>
        <w:t>review application</w:t>
      </w:r>
      <w:r>
        <w:tab/>
        <w:t>110ZO</w:t>
      </w:r>
    </w:p>
    <w:p>
      <w:pPr>
        <w:pStyle w:val="DefinedTerms"/>
      </w:pPr>
      <w:r>
        <w:t>reviewed decision</w:t>
      </w:r>
      <w:r>
        <w:tab/>
        <w:t>110ZO</w:t>
      </w:r>
    </w:p>
    <w:p>
      <w:pPr>
        <w:pStyle w:val="DefinedTerms"/>
      </w:pPr>
      <w:r>
        <w:t>substitute enduring guardian</w:t>
      </w:r>
      <w:r>
        <w:tab/>
        <w:t>3(1)</w:t>
      </w:r>
    </w:p>
    <w:p>
      <w:pPr>
        <w:pStyle w:val="DefinedTerms"/>
      </w:pPr>
      <w:r>
        <w:t>take research action</w:t>
      </w:r>
      <w:r>
        <w:tab/>
        <w:t>110ZX(1)</w:t>
      </w:r>
    </w:p>
    <w:p>
      <w:pPr>
        <w:pStyle w:val="DefinedTerms"/>
      </w:pPr>
      <w:r>
        <w:t>take treatment action</w:t>
      </w:r>
      <w:r>
        <w:tab/>
        <w:t>110ZK(1)</w:t>
      </w:r>
    </w:p>
    <w:p>
      <w:pPr>
        <w:pStyle w:val="DefinedTerms"/>
      </w:pPr>
      <w:r>
        <w:t>treatment</w:t>
      </w:r>
      <w:r>
        <w:tab/>
        <w:t>3(1)</w:t>
      </w:r>
    </w:p>
    <w:p>
      <w:pPr>
        <w:pStyle w:val="DefinedTerms"/>
      </w:pPr>
      <w:r>
        <w:t>treatment decision</w:t>
      </w:r>
      <w:r>
        <w:tab/>
        <w:t>3(1)</w:t>
      </w:r>
    </w:p>
    <w:p>
      <w:pPr>
        <w:pStyle w:val="DefinedTerms"/>
      </w:pPr>
      <w:r>
        <w:t>urgent medical research decision</w:t>
      </w:r>
      <w:r>
        <w:tab/>
        <w:t>110ZO</w:t>
      </w:r>
    </w:p>
    <w:p>
      <w:pPr>
        <w:pStyle w:val="DefinedTerms"/>
      </w:pPr>
      <w:r>
        <w:t>urgent treatment</w:t>
      </w:r>
      <w:r>
        <w:tab/>
        <w:t>110ZH</w:t>
      </w:r>
    </w:p>
    <w:p/>
    <w:p>
      <w:pPr>
        <w:sectPr>
          <w:headerReference w:type="even" r:id="rId35"/>
          <w:headerReference w:type="default" r:id="rId36"/>
          <w:pgSz w:w="11907" w:h="16840" w:code="9"/>
          <w:pgMar w:top="2381" w:right="2409" w:bottom="3543" w:left="2409" w:header="720" w:footer="3544" w:gutter="0"/>
          <w:cols w:space="720"/>
          <w:noEndnote/>
          <w:docGrid w:linePitch="326"/>
        </w:sectPr>
      </w:pPr>
    </w:p>
    <w:p>
      <w:pPr>
        <w:spacing w:after="40"/>
      </w:pPr>
    </w:p>
    <w:sectPr>
      <w:headerReference w:type="even" r:id="rId37"/>
      <w:headerReference w:type="default" r:id="rId38"/>
      <w:footerReference w:type="even" r:id="rId39"/>
      <w:footerReference w:type="default" r:id="rId40"/>
      <w:headerReference w:type="first" r:id="rId41"/>
      <w:footerReference w:type="first" r:id="rId42"/>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bookmarkStart w:id="325" w:name="Schedule"/>
    <w:bookmarkEnd w:id="3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proceedings of State Administrative Tribunal</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as to proceedings of State Administrative Tribunal</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for enduring power of attorney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ind w:right="315"/>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for enduring power of attorney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ind w:left="567"/>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61" w:name="Compilation"/>
    <w:bookmarkEnd w:id="3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65" w:name="DefinedTerms"/>
    <w:bookmarkEnd w:id="365"/>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6" w:name="Coversheet"/>
    <w:bookmarkEnd w:id="36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D0DE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8475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04D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60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3A35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BC26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AA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ACA4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F852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6649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9DE8C5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15254"/>
    <w:docVar w:name="WAFER_20140128102602" w:val="RemoveTocBookmarks,RemoveUnusedBookmarks,RemoveLanguageTags,UsedStyles,ResetPageSize,UpdateArrangement"/>
    <w:docVar w:name="WAFER_20140128102602_GUID" w:val="a795142a-09d6-4add-8b19-0ef529083058"/>
    <w:docVar w:name="WAFER_20140128102614" w:val="RemoveTocBookmarks,RunningHeaders"/>
    <w:docVar w:name="WAFER_20140128102614_GUID" w:val="6256d5a9-2cad-4c1e-941a-7ca7ebfbb313"/>
    <w:docVar w:name="WAFER_20141104172538" w:val="RemoveTocBookmarks,RemoveUnusedBookmarks,RemoveLanguageTags,UsedStyles,ResetPageSize,UpdateArrangement"/>
    <w:docVar w:name="WAFER_20141104172538_GUID" w:val="42e6d4ea-540b-4bc8-a5a3-981bec00fe12"/>
    <w:docVar w:name="WAFER_20150512151304" w:val="ResetPageSize,UpdateArrangement,UpdateNTable"/>
    <w:docVar w:name="WAFER_20150512151304_GUID" w:val="fe43496a-7cd6-4fba-b639-ac60ec529e58"/>
    <w:docVar w:name="WAFER_20151105132048" w:val="UpdateStyles,UsedStyles"/>
    <w:docVar w:name="WAFER_20151105132048_GUID" w:val="3c4bbd94-dc46-4106-b3d1-cc826ce900e5"/>
    <w:docVar w:name="WAFER_20191220111350" w:val="RemoveTocBookmarks,RemoveUnusedBookmarks,RemoveLanguageTags,ResetPageSize,RunningHeaders,UpdateStyles,UsedStyles"/>
    <w:docVar w:name="WAFER_20191220111350_GUID" w:val="e06d3b40-539c-4532-8034-5a530124f5bc"/>
    <w:docVar w:name="WAFER_202002101543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4324_GUID" w:val="e7891727-48de-43c2-9082-133c18223edb"/>
    <w:docVar w:name="WAFER_20200407102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407102852_GUID" w:val="9acd8b7f-e1b6-4eca-b52e-e7bd828534fc"/>
    <w:docVar w:name="WAFER_2021061711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908_GUID" w:val="a5b5dab8-42e2-455d-9ec9-9a1b37c3d84b"/>
    <w:docVar w:name="WAFER_202106251445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31_GUID" w:val="1e806d13-42a4-4b27-9e9f-45d6c52ff7c3"/>
    <w:docVar w:name="WAFER_202204081549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953_GUID" w:val="99fc1bfd-1748-4242-8a0f-0df2bca627d4"/>
    <w:docVar w:name="WAFER_202206290952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5240_GUID" w:val="3e4d3338-2059-45eb-bd43-b12821f296bb"/>
    <w:docVar w:name="WAFER_202304121152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254_GUID" w:val="5b3de0cd-d8fd-4a3d-beca-526ec38a48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2.jpeg"/><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AC3F2-9CC5-40D7-A4F3-494E4858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40461</Words>
  <Characters>198263</Characters>
  <Application>Microsoft Office Word</Application>
  <DocSecurity>0</DocSecurity>
  <Lines>5358</Lines>
  <Paragraphs>3141</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235583</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1990 - 05-p0-00</dc:title>
  <dc:subject/>
  <dc:creator/>
  <cp:keywords/>
  <dc:description/>
  <cp:lastModifiedBy>Master Repository Process</cp:lastModifiedBy>
  <cp:revision>4</cp:revision>
  <cp:lastPrinted>2014-09-11T02:46:00Z</cp:lastPrinted>
  <dcterms:created xsi:type="dcterms:W3CDTF">2023-04-14T01:21:00Z</dcterms:created>
  <dcterms:modified xsi:type="dcterms:W3CDTF">2023-04-14T01:21:00Z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DocumentType">
    <vt:lpwstr>Act</vt:lpwstr>
  </property>
  <property fmtid="{D5CDD505-2E9C-101B-9397-08002B2CF9AE}" pid="4" name="OwlsUID">
    <vt:i4>336</vt:i4>
  </property>
  <property fmtid="{D5CDD505-2E9C-101B-9397-08002B2CF9AE}" pid="5" name="ReprintNo">
    <vt:lpwstr>5</vt:lpwstr>
  </property>
  <property fmtid="{D5CDD505-2E9C-101B-9397-08002B2CF9AE}" pid="6" name="AsAtDate">
    <vt:lpwstr>13 Apr 2023</vt:lpwstr>
  </property>
  <property fmtid="{D5CDD505-2E9C-101B-9397-08002B2CF9AE}" pid="7" name="Suffix">
    <vt:lpwstr>05-p0-00</vt:lpwstr>
  </property>
  <property fmtid="{D5CDD505-2E9C-101B-9397-08002B2CF9AE}" pid="8" name="CommencementDate">
    <vt:lpwstr>20230413</vt:lpwstr>
  </property>
</Properties>
</file>