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Corporations Act 2005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(South West Interconnected System Prescribed Customers) Order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(South West Interconnected System Prescribed Customers) Order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_Toc134183191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_Toc134183192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Declaration of class of customers (Act s. 54(4)(a))</w:t>
      </w:r>
      <w:r>
        <w:tab/>
      </w:r>
      <w:r>
        <w:fldChar w:fldCharType="begin"/>
      </w:r>
      <w:r>
        <w:instrText xml:space="preserve"> PAGEREF _Toc134183193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Order revoked</w:t>
      </w:r>
      <w:r>
        <w:tab/>
      </w:r>
      <w:r>
        <w:fldChar w:fldCharType="begin"/>
      </w:r>
      <w:r>
        <w:instrText xml:space="preserve"> PAGEREF _Toc134183194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_Toc134183196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Electricity Corporations Act 2005</w:t>
      </w:r>
    </w:p>
    <w:p>
      <w:pPr>
        <w:pStyle w:val="NameofActReg"/>
      </w:pPr>
      <w:r>
        <w:t>Electricity Corporations (South West Interconnected System Prescribed Customers) Order 2023</w:t>
      </w:r>
    </w:p>
    <w:p>
      <w:pPr>
        <w:pStyle w:val="Heading5"/>
      </w:pPr>
      <w:bookmarkStart w:id="3" w:name="_Toc124409264"/>
      <w:bookmarkStart w:id="4" w:name="_Toc134096257"/>
      <w:bookmarkStart w:id="5" w:name="_Toc13418319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Electricity Corporations (South West Interconnected System Prescribed Customers) Order 2023</w:t>
      </w:r>
      <w:r>
        <w:t>.</w:t>
      </w:r>
    </w:p>
    <w:p>
      <w:pPr>
        <w:pStyle w:val="Heading5"/>
        <w:rPr>
          <w:spacing w:val="-2"/>
        </w:rPr>
      </w:pPr>
      <w:bookmarkStart w:id="7" w:name="_Toc124409265"/>
      <w:bookmarkStart w:id="8" w:name="_Toc134096258"/>
      <w:bookmarkStart w:id="9" w:name="_Toc13418319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>
      <w:pPr>
        <w:pStyle w:val="Heading5"/>
      </w:pPr>
      <w:bookmarkStart w:id="10" w:name="_Toc124409266"/>
      <w:bookmarkStart w:id="11" w:name="_Toc134096259"/>
      <w:bookmarkStart w:id="12" w:name="_Toc134183193"/>
      <w:r>
        <w:rPr>
          <w:rStyle w:val="CharSectno"/>
        </w:rPr>
        <w:t>3</w:t>
      </w:r>
      <w:r>
        <w:t>.</w:t>
      </w:r>
      <w:r>
        <w:tab/>
        <w:t>Declaration of class of customers (Act s. 54(4)(a))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this clause comes into operation;</w:t>
      </w:r>
    </w:p>
    <w:p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customer who is entitled to be supplied electricity on the basis of a residential tariff under the </w:t>
      </w:r>
      <w:r>
        <w:rPr>
          <w:i/>
        </w:rPr>
        <w:t>Energy Operators (Electricity Generation and Retail Corporation) (Charges) By</w:t>
      </w:r>
      <w:r>
        <w:rPr>
          <w:i/>
        </w:rPr>
        <w:noBreakHyphen/>
        <w:t>laws 2006</w:t>
      </w:r>
      <w:r>
        <w:t xml:space="preserve"> by</w:t>
      </w:r>
      <w:r>
        <w:noBreakHyphen/>
        <w:t>law 5 at each supply point on the South West interconnected system through which electricity is supplied to that customer;</w:t>
      </w:r>
    </w:p>
    <w:p>
      <w:pPr>
        <w:pStyle w:val="Defstart"/>
        <w:keepNext/>
      </w:pPr>
      <w:r>
        <w:tab/>
      </w:r>
      <w:r>
        <w:rPr>
          <w:rStyle w:val="CharDefText"/>
        </w:rPr>
        <w:t>supply point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 bidirectional point as defined in the </w:t>
      </w:r>
      <w:r>
        <w:rPr>
          <w:i/>
        </w:rPr>
        <w:t>Electricity Networks Access Code 2004</w:t>
      </w:r>
      <w:r>
        <w:t xml:space="preserve"> section 1.3; or</w:t>
      </w:r>
    </w:p>
    <w:p>
      <w:pPr>
        <w:pStyle w:val="Defpara"/>
      </w:pPr>
      <w:r>
        <w:lastRenderedPageBreak/>
        <w:tab/>
        <w:t>(b)</w:t>
      </w:r>
      <w:r>
        <w:tab/>
        <w:t xml:space="preserve">an exit point as defined in the </w:t>
      </w:r>
      <w:r>
        <w:rPr>
          <w:i/>
        </w:rPr>
        <w:t>Electricity Networks Access Code 2004</w:t>
      </w:r>
      <w:r>
        <w:t xml:space="preserve"> section 1.3.</w:t>
      </w:r>
    </w:p>
    <w:p>
      <w:pPr>
        <w:pStyle w:val="Subsection"/>
      </w:pPr>
      <w:r>
        <w:tab/>
        <w:t>(2)</w:t>
      </w:r>
      <w:r>
        <w:tab/>
        <w:t xml:space="preserve">The class of customers declared to be prescribed customers for the purposes of section 54(2) of the Act is each customer who — </w:t>
      </w:r>
    </w:p>
    <w:p>
      <w:pPr>
        <w:pStyle w:val="Indenta"/>
      </w:pPr>
      <w:r>
        <w:tab/>
        <w:t>(a)</w:t>
      </w:r>
      <w:r>
        <w:tab/>
        <w:t>is a residential customer; or</w:t>
      </w:r>
    </w:p>
    <w:p>
      <w:pPr>
        <w:pStyle w:val="Indenta"/>
      </w:pPr>
      <w:r>
        <w:tab/>
        <w:t>(b)</w:t>
      </w:r>
      <w:r>
        <w:tab/>
        <w:t>on and from commencement day, never consumes, and could reasonably be expected by the Electricity Networks Corporation to never consume, 50 MWh or more of electricity in a 12</w:t>
      </w:r>
      <w:r>
        <w:noBreakHyphen/>
        <w:t>month period at each supply point on the South West interconnected system through which electricity is supplied to that customer.</w:t>
      </w:r>
    </w:p>
    <w:p>
      <w:pPr>
        <w:pStyle w:val="Subsection"/>
      </w:pPr>
      <w:r>
        <w:tab/>
        <w:t>(3)</w:t>
      </w:r>
      <w:r>
        <w:tab/>
        <w:t>However, a customer is not a member of the class described in subclause (2) if the customer consumed 50 MWh or more of electricity at a supply point on the South West interconnected system in any 12</w:t>
      </w:r>
      <w:r>
        <w:noBreakHyphen/>
        <w:t>month period within the period beginning on 1 July 2007 and ending on the day before commencement day.</w:t>
      </w:r>
    </w:p>
    <w:p>
      <w:pPr>
        <w:pStyle w:val="Heading5"/>
      </w:pPr>
      <w:bookmarkStart w:id="13" w:name="_Toc124409267"/>
      <w:bookmarkStart w:id="14" w:name="_Toc134096260"/>
      <w:bookmarkStart w:id="15" w:name="_Toc134183194"/>
      <w:r>
        <w:rPr>
          <w:rStyle w:val="CharSectno"/>
        </w:rPr>
        <w:t>4</w:t>
      </w:r>
      <w:r>
        <w:t>.</w:t>
      </w:r>
      <w:r>
        <w:tab/>
        <w:t>Order revoked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Electricity Corporations (Prescribed Customers) Order 2007</w:t>
      </w:r>
      <w:r>
        <w:t xml:space="preserve"> is revoked.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6" w:name="_Toc134183195"/>
      <w:r>
        <w:lastRenderedPageBreak/>
        <w:t>Notes</w:t>
      </w:r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Electricity Corporations (South West Interconnected System Prescribed Customers) Order 2023</w:t>
      </w:r>
      <w:r>
        <w:t>. For provisions that have come into operation see the compilation table.</w:t>
      </w:r>
    </w:p>
    <w:p>
      <w:pPr>
        <w:pStyle w:val="nHeading3"/>
      </w:pPr>
      <w:bookmarkStart w:id="17" w:name="_Toc134183196"/>
      <w:r>
        <w:t>Compilation table</w:t>
      </w:r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Electricity Corporations (South West Interconnected System Prescribed Customers) Order 2023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2023/39 9 May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cl. 1 and 2: 9 May 2023 (see cl. 2(a));</w:t>
            </w:r>
            <w:r>
              <w:br/>
              <w:t>Order other than cl. 1 and 2: 10 May 2023 (see cl.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May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May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May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May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May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May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(South West Interconnected System Prescribed Customers)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(South West Interconnected System Prescribed Customers)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(South West Interconnected System Prescribed Customers)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(South West Interconnected System Prescribed Customers)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(South West Interconnected System Prescribed Customers)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(South West Interconnected System Prescribed Customers)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11209424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0051022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005102245_GUID" w:val="04ef51e3-fc47-4ba3-a041-d2a9fcf1fb0d"/>
    <w:docVar w:name="WAFER_202206131023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13102343_GUID" w:val="0bbcd397-bc33-4548-b37f-e7ec8a62454f"/>
    <w:docVar w:name="WAFER_2023011209424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112094246_GUID" w:val="43228402-2c80-4d56-ab1f-ffcd5cbed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8F08B421-75A0-486D-9625-77450AC5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5505-D8F0-4ECB-831C-D225AD1F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2935</Characters>
  <Application>Microsoft Office Word</Application>
  <DocSecurity>0</DocSecurity>
  <Lines>104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(South West Interconnected System Prescribed Customers) Order 2023 - 00-a0-00</dc:title>
  <dc:subject/>
  <dc:creator/>
  <cp:keywords/>
  <dc:description/>
  <cp:lastModifiedBy>Master Repository Process</cp:lastModifiedBy>
  <cp:revision>4</cp:revision>
  <cp:lastPrinted>2023-05-04T04:37:00Z</cp:lastPrinted>
  <dcterms:created xsi:type="dcterms:W3CDTF">2023-05-08T07:24:00Z</dcterms:created>
  <dcterms:modified xsi:type="dcterms:W3CDTF">2023-05-08T07:24:00Z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53357</vt:lpwstr>
  </property>
  <property fmtid="{D5CDD505-2E9C-101B-9397-08002B2CF9AE}" pid="3" name="DocumentType">
    <vt:lpwstr>Reg</vt:lpwstr>
  </property>
  <property fmtid="{D5CDD505-2E9C-101B-9397-08002B2CF9AE}" pid="4" name="AsAtDate">
    <vt:lpwstr>10 May 2023</vt:lpwstr>
  </property>
  <property fmtid="{D5CDD505-2E9C-101B-9397-08002B2CF9AE}" pid="5" name="Suffix">
    <vt:lpwstr>00-a0-00</vt:lpwstr>
  </property>
  <property fmtid="{D5CDD505-2E9C-101B-9397-08002B2CF9AE}" pid="6" name="CommencementDate">
    <vt:lpwstr>20230510</vt:lpwstr>
  </property>
</Properties>
</file>