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Major Events Act 2023</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Major Events Regulations 2023</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Major Events Regulations 2023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_Toc155097682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_Toc155097683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_Toc155097684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 matters</w:t>
      </w:r>
    </w:p>
    <w:p>
      <w:pPr>
        <w:pStyle w:val="TOC8"/>
        <w:rPr>
          <w:rFonts w:asciiTheme="minorHAnsi" w:eastAsiaTheme="minorEastAsia" w:hAnsiTheme="minorHAnsi" w:cstheme="minorBidi"/>
          <w:szCs w:val="22"/>
        </w:rPr>
      </w:pPr>
      <w:r>
        <w:t>4.</w:t>
      </w:r>
      <w:r>
        <w:tab/>
        <w:t>Exempt advertising on vehicles</w:t>
      </w:r>
      <w:r>
        <w:tab/>
      </w:r>
      <w:r>
        <w:fldChar w:fldCharType="begin"/>
      </w:r>
      <w:r>
        <w:instrText xml:space="preserve"> PAGEREF _Toc155097686 \h </w:instrText>
      </w:r>
      <w:r>
        <w:fldChar w:fldCharType="separate"/>
      </w:r>
      <w:r>
        <w:t>2</w:t>
      </w:r>
      <w:r>
        <w:fldChar w:fldCharType="end"/>
      </w:r>
    </w:p>
    <w:p>
      <w:pPr>
        <w:pStyle w:val="TOC8"/>
        <w:rPr>
          <w:rFonts w:asciiTheme="minorHAnsi" w:eastAsiaTheme="minorEastAsia" w:hAnsiTheme="minorHAnsi" w:cstheme="minorBidi"/>
          <w:szCs w:val="22"/>
        </w:rPr>
      </w:pPr>
      <w:r>
        <w:t>5.</w:t>
      </w:r>
      <w:r>
        <w:tab/>
        <w:t>Exempt advertising on vessels</w:t>
      </w:r>
      <w:r>
        <w:tab/>
      </w:r>
      <w:r>
        <w:fldChar w:fldCharType="begin"/>
      </w:r>
      <w:r>
        <w:instrText xml:space="preserve"> PAGEREF _Toc155097687 \h </w:instrText>
      </w:r>
      <w:r>
        <w:fldChar w:fldCharType="separate"/>
      </w:r>
      <w:r>
        <w:t>2</w:t>
      </w:r>
      <w:r>
        <w:fldChar w:fldCharType="end"/>
      </w:r>
    </w:p>
    <w:p>
      <w:pPr>
        <w:pStyle w:val="TOC8"/>
        <w:rPr>
          <w:rFonts w:asciiTheme="minorHAnsi" w:eastAsiaTheme="minorEastAsia" w:hAnsiTheme="minorHAnsi" w:cstheme="minorBidi"/>
          <w:szCs w:val="22"/>
        </w:rPr>
      </w:pPr>
      <w:r>
        <w:t>6.</w:t>
      </w:r>
      <w:r>
        <w:tab/>
        <w:t>Insufficient value to justify notice to collect</w:t>
      </w:r>
      <w:r>
        <w:tab/>
      </w:r>
      <w:r>
        <w:fldChar w:fldCharType="begin"/>
      </w:r>
      <w:r>
        <w:instrText xml:space="preserve"> PAGEREF _Toc155097688 \h </w:instrText>
      </w:r>
      <w:r>
        <w:fldChar w:fldCharType="separate"/>
      </w:r>
      <w:r>
        <w:t>2</w:t>
      </w:r>
      <w:r>
        <w:fldChar w:fldCharType="end"/>
      </w:r>
    </w:p>
    <w:p>
      <w:pPr>
        <w:pStyle w:val="TOC8"/>
        <w:rPr>
          <w:rFonts w:asciiTheme="minorHAnsi" w:eastAsiaTheme="minorEastAsia" w:hAnsiTheme="minorHAnsi" w:cstheme="minorBidi"/>
          <w:szCs w:val="22"/>
        </w:rPr>
      </w:pPr>
      <w:r>
        <w:t>7.</w:t>
      </w:r>
      <w:r>
        <w:tab/>
        <w:t>Infringement notices: prescribed offences and modified penalties</w:t>
      </w:r>
      <w:r>
        <w:tab/>
      </w:r>
      <w:r>
        <w:fldChar w:fldCharType="begin"/>
      </w:r>
      <w:r>
        <w:instrText xml:space="preserve"> PAGEREF _Toc155097689 \h </w:instrText>
      </w:r>
      <w:r>
        <w:fldChar w:fldCharType="separate"/>
      </w:r>
      <w:r>
        <w:t>3</w:t>
      </w:r>
      <w:r>
        <w:fldChar w:fldCharType="end"/>
      </w:r>
    </w:p>
    <w:p>
      <w:pPr>
        <w:pStyle w:val="TOC8"/>
        <w:rPr>
          <w:rFonts w:asciiTheme="minorHAnsi" w:eastAsiaTheme="minorEastAsia" w:hAnsiTheme="minorHAnsi" w:cstheme="minorBidi"/>
          <w:szCs w:val="22"/>
        </w:rPr>
      </w:pPr>
      <w:r>
        <w:t>8.</w:t>
      </w:r>
      <w:r>
        <w:tab/>
        <w:t>Infringement notices: authorised officers and approved officers</w:t>
      </w:r>
      <w:r>
        <w:tab/>
      </w:r>
      <w:r>
        <w:fldChar w:fldCharType="begin"/>
      </w:r>
      <w:r>
        <w:instrText xml:space="preserve"> PAGEREF _Toc155097690 \h </w:instrText>
      </w:r>
      <w:r>
        <w:fldChar w:fldCharType="separate"/>
      </w:r>
      <w:r>
        <w:t>3</w:t>
      </w:r>
      <w:r>
        <w:fldChar w:fldCharType="end"/>
      </w:r>
    </w:p>
    <w:p>
      <w:pPr>
        <w:pStyle w:val="TOC8"/>
        <w:rPr>
          <w:rFonts w:asciiTheme="minorHAnsi" w:eastAsiaTheme="minorEastAsia" w:hAnsiTheme="minorHAnsi" w:cstheme="minorBidi"/>
          <w:szCs w:val="22"/>
        </w:rPr>
      </w:pPr>
      <w:r>
        <w:t>9.</w:t>
      </w:r>
      <w:r>
        <w:tab/>
        <w:t>Infringement notices: forms</w:t>
      </w:r>
      <w:r>
        <w:tab/>
      </w:r>
      <w:r>
        <w:fldChar w:fldCharType="begin"/>
      </w:r>
      <w:r>
        <w:instrText xml:space="preserve"> PAGEREF _Toc155097691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3 — FIFA Women’s World Cup 2023</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10.</w:t>
      </w:r>
      <w:r>
        <w:tab/>
        <w:t>Terms used</w:t>
      </w:r>
      <w:r>
        <w:tab/>
      </w:r>
      <w:r>
        <w:fldChar w:fldCharType="begin"/>
      </w:r>
      <w:r>
        <w:instrText xml:space="preserve"> PAGEREF _Toc155097694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Establishment of major event</w:t>
      </w:r>
    </w:p>
    <w:p>
      <w:pPr>
        <w:pStyle w:val="TOC8"/>
        <w:rPr>
          <w:rFonts w:asciiTheme="minorHAnsi" w:eastAsiaTheme="minorEastAsia" w:hAnsiTheme="minorHAnsi" w:cstheme="minorBidi"/>
          <w:szCs w:val="22"/>
        </w:rPr>
      </w:pPr>
      <w:r>
        <w:t>11.</w:t>
      </w:r>
      <w:r>
        <w:tab/>
        <w:t>FIFA Women’s World Cup 2023 is major event</w:t>
      </w:r>
      <w:r>
        <w:tab/>
      </w:r>
      <w:r>
        <w:fldChar w:fldCharType="begin"/>
      </w:r>
      <w:r>
        <w:instrText xml:space="preserve"> PAGEREF _Toc155097696 \h </w:instrText>
      </w:r>
      <w:r>
        <w:fldChar w:fldCharType="separate"/>
      </w:r>
      <w:r>
        <w:t>6</w:t>
      </w:r>
      <w:r>
        <w:fldChar w:fldCharType="end"/>
      </w:r>
    </w:p>
    <w:p>
      <w:pPr>
        <w:pStyle w:val="TOC8"/>
        <w:rPr>
          <w:rFonts w:asciiTheme="minorHAnsi" w:eastAsiaTheme="minorEastAsia" w:hAnsiTheme="minorHAnsi" w:cstheme="minorBidi"/>
          <w:szCs w:val="22"/>
        </w:rPr>
      </w:pPr>
      <w:r>
        <w:t>12.</w:t>
      </w:r>
      <w:r>
        <w:tab/>
        <w:t>Major event organiser</w:t>
      </w:r>
      <w:r>
        <w:tab/>
      </w:r>
      <w:r>
        <w:fldChar w:fldCharType="begin"/>
      </w:r>
      <w:r>
        <w:instrText xml:space="preserve"> PAGEREF _Toc155097697 \h </w:instrText>
      </w:r>
      <w:r>
        <w:fldChar w:fldCharType="separate"/>
      </w:r>
      <w:r>
        <w:t>6</w:t>
      </w:r>
      <w:r>
        <w:fldChar w:fldCharType="end"/>
      </w:r>
    </w:p>
    <w:p>
      <w:pPr>
        <w:pStyle w:val="TOC8"/>
        <w:rPr>
          <w:rFonts w:asciiTheme="minorHAnsi" w:eastAsiaTheme="minorEastAsia" w:hAnsiTheme="minorHAnsi" w:cstheme="minorBidi"/>
          <w:szCs w:val="22"/>
        </w:rPr>
      </w:pPr>
      <w:r>
        <w:t>13.</w:t>
      </w:r>
      <w:r>
        <w:tab/>
        <w:t>Major event areas</w:t>
      </w:r>
      <w:r>
        <w:tab/>
      </w:r>
      <w:r>
        <w:fldChar w:fldCharType="begin"/>
      </w:r>
      <w:r>
        <w:instrText xml:space="preserve"> PAGEREF _Toc155097698 \h </w:instrText>
      </w:r>
      <w:r>
        <w:fldChar w:fldCharType="separate"/>
      </w:r>
      <w:r>
        <w:t>6</w:t>
      </w:r>
      <w:r>
        <w:fldChar w:fldCharType="end"/>
      </w:r>
    </w:p>
    <w:p>
      <w:pPr>
        <w:pStyle w:val="TOC8"/>
        <w:rPr>
          <w:rFonts w:asciiTheme="minorHAnsi" w:eastAsiaTheme="minorEastAsia" w:hAnsiTheme="minorHAnsi" w:cstheme="minorBidi"/>
          <w:szCs w:val="22"/>
        </w:rPr>
      </w:pPr>
      <w:r>
        <w:t>14.</w:t>
      </w:r>
      <w:r>
        <w:tab/>
        <w:t>Major event period</w:t>
      </w:r>
      <w:r>
        <w:tab/>
      </w:r>
      <w:r>
        <w:fldChar w:fldCharType="begin"/>
      </w:r>
      <w:r>
        <w:instrText xml:space="preserve"> PAGEREF _Toc155097699 \h </w:instrText>
      </w:r>
      <w:r>
        <w:fldChar w:fldCharType="separate"/>
      </w:r>
      <w:r>
        <w:t>7</w:t>
      </w:r>
      <w:r>
        <w:fldChar w:fldCharType="end"/>
      </w:r>
    </w:p>
    <w:p>
      <w:pPr>
        <w:pStyle w:val="TOC8"/>
        <w:rPr>
          <w:rFonts w:asciiTheme="minorHAnsi" w:eastAsiaTheme="minorEastAsia" w:hAnsiTheme="minorHAnsi" w:cstheme="minorBidi"/>
          <w:szCs w:val="22"/>
        </w:rPr>
      </w:pPr>
      <w:r>
        <w:t>15.</w:t>
      </w:r>
      <w:r>
        <w:tab/>
        <w:t>Application of Pt. 5 and 6 of Act to major event areas</w:t>
      </w:r>
      <w:r>
        <w:tab/>
      </w:r>
      <w:r>
        <w:fldChar w:fldCharType="begin"/>
      </w:r>
      <w:r>
        <w:instrText xml:space="preserve"> PAGEREF _Toc155097700 \h </w:instrText>
      </w:r>
      <w:r>
        <w:fldChar w:fldCharType="separate"/>
      </w:r>
      <w:r>
        <w:t>7</w:t>
      </w:r>
      <w:r>
        <w:fldChar w:fldCharType="end"/>
      </w:r>
    </w:p>
    <w:p>
      <w:pPr>
        <w:pStyle w:val="TOC8"/>
        <w:rPr>
          <w:rFonts w:asciiTheme="minorHAnsi" w:eastAsiaTheme="minorEastAsia" w:hAnsiTheme="minorHAnsi" w:cstheme="minorBidi"/>
          <w:szCs w:val="22"/>
        </w:rPr>
      </w:pPr>
      <w:r>
        <w:t>16.</w:t>
      </w:r>
      <w:r>
        <w:tab/>
        <w:t>Responsible authorities</w:t>
      </w:r>
      <w:r>
        <w:tab/>
      </w:r>
      <w:r>
        <w:fldChar w:fldCharType="begin"/>
      </w:r>
      <w:r>
        <w:instrText xml:space="preserve"> PAGEREF _Toc155097701 \h </w:instrText>
      </w:r>
      <w:r>
        <w:fldChar w:fldCharType="separate"/>
      </w:r>
      <w:r>
        <w:t>11</w:t>
      </w:r>
      <w:r>
        <w:fldChar w:fldCharType="end"/>
      </w:r>
    </w:p>
    <w:p>
      <w:pPr>
        <w:pStyle w:val="TOC8"/>
        <w:rPr>
          <w:rFonts w:asciiTheme="minorHAnsi" w:eastAsiaTheme="minorEastAsia" w:hAnsiTheme="minorHAnsi" w:cstheme="minorBidi"/>
          <w:szCs w:val="22"/>
        </w:rPr>
      </w:pPr>
      <w:r>
        <w:lastRenderedPageBreak/>
        <w:t>17.</w:t>
      </w:r>
      <w:r>
        <w:tab/>
        <w:t>Controlled areas and control period</w:t>
      </w:r>
      <w:r>
        <w:tab/>
      </w:r>
      <w:r>
        <w:fldChar w:fldCharType="begin"/>
      </w:r>
      <w:r>
        <w:instrText xml:space="preserve"> PAGEREF _Toc155097702 \h </w:instrText>
      </w:r>
      <w:r>
        <w:fldChar w:fldCharType="separate"/>
      </w:r>
      <w:r>
        <w:t>12</w:t>
      </w:r>
      <w:r>
        <w:fldChar w:fldCharType="end"/>
      </w:r>
    </w:p>
    <w:p>
      <w:pPr>
        <w:pStyle w:val="TOC8"/>
        <w:rPr>
          <w:rFonts w:asciiTheme="minorHAnsi" w:eastAsiaTheme="minorEastAsia" w:hAnsiTheme="minorHAnsi" w:cstheme="minorBidi"/>
          <w:szCs w:val="22"/>
        </w:rPr>
      </w:pPr>
      <w:r>
        <w:t>18.</w:t>
      </w:r>
      <w:r>
        <w:tab/>
        <w:t>Application of Pt. 6 of Act to controlled areas</w:t>
      </w:r>
      <w:r>
        <w:tab/>
      </w:r>
      <w:r>
        <w:fldChar w:fldCharType="begin"/>
      </w:r>
      <w:r>
        <w:instrText xml:space="preserve"> PAGEREF _Toc155097703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3 — Official logos and titles for major event</w:t>
      </w:r>
    </w:p>
    <w:p>
      <w:pPr>
        <w:pStyle w:val="TOC8"/>
        <w:rPr>
          <w:rFonts w:asciiTheme="minorHAnsi" w:eastAsiaTheme="minorEastAsia" w:hAnsiTheme="minorHAnsi" w:cstheme="minorBidi"/>
          <w:szCs w:val="22"/>
        </w:rPr>
      </w:pPr>
      <w:r>
        <w:t>19.</w:t>
      </w:r>
      <w:r>
        <w:tab/>
        <w:t>Official logos</w:t>
      </w:r>
      <w:r>
        <w:tab/>
      </w:r>
      <w:r>
        <w:fldChar w:fldCharType="begin"/>
      </w:r>
      <w:r>
        <w:instrText xml:space="preserve"> PAGEREF _Toc155097705 \h </w:instrText>
      </w:r>
      <w:r>
        <w:fldChar w:fldCharType="separate"/>
      </w:r>
      <w:r>
        <w:t>14</w:t>
      </w:r>
      <w:r>
        <w:fldChar w:fldCharType="end"/>
      </w:r>
    </w:p>
    <w:p>
      <w:pPr>
        <w:pStyle w:val="TOC8"/>
        <w:rPr>
          <w:rFonts w:asciiTheme="minorHAnsi" w:eastAsiaTheme="minorEastAsia" w:hAnsiTheme="minorHAnsi" w:cstheme="minorBidi"/>
          <w:szCs w:val="22"/>
        </w:rPr>
      </w:pPr>
      <w:r>
        <w:t>20.</w:t>
      </w:r>
      <w:r>
        <w:tab/>
        <w:t>Official titles</w:t>
      </w:r>
      <w:r>
        <w:tab/>
      </w:r>
      <w:r>
        <w:fldChar w:fldCharType="begin"/>
      </w:r>
      <w:r>
        <w:instrText xml:space="preserve"> PAGEREF _Toc155097706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4 — Miscellaneous</w:t>
      </w:r>
    </w:p>
    <w:p>
      <w:pPr>
        <w:pStyle w:val="TOC8"/>
        <w:rPr>
          <w:rFonts w:asciiTheme="minorHAnsi" w:eastAsiaTheme="minorEastAsia" w:hAnsiTheme="minorHAnsi" w:cstheme="minorBidi"/>
          <w:szCs w:val="22"/>
        </w:rPr>
      </w:pPr>
      <w:r>
        <w:t>21.</w:t>
      </w:r>
      <w:r>
        <w:tab/>
        <w:t>Extended application of Act s. 49</w:t>
      </w:r>
      <w:r>
        <w:tab/>
      </w:r>
      <w:r>
        <w:fldChar w:fldCharType="begin"/>
      </w:r>
      <w:r>
        <w:instrText xml:space="preserve"> PAGEREF _Toc155097708 \h </w:instrText>
      </w:r>
      <w:r>
        <w:fldChar w:fldCharType="separate"/>
      </w:r>
      <w:r>
        <w:t>16</w:t>
      </w:r>
      <w:r>
        <w:fldChar w:fldCharType="end"/>
      </w:r>
    </w:p>
    <w:p>
      <w:pPr>
        <w:pStyle w:val="TOC8"/>
        <w:rPr>
          <w:rFonts w:asciiTheme="minorHAnsi" w:eastAsiaTheme="minorEastAsia" w:hAnsiTheme="minorHAnsi" w:cstheme="minorBidi"/>
          <w:szCs w:val="22"/>
        </w:rPr>
      </w:pPr>
      <w:r>
        <w:t>22.</w:t>
      </w:r>
      <w:r>
        <w:tab/>
        <w:t>Appointment of authorised officers</w:t>
      </w:r>
      <w:r>
        <w:tab/>
      </w:r>
      <w:r>
        <w:fldChar w:fldCharType="begin"/>
      </w:r>
      <w:r>
        <w:instrText xml:space="preserve"> PAGEREF _Toc155097709 \h </w:instrText>
      </w:r>
      <w:r>
        <w:fldChar w:fldCharType="separate"/>
      </w:r>
      <w:r>
        <w:t>16</w:t>
      </w:r>
      <w:r>
        <w:fldChar w:fldCharType="end"/>
      </w:r>
    </w:p>
    <w:p>
      <w:pPr>
        <w:pStyle w:val="TOC8"/>
        <w:rPr>
          <w:rFonts w:asciiTheme="minorHAnsi" w:eastAsiaTheme="minorEastAsia" w:hAnsiTheme="minorHAnsi" w:cstheme="minorBidi"/>
          <w:szCs w:val="22"/>
        </w:rPr>
      </w:pPr>
      <w:r>
        <w:t>23.</w:t>
      </w:r>
      <w:r>
        <w:tab/>
        <w:t>Eligibility for appointment as authorised officer</w:t>
      </w:r>
      <w:r>
        <w:tab/>
      </w:r>
      <w:r>
        <w:fldChar w:fldCharType="begin"/>
      </w:r>
      <w:r>
        <w:instrText xml:space="preserve"> PAGEREF _Toc155097710 \h </w:instrText>
      </w:r>
      <w:r>
        <w:fldChar w:fldCharType="separate"/>
      </w:r>
      <w:r>
        <w:t>17</w:t>
      </w:r>
      <w:r>
        <w:fldChar w:fldCharType="end"/>
      </w:r>
    </w:p>
    <w:p>
      <w:pPr>
        <w:pStyle w:val="TOC8"/>
        <w:rPr>
          <w:rFonts w:asciiTheme="minorHAnsi" w:eastAsiaTheme="minorEastAsia" w:hAnsiTheme="minorHAnsi" w:cstheme="minorBidi"/>
          <w:szCs w:val="22"/>
        </w:rPr>
      </w:pPr>
      <w:r>
        <w:t>24.</w:t>
      </w:r>
      <w:r>
        <w:tab/>
        <w:t>Signs must be erected in major event areas and controlled areas</w:t>
      </w:r>
      <w:r>
        <w:tab/>
      </w:r>
      <w:r>
        <w:fldChar w:fldCharType="begin"/>
      </w:r>
      <w:r>
        <w:instrText xml:space="preserve"> PAGEREF _Toc155097711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Schedule 1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2 — Infringement notice forms</w:t>
      </w:r>
    </w:p>
    <w:p>
      <w:pPr>
        <w:pStyle w:val="TOC2"/>
        <w:tabs>
          <w:tab w:val="right" w:leader="dot" w:pos="7077"/>
        </w:tabs>
        <w:rPr>
          <w:rFonts w:asciiTheme="minorHAnsi" w:eastAsiaTheme="minorEastAsia" w:hAnsiTheme="minorHAnsi" w:cstheme="minorBidi"/>
          <w:b w:val="0"/>
          <w:sz w:val="22"/>
          <w:szCs w:val="22"/>
        </w:rPr>
      </w:pPr>
      <w:r>
        <w:t>Schedule 3 — FIFA Women’s World Cup 2023 major event areas and controlled areas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_Toc155097716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Major Events Act 2023</w:t>
      </w:r>
    </w:p>
    <w:p>
      <w:pPr>
        <w:pStyle w:val="NameofActReg"/>
      </w:pPr>
      <w:r>
        <w:t>Major Events Regulations 2023</w:t>
      </w:r>
    </w:p>
    <w:p>
      <w:pPr>
        <w:pStyle w:val="Heading2"/>
        <w:pageBreakBefore w:val="0"/>
        <w:spacing w:before="240"/>
      </w:pPr>
      <w:bookmarkStart w:id="3" w:name="_Toc155097681"/>
      <w:r>
        <w:rPr>
          <w:rStyle w:val="CharPartNo"/>
        </w:rPr>
        <w:t>Part 1</w:t>
      </w:r>
      <w:r>
        <w:rPr>
          <w:rStyle w:val="CharDivNo"/>
        </w:rPr>
        <w:t> </w:t>
      </w:r>
      <w:r>
        <w:t>—</w:t>
      </w:r>
      <w:r>
        <w:rPr>
          <w:rStyle w:val="CharDivText"/>
        </w:rPr>
        <w:t> </w:t>
      </w:r>
      <w:r>
        <w:rPr>
          <w:rStyle w:val="CharPartText"/>
        </w:rPr>
        <w:t>Preliminary</w:t>
      </w:r>
      <w:bookmarkEnd w:id="3"/>
    </w:p>
    <w:p>
      <w:pPr>
        <w:pStyle w:val="Heading5"/>
      </w:pPr>
      <w:bookmarkStart w:id="4" w:name="_Toc155097682"/>
      <w:r>
        <w:rPr>
          <w:rStyle w:val="CharSectno"/>
        </w:rPr>
        <w:t>1</w:t>
      </w:r>
      <w:r>
        <w:t>.</w:t>
      </w:r>
      <w:r>
        <w:tab/>
        <w:t>Citation</w:t>
      </w:r>
      <w:bookmarkEnd w:id="4"/>
    </w:p>
    <w:p>
      <w:pPr>
        <w:pStyle w:val="Subsection"/>
      </w:pPr>
      <w:r>
        <w:tab/>
      </w:r>
      <w:r>
        <w:tab/>
      </w:r>
      <w:bookmarkStart w:id="5" w:name="Start_Cursor"/>
      <w:bookmarkEnd w:id="5"/>
      <w:r>
        <w:t xml:space="preserve">These </w:t>
      </w:r>
      <w:r>
        <w:rPr>
          <w:spacing w:val="-2"/>
        </w:rPr>
        <w:t>regulations</w:t>
      </w:r>
      <w:r>
        <w:t xml:space="preserve"> are the </w:t>
      </w:r>
      <w:r>
        <w:rPr>
          <w:i/>
        </w:rPr>
        <w:t>Major Events Regulations 2023</w:t>
      </w:r>
      <w:r>
        <w:t>.</w:t>
      </w:r>
    </w:p>
    <w:p>
      <w:pPr>
        <w:pStyle w:val="Heading5"/>
        <w:rPr>
          <w:spacing w:val="-2"/>
        </w:rPr>
      </w:pPr>
      <w:bookmarkStart w:id="6" w:name="_Toc155097683"/>
      <w:r>
        <w:rPr>
          <w:rStyle w:val="CharSectno"/>
        </w:rPr>
        <w:t>2</w:t>
      </w:r>
      <w:r>
        <w:rPr>
          <w:spacing w:val="-2"/>
        </w:rPr>
        <w:t>.</w:t>
      </w:r>
      <w:r>
        <w:rPr>
          <w:spacing w:val="-2"/>
        </w:rPr>
        <w:tab/>
        <w:t>Commencement</w:t>
      </w:r>
      <w:bookmarkEnd w:id="6"/>
    </w:p>
    <w:p>
      <w:pPr>
        <w:pStyle w:val="Subsection"/>
        <w:rPr>
          <w:spacing w:val="-2"/>
        </w:rPr>
      </w:pPr>
      <w:r>
        <w:rPr>
          <w:spacing w:val="-2"/>
        </w:rPr>
        <w:tab/>
      </w:r>
      <w:r>
        <w:rPr>
          <w:spacing w:val="-2"/>
        </w:rPr>
        <w:tab/>
      </w:r>
      <w:r>
        <w:t xml:space="preserve">These </w:t>
      </w:r>
      <w:r>
        <w:rPr>
          <w:spacing w:val="-2"/>
        </w:rPr>
        <w:t>regulations come into operation as follows</w:t>
      </w:r>
      <w:r>
        <w:t> —</w:t>
      </w:r>
    </w:p>
    <w:p>
      <w:pPr>
        <w:pStyle w:val="Indenta"/>
      </w:pPr>
      <w:r>
        <w:tab/>
        <w:t>(a)</w:t>
      </w:r>
      <w:r>
        <w:tab/>
      </w:r>
      <w:r>
        <w:rPr>
          <w:spacing w:val="-2"/>
        </w:rPr>
        <w:t>Part 1</w:t>
      </w:r>
      <w:r>
        <w:t xml:space="preserve"> — on the day on which these </w:t>
      </w:r>
      <w:r>
        <w:rPr>
          <w:spacing w:val="-2"/>
        </w:rPr>
        <w:t>regulations</w:t>
      </w:r>
      <w:r>
        <w:t xml:space="preserve"> are published in the </w:t>
      </w:r>
      <w:r>
        <w:rPr>
          <w:i/>
        </w:rPr>
        <w:t>Gazette</w:t>
      </w:r>
      <w:r>
        <w:t>;</w:t>
      </w:r>
    </w:p>
    <w:p>
      <w:pPr>
        <w:pStyle w:val="Indenta"/>
      </w:pPr>
      <w:r>
        <w:tab/>
        <w:t>(b)</w:t>
      </w:r>
      <w:r>
        <w:tab/>
        <w:t xml:space="preserve">the rest of the </w:t>
      </w:r>
      <w:r>
        <w:rPr>
          <w:spacing w:val="-2"/>
        </w:rPr>
        <w:t>regulations</w:t>
      </w:r>
      <w:r>
        <w:t> — on the day after that day.</w:t>
      </w:r>
    </w:p>
    <w:p>
      <w:pPr>
        <w:pStyle w:val="Heading5"/>
      </w:pPr>
      <w:bookmarkStart w:id="7" w:name="_Toc155097684"/>
      <w:r>
        <w:rPr>
          <w:rStyle w:val="CharSectno"/>
        </w:rPr>
        <w:t>3</w:t>
      </w:r>
      <w:r>
        <w:t>.</w:t>
      </w:r>
      <w:r>
        <w:tab/>
        <w:t>Terms used</w:t>
      </w:r>
      <w:bookmarkEnd w:id="7"/>
    </w:p>
    <w:p>
      <w:pPr>
        <w:pStyle w:val="Subsection"/>
        <w:rPr>
          <w:bCs/>
          <w:iCs/>
        </w:rPr>
      </w:pPr>
      <w:r>
        <w:tab/>
      </w:r>
      <w:r>
        <w:tab/>
        <w:t>In these regulations —</w:t>
      </w:r>
      <w:r>
        <w:rPr>
          <w:bCs/>
          <w:iCs/>
        </w:rPr>
        <w:t xml:space="preserve"> </w:t>
      </w:r>
    </w:p>
    <w:p>
      <w:pPr>
        <w:pStyle w:val="Defstart"/>
        <w:rPr>
          <w:bCs/>
          <w:iCs/>
        </w:rPr>
      </w:pPr>
      <w:r>
        <w:tab/>
      </w:r>
      <w:r>
        <w:rPr>
          <w:rStyle w:val="CharDefText"/>
        </w:rPr>
        <w:t>passenger transport service</w:t>
      </w:r>
      <w:r>
        <w:t xml:space="preserve"> has the meaning given in the </w:t>
      </w:r>
      <w:r>
        <w:rPr>
          <w:i/>
          <w:iCs/>
        </w:rPr>
        <w:t>Transport (Road Passenger Services) Act 2018</w:t>
      </w:r>
      <w:r>
        <w:t xml:space="preserve"> section 4(1);</w:t>
      </w:r>
    </w:p>
    <w:p>
      <w:pPr>
        <w:pStyle w:val="Defstart"/>
        <w:rPr>
          <w:bCs/>
          <w:iCs/>
        </w:rPr>
      </w:pPr>
      <w:r>
        <w:tab/>
      </w:r>
      <w:r>
        <w:rPr>
          <w:rStyle w:val="CharDefText"/>
        </w:rPr>
        <w:t>public passenger transport service</w:t>
      </w:r>
      <w:r>
        <w:t xml:space="preserve"> has the meaning given in the </w:t>
      </w:r>
      <w:r>
        <w:rPr>
          <w:i/>
          <w:iCs/>
        </w:rPr>
        <w:t>Public Transport Authority Act 2003</w:t>
      </w:r>
      <w:r>
        <w:t xml:space="preserve"> section 3;</w:t>
      </w:r>
    </w:p>
    <w:p>
      <w:pPr>
        <w:pStyle w:val="Defstart"/>
      </w:pPr>
      <w:r>
        <w:tab/>
      </w:r>
      <w:r>
        <w:rPr>
          <w:rStyle w:val="CharDefText"/>
        </w:rPr>
        <w:t>Public Transport Authority</w:t>
      </w:r>
      <w:r>
        <w:t xml:space="preserve"> means the Public Transport Authority of Western Australia established by the </w:t>
      </w:r>
      <w:r>
        <w:rPr>
          <w:i/>
          <w:iCs/>
        </w:rPr>
        <w:t>Public Transport Authority Act 2003</w:t>
      </w:r>
      <w:r>
        <w:t xml:space="preserve"> section 5.</w:t>
      </w:r>
    </w:p>
    <w:p>
      <w:pPr>
        <w:pStyle w:val="Heading2"/>
      </w:pPr>
      <w:bookmarkStart w:id="8" w:name="_Toc155097685"/>
      <w:r>
        <w:rPr>
          <w:rStyle w:val="CharPartNo"/>
        </w:rPr>
        <w:lastRenderedPageBreak/>
        <w:t>Part 2</w:t>
      </w:r>
      <w:r>
        <w:rPr>
          <w:rStyle w:val="CharDivNo"/>
        </w:rPr>
        <w:t> </w:t>
      </w:r>
      <w:r>
        <w:t>—</w:t>
      </w:r>
      <w:r>
        <w:rPr>
          <w:rStyle w:val="CharDivText"/>
        </w:rPr>
        <w:t> </w:t>
      </w:r>
      <w:r>
        <w:rPr>
          <w:rStyle w:val="CharPartText"/>
        </w:rPr>
        <w:t>General matters</w:t>
      </w:r>
      <w:bookmarkEnd w:id="8"/>
    </w:p>
    <w:p>
      <w:pPr>
        <w:pStyle w:val="Heading5"/>
      </w:pPr>
      <w:bookmarkStart w:id="9" w:name="_Toc155097686"/>
      <w:r>
        <w:rPr>
          <w:rStyle w:val="CharSectno"/>
        </w:rPr>
        <w:t>4</w:t>
      </w:r>
      <w:r>
        <w:t>.</w:t>
      </w:r>
      <w:r>
        <w:tab/>
        <w:t>Exempt advertising on vehicles</w:t>
      </w:r>
      <w:bookmarkEnd w:id="9"/>
    </w:p>
    <w:p>
      <w:pPr>
        <w:pStyle w:val="Subsection"/>
      </w:pPr>
      <w:r>
        <w:tab/>
        <w:t>(1)</w:t>
      </w:r>
      <w:r>
        <w:tab/>
        <w:t xml:space="preserve">For the purposes of section 64(3)(a) of the Act, an advertisement is exempt if — </w:t>
      </w:r>
    </w:p>
    <w:p>
      <w:pPr>
        <w:pStyle w:val="Indenta"/>
      </w:pPr>
      <w:r>
        <w:tab/>
        <w:t>(a)</w:t>
      </w:r>
      <w:r>
        <w:tab/>
        <w:t>the vehicle is involved in the provision of a passenger transport service; and</w:t>
      </w:r>
    </w:p>
    <w:p>
      <w:pPr>
        <w:pStyle w:val="Indenta"/>
      </w:pPr>
      <w:r>
        <w:tab/>
        <w:t>(b)</w:t>
      </w:r>
      <w:r>
        <w:tab/>
        <w:t>the advertisement does not imply that the advertiser or service or thing advertised is an affiliate of the major event.</w:t>
      </w:r>
    </w:p>
    <w:p>
      <w:pPr>
        <w:pStyle w:val="Subsection"/>
      </w:pPr>
      <w:r>
        <w:tab/>
        <w:t>(2)</w:t>
      </w:r>
      <w:r>
        <w:tab/>
        <w:t>Subregulation (1) does not apply to an advertisement on a banner or other sign that is towed by a vehicle.</w:t>
      </w:r>
    </w:p>
    <w:p>
      <w:pPr>
        <w:pStyle w:val="Subsection"/>
      </w:pPr>
      <w:r>
        <w:tab/>
        <w:t>(3)</w:t>
      </w:r>
      <w:r>
        <w:tab/>
        <w:t>For the purposes of section 64(3)(b) of the Act, a vehicle involved in the provision of a public passenger transport service by the Public Transport Authority, or by another person under a contract with the Public Transport Authority, is exempt.</w:t>
      </w:r>
    </w:p>
    <w:p>
      <w:pPr>
        <w:pStyle w:val="Heading5"/>
      </w:pPr>
      <w:bookmarkStart w:id="10" w:name="_Toc155097687"/>
      <w:r>
        <w:rPr>
          <w:rStyle w:val="CharSectno"/>
        </w:rPr>
        <w:t>5</w:t>
      </w:r>
      <w:r>
        <w:t>.</w:t>
      </w:r>
      <w:r>
        <w:tab/>
        <w:t>Exempt advertising on vessels</w:t>
      </w:r>
      <w:bookmarkEnd w:id="10"/>
    </w:p>
    <w:p>
      <w:pPr>
        <w:pStyle w:val="Subsection"/>
      </w:pPr>
      <w:r>
        <w:tab/>
      </w:r>
      <w:r>
        <w:tab/>
        <w:t xml:space="preserve">For the purposes of section 65(3)(b) of the Act, a vessel involved in the provision of a public passenger transport service by the Public Transport Authority, or by another person under a contract with the Public Transport Authority, is exempt. </w:t>
      </w:r>
    </w:p>
    <w:p>
      <w:pPr>
        <w:pStyle w:val="Heading5"/>
      </w:pPr>
      <w:bookmarkStart w:id="11" w:name="_Toc155097688"/>
      <w:r>
        <w:rPr>
          <w:rStyle w:val="CharSectno"/>
        </w:rPr>
        <w:t>6</w:t>
      </w:r>
      <w:r>
        <w:t>.</w:t>
      </w:r>
      <w:r>
        <w:tab/>
        <w:t>Insufficient value to justify notice to collect</w:t>
      </w:r>
      <w:bookmarkEnd w:id="11"/>
    </w:p>
    <w:p>
      <w:pPr>
        <w:pStyle w:val="Subsection"/>
      </w:pPr>
      <w:r>
        <w:tab/>
      </w:r>
      <w:r>
        <w:tab/>
        <w:t xml:space="preserve">For the purposes of section 82(6) of the Act — </w:t>
      </w:r>
    </w:p>
    <w:p>
      <w:pPr>
        <w:pStyle w:val="Indenta"/>
      </w:pPr>
      <w:r>
        <w:tab/>
        <w:t>(a)</w:t>
      </w:r>
      <w:r>
        <w:tab/>
        <w:t>the prescribed value is $500; and</w:t>
      </w:r>
    </w:p>
    <w:p>
      <w:pPr>
        <w:pStyle w:val="Indenta"/>
      </w:pPr>
      <w:r>
        <w:tab/>
        <w:t>(b)</w:t>
      </w:r>
      <w:r>
        <w:tab/>
        <w:t>the prescribed manner in which the value of a vehicle or vessel is to be calculated is that the value is to be based on the local private sale value of a vehicle or vessel of the same, or a similar, model or type, year and condition.</w:t>
      </w:r>
    </w:p>
    <w:p>
      <w:pPr>
        <w:pStyle w:val="Heading5"/>
      </w:pPr>
      <w:bookmarkStart w:id="12" w:name="_Toc155097689"/>
      <w:r>
        <w:rPr>
          <w:rStyle w:val="CharSectno"/>
        </w:rPr>
        <w:lastRenderedPageBreak/>
        <w:t>7</w:t>
      </w:r>
      <w:r>
        <w:t>.</w:t>
      </w:r>
      <w:r>
        <w:tab/>
        <w:t>Infringement notices: prescribed offences and modified penalties</w:t>
      </w:r>
      <w:bookmarkEnd w:id="12"/>
    </w:p>
    <w:p>
      <w:pPr>
        <w:pStyle w:val="Subsection"/>
      </w:pPr>
      <w:r>
        <w:tab/>
        <w:t>(1)</w:t>
      </w:r>
      <w:r>
        <w:tab/>
        <w:t xml:space="preserve">An offence under a section of the Act specified in Schedule 1 is an offence for which an infringement notice may be issued under the </w:t>
      </w:r>
      <w:r>
        <w:rPr>
          <w:i/>
          <w:iCs/>
        </w:rPr>
        <w:t>Criminal Procedure Act 2004</w:t>
      </w:r>
      <w:r>
        <w:t xml:space="preserve"> Part 2.</w:t>
      </w:r>
    </w:p>
    <w:p>
      <w:pPr>
        <w:pStyle w:val="Subsection"/>
      </w:pPr>
      <w:r>
        <w:tab/>
        <w:t>(2)</w:t>
      </w:r>
      <w:r>
        <w:tab/>
        <w:t xml:space="preserve">The amount specified opposite a section of the Act specified in Schedule 1 is the modified penalty for an offence under that section for the purposes of the </w:t>
      </w:r>
      <w:r>
        <w:rPr>
          <w:i/>
          <w:iCs/>
        </w:rPr>
        <w:t>Criminal Procedure Act 2004</w:t>
      </w:r>
      <w:r>
        <w:t xml:space="preserve"> section 5(3).</w:t>
      </w:r>
    </w:p>
    <w:p>
      <w:pPr>
        <w:pStyle w:val="Subsection"/>
      </w:pPr>
      <w:r>
        <w:tab/>
        <w:t>(3)</w:t>
      </w:r>
      <w:r>
        <w:tab/>
        <w:t>A description of an offence next to a section of the Act specified in Schedule 1 is for information purposes only and does not limit the reference to the section concerned.</w:t>
      </w:r>
    </w:p>
    <w:p>
      <w:pPr>
        <w:pStyle w:val="Heading5"/>
      </w:pPr>
      <w:bookmarkStart w:id="13" w:name="_Toc155097690"/>
      <w:r>
        <w:rPr>
          <w:rStyle w:val="CharSectno"/>
        </w:rPr>
        <w:t>8</w:t>
      </w:r>
      <w:r>
        <w:t>.</w:t>
      </w:r>
      <w:r>
        <w:tab/>
        <w:t>Infringement notices: authorised officers and approved officers</w:t>
      </w:r>
      <w:bookmarkEnd w:id="13"/>
    </w:p>
    <w:p>
      <w:pPr>
        <w:pStyle w:val="Subsection"/>
      </w:pPr>
      <w:r>
        <w:tab/>
        <w:t>(1)</w:t>
      </w:r>
      <w:r>
        <w:tab/>
        <w:t xml:space="preserve">The chief executive officer of the department may, in writing, appoint persons or classes of persons to be authorised officers or approved officers for the purposes of the </w:t>
      </w:r>
      <w:r>
        <w:rPr>
          <w:i/>
          <w:iCs/>
        </w:rPr>
        <w:t>Criminal Procedure Act 2004</w:t>
      </w:r>
      <w:r>
        <w:t xml:space="preserve"> Part 2 in relation to infringement notices issued under that Part for an offence under a section of the Act specified in Schedule 1.</w:t>
      </w:r>
    </w:p>
    <w:p>
      <w:pPr>
        <w:pStyle w:val="Subsection"/>
      </w:pPr>
      <w:r>
        <w:tab/>
        <w:t>(2)</w:t>
      </w:r>
      <w:r>
        <w:tab/>
        <w:t>The chief executive officer of the department must issue to each person appointed as an authorised officer under subregulation (1) a certificate, badge or identity card identifying the officer as a person authorised to issue infringement notices.</w:t>
      </w:r>
    </w:p>
    <w:p>
      <w:pPr>
        <w:pStyle w:val="Subsection"/>
      </w:pPr>
      <w:r>
        <w:tab/>
        <w:t>(3)</w:t>
      </w:r>
      <w:r>
        <w:tab/>
        <w:t>A person appointed as an authorised officer under subregulation (1) may show that they are authorised to issue infringement notices for an offence under a section of the Act specified in Schedule 1 by showing the certificate, badge or identity card issued to them under subregulation (2).</w:t>
      </w:r>
    </w:p>
    <w:p>
      <w:pPr>
        <w:pStyle w:val="Heading5"/>
      </w:pPr>
      <w:bookmarkStart w:id="14" w:name="_Toc155097691"/>
      <w:r>
        <w:rPr>
          <w:rStyle w:val="CharSectno"/>
        </w:rPr>
        <w:lastRenderedPageBreak/>
        <w:t>9</w:t>
      </w:r>
      <w:r>
        <w:t>.</w:t>
      </w:r>
      <w:r>
        <w:tab/>
        <w:t>Infringement notices: forms</w:t>
      </w:r>
      <w:bookmarkEnd w:id="14"/>
    </w:p>
    <w:p>
      <w:pPr>
        <w:pStyle w:val="Subsection"/>
        <w:keepNext/>
      </w:pPr>
      <w:r>
        <w:tab/>
      </w:r>
      <w:r>
        <w:tab/>
        <w:t xml:space="preserve">For the purposes of the </w:t>
      </w:r>
      <w:r>
        <w:rPr>
          <w:i/>
          <w:iCs/>
        </w:rPr>
        <w:t>Criminal Procedure Act 2004</w:t>
      </w:r>
      <w:r>
        <w:t xml:space="preserve"> Part 2 — </w:t>
      </w:r>
    </w:p>
    <w:p>
      <w:pPr>
        <w:pStyle w:val="Indenta"/>
      </w:pPr>
      <w:r>
        <w:tab/>
        <w:t>(a)</w:t>
      </w:r>
      <w:r>
        <w:tab/>
        <w:t>Schedule 2 Form 1 is the prescribed form for an infringement notice; and</w:t>
      </w:r>
    </w:p>
    <w:p>
      <w:pPr>
        <w:pStyle w:val="Indenta"/>
      </w:pPr>
      <w:r>
        <w:tab/>
        <w:t>(b)</w:t>
      </w:r>
      <w:r>
        <w:tab/>
        <w:t>Schedule 2 Form 2 is the prescribed form for the withdrawal of an infringement notice.</w:t>
      </w:r>
    </w:p>
    <w:p>
      <w:pPr>
        <w:pStyle w:val="Heading2"/>
      </w:pPr>
      <w:bookmarkStart w:id="15" w:name="_Toc155097692"/>
      <w:r>
        <w:rPr>
          <w:rStyle w:val="CharPartNo"/>
        </w:rPr>
        <w:lastRenderedPageBreak/>
        <w:t>Part 3</w:t>
      </w:r>
      <w:r>
        <w:t> — </w:t>
      </w:r>
      <w:r>
        <w:rPr>
          <w:rStyle w:val="CharPartText"/>
        </w:rPr>
        <w:t>FIFA Women’s World Cup 2023</w:t>
      </w:r>
      <w:bookmarkEnd w:id="15"/>
    </w:p>
    <w:p>
      <w:pPr>
        <w:pStyle w:val="Heading3"/>
      </w:pPr>
      <w:bookmarkStart w:id="16" w:name="_Toc155097693"/>
      <w:r>
        <w:rPr>
          <w:rStyle w:val="CharDivNo"/>
        </w:rPr>
        <w:t>Division 1</w:t>
      </w:r>
      <w:r>
        <w:t> — </w:t>
      </w:r>
      <w:r>
        <w:rPr>
          <w:rStyle w:val="CharDivText"/>
        </w:rPr>
        <w:t>Preliminary</w:t>
      </w:r>
      <w:bookmarkEnd w:id="16"/>
    </w:p>
    <w:p>
      <w:pPr>
        <w:pStyle w:val="Heading5"/>
      </w:pPr>
      <w:bookmarkStart w:id="17" w:name="_Toc155097694"/>
      <w:r>
        <w:rPr>
          <w:rStyle w:val="CharSectno"/>
        </w:rPr>
        <w:t>10</w:t>
      </w:r>
      <w:r>
        <w:t>.</w:t>
      </w:r>
      <w:r>
        <w:tab/>
        <w:t>Terms used</w:t>
      </w:r>
      <w:bookmarkEnd w:id="17"/>
    </w:p>
    <w:p>
      <w:pPr>
        <w:pStyle w:val="Subsection"/>
      </w:pPr>
      <w:r>
        <w:tab/>
      </w:r>
      <w:r>
        <w:tab/>
        <w:t xml:space="preserve">In this Part — </w:t>
      </w:r>
    </w:p>
    <w:p>
      <w:pPr>
        <w:pStyle w:val="Defstart"/>
      </w:pPr>
      <w:r>
        <w:tab/>
      </w:r>
      <w:r>
        <w:rPr>
          <w:rStyle w:val="CharDefText"/>
        </w:rPr>
        <w:t>fan festival operating hours</w:t>
      </w:r>
      <w:r>
        <w:t xml:space="preserve"> means each of the following periods — </w:t>
      </w:r>
    </w:p>
    <w:p>
      <w:pPr>
        <w:pStyle w:val="Defpara"/>
      </w:pPr>
      <w:r>
        <w:tab/>
        <w:t>(a)</w:t>
      </w:r>
      <w:r>
        <w:tab/>
        <w:t xml:space="preserve">20 July 2023, from midday to 9 pm; </w:t>
      </w:r>
    </w:p>
    <w:p>
      <w:pPr>
        <w:pStyle w:val="Defpara"/>
      </w:pPr>
      <w:r>
        <w:tab/>
        <w:t>(b)</w:t>
      </w:r>
      <w:r>
        <w:tab/>
        <w:t xml:space="preserve">21 July 2023, from midday to 10.30 pm; </w:t>
      </w:r>
    </w:p>
    <w:p>
      <w:pPr>
        <w:pStyle w:val="Defpara"/>
      </w:pPr>
      <w:r>
        <w:tab/>
        <w:t>(c)</w:t>
      </w:r>
      <w:r>
        <w:tab/>
        <w:t xml:space="preserve">22 July 2023, from midday to 11 pm; </w:t>
      </w:r>
    </w:p>
    <w:p>
      <w:pPr>
        <w:pStyle w:val="Defpara"/>
      </w:pPr>
      <w:r>
        <w:tab/>
        <w:t>(d)</w:t>
      </w:r>
      <w:r>
        <w:tab/>
        <w:t>23 July 2023, from midday to 9 pm;</w:t>
      </w:r>
    </w:p>
    <w:p>
      <w:pPr>
        <w:pStyle w:val="Defpara"/>
      </w:pPr>
      <w:r>
        <w:tab/>
        <w:t>(e)</w:t>
      </w:r>
      <w:r>
        <w:tab/>
        <w:t xml:space="preserve">26 July 2023, from midday to 11 pm; </w:t>
      </w:r>
    </w:p>
    <w:p>
      <w:pPr>
        <w:pStyle w:val="Defpara"/>
      </w:pPr>
      <w:r>
        <w:tab/>
        <w:t>(f)</w:t>
      </w:r>
      <w:r>
        <w:tab/>
        <w:t xml:space="preserve">27 July 2023, from midday to 9 pm; </w:t>
      </w:r>
    </w:p>
    <w:p>
      <w:pPr>
        <w:pStyle w:val="Defpara"/>
      </w:pPr>
      <w:r>
        <w:tab/>
        <w:t>(g)</w:t>
      </w:r>
      <w:r>
        <w:tab/>
        <w:t xml:space="preserve">28 July 2023, from midday to 10.30 pm; </w:t>
      </w:r>
    </w:p>
    <w:p>
      <w:pPr>
        <w:pStyle w:val="Defpara"/>
      </w:pPr>
      <w:r>
        <w:tab/>
        <w:t>(h)</w:t>
      </w:r>
      <w:r>
        <w:tab/>
        <w:t>29 July 2023, from midday to 11.30 pm;</w:t>
      </w:r>
    </w:p>
    <w:p>
      <w:pPr>
        <w:pStyle w:val="Defpara"/>
      </w:pPr>
      <w:r>
        <w:tab/>
        <w:t>(i)</w:t>
      </w:r>
      <w:r>
        <w:tab/>
        <w:t>30 July 2023, from midday to 9 pm;</w:t>
      </w:r>
    </w:p>
    <w:p>
      <w:pPr>
        <w:pStyle w:val="Defpara"/>
      </w:pPr>
      <w:r>
        <w:tab/>
        <w:t>(j)</w:t>
      </w:r>
      <w:r>
        <w:tab/>
        <w:t xml:space="preserve">31 July 2023, from midday to 9 pm; </w:t>
      </w:r>
    </w:p>
    <w:p>
      <w:pPr>
        <w:pStyle w:val="Defpara"/>
      </w:pPr>
      <w:r>
        <w:tab/>
        <w:t>(k)</w:t>
      </w:r>
      <w:r>
        <w:tab/>
        <w:t xml:space="preserve">1 August 2023, from midday to 10 pm; </w:t>
      </w:r>
    </w:p>
    <w:p>
      <w:pPr>
        <w:pStyle w:val="Defpara"/>
      </w:pPr>
      <w:r>
        <w:tab/>
        <w:t>(l)</w:t>
      </w:r>
      <w:r>
        <w:tab/>
        <w:t xml:space="preserve">2 August 2023, from midday to 9 pm; </w:t>
      </w:r>
    </w:p>
    <w:p>
      <w:pPr>
        <w:pStyle w:val="Defpara"/>
      </w:pPr>
      <w:r>
        <w:tab/>
        <w:t>(m)</w:t>
      </w:r>
      <w:r>
        <w:tab/>
        <w:t>3 August 2023, from midday to 9 pm;</w:t>
      </w:r>
    </w:p>
    <w:p>
      <w:pPr>
        <w:pStyle w:val="Defpara"/>
      </w:pPr>
      <w:r>
        <w:tab/>
        <w:t>(n)</w:t>
      </w:r>
      <w:r>
        <w:tab/>
        <w:t xml:space="preserve">5 August 2023, from 3 pm to 10.30 pm; </w:t>
      </w:r>
    </w:p>
    <w:p>
      <w:pPr>
        <w:pStyle w:val="Defpara"/>
      </w:pPr>
      <w:r>
        <w:tab/>
        <w:t>(o)</w:t>
      </w:r>
      <w:r>
        <w:tab/>
        <w:t xml:space="preserve">6 August 2023, from 3 pm to 9 pm; </w:t>
      </w:r>
    </w:p>
    <w:p>
      <w:pPr>
        <w:pStyle w:val="Defpara"/>
      </w:pPr>
      <w:r>
        <w:tab/>
        <w:t>(p)</w:t>
      </w:r>
      <w:r>
        <w:tab/>
        <w:t xml:space="preserve">7 August 2023, from 3 pm to 9 pm; </w:t>
      </w:r>
    </w:p>
    <w:p>
      <w:pPr>
        <w:pStyle w:val="Defpara"/>
      </w:pPr>
      <w:r>
        <w:tab/>
        <w:t>(q)</w:t>
      </w:r>
      <w:r>
        <w:tab/>
        <w:t>8 August 2023, from 3 pm to 10 pm;</w:t>
      </w:r>
    </w:p>
    <w:p>
      <w:pPr>
        <w:pStyle w:val="Defpara"/>
      </w:pPr>
      <w:r>
        <w:tab/>
        <w:t>(r)</w:t>
      </w:r>
      <w:r>
        <w:tab/>
        <w:t xml:space="preserve">11 August 2023, from 3 pm to 10.30 pm; </w:t>
      </w:r>
    </w:p>
    <w:p>
      <w:pPr>
        <w:pStyle w:val="Defpara"/>
      </w:pPr>
      <w:r>
        <w:tab/>
        <w:t>(s)</w:t>
      </w:r>
      <w:r>
        <w:tab/>
        <w:t xml:space="preserve">12 August 2023, from 3 pm to 10.30 pm; </w:t>
      </w:r>
    </w:p>
    <w:p>
      <w:pPr>
        <w:pStyle w:val="Defpara"/>
      </w:pPr>
      <w:r>
        <w:tab/>
        <w:t>(t)</w:t>
      </w:r>
      <w:r>
        <w:tab/>
        <w:t xml:space="preserve">15 August 2023, from 3 pm to 9 pm; </w:t>
      </w:r>
    </w:p>
    <w:p>
      <w:pPr>
        <w:pStyle w:val="Defpara"/>
      </w:pPr>
      <w:r>
        <w:tab/>
        <w:t>(u)</w:t>
      </w:r>
      <w:r>
        <w:tab/>
        <w:t>16 August 2023, from 3 pm to 9 pm;</w:t>
      </w:r>
    </w:p>
    <w:p>
      <w:pPr>
        <w:pStyle w:val="Defpara"/>
      </w:pPr>
      <w:r>
        <w:lastRenderedPageBreak/>
        <w:tab/>
        <w:t>(v)</w:t>
      </w:r>
      <w:r>
        <w:tab/>
        <w:t>19 August 2023, from 3 pm to 10.30 pm;</w:t>
      </w:r>
    </w:p>
    <w:p>
      <w:pPr>
        <w:pStyle w:val="Defpara"/>
      </w:pPr>
      <w:r>
        <w:tab/>
        <w:t>(w)</w:t>
      </w:r>
      <w:r>
        <w:tab/>
        <w:t>20 August 2023, from 3 pm to 9 pm;</w:t>
      </w:r>
    </w:p>
    <w:p>
      <w:pPr>
        <w:pStyle w:val="Defstart"/>
      </w:pPr>
      <w:r>
        <w:tab/>
      </w:r>
      <w:r>
        <w:rPr>
          <w:rStyle w:val="CharDefText"/>
        </w:rPr>
        <w:t>FIFA Women’s World Cup 2023</w:t>
      </w:r>
      <w:r>
        <w:t xml:space="preserve"> means the event known as the FIFA Women’s World Cup Australia &amp; New Zealand 2023;</w:t>
      </w:r>
    </w:p>
    <w:p>
      <w:pPr>
        <w:pStyle w:val="Defstart"/>
      </w:pPr>
      <w:r>
        <w:tab/>
      </w:r>
      <w:r>
        <w:rPr>
          <w:rStyle w:val="CharDefText"/>
        </w:rPr>
        <w:t>match periods</w:t>
      </w:r>
      <w:r>
        <w:t xml:space="preserve"> means each of the following periods — </w:t>
      </w:r>
    </w:p>
    <w:p>
      <w:pPr>
        <w:pStyle w:val="Defpara"/>
      </w:pPr>
      <w:r>
        <w:tab/>
        <w:t>(a)</w:t>
      </w:r>
      <w:r>
        <w:tab/>
        <w:t xml:space="preserve">from 5 pm to midnight on 22 July 2023; </w:t>
      </w:r>
    </w:p>
    <w:p>
      <w:pPr>
        <w:pStyle w:val="Defpara"/>
      </w:pPr>
      <w:r>
        <w:tab/>
        <w:t>(b)</w:t>
      </w:r>
      <w:r>
        <w:tab/>
        <w:t xml:space="preserve">from 5 pm to midnight on 26 July 2023; </w:t>
      </w:r>
    </w:p>
    <w:p>
      <w:pPr>
        <w:pStyle w:val="Defpara"/>
      </w:pPr>
      <w:r>
        <w:tab/>
        <w:t>(c)</w:t>
      </w:r>
      <w:r>
        <w:tab/>
        <w:t xml:space="preserve">from 5.30 pm on 29 July 2023 to 12.30 am on 30 July 2023; </w:t>
      </w:r>
    </w:p>
    <w:p>
      <w:pPr>
        <w:pStyle w:val="Defpara"/>
      </w:pPr>
      <w:r>
        <w:tab/>
        <w:t>(d)</w:t>
      </w:r>
      <w:r>
        <w:tab/>
        <w:t>from 4 pm to 11 pm on 1 August 2023;</w:t>
      </w:r>
    </w:p>
    <w:p>
      <w:pPr>
        <w:pStyle w:val="Defpara"/>
      </w:pPr>
      <w:r>
        <w:tab/>
        <w:t>(e)</w:t>
      </w:r>
      <w:r>
        <w:tab/>
        <w:t>from 3 pm to 10 pm on 3 August 2023.</w:t>
      </w:r>
    </w:p>
    <w:p>
      <w:pPr>
        <w:pStyle w:val="Heading3"/>
      </w:pPr>
      <w:bookmarkStart w:id="18" w:name="_Toc155097695"/>
      <w:r>
        <w:rPr>
          <w:rStyle w:val="CharDivNo"/>
        </w:rPr>
        <w:t>Division 2</w:t>
      </w:r>
      <w:r>
        <w:t> — </w:t>
      </w:r>
      <w:r>
        <w:rPr>
          <w:rStyle w:val="CharDivText"/>
        </w:rPr>
        <w:t>Establishment of major event</w:t>
      </w:r>
      <w:bookmarkEnd w:id="18"/>
    </w:p>
    <w:p>
      <w:pPr>
        <w:pStyle w:val="Heading5"/>
      </w:pPr>
      <w:bookmarkStart w:id="19" w:name="_Toc155097696"/>
      <w:r>
        <w:rPr>
          <w:rStyle w:val="CharSectno"/>
        </w:rPr>
        <w:t>11</w:t>
      </w:r>
      <w:r>
        <w:t>.</w:t>
      </w:r>
      <w:r>
        <w:tab/>
        <w:t>FIFA Women’s World Cup 2023 is major event</w:t>
      </w:r>
      <w:bookmarkEnd w:id="19"/>
    </w:p>
    <w:p>
      <w:pPr>
        <w:pStyle w:val="Subsection"/>
      </w:pPr>
      <w:r>
        <w:tab/>
      </w:r>
      <w:r>
        <w:tab/>
        <w:t xml:space="preserve">For the purposes of section 6(1) of the Act, the FIFA Women’s World Cup 2023 is a major event. </w:t>
      </w:r>
    </w:p>
    <w:p>
      <w:pPr>
        <w:pStyle w:val="Heading5"/>
      </w:pPr>
      <w:bookmarkStart w:id="20" w:name="_Toc155097697"/>
      <w:r>
        <w:rPr>
          <w:rStyle w:val="CharSectno"/>
        </w:rPr>
        <w:t>12</w:t>
      </w:r>
      <w:r>
        <w:t>.</w:t>
      </w:r>
      <w:r>
        <w:tab/>
        <w:t>Major event organiser</w:t>
      </w:r>
      <w:bookmarkEnd w:id="20"/>
    </w:p>
    <w:p>
      <w:pPr>
        <w:pStyle w:val="Subsection"/>
      </w:pPr>
      <w:r>
        <w:tab/>
      </w:r>
      <w:r>
        <w:tab/>
        <w:t>For the purposes of section 6(2)(a) of the Act, FWWC2023 Pty Ltd (ACN 650 853 302) is the major event organiser for the FIFA Women’s World Cup 2023.</w:t>
      </w:r>
    </w:p>
    <w:p>
      <w:pPr>
        <w:pStyle w:val="Heading5"/>
      </w:pPr>
      <w:bookmarkStart w:id="21" w:name="_Toc155097698"/>
      <w:r>
        <w:rPr>
          <w:rStyle w:val="CharSectno"/>
        </w:rPr>
        <w:t>13</w:t>
      </w:r>
      <w:r>
        <w:t>.</w:t>
      </w:r>
      <w:r>
        <w:tab/>
        <w:t>Major event areas</w:t>
      </w:r>
      <w:bookmarkEnd w:id="21"/>
    </w:p>
    <w:p>
      <w:pPr>
        <w:pStyle w:val="Subsection"/>
      </w:pPr>
      <w:r>
        <w:tab/>
        <w:t>(1)</w:t>
      </w:r>
      <w:r>
        <w:tab/>
        <w:t xml:space="preserve">For the purposes of section 6(2)(b) of the Act, each of the following areas is a major event area for the FIFA Women’s World Cup 2023 — </w:t>
      </w:r>
    </w:p>
    <w:p>
      <w:pPr>
        <w:pStyle w:val="Indenta"/>
        <w:keepNext/>
      </w:pPr>
      <w:r>
        <w:tab/>
        <w:t>(a)</w:t>
      </w:r>
      <w:r>
        <w:tab/>
        <w:t xml:space="preserve">the Perth Rectangular Stadium major event area, being the area shown as the Perth Rectangular Stadium major event area on the map entitled “FIFA Women’s World </w:t>
      </w:r>
      <w:r>
        <w:lastRenderedPageBreak/>
        <w:t xml:space="preserve">Cup 2023: Perth Rectangular Stadium major event area and controlled area” — </w:t>
      </w:r>
    </w:p>
    <w:p>
      <w:pPr>
        <w:pStyle w:val="Indenti"/>
      </w:pPr>
      <w:r>
        <w:tab/>
        <w:t>(i)</w:t>
      </w:r>
      <w:r>
        <w:tab/>
        <w:t xml:space="preserve">held by the chief executive officer of the department; and </w:t>
      </w:r>
    </w:p>
    <w:p>
      <w:pPr>
        <w:pStyle w:val="Indenti"/>
      </w:pPr>
      <w:r>
        <w:tab/>
        <w:t>(ii)</w:t>
      </w:r>
      <w:r>
        <w:tab/>
        <w:t>certified by the chief executive officer of the department as the map prepared for the purpose of defining the Perth Rectangular Stadium major event area and controlled area;</w:t>
      </w:r>
    </w:p>
    <w:p>
      <w:pPr>
        <w:pStyle w:val="Indenta"/>
      </w:pPr>
      <w:r>
        <w:tab/>
        <w:t>(b)</w:t>
      </w:r>
      <w:r>
        <w:tab/>
        <w:t xml:space="preserve">the Fan Festival Site major event area, being the area shown as the Fan Festival Site major event area on the map entitled “FIFA Women’s World Cup 2023: Fan Festival Site major event area and controlled area” — </w:t>
      </w:r>
    </w:p>
    <w:p>
      <w:pPr>
        <w:pStyle w:val="Indenti"/>
      </w:pPr>
      <w:r>
        <w:tab/>
        <w:t>(i)</w:t>
      </w:r>
      <w:r>
        <w:tab/>
        <w:t xml:space="preserve">held by the chief executive officer of the department; and </w:t>
      </w:r>
    </w:p>
    <w:p>
      <w:pPr>
        <w:pStyle w:val="Indenti"/>
      </w:pPr>
      <w:r>
        <w:tab/>
        <w:t>(ii)</w:t>
      </w:r>
      <w:r>
        <w:tab/>
        <w:t>certified by the chief executive officer of the department as the map prepared for the purpose of defining the Fan Festival Site major event area and controlled area.</w:t>
      </w:r>
    </w:p>
    <w:p>
      <w:pPr>
        <w:pStyle w:val="Subsection"/>
      </w:pPr>
      <w:r>
        <w:tab/>
        <w:t>(2)</w:t>
      </w:r>
      <w:r>
        <w:tab/>
        <w:t>For information purposes, maps depicting the major event areas referred to in subregulation (1) are in Schedule 3.</w:t>
      </w:r>
    </w:p>
    <w:p>
      <w:pPr>
        <w:pStyle w:val="Heading5"/>
      </w:pPr>
      <w:bookmarkStart w:id="22" w:name="_Toc155097699"/>
      <w:r>
        <w:rPr>
          <w:rStyle w:val="CharSectno"/>
        </w:rPr>
        <w:t>14</w:t>
      </w:r>
      <w:r>
        <w:t>.</w:t>
      </w:r>
      <w:r>
        <w:tab/>
        <w:t>Major event period</w:t>
      </w:r>
      <w:bookmarkEnd w:id="22"/>
    </w:p>
    <w:p>
      <w:pPr>
        <w:pStyle w:val="Subsection"/>
      </w:pPr>
      <w:r>
        <w:tab/>
      </w:r>
      <w:r>
        <w:tab/>
        <w:t>For the purposes of section 6(2)(c) of the Act, the major event period for the FIFA Women’s World Cup 2023 is the period beginning on 6 July 2023 and ending on 27 August 2023.</w:t>
      </w:r>
    </w:p>
    <w:p>
      <w:pPr>
        <w:pStyle w:val="Heading5"/>
      </w:pPr>
      <w:bookmarkStart w:id="23" w:name="_Toc155097700"/>
      <w:r>
        <w:rPr>
          <w:rStyle w:val="CharSectno"/>
        </w:rPr>
        <w:t>15</w:t>
      </w:r>
      <w:r>
        <w:t>.</w:t>
      </w:r>
      <w:r>
        <w:tab/>
        <w:t>Application of Pt. 5 and 6 of Act to major event areas</w:t>
      </w:r>
      <w:bookmarkEnd w:id="23"/>
    </w:p>
    <w:p>
      <w:pPr>
        <w:pStyle w:val="Subsection"/>
        <w:keepNext/>
      </w:pPr>
      <w:r>
        <w:tab/>
        <w:t>(1)</w:t>
      </w:r>
      <w:r>
        <w:tab/>
        <w:t>For the purposes of section 6(2)(e) of the Act, a provision of Part 5 or 6 of the Act specified in the 1</w:t>
      </w:r>
      <w:r>
        <w:rPr>
          <w:vertAlign w:val="superscript"/>
        </w:rPr>
        <w:t>st</w:t>
      </w:r>
      <w:r>
        <w:t xml:space="preserve"> column of the Table to this regulation applies to the FIFA Women’s World Cup 2023 as follows — </w:t>
      </w:r>
    </w:p>
    <w:p>
      <w:pPr>
        <w:pStyle w:val="Indenta"/>
      </w:pPr>
      <w:r>
        <w:tab/>
        <w:t>(a)</w:t>
      </w:r>
      <w:r>
        <w:tab/>
        <w:t>to the Perth Rectangular Stadium major event area during the period specified opposite the provision in the 2</w:t>
      </w:r>
      <w:r>
        <w:rPr>
          <w:vertAlign w:val="superscript"/>
        </w:rPr>
        <w:t>nd</w:t>
      </w:r>
      <w:r>
        <w:t xml:space="preserve"> column of the Table;</w:t>
      </w:r>
    </w:p>
    <w:p>
      <w:pPr>
        <w:pStyle w:val="Indenta"/>
      </w:pPr>
      <w:r>
        <w:lastRenderedPageBreak/>
        <w:tab/>
        <w:t>(b)</w:t>
      </w:r>
      <w:r>
        <w:tab/>
        <w:t>to the Fan Festival Site major event area during the period (if any) specified opposite the provision in the 3</w:t>
      </w:r>
      <w:r>
        <w:rPr>
          <w:vertAlign w:val="superscript"/>
        </w:rPr>
        <w:t>rd</w:t>
      </w:r>
      <w:r>
        <w:t xml:space="preserve"> column of the Table. </w:t>
      </w:r>
    </w:p>
    <w:p>
      <w:pPr>
        <w:pStyle w:val="Subsection"/>
      </w:pPr>
      <w:r>
        <w:tab/>
        <w:t>(2)</w:t>
      </w:r>
      <w:r>
        <w:tab/>
        <w:t>The text in brackets next to a reference to a section of the Act in the 1</w:t>
      </w:r>
      <w:r>
        <w:rPr>
          <w:vertAlign w:val="superscript"/>
        </w:rPr>
        <w:t>st</w:t>
      </w:r>
      <w:r>
        <w:t xml:space="preserve"> column of the Table is for information purposes only and does not limit the reference to the section concerned.</w:t>
      </w:r>
    </w:p>
    <w:p>
      <w:pPr>
        <w:pStyle w:val="THeadingNAm"/>
        <w:ind w:left="0"/>
      </w:pPr>
      <w:r>
        <w:t>Table</w:t>
      </w:r>
    </w:p>
    <w:tbl>
      <w:tblPr>
        <w:tblW w:w="680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268"/>
        <w:gridCol w:w="2268"/>
        <w:gridCol w:w="2268"/>
      </w:tblGrid>
      <w:tr>
        <w:trPr>
          <w:tblHeader/>
        </w:trPr>
        <w:tc>
          <w:tcPr>
            <w:tcW w:w="2268" w:type="dxa"/>
          </w:tcPr>
          <w:p>
            <w:pPr>
              <w:pStyle w:val="TableNAm"/>
              <w:jc w:val="center"/>
              <w:rPr>
                <w:b/>
                <w:bCs/>
              </w:rPr>
            </w:pPr>
            <w:r>
              <w:rPr>
                <w:b/>
                <w:bCs/>
              </w:rPr>
              <w:t>Provision of Act</w:t>
            </w:r>
          </w:p>
        </w:tc>
        <w:tc>
          <w:tcPr>
            <w:tcW w:w="2268" w:type="dxa"/>
          </w:tcPr>
          <w:p>
            <w:pPr>
              <w:pStyle w:val="TableNAm"/>
              <w:jc w:val="center"/>
              <w:rPr>
                <w:b/>
                <w:bCs/>
              </w:rPr>
            </w:pPr>
            <w:r>
              <w:rPr>
                <w:b/>
                <w:bCs/>
              </w:rPr>
              <w:t>Perth Rectangular Stadium major event area</w:t>
            </w:r>
          </w:p>
        </w:tc>
        <w:tc>
          <w:tcPr>
            <w:tcW w:w="2268" w:type="dxa"/>
          </w:tcPr>
          <w:p>
            <w:pPr>
              <w:pStyle w:val="TableNAm"/>
              <w:jc w:val="center"/>
              <w:rPr>
                <w:b/>
                <w:bCs/>
              </w:rPr>
            </w:pPr>
            <w:r>
              <w:rPr>
                <w:b/>
                <w:bCs/>
              </w:rPr>
              <w:t>Fan Festival Site major event area</w:t>
            </w:r>
          </w:p>
        </w:tc>
      </w:tr>
      <w:tr>
        <w:tc>
          <w:tcPr>
            <w:tcW w:w="2268" w:type="dxa"/>
          </w:tcPr>
          <w:p>
            <w:pPr>
              <w:pStyle w:val="TableNAm"/>
            </w:pPr>
            <w:r>
              <w:t>Section 38 (designated entries and exits)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39 (entry fees)</w:t>
            </w:r>
          </w:p>
        </w:tc>
        <w:tc>
          <w:tcPr>
            <w:tcW w:w="2268" w:type="dxa"/>
          </w:tcPr>
          <w:p>
            <w:pPr>
              <w:pStyle w:val="TableNAm"/>
            </w:pPr>
            <w:r>
              <w:t>Match periods</w:t>
            </w:r>
          </w:p>
        </w:tc>
        <w:tc>
          <w:tcPr>
            <w:tcW w:w="2268" w:type="dxa"/>
          </w:tcPr>
          <w:p>
            <w:pPr>
              <w:pStyle w:val="TableNAm"/>
            </w:pPr>
          </w:p>
        </w:tc>
      </w:tr>
      <w:tr>
        <w:tc>
          <w:tcPr>
            <w:tcW w:w="2268" w:type="dxa"/>
          </w:tcPr>
          <w:p>
            <w:pPr>
              <w:pStyle w:val="TableNAm"/>
            </w:pPr>
            <w:r>
              <w:t>Section 40 (occupant’s passes)</w:t>
            </w:r>
          </w:p>
        </w:tc>
        <w:tc>
          <w:tcPr>
            <w:tcW w:w="2268" w:type="dxa"/>
          </w:tcPr>
          <w:p>
            <w:pPr>
              <w:pStyle w:val="TableNAm"/>
            </w:pPr>
            <w:r>
              <w:t>Major event period</w:t>
            </w:r>
          </w:p>
        </w:tc>
        <w:tc>
          <w:tcPr>
            <w:tcW w:w="2268" w:type="dxa"/>
          </w:tcPr>
          <w:p>
            <w:pPr>
              <w:pStyle w:val="TableNAm"/>
            </w:pPr>
          </w:p>
        </w:tc>
      </w:tr>
      <w:tr>
        <w:tc>
          <w:tcPr>
            <w:tcW w:w="2268" w:type="dxa"/>
          </w:tcPr>
          <w:p>
            <w:pPr>
              <w:pStyle w:val="TableNAm"/>
            </w:pPr>
            <w:r>
              <w:t>Section 41 (entry to playing fields and other areas)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42 (entry to restricted areas)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43 (vehicles in major event areas)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44 (possession of prohibited items)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lastRenderedPageBreak/>
              <w:t>Section 45 (endangering others or disrupting a major event)</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46 (obstructing performers or participants)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47 (possession and consumption of liquor)</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49 (other prohibited conduct)</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50 (searches and inspection on entry)</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51 (surrender of prohibited items and liquor)</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52 (production of evidence of right of entry)</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lastRenderedPageBreak/>
              <w:t>Section 53 (refusal of unauthorised entry)</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54 (searches and inspection in major event area)</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55 (general powers of authorised officers)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56 (provision of personal details)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57 (directions to leave)</w:t>
            </w:r>
          </w:p>
        </w:tc>
        <w:tc>
          <w:tcPr>
            <w:tcW w:w="2268" w:type="dxa"/>
          </w:tcPr>
          <w:p>
            <w:pPr>
              <w:pStyle w:val="TableNAm"/>
            </w:pPr>
            <w:r>
              <w:t>Major event period</w:t>
            </w:r>
          </w:p>
        </w:tc>
        <w:tc>
          <w:tcPr>
            <w:tcW w:w="2268" w:type="dxa"/>
          </w:tcPr>
          <w:p>
            <w:pPr>
              <w:pStyle w:val="TableNAm"/>
            </w:pPr>
            <w:r>
              <w:t>Major event period</w:t>
            </w:r>
          </w:p>
        </w:tc>
      </w:tr>
      <w:tr>
        <w:tc>
          <w:tcPr>
            <w:tcW w:w="2268" w:type="dxa"/>
          </w:tcPr>
          <w:p>
            <w:pPr>
              <w:pStyle w:val="TableNAm"/>
            </w:pPr>
            <w:r>
              <w:t>Section 58 (entry bans)</w:t>
            </w:r>
          </w:p>
        </w:tc>
        <w:tc>
          <w:tcPr>
            <w:tcW w:w="2268" w:type="dxa"/>
          </w:tcPr>
          <w:p>
            <w:pPr>
              <w:pStyle w:val="TableNAm"/>
            </w:pPr>
            <w:r>
              <w:t>Major event period</w:t>
            </w:r>
          </w:p>
        </w:tc>
        <w:tc>
          <w:tcPr>
            <w:tcW w:w="2268" w:type="dxa"/>
          </w:tcPr>
          <w:p>
            <w:pPr>
              <w:pStyle w:val="TableNAm"/>
            </w:pPr>
            <w:r>
              <w:t>Major event period</w:t>
            </w:r>
          </w:p>
        </w:tc>
      </w:tr>
      <w:tr>
        <w:tc>
          <w:tcPr>
            <w:tcW w:w="2268" w:type="dxa"/>
          </w:tcPr>
          <w:p>
            <w:pPr>
              <w:pStyle w:val="TableNAm"/>
            </w:pPr>
            <w:r>
              <w:t>Section 59 (taking of photographs)</w:t>
            </w:r>
          </w:p>
        </w:tc>
        <w:tc>
          <w:tcPr>
            <w:tcW w:w="2268" w:type="dxa"/>
          </w:tcPr>
          <w:p>
            <w:pPr>
              <w:pStyle w:val="TableNAm"/>
            </w:pPr>
            <w:r>
              <w:t>Major event period</w:t>
            </w:r>
          </w:p>
        </w:tc>
        <w:tc>
          <w:tcPr>
            <w:tcW w:w="2268" w:type="dxa"/>
          </w:tcPr>
          <w:p>
            <w:pPr>
              <w:pStyle w:val="TableNAm"/>
            </w:pPr>
            <w:r>
              <w:t>Major event period</w:t>
            </w:r>
          </w:p>
        </w:tc>
      </w:tr>
      <w:tr>
        <w:tc>
          <w:tcPr>
            <w:tcW w:w="2268" w:type="dxa"/>
          </w:tcPr>
          <w:p>
            <w:pPr>
              <w:pStyle w:val="TableNAm"/>
            </w:pPr>
            <w:r>
              <w:t>Section 61 (sale or distribution of things)</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t>Section 62 (ambush marketing)</w:t>
            </w:r>
          </w:p>
        </w:tc>
        <w:tc>
          <w:tcPr>
            <w:tcW w:w="2268" w:type="dxa"/>
          </w:tcPr>
          <w:p>
            <w:pPr>
              <w:pStyle w:val="TableNAm"/>
            </w:pPr>
            <w:r>
              <w:t>Match periods</w:t>
            </w:r>
          </w:p>
        </w:tc>
        <w:tc>
          <w:tcPr>
            <w:tcW w:w="2268" w:type="dxa"/>
          </w:tcPr>
          <w:p>
            <w:pPr>
              <w:pStyle w:val="TableNAm"/>
            </w:pPr>
            <w:r>
              <w:t>Fan festival operating hours</w:t>
            </w:r>
          </w:p>
        </w:tc>
      </w:tr>
      <w:tr>
        <w:tc>
          <w:tcPr>
            <w:tcW w:w="2268" w:type="dxa"/>
          </w:tcPr>
          <w:p>
            <w:pPr>
              <w:pStyle w:val="TableNAm"/>
            </w:pPr>
            <w:r>
              <w:lastRenderedPageBreak/>
              <w:t>Section 63 (advertising on buildings or structures)</w:t>
            </w:r>
          </w:p>
        </w:tc>
        <w:tc>
          <w:tcPr>
            <w:tcW w:w="2268" w:type="dxa"/>
          </w:tcPr>
          <w:p>
            <w:pPr>
              <w:pStyle w:val="TableNAm"/>
            </w:pPr>
            <w:r>
              <w:t>Period beginning on 22 July 2023 and ending on 3 August 2023</w:t>
            </w:r>
          </w:p>
        </w:tc>
        <w:tc>
          <w:tcPr>
            <w:tcW w:w="2268" w:type="dxa"/>
          </w:tcPr>
          <w:p>
            <w:pPr>
              <w:pStyle w:val="TableNAm"/>
              <w:rPr>
                <w:rStyle w:val="DraftersNotes"/>
                <w:b w:val="0"/>
                <w:i w:val="0"/>
                <w:sz w:val="24"/>
              </w:rPr>
            </w:pPr>
            <w:r>
              <w:t>Period beginning on 20 July 2023 and ending on 20 August 2023</w:t>
            </w:r>
          </w:p>
        </w:tc>
      </w:tr>
      <w:tr>
        <w:tc>
          <w:tcPr>
            <w:tcW w:w="2268" w:type="dxa"/>
          </w:tcPr>
          <w:p>
            <w:pPr>
              <w:pStyle w:val="TableNAm"/>
            </w:pPr>
            <w:r>
              <w:t>Section 64 (advertising on vehicles)</w:t>
            </w:r>
          </w:p>
        </w:tc>
        <w:tc>
          <w:tcPr>
            <w:tcW w:w="2268" w:type="dxa"/>
          </w:tcPr>
          <w:p>
            <w:pPr>
              <w:pStyle w:val="TableNAm"/>
            </w:pPr>
            <w:r>
              <w:t>Match periods</w:t>
            </w:r>
          </w:p>
        </w:tc>
        <w:tc>
          <w:tcPr>
            <w:tcW w:w="2268" w:type="dxa"/>
          </w:tcPr>
          <w:p>
            <w:pPr>
              <w:pStyle w:val="TableNAm"/>
            </w:pPr>
          </w:p>
        </w:tc>
      </w:tr>
      <w:tr>
        <w:tc>
          <w:tcPr>
            <w:tcW w:w="2268" w:type="dxa"/>
          </w:tcPr>
          <w:p>
            <w:pPr>
              <w:pStyle w:val="TableNAm"/>
            </w:pPr>
            <w:r>
              <w:t>Section 66 (aerial advertising)</w:t>
            </w:r>
          </w:p>
        </w:tc>
        <w:tc>
          <w:tcPr>
            <w:tcW w:w="2268" w:type="dxa"/>
          </w:tcPr>
          <w:p>
            <w:pPr>
              <w:pStyle w:val="TableNAm"/>
            </w:pPr>
            <w:r>
              <w:t>Match periods</w:t>
            </w:r>
          </w:p>
        </w:tc>
        <w:tc>
          <w:tcPr>
            <w:tcW w:w="2268" w:type="dxa"/>
          </w:tcPr>
          <w:p>
            <w:pPr>
              <w:pStyle w:val="TableNAm"/>
            </w:pPr>
          </w:p>
        </w:tc>
      </w:tr>
      <w:tr>
        <w:tc>
          <w:tcPr>
            <w:tcW w:w="2268" w:type="dxa"/>
          </w:tcPr>
          <w:p>
            <w:pPr>
              <w:pStyle w:val="TableNAm"/>
            </w:pPr>
            <w:r>
              <w:t>Section 67 (broadcasting or recording a major event)</w:t>
            </w:r>
          </w:p>
        </w:tc>
        <w:tc>
          <w:tcPr>
            <w:tcW w:w="2268" w:type="dxa"/>
          </w:tcPr>
          <w:p>
            <w:pPr>
              <w:pStyle w:val="TableNAm"/>
            </w:pPr>
            <w:r>
              <w:t>Match periods</w:t>
            </w:r>
          </w:p>
        </w:tc>
        <w:tc>
          <w:tcPr>
            <w:tcW w:w="2268" w:type="dxa"/>
          </w:tcPr>
          <w:p>
            <w:pPr>
              <w:pStyle w:val="TableNAm"/>
            </w:pPr>
            <w:r>
              <w:t>Fan festival operating hours</w:t>
            </w:r>
          </w:p>
        </w:tc>
      </w:tr>
    </w:tbl>
    <w:p>
      <w:pPr>
        <w:pStyle w:val="Heading5"/>
      </w:pPr>
      <w:bookmarkStart w:id="24" w:name="_Toc155097701"/>
      <w:r>
        <w:rPr>
          <w:rStyle w:val="CharSectno"/>
        </w:rPr>
        <w:t>16</w:t>
      </w:r>
      <w:r>
        <w:t>.</w:t>
      </w:r>
      <w:r>
        <w:tab/>
        <w:t>Responsible authorities</w:t>
      </w:r>
      <w:bookmarkEnd w:id="24"/>
    </w:p>
    <w:p>
      <w:pPr>
        <w:pStyle w:val="Subsection"/>
      </w:pPr>
      <w:r>
        <w:tab/>
      </w:r>
      <w:r>
        <w:tab/>
        <w:t xml:space="preserve">For the purposes of section 6(3) of the Act, each of the following is a responsible authority for the FIFA Women’s World Cup 2023 — </w:t>
      </w:r>
    </w:p>
    <w:p>
      <w:pPr>
        <w:pStyle w:val="Indenta"/>
      </w:pPr>
      <w:r>
        <w:tab/>
        <w:t>(a)</w:t>
      </w:r>
      <w:r>
        <w:tab/>
        <w:t xml:space="preserve">the major event organiser; </w:t>
      </w:r>
    </w:p>
    <w:p>
      <w:pPr>
        <w:pStyle w:val="Indenta"/>
      </w:pPr>
      <w:r>
        <w:tab/>
        <w:t>(b)</w:t>
      </w:r>
      <w:r>
        <w:tab/>
        <w:t>the department;</w:t>
      </w:r>
    </w:p>
    <w:p>
      <w:pPr>
        <w:pStyle w:val="Indenta"/>
      </w:pPr>
      <w:r>
        <w:tab/>
        <w:t>(c)</w:t>
      </w:r>
      <w:r>
        <w:tab/>
        <w:t xml:space="preserve">the Western Australian Tourism Commission established under the </w:t>
      </w:r>
      <w:r>
        <w:rPr>
          <w:i/>
          <w:iCs/>
        </w:rPr>
        <w:t>Western Australian Tourism Commission Act 1983</w:t>
      </w:r>
      <w:r>
        <w:t xml:space="preserve"> section 4.</w:t>
      </w:r>
    </w:p>
    <w:p>
      <w:pPr>
        <w:pStyle w:val="Heading5"/>
      </w:pPr>
      <w:bookmarkStart w:id="25" w:name="_Toc155097702"/>
      <w:r>
        <w:rPr>
          <w:rStyle w:val="CharSectno"/>
        </w:rPr>
        <w:lastRenderedPageBreak/>
        <w:t>17</w:t>
      </w:r>
      <w:r>
        <w:t>.</w:t>
      </w:r>
      <w:r>
        <w:tab/>
        <w:t>Controlled areas and control period</w:t>
      </w:r>
      <w:bookmarkEnd w:id="25"/>
    </w:p>
    <w:p>
      <w:pPr>
        <w:pStyle w:val="Subsection"/>
        <w:keepNext/>
      </w:pPr>
      <w:r>
        <w:tab/>
        <w:t>(1)</w:t>
      </w:r>
      <w:r>
        <w:tab/>
        <w:t xml:space="preserve">For the purposes of section 6(4)(a) of the Act, each of the following is a controlled area for the FIFA Women’s World Cup 2023 — </w:t>
      </w:r>
    </w:p>
    <w:p>
      <w:pPr>
        <w:pStyle w:val="Indenta"/>
      </w:pPr>
      <w:r>
        <w:tab/>
        <w:t>(a)</w:t>
      </w:r>
      <w:r>
        <w:tab/>
        <w:t xml:space="preserve">the Perth Rectangular Stadium controlled area, being the area shown as the Perth Rectangular Stadium controlled area on the map entitled “FIFA Women’s World Cup 2023: Perth Rectangular Stadium major event area and controlled area” — </w:t>
      </w:r>
    </w:p>
    <w:p>
      <w:pPr>
        <w:pStyle w:val="Indenti"/>
      </w:pPr>
      <w:r>
        <w:tab/>
        <w:t>(i)</w:t>
      </w:r>
      <w:r>
        <w:tab/>
        <w:t xml:space="preserve">held by the chief executive officer of the department; and </w:t>
      </w:r>
    </w:p>
    <w:p>
      <w:pPr>
        <w:pStyle w:val="Indenti"/>
      </w:pPr>
      <w:r>
        <w:tab/>
        <w:t>(ii)</w:t>
      </w:r>
      <w:r>
        <w:tab/>
        <w:t>certified by the chief executive officer of the department as the map prepared for the purpose of defining the Perth Rectangular Stadium major event area and controlled area;</w:t>
      </w:r>
    </w:p>
    <w:p>
      <w:pPr>
        <w:pStyle w:val="Indenta"/>
      </w:pPr>
      <w:r>
        <w:tab/>
        <w:t>(b)</w:t>
      </w:r>
      <w:r>
        <w:tab/>
        <w:t xml:space="preserve">the Fan Festival Site controlled area, being the area shown as the Fan Festival Site controlled area on the map entitled “FIFA Women’s World Cup 2023: Fan Festival Site major event area and controlled area” — </w:t>
      </w:r>
    </w:p>
    <w:p>
      <w:pPr>
        <w:pStyle w:val="Indenti"/>
      </w:pPr>
      <w:r>
        <w:tab/>
        <w:t>(i)</w:t>
      </w:r>
      <w:r>
        <w:tab/>
        <w:t xml:space="preserve">held by the chief executive officer of the department; and </w:t>
      </w:r>
    </w:p>
    <w:p>
      <w:pPr>
        <w:pStyle w:val="Indenti"/>
      </w:pPr>
      <w:r>
        <w:tab/>
        <w:t>(ii)</w:t>
      </w:r>
      <w:r>
        <w:tab/>
        <w:t>certified by the chief executive officer of the department as the map prepared for the purpose of defining the Fan Festival Site major event area and controlled area.</w:t>
      </w:r>
    </w:p>
    <w:p>
      <w:pPr>
        <w:pStyle w:val="Subsection"/>
      </w:pPr>
      <w:r>
        <w:tab/>
        <w:t>(2)</w:t>
      </w:r>
      <w:r>
        <w:tab/>
        <w:t>For information purposes, maps depicting the controlled areas referred to in subregulation (1) are in Schedule 3.</w:t>
      </w:r>
    </w:p>
    <w:p>
      <w:pPr>
        <w:pStyle w:val="Subsection"/>
      </w:pPr>
      <w:r>
        <w:tab/>
        <w:t>(3)</w:t>
      </w:r>
      <w:r>
        <w:tab/>
        <w:t>For the purposes of section 6(4)(b) of the Act, the control period for the FIFA Women’s World Cup 2023 is the period beginning on 20 July 2023 and ending on 20 August 2023.</w:t>
      </w:r>
    </w:p>
    <w:p>
      <w:pPr>
        <w:pStyle w:val="Heading5"/>
      </w:pPr>
      <w:bookmarkStart w:id="26" w:name="_Toc155097703"/>
      <w:r>
        <w:rPr>
          <w:rStyle w:val="CharSectno"/>
        </w:rPr>
        <w:lastRenderedPageBreak/>
        <w:t>18</w:t>
      </w:r>
      <w:r>
        <w:t>.</w:t>
      </w:r>
      <w:r>
        <w:tab/>
        <w:t>Application of Pt. 6 of Act to controlled areas</w:t>
      </w:r>
      <w:bookmarkEnd w:id="26"/>
    </w:p>
    <w:p>
      <w:pPr>
        <w:pStyle w:val="Subsection"/>
      </w:pPr>
      <w:r>
        <w:tab/>
        <w:t>(1)</w:t>
      </w:r>
      <w:r>
        <w:tab/>
        <w:t>For the purposes of section 6(4)(c) of the Act, a provision of Part 6 of the Act specified in the 1</w:t>
      </w:r>
      <w:r>
        <w:rPr>
          <w:vertAlign w:val="superscript"/>
        </w:rPr>
        <w:t>st</w:t>
      </w:r>
      <w:r>
        <w:t xml:space="preserve"> column of the Table to this regulation applies — </w:t>
      </w:r>
    </w:p>
    <w:p>
      <w:pPr>
        <w:pStyle w:val="Indenta"/>
      </w:pPr>
      <w:r>
        <w:tab/>
        <w:t>(a)</w:t>
      </w:r>
      <w:r>
        <w:tab/>
        <w:t>to the Perth Rectangular Stadium controlled area during the period specified opposite the provision in the 2</w:t>
      </w:r>
      <w:r>
        <w:rPr>
          <w:vertAlign w:val="superscript"/>
        </w:rPr>
        <w:t>nd</w:t>
      </w:r>
      <w:r>
        <w:t> column of the Table; and</w:t>
      </w:r>
    </w:p>
    <w:p>
      <w:pPr>
        <w:pStyle w:val="Indenta"/>
      </w:pPr>
      <w:r>
        <w:tab/>
        <w:t>(b)</w:t>
      </w:r>
      <w:r>
        <w:tab/>
        <w:t>to the Fan Festival Site controlled area during the period (if any) specified opposite the provision in the 3</w:t>
      </w:r>
      <w:r>
        <w:rPr>
          <w:vertAlign w:val="superscript"/>
        </w:rPr>
        <w:t>rd</w:t>
      </w:r>
      <w:r>
        <w:t xml:space="preserve"> column of the Table. </w:t>
      </w:r>
    </w:p>
    <w:p>
      <w:pPr>
        <w:pStyle w:val="Subsection"/>
      </w:pPr>
      <w:r>
        <w:tab/>
        <w:t>(2)</w:t>
      </w:r>
      <w:r>
        <w:tab/>
        <w:t>The text in brackets next to a reference to a section of the Act in the 1</w:t>
      </w:r>
      <w:r>
        <w:rPr>
          <w:vertAlign w:val="superscript"/>
        </w:rPr>
        <w:t>st</w:t>
      </w:r>
      <w:r>
        <w:t xml:space="preserve"> column of the Table is for information purposes only and does not limit the reference to the section concerned.</w:t>
      </w:r>
    </w:p>
    <w:p>
      <w:pPr>
        <w:pStyle w:val="THeadingNAm"/>
        <w:ind w:left="0"/>
      </w:pPr>
      <w:r>
        <w:t>Table</w:t>
      </w:r>
    </w:p>
    <w:tbl>
      <w:tblPr>
        <w:tblW w:w="69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15"/>
        <w:gridCol w:w="2315"/>
        <w:gridCol w:w="2316"/>
      </w:tblGrid>
      <w:tr>
        <w:trPr>
          <w:tblHeader/>
        </w:trPr>
        <w:tc>
          <w:tcPr>
            <w:tcW w:w="2315" w:type="dxa"/>
          </w:tcPr>
          <w:p>
            <w:pPr>
              <w:pStyle w:val="TableNAm"/>
              <w:jc w:val="center"/>
              <w:rPr>
                <w:b/>
                <w:bCs/>
              </w:rPr>
            </w:pPr>
            <w:r>
              <w:rPr>
                <w:b/>
                <w:bCs/>
              </w:rPr>
              <w:t>Provision of Act</w:t>
            </w:r>
          </w:p>
        </w:tc>
        <w:tc>
          <w:tcPr>
            <w:tcW w:w="2315" w:type="dxa"/>
          </w:tcPr>
          <w:p>
            <w:pPr>
              <w:pStyle w:val="TableNAm"/>
              <w:jc w:val="center"/>
              <w:rPr>
                <w:b/>
                <w:bCs/>
              </w:rPr>
            </w:pPr>
            <w:r>
              <w:rPr>
                <w:b/>
                <w:bCs/>
              </w:rPr>
              <w:t>Perth Rectangular Stadium controlled area</w:t>
            </w:r>
          </w:p>
        </w:tc>
        <w:tc>
          <w:tcPr>
            <w:tcW w:w="2316" w:type="dxa"/>
          </w:tcPr>
          <w:p>
            <w:pPr>
              <w:pStyle w:val="TableNAm"/>
              <w:jc w:val="center"/>
              <w:rPr>
                <w:b/>
                <w:bCs/>
              </w:rPr>
            </w:pPr>
            <w:r>
              <w:rPr>
                <w:b/>
                <w:bCs/>
              </w:rPr>
              <w:t>Fan Festival Site controlled area</w:t>
            </w:r>
          </w:p>
        </w:tc>
      </w:tr>
      <w:tr>
        <w:tc>
          <w:tcPr>
            <w:tcW w:w="2315" w:type="dxa"/>
          </w:tcPr>
          <w:p>
            <w:pPr>
              <w:pStyle w:val="TableNAm"/>
            </w:pPr>
            <w:r>
              <w:t>Section 61 (sale or distribution of things)</w:t>
            </w:r>
          </w:p>
        </w:tc>
        <w:tc>
          <w:tcPr>
            <w:tcW w:w="2315" w:type="dxa"/>
          </w:tcPr>
          <w:p>
            <w:pPr>
              <w:pStyle w:val="TableNAm"/>
            </w:pPr>
            <w:r>
              <w:t>Match periods</w:t>
            </w:r>
          </w:p>
        </w:tc>
        <w:tc>
          <w:tcPr>
            <w:tcW w:w="2316" w:type="dxa"/>
          </w:tcPr>
          <w:p>
            <w:pPr>
              <w:pStyle w:val="TableNAm"/>
            </w:pPr>
            <w:r>
              <w:t>Fan festival operating hours</w:t>
            </w:r>
          </w:p>
        </w:tc>
      </w:tr>
      <w:tr>
        <w:tc>
          <w:tcPr>
            <w:tcW w:w="2315" w:type="dxa"/>
          </w:tcPr>
          <w:p>
            <w:pPr>
              <w:pStyle w:val="TableNAm"/>
            </w:pPr>
            <w:r>
              <w:t>Section 62 (ambush marketing)</w:t>
            </w:r>
          </w:p>
        </w:tc>
        <w:tc>
          <w:tcPr>
            <w:tcW w:w="2315" w:type="dxa"/>
          </w:tcPr>
          <w:p>
            <w:pPr>
              <w:pStyle w:val="TableNAm"/>
            </w:pPr>
            <w:r>
              <w:t>Match periods</w:t>
            </w:r>
          </w:p>
        </w:tc>
        <w:tc>
          <w:tcPr>
            <w:tcW w:w="2316" w:type="dxa"/>
          </w:tcPr>
          <w:p>
            <w:pPr>
              <w:pStyle w:val="TableNAm"/>
            </w:pPr>
            <w:r>
              <w:t>Fan festival operating hours</w:t>
            </w:r>
          </w:p>
        </w:tc>
      </w:tr>
      <w:tr>
        <w:tc>
          <w:tcPr>
            <w:tcW w:w="2315" w:type="dxa"/>
          </w:tcPr>
          <w:p>
            <w:pPr>
              <w:pStyle w:val="TableNAm"/>
            </w:pPr>
            <w:r>
              <w:t>Section 63 (advertising on buildings or structures)</w:t>
            </w:r>
          </w:p>
        </w:tc>
        <w:tc>
          <w:tcPr>
            <w:tcW w:w="2315" w:type="dxa"/>
          </w:tcPr>
          <w:p>
            <w:pPr>
              <w:pStyle w:val="TableNAm"/>
            </w:pPr>
            <w:r>
              <w:t>Period beginning on 22 July 2023 and ending on 3 August 2023</w:t>
            </w:r>
          </w:p>
        </w:tc>
        <w:tc>
          <w:tcPr>
            <w:tcW w:w="2316" w:type="dxa"/>
          </w:tcPr>
          <w:p>
            <w:pPr>
              <w:pStyle w:val="TableNAm"/>
            </w:pPr>
            <w:r>
              <w:t>Control period</w:t>
            </w:r>
          </w:p>
        </w:tc>
      </w:tr>
      <w:tr>
        <w:tc>
          <w:tcPr>
            <w:tcW w:w="2315" w:type="dxa"/>
          </w:tcPr>
          <w:p>
            <w:pPr>
              <w:pStyle w:val="TableNAm"/>
            </w:pPr>
            <w:r>
              <w:t>Section 64 (advertising on vehicles)</w:t>
            </w:r>
          </w:p>
        </w:tc>
        <w:tc>
          <w:tcPr>
            <w:tcW w:w="2315" w:type="dxa"/>
          </w:tcPr>
          <w:p>
            <w:pPr>
              <w:pStyle w:val="TableNAm"/>
            </w:pPr>
            <w:r>
              <w:t>Match periods</w:t>
            </w:r>
          </w:p>
        </w:tc>
        <w:tc>
          <w:tcPr>
            <w:tcW w:w="2316" w:type="dxa"/>
          </w:tcPr>
          <w:p>
            <w:pPr>
              <w:pStyle w:val="TableNAm"/>
            </w:pPr>
          </w:p>
        </w:tc>
      </w:tr>
      <w:tr>
        <w:tc>
          <w:tcPr>
            <w:tcW w:w="2315" w:type="dxa"/>
          </w:tcPr>
          <w:p>
            <w:pPr>
              <w:pStyle w:val="TableNAm"/>
            </w:pPr>
            <w:r>
              <w:lastRenderedPageBreak/>
              <w:t>Section 66 (aerial advertising)</w:t>
            </w:r>
          </w:p>
        </w:tc>
        <w:tc>
          <w:tcPr>
            <w:tcW w:w="2315" w:type="dxa"/>
          </w:tcPr>
          <w:p>
            <w:pPr>
              <w:pStyle w:val="TableNAm"/>
            </w:pPr>
            <w:r>
              <w:t>Match periods</w:t>
            </w:r>
          </w:p>
        </w:tc>
        <w:tc>
          <w:tcPr>
            <w:tcW w:w="2316" w:type="dxa"/>
          </w:tcPr>
          <w:p>
            <w:pPr>
              <w:pStyle w:val="TableNAm"/>
            </w:pPr>
          </w:p>
        </w:tc>
      </w:tr>
      <w:tr>
        <w:tc>
          <w:tcPr>
            <w:tcW w:w="2315" w:type="dxa"/>
          </w:tcPr>
          <w:p>
            <w:pPr>
              <w:pStyle w:val="TableNAm"/>
            </w:pPr>
            <w:r>
              <w:t>Section 67 (broadcasting or recording a major event)</w:t>
            </w:r>
          </w:p>
        </w:tc>
        <w:tc>
          <w:tcPr>
            <w:tcW w:w="2315" w:type="dxa"/>
          </w:tcPr>
          <w:p>
            <w:pPr>
              <w:pStyle w:val="TableNAm"/>
            </w:pPr>
            <w:r>
              <w:t>Match periods</w:t>
            </w:r>
          </w:p>
        </w:tc>
        <w:tc>
          <w:tcPr>
            <w:tcW w:w="2316" w:type="dxa"/>
          </w:tcPr>
          <w:p>
            <w:pPr>
              <w:pStyle w:val="TableNAm"/>
            </w:pPr>
            <w:r>
              <w:t>Fan festival operating hours</w:t>
            </w:r>
          </w:p>
        </w:tc>
      </w:tr>
    </w:tbl>
    <w:p>
      <w:pPr>
        <w:pStyle w:val="Heading3"/>
      </w:pPr>
      <w:bookmarkStart w:id="27" w:name="_Toc155097704"/>
      <w:r>
        <w:rPr>
          <w:rStyle w:val="CharDivNo"/>
        </w:rPr>
        <w:t>Division 3</w:t>
      </w:r>
      <w:r>
        <w:t> — </w:t>
      </w:r>
      <w:r>
        <w:rPr>
          <w:rStyle w:val="CharDivText"/>
        </w:rPr>
        <w:t>Official logos and titles for major event</w:t>
      </w:r>
      <w:bookmarkEnd w:id="27"/>
    </w:p>
    <w:p>
      <w:pPr>
        <w:pStyle w:val="Heading5"/>
      </w:pPr>
      <w:bookmarkStart w:id="28" w:name="_Toc155097705"/>
      <w:r>
        <w:rPr>
          <w:rStyle w:val="CharSectno"/>
        </w:rPr>
        <w:t>19</w:t>
      </w:r>
      <w:r>
        <w:t>.</w:t>
      </w:r>
      <w:r>
        <w:tab/>
        <w:t>Official logos</w:t>
      </w:r>
      <w:bookmarkEnd w:id="28"/>
    </w:p>
    <w:p>
      <w:pPr>
        <w:pStyle w:val="Subsection"/>
        <w:keepNext/>
      </w:pPr>
      <w:r>
        <w:tab/>
      </w:r>
      <w:r>
        <w:tab/>
        <w:t xml:space="preserve">For the purposes of section 68(1)(a) of the Act, each of the following is an official logo for the FIFA Women’s World Cup 2023 — </w:t>
      </w:r>
    </w:p>
    <w:p>
      <w:pPr>
        <w:pStyle w:val="Subsection"/>
        <w:tabs>
          <w:tab w:val="clear" w:pos="879"/>
          <w:tab w:val="left" w:pos="2977"/>
          <w:tab w:val="left" w:pos="5103"/>
        </w:tabs>
        <w:ind w:left="1276" w:hanging="312"/>
      </w:pPr>
      <w:r>
        <w:rPr>
          <w:noProof/>
        </w:rPr>
        <w:drawing>
          <wp:inline distT="0" distB="0" distL="0" distR="0">
            <wp:extent cx="989215" cy="2074025"/>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ular colourful official emblem, FIFA Women's World Cup AU NZ 2023, Play Off Tournament.jpg"/>
                    <pic:cNvPicPr/>
                  </pic:nvPicPr>
                  <pic:blipFill>
                    <a:blip r:embed="rId21">
                      <a:extLst>
                        <a:ext uri="{28A0092B-C50C-407E-A947-70E740481C1C}">
                          <a14:useLocalDpi xmlns:a14="http://schemas.microsoft.com/office/drawing/2010/main" val="0"/>
                        </a:ext>
                      </a:extLst>
                    </a:blip>
                    <a:stretch>
                      <a:fillRect/>
                    </a:stretch>
                  </pic:blipFill>
                  <pic:spPr>
                    <a:xfrm>
                      <a:off x="0" y="0"/>
                      <a:ext cx="989215" cy="2074025"/>
                    </a:xfrm>
                    <a:prstGeom prst="rect">
                      <a:avLst/>
                    </a:prstGeom>
                  </pic:spPr>
                </pic:pic>
              </a:graphicData>
            </a:graphic>
          </wp:inline>
        </w:drawing>
      </w:r>
      <w:r>
        <w:tab/>
      </w:r>
      <w:r>
        <w:rPr>
          <w:noProof/>
        </w:rPr>
        <w:drawing>
          <wp:inline distT="0" distB="0" distL="0" distR="0">
            <wp:extent cx="1054608" cy="1880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ular colourful official emblem, FIFA Women's World Cup AU NZ 20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4608" cy="1880616"/>
                    </a:xfrm>
                    <a:prstGeom prst="rect">
                      <a:avLst/>
                    </a:prstGeom>
                  </pic:spPr>
                </pic:pic>
              </a:graphicData>
            </a:graphic>
          </wp:inline>
        </w:drawing>
      </w:r>
      <w:r>
        <w:tab/>
      </w:r>
      <w:r>
        <w:rPr>
          <w:noProof/>
        </w:rPr>
        <w:drawing>
          <wp:inline distT="0" distB="0" distL="0" distR="0">
            <wp:extent cx="95250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ular colourful official emblem.jpg"/>
                    <pic:cNvPicPr/>
                  </pic:nvPicPr>
                  <pic:blipFill>
                    <a:blip r:embed="rId23">
                      <a:extLst>
                        <a:ext uri="{28A0092B-C50C-407E-A947-70E740481C1C}">
                          <a14:useLocalDpi xmlns:a14="http://schemas.microsoft.com/office/drawing/2010/main" val="0"/>
                        </a:ext>
                      </a:extLst>
                    </a:blip>
                    <a:stretch>
                      <a:fillRect/>
                    </a:stretch>
                  </pic:blipFill>
                  <pic:spPr>
                    <a:xfrm>
                      <a:off x="0" y="0"/>
                      <a:ext cx="952500" cy="933450"/>
                    </a:xfrm>
                    <a:prstGeom prst="rect">
                      <a:avLst/>
                    </a:prstGeom>
                  </pic:spPr>
                </pic:pic>
              </a:graphicData>
            </a:graphic>
          </wp:inline>
        </w:drawing>
      </w:r>
    </w:p>
    <w:p>
      <w:pPr>
        <w:pStyle w:val="Subsection"/>
        <w:ind w:hanging="312"/>
        <w:jc w:val="center"/>
      </w:pPr>
      <w:r>
        <w:rPr>
          <w:noProof/>
        </w:rPr>
        <w:lastRenderedPageBreak/>
        <w:drawing>
          <wp:inline distT="0" distB="0" distL="0" distR="0">
            <wp:extent cx="723900"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FA Women's World Cup 2023 Bid logo.jpg"/>
                    <pic:cNvPicPr/>
                  </pic:nvPicPr>
                  <pic:blipFill>
                    <a:blip r:embed="rId24">
                      <a:extLst>
                        <a:ext uri="{28A0092B-C50C-407E-A947-70E740481C1C}">
                          <a14:useLocalDpi xmlns:a14="http://schemas.microsoft.com/office/drawing/2010/main" val="0"/>
                        </a:ext>
                      </a:extLst>
                    </a:blip>
                    <a:stretch>
                      <a:fillRect/>
                    </a:stretch>
                  </pic:blipFill>
                  <pic:spPr>
                    <a:xfrm>
                      <a:off x="0" y="0"/>
                      <a:ext cx="723900" cy="952500"/>
                    </a:xfrm>
                    <a:prstGeom prst="rect">
                      <a:avLst/>
                    </a:prstGeom>
                  </pic:spPr>
                </pic:pic>
              </a:graphicData>
            </a:graphic>
          </wp:inline>
        </w:drawing>
      </w:r>
      <w:r>
        <w:rPr>
          <w:noProof/>
        </w:rPr>
        <w:drawing>
          <wp:inline distT="0" distB="0" distL="0" distR="0">
            <wp:extent cx="1384300" cy="30035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icial stylised trophy.jpg"/>
                    <pic:cNvPicPr/>
                  </pic:nvPicPr>
                  <pic:blipFill>
                    <a:blip r:embed="rId25">
                      <a:extLst>
                        <a:ext uri="{28A0092B-C50C-407E-A947-70E740481C1C}">
                          <a14:useLocalDpi xmlns:a14="http://schemas.microsoft.com/office/drawing/2010/main" val="0"/>
                        </a:ext>
                      </a:extLst>
                    </a:blip>
                    <a:stretch>
                      <a:fillRect/>
                    </a:stretch>
                  </pic:blipFill>
                  <pic:spPr>
                    <a:xfrm>
                      <a:off x="0" y="0"/>
                      <a:ext cx="1384300" cy="3003550"/>
                    </a:xfrm>
                    <a:prstGeom prst="rect">
                      <a:avLst/>
                    </a:prstGeom>
                  </pic:spPr>
                </pic:pic>
              </a:graphicData>
            </a:graphic>
          </wp:inline>
        </w:drawing>
      </w:r>
      <w:r>
        <w:rPr>
          <w:noProof/>
        </w:rPr>
        <w:drawing>
          <wp:inline distT="0" distB="0" distL="0" distR="0">
            <wp:extent cx="1703184" cy="1453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lunteers'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5571" cy="1464057"/>
                    </a:xfrm>
                    <a:prstGeom prst="rect">
                      <a:avLst/>
                    </a:prstGeom>
                  </pic:spPr>
                </pic:pic>
              </a:graphicData>
            </a:graphic>
          </wp:inline>
        </w:drawing>
      </w:r>
    </w:p>
    <w:p>
      <w:pPr>
        <w:pStyle w:val="Heading5"/>
      </w:pPr>
      <w:bookmarkStart w:id="29" w:name="_Toc155097706"/>
      <w:r>
        <w:rPr>
          <w:rStyle w:val="CharSectno"/>
        </w:rPr>
        <w:t>20</w:t>
      </w:r>
      <w:r>
        <w:t>.</w:t>
      </w:r>
      <w:r>
        <w:tab/>
        <w:t>Official titles</w:t>
      </w:r>
      <w:bookmarkEnd w:id="29"/>
    </w:p>
    <w:p>
      <w:pPr>
        <w:pStyle w:val="Subsection"/>
      </w:pPr>
      <w:r>
        <w:tab/>
      </w:r>
      <w:r>
        <w:tab/>
        <w:t xml:space="preserve">For the purposes of section 68(1)(b) of the Act, each of the following is an official title for the FIFA Women’s World Cup 2023 — </w:t>
      </w:r>
    </w:p>
    <w:p>
      <w:pPr>
        <w:pStyle w:val="Indenta"/>
      </w:pPr>
      <w:r>
        <w:tab/>
        <w:t>(a)</w:t>
      </w:r>
      <w:r>
        <w:tab/>
        <w:t>FIFA Women’s World Cup Australia &amp; New Zealand 2023;</w:t>
      </w:r>
    </w:p>
    <w:p>
      <w:pPr>
        <w:pStyle w:val="Indenta"/>
      </w:pPr>
      <w:r>
        <w:tab/>
        <w:t>(b)</w:t>
      </w:r>
      <w:r>
        <w:tab/>
      </w:r>
      <w:r>
        <w:rPr>
          <w:bCs/>
        </w:rPr>
        <w:t>Fédération Internationale de Football Association</w:t>
      </w:r>
      <w:r>
        <w:t xml:space="preserve">; </w:t>
      </w:r>
    </w:p>
    <w:p>
      <w:pPr>
        <w:pStyle w:val="Indenta"/>
      </w:pPr>
      <w:r>
        <w:tab/>
        <w:t>(c)</w:t>
      </w:r>
      <w:r>
        <w:tab/>
        <w:t xml:space="preserve">Football Women’s World Cup; </w:t>
      </w:r>
    </w:p>
    <w:p>
      <w:pPr>
        <w:pStyle w:val="Indenta"/>
      </w:pPr>
      <w:r>
        <w:tab/>
        <w:t>(d)</w:t>
      </w:r>
      <w:r>
        <w:tab/>
        <w:t>Football Women’s World Cup 2023;</w:t>
      </w:r>
    </w:p>
    <w:p>
      <w:pPr>
        <w:pStyle w:val="Indenta"/>
      </w:pPr>
      <w:r>
        <w:tab/>
        <w:t>(e)</w:t>
      </w:r>
      <w:r>
        <w:tab/>
        <w:t>Football Women’s World Cup Australia and New Zealand;</w:t>
      </w:r>
    </w:p>
    <w:p>
      <w:pPr>
        <w:pStyle w:val="Indenta"/>
      </w:pPr>
      <w:r>
        <w:tab/>
        <w:t>(f)</w:t>
      </w:r>
      <w:r>
        <w:tab/>
        <w:t>Football Women’s World Cup 2023 Australia and New Zealand;</w:t>
      </w:r>
    </w:p>
    <w:p>
      <w:pPr>
        <w:pStyle w:val="Indenta"/>
      </w:pPr>
      <w:r>
        <w:tab/>
        <w:t>(g)</w:t>
      </w:r>
      <w:r>
        <w:tab/>
        <w:t xml:space="preserve">FIFA Women’s World Cup; </w:t>
      </w:r>
    </w:p>
    <w:p>
      <w:pPr>
        <w:pStyle w:val="Indenta"/>
      </w:pPr>
      <w:r>
        <w:tab/>
        <w:t>(h)</w:t>
      </w:r>
      <w:r>
        <w:tab/>
        <w:t>FIFA Women’s World Cup 2023;</w:t>
      </w:r>
    </w:p>
    <w:p>
      <w:pPr>
        <w:pStyle w:val="Indenta"/>
      </w:pPr>
      <w:r>
        <w:lastRenderedPageBreak/>
        <w:tab/>
        <w:t>(i)</w:t>
      </w:r>
      <w:r>
        <w:tab/>
        <w:t>FIFA Women’s World Cup Australia and New Zealand;</w:t>
      </w:r>
    </w:p>
    <w:p>
      <w:pPr>
        <w:pStyle w:val="Indenta"/>
      </w:pPr>
      <w:r>
        <w:tab/>
        <w:t>(j)</w:t>
      </w:r>
      <w:r>
        <w:tab/>
        <w:t>FIFA Women’s World Cup 2023 Australia and New Zealand;</w:t>
      </w:r>
    </w:p>
    <w:p>
      <w:pPr>
        <w:pStyle w:val="Indenta"/>
      </w:pPr>
      <w:r>
        <w:tab/>
        <w:t>(k)</w:t>
      </w:r>
      <w:r>
        <w:tab/>
        <w:t>FWWC2023.</w:t>
      </w:r>
    </w:p>
    <w:p>
      <w:pPr>
        <w:pStyle w:val="Heading3"/>
      </w:pPr>
      <w:bookmarkStart w:id="30" w:name="_Toc155097707"/>
      <w:r>
        <w:rPr>
          <w:rStyle w:val="CharDivNo"/>
        </w:rPr>
        <w:t>Division 4</w:t>
      </w:r>
      <w:r>
        <w:t> — </w:t>
      </w:r>
      <w:r>
        <w:rPr>
          <w:rStyle w:val="CharDivText"/>
        </w:rPr>
        <w:t>Miscellaneous</w:t>
      </w:r>
      <w:bookmarkEnd w:id="30"/>
    </w:p>
    <w:p>
      <w:pPr>
        <w:pStyle w:val="Heading5"/>
      </w:pPr>
      <w:bookmarkStart w:id="31" w:name="_Toc155097708"/>
      <w:r>
        <w:rPr>
          <w:rStyle w:val="CharSectno"/>
        </w:rPr>
        <w:t>21</w:t>
      </w:r>
      <w:r>
        <w:t>.</w:t>
      </w:r>
      <w:r>
        <w:tab/>
        <w:t>Extended application of Act s. 49</w:t>
      </w:r>
      <w:bookmarkEnd w:id="31"/>
    </w:p>
    <w:p>
      <w:pPr>
        <w:pStyle w:val="Subsection"/>
      </w:pPr>
      <w:r>
        <w:tab/>
        <w:t>(1)</w:t>
      </w:r>
      <w:r>
        <w:tab/>
        <w:t>For the purposes of section 49(1)(h) of the Act, in its application to the FIFA Women’s World Cup 2023, displaying a poster on property, including on the outside of a building or structure, is prescribed.</w:t>
      </w:r>
    </w:p>
    <w:p>
      <w:pPr>
        <w:pStyle w:val="Subsection"/>
      </w:pPr>
      <w:r>
        <w:tab/>
        <w:t>(2)</w:t>
      </w:r>
      <w:r>
        <w:tab/>
        <w:t xml:space="preserve">Subregulation (1) does not apply to a poster that — </w:t>
      </w:r>
    </w:p>
    <w:p>
      <w:pPr>
        <w:pStyle w:val="Indenta"/>
      </w:pPr>
      <w:r>
        <w:tab/>
        <w:t>(a)</w:t>
      </w:r>
      <w:r>
        <w:tab/>
        <w:t>was displayed before 6 July 2023; and</w:t>
      </w:r>
    </w:p>
    <w:p>
      <w:pPr>
        <w:pStyle w:val="Indenta"/>
      </w:pPr>
      <w:r>
        <w:tab/>
        <w:t>(b)</w:t>
      </w:r>
      <w:r>
        <w:tab/>
        <w:t>was displayed in connection with the person’s ordinary activities for purposes unrelated to the FIFA Women’s World Cup 2023.</w:t>
      </w:r>
    </w:p>
    <w:p>
      <w:pPr>
        <w:pStyle w:val="PermNoteHeading"/>
      </w:pPr>
      <w:r>
        <w:tab/>
        <w:t>Note for this regulation:</w:t>
      </w:r>
    </w:p>
    <w:p>
      <w:pPr>
        <w:pStyle w:val="PermNoteText"/>
      </w:pPr>
      <w:r>
        <w:tab/>
      </w:r>
      <w:r>
        <w:tab/>
        <w:t>Regulation 15 provides for the major event areas in which, and the periods during which, section 49 of the Act applies to the FIFA Women’s World Cup 2023.</w:t>
      </w:r>
    </w:p>
    <w:p>
      <w:pPr>
        <w:pStyle w:val="Heading5"/>
      </w:pPr>
      <w:bookmarkStart w:id="32" w:name="_Toc155097709"/>
      <w:r>
        <w:rPr>
          <w:rStyle w:val="CharSectno"/>
        </w:rPr>
        <w:t>22</w:t>
      </w:r>
      <w:r>
        <w:t>.</w:t>
      </w:r>
      <w:r>
        <w:tab/>
        <w:t>Appointment of authorised officers</w:t>
      </w:r>
      <w:bookmarkEnd w:id="32"/>
      <w:r>
        <w:t xml:space="preserve"> </w:t>
      </w:r>
    </w:p>
    <w:p>
      <w:pPr>
        <w:pStyle w:val="Subsection"/>
      </w:pPr>
      <w:r>
        <w:tab/>
      </w:r>
      <w:r>
        <w:tab/>
        <w:t xml:space="preserve">For the purposes of section 73(3)(b)(ii) of the Act, it is a requirement that a person appointed as an authorised officer for the FIFA Women’s World Cup 2023 hold any licence the person to be appointed is required to hold under the </w:t>
      </w:r>
      <w:r>
        <w:rPr>
          <w:i/>
          <w:iCs/>
        </w:rPr>
        <w:t>Security and Related Activities (Control) Act 1996</w:t>
      </w:r>
      <w:r>
        <w:rPr>
          <w:iCs/>
        </w:rPr>
        <w:t xml:space="preserve"> in order </w:t>
      </w:r>
      <w:r>
        <w:t>to perform the functions that are conferred by the appointment.</w:t>
      </w:r>
    </w:p>
    <w:p>
      <w:pPr>
        <w:pStyle w:val="Heading5"/>
      </w:pPr>
      <w:bookmarkStart w:id="33" w:name="_Toc155097710"/>
      <w:r>
        <w:rPr>
          <w:rStyle w:val="CharSectno"/>
        </w:rPr>
        <w:lastRenderedPageBreak/>
        <w:t>23</w:t>
      </w:r>
      <w:r>
        <w:t>.</w:t>
      </w:r>
      <w:r>
        <w:tab/>
        <w:t>Eligibility for appointment as authorised officer</w:t>
      </w:r>
      <w:bookmarkEnd w:id="33"/>
    </w:p>
    <w:p>
      <w:pPr>
        <w:pStyle w:val="Subsection"/>
        <w:keepLines/>
      </w:pPr>
      <w:r>
        <w:tab/>
      </w:r>
      <w:r>
        <w:tab/>
        <w:t xml:space="preserve">For the purposes of section 74(1)(f) of the Act, holders of any of the following licences under the </w:t>
      </w:r>
      <w:r>
        <w:rPr>
          <w:i/>
        </w:rPr>
        <w:t>Security and Related Activities (Control) Act 1996</w:t>
      </w:r>
      <w:r>
        <w:t xml:space="preserve"> are prescribed in relation to the FIFA Women’s World Cup 2023 —</w:t>
      </w:r>
    </w:p>
    <w:p>
      <w:pPr>
        <w:pStyle w:val="Indenta"/>
      </w:pPr>
      <w:r>
        <w:tab/>
        <w:t>(a)</w:t>
      </w:r>
      <w:r>
        <w:tab/>
        <w:t>a security officer’s licence;</w:t>
      </w:r>
    </w:p>
    <w:p>
      <w:pPr>
        <w:pStyle w:val="Indenta"/>
      </w:pPr>
      <w:r>
        <w:tab/>
        <w:t>(b)</w:t>
      </w:r>
      <w:r>
        <w:tab/>
        <w:t>a crowd controller’s licence.</w:t>
      </w:r>
    </w:p>
    <w:p>
      <w:pPr>
        <w:pStyle w:val="Heading5"/>
      </w:pPr>
      <w:bookmarkStart w:id="34" w:name="_Toc155097711"/>
      <w:r>
        <w:rPr>
          <w:rStyle w:val="CharSectno"/>
        </w:rPr>
        <w:t>24</w:t>
      </w:r>
      <w:r>
        <w:t>.</w:t>
      </w:r>
      <w:r>
        <w:tab/>
        <w:t>Signs must be erected in major event areas and controlled areas</w:t>
      </w:r>
      <w:bookmarkEnd w:id="34"/>
    </w:p>
    <w:p>
      <w:pPr>
        <w:pStyle w:val="Subsection"/>
      </w:pPr>
      <w:r>
        <w:tab/>
        <w:t>(1)</w:t>
      </w:r>
      <w:r>
        <w:tab/>
        <w:t>The major event organiser must erect signs in or at the entrances to each major event area and controlled area for the FIFA Women’s World Cup 2023 that describe the powers that authorised officers and police officers have in those areas under the Act.</w:t>
      </w:r>
    </w:p>
    <w:p>
      <w:pPr>
        <w:pStyle w:val="Subsection"/>
      </w:pPr>
      <w:r>
        <w:tab/>
        <w:t>(2)</w:t>
      </w:r>
      <w:r>
        <w:tab/>
        <w:t>The signs must be in a form, and erected in locations, approved by the chief executive officer of the department.</w:t>
      </w:r>
    </w:p>
    <w:p>
      <w:pPr>
        <w:sectPr>
          <w:headerReference w:type="even" r:id="rId27"/>
          <w:headerReference w:type="default" r:id="rId28"/>
          <w:headerReference w:type="first" r:id="rId29"/>
          <w:endnotePr>
            <w:numFmt w:val="decimal"/>
          </w:endnotePr>
          <w:pgSz w:w="11907" w:h="16840" w:code="9"/>
          <w:pgMar w:top="2381" w:right="2410" w:bottom="3544" w:left="2410" w:header="720" w:footer="3544" w:gutter="0"/>
          <w:pgNumType w:start="1"/>
          <w:cols w:space="720"/>
          <w:noEndnote/>
          <w:titlePg/>
        </w:sectPr>
      </w:pPr>
    </w:p>
    <w:p>
      <w:pPr>
        <w:pStyle w:val="yScheduleHeading"/>
      </w:pPr>
      <w:bookmarkStart w:id="35" w:name="_Toc155097712"/>
      <w:r>
        <w:rPr>
          <w:rStyle w:val="CharSchNo"/>
        </w:rPr>
        <w:lastRenderedPageBreak/>
        <w:t>Schedule 1</w:t>
      </w:r>
      <w:r>
        <w:rPr>
          <w:rStyle w:val="CharSDivNo"/>
        </w:rPr>
        <w:t> </w:t>
      </w:r>
      <w:r>
        <w:t>—</w:t>
      </w:r>
      <w:r>
        <w:rPr>
          <w:rStyle w:val="CharSDivText"/>
        </w:rPr>
        <w:t> </w:t>
      </w:r>
      <w:r>
        <w:rPr>
          <w:rStyle w:val="CharSchText"/>
        </w:rPr>
        <w:t>Prescribed offences and modified penalties</w:t>
      </w:r>
      <w:bookmarkEnd w:id="35"/>
    </w:p>
    <w:p>
      <w:pPr>
        <w:pStyle w:val="yShoulderClause"/>
        <w:spacing w:after="120"/>
      </w:pPr>
      <w:r>
        <w:t>[r. 7]</w:t>
      </w: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988"/>
        <w:gridCol w:w="4819"/>
        <w:gridCol w:w="1276"/>
      </w:tblGrid>
      <w:tr>
        <w:trPr>
          <w:cantSplit/>
          <w:tblHeader/>
        </w:trPr>
        <w:tc>
          <w:tcPr>
            <w:tcW w:w="5807" w:type="dxa"/>
            <w:gridSpan w:val="2"/>
            <w:tcBorders>
              <w:bottom w:val="single" w:sz="4" w:space="0" w:color="auto"/>
            </w:tcBorders>
            <w:noWrap/>
          </w:tcPr>
          <w:p>
            <w:pPr>
              <w:pStyle w:val="yTableNAm"/>
              <w:jc w:val="center"/>
            </w:pPr>
            <w:r>
              <w:rPr>
                <w:b/>
                <w:szCs w:val="22"/>
              </w:rPr>
              <w:t>Offence under the Act</w:t>
            </w:r>
          </w:p>
        </w:tc>
        <w:tc>
          <w:tcPr>
            <w:tcW w:w="1276" w:type="dxa"/>
            <w:tcBorders>
              <w:bottom w:val="single" w:sz="4" w:space="0" w:color="auto"/>
            </w:tcBorders>
            <w:noWrap/>
          </w:tcPr>
          <w:p>
            <w:pPr>
              <w:pStyle w:val="yTableNAm"/>
              <w:jc w:val="center"/>
            </w:pPr>
            <w:r>
              <w:rPr>
                <w:b/>
                <w:szCs w:val="22"/>
              </w:rPr>
              <w:t>Modified penalty</w:t>
            </w:r>
          </w:p>
        </w:tc>
      </w:tr>
      <w:tr>
        <w:trPr>
          <w:cantSplit/>
        </w:trPr>
        <w:tc>
          <w:tcPr>
            <w:tcW w:w="988" w:type="dxa"/>
            <w:tcBorders>
              <w:top w:val="single" w:sz="4" w:space="0" w:color="auto"/>
              <w:bottom w:val="single" w:sz="4" w:space="0" w:color="auto"/>
            </w:tcBorders>
            <w:noWrap/>
          </w:tcPr>
          <w:p>
            <w:pPr>
              <w:pStyle w:val="yTableNAm"/>
            </w:pPr>
            <w:r>
              <w:rPr>
                <w:szCs w:val="22"/>
              </w:rPr>
              <w:t>s. 26(6)</w:t>
            </w:r>
          </w:p>
        </w:tc>
        <w:tc>
          <w:tcPr>
            <w:tcW w:w="4819" w:type="dxa"/>
            <w:tcBorders>
              <w:top w:val="single" w:sz="4" w:space="0" w:color="auto"/>
              <w:bottom w:val="single" w:sz="4" w:space="0" w:color="auto"/>
            </w:tcBorders>
            <w:noWrap/>
          </w:tcPr>
          <w:p>
            <w:pPr>
              <w:pStyle w:val="yTableNAm"/>
            </w:pPr>
            <w:r>
              <w:rPr>
                <w:szCs w:val="22"/>
              </w:rPr>
              <w:t>Enter, drive a vehicle on or use road in contravention of closure</w:t>
            </w:r>
          </w:p>
        </w:tc>
        <w:tc>
          <w:tcPr>
            <w:tcW w:w="1276" w:type="dxa"/>
            <w:tcBorders>
              <w:top w:val="single" w:sz="4" w:space="0" w:color="auto"/>
              <w:bottom w:val="single" w:sz="4" w:space="0" w:color="auto"/>
            </w:tcBorders>
            <w:noWrap/>
            <w:vAlign w:val="bottom"/>
          </w:tcPr>
          <w:p>
            <w:pPr>
              <w:pStyle w:val="yTableNAm"/>
              <w:jc w:val="center"/>
            </w:pPr>
            <w:r>
              <w:rPr>
                <w:szCs w:val="22"/>
              </w:rPr>
              <w:t>$200</w:t>
            </w:r>
          </w:p>
        </w:tc>
      </w:tr>
      <w:tr>
        <w:trPr>
          <w:cantSplit/>
        </w:trPr>
        <w:tc>
          <w:tcPr>
            <w:tcW w:w="988" w:type="dxa"/>
            <w:tcBorders>
              <w:top w:val="single" w:sz="4" w:space="0" w:color="auto"/>
              <w:bottom w:val="single" w:sz="4" w:space="0" w:color="auto"/>
            </w:tcBorders>
            <w:noWrap/>
          </w:tcPr>
          <w:p>
            <w:pPr>
              <w:pStyle w:val="yTableNAm"/>
            </w:pPr>
            <w:r>
              <w:rPr>
                <w:szCs w:val="22"/>
              </w:rPr>
              <w:t>s. 28(7)</w:t>
            </w:r>
          </w:p>
        </w:tc>
        <w:tc>
          <w:tcPr>
            <w:tcW w:w="4819" w:type="dxa"/>
            <w:tcBorders>
              <w:top w:val="single" w:sz="4" w:space="0" w:color="auto"/>
              <w:bottom w:val="single" w:sz="4" w:space="0" w:color="auto"/>
            </w:tcBorders>
            <w:noWrap/>
          </w:tcPr>
          <w:p>
            <w:pPr>
              <w:pStyle w:val="yTableNAm"/>
              <w:rPr>
                <w:szCs w:val="22"/>
              </w:rPr>
            </w:pPr>
            <w:r>
              <w:rPr>
                <w:szCs w:val="22"/>
              </w:rPr>
              <w:t>Enter, or navigate vessel in, waters in contravention of closure</w:t>
            </w:r>
          </w:p>
        </w:tc>
        <w:tc>
          <w:tcPr>
            <w:tcW w:w="1276" w:type="dxa"/>
            <w:tcBorders>
              <w:top w:val="single" w:sz="4" w:space="0" w:color="auto"/>
              <w:bottom w:val="single" w:sz="4" w:space="0" w:color="auto"/>
            </w:tcBorders>
            <w:noWrap/>
            <w:vAlign w:val="bottom"/>
          </w:tcPr>
          <w:p>
            <w:pPr>
              <w:pStyle w:val="yTableNAm"/>
              <w:jc w:val="center"/>
            </w:pPr>
            <w:r>
              <w:rPr>
                <w:szCs w:val="22"/>
              </w:rPr>
              <w:t>$200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32(1)</w:t>
            </w:r>
          </w:p>
        </w:tc>
        <w:tc>
          <w:tcPr>
            <w:tcW w:w="4819" w:type="dxa"/>
            <w:tcBorders>
              <w:top w:val="single" w:sz="4" w:space="0" w:color="auto"/>
              <w:bottom w:val="single" w:sz="4" w:space="0" w:color="auto"/>
            </w:tcBorders>
            <w:noWrap/>
          </w:tcPr>
          <w:p>
            <w:pPr>
              <w:pStyle w:val="yTableNAm"/>
              <w:rPr>
                <w:szCs w:val="22"/>
              </w:rPr>
            </w:pPr>
            <w:r>
              <w:rPr>
                <w:szCs w:val="22"/>
              </w:rPr>
              <w:t>Drive a vehicle in a major event lane without authorisation</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35(4)</w:t>
            </w:r>
          </w:p>
        </w:tc>
        <w:tc>
          <w:tcPr>
            <w:tcW w:w="4819" w:type="dxa"/>
            <w:tcBorders>
              <w:top w:val="single" w:sz="4" w:space="0" w:color="auto"/>
              <w:bottom w:val="single" w:sz="4" w:space="0" w:color="auto"/>
            </w:tcBorders>
            <w:noWrap/>
          </w:tcPr>
          <w:p>
            <w:pPr>
              <w:pStyle w:val="yTableNAm"/>
              <w:rPr>
                <w:szCs w:val="22"/>
              </w:rPr>
            </w:pPr>
            <w:r>
              <w:rPr>
                <w:szCs w:val="22"/>
              </w:rPr>
              <w:t>Park or leave vehicle in prohibited area</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35(5)</w:t>
            </w:r>
          </w:p>
        </w:tc>
        <w:tc>
          <w:tcPr>
            <w:tcW w:w="4819" w:type="dxa"/>
            <w:tcBorders>
              <w:top w:val="single" w:sz="4" w:space="0" w:color="auto"/>
              <w:bottom w:val="single" w:sz="4" w:space="0" w:color="auto"/>
            </w:tcBorders>
            <w:noWrap/>
          </w:tcPr>
          <w:p>
            <w:pPr>
              <w:pStyle w:val="yTableNAm"/>
              <w:rPr>
                <w:szCs w:val="22"/>
              </w:rPr>
            </w:pPr>
            <w:r>
              <w:rPr>
                <w:szCs w:val="22"/>
              </w:rPr>
              <w:t>Moor, anchor or leave vessel in prohibited area</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38(1)</w:t>
            </w:r>
          </w:p>
        </w:tc>
        <w:tc>
          <w:tcPr>
            <w:tcW w:w="4819" w:type="dxa"/>
            <w:tcBorders>
              <w:top w:val="single" w:sz="4" w:space="0" w:color="auto"/>
              <w:bottom w:val="single" w:sz="4" w:space="0" w:color="auto"/>
            </w:tcBorders>
            <w:noWrap/>
          </w:tcPr>
          <w:p>
            <w:pPr>
              <w:pStyle w:val="yTableNAm"/>
              <w:rPr>
                <w:szCs w:val="22"/>
              </w:rPr>
            </w:pPr>
            <w:r>
              <w:rPr>
                <w:szCs w:val="22"/>
              </w:rPr>
              <w:t>Enter area otherwise than through designated entrance</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$200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38(2)</w:t>
            </w:r>
          </w:p>
        </w:tc>
        <w:tc>
          <w:tcPr>
            <w:tcW w:w="4819" w:type="dxa"/>
            <w:tcBorders>
              <w:top w:val="single" w:sz="4" w:space="0" w:color="auto"/>
              <w:bottom w:val="single" w:sz="4" w:space="0" w:color="auto"/>
            </w:tcBorders>
            <w:noWrap/>
          </w:tcPr>
          <w:p>
            <w:pPr>
              <w:pStyle w:val="yTableNAm"/>
              <w:rPr>
                <w:szCs w:val="22"/>
              </w:rPr>
            </w:pPr>
            <w:r>
              <w:rPr>
                <w:szCs w:val="22"/>
              </w:rPr>
              <w:t>Exit area otherwise than through designated exit</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$200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39(1)</w:t>
            </w:r>
          </w:p>
        </w:tc>
        <w:tc>
          <w:tcPr>
            <w:tcW w:w="4819" w:type="dxa"/>
            <w:tcBorders>
              <w:top w:val="single" w:sz="4" w:space="0" w:color="auto"/>
              <w:bottom w:val="single" w:sz="4" w:space="0" w:color="auto"/>
            </w:tcBorders>
            <w:noWrap/>
          </w:tcPr>
          <w:p>
            <w:pPr>
              <w:pStyle w:val="yTableNAm"/>
              <w:rPr>
                <w:szCs w:val="22"/>
              </w:rPr>
            </w:pPr>
            <w:r>
              <w:rPr>
                <w:szCs w:val="22"/>
              </w:rPr>
              <w:t>Enter or remain in area without paying fee or holding evidence that fee has been paid</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41(1)</w:t>
            </w:r>
          </w:p>
        </w:tc>
        <w:tc>
          <w:tcPr>
            <w:tcW w:w="4819" w:type="dxa"/>
            <w:tcBorders>
              <w:top w:val="single" w:sz="4" w:space="0" w:color="auto"/>
              <w:bottom w:val="single" w:sz="4" w:space="0" w:color="auto"/>
            </w:tcBorders>
            <w:noWrap/>
          </w:tcPr>
          <w:p>
            <w:pPr>
              <w:pStyle w:val="yTableNAm"/>
              <w:rPr>
                <w:szCs w:val="22"/>
              </w:rPr>
            </w:pPr>
            <w:r>
              <w:rPr>
                <w:szCs w:val="22"/>
              </w:rPr>
              <w:t>Enter or remain on playing field, competition or performance area</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$1 000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42(4)</w:t>
            </w:r>
          </w:p>
        </w:tc>
        <w:tc>
          <w:tcPr>
            <w:tcW w:w="4819" w:type="dxa"/>
            <w:tcBorders>
              <w:top w:val="single" w:sz="4" w:space="0" w:color="auto"/>
              <w:bottom w:val="single" w:sz="4" w:space="0" w:color="auto"/>
            </w:tcBorders>
            <w:noWrap/>
          </w:tcPr>
          <w:p>
            <w:pPr>
              <w:pStyle w:val="yTableNAm"/>
              <w:rPr>
                <w:szCs w:val="22"/>
              </w:rPr>
            </w:pPr>
            <w:r>
              <w:rPr>
                <w:szCs w:val="22"/>
              </w:rPr>
              <w:t>Enter or remain in restricted area</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43(1)</w:t>
            </w:r>
          </w:p>
        </w:tc>
        <w:tc>
          <w:tcPr>
            <w:tcW w:w="4819" w:type="dxa"/>
            <w:tcBorders>
              <w:top w:val="single" w:sz="4" w:space="0" w:color="auto"/>
              <w:bottom w:val="single" w:sz="4" w:space="0" w:color="auto"/>
            </w:tcBorders>
            <w:noWrap/>
          </w:tcPr>
          <w:p>
            <w:pPr>
              <w:pStyle w:val="yTableNAm"/>
              <w:rPr>
                <w:szCs w:val="22"/>
              </w:rPr>
            </w:pPr>
            <w:r>
              <w:rPr>
                <w:szCs w:val="22"/>
              </w:rPr>
              <w:t>Bring vehicle into area on road that is not open to public</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44(1)</w:t>
            </w:r>
          </w:p>
        </w:tc>
        <w:tc>
          <w:tcPr>
            <w:tcW w:w="4819" w:type="dxa"/>
            <w:tcBorders>
              <w:top w:val="single" w:sz="4" w:space="0" w:color="auto"/>
              <w:bottom w:val="single" w:sz="4" w:space="0" w:color="auto"/>
            </w:tcBorders>
            <w:noWrap/>
          </w:tcPr>
          <w:p>
            <w:pPr>
              <w:pStyle w:val="yTableNAm"/>
              <w:rPr>
                <w:szCs w:val="22"/>
              </w:rPr>
            </w:pPr>
            <w:r>
              <w:rPr>
                <w:szCs w:val="22"/>
              </w:rPr>
              <w:t>Bring or be in possession of prohibited item</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45(1)</w:t>
            </w:r>
          </w:p>
        </w:tc>
        <w:tc>
          <w:tcPr>
            <w:tcW w:w="4819" w:type="dxa"/>
            <w:tcBorders>
              <w:top w:val="single" w:sz="4" w:space="0" w:color="auto"/>
              <w:bottom w:val="single" w:sz="4" w:space="0" w:color="auto"/>
            </w:tcBorders>
            <w:noWrap/>
          </w:tcPr>
          <w:p>
            <w:pPr>
              <w:pStyle w:val="yTableNAm"/>
              <w:rPr>
                <w:szCs w:val="22"/>
              </w:rPr>
            </w:pPr>
            <w:r>
              <w:rPr>
                <w:szCs w:val="22"/>
              </w:rPr>
              <w:t>Throw or propel anything that may injure a person or damage property</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$1 000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lastRenderedPageBreak/>
              <w:t>s. 45(2)</w:t>
            </w:r>
          </w:p>
        </w:tc>
        <w:tc>
          <w:tcPr>
            <w:tcW w:w="4819" w:type="dxa"/>
            <w:tcBorders>
              <w:top w:val="single" w:sz="4" w:space="0" w:color="auto"/>
              <w:bottom w:val="single" w:sz="4" w:space="0" w:color="auto"/>
            </w:tcBorders>
            <w:noWrap/>
          </w:tcPr>
          <w:p>
            <w:pPr>
              <w:pStyle w:val="yTableNAm"/>
              <w:rPr>
                <w:szCs w:val="22"/>
              </w:rPr>
            </w:pPr>
            <w:r>
              <w:rPr>
                <w:szCs w:val="22"/>
              </w:rPr>
              <w:t>Throw or propel anything that may disrupt major event</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46(1)</w:t>
            </w:r>
          </w:p>
        </w:tc>
        <w:tc>
          <w:tcPr>
            <w:tcW w:w="4819" w:type="dxa"/>
            <w:tcBorders>
              <w:top w:val="single" w:sz="4" w:space="0" w:color="auto"/>
              <w:bottom w:val="single" w:sz="4" w:space="0" w:color="auto"/>
            </w:tcBorders>
            <w:noWrap/>
          </w:tcPr>
          <w:p>
            <w:pPr>
              <w:pStyle w:val="yTableNAm"/>
              <w:rPr>
                <w:szCs w:val="22"/>
              </w:rPr>
            </w:pPr>
            <w:r>
              <w:rPr>
                <w:szCs w:val="22"/>
              </w:rPr>
              <w:t>Obstruct performer or participant</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$1 000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47(1)</w:t>
            </w:r>
          </w:p>
        </w:tc>
        <w:tc>
          <w:tcPr>
            <w:tcW w:w="4819" w:type="dxa"/>
            <w:tcBorders>
              <w:top w:val="single" w:sz="4" w:space="0" w:color="auto"/>
              <w:bottom w:val="single" w:sz="4" w:space="0" w:color="auto"/>
            </w:tcBorders>
            <w:noWrap/>
          </w:tcPr>
          <w:p>
            <w:pPr>
              <w:pStyle w:val="yTableNAm"/>
              <w:rPr>
                <w:szCs w:val="22"/>
              </w:rPr>
            </w:pPr>
            <w:r>
              <w:rPr>
                <w:szCs w:val="22"/>
              </w:rPr>
              <w:t>Bring liquor into major event area</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$200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47(4)</w:t>
            </w:r>
          </w:p>
        </w:tc>
        <w:tc>
          <w:tcPr>
            <w:tcW w:w="4819" w:type="dxa"/>
            <w:tcBorders>
              <w:top w:val="single" w:sz="4" w:space="0" w:color="auto"/>
              <w:bottom w:val="single" w:sz="4" w:space="0" w:color="auto"/>
            </w:tcBorders>
            <w:noWrap/>
          </w:tcPr>
          <w:p>
            <w:pPr>
              <w:pStyle w:val="yTableNAm"/>
              <w:rPr>
                <w:szCs w:val="22"/>
              </w:rPr>
            </w:pPr>
            <w:r>
              <w:rPr>
                <w:szCs w:val="22"/>
              </w:rPr>
              <w:t>Consume liquor in prohibited area</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$200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49(1)</w:t>
            </w:r>
          </w:p>
        </w:tc>
        <w:tc>
          <w:tcPr>
            <w:tcW w:w="4819" w:type="dxa"/>
            <w:tcBorders>
              <w:top w:val="single" w:sz="4" w:space="0" w:color="auto"/>
              <w:bottom w:val="single" w:sz="4" w:space="0" w:color="auto"/>
            </w:tcBorders>
            <w:noWrap/>
          </w:tcPr>
          <w:p>
            <w:pPr>
              <w:pStyle w:val="yTableNAm"/>
              <w:rPr>
                <w:szCs w:val="22"/>
              </w:rPr>
            </w:pPr>
            <w:r>
              <w:rPr>
                <w:szCs w:val="22"/>
              </w:rPr>
              <w:t xml:space="preserve">Engage in prohibited conduct </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57(3)</w:t>
            </w:r>
          </w:p>
        </w:tc>
        <w:tc>
          <w:tcPr>
            <w:tcW w:w="4819" w:type="dxa"/>
            <w:tcBorders>
              <w:top w:val="single" w:sz="4" w:space="0" w:color="auto"/>
              <w:bottom w:val="single" w:sz="4" w:space="0" w:color="auto"/>
            </w:tcBorders>
            <w:noWrap/>
          </w:tcPr>
          <w:p>
            <w:pPr>
              <w:pStyle w:val="yTableNAm"/>
              <w:rPr>
                <w:szCs w:val="22"/>
              </w:rPr>
            </w:pPr>
            <w:r>
              <w:rPr>
                <w:szCs w:val="22"/>
              </w:rPr>
              <w:t>Fail to comply with direction to leave</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58(3)</w:t>
            </w:r>
          </w:p>
        </w:tc>
        <w:tc>
          <w:tcPr>
            <w:tcW w:w="4819" w:type="dxa"/>
            <w:tcBorders>
              <w:top w:val="single" w:sz="4" w:space="0" w:color="auto"/>
              <w:bottom w:val="single" w:sz="4" w:space="0" w:color="auto"/>
            </w:tcBorders>
            <w:noWrap/>
          </w:tcPr>
          <w:p>
            <w:pPr>
              <w:pStyle w:val="yTableNAm"/>
              <w:rPr>
                <w:szCs w:val="22"/>
              </w:rPr>
            </w:pPr>
            <w:r>
              <w:rPr>
                <w:szCs w:val="22"/>
              </w:rPr>
              <w:t>Fail to comply with entry ban</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$800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61(1)</w:t>
            </w:r>
          </w:p>
        </w:tc>
        <w:tc>
          <w:tcPr>
            <w:tcW w:w="4819" w:type="dxa"/>
            <w:tcBorders>
              <w:top w:val="single" w:sz="4" w:space="0" w:color="auto"/>
              <w:bottom w:val="single" w:sz="4" w:space="0" w:color="auto"/>
            </w:tcBorders>
            <w:noWrap/>
          </w:tcPr>
          <w:p>
            <w:pPr>
              <w:pStyle w:val="yTableNAm"/>
              <w:rPr>
                <w:szCs w:val="22"/>
              </w:rPr>
            </w:pPr>
            <w:r>
              <w:rPr>
                <w:szCs w:val="22"/>
              </w:rPr>
              <w:t>Sell or distribute thing on road or in public place</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$700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61(5)</w:t>
            </w:r>
          </w:p>
        </w:tc>
        <w:tc>
          <w:tcPr>
            <w:tcW w:w="4819" w:type="dxa"/>
            <w:tcBorders>
              <w:top w:val="single" w:sz="4" w:space="0" w:color="auto"/>
              <w:bottom w:val="single" w:sz="4" w:space="0" w:color="auto"/>
            </w:tcBorders>
            <w:noWrap/>
          </w:tcPr>
          <w:p>
            <w:pPr>
              <w:pStyle w:val="yTableNAm"/>
              <w:rPr>
                <w:szCs w:val="22"/>
              </w:rPr>
            </w:pPr>
            <w:r>
              <w:rPr>
                <w:szCs w:val="22"/>
              </w:rPr>
              <w:t>Fail to comply with direction to remove thing</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62(1)</w:t>
            </w:r>
          </w:p>
        </w:tc>
        <w:tc>
          <w:tcPr>
            <w:tcW w:w="4819" w:type="dxa"/>
            <w:tcBorders>
              <w:top w:val="single" w:sz="4" w:space="0" w:color="auto"/>
              <w:bottom w:val="single" w:sz="4" w:space="0" w:color="auto"/>
            </w:tcBorders>
            <w:noWrap/>
          </w:tcPr>
          <w:p>
            <w:pPr>
              <w:pStyle w:val="yTableNAm"/>
              <w:rPr>
                <w:szCs w:val="22"/>
              </w:rPr>
            </w:pPr>
            <w:r>
              <w:rPr>
                <w:szCs w:val="22"/>
              </w:rPr>
              <w:t>Promote a person, service or thing</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$1 500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62(2)</w:t>
            </w:r>
          </w:p>
        </w:tc>
        <w:tc>
          <w:tcPr>
            <w:tcW w:w="4819" w:type="dxa"/>
            <w:tcBorders>
              <w:top w:val="single" w:sz="4" w:space="0" w:color="auto"/>
              <w:bottom w:val="single" w:sz="4" w:space="0" w:color="auto"/>
            </w:tcBorders>
            <w:noWrap/>
          </w:tcPr>
          <w:p>
            <w:pPr>
              <w:pStyle w:val="yTableNAm"/>
              <w:rPr>
                <w:szCs w:val="22"/>
              </w:rPr>
            </w:pPr>
            <w:r>
              <w:rPr>
                <w:szCs w:val="22"/>
              </w:rPr>
              <w:t>Do anything that suggests that a person, service or thing is an affiliate of a major event</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$1 500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62(6)</w:t>
            </w:r>
          </w:p>
        </w:tc>
        <w:tc>
          <w:tcPr>
            <w:tcW w:w="4819" w:type="dxa"/>
            <w:tcBorders>
              <w:top w:val="single" w:sz="4" w:space="0" w:color="auto"/>
              <w:bottom w:val="single" w:sz="4" w:space="0" w:color="auto"/>
            </w:tcBorders>
            <w:noWrap/>
          </w:tcPr>
          <w:p>
            <w:pPr>
              <w:pStyle w:val="yTableNAm"/>
              <w:rPr>
                <w:szCs w:val="22"/>
              </w:rPr>
            </w:pPr>
            <w:r>
              <w:rPr>
                <w:szCs w:val="22"/>
              </w:rPr>
              <w:t>Fail to comply with direction to remove or cover thing</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$300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63(1)</w:t>
            </w:r>
          </w:p>
        </w:tc>
        <w:tc>
          <w:tcPr>
            <w:tcW w:w="4819" w:type="dxa"/>
            <w:tcBorders>
              <w:top w:val="single" w:sz="4" w:space="0" w:color="auto"/>
              <w:bottom w:val="single" w:sz="4" w:space="0" w:color="auto"/>
            </w:tcBorders>
            <w:noWrap/>
          </w:tcPr>
          <w:p>
            <w:pPr>
              <w:pStyle w:val="yTableNAm"/>
              <w:rPr>
                <w:szCs w:val="22"/>
              </w:rPr>
            </w:pPr>
            <w:r>
              <w:rPr>
                <w:szCs w:val="22"/>
              </w:rPr>
              <w:t>Display advertisement on building or structure</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$10 000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64(1)</w:t>
            </w:r>
          </w:p>
        </w:tc>
        <w:tc>
          <w:tcPr>
            <w:tcW w:w="4819" w:type="dxa"/>
            <w:tcBorders>
              <w:top w:val="single" w:sz="4" w:space="0" w:color="auto"/>
              <w:bottom w:val="single" w:sz="4" w:space="0" w:color="auto"/>
            </w:tcBorders>
            <w:noWrap/>
          </w:tcPr>
          <w:p>
            <w:pPr>
              <w:pStyle w:val="yTableNAm"/>
              <w:rPr>
                <w:szCs w:val="22"/>
              </w:rPr>
            </w:pPr>
            <w:r>
              <w:rPr>
                <w:szCs w:val="22"/>
              </w:rPr>
              <w:t>Display advertisement on, attached to or towed by vehicle</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$5 500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65(1)</w:t>
            </w:r>
          </w:p>
        </w:tc>
        <w:tc>
          <w:tcPr>
            <w:tcW w:w="4819" w:type="dxa"/>
            <w:tcBorders>
              <w:top w:val="single" w:sz="4" w:space="0" w:color="auto"/>
              <w:bottom w:val="single" w:sz="4" w:space="0" w:color="auto"/>
            </w:tcBorders>
            <w:noWrap/>
          </w:tcPr>
          <w:p>
            <w:pPr>
              <w:pStyle w:val="yTableNAm"/>
              <w:rPr>
                <w:szCs w:val="22"/>
              </w:rPr>
            </w:pPr>
            <w:r>
              <w:rPr>
                <w:szCs w:val="22"/>
              </w:rPr>
              <w:t>Display advertisement on, attached to or towed by vessel</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$5 500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67(2)</w:t>
            </w:r>
          </w:p>
        </w:tc>
        <w:tc>
          <w:tcPr>
            <w:tcW w:w="4819" w:type="dxa"/>
            <w:tcBorders>
              <w:top w:val="single" w:sz="4" w:space="0" w:color="auto"/>
              <w:bottom w:val="single" w:sz="4" w:space="0" w:color="auto"/>
            </w:tcBorders>
            <w:noWrap/>
          </w:tcPr>
          <w:p>
            <w:pPr>
              <w:pStyle w:val="yTableNAm"/>
              <w:rPr>
                <w:szCs w:val="22"/>
              </w:rPr>
            </w:pPr>
            <w:r>
              <w:rPr>
                <w:szCs w:val="22"/>
              </w:rPr>
              <w:t>Broadcast or record major event without authorisation</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$5 500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lastRenderedPageBreak/>
              <w:t>s. 70(2)</w:t>
            </w:r>
          </w:p>
        </w:tc>
        <w:tc>
          <w:tcPr>
            <w:tcW w:w="4819" w:type="dxa"/>
            <w:tcBorders>
              <w:top w:val="single" w:sz="4" w:space="0" w:color="auto"/>
              <w:bottom w:val="single" w:sz="4" w:space="0" w:color="auto"/>
            </w:tcBorders>
            <w:noWrap/>
          </w:tcPr>
          <w:p>
            <w:pPr>
              <w:pStyle w:val="yTableNAm"/>
              <w:rPr>
                <w:szCs w:val="22"/>
              </w:rPr>
            </w:pPr>
            <w:r>
              <w:rPr>
                <w:szCs w:val="22"/>
              </w:rPr>
              <w:t>Use official logo or official title or logo or title that is substantially identical or deceptively similar</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$5 500</w:t>
            </w:r>
          </w:p>
        </w:tc>
      </w:tr>
      <w:tr>
        <w:trPr>
          <w:cantSplit/>
        </w:trPr>
        <w:tc>
          <w:tcPr>
            <w:tcW w:w="988" w:type="dxa"/>
            <w:tcBorders>
              <w:top w:val="single" w:sz="4" w:space="0" w:color="auto"/>
              <w:bottom w:val="single" w:sz="4" w:space="0" w:color="auto"/>
            </w:tcBorders>
            <w:noWrap/>
          </w:tcPr>
          <w:p>
            <w:pPr>
              <w:pStyle w:val="yTableNAm"/>
              <w:rPr>
                <w:szCs w:val="22"/>
              </w:rPr>
            </w:pPr>
            <w:r>
              <w:rPr>
                <w:szCs w:val="22"/>
              </w:rPr>
              <w:t>s. 77</w:t>
            </w:r>
          </w:p>
        </w:tc>
        <w:tc>
          <w:tcPr>
            <w:tcW w:w="4819" w:type="dxa"/>
            <w:tcBorders>
              <w:top w:val="single" w:sz="4" w:space="0" w:color="auto"/>
              <w:bottom w:val="single" w:sz="4" w:space="0" w:color="auto"/>
            </w:tcBorders>
            <w:noWrap/>
          </w:tcPr>
          <w:p>
            <w:pPr>
              <w:pStyle w:val="yTableNAm"/>
              <w:rPr>
                <w:szCs w:val="22"/>
              </w:rPr>
            </w:pPr>
            <w:r>
              <w:rPr>
                <w:szCs w:val="22"/>
              </w:rPr>
              <w:t>Impersonate authorised officer</w:t>
            </w:r>
          </w:p>
        </w:tc>
        <w:tc>
          <w:tcPr>
            <w:tcW w:w="1276" w:type="dxa"/>
            <w:tcBorders>
              <w:top w:val="single" w:sz="4" w:space="0" w:color="auto"/>
              <w:bottom w:val="single" w:sz="4" w:space="0" w:color="auto"/>
            </w:tcBorders>
            <w:noWrap/>
            <w:vAlign w:val="bottom"/>
          </w:tcPr>
          <w:p>
            <w:pPr>
              <w:pStyle w:val="yTableNAm"/>
              <w:jc w:val="center"/>
              <w:rPr>
                <w:szCs w:val="22"/>
              </w:rPr>
            </w:pPr>
            <w:r>
              <w:rPr>
                <w:szCs w:val="22"/>
              </w:rPr>
              <w:t>$1 000</w:t>
            </w:r>
          </w:p>
        </w:tc>
      </w:tr>
    </w:tbl>
    <w:p>
      <w:pPr>
        <w:pStyle w:val="yScheduleHeading"/>
      </w:pPr>
      <w:bookmarkStart w:id="36" w:name="_Toc155097713"/>
      <w:r>
        <w:rPr>
          <w:rStyle w:val="CharSchNo"/>
        </w:rPr>
        <w:lastRenderedPageBreak/>
        <w:t>Schedule 2</w:t>
      </w:r>
      <w:r>
        <w:rPr>
          <w:rStyle w:val="CharSDivNo"/>
        </w:rPr>
        <w:t> </w:t>
      </w:r>
      <w:r>
        <w:t>—</w:t>
      </w:r>
      <w:r>
        <w:rPr>
          <w:rStyle w:val="CharSDivText"/>
        </w:rPr>
        <w:t> </w:t>
      </w:r>
      <w:r>
        <w:rPr>
          <w:rStyle w:val="CharSchText"/>
        </w:rPr>
        <w:t>Infringement notice forms</w:t>
      </w:r>
      <w:bookmarkEnd w:id="36"/>
    </w:p>
    <w:p>
      <w:pPr>
        <w:pStyle w:val="yShoulderClause"/>
      </w:pPr>
      <w:r>
        <w:t>[r. 9]</w:t>
      </w:r>
    </w:p>
    <w:p>
      <w:pPr>
        <w:pStyle w:val="yMiscellaneousHeading"/>
        <w:spacing w:after="60"/>
        <w:jc w:val="left"/>
        <w:rPr>
          <w:b/>
        </w:rPr>
      </w:pPr>
      <w:r>
        <w:rPr>
          <w:rStyle w:val="CharSClsNo"/>
          <w:b/>
        </w:rPr>
        <w:t>Form 1</w:t>
      </w:r>
      <w:r>
        <w:rPr>
          <w:b/>
        </w:rPr>
        <w:t> — Infringement notice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283"/>
        <w:gridCol w:w="1560"/>
        <w:gridCol w:w="567"/>
        <w:gridCol w:w="425"/>
        <w:gridCol w:w="1559"/>
      </w:tblGrid>
      <w:tr>
        <w:trPr>
          <w:trHeight w:val="282"/>
          <w:jc w:val="center"/>
        </w:trPr>
        <w:tc>
          <w:tcPr>
            <w:tcW w:w="4820" w:type="dxa"/>
            <w:gridSpan w:val="5"/>
            <w:noWrap/>
          </w:tcPr>
          <w:p>
            <w:pPr>
              <w:pStyle w:val="yTableNAm"/>
            </w:pPr>
            <w:r>
              <w:rPr>
                <w:i/>
              </w:rPr>
              <w:t>Major Events Act 2023</w:t>
            </w:r>
          </w:p>
          <w:p>
            <w:pPr>
              <w:pStyle w:val="yTableNAm"/>
              <w:jc w:val="center"/>
              <w:rPr>
                <w:b/>
                <w:sz w:val="28"/>
              </w:rPr>
            </w:pPr>
            <w:r>
              <w:rPr>
                <w:b/>
                <w:sz w:val="28"/>
              </w:rPr>
              <w:t>INFRINGEMENT NOTICE</w:t>
            </w:r>
          </w:p>
        </w:tc>
        <w:tc>
          <w:tcPr>
            <w:tcW w:w="1984" w:type="dxa"/>
            <w:gridSpan w:val="2"/>
            <w:noWrap/>
          </w:tcPr>
          <w:p>
            <w:pPr>
              <w:pStyle w:val="yTableNAm"/>
            </w:pPr>
            <w:r>
              <w:t xml:space="preserve">Infringement </w:t>
            </w:r>
            <w:r>
              <w:br/>
              <w:t>notice no.</w:t>
            </w:r>
          </w:p>
        </w:tc>
      </w:tr>
      <w:tr>
        <w:trPr>
          <w:trHeight w:val="150"/>
          <w:jc w:val="center"/>
        </w:trPr>
        <w:tc>
          <w:tcPr>
            <w:tcW w:w="1134" w:type="dxa"/>
            <w:vMerge w:val="restart"/>
            <w:noWrap/>
          </w:tcPr>
          <w:p>
            <w:pPr>
              <w:pStyle w:val="yTableNAm"/>
            </w:pPr>
            <w:r>
              <w:rPr>
                <w:b/>
              </w:rPr>
              <w:t>Alleged offender</w:t>
            </w:r>
          </w:p>
        </w:tc>
        <w:tc>
          <w:tcPr>
            <w:tcW w:w="1559" w:type="dxa"/>
            <w:gridSpan w:val="2"/>
            <w:vMerge w:val="restart"/>
            <w:noWrap/>
          </w:tcPr>
          <w:p>
            <w:pPr>
              <w:pStyle w:val="yTableNAm"/>
            </w:pPr>
            <w:r>
              <w:t>Name</w:t>
            </w:r>
          </w:p>
        </w:tc>
        <w:tc>
          <w:tcPr>
            <w:tcW w:w="4111" w:type="dxa"/>
            <w:gridSpan w:val="4"/>
            <w:noWrap/>
          </w:tcPr>
          <w:p>
            <w:pPr>
              <w:pStyle w:val="yTableNAm"/>
            </w:pPr>
          </w:p>
        </w:tc>
      </w:tr>
      <w:tr>
        <w:trPr>
          <w:trHeight w:val="150"/>
          <w:jc w:val="center"/>
        </w:trPr>
        <w:tc>
          <w:tcPr>
            <w:tcW w:w="1134" w:type="dxa"/>
            <w:vMerge/>
            <w:noWrap/>
          </w:tcPr>
          <w:p>
            <w:pPr>
              <w:pStyle w:val="zyTableNAm"/>
              <w:keepNext/>
              <w:keepLines/>
              <w:rPr>
                <w:b/>
              </w:rPr>
            </w:pPr>
          </w:p>
        </w:tc>
        <w:tc>
          <w:tcPr>
            <w:tcW w:w="1559" w:type="dxa"/>
            <w:gridSpan w:val="2"/>
            <w:vMerge/>
            <w:noWrap/>
          </w:tcPr>
          <w:p>
            <w:pPr>
              <w:pStyle w:val="zyTableNAm"/>
              <w:keepNext/>
              <w:keepLines/>
            </w:pPr>
          </w:p>
        </w:tc>
        <w:tc>
          <w:tcPr>
            <w:tcW w:w="4111" w:type="dxa"/>
            <w:gridSpan w:val="4"/>
            <w:noWrap/>
          </w:tcPr>
          <w:p>
            <w:pPr>
              <w:pStyle w:val="yTableNAm"/>
            </w:pPr>
          </w:p>
        </w:tc>
      </w:tr>
      <w:tr>
        <w:trPr>
          <w:trHeight w:val="150"/>
          <w:jc w:val="center"/>
        </w:trPr>
        <w:tc>
          <w:tcPr>
            <w:tcW w:w="1134" w:type="dxa"/>
            <w:vMerge/>
            <w:noWrap/>
          </w:tcPr>
          <w:p>
            <w:pPr>
              <w:pStyle w:val="zyTableNAm"/>
              <w:keepNext/>
              <w:keepLines/>
              <w:rPr>
                <w:b/>
              </w:rPr>
            </w:pPr>
          </w:p>
        </w:tc>
        <w:tc>
          <w:tcPr>
            <w:tcW w:w="1559" w:type="dxa"/>
            <w:gridSpan w:val="2"/>
            <w:vMerge w:val="restart"/>
            <w:noWrap/>
          </w:tcPr>
          <w:p>
            <w:pPr>
              <w:pStyle w:val="yTableNAm"/>
            </w:pPr>
            <w:r>
              <w:t>Address</w:t>
            </w:r>
          </w:p>
        </w:tc>
        <w:tc>
          <w:tcPr>
            <w:tcW w:w="4111" w:type="dxa"/>
            <w:gridSpan w:val="4"/>
            <w:noWrap/>
          </w:tcPr>
          <w:p>
            <w:pPr>
              <w:pStyle w:val="yTableNAm"/>
            </w:pPr>
          </w:p>
        </w:tc>
      </w:tr>
      <w:tr>
        <w:trPr>
          <w:trHeight w:val="150"/>
          <w:jc w:val="center"/>
        </w:trPr>
        <w:tc>
          <w:tcPr>
            <w:tcW w:w="1134" w:type="dxa"/>
            <w:vMerge/>
            <w:noWrap/>
          </w:tcPr>
          <w:p>
            <w:pPr>
              <w:pStyle w:val="zyTableNAm"/>
              <w:keepNext/>
              <w:keepLines/>
              <w:rPr>
                <w:b/>
              </w:rPr>
            </w:pPr>
          </w:p>
        </w:tc>
        <w:tc>
          <w:tcPr>
            <w:tcW w:w="1559" w:type="dxa"/>
            <w:gridSpan w:val="2"/>
            <w:vMerge/>
            <w:noWrap/>
          </w:tcPr>
          <w:p>
            <w:pPr>
              <w:pStyle w:val="zyTableNAm"/>
              <w:keepNext/>
              <w:keepLines/>
            </w:pPr>
          </w:p>
        </w:tc>
        <w:tc>
          <w:tcPr>
            <w:tcW w:w="4111" w:type="dxa"/>
            <w:gridSpan w:val="4"/>
            <w:noWrap/>
          </w:tcPr>
          <w:p>
            <w:pPr>
              <w:pStyle w:val="yTableNAm"/>
            </w:pPr>
          </w:p>
        </w:tc>
      </w:tr>
      <w:tr>
        <w:trPr>
          <w:trHeight w:val="150"/>
          <w:jc w:val="center"/>
        </w:trPr>
        <w:tc>
          <w:tcPr>
            <w:tcW w:w="1134" w:type="dxa"/>
            <w:vMerge w:val="restart"/>
            <w:noWrap/>
          </w:tcPr>
          <w:p>
            <w:pPr>
              <w:pStyle w:val="yTableNAm"/>
            </w:pPr>
            <w:r>
              <w:rPr>
                <w:b/>
              </w:rPr>
              <w:t>Alleged offence</w:t>
            </w:r>
          </w:p>
        </w:tc>
        <w:tc>
          <w:tcPr>
            <w:tcW w:w="1559" w:type="dxa"/>
            <w:gridSpan w:val="2"/>
            <w:shd w:val="clear" w:color="auto" w:fill="auto"/>
            <w:noWrap/>
          </w:tcPr>
          <w:p>
            <w:pPr>
              <w:pStyle w:val="yTableNAm"/>
            </w:pPr>
            <w:r>
              <w:t>Date or period</w:t>
            </w:r>
          </w:p>
        </w:tc>
        <w:tc>
          <w:tcPr>
            <w:tcW w:w="4111" w:type="dxa"/>
            <w:gridSpan w:val="4"/>
            <w:noWrap/>
          </w:tcPr>
          <w:p>
            <w:pPr>
              <w:pStyle w:val="yTableNAm"/>
            </w:pPr>
          </w:p>
        </w:tc>
      </w:tr>
      <w:tr>
        <w:trPr>
          <w:trHeight w:val="150"/>
          <w:jc w:val="center"/>
        </w:trPr>
        <w:tc>
          <w:tcPr>
            <w:tcW w:w="1134" w:type="dxa"/>
            <w:vMerge/>
            <w:noWrap/>
          </w:tcPr>
          <w:p>
            <w:pPr>
              <w:pStyle w:val="zyTableNAm"/>
              <w:rPr>
                <w:b/>
              </w:rPr>
            </w:pPr>
          </w:p>
        </w:tc>
        <w:tc>
          <w:tcPr>
            <w:tcW w:w="1559" w:type="dxa"/>
            <w:gridSpan w:val="2"/>
            <w:shd w:val="clear" w:color="auto" w:fill="auto"/>
            <w:noWrap/>
          </w:tcPr>
          <w:p>
            <w:pPr>
              <w:pStyle w:val="yTableNAm"/>
            </w:pPr>
            <w:r>
              <w:t>Time</w:t>
            </w:r>
          </w:p>
        </w:tc>
        <w:tc>
          <w:tcPr>
            <w:tcW w:w="4111" w:type="dxa"/>
            <w:gridSpan w:val="4"/>
            <w:noWrap/>
          </w:tcPr>
          <w:p>
            <w:pPr>
              <w:pStyle w:val="yTableNAm"/>
            </w:pPr>
          </w:p>
        </w:tc>
      </w:tr>
      <w:tr>
        <w:trPr>
          <w:trHeight w:val="150"/>
          <w:jc w:val="center"/>
        </w:trPr>
        <w:tc>
          <w:tcPr>
            <w:tcW w:w="1134" w:type="dxa"/>
            <w:vMerge/>
            <w:noWrap/>
          </w:tcPr>
          <w:p>
            <w:pPr>
              <w:pStyle w:val="zyTableNAm"/>
              <w:rPr>
                <w:b/>
              </w:rPr>
            </w:pPr>
          </w:p>
        </w:tc>
        <w:tc>
          <w:tcPr>
            <w:tcW w:w="1559" w:type="dxa"/>
            <w:gridSpan w:val="2"/>
            <w:shd w:val="clear" w:color="auto" w:fill="auto"/>
            <w:noWrap/>
          </w:tcPr>
          <w:p>
            <w:pPr>
              <w:pStyle w:val="yTableNAm"/>
            </w:pPr>
            <w:r>
              <w:t>Place</w:t>
            </w:r>
          </w:p>
        </w:tc>
        <w:tc>
          <w:tcPr>
            <w:tcW w:w="4111" w:type="dxa"/>
            <w:gridSpan w:val="4"/>
            <w:noWrap/>
          </w:tcPr>
          <w:p>
            <w:pPr>
              <w:pStyle w:val="yTableNAm"/>
            </w:pPr>
          </w:p>
        </w:tc>
      </w:tr>
      <w:tr>
        <w:trPr>
          <w:trHeight w:val="330"/>
          <w:jc w:val="center"/>
        </w:trPr>
        <w:tc>
          <w:tcPr>
            <w:tcW w:w="1134" w:type="dxa"/>
            <w:vMerge/>
            <w:noWrap/>
          </w:tcPr>
          <w:p>
            <w:pPr>
              <w:pStyle w:val="zyTableNAm"/>
              <w:rPr>
                <w:b/>
              </w:rPr>
            </w:pPr>
          </w:p>
        </w:tc>
        <w:tc>
          <w:tcPr>
            <w:tcW w:w="1559" w:type="dxa"/>
            <w:gridSpan w:val="2"/>
            <w:vMerge w:val="restart"/>
            <w:shd w:val="clear" w:color="auto" w:fill="auto"/>
            <w:noWrap/>
          </w:tcPr>
          <w:p>
            <w:pPr>
              <w:pStyle w:val="yTableNAm"/>
            </w:pPr>
            <w:r>
              <w:t>Details of offence</w:t>
            </w:r>
          </w:p>
        </w:tc>
        <w:tc>
          <w:tcPr>
            <w:tcW w:w="4111" w:type="dxa"/>
            <w:gridSpan w:val="4"/>
            <w:noWrap/>
          </w:tcPr>
          <w:p>
            <w:pPr>
              <w:pStyle w:val="yTableNAm"/>
            </w:pPr>
          </w:p>
        </w:tc>
      </w:tr>
      <w:tr>
        <w:trPr>
          <w:trHeight w:val="330"/>
          <w:jc w:val="center"/>
        </w:trPr>
        <w:tc>
          <w:tcPr>
            <w:tcW w:w="1134" w:type="dxa"/>
            <w:vMerge/>
            <w:noWrap/>
          </w:tcPr>
          <w:p>
            <w:pPr>
              <w:pStyle w:val="zyTableNAm"/>
              <w:rPr>
                <w:b/>
              </w:rPr>
            </w:pPr>
          </w:p>
        </w:tc>
        <w:tc>
          <w:tcPr>
            <w:tcW w:w="1559" w:type="dxa"/>
            <w:gridSpan w:val="2"/>
            <w:vMerge/>
            <w:shd w:val="clear" w:color="auto" w:fill="auto"/>
            <w:noWrap/>
          </w:tcPr>
          <w:p>
            <w:pPr>
              <w:pStyle w:val="zyTableNAm"/>
            </w:pPr>
          </w:p>
        </w:tc>
        <w:tc>
          <w:tcPr>
            <w:tcW w:w="4111" w:type="dxa"/>
            <w:gridSpan w:val="4"/>
            <w:noWrap/>
          </w:tcPr>
          <w:p>
            <w:pPr>
              <w:pStyle w:val="yTableNAm"/>
            </w:pPr>
          </w:p>
        </w:tc>
      </w:tr>
      <w:tr>
        <w:trPr>
          <w:trHeight w:val="342"/>
          <w:jc w:val="center"/>
        </w:trPr>
        <w:tc>
          <w:tcPr>
            <w:tcW w:w="1134" w:type="dxa"/>
            <w:vMerge/>
            <w:noWrap/>
          </w:tcPr>
          <w:p>
            <w:pPr>
              <w:pStyle w:val="zyTableNAm"/>
              <w:rPr>
                <w:b/>
              </w:rPr>
            </w:pPr>
          </w:p>
        </w:tc>
        <w:tc>
          <w:tcPr>
            <w:tcW w:w="1559" w:type="dxa"/>
            <w:gridSpan w:val="2"/>
            <w:vMerge w:val="restart"/>
            <w:shd w:val="clear" w:color="auto" w:fill="auto"/>
            <w:noWrap/>
          </w:tcPr>
          <w:p>
            <w:pPr>
              <w:pStyle w:val="yTableNAm"/>
            </w:pPr>
            <w:r>
              <w:t>Written law contravened</w:t>
            </w:r>
          </w:p>
        </w:tc>
        <w:tc>
          <w:tcPr>
            <w:tcW w:w="4111" w:type="dxa"/>
            <w:gridSpan w:val="4"/>
            <w:noWrap/>
          </w:tcPr>
          <w:p>
            <w:pPr>
              <w:pStyle w:val="yTableNAm"/>
            </w:pPr>
          </w:p>
        </w:tc>
      </w:tr>
      <w:tr>
        <w:trPr>
          <w:trHeight w:val="342"/>
          <w:jc w:val="center"/>
        </w:trPr>
        <w:tc>
          <w:tcPr>
            <w:tcW w:w="1134" w:type="dxa"/>
            <w:vMerge/>
            <w:noWrap/>
          </w:tcPr>
          <w:p>
            <w:pPr>
              <w:pStyle w:val="zyTableNAm"/>
              <w:rPr>
                <w:b/>
              </w:rPr>
            </w:pPr>
          </w:p>
        </w:tc>
        <w:tc>
          <w:tcPr>
            <w:tcW w:w="1559" w:type="dxa"/>
            <w:gridSpan w:val="2"/>
            <w:vMerge/>
            <w:shd w:val="clear" w:color="auto" w:fill="auto"/>
            <w:noWrap/>
          </w:tcPr>
          <w:p>
            <w:pPr>
              <w:pStyle w:val="zyTableNAm"/>
            </w:pPr>
          </w:p>
        </w:tc>
        <w:tc>
          <w:tcPr>
            <w:tcW w:w="4111" w:type="dxa"/>
            <w:gridSpan w:val="4"/>
            <w:noWrap/>
          </w:tcPr>
          <w:p>
            <w:pPr>
              <w:pStyle w:val="yTableNAm"/>
            </w:pPr>
          </w:p>
        </w:tc>
      </w:tr>
      <w:tr>
        <w:trPr>
          <w:jc w:val="center"/>
        </w:trPr>
        <w:tc>
          <w:tcPr>
            <w:tcW w:w="1134" w:type="dxa"/>
            <w:noWrap/>
          </w:tcPr>
          <w:p>
            <w:pPr>
              <w:pStyle w:val="yTableNAm"/>
            </w:pPr>
            <w:r>
              <w:rPr>
                <w:b/>
              </w:rPr>
              <w:t>Date</w:t>
            </w:r>
          </w:p>
        </w:tc>
        <w:tc>
          <w:tcPr>
            <w:tcW w:w="1559" w:type="dxa"/>
            <w:gridSpan w:val="2"/>
            <w:noWrap/>
          </w:tcPr>
          <w:p>
            <w:pPr>
              <w:pStyle w:val="yTableNAm"/>
            </w:pPr>
            <w:r>
              <w:t>Date of notice</w:t>
            </w:r>
          </w:p>
        </w:tc>
        <w:tc>
          <w:tcPr>
            <w:tcW w:w="4111" w:type="dxa"/>
            <w:gridSpan w:val="4"/>
            <w:noWrap/>
          </w:tcPr>
          <w:p>
            <w:pPr>
              <w:pStyle w:val="yTableNAm"/>
            </w:pPr>
          </w:p>
        </w:tc>
      </w:tr>
      <w:tr>
        <w:trPr>
          <w:jc w:val="center"/>
        </w:trPr>
        <w:tc>
          <w:tcPr>
            <w:tcW w:w="1134" w:type="dxa"/>
            <w:vMerge w:val="restart"/>
            <w:noWrap/>
          </w:tcPr>
          <w:p>
            <w:pPr>
              <w:pStyle w:val="yTableNAm"/>
            </w:pPr>
            <w:r>
              <w:rPr>
                <w:b/>
              </w:rPr>
              <w:t>Issuing officer</w:t>
            </w:r>
          </w:p>
        </w:tc>
        <w:tc>
          <w:tcPr>
            <w:tcW w:w="1559" w:type="dxa"/>
            <w:gridSpan w:val="2"/>
            <w:noWrap/>
          </w:tcPr>
          <w:p>
            <w:pPr>
              <w:pStyle w:val="yTableNAm"/>
            </w:pPr>
            <w:r>
              <w:t>Name</w:t>
            </w:r>
          </w:p>
        </w:tc>
        <w:tc>
          <w:tcPr>
            <w:tcW w:w="4111" w:type="dxa"/>
            <w:gridSpan w:val="4"/>
            <w:noWrap/>
          </w:tcPr>
          <w:p>
            <w:pPr>
              <w:pStyle w:val="yTableNAm"/>
            </w:pPr>
          </w:p>
        </w:tc>
      </w:tr>
      <w:tr>
        <w:trPr>
          <w:jc w:val="center"/>
        </w:trPr>
        <w:tc>
          <w:tcPr>
            <w:tcW w:w="1134" w:type="dxa"/>
            <w:vMerge/>
            <w:noWrap/>
          </w:tcPr>
          <w:p>
            <w:pPr>
              <w:pStyle w:val="zyTableNAm"/>
              <w:keepNext/>
              <w:keepLines/>
              <w:rPr>
                <w:b/>
              </w:rPr>
            </w:pPr>
          </w:p>
        </w:tc>
        <w:tc>
          <w:tcPr>
            <w:tcW w:w="1559" w:type="dxa"/>
            <w:gridSpan w:val="2"/>
            <w:noWrap/>
          </w:tcPr>
          <w:p>
            <w:pPr>
              <w:pStyle w:val="yTableNAm"/>
            </w:pPr>
            <w:r>
              <w:t>Office</w:t>
            </w:r>
          </w:p>
        </w:tc>
        <w:tc>
          <w:tcPr>
            <w:tcW w:w="4111" w:type="dxa"/>
            <w:gridSpan w:val="4"/>
            <w:noWrap/>
          </w:tcPr>
          <w:p>
            <w:pPr>
              <w:pStyle w:val="yTableNAm"/>
            </w:pPr>
          </w:p>
        </w:tc>
      </w:tr>
      <w:tr>
        <w:trPr>
          <w:jc w:val="center"/>
        </w:trPr>
        <w:tc>
          <w:tcPr>
            <w:tcW w:w="1134" w:type="dxa"/>
            <w:vMerge/>
            <w:noWrap/>
          </w:tcPr>
          <w:p>
            <w:pPr>
              <w:pStyle w:val="zyTableNAm"/>
              <w:keepNext/>
              <w:keepLines/>
            </w:pPr>
          </w:p>
        </w:tc>
        <w:tc>
          <w:tcPr>
            <w:tcW w:w="1559" w:type="dxa"/>
            <w:gridSpan w:val="2"/>
            <w:noWrap/>
          </w:tcPr>
          <w:p>
            <w:pPr>
              <w:pStyle w:val="yTableNAm"/>
            </w:pPr>
            <w:r>
              <w:t>Signature</w:t>
            </w:r>
          </w:p>
        </w:tc>
        <w:tc>
          <w:tcPr>
            <w:tcW w:w="4111" w:type="dxa"/>
            <w:gridSpan w:val="4"/>
            <w:noWrap/>
          </w:tcPr>
          <w:p>
            <w:pPr>
              <w:pStyle w:val="yTableNAm"/>
            </w:pPr>
          </w:p>
        </w:tc>
      </w:tr>
      <w:tr>
        <w:trPr>
          <w:trHeight w:val="604"/>
          <w:jc w:val="center"/>
        </w:trPr>
        <w:tc>
          <w:tcPr>
            <w:tcW w:w="1134" w:type="dxa"/>
            <w:tcBorders>
              <w:bottom w:val="single" w:sz="4" w:space="0" w:color="auto"/>
            </w:tcBorders>
            <w:noWrap/>
          </w:tcPr>
          <w:p>
            <w:pPr>
              <w:pStyle w:val="yTableNAm"/>
            </w:pPr>
            <w:r>
              <w:rPr>
                <w:b/>
              </w:rPr>
              <w:t>Modified penalty</w:t>
            </w:r>
          </w:p>
        </w:tc>
        <w:tc>
          <w:tcPr>
            <w:tcW w:w="5670" w:type="dxa"/>
            <w:gridSpan w:val="6"/>
            <w:tcBorders>
              <w:bottom w:val="single" w:sz="4" w:space="0" w:color="auto"/>
            </w:tcBorders>
            <w:noWrap/>
          </w:tcPr>
          <w:p>
            <w:pPr>
              <w:pStyle w:val="yTableNAm"/>
            </w:pPr>
            <w:r>
              <w:t>$</w:t>
            </w:r>
          </w:p>
        </w:tc>
      </w:tr>
      <w:tr>
        <w:trPr>
          <w:cantSplit/>
          <w:trHeight w:val="401"/>
          <w:jc w:val="center"/>
        </w:trPr>
        <w:tc>
          <w:tcPr>
            <w:tcW w:w="1134" w:type="dxa"/>
            <w:tcBorders>
              <w:bottom w:val="nil"/>
            </w:tcBorders>
            <w:noWrap/>
          </w:tcPr>
          <w:p>
            <w:pPr>
              <w:pStyle w:val="yTableNAm"/>
              <w:keepNext/>
              <w:keepLines/>
            </w:pPr>
            <w:r>
              <w:rPr>
                <w:b/>
              </w:rPr>
              <w:lastRenderedPageBreak/>
              <w:t>TAKE NOTICE</w:t>
            </w:r>
          </w:p>
        </w:tc>
        <w:tc>
          <w:tcPr>
            <w:tcW w:w="5670" w:type="dxa"/>
            <w:gridSpan w:val="6"/>
            <w:tcBorders>
              <w:bottom w:val="nil"/>
            </w:tcBorders>
            <w:noWrap/>
          </w:tcPr>
          <w:p>
            <w:pPr>
              <w:pStyle w:val="yTableNAm"/>
              <w:keepLines/>
            </w:pPr>
            <w:r>
              <w:t>It is alleged that you have committed the above offence.</w:t>
            </w:r>
          </w:p>
          <w:p>
            <w:pPr>
              <w:pStyle w:val="yTableNAm"/>
              <w:keepNext/>
              <w:keepLines/>
            </w:pPr>
            <w:r>
              <w:rPr>
                <w:b/>
              </w:rPr>
              <w:t>If you do not want to be prosecuted in court for the offence</w:t>
            </w:r>
            <w:r>
              <w:t>, pay the modified penalty to the Approved Officer within 28 days after the date of this notice.</w:t>
            </w:r>
          </w:p>
        </w:tc>
      </w:tr>
      <w:tr>
        <w:trPr>
          <w:trHeight w:val="401"/>
          <w:jc w:val="center"/>
        </w:trPr>
        <w:tc>
          <w:tcPr>
            <w:tcW w:w="1134" w:type="dxa"/>
            <w:tcBorders>
              <w:top w:val="nil"/>
              <w:bottom w:val="single" w:sz="4" w:space="0" w:color="auto"/>
            </w:tcBorders>
            <w:noWrap/>
          </w:tcPr>
          <w:p>
            <w:pPr>
              <w:pStyle w:val="zyTableNAm"/>
              <w:keepNext/>
              <w:keepLines/>
              <w:widowControl w:val="0"/>
              <w:rPr>
                <w:b/>
              </w:rPr>
            </w:pPr>
          </w:p>
        </w:tc>
        <w:tc>
          <w:tcPr>
            <w:tcW w:w="5670" w:type="dxa"/>
            <w:gridSpan w:val="6"/>
            <w:tcBorders>
              <w:top w:val="nil"/>
              <w:bottom w:val="single" w:sz="4" w:space="0" w:color="auto"/>
            </w:tcBorders>
            <w:noWrap/>
          </w:tcPr>
          <w:p>
            <w:pPr>
              <w:pStyle w:val="yTableNAm"/>
              <w:keepLines/>
            </w:pPr>
            <w:r>
              <w:rPr>
                <w:b/>
              </w:rPr>
              <w:t>If you do not pay</w:t>
            </w:r>
            <w:r>
              <w:t xml:space="preserve"> the modified penalty within 28 days, you may be prosecuted or enforcement action may be taken under the </w:t>
            </w:r>
            <w:r>
              <w:rPr>
                <w:i/>
              </w:rPr>
              <w:t>Fines, Penalties and Infringement Notices Enforcement Act 1994</w:t>
            </w:r>
            <w:r>
              <w:t xml:space="preserve">. Under that Act, some or all of the following action may be taken — </w:t>
            </w:r>
            <w:r>
              <w:rPr>
                <w:szCs w:val="22"/>
              </w:rPr>
              <w:t>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keepLines/>
            </w:pPr>
            <w:r>
              <w:rPr>
                <w:b/>
              </w:rPr>
              <w:t>If you need more time</w:t>
            </w:r>
            <w:r>
              <w:t xml:space="preserve"> to pay the modified penalty, you can apply for an extension of time by writing to the Approved Officer — </w:t>
            </w:r>
            <w:r>
              <w:rPr>
                <w:i/>
              </w:rPr>
              <w:t>Major Events Act 2023</w:t>
            </w:r>
            <w:r>
              <w:t xml:space="preserve"> at the postal address below.</w:t>
            </w:r>
          </w:p>
          <w:p>
            <w:pPr>
              <w:pStyle w:val="yTableNAm"/>
              <w:keepLines/>
            </w:pPr>
            <w:r>
              <w:t>Paying the modified penalty will not be regarded as an admission for the purposes of any civil or criminal court case.</w:t>
            </w:r>
          </w:p>
          <w:p>
            <w:pPr>
              <w:pStyle w:val="yTableNAm"/>
              <w:keepLines/>
            </w:pPr>
            <w:r>
              <w:rPr>
                <w:b/>
              </w:rPr>
              <w:t>If you want this matter to be dealt with by prosecution in court</w:t>
            </w:r>
            <w:r>
              <w:t>,</w:t>
            </w:r>
            <w:r>
              <w:rPr>
                <w:b/>
              </w:rPr>
              <w:t xml:space="preserve"> </w:t>
            </w:r>
            <w:r>
              <w:t xml:space="preserve">sign and date here: </w:t>
            </w:r>
          </w:p>
          <w:p>
            <w:pPr>
              <w:pStyle w:val="yTableNAm"/>
              <w:keepLines/>
            </w:pPr>
            <w:r>
              <w:t xml:space="preserve">__________________________________               /    /   </w:t>
            </w:r>
          </w:p>
          <w:p>
            <w:pPr>
              <w:pStyle w:val="yTableNAm"/>
              <w:keepLines/>
            </w:pPr>
            <w:r>
              <w:t xml:space="preserve">and post this notice to the Approved Officer — </w:t>
            </w:r>
            <w:r>
              <w:rPr>
                <w:i/>
              </w:rPr>
              <w:t>Major Events Act 2023</w:t>
            </w:r>
            <w:r>
              <w:t xml:space="preserve"> at the postal address below within 28 days after the date of this notice.</w:t>
            </w:r>
          </w:p>
        </w:tc>
      </w:tr>
      <w:tr>
        <w:trPr>
          <w:trHeight w:val="401"/>
          <w:jc w:val="center"/>
        </w:trPr>
        <w:tc>
          <w:tcPr>
            <w:tcW w:w="1134" w:type="dxa"/>
            <w:vMerge w:val="restart"/>
            <w:noWrap/>
          </w:tcPr>
          <w:p>
            <w:pPr>
              <w:pStyle w:val="yTableNAm"/>
            </w:pPr>
            <w:r>
              <w:rPr>
                <w:b/>
              </w:rPr>
              <w:t>How to pay</w:t>
            </w:r>
          </w:p>
        </w:tc>
        <w:tc>
          <w:tcPr>
            <w:tcW w:w="1276" w:type="dxa"/>
            <w:noWrap/>
          </w:tcPr>
          <w:p>
            <w:pPr>
              <w:pStyle w:val="yTableNAm"/>
            </w:pPr>
            <w:r>
              <w:t>In person</w:t>
            </w:r>
          </w:p>
        </w:tc>
        <w:tc>
          <w:tcPr>
            <w:tcW w:w="4394" w:type="dxa"/>
            <w:gridSpan w:val="5"/>
            <w:noWrap/>
          </w:tcPr>
          <w:p>
            <w:pPr>
              <w:pStyle w:val="yTableNAm"/>
            </w:pPr>
            <w:r>
              <w:t>[</w:t>
            </w:r>
            <w:r>
              <w:rPr>
                <w:i/>
              </w:rPr>
              <w:t>Insert details for paying in person</w:t>
            </w:r>
            <w:r>
              <w:t>]</w:t>
            </w:r>
          </w:p>
          <w:p>
            <w:pPr>
              <w:pStyle w:val="yTableNAm"/>
              <w:ind w:left="567" w:hanging="567"/>
            </w:pPr>
          </w:p>
        </w:tc>
      </w:tr>
      <w:tr>
        <w:trPr>
          <w:trHeight w:val="916"/>
          <w:jc w:val="center"/>
        </w:trPr>
        <w:tc>
          <w:tcPr>
            <w:tcW w:w="1134" w:type="dxa"/>
            <w:vMerge/>
            <w:noWrap/>
          </w:tcPr>
          <w:p>
            <w:pPr>
              <w:pStyle w:val="zyTableNAm"/>
              <w:rPr>
                <w:b/>
              </w:rPr>
            </w:pPr>
          </w:p>
        </w:tc>
        <w:tc>
          <w:tcPr>
            <w:tcW w:w="1276" w:type="dxa"/>
            <w:noWrap/>
          </w:tcPr>
          <w:p>
            <w:pPr>
              <w:pStyle w:val="yTableNAm"/>
            </w:pPr>
            <w:r>
              <w:t>By post</w:t>
            </w:r>
          </w:p>
        </w:tc>
        <w:tc>
          <w:tcPr>
            <w:tcW w:w="4394" w:type="dxa"/>
            <w:gridSpan w:val="5"/>
            <w:noWrap/>
          </w:tcPr>
          <w:p>
            <w:pPr>
              <w:pStyle w:val="yTableNAm"/>
              <w:rPr>
                <w:i/>
                <w:sz w:val="20"/>
              </w:rPr>
            </w:pPr>
            <w:r>
              <w:t>[</w:t>
            </w:r>
            <w:r>
              <w:rPr>
                <w:i/>
              </w:rPr>
              <w:t>Insert details for paying by post</w:t>
            </w:r>
            <w:r>
              <w:t>]</w:t>
            </w:r>
          </w:p>
        </w:tc>
      </w:tr>
      <w:tr>
        <w:trPr>
          <w:trHeight w:val="916"/>
          <w:jc w:val="center"/>
        </w:trPr>
        <w:tc>
          <w:tcPr>
            <w:tcW w:w="1134" w:type="dxa"/>
            <w:vMerge/>
            <w:noWrap/>
          </w:tcPr>
          <w:p>
            <w:pPr>
              <w:pStyle w:val="zyTableNAm"/>
              <w:rPr>
                <w:b/>
              </w:rPr>
            </w:pPr>
          </w:p>
        </w:tc>
        <w:tc>
          <w:tcPr>
            <w:tcW w:w="1276" w:type="dxa"/>
            <w:noWrap/>
          </w:tcPr>
          <w:p>
            <w:pPr>
              <w:pStyle w:val="yTableNAm"/>
            </w:pPr>
            <w:r>
              <w:t>Online</w:t>
            </w:r>
          </w:p>
        </w:tc>
        <w:tc>
          <w:tcPr>
            <w:tcW w:w="4394" w:type="dxa"/>
            <w:gridSpan w:val="5"/>
            <w:noWrap/>
          </w:tcPr>
          <w:p>
            <w:pPr>
              <w:pStyle w:val="yTableNAm"/>
            </w:pPr>
            <w:r>
              <w:t>[</w:t>
            </w:r>
            <w:r>
              <w:rPr>
                <w:i/>
              </w:rPr>
              <w:t>Insert details for paying online</w:t>
            </w:r>
            <w:r>
              <w:t>]</w:t>
            </w:r>
          </w:p>
        </w:tc>
      </w:tr>
      <w:tr>
        <w:trPr>
          <w:trHeight w:val="916"/>
          <w:jc w:val="center"/>
        </w:trPr>
        <w:tc>
          <w:tcPr>
            <w:tcW w:w="1134" w:type="dxa"/>
            <w:vMerge/>
            <w:tcBorders>
              <w:bottom w:val="nil"/>
            </w:tcBorders>
            <w:noWrap/>
          </w:tcPr>
          <w:p>
            <w:pPr>
              <w:pStyle w:val="zyTableNAm"/>
              <w:rPr>
                <w:b/>
              </w:rPr>
            </w:pPr>
          </w:p>
        </w:tc>
        <w:tc>
          <w:tcPr>
            <w:tcW w:w="1276" w:type="dxa"/>
            <w:noWrap/>
          </w:tcPr>
          <w:p>
            <w:pPr>
              <w:pStyle w:val="yTableNAm"/>
            </w:pPr>
            <w:r>
              <w:t>By telephone</w:t>
            </w:r>
          </w:p>
        </w:tc>
        <w:tc>
          <w:tcPr>
            <w:tcW w:w="4394" w:type="dxa"/>
            <w:gridSpan w:val="5"/>
            <w:noWrap/>
          </w:tcPr>
          <w:p>
            <w:pPr>
              <w:pStyle w:val="yTableNAm"/>
            </w:pPr>
            <w:r>
              <w:t>[</w:t>
            </w:r>
            <w:r>
              <w:rPr>
                <w:i/>
              </w:rPr>
              <w:t>Insert details for paying by telephone</w:t>
            </w:r>
            <w:r>
              <w:t>]</w:t>
            </w:r>
          </w:p>
        </w:tc>
      </w:tr>
      <w:tr>
        <w:trPr>
          <w:trHeight w:val="310"/>
          <w:jc w:val="center"/>
        </w:trPr>
        <w:tc>
          <w:tcPr>
            <w:tcW w:w="1134" w:type="dxa"/>
            <w:noWrap/>
          </w:tcPr>
          <w:p>
            <w:pPr>
              <w:pStyle w:val="yTableNAm"/>
              <w:spacing w:after="40"/>
            </w:pPr>
            <w:r>
              <w:rPr>
                <w:b/>
              </w:rPr>
              <w:t>Method of service</w:t>
            </w:r>
          </w:p>
        </w:tc>
        <w:tc>
          <w:tcPr>
            <w:tcW w:w="3119" w:type="dxa"/>
            <w:gridSpan w:val="3"/>
            <w:noWrap/>
          </w:tcPr>
          <w:p>
            <w:pPr>
              <w:pStyle w:val="yTableNAm"/>
            </w:pPr>
          </w:p>
        </w:tc>
        <w:tc>
          <w:tcPr>
            <w:tcW w:w="992" w:type="dxa"/>
            <w:gridSpan w:val="2"/>
            <w:shd w:val="clear" w:color="auto" w:fill="auto"/>
            <w:noWrap/>
          </w:tcPr>
          <w:p>
            <w:pPr>
              <w:pStyle w:val="yTableNAm"/>
              <w:spacing w:after="40"/>
            </w:pPr>
            <w:r>
              <w:rPr>
                <w:b/>
              </w:rPr>
              <w:t>Date of service</w:t>
            </w:r>
          </w:p>
        </w:tc>
        <w:tc>
          <w:tcPr>
            <w:tcW w:w="1559" w:type="dxa"/>
            <w:shd w:val="clear" w:color="auto" w:fill="auto"/>
            <w:noWrap/>
          </w:tcPr>
          <w:p>
            <w:pPr>
              <w:pStyle w:val="yTableNAm"/>
            </w:pPr>
          </w:p>
        </w:tc>
      </w:tr>
    </w:tbl>
    <w:p>
      <w:pPr>
        <w:pStyle w:val="yMiscellaneousHeading"/>
        <w:keepNext w:val="0"/>
        <w:spacing w:before="240" w:after="60"/>
        <w:jc w:val="left"/>
        <w:rPr>
          <w:b/>
          <w:bCs/>
        </w:rPr>
      </w:pPr>
      <w:r>
        <w:rPr>
          <w:rStyle w:val="CharSClsNo"/>
          <w:b/>
        </w:rPr>
        <w:t>Form 2</w:t>
      </w:r>
      <w:r>
        <w:rPr>
          <w:b/>
          <w:bCs/>
        </w:rPr>
        <w:t xml:space="preserve"> — Withdrawal of </w:t>
      </w:r>
      <w:r>
        <w:rPr>
          <w:b/>
        </w:rPr>
        <w:t>infringement</w:t>
      </w:r>
      <w:r>
        <w:rPr>
          <w:b/>
          <w:bCs/>
        </w:rPr>
        <w:t xml:space="preserve"> notice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850"/>
        <w:gridCol w:w="851"/>
        <w:gridCol w:w="283"/>
        <w:gridCol w:w="1701"/>
      </w:tblGrid>
      <w:tr>
        <w:trPr>
          <w:cantSplit/>
          <w:trHeight w:val="282"/>
          <w:jc w:val="center"/>
        </w:trPr>
        <w:tc>
          <w:tcPr>
            <w:tcW w:w="4820" w:type="dxa"/>
            <w:gridSpan w:val="4"/>
            <w:noWrap/>
          </w:tcPr>
          <w:p>
            <w:pPr>
              <w:pStyle w:val="yTableNAm"/>
            </w:pPr>
            <w:r>
              <w:br w:type="page"/>
            </w:r>
            <w:r>
              <w:rPr>
                <w:i/>
              </w:rPr>
              <w:t>Major Events Act 2023</w:t>
            </w:r>
          </w:p>
          <w:p>
            <w:pPr>
              <w:pStyle w:val="yTableNAm"/>
              <w:jc w:val="center"/>
              <w:rPr>
                <w:b/>
                <w:sz w:val="28"/>
              </w:rPr>
            </w:pPr>
            <w:r>
              <w:rPr>
                <w:b/>
                <w:sz w:val="28"/>
              </w:rPr>
              <w:t>WITHDRAWAL OF INFRINGEMENT NOTICE</w:t>
            </w:r>
          </w:p>
        </w:tc>
        <w:tc>
          <w:tcPr>
            <w:tcW w:w="1984" w:type="dxa"/>
            <w:gridSpan w:val="2"/>
            <w:tcBorders>
              <w:bottom w:val="single" w:sz="4" w:space="0" w:color="auto"/>
            </w:tcBorders>
            <w:noWrap/>
          </w:tcPr>
          <w:p>
            <w:pPr>
              <w:pStyle w:val="yTableNAm"/>
            </w:pPr>
            <w:r>
              <w:t>Withdrawal no.</w:t>
            </w:r>
          </w:p>
        </w:tc>
      </w:tr>
      <w:tr>
        <w:trPr>
          <w:cantSplit/>
          <w:trHeight w:val="150"/>
          <w:jc w:val="center"/>
        </w:trPr>
        <w:tc>
          <w:tcPr>
            <w:tcW w:w="1559" w:type="dxa"/>
            <w:vMerge w:val="restart"/>
            <w:noWrap/>
          </w:tcPr>
          <w:p>
            <w:pPr>
              <w:pStyle w:val="yTableNAm"/>
            </w:pPr>
            <w:r>
              <w:rPr>
                <w:b/>
              </w:rPr>
              <w:t>Alleged offender</w:t>
            </w:r>
          </w:p>
        </w:tc>
        <w:tc>
          <w:tcPr>
            <w:tcW w:w="1560" w:type="dxa"/>
            <w:vMerge w:val="restart"/>
            <w:noWrap/>
          </w:tcPr>
          <w:p>
            <w:pPr>
              <w:pStyle w:val="yTableNAm"/>
            </w:pPr>
            <w:r>
              <w:t>Name</w:t>
            </w:r>
          </w:p>
        </w:tc>
        <w:tc>
          <w:tcPr>
            <w:tcW w:w="3685" w:type="dxa"/>
            <w:gridSpan w:val="4"/>
            <w:noWrap/>
          </w:tcPr>
          <w:p>
            <w:pPr>
              <w:pStyle w:val="yTableNAm"/>
            </w:pPr>
          </w:p>
        </w:tc>
      </w:tr>
      <w:tr>
        <w:trPr>
          <w:cantSplit/>
          <w:trHeight w:val="150"/>
          <w:jc w:val="center"/>
        </w:trPr>
        <w:tc>
          <w:tcPr>
            <w:tcW w:w="1559" w:type="dxa"/>
            <w:vMerge/>
            <w:noWrap/>
          </w:tcPr>
          <w:p>
            <w:pPr>
              <w:pStyle w:val="zyTableNAm"/>
              <w:rPr>
                <w:b/>
              </w:rPr>
            </w:pPr>
          </w:p>
        </w:tc>
        <w:tc>
          <w:tcPr>
            <w:tcW w:w="1560" w:type="dxa"/>
            <w:vMerge/>
            <w:noWrap/>
          </w:tcPr>
          <w:p>
            <w:pPr>
              <w:pStyle w:val="zyTableNAm"/>
            </w:pPr>
          </w:p>
        </w:tc>
        <w:tc>
          <w:tcPr>
            <w:tcW w:w="3685" w:type="dxa"/>
            <w:gridSpan w:val="4"/>
            <w:noWrap/>
          </w:tcPr>
          <w:p>
            <w:pPr>
              <w:pStyle w:val="yTableNAm"/>
            </w:pPr>
          </w:p>
        </w:tc>
      </w:tr>
      <w:tr>
        <w:trPr>
          <w:cantSplit/>
          <w:trHeight w:val="150"/>
          <w:jc w:val="center"/>
        </w:trPr>
        <w:tc>
          <w:tcPr>
            <w:tcW w:w="1559" w:type="dxa"/>
            <w:vMerge/>
            <w:noWrap/>
          </w:tcPr>
          <w:p>
            <w:pPr>
              <w:pStyle w:val="zyTableNAm"/>
              <w:rPr>
                <w:b/>
              </w:rPr>
            </w:pPr>
          </w:p>
        </w:tc>
        <w:tc>
          <w:tcPr>
            <w:tcW w:w="1560" w:type="dxa"/>
            <w:vMerge w:val="restart"/>
            <w:noWrap/>
          </w:tcPr>
          <w:p>
            <w:pPr>
              <w:pStyle w:val="yTableNAm"/>
            </w:pPr>
            <w:r>
              <w:t>Address</w:t>
            </w:r>
          </w:p>
        </w:tc>
        <w:tc>
          <w:tcPr>
            <w:tcW w:w="3685" w:type="dxa"/>
            <w:gridSpan w:val="4"/>
            <w:noWrap/>
          </w:tcPr>
          <w:p>
            <w:pPr>
              <w:pStyle w:val="yTableNAm"/>
            </w:pPr>
          </w:p>
        </w:tc>
      </w:tr>
      <w:tr>
        <w:trPr>
          <w:cantSplit/>
          <w:trHeight w:val="150"/>
          <w:jc w:val="center"/>
        </w:trPr>
        <w:tc>
          <w:tcPr>
            <w:tcW w:w="1559" w:type="dxa"/>
            <w:vMerge/>
            <w:noWrap/>
          </w:tcPr>
          <w:p>
            <w:pPr>
              <w:pStyle w:val="zyTableNAm"/>
              <w:rPr>
                <w:b/>
              </w:rPr>
            </w:pPr>
          </w:p>
        </w:tc>
        <w:tc>
          <w:tcPr>
            <w:tcW w:w="1560" w:type="dxa"/>
            <w:vMerge/>
            <w:noWrap/>
          </w:tcPr>
          <w:p>
            <w:pPr>
              <w:pStyle w:val="zyTableNAm"/>
            </w:pPr>
          </w:p>
        </w:tc>
        <w:tc>
          <w:tcPr>
            <w:tcW w:w="3685" w:type="dxa"/>
            <w:gridSpan w:val="4"/>
            <w:noWrap/>
          </w:tcPr>
          <w:p>
            <w:pPr>
              <w:pStyle w:val="yTableNAm"/>
            </w:pPr>
          </w:p>
        </w:tc>
      </w:tr>
      <w:tr>
        <w:trPr>
          <w:cantSplit/>
          <w:trHeight w:val="461"/>
          <w:jc w:val="center"/>
        </w:trPr>
        <w:tc>
          <w:tcPr>
            <w:tcW w:w="1559" w:type="dxa"/>
            <w:vMerge w:val="restart"/>
            <w:noWrap/>
          </w:tcPr>
          <w:p>
            <w:pPr>
              <w:pStyle w:val="yTableNAm"/>
            </w:pPr>
            <w:r>
              <w:rPr>
                <w:b/>
              </w:rPr>
              <w:t>Details of infringement notice</w:t>
            </w:r>
          </w:p>
        </w:tc>
        <w:tc>
          <w:tcPr>
            <w:tcW w:w="1560" w:type="dxa"/>
            <w:noWrap/>
          </w:tcPr>
          <w:p>
            <w:pPr>
              <w:pStyle w:val="yTableNAm"/>
            </w:pPr>
            <w:r>
              <w:t>Infringement notice no.</w:t>
            </w:r>
          </w:p>
        </w:tc>
        <w:tc>
          <w:tcPr>
            <w:tcW w:w="3685" w:type="dxa"/>
            <w:gridSpan w:val="4"/>
            <w:noWrap/>
          </w:tcPr>
          <w:p>
            <w:pPr>
              <w:pStyle w:val="yTableNAm"/>
            </w:pPr>
          </w:p>
        </w:tc>
      </w:tr>
      <w:tr>
        <w:trPr>
          <w:cantSplit/>
          <w:trHeight w:val="150"/>
          <w:jc w:val="center"/>
        </w:trPr>
        <w:tc>
          <w:tcPr>
            <w:tcW w:w="1559" w:type="dxa"/>
            <w:vMerge/>
            <w:tcBorders>
              <w:bottom w:val="single" w:sz="4" w:space="0" w:color="auto"/>
            </w:tcBorders>
            <w:noWrap/>
          </w:tcPr>
          <w:p>
            <w:pPr>
              <w:pStyle w:val="zyTableNAm"/>
              <w:rPr>
                <w:b/>
              </w:rPr>
            </w:pPr>
          </w:p>
        </w:tc>
        <w:tc>
          <w:tcPr>
            <w:tcW w:w="1560" w:type="dxa"/>
            <w:noWrap/>
          </w:tcPr>
          <w:p>
            <w:pPr>
              <w:pStyle w:val="yTableNAm"/>
            </w:pPr>
            <w:r>
              <w:t>Date of issue</w:t>
            </w:r>
          </w:p>
        </w:tc>
        <w:tc>
          <w:tcPr>
            <w:tcW w:w="3685" w:type="dxa"/>
            <w:gridSpan w:val="4"/>
            <w:noWrap/>
          </w:tcPr>
          <w:p>
            <w:pPr>
              <w:pStyle w:val="yTableNAm"/>
            </w:pPr>
          </w:p>
        </w:tc>
      </w:tr>
      <w:tr>
        <w:trPr>
          <w:cantSplit/>
          <w:trHeight w:val="150"/>
          <w:jc w:val="center"/>
        </w:trPr>
        <w:tc>
          <w:tcPr>
            <w:tcW w:w="1559" w:type="dxa"/>
            <w:vMerge w:val="restart"/>
            <w:tcBorders>
              <w:bottom w:val="nil"/>
            </w:tcBorders>
            <w:noWrap/>
          </w:tcPr>
          <w:p>
            <w:pPr>
              <w:pStyle w:val="yTableNAm"/>
              <w:keepNext/>
            </w:pPr>
            <w:r>
              <w:rPr>
                <w:b/>
              </w:rPr>
              <w:t>Alleged offence</w:t>
            </w:r>
          </w:p>
        </w:tc>
        <w:tc>
          <w:tcPr>
            <w:tcW w:w="1560" w:type="dxa"/>
            <w:noWrap/>
          </w:tcPr>
          <w:p>
            <w:pPr>
              <w:pStyle w:val="yTableNAm"/>
              <w:keepNext/>
            </w:pPr>
            <w:r>
              <w:t>Date or period</w:t>
            </w:r>
          </w:p>
        </w:tc>
        <w:tc>
          <w:tcPr>
            <w:tcW w:w="3685" w:type="dxa"/>
            <w:gridSpan w:val="4"/>
            <w:noWrap/>
          </w:tcPr>
          <w:p>
            <w:pPr>
              <w:pStyle w:val="yTableNAm"/>
              <w:keepNext/>
            </w:pPr>
          </w:p>
        </w:tc>
      </w:tr>
      <w:tr>
        <w:trPr>
          <w:cantSplit/>
          <w:trHeight w:val="150"/>
          <w:jc w:val="center"/>
        </w:trPr>
        <w:tc>
          <w:tcPr>
            <w:tcW w:w="1559" w:type="dxa"/>
            <w:vMerge/>
            <w:tcBorders>
              <w:bottom w:val="nil"/>
            </w:tcBorders>
            <w:noWrap/>
          </w:tcPr>
          <w:p>
            <w:pPr>
              <w:pStyle w:val="zyTableNAm"/>
              <w:keepNext/>
              <w:widowControl w:val="0"/>
              <w:rPr>
                <w:b/>
              </w:rPr>
            </w:pPr>
          </w:p>
        </w:tc>
        <w:tc>
          <w:tcPr>
            <w:tcW w:w="1560" w:type="dxa"/>
            <w:noWrap/>
          </w:tcPr>
          <w:p>
            <w:pPr>
              <w:pStyle w:val="yTableNAm"/>
            </w:pPr>
            <w:r>
              <w:t>Time</w:t>
            </w:r>
          </w:p>
        </w:tc>
        <w:tc>
          <w:tcPr>
            <w:tcW w:w="3685" w:type="dxa"/>
            <w:gridSpan w:val="4"/>
            <w:noWrap/>
          </w:tcPr>
          <w:p>
            <w:pPr>
              <w:pStyle w:val="yTableNAm"/>
            </w:pPr>
          </w:p>
        </w:tc>
      </w:tr>
      <w:tr>
        <w:trPr>
          <w:cantSplit/>
          <w:trHeight w:val="150"/>
          <w:jc w:val="center"/>
        </w:trPr>
        <w:tc>
          <w:tcPr>
            <w:tcW w:w="1559" w:type="dxa"/>
            <w:vMerge/>
            <w:tcBorders>
              <w:bottom w:val="nil"/>
            </w:tcBorders>
            <w:noWrap/>
          </w:tcPr>
          <w:p>
            <w:pPr>
              <w:pStyle w:val="zyTableNAm"/>
              <w:keepNext/>
              <w:widowControl w:val="0"/>
              <w:rPr>
                <w:b/>
              </w:rPr>
            </w:pPr>
          </w:p>
        </w:tc>
        <w:tc>
          <w:tcPr>
            <w:tcW w:w="1560" w:type="dxa"/>
            <w:noWrap/>
          </w:tcPr>
          <w:p>
            <w:pPr>
              <w:pStyle w:val="yTableNAm"/>
            </w:pPr>
            <w:r>
              <w:t>Place</w:t>
            </w:r>
          </w:p>
        </w:tc>
        <w:tc>
          <w:tcPr>
            <w:tcW w:w="3685" w:type="dxa"/>
            <w:gridSpan w:val="4"/>
            <w:noWrap/>
          </w:tcPr>
          <w:p>
            <w:pPr>
              <w:pStyle w:val="yTableNAm"/>
            </w:pPr>
          </w:p>
        </w:tc>
      </w:tr>
      <w:tr>
        <w:trPr>
          <w:cantSplit/>
          <w:trHeight w:val="300"/>
          <w:jc w:val="center"/>
        </w:trPr>
        <w:tc>
          <w:tcPr>
            <w:tcW w:w="1559" w:type="dxa"/>
            <w:vMerge/>
            <w:tcBorders>
              <w:bottom w:val="nil"/>
            </w:tcBorders>
            <w:noWrap/>
          </w:tcPr>
          <w:p>
            <w:pPr>
              <w:pStyle w:val="zyTableNAm"/>
              <w:widowControl w:val="0"/>
              <w:rPr>
                <w:b/>
              </w:rPr>
            </w:pPr>
          </w:p>
        </w:tc>
        <w:tc>
          <w:tcPr>
            <w:tcW w:w="1560" w:type="dxa"/>
            <w:vMerge w:val="restart"/>
            <w:noWrap/>
          </w:tcPr>
          <w:p>
            <w:pPr>
              <w:pStyle w:val="yTableNAm"/>
            </w:pPr>
            <w:r>
              <w:t>Details of offence</w:t>
            </w:r>
          </w:p>
        </w:tc>
        <w:tc>
          <w:tcPr>
            <w:tcW w:w="3685" w:type="dxa"/>
            <w:gridSpan w:val="4"/>
            <w:noWrap/>
          </w:tcPr>
          <w:p>
            <w:pPr>
              <w:pStyle w:val="yTableNAm"/>
            </w:pPr>
          </w:p>
        </w:tc>
      </w:tr>
      <w:tr>
        <w:trPr>
          <w:cantSplit/>
          <w:trHeight w:val="300"/>
          <w:jc w:val="center"/>
        </w:trPr>
        <w:tc>
          <w:tcPr>
            <w:tcW w:w="1559" w:type="dxa"/>
            <w:vMerge/>
            <w:tcBorders>
              <w:bottom w:val="nil"/>
            </w:tcBorders>
            <w:noWrap/>
          </w:tcPr>
          <w:p>
            <w:pPr>
              <w:pStyle w:val="zyTableNAm"/>
              <w:widowControl w:val="0"/>
              <w:rPr>
                <w:b/>
              </w:rPr>
            </w:pPr>
          </w:p>
        </w:tc>
        <w:tc>
          <w:tcPr>
            <w:tcW w:w="1560" w:type="dxa"/>
            <w:vMerge/>
            <w:noWrap/>
          </w:tcPr>
          <w:p>
            <w:pPr>
              <w:pStyle w:val="zyTableNAm"/>
              <w:widowControl w:val="0"/>
            </w:pPr>
          </w:p>
        </w:tc>
        <w:tc>
          <w:tcPr>
            <w:tcW w:w="3685" w:type="dxa"/>
            <w:gridSpan w:val="4"/>
            <w:noWrap/>
          </w:tcPr>
          <w:p>
            <w:pPr>
              <w:pStyle w:val="yTableNAm"/>
            </w:pPr>
          </w:p>
        </w:tc>
      </w:tr>
      <w:tr>
        <w:trPr>
          <w:cantSplit/>
          <w:trHeight w:val="300"/>
          <w:jc w:val="center"/>
        </w:trPr>
        <w:tc>
          <w:tcPr>
            <w:tcW w:w="1559" w:type="dxa"/>
            <w:vMerge/>
            <w:tcBorders>
              <w:bottom w:val="nil"/>
            </w:tcBorders>
            <w:noWrap/>
          </w:tcPr>
          <w:p>
            <w:pPr>
              <w:pStyle w:val="zyTableNAm"/>
              <w:widowControl w:val="0"/>
              <w:rPr>
                <w:b/>
              </w:rPr>
            </w:pPr>
          </w:p>
        </w:tc>
        <w:tc>
          <w:tcPr>
            <w:tcW w:w="1560" w:type="dxa"/>
            <w:vMerge w:val="restart"/>
            <w:noWrap/>
          </w:tcPr>
          <w:p>
            <w:pPr>
              <w:pStyle w:val="yTableNAm"/>
            </w:pPr>
            <w:r>
              <w:t>Written law contravened</w:t>
            </w:r>
          </w:p>
        </w:tc>
        <w:tc>
          <w:tcPr>
            <w:tcW w:w="3685" w:type="dxa"/>
            <w:gridSpan w:val="4"/>
            <w:noWrap/>
          </w:tcPr>
          <w:p>
            <w:pPr>
              <w:pStyle w:val="yTableNAm"/>
            </w:pPr>
          </w:p>
        </w:tc>
      </w:tr>
      <w:tr>
        <w:trPr>
          <w:cantSplit/>
          <w:trHeight w:val="300"/>
          <w:jc w:val="center"/>
        </w:trPr>
        <w:tc>
          <w:tcPr>
            <w:tcW w:w="1559" w:type="dxa"/>
            <w:vMerge/>
            <w:tcBorders>
              <w:bottom w:val="single" w:sz="4" w:space="0" w:color="auto"/>
            </w:tcBorders>
            <w:noWrap/>
          </w:tcPr>
          <w:p>
            <w:pPr>
              <w:pStyle w:val="zyTableNAm"/>
              <w:keepLines/>
              <w:widowControl w:val="0"/>
              <w:rPr>
                <w:b/>
              </w:rPr>
            </w:pPr>
          </w:p>
        </w:tc>
        <w:tc>
          <w:tcPr>
            <w:tcW w:w="1560" w:type="dxa"/>
            <w:vMerge/>
            <w:noWrap/>
          </w:tcPr>
          <w:p>
            <w:pPr>
              <w:pStyle w:val="zyTableNAm"/>
              <w:keepLines/>
              <w:widowControl w:val="0"/>
            </w:pPr>
          </w:p>
        </w:tc>
        <w:tc>
          <w:tcPr>
            <w:tcW w:w="3685" w:type="dxa"/>
            <w:gridSpan w:val="4"/>
            <w:noWrap/>
          </w:tcPr>
          <w:p>
            <w:pPr>
              <w:pStyle w:val="yTableNAm"/>
            </w:pPr>
          </w:p>
        </w:tc>
      </w:tr>
      <w:tr>
        <w:trPr>
          <w:cantSplit/>
          <w:jc w:val="center"/>
        </w:trPr>
        <w:tc>
          <w:tcPr>
            <w:tcW w:w="1559" w:type="dxa"/>
            <w:vMerge w:val="restart"/>
            <w:tcBorders>
              <w:top w:val="single" w:sz="4" w:space="0" w:color="auto"/>
            </w:tcBorders>
            <w:noWrap/>
          </w:tcPr>
          <w:p>
            <w:pPr>
              <w:pStyle w:val="yTableNAm"/>
              <w:keepNext/>
              <w:keepLines/>
            </w:pPr>
            <w:r>
              <w:rPr>
                <w:b/>
              </w:rPr>
              <w:lastRenderedPageBreak/>
              <w:t>Approved Officer withdrawing notice</w:t>
            </w:r>
          </w:p>
        </w:tc>
        <w:tc>
          <w:tcPr>
            <w:tcW w:w="1560" w:type="dxa"/>
            <w:noWrap/>
          </w:tcPr>
          <w:p>
            <w:pPr>
              <w:pStyle w:val="yTableNAm"/>
              <w:keepNext/>
              <w:keepLines/>
            </w:pPr>
            <w:r>
              <w:t>Name</w:t>
            </w:r>
          </w:p>
        </w:tc>
        <w:tc>
          <w:tcPr>
            <w:tcW w:w="3685" w:type="dxa"/>
            <w:gridSpan w:val="4"/>
            <w:noWrap/>
          </w:tcPr>
          <w:p>
            <w:pPr>
              <w:pStyle w:val="yTableNAm"/>
              <w:keepNext/>
              <w:keepLines/>
            </w:pPr>
          </w:p>
        </w:tc>
      </w:tr>
      <w:tr>
        <w:trPr>
          <w:cantSplit/>
          <w:trHeight w:val="370"/>
          <w:jc w:val="center"/>
        </w:trPr>
        <w:tc>
          <w:tcPr>
            <w:tcW w:w="1559" w:type="dxa"/>
            <w:vMerge/>
            <w:noWrap/>
          </w:tcPr>
          <w:p>
            <w:pPr>
              <w:pStyle w:val="zyTableNAm"/>
              <w:keepNext/>
              <w:keepLines/>
            </w:pPr>
          </w:p>
        </w:tc>
        <w:tc>
          <w:tcPr>
            <w:tcW w:w="1560" w:type="dxa"/>
            <w:noWrap/>
          </w:tcPr>
          <w:p>
            <w:pPr>
              <w:pStyle w:val="yTableNAm"/>
              <w:keepNext/>
              <w:keepLines/>
            </w:pPr>
            <w:r>
              <w:t>Office</w:t>
            </w:r>
          </w:p>
        </w:tc>
        <w:tc>
          <w:tcPr>
            <w:tcW w:w="3685" w:type="dxa"/>
            <w:gridSpan w:val="4"/>
            <w:noWrap/>
          </w:tcPr>
          <w:p>
            <w:pPr>
              <w:pStyle w:val="yTableNAm"/>
              <w:keepNext/>
              <w:keepLines/>
            </w:pPr>
          </w:p>
        </w:tc>
      </w:tr>
      <w:tr>
        <w:trPr>
          <w:cantSplit/>
          <w:trHeight w:val="370"/>
          <w:jc w:val="center"/>
        </w:trPr>
        <w:tc>
          <w:tcPr>
            <w:tcW w:w="1559" w:type="dxa"/>
            <w:vMerge/>
            <w:noWrap/>
          </w:tcPr>
          <w:p>
            <w:pPr>
              <w:pStyle w:val="zyTableNAm"/>
              <w:keepNext/>
              <w:keepLines/>
            </w:pPr>
          </w:p>
        </w:tc>
        <w:tc>
          <w:tcPr>
            <w:tcW w:w="1560" w:type="dxa"/>
            <w:noWrap/>
          </w:tcPr>
          <w:p>
            <w:pPr>
              <w:pStyle w:val="yTableNAm"/>
              <w:keepNext/>
              <w:keepLines/>
            </w:pPr>
            <w:r>
              <w:t>Signature</w:t>
            </w:r>
          </w:p>
        </w:tc>
        <w:tc>
          <w:tcPr>
            <w:tcW w:w="3685" w:type="dxa"/>
            <w:gridSpan w:val="4"/>
            <w:noWrap/>
          </w:tcPr>
          <w:p>
            <w:pPr>
              <w:pStyle w:val="yTableNAm"/>
              <w:keepNext/>
              <w:keepLines/>
            </w:pPr>
          </w:p>
        </w:tc>
      </w:tr>
      <w:tr>
        <w:trPr>
          <w:cantSplit/>
          <w:jc w:val="center"/>
        </w:trPr>
        <w:tc>
          <w:tcPr>
            <w:tcW w:w="1559" w:type="dxa"/>
            <w:noWrap/>
          </w:tcPr>
          <w:p>
            <w:pPr>
              <w:pStyle w:val="yTableNAm"/>
            </w:pPr>
            <w:r>
              <w:rPr>
                <w:b/>
              </w:rPr>
              <w:t>Date</w:t>
            </w:r>
          </w:p>
        </w:tc>
        <w:tc>
          <w:tcPr>
            <w:tcW w:w="1560" w:type="dxa"/>
            <w:noWrap/>
          </w:tcPr>
          <w:p>
            <w:pPr>
              <w:pStyle w:val="yTableNAm"/>
            </w:pPr>
            <w:r>
              <w:t>Date of withdrawal</w:t>
            </w:r>
          </w:p>
        </w:tc>
        <w:tc>
          <w:tcPr>
            <w:tcW w:w="3685" w:type="dxa"/>
            <w:gridSpan w:val="4"/>
            <w:noWrap/>
          </w:tcPr>
          <w:p>
            <w:pPr>
              <w:pStyle w:val="yTableNAm"/>
            </w:pPr>
          </w:p>
        </w:tc>
      </w:tr>
      <w:tr>
        <w:trPr>
          <w:cantSplit/>
          <w:trHeight w:val="4272"/>
          <w:jc w:val="center"/>
        </w:trPr>
        <w:tc>
          <w:tcPr>
            <w:tcW w:w="1559" w:type="dxa"/>
            <w:noWrap/>
          </w:tcPr>
          <w:p>
            <w:pPr>
              <w:pStyle w:val="yTableNAm"/>
            </w:pPr>
            <w:r>
              <w:rPr>
                <w:b/>
              </w:rPr>
              <w:t>Withdrawal of infringement notice</w:t>
            </w:r>
          </w:p>
          <w:p>
            <w:pPr>
              <w:pStyle w:val="yTableNAm"/>
              <w:rPr>
                <w:sz w:val="20"/>
              </w:rPr>
            </w:pPr>
            <w:r>
              <w:rPr>
                <w:i/>
                <w:sz w:val="20"/>
              </w:rPr>
              <w:t>[*Delete whichever is not applicable]</w:t>
            </w:r>
          </w:p>
        </w:tc>
        <w:tc>
          <w:tcPr>
            <w:tcW w:w="5245" w:type="dxa"/>
            <w:gridSpan w:val="5"/>
            <w:noWrap/>
          </w:tcPr>
          <w:p>
            <w:pPr>
              <w:pStyle w:val="yTableNAm"/>
            </w:pPr>
            <w:r>
              <w:t>The above infringement notice issued against you for the above alleged offence has been withdrawn.</w:t>
            </w:r>
          </w:p>
          <w:p>
            <w:pPr>
              <w:pStyle w:val="yTableNAm"/>
            </w:pPr>
            <w:r>
              <w:t>If you have already paid the modified penalty for the alleged offence, you are entitled to a refund.</w:t>
            </w:r>
          </w:p>
          <w:p>
            <w:pPr>
              <w:pStyle w:val="yTableNAm"/>
            </w:pPr>
            <w:r>
              <w:t>*</w:t>
            </w:r>
            <w:r>
              <w:tab/>
              <w:t>Your refund is enclosed</w:t>
            </w:r>
          </w:p>
          <w:p>
            <w:pPr>
              <w:pStyle w:val="yTableNAm"/>
              <w:rPr>
                <w:i/>
              </w:rPr>
            </w:pPr>
            <w:r>
              <w:rPr>
                <w:i/>
              </w:rPr>
              <w:t>or</w:t>
            </w:r>
          </w:p>
          <w:p>
            <w:pPr>
              <w:pStyle w:val="yTableNAm"/>
              <w:ind w:left="567" w:hanging="567"/>
            </w:pPr>
            <w:r>
              <w:t>*</w:t>
            </w:r>
            <w:r>
              <w:tab/>
              <w:t>If you have paid the modified penalty but a refund is not enclosed, you may claim your refund by signing and dating this notice and posting it to:</w:t>
            </w:r>
          </w:p>
          <w:p>
            <w:pPr>
              <w:pStyle w:val="yTableNAm"/>
              <w:ind w:left="567" w:hanging="567"/>
              <w:rPr>
                <w:i/>
              </w:rPr>
            </w:pPr>
            <w:r>
              <w:tab/>
              <w:t xml:space="preserve">Approved Officer — </w:t>
            </w:r>
            <w:r>
              <w:rPr>
                <w:i/>
              </w:rPr>
              <w:t>Major Events Act 2023</w:t>
            </w:r>
          </w:p>
          <w:p>
            <w:pPr>
              <w:pStyle w:val="yTableNAm"/>
              <w:spacing w:before="0"/>
              <w:ind w:left="567" w:hanging="567"/>
              <w:rPr>
                <w:i/>
                <w:sz w:val="24"/>
                <w:szCs w:val="24"/>
              </w:rPr>
            </w:pPr>
            <w:r>
              <w:rPr>
                <w:sz w:val="20"/>
              </w:rPr>
              <w:tab/>
            </w:r>
            <w:r>
              <w:rPr>
                <w:i/>
                <w:szCs w:val="24"/>
              </w:rPr>
              <w:t>[Address]</w:t>
            </w:r>
          </w:p>
        </w:tc>
      </w:tr>
      <w:tr>
        <w:trPr>
          <w:cantSplit/>
          <w:trHeight w:val="604"/>
          <w:jc w:val="center"/>
        </w:trPr>
        <w:tc>
          <w:tcPr>
            <w:tcW w:w="1559" w:type="dxa"/>
            <w:noWrap/>
          </w:tcPr>
          <w:p>
            <w:pPr>
              <w:pStyle w:val="yTableNAm"/>
              <w:spacing w:after="40"/>
            </w:pPr>
            <w:r>
              <w:rPr>
                <w:b/>
              </w:rPr>
              <w:t>Your signature</w:t>
            </w:r>
          </w:p>
        </w:tc>
        <w:tc>
          <w:tcPr>
            <w:tcW w:w="2410" w:type="dxa"/>
            <w:gridSpan w:val="2"/>
            <w:noWrap/>
          </w:tcPr>
          <w:p>
            <w:pPr>
              <w:pStyle w:val="yTableNAm"/>
            </w:pPr>
          </w:p>
        </w:tc>
        <w:tc>
          <w:tcPr>
            <w:tcW w:w="1134" w:type="dxa"/>
            <w:gridSpan w:val="2"/>
            <w:noWrap/>
          </w:tcPr>
          <w:p>
            <w:pPr>
              <w:pStyle w:val="yTableNAm"/>
            </w:pPr>
            <w:r>
              <w:rPr>
                <w:b/>
              </w:rPr>
              <w:t>Date</w:t>
            </w:r>
          </w:p>
        </w:tc>
        <w:tc>
          <w:tcPr>
            <w:tcW w:w="1701" w:type="dxa"/>
            <w:noWrap/>
          </w:tcPr>
          <w:p>
            <w:pPr>
              <w:pStyle w:val="yTableNAm"/>
            </w:pPr>
          </w:p>
        </w:tc>
      </w:tr>
    </w:tbl>
    <w:p>
      <w:pPr>
        <w:sectPr>
          <w:headerReference w:type="even" r:id="rId30"/>
          <w:headerReference w:type="default" r:id="rId31"/>
          <w:pgSz w:w="11907" w:h="16840" w:code="9"/>
          <w:pgMar w:top="2381" w:right="2410" w:bottom="3544" w:left="2410" w:header="720" w:footer="3544" w:gutter="0"/>
          <w:cols w:space="720"/>
        </w:sectPr>
      </w:pPr>
    </w:p>
    <w:p>
      <w:pPr>
        <w:pStyle w:val="yScheduleHeading"/>
      </w:pPr>
      <w:bookmarkStart w:id="38" w:name="_Toc155097714"/>
      <w:r>
        <w:rPr>
          <w:rStyle w:val="CharSchNo"/>
        </w:rPr>
        <w:lastRenderedPageBreak/>
        <w:t>Schedule 3</w:t>
      </w:r>
      <w:r>
        <w:rPr>
          <w:rStyle w:val="CharSDivNo"/>
        </w:rPr>
        <w:t> </w:t>
      </w:r>
      <w:r>
        <w:t>—</w:t>
      </w:r>
      <w:r>
        <w:rPr>
          <w:rStyle w:val="CharSDivText"/>
        </w:rPr>
        <w:t> </w:t>
      </w:r>
      <w:r>
        <w:rPr>
          <w:rStyle w:val="CharSchText"/>
        </w:rPr>
        <w:t>FIFA Women’s World Cup 2023 major event areas and controlled areas</w:t>
      </w:r>
      <w:bookmarkEnd w:id="38"/>
    </w:p>
    <w:p>
      <w:pPr>
        <w:pStyle w:val="yShoulderClause"/>
      </w:pPr>
      <w:r>
        <w:t>[r. 13(2) and 17(2)]</w:t>
      </w:r>
    </w:p>
    <w:p>
      <w:pPr>
        <w:pStyle w:val="ySubsection"/>
      </w:pPr>
      <w:r>
        <w:rPr>
          <w:noProof/>
        </w:rPr>
        <w:drawing>
          <wp:inline distT="0" distB="0" distL="0" distR="0">
            <wp:extent cx="4051999" cy="5727801"/>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th Rectangular Stadium event area and controlled are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64616" cy="5745636"/>
                    </a:xfrm>
                    <a:prstGeom prst="rect">
                      <a:avLst/>
                    </a:prstGeom>
                  </pic:spPr>
                </pic:pic>
              </a:graphicData>
            </a:graphic>
          </wp:inline>
        </w:drawing>
      </w:r>
    </w:p>
    <w:p>
      <w:pPr>
        <w:pStyle w:val="ySubsection"/>
      </w:pPr>
      <w:r>
        <w:rPr>
          <w:noProof/>
        </w:rPr>
        <w:lastRenderedPageBreak/>
        <w:drawing>
          <wp:inline distT="0" distB="0" distL="0" distR="0">
            <wp:extent cx="4000500" cy="565500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n Festival Site major event area and controlled are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32306" cy="5699964"/>
                    </a:xfrm>
                    <a:prstGeom prst="rect">
                      <a:avLst/>
                    </a:prstGeom>
                  </pic:spPr>
                </pic:pic>
              </a:graphicData>
            </a:graphic>
          </wp:inline>
        </w:drawing>
      </w:r>
    </w:p>
    <w:p>
      <w:pPr>
        <w:pStyle w:val="CentredBaseLine"/>
        <w:jc w:val="center"/>
      </w:pPr>
      <w:r>
        <w:rPr>
          <w:noProof/>
        </w:rPr>
        <w:drawing>
          <wp:inline distT="0" distB="0" distL="0" distR="0">
            <wp:extent cx="9334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pStyle w:val="Subsection"/>
        <w:outlineLvl w:val="0"/>
        <w:sectPr>
          <w:pgSz w:w="11907" w:h="16840" w:code="9"/>
          <w:pgMar w:top="2381" w:right="2410" w:bottom="3544" w:left="2410" w:header="720" w:footer="3544" w:gutter="0"/>
          <w:cols w:space="720"/>
        </w:sectPr>
      </w:pPr>
    </w:p>
    <w:p>
      <w:pPr>
        <w:pStyle w:val="nHeading2"/>
      </w:pPr>
      <w:bookmarkStart w:id="39" w:name="_Toc155097715"/>
      <w:r>
        <w:lastRenderedPageBreak/>
        <w:t>Notes</w:t>
      </w:r>
      <w:bookmarkEnd w:id="39"/>
    </w:p>
    <w:p>
      <w:pPr>
        <w:pStyle w:val="nStatement"/>
      </w:pPr>
      <w:r>
        <w:t xml:space="preserve">This is a compilation of the </w:t>
      </w:r>
      <w:r>
        <w:rPr>
          <w:i/>
          <w:noProof/>
        </w:rPr>
        <w:t>Major Events Regulations 2023</w:t>
      </w:r>
      <w:r>
        <w:t>. For provisions that have come into operation see the compilation table.</w:t>
      </w:r>
    </w:p>
    <w:p>
      <w:pPr>
        <w:pStyle w:val="nHeading3"/>
      </w:pPr>
      <w:bookmarkStart w:id="40" w:name="_Toc155097716"/>
      <w:r>
        <w:t>Compilation table</w:t>
      </w:r>
      <w:bookmarkEnd w:id="4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noProof/>
              </w:rPr>
              <w:t>Major Events Regulations 2023</w:t>
            </w:r>
          </w:p>
        </w:tc>
        <w:tc>
          <w:tcPr>
            <w:tcW w:w="1276" w:type="dxa"/>
          </w:tcPr>
          <w:p>
            <w:pPr>
              <w:pStyle w:val="nTable"/>
              <w:spacing w:after="40"/>
            </w:pPr>
            <w:r>
              <w:t>SL 2023/99 30 Jun 2023</w:t>
            </w:r>
          </w:p>
        </w:tc>
        <w:tc>
          <w:tcPr>
            <w:tcW w:w="2693" w:type="dxa"/>
          </w:tcPr>
          <w:p>
            <w:pPr>
              <w:pStyle w:val="nTable"/>
              <w:spacing w:after="40"/>
            </w:pPr>
            <w:r>
              <w:t>Pt. 1: 30 Jun 2023 (see r. 2(a));</w:t>
            </w:r>
            <w:r>
              <w:br/>
              <w:t>Regulations other than Pt. 1: 1 Jul 2023 (see r. 2(b))</w:t>
            </w:r>
          </w:p>
        </w:tc>
      </w:tr>
    </w:tbl>
    <w:p/>
    <w:p>
      <w:pPr>
        <w:sectPr>
          <w:headerReference w:type="even" r:id="rId35"/>
          <w:headerReference w:type="default" r:id="rId36"/>
          <w:pgSz w:w="11907" w:h="16840" w:code="9"/>
          <w:pgMar w:top="2376" w:right="2404" w:bottom="3544" w:left="2404" w:header="720" w:footer="3544" w:gutter="0"/>
          <w:cols w:space="720"/>
          <w:noEndnote/>
          <w:docGrid w:linePitch="326"/>
        </w:sectPr>
      </w:pPr>
    </w:p>
    <w:p>
      <w:pPr>
        <w:pStyle w:val="nHeading2"/>
        <w:rPr>
          <w:sz w:val="28"/>
        </w:rPr>
      </w:pPr>
      <w:bookmarkStart w:id="42" w:name="_Toc155097717"/>
      <w:r>
        <w:rPr>
          <w:sz w:val="28"/>
        </w:rPr>
        <w:lastRenderedPageBreak/>
        <w:t>Defined terms</w:t>
      </w:r>
      <w:bookmarkEnd w:id="4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fan festival operating hours</w:t>
      </w:r>
      <w:r>
        <w:tab/>
        <w:t>10</w:t>
      </w:r>
    </w:p>
    <w:p>
      <w:pPr>
        <w:pStyle w:val="DefinedTerms"/>
      </w:pPr>
      <w:r>
        <w:t>FIFA Women’s World Cup 2023</w:t>
      </w:r>
      <w:r>
        <w:tab/>
        <w:t>10</w:t>
      </w:r>
    </w:p>
    <w:p>
      <w:pPr>
        <w:pStyle w:val="DefinedTerms"/>
      </w:pPr>
      <w:r>
        <w:t>match periods</w:t>
      </w:r>
      <w:r>
        <w:tab/>
        <w:t>10</w:t>
      </w:r>
    </w:p>
    <w:p>
      <w:pPr>
        <w:pStyle w:val="DefinedTerms"/>
      </w:pPr>
      <w:r>
        <w:t>passenger transport service</w:t>
      </w:r>
      <w:r>
        <w:tab/>
        <w:t>3</w:t>
      </w:r>
    </w:p>
    <w:p>
      <w:pPr>
        <w:pStyle w:val="DefinedTerms"/>
      </w:pPr>
      <w:r>
        <w:t>public passenger transport service</w:t>
      </w:r>
      <w:r>
        <w:tab/>
        <w:t>3</w:t>
      </w:r>
    </w:p>
    <w:p>
      <w:pPr>
        <w:pStyle w:val="DefinedTerms"/>
      </w:pPr>
      <w:r>
        <w:t>Public Transport Authority</w:t>
      </w:r>
      <w:r>
        <w:tab/>
        <w:t>3</w:t>
      </w:r>
    </w:p>
    <w:p/>
    <w:p>
      <w:pPr>
        <w:sectPr>
          <w:headerReference w:type="even" r:id="rId37"/>
          <w:headerReference w:type="default" r:id="rId38"/>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fJTud6ACAABoBQAADgAAAAAAAAAAAAAAAAAuAgAAZHJz&#10;L2Uyb0RvYy54bWxQSwECLQAUAAYACAAAACEAY38uG9wAAAAJAQAADwAAAAAAAAAAAAAAAAD6BAAA&#10;ZHJzL2Rvd25yZXYueG1sUEsFBgAAAAAEAAQA8wAAAAMG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9"/>
      <w:headerReference w:type="default" r:id="rId40"/>
      <w:footerReference w:type="even" r:id="rId41"/>
      <w:footerReference w:type="default" r:id="rId42"/>
      <w:headerReference w:type="first" r:id="rId43"/>
      <w:footerReference w:type="first" r:id="rId44"/>
      <w:endnotePr>
        <w:numFmt w:val="decimal"/>
      </w:endnotePr>
      <w:type w:val="continuous"/>
      <w:pgSz w:w="11907" w:h="16840" w:code="9"/>
      <w:pgMar w:top="567" w:right="1701" w:bottom="567" w:left="1701"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00-a0-01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00-a0-01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00-a0-01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00-a0-01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xix</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00-a0-01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00-a0-01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Infringement notice forms</w:t>
          </w:r>
          <w:r>
            <w:fldChar w:fldCharType="end"/>
          </w:r>
        </w:p>
      </w:tc>
    </w:tr>
    <w:tr>
      <w:trPr>
        <w:jc w:val="center"/>
      </w:trPr>
      <w:tc>
        <w:tcPr>
          <w:tcW w:w="1548" w:type="dxa"/>
        </w:tcPr>
        <w:p>
          <w:pPr>
            <w:pStyle w:val="Header"/>
            <w:spacing w:before="40"/>
          </w:pPr>
          <w:r>
            <w:rPr>
              <w:b/>
            </w:rPr>
            <w:fldChar w:fldCharType="begin"/>
          </w:r>
          <w:r>
            <w:rPr>
              <w:b/>
            </w:rPr>
            <w:instrText>STYLEREF CharSDivNo</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 </w:t>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Infringement notice forms</w:t>
          </w:r>
          <w:r>
            <w:fldChar w:fldCharType="end"/>
          </w:r>
        </w:p>
      </w:tc>
      <w:tc>
        <w:tcPr>
          <w:tcW w:w="1445"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STYLEREF CharSDivNo</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37" w:name="Schedule"/>
    <w:bookmarkEnd w:id="3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41" w:name="Compilation"/>
    <w:bookmarkEnd w:id="41"/>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43" w:name="DefinedTerms"/>
    <w:bookmarkEnd w:id="43"/>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4" w:name="Coversheet"/>
    <w:bookmarkEnd w:id="4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spacing w:before="40"/>
            <w:jc w:val="right"/>
          </w:pPr>
          <w:r>
            <w:rPr>
              <w:b/>
              <w:i/>
            </w:rPr>
            <w:fldChar w:fldCharType="begin"/>
          </w:r>
          <w:r>
            <w:rPr>
              <w:b/>
              <w:i/>
            </w:rPr>
            <w:instrText xml:space="preserve"> STYLEREF "Name of Act/Reg" </w:instrText>
          </w:r>
          <w:r>
            <w:rPr>
              <w:b/>
              <w:i/>
            </w:rPr>
            <w:fldChar w:fldCharType="separate"/>
          </w:r>
          <w:r>
            <w:rPr>
              <w:b/>
              <w:i/>
            </w:rPr>
            <w:t>Major Events Regulations 2023</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jc w:val="right"/>
          </w:pPr>
          <w:r>
            <w:fldChar w:fldCharType="begin"/>
          </w:r>
          <w:r>
            <w:instrText xml:space="preserve"> styleref CharDivText </w:instrText>
          </w:r>
          <w:r>
            <w:fldChar w:fldCharType="end"/>
          </w:r>
        </w:p>
      </w:tc>
      <w:tc>
        <w:tcPr>
          <w:tcW w:w="1548" w:type="dxa"/>
        </w:tcPr>
        <w:p>
          <w:pPr>
            <w:pStyle w:val="Header"/>
            <w:spacing w:before="40"/>
            <w:jc w:val="right"/>
          </w:pPr>
          <w:r>
            <w:rPr>
              <w:b/>
            </w:rPr>
            <w:fldChar w:fldCharType="begin"/>
          </w:r>
          <w:r>
            <w:rPr>
              <w:b/>
            </w:rPr>
            <w:instrText>STYLEREF CharDivNo</w:instrText>
          </w:r>
          <w:r>
            <w:rPr>
              <w:b/>
            </w:rPr>
            <w:fldChar w:fldCharType="end"/>
          </w:r>
        </w:p>
      </w:tc>
    </w:tr>
    <w:tr>
      <w:trPr>
        <w:cantSplit/>
        <w:jc w:val="center"/>
      </w:trPr>
      <w:tc>
        <w:tcPr>
          <w:tcW w:w="7263" w:type="dxa"/>
          <w:gridSpan w:val="2"/>
        </w:tcPr>
        <w:p>
          <w:pPr>
            <w:pStyle w:val="Header"/>
            <w:spacing w:before="40"/>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BBA1437"/>
    <w:multiLevelType w:val="singleLevel"/>
    <w:tmpl w:val="0C09000F"/>
    <w:lvl w:ilvl="0">
      <w:start w:val="1"/>
      <w:numFmt w:val="decimal"/>
      <w:lvlText w:val="%1."/>
      <w:lvlJc w:val="left"/>
      <w:pPr>
        <w:ind w:left="720" w:hanging="360"/>
      </w:pPr>
    </w:lvl>
  </w:abstractNum>
  <w:abstractNum w:abstractNumId="17"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1B90854"/>
    <w:multiLevelType w:val="singleLevel"/>
    <w:tmpl w:val="0C090001"/>
    <w:lvl w:ilvl="0">
      <w:start w:val="1"/>
      <w:numFmt w:val="bullet"/>
      <w:lvlText w:val=""/>
      <w:lvlJc w:val="left"/>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1"/>
  </w:num>
  <w:num w:numId="2">
    <w:abstractNumId w:val="14"/>
  </w:num>
  <w:num w:numId="3">
    <w:abstractNumId w:val="13"/>
  </w:num>
  <w:num w:numId="4">
    <w:abstractNumId w:val="15"/>
  </w:num>
  <w:num w:numId="5">
    <w:abstractNumId w:val="12"/>
  </w:num>
  <w:num w:numId="6">
    <w:abstractNumId w:val="18"/>
  </w:num>
  <w:num w:numId="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uleResults" w:val="&lt;AllLaws&gt;&lt;/AllLaws&gt;"/>
    <w:docVar w:name="WAFER" w:val="20231229095743"/>
    <w:docVar w:name="WAFER_20150206084300" w:val="ResetPageSize"/>
    <w:docVar w:name="WAFER_20150206084300_GUID" w:val="de2fbc3d-acf0-43f4-a0fa-d2631ba8b5df"/>
    <w:docVar w:name="WAFER_20151016170500" w:val="UpdateStyles"/>
    <w:docVar w:name="WAFER_20151016170500_GUID" w:val="b265764f-9cc9-4051-b597-28966bcc0033"/>
    <w:docVar w:name="WAFER_20151016171156" w:val="UsedStyles"/>
    <w:docVar w:name="WAFER_20151016171156_GUID" w:val="65b8bf31-20ff-4e33-a7f5-3e8a982d38e1"/>
    <w:docVar w:name="WAFER_20151016171216" w:val="UpdateStyles"/>
    <w:docVar w:name="WAFER_20151016171216_GUID" w:val="6c2db7ef-daac-4b3e-9dc6-438f5d0ef0de"/>
    <w:docVar w:name="WAFER_20151019113755" w:val="UpdateStyles,UsedStyles"/>
    <w:docVar w:name="WAFER_20151019113755_GUID" w:val="94d94bff-48d8-4137-a72c-5fd727eea17c"/>
    <w:docVar w:name="WAFER_20151102150240" w:val="UpdateStyles,UsedStyles"/>
    <w:docVar w:name="WAFER_20151102150240_GUID" w:val="2391df09-cb41-4aa3-adeb-85763481adf4"/>
    <w:docVar w:name="WAFER_20190125160029" w:val="UpdateStyles"/>
    <w:docVar w:name="WAFER_20190125160029_GUID" w:val="b5d22a23-aebe-4a72-ade9-c7eb5fe3ff91"/>
    <w:docVar w:name="WAFER_20190213151332" w:val="UpdateStyles"/>
    <w:docVar w:name="WAFER_20190213151332_GUID" w:val="5f5bd124-b00b-412a-a7b5-01fcf0a689e4"/>
    <w:docVar w:name="WAFER_20190214104147" w:val="UpdateStyles"/>
    <w:docVar w:name="WAFER_20190214104147_GUID" w:val="ba422db1-9a36-4369-9917-270567d09a43"/>
    <w:docVar w:name="WAFER_20190227114746" w:val="UpdateStyles"/>
    <w:docVar w:name="WAFER_20190227114746_GUID" w:val="462c59b5-9a0c-4a8b-a415-d2eeb9a467c9"/>
    <w:docVar w:name="WAFER_20191031134536" w:val="UpdateStyles"/>
    <w:docVar w:name="WAFER_20191031134536_GUID" w:val="b6cf0004-89c3-4ce4-92f2-c7ba61597248"/>
    <w:docVar w:name="WAFER_20200207102504" w:val="UpdateStyles.ProcessFixes,UpdateStyles.ProcessFixes,RemoveIncorrectStyles.ProcessStyles,RemoveIncorrectStyles.ProcessStyles"/>
    <w:docVar w:name="WAFER_20200207102504_GUID" w:val="22d86058-aa5d-4625-8196-006bb3c08a21"/>
    <w:docVar w:name="WAFER_202304031104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Size.ResetPageSize,ResetPageFooter.ResetPageFooter"/>
    <w:docVar w:name="WAFER_20230403110444_GUID" w:val="6a1c105a-3450-41aa-9a46-e934e904a723"/>
    <w:docVar w:name="WAFER_2023060711555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607115556_GUID" w:val="62072c12-ebe1-460c-bcf4-27a595489f7b"/>
    <w:docVar w:name="WAFER_2023061908532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19085326_GUID" w:val="66ef921c-0b43-4ca0-8dc5-86d001f4f2a8"/>
    <w:docVar w:name="WAFER_202306291230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629123049_GUID" w:val="04397f35-c71e-4ab3-96c6-ae3823ef5ede"/>
    <w:docVar w:name="WAFER_2023122909574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9095743_GUID" w:val="b913aeda-af1f-4964-a767-0a3973f2c93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6936EA35-DEEB-4245-B1E1-42984E18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right" w:pos="7088"/>
      </w:tabs>
      <w:spacing w:before="108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ExCo">
    <w:name w:val="ExCo"/>
    <w:qFormat/>
    <w:rPr>
      <w:sz w:val="24"/>
    </w:rPr>
  </w:style>
  <w:style w:type="paragraph" w:customStyle="1" w:styleId="Certificate">
    <w:name w:val="Certificate"/>
    <w:qFormat/>
    <w:rPr>
      <w:sz w:val="24"/>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BalloonText">
    <w:name w:val="Balloon Text"/>
    <w:basedOn w:val="Normal"/>
    <w:link w:val="BalloonTextChar"/>
    <w:unhideWhenUsed/>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paragraph" w:customStyle="1" w:styleId="AssentDate">
    <w:name w:val="AssentDate"/>
    <w:pPr>
      <w:jc w:val="right"/>
    </w:pPr>
    <w:rPr>
      <w:sz w:val="24"/>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g"/><Relationship Id="rId34" Type="http://schemas.openxmlformats.org/officeDocument/2006/relationships/image" Target="media/image10.jpe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8.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header" Target="header8.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image" Target="media/image9.jpeg"/><Relationship Id="rId38" Type="http://schemas.openxmlformats.org/officeDocument/2006/relationships/header" Target="header15.xml"/><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1D6B-B334-4DEA-A7D5-8088E93B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4258</Words>
  <Characters>20695</Characters>
  <Application>Microsoft Office Word</Application>
  <DocSecurity>0</DocSecurity>
  <Lines>985</Lines>
  <Paragraphs>623</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Major Events Regulations 2023 - 00-a0-01</dc:title>
  <dc:subject/>
  <dc:creator/>
  <cp:keywords/>
  <dc:description/>
  <cp:lastModifiedBy>Master Repository Process</cp:lastModifiedBy>
  <cp:revision>4</cp:revision>
  <cp:lastPrinted>2023-06-07T01:53:00Z</cp:lastPrinted>
  <dcterms:created xsi:type="dcterms:W3CDTF">2024-01-02T06:21:00Z</dcterms:created>
  <dcterms:modified xsi:type="dcterms:W3CDTF">2024-01-02T06:21:00Z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54230</vt:lpwstr>
  </property>
  <property fmtid="{D5CDD505-2E9C-101B-9397-08002B2CF9AE}" pid="3" name="DocumentType">
    <vt:lpwstr>Reg</vt:lpwstr>
  </property>
  <property fmtid="{D5CDD505-2E9C-101B-9397-08002B2CF9AE}" pid="4" name="AsAtDate">
    <vt:lpwstr>01 Jul 2023</vt:lpwstr>
  </property>
  <property fmtid="{D5CDD505-2E9C-101B-9397-08002B2CF9AE}" pid="5" name="Suffix">
    <vt:lpwstr>00-a0-01</vt:lpwstr>
  </property>
  <property fmtid="{D5CDD505-2E9C-101B-9397-08002B2CF9AE}" pid="6" name="Official">
    <vt:lpwstr/>
  </property>
  <property fmtid="{D5CDD505-2E9C-101B-9397-08002B2CF9AE}" pid="7" name="CommencementDate">
    <vt:lpwstr>20230701</vt:lpwstr>
  </property>
  <property fmtid="{D5CDD505-2E9C-101B-9397-08002B2CF9AE}" pid="8" name="CommencementAsAt">
    <vt:filetime>2023-06-30T16:00:00Z</vt:filetime>
  </property>
  <property fmtid="{D5CDD505-2E9C-101B-9397-08002B2CF9AE}" pid="9" name="CommencementYear">
    <vt:lpwstr>2023</vt:lpwstr>
  </property>
</Properties>
</file>