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Western Australian Treasury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_Toc155177711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_Toc155177712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_Toc155177713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prevail over certain written laws</w:t>
      </w:r>
      <w:r>
        <w:tab/>
      </w:r>
      <w:r>
        <w:fldChar w:fldCharType="begin"/>
      </w:r>
      <w:r>
        <w:instrText xml:space="preserve"> PAGEREF _Toc155177714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Treasury Corporation</w:t>
      </w:r>
    </w:p>
    <w:p>
      <w:pPr>
        <w:pStyle w:val="TOC8"/>
        <w:rPr>
          <w:rFonts w:asciiTheme="minorHAnsi" w:eastAsiaTheme="minorEastAsia" w:hAnsiTheme="minorHAnsi" w:cstheme="minorBidi"/>
          <w:szCs w:val="22"/>
        </w:rPr>
      </w:pPr>
      <w:r>
        <w:t>5</w:t>
      </w:r>
      <w:r>
        <w:rPr>
          <w:snapToGrid w:val="0"/>
        </w:rPr>
        <w:t>.</w:t>
      </w:r>
      <w:r>
        <w:rPr>
          <w:snapToGrid w:val="0"/>
        </w:rPr>
        <w:tab/>
        <w:t>Western Australian Treasury Corporation established as body corporate</w:t>
      </w:r>
      <w:r>
        <w:tab/>
      </w:r>
      <w:r>
        <w:fldChar w:fldCharType="begin"/>
      </w:r>
      <w:r>
        <w:instrText xml:space="preserve"> PAGEREF _Toc155177716 \h </w:instrText>
      </w:r>
      <w:r>
        <w:fldChar w:fldCharType="separate"/>
      </w:r>
      <w:r>
        <w:t>6</w:t>
      </w:r>
      <w:r>
        <w:fldChar w:fldCharType="end"/>
      </w:r>
    </w:p>
    <w:p>
      <w:pPr>
        <w:pStyle w:val="TOC8"/>
        <w:rPr>
          <w:rFonts w:asciiTheme="minorHAnsi" w:eastAsiaTheme="minorEastAsia" w:hAnsiTheme="minorHAnsi" w:cstheme="minorBidi"/>
          <w:szCs w:val="22"/>
        </w:rPr>
      </w:pPr>
      <w:r>
        <w:t>5A.</w:t>
      </w:r>
      <w:r>
        <w:tab/>
        <w:t>Agent of Crown</w:t>
      </w:r>
      <w:r>
        <w:tab/>
      </w:r>
      <w:r>
        <w:fldChar w:fldCharType="begin"/>
      </w:r>
      <w:r>
        <w:instrText xml:space="preserve"> PAGEREF _Toc155177717 \h </w:instrText>
      </w:r>
      <w:r>
        <w:fldChar w:fldCharType="separate"/>
      </w:r>
      <w:r>
        <w:t>6</w:t>
      </w:r>
      <w:r>
        <w:fldChar w:fldCharType="end"/>
      </w:r>
    </w:p>
    <w:p>
      <w:pPr>
        <w:pStyle w:val="TOC8"/>
        <w:rPr>
          <w:rFonts w:asciiTheme="minorHAnsi" w:eastAsiaTheme="minorEastAsia" w:hAnsiTheme="minorHAnsi" w:cstheme="minorBidi"/>
          <w:szCs w:val="22"/>
        </w:rPr>
      </w:pPr>
      <w:r>
        <w:t>5B.</w:t>
      </w:r>
      <w:r>
        <w:tab/>
        <w:t>Board of directors</w:t>
      </w:r>
      <w:r>
        <w:tab/>
      </w:r>
      <w:r>
        <w:fldChar w:fldCharType="begin"/>
      </w:r>
      <w:r>
        <w:instrText xml:space="preserve"> PAGEREF _Toc155177718 \h </w:instrText>
      </w:r>
      <w:r>
        <w:fldChar w:fldCharType="separate"/>
      </w:r>
      <w:r>
        <w:t>6</w:t>
      </w:r>
      <w:r>
        <w:fldChar w:fldCharType="end"/>
      </w:r>
    </w:p>
    <w:p>
      <w:pPr>
        <w:pStyle w:val="TOC8"/>
        <w:rPr>
          <w:rFonts w:asciiTheme="minorHAnsi" w:eastAsiaTheme="minorEastAsia" w:hAnsiTheme="minorHAnsi" w:cstheme="minorBidi"/>
          <w:szCs w:val="22"/>
        </w:rPr>
      </w:pPr>
      <w:r>
        <w:t>5C.</w:t>
      </w:r>
      <w:r>
        <w:tab/>
        <w:t>Constitution and proceedings of board</w:t>
      </w:r>
      <w:r>
        <w:tab/>
      </w:r>
      <w:r>
        <w:fldChar w:fldCharType="begin"/>
      </w:r>
      <w:r>
        <w:instrText xml:space="preserve"> PAGEREF _Toc155177719 \h </w:instrText>
      </w:r>
      <w:r>
        <w:fldChar w:fldCharType="separate"/>
      </w:r>
      <w:r>
        <w:t>7</w:t>
      </w:r>
      <w:r>
        <w:fldChar w:fldCharType="end"/>
      </w:r>
    </w:p>
    <w:p>
      <w:pPr>
        <w:pStyle w:val="TOC8"/>
        <w:rPr>
          <w:rFonts w:asciiTheme="minorHAnsi" w:eastAsiaTheme="minorEastAsia" w:hAnsiTheme="minorHAnsi" w:cstheme="minorBidi"/>
          <w:szCs w:val="22"/>
        </w:rPr>
      </w:pPr>
      <w:r>
        <w:t>5D.</w:t>
      </w:r>
      <w:r>
        <w:tab/>
        <w:t>Remuneration of directors and committee members</w:t>
      </w:r>
      <w:r>
        <w:tab/>
      </w:r>
      <w:r>
        <w:fldChar w:fldCharType="begin"/>
      </w:r>
      <w:r>
        <w:instrText xml:space="preserve"> PAGEREF _Toc155177720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agents, attorneys and facsimiles of Corporation</w:t>
      </w:r>
      <w:r>
        <w:tab/>
      </w:r>
      <w:r>
        <w:fldChar w:fldCharType="begin"/>
      </w:r>
      <w:r>
        <w:instrText xml:space="preserve"> PAGEREF _Toc155177721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Corporation for duties, taxes etc.</w:t>
      </w:r>
      <w:r>
        <w:tab/>
      </w:r>
      <w:r>
        <w:fldChar w:fldCharType="begin"/>
      </w:r>
      <w:r>
        <w:instrText xml:space="preserve"> PAGEREF _Toc155177722 \h </w:instrText>
      </w:r>
      <w:r>
        <w:fldChar w:fldCharType="separate"/>
      </w:r>
      <w:r>
        <w:t>8</w:t>
      </w:r>
      <w:r>
        <w:fldChar w:fldCharType="end"/>
      </w:r>
    </w:p>
    <w:p>
      <w:pPr>
        <w:pStyle w:val="TOC8"/>
        <w:rPr>
          <w:rFonts w:asciiTheme="minorHAnsi" w:eastAsiaTheme="minorEastAsia" w:hAnsiTheme="minorHAnsi" w:cstheme="minorBidi"/>
          <w:szCs w:val="22"/>
        </w:rPr>
      </w:pPr>
      <w:r>
        <w:t>8.</w:t>
      </w:r>
      <w:r>
        <w:tab/>
        <w:t>Chief executive officer</w:t>
      </w:r>
      <w:r>
        <w:tab/>
      </w:r>
      <w:r>
        <w:fldChar w:fldCharType="begin"/>
      </w:r>
      <w:r>
        <w:instrText xml:space="preserve"> PAGEREF _Toc155177723 \h </w:instrText>
      </w:r>
      <w:r>
        <w:fldChar w:fldCharType="separate"/>
      </w:r>
      <w:r>
        <w:t>9</w:t>
      </w:r>
      <w:r>
        <w:fldChar w:fldCharType="end"/>
      </w:r>
    </w:p>
    <w:p>
      <w:pPr>
        <w:pStyle w:val="TOC8"/>
        <w:rPr>
          <w:rFonts w:asciiTheme="minorHAnsi" w:eastAsiaTheme="minorEastAsia" w:hAnsiTheme="minorHAnsi" w:cstheme="minorBidi"/>
          <w:szCs w:val="22"/>
        </w:rPr>
      </w:pPr>
      <w:r>
        <w:t>8AA.</w:t>
      </w:r>
      <w:r>
        <w:tab/>
        <w:t>Remuneration of chief executive officer while Corporation is not a Government entity</w:t>
      </w:r>
      <w:r>
        <w:tab/>
      </w:r>
      <w:r>
        <w:fldChar w:fldCharType="begin"/>
      </w:r>
      <w:r>
        <w:instrText xml:space="preserve"> PAGEREF _Toc155177724 \h </w:instrText>
      </w:r>
      <w:r>
        <w:fldChar w:fldCharType="separate"/>
      </w:r>
      <w:r>
        <w:t>10</w:t>
      </w:r>
      <w:r>
        <w:fldChar w:fldCharType="end"/>
      </w:r>
    </w:p>
    <w:p>
      <w:pPr>
        <w:pStyle w:val="TOC8"/>
        <w:rPr>
          <w:rFonts w:asciiTheme="minorHAnsi" w:eastAsiaTheme="minorEastAsia" w:hAnsiTheme="minorHAnsi" w:cstheme="minorBidi"/>
          <w:szCs w:val="22"/>
        </w:rPr>
      </w:pPr>
      <w:r>
        <w:t>8AB.</w:t>
      </w:r>
      <w:r>
        <w:tab/>
        <w:t>Remuneration of chief executive officer while Corporation is a Government entity</w:t>
      </w:r>
      <w:r>
        <w:tab/>
      </w:r>
      <w:r>
        <w:fldChar w:fldCharType="begin"/>
      </w:r>
      <w:r>
        <w:instrText xml:space="preserve"> PAGEREF _Toc155177725 \h </w:instrText>
      </w:r>
      <w:r>
        <w:fldChar w:fldCharType="separate"/>
      </w:r>
      <w:r>
        <w:t>11</w:t>
      </w:r>
      <w:r>
        <w:fldChar w:fldCharType="end"/>
      </w:r>
    </w:p>
    <w:p>
      <w:pPr>
        <w:pStyle w:val="TOC8"/>
        <w:rPr>
          <w:rFonts w:asciiTheme="minorHAnsi" w:eastAsiaTheme="minorEastAsia" w:hAnsiTheme="minorHAnsi" w:cstheme="minorBidi"/>
          <w:szCs w:val="22"/>
        </w:rPr>
      </w:pPr>
      <w:r>
        <w:t>8A.</w:t>
      </w:r>
      <w:r>
        <w:tab/>
        <w:t>Role of chief executive officer</w:t>
      </w:r>
      <w:r>
        <w:tab/>
      </w:r>
      <w:r>
        <w:fldChar w:fldCharType="begin"/>
      </w:r>
      <w:r>
        <w:instrText xml:space="preserve"> PAGEREF _Toc155177726 \h </w:instrText>
      </w:r>
      <w:r>
        <w:fldChar w:fldCharType="separate"/>
      </w:r>
      <w:r>
        <w:t>11</w:t>
      </w:r>
      <w:r>
        <w:fldChar w:fldCharType="end"/>
      </w:r>
    </w:p>
    <w:p>
      <w:pPr>
        <w:pStyle w:val="TOC8"/>
        <w:rPr>
          <w:rFonts w:asciiTheme="minorHAnsi" w:eastAsiaTheme="minorEastAsia" w:hAnsiTheme="minorHAnsi" w:cstheme="minorBidi"/>
          <w:szCs w:val="22"/>
        </w:rPr>
      </w:pPr>
      <w:r>
        <w:t>8B.</w:t>
      </w:r>
      <w:r>
        <w:tab/>
        <w:t>Staff</w:t>
      </w:r>
      <w:r>
        <w:tab/>
      </w:r>
      <w:r>
        <w:fldChar w:fldCharType="begin"/>
      </w:r>
      <w:r>
        <w:instrText xml:space="preserve"> PAGEREF _Toc155177727 \h </w:instrText>
      </w:r>
      <w:r>
        <w:fldChar w:fldCharType="separate"/>
      </w:r>
      <w:r>
        <w:t>11</w:t>
      </w:r>
      <w:r>
        <w:fldChar w:fldCharType="end"/>
      </w:r>
    </w:p>
    <w:p>
      <w:pPr>
        <w:pStyle w:val="TOC8"/>
        <w:rPr>
          <w:rFonts w:asciiTheme="minorHAnsi" w:eastAsiaTheme="minorEastAsia" w:hAnsiTheme="minorHAnsi" w:cstheme="minorBidi"/>
          <w:szCs w:val="22"/>
        </w:rPr>
      </w:pPr>
      <w:r>
        <w:t>8C.</w:t>
      </w:r>
      <w:r>
        <w:tab/>
        <w:t>Use of other government staff etc.</w:t>
      </w:r>
      <w:r>
        <w:tab/>
      </w:r>
      <w:r>
        <w:fldChar w:fldCharType="begin"/>
      </w:r>
      <w:r>
        <w:instrText xml:space="preserve"> PAGEREF _Toc155177728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Functions and powers of Corporation</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_Toc155177730 \h </w:instrText>
      </w:r>
      <w:r>
        <w:fldChar w:fldCharType="separate"/>
      </w:r>
      <w:r>
        <w:t>14</w:t>
      </w:r>
      <w:r>
        <w:fldChar w:fldCharType="end"/>
      </w:r>
    </w:p>
    <w:p>
      <w:pPr>
        <w:pStyle w:val="TOC8"/>
        <w:rPr>
          <w:rFonts w:asciiTheme="minorHAnsi" w:eastAsiaTheme="minorEastAsia" w:hAnsiTheme="minorHAnsi" w:cstheme="minorBidi"/>
          <w:szCs w:val="22"/>
        </w:rPr>
      </w:pPr>
      <w:r>
        <w:t>9A.</w:t>
      </w:r>
      <w:r>
        <w:tab/>
        <w:t>Further provision as to assumption of liabilities on behalf of State</w:t>
      </w:r>
      <w:r>
        <w:tab/>
      </w:r>
      <w:r>
        <w:fldChar w:fldCharType="begin"/>
      </w:r>
      <w:r>
        <w:instrText xml:space="preserve"> PAGEREF _Toc155177731 \h </w:instrText>
      </w:r>
      <w:r>
        <w:fldChar w:fldCharType="separate"/>
      </w:r>
      <w:r>
        <w:t>15</w:t>
      </w:r>
      <w:r>
        <w:fldChar w:fldCharType="end"/>
      </w:r>
    </w:p>
    <w:p>
      <w:pPr>
        <w:pStyle w:val="TOC8"/>
        <w:rPr>
          <w:rFonts w:asciiTheme="minorHAnsi" w:eastAsiaTheme="minorEastAsia" w:hAnsiTheme="minorHAnsi" w:cstheme="minorBidi"/>
          <w:szCs w:val="22"/>
        </w:rPr>
      </w:pPr>
      <w:r>
        <w:t>9B.</w:t>
      </w:r>
      <w:r>
        <w:tab/>
        <w:t>Duty to observe policy instruments</w:t>
      </w:r>
      <w:r>
        <w:tab/>
      </w:r>
      <w:r>
        <w:fldChar w:fldCharType="begin"/>
      </w:r>
      <w:r>
        <w:instrText xml:space="preserve"> PAGEREF _Toc155177732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Corporation</w:t>
      </w:r>
      <w:r>
        <w:tab/>
      </w:r>
      <w:r>
        <w:fldChar w:fldCharType="begin"/>
      </w:r>
      <w:r>
        <w:instrText xml:space="preserve"> PAGEREF _Toc155177733 \h </w:instrText>
      </w:r>
      <w:r>
        <w:fldChar w:fldCharType="separate"/>
      </w:r>
      <w:r>
        <w:t>16</w:t>
      </w:r>
      <w:r>
        <w:fldChar w:fldCharType="end"/>
      </w:r>
    </w:p>
    <w:p>
      <w:pPr>
        <w:pStyle w:val="TOC8"/>
        <w:rPr>
          <w:rFonts w:asciiTheme="minorHAnsi" w:eastAsiaTheme="minorEastAsia" w:hAnsiTheme="minorHAnsi" w:cstheme="minorBidi"/>
          <w:szCs w:val="22"/>
        </w:rPr>
      </w:pPr>
      <w:r>
        <w:t>10A.</w:t>
      </w:r>
      <w:r>
        <w:tab/>
        <w:t>Borrowing limits</w:t>
      </w:r>
      <w:r>
        <w:tab/>
      </w:r>
      <w:r>
        <w:fldChar w:fldCharType="begin"/>
      </w:r>
      <w:r>
        <w:instrText xml:space="preserve"> PAGEREF _Toc155177734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debts incurred by Corporation</w:t>
      </w:r>
      <w:r>
        <w:tab/>
      </w:r>
      <w:r>
        <w:fldChar w:fldCharType="begin"/>
      </w:r>
      <w:r>
        <w:instrText xml:space="preserve"> PAGEREF _Toc155177735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Corporation from Treasurer</w:t>
      </w:r>
      <w:r>
        <w:tab/>
      </w:r>
      <w:r>
        <w:fldChar w:fldCharType="begin"/>
      </w:r>
      <w:r>
        <w:instrText xml:space="preserve"> PAGEREF _Toc155177736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guarantee</w:t>
      </w:r>
      <w:r>
        <w:tab/>
      </w:r>
      <w:r>
        <w:fldChar w:fldCharType="begin"/>
      </w:r>
      <w:r>
        <w:instrText xml:space="preserve"> PAGEREF _Toc155177737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moneys borrowed by Corporation</w:t>
      </w:r>
      <w:r>
        <w:tab/>
      </w:r>
      <w:r>
        <w:fldChar w:fldCharType="begin"/>
      </w:r>
      <w:r>
        <w:instrText xml:space="preserve"> PAGEREF _Toc155177738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Borrowers to pay certain amounts to Corporation</w:t>
      </w:r>
      <w:r>
        <w:tab/>
      </w:r>
      <w:r>
        <w:fldChar w:fldCharType="begin"/>
      </w:r>
      <w:r>
        <w:instrText xml:space="preserve"> PAGEREF _Toc155177739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of guarantee moneys</w:t>
      </w:r>
      <w:r>
        <w:tab/>
      </w:r>
      <w:r>
        <w:fldChar w:fldCharType="begin"/>
      </w:r>
      <w:r>
        <w:instrText xml:space="preserve"> PAGEREF _Toc155177740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IIIA — Corporate planning documents</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16A.</w:t>
      </w:r>
      <w:r>
        <w:tab/>
        <w:t>Draft strategic development plan to be submitted to Minister</w:t>
      </w:r>
      <w:r>
        <w:tab/>
      </w:r>
      <w:r>
        <w:fldChar w:fldCharType="begin"/>
      </w:r>
      <w:r>
        <w:instrText xml:space="preserve"> PAGEREF _Toc155177743 \h </w:instrText>
      </w:r>
      <w:r>
        <w:fldChar w:fldCharType="separate"/>
      </w:r>
      <w:r>
        <w:t>26</w:t>
      </w:r>
      <w:r>
        <w:fldChar w:fldCharType="end"/>
      </w:r>
    </w:p>
    <w:p>
      <w:pPr>
        <w:pStyle w:val="TOC8"/>
        <w:rPr>
          <w:rFonts w:asciiTheme="minorHAnsi" w:eastAsiaTheme="minorEastAsia" w:hAnsiTheme="minorHAnsi" w:cstheme="minorBidi"/>
          <w:szCs w:val="22"/>
        </w:rPr>
      </w:pPr>
      <w:r>
        <w:t>16C.</w:t>
      </w:r>
      <w:r>
        <w:tab/>
        <w:t>Matters to be included in strategic development plan</w:t>
      </w:r>
      <w:r>
        <w:tab/>
      </w:r>
      <w:r>
        <w:fldChar w:fldCharType="begin"/>
      </w:r>
      <w:r>
        <w:instrText xml:space="preserve"> PAGEREF _Toc155177744 \h </w:instrText>
      </w:r>
      <w:r>
        <w:fldChar w:fldCharType="separate"/>
      </w:r>
      <w:r>
        <w:t>26</w:t>
      </w:r>
      <w:r>
        <w:fldChar w:fldCharType="end"/>
      </w:r>
    </w:p>
    <w:p>
      <w:pPr>
        <w:pStyle w:val="TOC8"/>
        <w:rPr>
          <w:rFonts w:asciiTheme="minorHAnsi" w:eastAsiaTheme="minorEastAsia" w:hAnsiTheme="minorHAnsi" w:cstheme="minorBidi"/>
          <w:szCs w:val="22"/>
        </w:rPr>
      </w:pPr>
      <w:r>
        <w:t>16D.</w:t>
      </w:r>
      <w:r>
        <w:tab/>
        <w:t>Strategic development plan to be agreed if possible</w:t>
      </w:r>
      <w:r>
        <w:tab/>
      </w:r>
      <w:r>
        <w:fldChar w:fldCharType="begin"/>
      </w:r>
      <w:r>
        <w:instrText xml:space="preserve"> PAGEREF _Toc155177745 \h </w:instrText>
      </w:r>
      <w:r>
        <w:fldChar w:fldCharType="separate"/>
      </w:r>
      <w:r>
        <w:t>27</w:t>
      </w:r>
      <w:r>
        <w:fldChar w:fldCharType="end"/>
      </w:r>
    </w:p>
    <w:p>
      <w:pPr>
        <w:pStyle w:val="TOC8"/>
        <w:rPr>
          <w:rFonts w:asciiTheme="minorHAnsi" w:eastAsiaTheme="minorEastAsia" w:hAnsiTheme="minorHAnsi" w:cstheme="minorBidi"/>
          <w:szCs w:val="22"/>
        </w:rPr>
      </w:pPr>
      <w:r>
        <w:t>16E.</w:t>
      </w:r>
      <w:r>
        <w:tab/>
        <w:t>Minister’s powers in relation to draft strategic development plan</w:t>
      </w:r>
      <w:r>
        <w:tab/>
      </w:r>
      <w:r>
        <w:fldChar w:fldCharType="begin"/>
      </w:r>
      <w:r>
        <w:instrText xml:space="preserve"> PAGEREF _Toc155177746 \h </w:instrText>
      </w:r>
      <w:r>
        <w:fldChar w:fldCharType="separate"/>
      </w:r>
      <w:r>
        <w:t>27</w:t>
      </w:r>
      <w:r>
        <w:fldChar w:fldCharType="end"/>
      </w:r>
    </w:p>
    <w:p>
      <w:pPr>
        <w:pStyle w:val="TOC8"/>
        <w:rPr>
          <w:rFonts w:asciiTheme="minorHAnsi" w:eastAsiaTheme="minorEastAsia" w:hAnsiTheme="minorHAnsi" w:cstheme="minorBidi"/>
          <w:szCs w:val="22"/>
        </w:rPr>
      </w:pPr>
      <w:r>
        <w:t>16F.</w:t>
      </w:r>
      <w:r>
        <w:tab/>
        <w:t>Strategic development plan pending agreement</w:t>
      </w:r>
      <w:r>
        <w:tab/>
      </w:r>
      <w:r>
        <w:fldChar w:fldCharType="begin"/>
      </w:r>
      <w:r>
        <w:instrText xml:space="preserve"> PAGEREF _Toc155177747 \h </w:instrText>
      </w:r>
      <w:r>
        <w:fldChar w:fldCharType="separate"/>
      </w:r>
      <w:r>
        <w:t>28</w:t>
      </w:r>
      <w:r>
        <w:fldChar w:fldCharType="end"/>
      </w:r>
    </w:p>
    <w:p>
      <w:pPr>
        <w:pStyle w:val="TOC8"/>
        <w:rPr>
          <w:rFonts w:asciiTheme="minorHAnsi" w:eastAsiaTheme="minorEastAsia" w:hAnsiTheme="minorHAnsi" w:cstheme="minorBidi"/>
          <w:szCs w:val="22"/>
        </w:rPr>
      </w:pPr>
      <w:r>
        <w:t>16G.</w:t>
      </w:r>
      <w:r>
        <w:tab/>
        <w:t>Minister’s agreement to draft strategic development plan</w:t>
      </w:r>
      <w:r>
        <w:tab/>
      </w:r>
      <w:r>
        <w:fldChar w:fldCharType="begin"/>
      </w:r>
      <w:r>
        <w:instrText xml:space="preserve"> PAGEREF _Toc155177748 \h </w:instrText>
      </w:r>
      <w:r>
        <w:fldChar w:fldCharType="separate"/>
      </w:r>
      <w:r>
        <w:t>28</w:t>
      </w:r>
      <w:r>
        <w:fldChar w:fldCharType="end"/>
      </w:r>
    </w:p>
    <w:p>
      <w:pPr>
        <w:pStyle w:val="TOC8"/>
        <w:rPr>
          <w:rFonts w:asciiTheme="minorHAnsi" w:eastAsiaTheme="minorEastAsia" w:hAnsiTheme="minorHAnsi" w:cstheme="minorBidi"/>
          <w:szCs w:val="22"/>
        </w:rPr>
      </w:pPr>
      <w:r>
        <w:t>16H.</w:t>
      </w:r>
      <w:r>
        <w:tab/>
        <w:t>Modification of strategic development plan</w:t>
      </w:r>
      <w:r>
        <w:tab/>
      </w:r>
      <w:r>
        <w:fldChar w:fldCharType="begin"/>
      </w:r>
      <w:r>
        <w:instrText xml:space="preserve"> PAGEREF _Toc155177749 \h </w:instrText>
      </w:r>
      <w:r>
        <w:fldChar w:fldCharType="separate"/>
      </w:r>
      <w:r>
        <w:t>29</w:t>
      </w:r>
      <w:r>
        <w:fldChar w:fldCharType="end"/>
      </w:r>
    </w:p>
    <w:p>
      <w:pPr>
        <w:pStyle w:val="TOC8"/>
        <w:rPr>
          <w:rFonts w:asciiTheme="minorHAnsi" w:eastAsiaTheme="minorEastAsia" w:hAnsiTheme="minorHAnsi" w:cstheme="minorBidi"/>
          <w:szCs w:val="22"/>
        </w:rPr>
      </w:pPr>
      <w:r>
        <w:t>16HA</w:t>
      </w:r>
      <w:r>
        <w:rPr>
          <w:snapToGrid w:val="0"/>
        </w:rPr>
        <w:t>.</w:t>
      </w:r>
      <w:r>
        <w:rPr>
          <w:snapToGrid w:val="0"/>
        </w:rPr>
        <w:tab/>
        <w:t>Concurrence of Treasurer</w:t>
      </w:r>
      <w:r>
        <w:tab/>
      </w:r>
      <w:r>
        <w:fldChar w:fldCharType="begin"/>
      </w:r>
      <w:r>
        <w:instrText xml:space="preserve"> PAGEREF _Toc155177750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16I.</w:t>
      </w:r>
      <w:r>
        <w:tab/>
        <w:t>Draft statement of corporate intent to be submitted to Minister</w:t>
      </w:r>
      <w:r>
        <w:tab/>
      </w:r>
      <w:r>
        <w:fldChar w:fldCharType="begin"/>
      </w:r>
      <w:r>
        <w:instrText xml:space="preserve"> PAGEREF _Toc155177752 \h </w:instrText>
      </w:r>
      <w:r>
        <w:fldChar w:fldCharType="separate"/>
      </w:r>
      <w:r>
        <w:t>29</w:t>
      </w:r>
      <w:r>
        <w:fldChar w:fldCharType="end"/>
      </w:r>
    </w:p>
    <w:p>
      <w:pPr>
        <w:pStyle w:val="TOC8"/>
        <w:rPr>
          <w:rFonts w:asciiTheme="minorHAnsi" w:eastAsiaTheme="minorEastAsia" w:hAnsiTheme="minorHAnsi" w:cstheme="minorBidi"/>
          <w:szCs w:val="22"/>
        </w:rPr>
      </w:pPr>
      <w:r>
        <w:t>16K.</w:t>
      </w:r>
      <w:r>
        <w:tab/>
        <w:t>Matters to be included in statement of corporate intent</w:t>
      </w:r>
      <w:r>
        <w:tab/>
      </w:r>
      <w:r>
        <w:fldChar w:fldCharType="begin"/>
      </w:r>
      <w:r>
        <w:instrText xml:space="preserve"> PAGEREF _Toc155177753 \h </w:instrText>
      </w:r>
      <w:r>
        <w:fldChar w:fldCharType="separate"/>
      </w:r>
      <w:r>
        <w:t>30</w:t>
      </w:r>
      <w:r>
        <w:fldChar w:fldCharType="end"/>
      </w:r>
    </w:p>
    <w:p>
      <w:pPr>
        <w:pStyle w:val="TOC8"/>
        <w:rPr>
          <w:rFonts w:asciiTheme="minorHAnsi" w:eastAsiaTheme="minorEastAsia" w:hAnsiTheme="minorHAnsi" w:cstheme="minorBidi"/>
          <w:szCs w:val="22"/>
        </w:rPr>
      </w:pPr>
      <w:r>
        <w:t>16L.</w:t>
      </w:r>
      <w:r>
        <w:tab/>
        <w:t>Statement of corporate intent to be agreed if possible</w:t>
      </w:r>
      <w:r>
        <w:tab/>
      </w:r>
      <w:r>
        <w:fldChar w:fldCharType="begin"/>
      </w:r>
      <w:r>
        <w:instrText xml:space="preserve"> PAGEREF _Toc155177754 \h </w:instrText>
      </w:r>
      <w:r>
        <w:fldChar w:fldCharType="separate"/>
      </w:r>
      <w:r>
        <w:t>31</w:t>
      </w:r>
      <w:r>
        <w:fldChar w:fldCharType="end"/>
      </w:r>
    </w:p>
    <w:p>
      <w:pPr>
        <w:pStyle w:val="TOC8"/>
        <w:rPr>
          <w:rFonts w:asciiTheme="minorHAnsi" w:eastAsiaTheme="minorEastAsia" w:hAnsiTheme="minorHAnsi" w:cstheme="minorBidi"/>
          <w:szCs w:val="22"/>
        </w:rPr>
      </w:pPr>
      <w:r>
        <w:t>16M.</w:t>
      </w:r>
      <w:r>
        <w:tab/>
        <w:t>Minister’s powers in relation to draft statement of corporate intent</w:t>
      </w:r>
      <w:r>
        <w:tab/>
      </w:r>
      <w:r>
        <w:fldChar w:fldCharType="begin"/>
      </w:r>
      <w:r>
        <w:instrText xml:space="preserve"> PAGEREF _Toc155177755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16N.</w:t>
      </w:r>
      <w:r>
        <w:tab/>
        <w:t>Statement of corporate intent pending agreement</w:t>
      </w:r>
      <w:r>
        <w:tab/>
      </w:r>
      <w:r>
        <w:fldChar w:fldCharType="begin"/>
      </w:r>
      <w:r>
        <w:instrText xml:space="preserve"> PAGEREF _Toc155177756 \h </w:instrText>
      </w:r>
      <w:r>
        <w:fldChar w:fldCharType="separate"/>
      </w:r>
      <w:r>
        <w:t>32</w:t>
      </w:r>
      <w:r>
        <w:fldChar w:fldCharType="end"/>
      </w:r>
    </w:p>
    <w:p>
      <w:pPr>
        <w:pStyle w:val="TOC8"/>
        <w:rPr>
          <w:rFonts w:asciiTheme="minorHAnsi" w:eastAsiaTheme="minorEastAsia" w:hAnsiTheme="minorHAnsi" w:cstheme="minorBidi"/>
          <w:szCs w:val="22"/>
        </w:rPr>
      </w:pPr>
      <w:r>
        <w:t>16O.</w:t>
      </w:r>
      <w:r>
        <w:tab/>
        <w:t>Minister’s agreement to draft statement of corporate intent</w:t>
      </w:r>
      <w:r>
        <w:tab/>
      </w:r>
      <w:r>
        <w:fldChar w:fldCharType="begin"/>
      </w:r>
      <w:r>
        <w:instrText xml:space="preserve"> PAGEREF _Toc155177757 \h </w:instrText>
      </w:r>
      <w:r>
        <w:fldChar w:fldCharType="separate"/>
      </w:r>
      <w:r>
        <w:t>32</w:t>
      </w:r>
      <w:r>
        <w:fldChar w:fldCharType="end"/>
      </w:r>
    </w:p>
    <w:p>
      <w:pPr>
        <w:pStyle w:val="TOC8"/>
        <w:rPr>
          <w:rFonts w:asciiTheme="minorHAnsi" w:eastAsiaTheme="minorEastAsia" w:hAnsiTheme="minorHAnsi" w:cstheme="minorBidi"/>
          <w:szCs w:val="22"/>
        </w:rPr>
      </w:pPr>
      <w:r>
        <w:t>16P.</w:t>
      </w:r>
      <w:r>
        <w:tab/>
        <w:t>Modification of statement of corporate intent</w:t>
      </w:r>
      <w:r>
        <w:tab/>
      </w:r>
      <w:r>
        <w:fldChar w:fldCharType="begin"/>
      </w:r>
      <w:r>
        <w:instrText xml:space="preserve"> PAGEREF _Toc155177758 \h </w:instrText>
      </w:r>
      <w:r>
        <w:fldChar w:fldCharType="separate"/>
      </w:r>
      <w:r>
        <w:t>33</w:t>
      </w:r>
      <w:r>
        <w:fldChar w:fldCharType="end"/>
      </w:r>
    </w:p>
    <w:p>
      <w:pPr>
        <w:pStyle w:val="TOC8"/>
        <w:rPr>
          <w:rFonts w:asciiTheme="minorHAnsi" w:eastAsiaTheme="minorEastAsia" w:hAnsiTheme="minorHAnsi" w:cstheme="minorBidi"/>
          <w:szCs w:val="22"/>
        </w:rPr>
      </w:pPr>
      <w:r>
        <w:t>16PA</w:t>
      </w:r>
      <w:r>
        <w:rPr>
          <w:snapToGrid w:val="0"/>
        </w:rPr>
        <w:t>.</w:t>
      </w:r>
      <w:r>
        <w:rPr>
          <w:snapToGrid w:val="0"/>
        </w:rPr>
        <w:tab/>
        <w:t>Concurrence of Treasurer</w:t>
      </w:r>
      <w:r>
        <w:tab/>
      </w:r>
      <w:r>
        <w:fldChar w:fldCharType="begin"/>
      </w:r>
      <w:r>
        <w:instrText xml:space="preserve"> PAGEREF _Toc155177759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Supplementary provision as to laying directions before Parliament</w:t>
      </w:r>
    </w:p>
    <w:p>
      <w:pPr>
        <w:pStyle w:val="TOC8"/>
        <w:rPr>
          <w:rFonts w:asciiTheme="minorHAnsi" w:eastAsiaTheme="minorEastAsia" w:hAnsiTheme="minorHAnsi" w:cstheme="minorBidi"/>
          <w:szCs w:val="22"/>
        </w:rPr>
      </w:pPr>
      <w:r>
        <w:t>16Q.</w:t>
      </w:r>
      <w:r>
        <w:tab/>
        <w:t>Procedure where a House is not sitting</w:t>
      </w:r>
      <w:r>
        <w:tab/>
      </w:r>
      <w:r>
        <w:fldChar w:fldCharType="begin"/>
      </w:r>
      <w:r>
        <w:instrText xml:space="preserve"> PAGEREF _Toc155177761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17</w:t>
      </w:r>
      <w:r>
        <w:rPr>
          <w:snapToGrid w:val="0"/>
        </w:rPr>
        <w:t>.</w:t>
      </w:r>
      <w:r>
        <w:rPr>
          <w:snapToGrid w:val="0"/>
        </w:rPr>
        <w:tab/>
        <w:t>Western Australian Treasury Corporation Account</w:t>
      </w:r>
      <w:r>
        <w:tab/>
      </w:r>
      <w:r>
        <w:fldChar w:fldCharType="begin"/>
      </w:r>
      <w:r>
        <w:instrText xml:space="preserve"> PAGEREF _Toc155177763 \h </w:instrText>
      </w:r>
      <w:r>
        <w:fldChar w:fldCharType="separate"/>
      </w:r>
      <w:r>
        <w:t>35</w:t>
      </w:r>
      <w:r>
        <w:fldChar w:fldCharType="end"/>
      </w:r>
    </w:p>
    <w:p>
      <w:pPr>
        <w:pStyle w:val="TOC8"/>
        <w:rPr>
          <w:rFonts w:asciiTheme="minorHAnsi" w:eastAsiaTheme="minorEastAsia" w:hAnsiTheme="minorHAnsi" w:cstheme="minorBidi"/>
          <w:szCs w:val="22"/>
        </w:rPr>
      </w:pPr>
      <w:r>
        <w:t>17A.</w:t>
      </w:r>
      <w:r>
        <w:tab/>
        <w:t>Dividends</w:t>
      </w:r>
      <w:r>
        <w:tab/>
      </w:r>
      <w:r>
        <w:fldChar w:fldCharType="begin"/>
      </w:r>
      <w:r>
        <w:instrText xml:space="preserve"> PAGEREF _Toc155177764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Corporation</w:t>
      </w:r>
      <w:r>
        <w:tab/>
      </w:r>
      <w:r>
        <w:fldChar w:fldCharType="begin"/>
      </w:r>
      <w:r>
        <w:instrText xml:space="preserve"> PAGEREF _Toc155177765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_Toc155177766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Directions by </w:t>
      </w:r>
      <w:r>
        <w:t>Minister</w:t>
      </w:r>
      <w:r>
        <w:tab/>
      </w:r>
      <w:r>
        <w:fldChar w:fldCharType="begin"/>
      </w:r>
      <w:r>
        <w:instrText xml:space="preserve"> PAGEREF _Toc155177767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Financial administration, audit and reporting</w:t>
      </w:r>
      <w:r>
        <w:tab/>
      </w:r>
      <w:r>
        <w:fldChar w:fldCharType="begin"/>
      </w:r>
      <w:r>
        <w:instrText xml:space="preserve"> PAGEREF _Toc155177768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_Toc155177769 \h </w:instrText>
      </w:r>
      <w:r>
        <w:fldChar w:fldCharType="separate"/>
      </w:r>
      <w:r>
        <w:t>38</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Quarterly reports</w:t>
      </w:r>
      <w:r>
        <w:tab/>
      </w:r>
      <w:r>
        <w:fldChar w:fldCharType="begin"/>
      </w:r>
      <w:r>
        <w:instrText xml:space="preserve"> PAGEREF _Toc155177770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_Toc155177771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Transitional, validation and consequential amendment</w:t>
      </w:r>
    </w:p>
    <w:p>
      <w:pPr>
        <w:pStyle w:val="TOC8"/>
        <w:rPr>
          <w:rFonts w:asciiTheme="minorHAnsi" w:eastAsiaTheme="minorEastAsia" w:hAnsiTheme="minorHAnsi" w:cstheme="minorBidi"/>
          <w:szCs w:val="22"/>
        </w:rPr>
      </w:pPr>
      <w:r>
        <w:t>23</w:t>
      </w:r>
      <w:r>
        <w:rPr>
          <w:snapToGrid w:val="0"/>
        </w:rPr>
        <w:t>.</w:t>
      </w:r>
      <w:r>
        <w:rPr>
          <w:snapToGrid w:val="0"/>
        </w:rPr>
        <w:tab/>
        <w:t>Repeal</w:t>
      </w:r>
      <w:r>
        <w:tab/>
      </w:r>
      <w:r>
        <w:fldChar w:fldCharType="begin"/>
      </w:r>
      <w:r>
        <w:instrText xml:space="preserve"> PAGEREF _Toc155177773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_Toc155177774 \h </w:instrText>
      </w:r>
      <w:r>
        <w:fldChar w:fldCharType="separate"/>
      </w:r>
      <w:r>
        <w:t>42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Validation</w:t>
      </w:r>
      <w:r>
        <w:tab/>
      </w:r>
      <w:r>
        <w:fldChar w:fldCharType="begin"/>
      </w:r>
      <w:r>
        <w:instrText xml:space="preserve"> PAGEREF _Toc155177775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are not authorities</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Terms of office, meetings etc.</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_Toc155177779 \h </w:instrText>
      </w:r>
      <w:r>
        <w:fldChar w:fldCharType="separate"/>
      </w:r>
      <w:r>
        <w:t>46</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_Toc155177780 \h </w:instrText>
      </w:r>
      <w:r>
        <w:fldChar w:fldCharType="separate"/>
      </w:r>
      <w:r>
        <w:t>46</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_Toc155177781 \h </w:instrText>
      </w:r>
      <w:r>
        <w:fldChar w:fldCharType="separate"/>
      </w:r>
      <w:r>
        <w:t>46</w:t>
      </w:r>
      <w:r>
        <w:fldChar w:fldCharType="end"/>
      </w:r>
    </w:p>
    <w:p>
      <w:pPr>
        <w:pStyle w:val="TOC8"/>
        <w:rPr>
          <w:rFonts w:asciiTheme="minorHAnsi" w:eastAsiaTheme="minorEastAsia" w:hAnsiTheme="minorHAnsi" w:cstheme="minorBidi"/>
          <w:szCs w:val="22"/>
        </w:rPr>
      </w:pPr>
      <w:r>
        <w:t>4.</w:t>
      </w:r>
      <w:r>
        <w:tab/>
        <w:t>Director under section 5B(1)(b) unable to act</w:t>
      </w:r>
      <w:r>
        <w:tab/>
      </w:r>
      <w:r>
        <w:fldChar w:fldCharType="begin"/>
      </w:r>
      <w:r>
        <w:instrText xml:space="preserve"> PAGEREF _Toc155177782 \h </w:instrText>
      </w:r>
      <w:r>
        <w:fldChar w:fldCharType="separate"/>
      </w:r>
      <w:r>
        <w:t>47</w:t>
      </w:r>
      <w:r>
        <w:fldChar w:fldCharType="end"/>
      </w:r>
    </w:p>
    <w:p>
      <w:pPr>
        <w:pStyle w:val="TOC8"/>
        <w:rPr>
          <w:rFonts w:asciiTheme="minorHAnsi" w:eastAsiaTheme="minorEastAsia" w:hAnsiTheme="minorHAnsi" w:cstheme="minorBidi"/>
          <w:szCs w:val="22"/>
        </w:rPr>
      </w:pPr>
      <w:r>
        <w:t>5.</w:t>
      </w:r>
      <w:r>
        <w:tab/>
        <w:t>Chief executive officer unable to attend</w:t>
      </w:r>
      <w:r>
        <w:tab/>
      </w:r>
      <w:r>
        <w:fldChar w:fldCharType="begin"/>
      </w:r>
      <w:r>
        <w:instrText xml:space="preserve"> PAGEREF _Toc155177783 \h </w:instrText>
      </w:r>
      <w:r>
        <w:fldChar w:fldCharType="separate"/>
      </w:r>
      <w:r>
        <w:t>47</w:t>
      </w:r>
      <w:r>
        <w:fldChar w:fldCharType="end"/>
      </w:r>
    </w:p>
    <w:p>
      <w:pPr>
        <w:pStyle w:val="TOC8"/>
        <w:rPr>
          <w:rFonts w:asciiTheme="minorHAnsi" w:eastAsiaTheme="minorEastAsia" w:hAnsiTheme="minorHAnsi" w:cstheme="minorBidi"/>
          <w:szCs w:val="22"/>
        </w:rPr>
      </w:pPr>
      <w:r>
        <w:t>6.</w:t>
      </w:r>
      <w:r>
        <w:tab/>
        <w:t>Appointed director unable to act</w:t>
      </w:r>
      <w:r>
        <w:tab/>
      </w:r>
      <w:r>
        <w:fldChar w:fldCharType="begin"/>
      </w:r>
      <w:r>
        <w:instrText xml:space="preserve"> PAGEREF _Toc155177784 \h </w:instrText>
      </w:r>
      <w:r>
        <w:fldChar w:fldCharType="separate"/>
      </w:r>
      <w:r>
        <w:t>47</w:t>
      </w:r>
      <w:r>
        <w:fldChar w:fldCharType="end"/>
      </w:r>
    </w:p>
    <w:p>
      <w:pPr>
        <w:pStyle w:val="TOC8"/>
        <w:rPr>
          <w:rFonts w:asciiTheme="minorHAnsi" w:eastAsiaTheme="minorEastAsia" w:hAnsiTheme="minorHAnsi" w:cstheme="minorBidi"/>
          <w:szCs w:val="22"/>
        </w:rPr>
      </w:pPr>
      <w:r>
        <w:lastRenderedPageBreak/>
        <w:t>7.</w:t>
      </w:r>
      <w:r>
        <w:tab/>
        <w:t>Saving</w:t>
      </w:r>
      <w:r>
        <w:tab/>
      </w:r>
      <w:r>
        <w:fldChar w:fldCharType="begin"/>
      </w:r>
      <w:r>
        <w:instrText xml:space="preserve"> PAGEREF _Toc155177785 \h </w:instrText>
      </w:r>
      <w:r>
        <w:fldChar w:fldCharType="separate"/>
      </w:r>
      <w:r>
        <w:t>47</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_Toc155177786 \h </w:instrText>
      </w:r>
      <w:r>
        <w:fldChar w:fldCharType="separate"/>
      </w:r>
      <w:r>
        <w:t>48</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_Toc155177787 \h </w:instrText>
      </w:r>
      <w:r>
        <w:fldChar w:fldCharType="separate"/>
      </w:r>
      <w:r>
        <w:t>48</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_Toc155177788 \h </w:instrText>
      </w:r>
      <w:r>
        <w:fldChar w:fldCharType="separate"/>
      </w:r>
      <w:r>
        <w:t>48</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_Toc155177789 \h </w:instrText>
      </w:r>
      <w:r>
        <w:fldChar w:fldCharType="separate"/>
      </w:r>
      <w:r>
        <w:t>49</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_Toc155177790 \h </w:instrText>
      </w:r>
      <w:r>
        <w:fldChar w:fldCharType="separate"/>
      </w:r>
      <w:r>
        <w:t>49</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_Toc155177791 \h </w:instrText>
      </w:r>
      <w:r>
        <w:fldChar w:fldCharType="separate"/>
      </w:r>
      <w:r>
        <w:t>49</w:t>
      </w:r>
      <w:r>
        <w:fldChar w:fldCharType="end"/>
      </w:r>
    </w:p>
    <w:p>
      <w:pPr>
        <w:pStyle w:val="TOC8"/>
        <w:rPr>
          <w:rFonts w:asciiTheme="minorHAnsi" w:eastAsiaTheme="minorEastAsia" w:hAnsiTheme="minorHAnsi" w:cstheme="minorBidi"/>
          <w:szCs w:val="22"/>
        </w:rPr>
      </w:pPr>
      <w:r>
        <w:t>14.</w:t>
      </w:r>
      <w:r>
        <w:tab/>
        <w:t>Telephone or video meetings</w:t>
      </w:r>
      <w:r>
        <w:tab/>
      </w:r>
      <w:r>
        <w:fldChar w:fldCharType="begin"/>
      </w:r>
      <w:r>
        <w:instrText xml:space="preserve"> PAGEREF _Toc155177792 \h </w:instrText>
      </w:r>
      <w:r>
        <w:fldChar w:fldCharType="separate"/>
      </w:r>
      <w:r>
        <w:t>49</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_Toc155177793 \h </w:instrText>
      </w:r>
      <w:r>
        <w:fldChar w:fldCharType="separate"/>
      </w:r>
      <w:r>
        <w:t>49</w:t>
      </w:r>
      <w:r>
        <w:fldChar w:fldCharType="end"/>
      </w:r>
    </w:p>
    <w:p>
      <w:pPr>
        <w:pStyle w:val="TOC8"/>
        <w:rPr>
          <w:rFonts w:asciiTheme="minorHAnsi" w:eastAsiaTheme="minorEastAsia" w:hAnsiTheme="minorHAnsi" w:cstheme="minorBidi"/>
          <w:szCs w:val="22"/>
        </w:rPr>
      </w:pPr>
      <w:r>
        <w:t>16.</w:t>
      </w:r>
      <w:r>
        <w:tab/>
        <w:t>Board to determine own procedures</w:t>
      </w:r>
      <w:r>
        <w:tab/>
      </w:r>
      <w:r>
        <w:fldChar w:fldCharType="begin"/>
      </w:r>
      <w:r>
        <w:instrText xml:space="preserve"> PAGEREF _Toc155177794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_Toc155177796 \h </w:instrText>
      </w:r>
      <w:r>
        <w:fldChar w:fldCharType="separate"/>
      </w:r>
      <w:r>
        <w:t>50</w:t>
      </w:r>
      <w:r>
        <w:fldChar w:fldCharType="end"/>
      </w:r>
    </w:p>
    <w:p>
      <w:pPr>
        <w:pStyle w:val="TOC8"/>
        <w:rPr>
          <w:rFonts w:asciiTheme="minorHAnsi" w:eastAsiaTheme="minorEastAsia" w:hAnsiTheme="minorHAnsi" w:cstheme="minorBidi"/>
          <w:szCs w:val="22"/>
        </w:rPr>
      </w:pPr>
      <w:r>
        <w:t>18.</w:t>
      </w:r>
      <w:r>
        <w:tab/>
        <w:t>Voting by interested directors</w:t>
      </w:r>
      <w:r>
        <w:tab/>
      </w:r>
      <w:r>
        <w:fldChar w:fldCharType="begin"/>
      </w:r>
      <w:r>
        <w:instrText xml:space="preserve"> PAGEREF _Toc155177797 \h </w:instrText>
      </w:r>
      <w:r>
        <w:fldChar w:fldCharType="separate"/>
      </w:r>
      <w:r>
        <w:t>50</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_Toc155177798 \h </w:instrText>
      </w:r>
      <w:r>
        <w:fldChar w:fldCharType="separate"/>
      </w:r>
      <w:r>
        <w:t>51</w:t>
      </w:r>
      <w:r>
        <w:fldChar w:fldCharType="end"/>
      </w:r>
    </w:p>
    <w:p>
      <w:pPr>
        <w:pStyle w:val="TOC8"/>
        <w:rPr>
          <w:rFonts w:asciiTheme="minorHAnsi" w:eastAsiaTheme="minorEastAsia" w:hAnsiTheme="minorHAnsi" w:cstheme="minorBidi"/>
          <w:szCs w:val="22"/>
        </w:rPr>
      </w:pPr>
      <w:r>
        <w:t>20.</w:t>
      </w:r>
      <w:r>
        <w:tab/>
        <w:t>Quorum where clause 18 applies</w:t>
      </w:r>
      <w:r>
        <w:tab/>
      </w:r>
      <w:r>
        <w:fldChar w:fldCharType="begin"/>
      </w:r>
      <w:r>
        <w:instrText xml:space="preserve"> PAGEREF _Toc155177799 \h </w:instrText>
      </w:r>
      <w:r>
        <w:fldChar w:fldCharType="separate"/>
      </w:r>
      <w:r>
        <w:t>51</w:t>
      </w:r>
      <w:r>
        <w:fldChar w:fldCharType="end"/>
      </w:r>
    </w:p>
    <w:p>
      <w:pPr>
        <w:pStyle w:val="TOC8"/>
        <w:rPr>
          <w:rFonts w:asciiTheme="minorHAnsi" w:eastAsiaTheme="minorEastAsia" w:hAnsiTheme="minorHAnsi" w:cstheme="minorBidi"/>
          <w:szCs w:val="22"/>
        </w:rPr>
      </w:pPr>
      <w:r>
        <w:t>21.</w:t>
      </w:r>
      <w:r>
        <w:tab/>
        <w:t>Minister may declare clauses 18 and 20 inapplicable</w:t>
      </w:r>
      <w:r>
        <w:tab/>
      </w:r>
      <w:r>
        <w:fldChar w:fldCharType="begin"/>
      </w:r>
      <w:r>
        <w:instrText xml:space="preserve"> PAGEREF _Toc155177800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_Toc155177802 \h </w:instrText>
      </w:r>
      <w:r>
        <w:fldChar w:fldCharType="separate"/>
      </w:r>
      <w:r>
        <w:t>53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_Toc155177803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No. 25 of 1998 s. 4.]</w:t>
      </w:r>
    </w:p>
    <w:p>
      <w:pPr>
        <w:pStyle w:val="Heading2"/>
      </w:pPr>
      <w:bookmarkStart w:id="3" w:name="_Toc155177710"/>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771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w:t>
      </w:r>
    </w:p>
    <w:p>
      <w:pPr>
        <w:pStyle w:val="Heading5"/>
        <w:rPr>
          <w:snapToGrid w:val="0"/>
        </w:rPr>
      </w:pPr>
      <w:bookmarkStart w:id="5" w:name="_Toc155177712"/>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6" w:name="_Toc15517771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No. 24 of 1992 s. 4; No. 25 of 1998 s. 5; No. 28 of 2006 s. 438.]</w:t>
      </w:r>
    </w:p>
    <w:p>
      <w:pPr>
        <w:pStyle w:val="Heading5"/>
        <w:spacing w:before="180"/>
        <w:rPr>
          <w:snapToGrid w:val="0"/>
        </w:rPr>
      </w:pPr>
      <w:bookmarkStart w:id="7" w:name="_Toc155177714"/>
      <w:r>
        <w:rPr>
          <w:rStyle w:val="CharSectno"/>
        </w:rPr>
        <w:t>4</w:t>
      </w:r>
      <w:r>
        <w:rPr>
          <w:snapToGrid w:val="0"/>
        </w:rPr>
        <w:t>.</w:t>
      </w:r>
      <w:r>
        <w:rPr>
          <w:snapToGrid w:val="0"/>
        </w:rPr>
        <w:tab/>
        <w:t>Act to prevail over certain written laws</w:t>
      </w:r>
      <w:bookmarkEnd w:id="7"/>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lastRenderedPageBreak/>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lastRenderedPageBreak/>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No. 24 of 1992 s. 5.]</w:t>
      </w:r>
    </w:p>
    <w:p>
      <w:pPr>
        <w:pStyle w:val="Heading2"/>
      </w:pPr>
      <w:bookmarkStart w:id="8" w:name="_Toc155177715"/>
      <w:r>
        <w:rPr>
          <w:rStyle w:val="CharPartNo"/>
        </w:rPr>
        <w:lastRenderedPageBreak/>
        <w:t>Part II</w:t>
      </w:r>
      <w:r>
        <w:rPr>
          <w:rStyle w:val="CharDivNo"/>
        </w:rPr>
        <w:t> </w:t>
      </w:r>
      <w:r>
        <w:t>—</w:t>
      </w:r>
      <w:r>
        <w:rPr>
          <w:rStyle w:val="CharDivText"/>
        </w:rPr>
        <w:t> </w:t>
      </w:r>
      <w:r>
        <w:rPr>
          <w:rStyle w:val="CharPartText"/>
        </w:rPr>
        <w:t>Western Australian Treasury Corporation</w:t>
      </w:r>
      <w:bookmarkEnd w:id="8"/>
    </w:p>
    <w:p>
      <w:pPr>
        <w:pStyle w:val="Heading5"/>
        <w:rPr>
          <w:snapToGrid w:val="0"/>
        </w:rPr>
      </w:pPr>
      <w:bookmarkStart w:id="9" w:name="_Toc155177716"/>
      <w:r>
        <w:rPr>
          <w:rStyle w:val="CharSectno"/>
        </w:rPr>
        <w:t>5</w:t>
      </w:r>
      <w:r>
        <w:rPr>
          <w:snapToGrid w:val="0"/>
        </w:rPr>
        <w:t>.</w:t>
      </w:r>
      <w:r>
        <w:rPr>
          <w:snapToGrid w:val="0"/>
        </w:rPr>
        <w:tab/>
        <w:t>Western Australian Treasury Corporation established as body corporate</w:t>
      </w:r>
      <w:bookmarkEnd w:id="9"/>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No. 25 of 1998 s. 6.]</w:t>
      </w:r>
    </w:p>
    <w:p>
      <w:pPr>
        <w:pStyle w:val="Heading5"/>
      </w:pPr>
      <w:bookmarkStart w:id="10" w:name="_Toc155177717"/>
      <w:r>
        <w:rPr>
          <w:rStyle w:val="CharSectno"/>
        </w:rPr>
        <w:t>5A</w:t>
      </w:r>
      <w:r>
        <w:t>.</w:t>
      </w:r>
      <w:r>
        <w:tab/>
        <w:t>Agent of Crown</w:t>
      </w:r>
      <w:bookmarkEnd w:id="10"/>
    </w:p>
    <w:p>
      <w:pPr>
        <w:pStyle w:val="Subsection"/>
      </w:pPr>
      <w:r>
        <w:tab/>
      </w:r>
      <w:r>
        <w:tab/>
        <w:t>The Corporation is an agent of the Crown and enjoys the status, immunities and privileges of the Crown.</w:t>
      </w:r>
    </w:p>
    <w:p>
      <w:pPr>
        <w:pStyle w:val="Footnotesection"/>
      </w:pPr>
      <w:r>
        <w:tab/>
        <w:t>[Section 5A inserted: No. 25 of 1998 s. 7(1).]</w:t>
      </w:r>
    </w:p>
    <w:p>
      <w:pPr>
        <w:pStyle w:val="Heading5"/>
      </w:pPr>
      <w:bookmarkStart w:id="11" w:name="_Toc155177718"/>
      <w:r>
        <w:rPr>
          <w:rStyle w:val="CharSectno"/>
        </w:rPr>
        <w:t>5B</w:t>
      </w:r>
      <w:r>
        <w:t>.</w:t>
      </w:r>
      <w:r>
        <w:tab/>
        <w:t>Board of directors</w:t>
      </w:r>
      <w:bookmarkEnd w:id="11"/>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No. 25 of 1998 s. 7(1); amended: No. 28 of 2006 s. 439 and 450.]</w:t>
      </w:r>
    </w:p>
    <w:p>
      <w:pPr>
        <w:pStyle w:val="Heading5"/>
      </w:pPr>
      <w:bookmarkStart w:id="12" w:name="_Toc155177719"/>
      <w:r>
        <w:rPr>
          <w:rStyle w:val="CharSectno"/>
        </w:rPr>
        <w:lastRenderedPageBreak/>
        <w:t>5C</w:t>
      </w:r>
      <w:r>
        <w:t>.</w:t>
      </w:r>
      <w:r>
        <w:tab/>
        <w:t>Constitution and proceedings of board</w:t>
      </w:r>
      <w:bookmarkEnd w:id="12"/>
    </w:p>
    <w:p>
      <w:pPr>
        <w:pStyle w:val="Subsection"/>
      </w:pPr>
      <w:r>
        <w:rPr>
          <w:snapToGrid w:val="0"/>
        </w:rPr>
        <w:tab/>
      </w:r>
      <w:r>
        <w:rPr>
          <w:snapToGrid w:val="0"/>
        </w:rPr>
        <w:tab/>
        <w:t>Schedule </w:t>
      </w:r>
      <w:r>
        <w:t>2 has effect.</w:t>
      </w:r>
    </w:p>
    <w:p>
      <w:pPr>
        <w:pStyle w:val="Footnotesection"/>
      </w:pPr>
      <w:r>
        <w:tab/>
        <w:t>[Section 5C inserted: No. 25 of 1998 s. 7(1).]</w:t>
      </w:r>
    </w:p>
    <w:p>
      <w:pPr>
        <w:pStyle w:val="Heading5"/>
      </w:pPr>
      <w:bookmarkStart w:id="13" w:name="_Toc155177720"/>
      <w:r>
        <w:rPr>
          <w:rStyle w:val="CharSectno"/>
        </w:rPr>
        <w:t>5D</w:t>
      </w:r>
      <w:r>
        <w:t>.</w:t>
      </w:r>
      <w:r>
        <w:tab/>
        <w:t>Remuneration of directors and committee members</w:t>
      </w:r>
      <w:bookmarkEnd w:id="13"/>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No. 25 of 1998 s. 7(1); amended: No. 28 of 2006 s. 450; No. 39 of 2010 s. 89.]</w:t>
      </w:r>
    </w:p>
    <w:p>
      <w:pPr>
        <w:pStyle w:val="Heading5"/>
        <w:rPr>
          <w:snapToGrid w:val="0"/>
        </w:rPr>
      </w:pPr>
      <w:bookmarkStart w:id="14" w:name="_Toc155177721"/>
      <w:r>
        <w:rPr>
          <w:rStyle w:val="CharSectno"/>
        </w:rPr>
        <w:t>6</w:t>
      </w:r>
      <w:r>
        <w:rPr>
          <w:snapToGrid w:val="0"/>
        </w:rPr>
        <w:t>.</w:t>
      </w:r>
      <w:r>
        <w:rPr>
          <w:snapToGrid w:val="0"/>
        </w:rPr>
        <w:tab/>
        <w:t>Common seal, agents, attorneys and facsimiles of Corporation</w:t>
      </w:r>
      <w:bookmarkEnd w:id="14"/>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 xml:space="preserve">The Corporation may, by writing under its common seal, empower a person, either generally or in respect of a specified matter or specified matters, as its agent or attorney to execute </w:t>
      </w:r>
      <w:r>
        <w:rPr>
          <w:snapToGrid w:val="0"/>
        </w:rPr>
        <w:lastRenderedPageBreak/>
        <w:t>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No. 25 of 1998 s. 8.]</w:t>
      </w:r>
    </w:p>
    <w:p>
      <w:pPr>
        <w:pStyle w:val="Heading5"/>
        <w:rPr>
          <w:snapToGrid w:val="0"/>
        </w:rPr>
      </w:pPr>
      <w:bookmarkStart w:id="15" w:name="_Toc155177722"/>
      <w:r>
        <w:rPr>
          <w:rStyle w:val="CharSectno"/>
        </w:rPr>
        <w:t>7</w:t>
      </w:r>
      <w:r>
        <w:rPr>
          <w:snapToGrid w:val="0"/>
        </w:rPr>
        <w:t>.</w:t>
      </w:r>
      <w:r>
        <w:rPr>
          <w:snapToGrid w:val="0"/>
        </w:rPr>
        <w:tab/>
        <w:t>Liability of Corporation for duties, taxes etc.</w:t>
      </w:r>
      <w:bookmarkEnd w:id="15"/>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keepNext/>
        <w:rPr>
          <w:snapToGrid w:val="0"/>
        </w:rPr>
      </w:pPr>
      <w:r>
        <w:rPr>
          <w:snapToGrid w:val="0"/>
        </w:rPr>
        <w:lastRenderedPageBreak/>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No. 25 of 1998 s. 9(1).]</w:t>
      </w:r>
    </w:p>
    <w:p>
      <w:pPr>
        <w:pStyle w:val="Heading5"/>
      </w:pPr>
      <w:bookmarkStart w:id="16" w:name="_Toc155177723"/>
      <w:r>
        <w:rPr>
          <w:rStyle w:val="CharSectno"/>
        </w:rPr>
        <w:t>8</w:t>
      </w:r>
      <w:r>
        <w:t>.</w:t>
      </w:r>
      <w:r>
        <w:tab/>
        <w:t>Chief executive officer</w:t>
      </w:r>
      <w:bookmarkEnd w:id="16"/>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r>
        <w:t xml:space="preserve">subject to sections 8AA and 8AB, </w:t>
      </w:r>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(4A)</w:t>
      </w:r>
      <w:r>
        <w:tab/>
        <w:t>Subsection (3) does not apply to the exercise by the board of the power to determine or set remuneration to which section 8AA or 8AB applies.</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keepNext/>
        <w:spacing w:before="60"/>
        <w:rPr>
          <w:spacing w:val="-4"/>
        </w:rPr>
      </w:pPr>
      <w:r>
        <w:lastRenderedPageBreak/>
        <w:tab/>
        <w:t>(iv)</w:t>
      </w:r>
      <w:r>
        <w:rPr>
          <w:spacing w:val="-4"/>
        </w:rPr>
        <w:tab/>
        <w:t>specify the extent to which the person may so act.</w:t>
      </w:r>
    </w:p>
    <w:p>
      <w:pPr>
        <w:pStyle w:val="Subsection"/>
        <w:spacing w:before="130"/>
      </w:pPr>
      <w:r>
        <w:tab/>
        <w:t>(6)</w:t>
      </w:r>
      <w:r>
        <w:tab/>
        <w:t>Sections 8AA and 8AB apply to a person appointed under subsection (5) to act in place of the chief executive officer as if the references in those provisions to the chief executive officer were references to the person so acting.</w:t>
      </w:r>
    </w:p>
    <w:p>
      <w:pPr>
        <w:pStyle w:val="Footnotesection"/>
        <w:spacing w:before="100"/>
        <w:ind w:left="890" w:hanging="890"/>
      </w:pPr>
      <w:r>
        <w:tab/>
        <w:t>[Section 8 inserted: No. 25 of 1998 s. 10(1); amended: No. 28 of 2006 s. 450; No. 46 of 2016 s. 35.]</w:t>
      </w:r>
    </w:p>
    <w:p>
      <w:pPr>
        <w:pStyle w:val="Heading5"/>
      </w:pPr>
      <w:bookmarkStart w:id="17" w:name="_Toc155177724"/>
      <w:r>
        <w:rPr>
          <w:rStyle w:val="CharSectno"/>
        </w:rPr>
        <w:t>8AA</w:t>
      </w:r>
      <w:r>
        <w:t>.</w:t>
      </w:r>
      <w:r>
        <w:tab/>
        <w:t>Remuneration of chief executive officer while Corporation is not a Government entity</w:t>
      </w:r>
      <w:bookmarkEnd w:id="1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not a Government entity as defined in the </w:t>
      </w:r>
      <w:r>
        <w:rPr>
          <w:i/>
        </w:rPr>
        <w:t>Salaries and Allowances Act 1975</w:t>
      </w:r>
      <w:r>
        <w:t xml:space="preserve"> section 7BA.</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spacing w:before="100"/>
        <w:ind w:left="890" w:hanging="890"/>
      </w:pPr>
      <w:r>
        <w:tab/>
        <w:t>[Section 8AA inserted: No. 46 of 2016 s. 36; No. 13 of 2023 s. 301.]</w:t>
      </w:r>
    </w:p>
    <w:p>
      <w:pPr>
        <w:pStyle w:val="Heading5"/>
      </w:pPr>
      <w:bookmarkStart w:id="18" w:name="_Toc155177725"/>
      <w:r>
        <w:rPr>
          <w:rStyle w:val="CharSectno"/>
        </w:rPr>
        <w:lastRenderedPageBreak/>
        <w:t>8AB</w:t>
      </w:r>
      <w:r>
        <w:t>.</w:t>
      </w:r>
      <w:r>
        <w:tab/>
        <w:t>Remuneration of chief executive officer while Corporation is a Government entity</w:t>
      </w:r>
      <w:bookmarkEnd w:id="1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a Government entity as defined in the </w:t>
      </w:r>
      <w:r>
        <w:rPr>
          <w:i/>
        </w:rPr>
        <w:t>Salaries and Allowances Act 1975</w:t>
      </w:r>
      <w:r>
        <w:t xml:space="preserve"> section 7BA.</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spacing w:before="100"/>
        <w:ind w:left="890" w:hanging="890"/>
      </w:pPr>
      <w:r>
        <w:tab/>
        <w:t>[Section 8AB inserted: No. 46 of 2016 s. 36; No. 13 of 2023 s. 302.]</w:t>
      </w:r>
    </w:p>
    <w:p>
      <w:pPr>
        <w:pStyle w:val="Heading5"/>
        <w:spacing w:before="200"/>
      </w:pPr>
      <w:bookmarkStart w:id="19" w:name="_Toc155177726"/>
      <w:r>
        <w:rPr>
          <w:rStyle w:val="CharSectno"/>
        </w:rPr>
        <w:t>8A</w:t>
      </w:r>
      <w:r>
        <w:t>.</w:t>
      </w:r>
      <w:r>
        <w:tab/>
        <w:t>Role of chief executive officer</w:t>
      </w:r>
      <w:bookmarkEnd w:id="19"/>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No. 25 of 1998 s. 10(1); amended: No. 28 of 2006 s. 440.]</w:t>
      </w:r>
    </w:p>
    <w:p>
      <w:pPr>
        <w:pStyle w:val="Heading5"/>
      </w:pPr>
      <w:bookmarkStart w:id="20" w:name="_Toc155177727"/>
      <w:r>
        <w:rPr>
          <w:rStyle w:val="CharSectno"/>
        </w:rPr>
        <w:t>8B</w:t>
      </w:r>
      <w:r>
        <w:t>.</w:t>
      </w:r>
      <w:r>
        <w:tab/>
        <w:t>Staff</w:t>
      </w:r>
      <w:bookmarkEnd w:id="20"/>
    </w:p>
    <w:p>
      <w:pPr>
        <w:pStyle w:val="Subsection"/>
      </w:pPr>
      <w:r>
        <w:tab/>
        <w:t>(1)</w:t>
      </w:r>
      <w:r>
        <w:tab/>
        <w:t>The power to engage and manage the staff of the Corporation is vested in the board.</w:t>
      </w:r>
    </w:p>
    <w:p>
      <w:pPr>
        <w:pStyle w:val="Subsection"/>
        <w:keepNext/>
      </w:pPr>
      <w:r>
        <w:lastRenderedPageBreak/>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No. 25 of 1998 s. 10(1); amended: No. 20 of 2002 s. 27; Gazette 15 Aug 2003 p. 3692.]</w:t>
      </w:r>
    </w:p>
    <w:p>
      <w:pPr>
        <w:pStyle w:val="Heading5"/>
      </w:pPr>
      <w:bookmarkStart w:id="21" w:name="_Toc155177728"/>
      <w:r>
        <w:rPr>
          <w:rStyle w:val="CharSectno"/>
        </w:rPr>
        <w:t>8C</w:t>
      </w:r>
      <w:r>
        <w:t>.</w:t>
      </w:r>
      <w:r>
        <w:tab/>
        <w:t>Use of other government staff etc.</w:t>
      </w:r>
      <w:bookmarkEnd w:id="21"/>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lastRenderedPageBreak/>
        <w:tab/>
        <w:t>(3)</w:t>
      </w:r>
      <w:r>
        <w:tab/>
        <w:t>An arrangement under subsection (1) or (2) shall be made on such terms as are agreed to by the parties.</w:t>
      </w:r>
    </w:p>
    <w:p>
      <w:pPr>
        <w:pStyle w:val="Footnotesection"/>
      </w:pPr>
      <w:r>
        <w:tab/>
        <w:t>[Section 8C inserted: No. 25 of 1998 s. 10(1).]</w:t>
      </w:r>
    </w:p>
    <w:p>
      <w:pPr>
        <w:pStyle w:val="Heading2"/>
      </w:pPr>
      <w:bookmarkStart w:id="22" w:name="_Toc155177729"/>
      <w:r>
        <w:rPr>
          <w:rStyle w:val="CharPartNo"/>
        </w:rPr>
        <w:lastRenderedPageBreak/>
        <w:t>Part III</w:t>
      </w:r>
      <w:r>
        <w:rPr>
          <w:rStyle w:val="CharDivNo"/>
        </w:rPr>
        <w:t> </w:t>
      </w:r>
      <w:r>
        <w:t>—</w:t>
      </w:r>
      <w:r>
        <w:rPr>
          <w:rStyle w:val="CharDivText"/>
        </w:rPr>
        <w:t> </w:t>
      </w:r>
      <w:r>
        <w:rPr>
          <w:rStyle w:val="CharPartText"/>
        </w:rPr>
        <w:t>Functions and powers of Corporation</w:t>
      </w:r>
      <w:bookmarkEnd w:id="22"/>
    </w:p>
    <w:p>
      <w:pPr>
        <w:pStyle w:val="Footnoteheading"/>
      </w:pPr>
      <w:r>
        <w:tab/>
        <w:t xml:space="preserve">[Heading amended: </w:t>
      </w:r>
      <w:r>
        <w:rPr>
          <w:snapToGrid w:val="0"/>
        </w:rPr>
        <w:t>No. 25 of 1998 s. 11.]</w:t>
      </w:r>
    </w:p>
    <w:p>
      <w:pPr>
        <w:pStyle w:val="Heading5"/>
        <w:rPr>
          <w:snapToGrid w:val="0"/>
        </w:rPr>
      </w:pPr>
      <w:bookmarkStart w:id="23" w:name="_Toc155177730"/>
      <w:r>
        <w:rPr>
          <w:rStyle w:val="CharSectno"/>
        </w:rPr>
        <w:t>9</w:t>
      </w:r>
      <w:r>
        <w:rPr>
          <w:snapToGrid w:val="0"/>
        </w:rPr>
        <w:t>.</w:t>
      </w:r>
      <w:r>
        <w:rPr>
          <w:snapToGrid w:val="0"/>
        </w:rPr>
        <w:tab/>
        <w:t>Functions of Corporation</w:t>
      </w:r>
      <w:bookmarkEnd w:id="23"/>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pPr>
      <w:r>
        <w:tab/>
        <w:t>(d)</w:t>
      </w:r>
      <w:r>
        <w:tab/>
        <w:t xml:space="preserve">to advise authorities on financial matters including — </w:t>
      </w:r>
    </w:p>
    <w:p>
      <w:pPr>
        <w:pStyle w:val="Indenti"/>
      </w:pPr>
      <w:r>
        <w:tab/>
        <w:t>(i)</w:t>
      </w:r>
      <w:r>
        <w:tab/>
        <w:t>transactions that come within paragraph (g); and</w:t>
      </w:r>
    </w:p>
    <w:p>
      <w:pPr>
        <w:pStyle w:val="Indenti"/>
      </w:pPr>
      <w:r>
        <w:tab/>
        <w:t>(ii)</w:t>
      </w:r>
      <w:r>
        <w:tab/>
        <w:t xml:space="preserve">the matters referred to in the </w:t>
      </w:r>
      <w:r>
        <w:rPr>
          <w:i/>
        </w:rPr>
        <w:t>Government Trading Enterprises Act 2023</w:t>
      </w:r>
      <w:r>
        <w:t xml:space="preserve"> section 137;</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 xml:space="preserve">subject to section 9A, to assume by way of assignment or novation any liability incurred by the State (otherwise </w:t>
      </w:r>
      <w:r>
        <w:rPr>
          <w:snapToGrid w:val="0"/>
        </w:rPr>
        <w:lastRenderedPageBreak/>
        <w:t>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No. 24 of 1992 s. 6; No. 25 of 1998 s. 12; No. 74 of 2003 s. 132(2); No. 13 of 2023 s. 303.]</w:t>
      </w:r>
    </w:p>
    <w:p>
      <w:pPr>
        <w:pStyle w:val="Heading5"/>
      </w:pPr>
      <w:bookmarkStart w:id="24" w:name="_Toc155177731"/>
      <w:r>
        <w:rPr>
          <w:rStyle w:val="CharSectno"/>
        </w:rPr>
        <w:t>9A</w:t>
      </w:r>
      <w:r>
        <w:t>.</w:t>
      </w:r>
      <w:r>
        <w:rPr>
          <w:rStyle w:val="CharSectno"/>
        </w:rPr>
        <w:tab/>
      </w:r>
      <w:r>
        <w:t>Further provision as to assumption of liabilities on behalf of State</w:t>
      </w:r>
      <w:bookmarkEnd w:id="24"/>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lastRenderedPageBreak/>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No. 25 of 1998 s. 13; amended: No. 77 of 2006 s. 4.]</w:t>
      </w:r>
    </w:p>
    <w:p>
      <w:pPr>
        <w:pStyle w:val="Heading5"/>
      </w:pPr>
      <w:bookmarkStart w:id="25" w:name="_Toc155177732"/>
      <w:r>
        <w:rPr>
          <w:rStyle w:val="CharSectno"/>
        </w:rPr>
        <w:t>9B</w:t>
      </w:r>
      <w:r>
        <w:t>.</w:t>
      </w:r>
      <w:r>
        <w:tab/>
        <w:t>Duty to observe policy instruments</w:t>
      </w:r>
      <w:bookmarkEnd w:id="25"/>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No. 28 of 2006 s. 441.]</w:t>
      </w:r>
    </w:p>
    <w:p>
      <w:pPr>
        <w:pStyle w:val="Heading5"/>
        <w:rPr>
          <w:snapToGrid w:val="0"/>
        </w:rPr>
      </w:pPr>
      <w:bookmarkStart w:id="26" w:name="_Toc155177733"/>
      <w:r>
        <w:rPr>
          <w:rStyle w:val="CharSectno"/>
        </w:rPr>
        <w:t>10</w:t>
      </w:r>
      <w:r>
        <w:rPr>
          <w:snapToGrid w:val="0"/>
        </w:rPr>
        <w:t>.</w:t>
      </w:r>
      <w:r>
        <w:rPr>
          <w:snapToGrid w:val="0"/>
        </w:rPr>
        <w:tab/>
        <w:t>General powers of Corporation</w:t>
      </w:r>
      <w:bookmarkEnd w:id="26"/>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lastRenderedPageBreak/>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lastRenderedPageBreak/>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lastRenderedPageBreak/>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lastRenderedPageBreak/>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lastRenderedPageBreak/>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No. 24 of 1992 s. 7; No. 14 of 1996 s. 4; No. 25 of 1998 s. 14; No. 10 of 2001 s. 214; No. 21 of 2003 s. 36; No. 28 of 2006 s. 442.]</w:t>
      </w:r>
    </w:p>
    <w:p>
      <w:pPr>
        <w:pStyle w:val="Heading5"/>
        <w:spacing w:before="180"/>
      </w:pPr>
      <w:bookmarkStart w:id="27" w:name="_Toc155177734"/>
      <w:r>
        <w:rPr>
          <w:rStyle w:val="CharSectno"/>
        </w:rPr>
        <w:t>10A</w:t>
      </w:r>
      <w:r>
        <w:t>.</w:t>
      </w:r>
      <w:r>
        <w:tab/>
        <w:t>Borrowing limits</w:t>
      </w:r>
      <w:bookmarkEnd w:id="27"/>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No. 25 of 1998 s. 15.]</w:t>
      </w:r>
    </w:p>
    <w:p>
      <w:pPr>
        <w:pStyle w:val="Heading5"/>
        <w:spacing w:before="180"/>
        <w:rPr>
          <w:snapToGrid w:val="0"/>
        </w:rPr>
      </w:pPr>
      <w:bookmarkStart w:id="28" w:name="_Toc155177735"/>
      <w:r>
        <w:rPr>
          <w:rStyle w:val="CharSectno"/>
        </w:rPr>
        <w:t>11</w:t>
      </w:r>
      <w:r>
        <w:rPr>
          <w:snapToGrid w:val="0"/>
        </w:rPr>
        <w:t>.</w:t>
      </w:r>
      <w:r>
        <w:rPr>
          <w:snapToGrid w:val="0"/>
        </w:rPr>
        <w:tab/>
        <w:t>Payment of debts incurred by Corporation</w:t>
      </w:r>
      <w:bookmarkEnd w:id="28"/>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keepNext/>
        <w:rPr>
          <w:snapToGrid w:val="0"/>
        </w:rPr>
      </w:pPr>
      <w:r>
        <w:rPr>
          <w:snapToGrid w:val="0"/>
        </w:rPr>
        <w:tab/>
        <w:t>(b)</w:t>
      </w:r>
      <w:r>
        <w:rPr>
          <w:snapToGrid w:val="0"/>
        </w:rPr>
        <w:tab/>
        <w:t xml:space="preserve">any amount, other than the debt referred to in paragraph (a), required to be paid by the Corporation by </w:t>
      </w:r>
      <w:r>
        <w:rPr>
          <w:snapToGrid w:val="0"/>
        </w:rPr>
        <w:lastRenderedPageBreak/>
        <w:t>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29" w:name="_Toc155177736"/>
      <w:r>
        <w:rPr>
          <w:rStyle w:val="CharSectno"/>
        </w:rPr>
        <w:t>12</w:t>
      </w:r>
      <w:r>
        <w:rPr>
          <w:snapToGrid w:val="0"/>
        </w:rPr>
        <w:t>.</w:t>
      </w:r>
      <w:r>
        <w:rPr>
          <w:snapToGrid w:val="0"/>
        </w:rPr>
        <w:tab/>
        <w:t>Advances to Corporation from Treasurer</w:t>
      </w:r>
      <w:bookmarkEnd w:id="29"/>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30" w:name="_Toc155177737"/>
      <w:r>
        <w:rPr>
          <w:rStyle w:val="CharSectno"/>
        </w:rPr>
        <w:t>13</w:t>
      </w:r>
      <w:r>
        <w:rPr>
          <w:snapToGrid w:val="0"/>
        </w:rPr>
        <w:t>.</w:t>
      </w:r>
      <w:r>
        <w:rPr>
          <w:snapToGrid w:val="0"/>
        </w:rPr>
        <w:tab/>
        <w:t>State guarantee</w:t>
      </w:r>
      <w:bookmarkEnd w:id="30"/>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lastRenderedPageBreak/>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No. 24 of 1992 s. 8; No. 6 of 1993 s. 11; No. 49 of 1996 s. 64; No. 25 of 1998 s. 16; No. 77 of 2006 s. 4.]</w:t>
      </w:r>
    </w:p>
    <w:p>
      <w:pPr>
        <w:pStyle w:val="Heading5"/>
        <w:rPr>
          <w:snapToGrid w:val="0"/>
        </w:rPr>
      </w:pPr>
      <w:bookmarkStart w:id="31" w:name="_Toc155177738"/>
      <w:r>
        <w:rPr>
          <w:rStyle w:val="CharSectno"/>
        </w:rPr>
        <w:lastRenderedPageBreak/>
        <w:t>14</w:t>
      </w:r>
      <w:r>
        <w:rPr>
          <w:snapToGrid w:val="0"/>
        </w:rPr>
        <w:t>.</w:t>
      </w:r>
      <w:r>
        <w:rPr>
          <w:snapToGrid w:val="0"/>
        </w:rPr>
        <w:tab/>
        <w:t>Disposal of moneys borrowed by Corporation</w:t>
      </w:r>
      <w:bookmarkEnd w:id="31"/>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No. 24 of 1992 s. 9; No. 25 of 1998 s. 17; No. 74 of 2003 s. 132(3).]</w:t>
      </w:r>
    </w:p>
    <w:p>
      <w:pPr>
        <w:pStyle w:val="Heading5"/>
        <w:rPr>
          <w:snapToGrid w:val="0"/>
        </w:rPr>
      </w:pPr>
      <w:bookmarkStart w:id="32" w:name="_Toc155177739"/>
      <w:r>
        <w:rPr>
          <w:rStyle w:val="CharSectno"/>
        </w:rPr>
        <w:t>15</w:t>
      </w:r>
      <w:r>
        <w:rPr>
          <w:snapToGrid w:val="0"/>
        </w:rPr>
        <w:t>.</w:t>
      </w:r>
      <w:r>
        <w:rPr>
          <w:snapToGrid w:val="0"/>
        </w:rPr>
        <w:tab/>
        <w:t>Borrowers to pay certain amounts to Corporation</w:t>
      </w:r>
      <w:bookmarkEnd w:id="32"/>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lastRenderedPageBreak/>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33" w:name="_Toc155177740"/>
      <w:r>
        <w:rPr>
          <w:rStyle w:val="CharSectno"/>
        </w:rPr>
        <w:t>16</w:t>
      </w:r>
      <w:r>
        <w:rPr>
          <w:snapToGrid w:val="0"/>
        </w:rPr>
        <w:t>.</w:t>
      </w:r>
      <w:r>
        <w:rPr>
          <w:snapToGrid w:val="0"/>
        </w:rPr>
        <w:tab/>
        <w:t>Repayment of guarantee moneys</w:t>
      </w:r>
      <w:bookmarkEnd w:id="33"/>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No. 6 of 1993 s. 11; No. 49 of 1996 s. 64; No. 77 of 2006 s. 4.]</w:t>
      </w:r>
    </w:p>
    <w:p>
      <w:pPr>
        <w:pStyle w:val="Heading2"/>
      </w:pPr>
      <w:bookmarkStart w:id="34" w:name="_Toc155177741"/>
      <w:r>
        <w:rPr>
          <w:rStyle w:val="CharPartNo"/>
        </w:rPr>
        <w:lastRenderedPageBreak/>
        <w:t>Part IIIA</w:t>
      </w:r>
      <w:r>
        <w:t xml:space="preserve"> — </w:t>
      </w:r>
      <w:r>
        <w:rPr>
          <w:rStyle w:val="CharPartText"/>
        </w:rPr>
        <w:t>Corporate planning documents</w:t>
      </w:r>
      <w:bookmarkEnd w:id="34"/>
    </w:p>
    <w:p>
      <w:pPr>
        <w:pStyle w:val="Footnoteheading"/>
      </w:pPr>
      <w:r>
        <w:tab/>
        <w:t>[Heading inserted: No. 25 of 1998 s. 18.]</w:t>
      </w:r>
    </w:p>
    <w:p>
      <w:pPr>
        <w:pStyle w:val="Heading3"/>
      </w:pPr>
      <w:bookmarkStart w:id="35" w:name="_Toc155177742"/>
      <w:r>
        <w:rPr>
          <w:rStyle w:val="CharDivNo"/>
        </w:rPr>
        <w:t>Division 1</w:t>
      </w:r>
      <w:r>
        <w:t xml:space="preserve"> — </w:t>
      </w:r>
      <w:r>
        <w:rPr>
          <w:rStyle w:val="CharDivText"/>
        </w:rPr>
        <w:t>Strategic development plans</w:t>
      </w:r>
      <w:bookmarkEnd w:id="35"/>
    </w:p>
    <w:p>
      <w:pPr>
        <w:pStyle w:val="Footnoteheading"/>
      </w:pPr>
      <w:r>
        <w:tab/>
        <w:t>[Heading inserted: No. 25 of 1998 s. 18.]</w:t>
      </w:r>
    </w:p>
    <w:p>
      <w:pPr>
        <w:pStyle w:val="Heading5"/>
      </w:pPr>
      <w:bookmarkStart w:id="36" w:name="_Toc155177743"/>
      <w:r>
        <w:rPr>
          <w:rStyle w:val="CharSectno"/>
        </w:rPr>
        <w:t>16A</w:t>
      </w:r>
      <w:r>
        <w:t>.</w:t>
      </w:r>
      <w:r>
        <w:tab/>
        <w:t>Draft strategic development plan to be submitted to Minister</w:t>
      </w:r>
      <w:bookmarkEnd w:id="3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No. 25 of 1998 s. 18; amended: No. 28 of 2006 s. 450; No. 77 of 2006 s. 16(2).]</w:t>
      </w:r>
    </w:p>
    <w:p>
      <w:pPr>
        <w:pStyle w:val="Ednotesection"/>
      </w:pPr>
      <w:r>
        <w:t>[</w:t>
      </w:r>
      <w:r>
        <w:rPr>
          <w:b/>
        </w:rPr>
        <w:t>16B.</w:t>
      </w:r>
      <w:r>
        <w:tab/>
        <w:t>Omitted under the Reprints Act 1984 s. 7(4)(g).]</w:t>
      </w:r>
    </w:p>
    <w:p>
      <w:pPr>
        <w:pStyle w:val="Heading5"/>
      </w:pPr>
      <w:bookmarkStart w:id="37" w:name="_Toc155177744"/>
      <w:r>
        <w:rPr>
          <w:rStyle w:val="CharSectno"/>
        </w:rPr>
        <w:t>16C</w:t>
      </w:r>
      <w:r>
        <w:t>.</w:t>
      </w:r>
      <w:r>
        <w:tab/>
        <w:t>Matters to be included in strategic development plan</w:t>
      </w:r>
      <w:bookmarkEnd w:id="37"/>
    </w:p>
    <w:p>
      <w:pPr>
        <w:pStyle w:val="Subsection"/>
      </w:pPr>
      <w:r>
        <w:tab/>
        <w:t>(1)</w:t>
      </w:r>
      <w:r>
        <w:tab/>
        <w:t>The strategic development plan shall set out objectives and operational targets and how those objectives and targets will be achieved.</w:t>
      </w:r>
    </w:p>
    <w:p>
      <w:pPr>
        <w:pStyle w:val="Subsection"/>
      </w:pPr>
      <w:r>
        <w:lastRenderedPageBreak/>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No. 25 of 1998 s. 18; amended: No. 28 of 2006 s. 450.]</w:t>
      </w:r>
    </w:p>
    <w:p>
      <w:pPr>
        <w:pStyle w:val="Heading5"/>
      </w:pPr>
      <w:bookmarkStart w:id="38" w:name="_Toc155177745"/>
      <w:r>
        <w:rPr>
          <w:rStyle w:val="CharSectno"/>
        </w:rPr>
        <w:t>16D</w:t>
      </w:r>
      <w:r>
        <w:t>.</w:t>
      </w:r>
      <w:r>
        <w:tab/>
        <w:t>Strategic development plan to be agreed if possible</w:t>
      </w:r>
      <w:bookmarkEnd w:id="38"/>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No. 25 of 1998 s. 18; amended: No. 28 of 2006 s. 450.]</w:t>
      </w:r>
    </w:p>
    <w:p>
      <w:pPr>
        <w:pStyle w:val="Heading5"/>
      </w:pPr>
      <w:bookmarkStart w:id="39" w:name="_Toc155177746"/>
      <w:r>
        <w:rPr>
          <w:rStyle w:val="CharSectno"/>
        </w:rPr>
        <w:t>16E</w:t>
      </w:r>
      <w:r>
        <w:t>.</w:t>
      </w:r>
      <w:r>
        <w:tab/>
        <w:t>Minister’s powers in relation to draft strategic development plan</w:t>
      </w:r>
      <w:bookmarkEnd w:id="39"/>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lastRenderedPageBreak/>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No. 25 of 1998 s. 18; amended: No. 28 of 2006 s. 450.]</w:t>
      </w:r>
    </w:p>
    <w:p>
      <w:pPr>
        <w:pStyle w:val="Heading5"/>
      </w:pPr>
      <w:bookmarkStart w:id="40" w:name="_Toc155177747"/>
      <w:r>
        <w:rPr>
          <w:rStyle w:val="CharSectno"/>
        </w:rPr>
        <w:t>16F</w:t>
      </w:r>
      <w:r>
        <w:t>.</w:t>
      </w:r>
      <w:r>
        <w:tab/>
        <w:t>Strategic development plan pending agreement</w:t>
      </w:r>
      <w:bookmarkEnd w:id="40"/>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No. 25 of 1998 s. 18; amended: No. 28 of 2006 s. 450.]</w:t>
      </w:r>
    </w:p>
    <w:p>
      <w:pPr>
        <w:pStyle w:val="Heading5"/>
      </w:pPr>
      <w:bookmarkStart w:id="41" w:name="_Toc155177748"/>
      <w:r>
        <w:rPr>
          <w:rStyle w:val="CharSectno"/>
        </w:rPr>
        <w:t>16G</w:t>
      </w:r>
      <w:r>
        <w:t>.</w:t>
      </w:r>
      <w:r>
        <w:tab/>
        <w:t>Minister’s agreement to draft strategic development plan</w:t>
      </w:r>
      <w:bookmarkEnd w:id="4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No. 25 of 1998 s. 18; amended: No. 28 of 2006 s. 450.]</w:t>
      </w:r>
    </w:p>
    <w:p>
      <w:pPr>
        <w:pStyle w:val="Heading5"/>
      </w:pPr>
      <w:bookmarkStart w:id="42" w:name="_Toc155177749"/>
      <w:r>
        <w:rPr>
          <w:rStyle w:val="CharSectno"/>
        </w:rPr>
        <w:lastRenderedPageBreak/>
        <w:t>16H</w:t>
      </w:r>
      <w:r>
        <w:t>.</w:t>
      </w:r>
      <w:r>
        <w:tab/>
        <w:t>Modification of</w:t>
      </w:r>
      <w:r>
        <w:rPr>
          <w:b w:val="0"/>
        </w:rPr>
        <w:t xml:space="preserve"> </w:t>
      </w:r>
      <w:r>
        <w:t>strategic development plan</w:t>
      </w:r>
      <w:bookmarkEnd w:id="4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No. 25 of 1998 s. 18; amended: No. 28 of 2006 s. 450.]</w:t>
      </w:r>
    </w:p>
    <w:p>
      <w:pPr>
        <w:pStyle w:val="Heading5"/>
        <w:rPr>
          <w:snapToGrid w:val="0"/>
        </w:rPr>
      </w:pPr>
      <w:bookmarkStart w:id="43" w:name="_Toc155177750"/>
      <w:r>
        <w:rPr>
          <w:rStyle w:val="CharSectno"/>
        </w:rPr>
        <w:t>16HA</w:t>
      </w:r>
      <w:r>
        <w:rPr>
          <w:snapToGrid w:val="0"/>
        </w:rPr>
        <w:t>.</w:t>
      </w:r>
      <w:r>
        <w:rPr>
          <w:snapToGrid w:val="0"/>
        </w:rPr>
        <w:tab/>
        <w:t>Concurrence of Treasurer</w:t>
      </w:r>
      <w:bookmarkEnd w:id="43"/>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No. 28 of 2006 s. 443.]</w:t>
      </w:r>
    </w:p>
    <w:p>
      <w:pPr>
        <w:pStyle w:val="Heading3"/>
      </w:pPr>
      <w:bookmarkStart w:id="44" w:name="_Toc155177751"/>
      <w:r>
        <w:rPr>
          <w:rStyle w:val="CharDivNo"/>
        </w:rPr>
        <w:t>Division 2</w:t>
      </w:r>
      <w:r>
        <w:t xml:space="preserve"> — </w:t>
      </w:r>
      <w:r>
        <w:rPr>
          <w:rStyle w:val="CharDivText"/>
        </w:rPr>
        <w:t>Statement of corporate intent</w:t>
      </w:r>
      <w:bookmarkEnd w:id="44"/>
    </w:p>
    <w:p>
      <w:pPr>
        <w:pStyle w:val="Footnoteheading"/>
        <w:keepNext/>
      </w:pPr>
      <w:r>
        <w:tab/>
        <w:t>[Heading inserted: No. 25 of 1998 s. 18.]</w:t>
      </w:r>
    </w:p>
    <w:p>
      <w:pPr>
        <w:pStyle w:val="Heading5"/>
      </w:pPr>
      <w:bookmarkStart w:id="45" w:name="_Toc155177752"/>
      <w:r>
        <w:rPr>
          <w:rStyle w:val="CharSectno"/>
        </w:rPr>
        <w:t>16I</w:t>
      </w:r>
      <w:r>
        <w:t>.</w:t>
      </w:r>
      <w:r>
        <w:tab/>
        <w:t>Draft statement of corporate intent to be submitted to Minister</w:t>
      </w:r>
      <w:bookmarkEnd w:id="45"/>
    </w:p>
    <w:p>
      <w:pPr>
        <w:pStyle w:val="Subsection"/>
      </w:pPr>
      <w:r>
        <w:tab/>
        <w:t>(1)</w:t>
      </w:r>
      <w:r>
        <w:tab/>
        <w:t>The board shall in each year prepare, and submit to the Minister for his or her agreement, a draft statement of corporate intent for the Corporation.</w:t>
      </w:r>
    </w:p>
    <w:p>
      <w:pPr>
        <w:pStyle w:val="Subsection"/>
      </w:pPr>
      <w:r>
        <w:lastRenderedPageBreak/>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No. 25 of 1998 s. 18; amended: No. 28 of 2006 s. 450; No. 77 of 2006 s. 16(3).]</w:t>
      </w:r>
    </w:p>
    <w:p>
      <w:pPr>
        <w:pStyle w:val="Ednotesection"/>
      </w:pPr>
      <w:r>
        <w:t>[</w:t>
      </w:r>
      <w:r>
        <w:rPr>
          <w:b/>
        </w:rPr>
        <w:t>16J.</w:t>
      </w:r>
      <w:r>
        <w:tab/>
        <w:t>Omitted under the Reprints Act 1984 s. 7(4)(g).]</w:t>
      </w:r>
    </w:p>
    <w:p>
      <w:pPr>
        <w:pStyle w:val="Heading5"/>
      </w:pPr>
      <w:bookmarkStart w:id="46" w:name="_Toc155177753"/>
      <w:r>
        <w:rPr>
          <w:rStyle w:val="CharSectno"/>
        </w:rPr>
        <w:t>16K</w:t>
      </w:r>
      <w:r>
        <w:t>.</w:t>
      </w:r>
      <w:r>
        <w:tab/>
        <w:t>Matters to be included in statement of corporate intent</w:t>
      </w:r>
      <w:bookmarkEnd w:id="46"/>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lastRenderedPageBreak/>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No. 25 of 1998 s. 18; amended: No. 24 of 2000 s. 47; No. 28 of 2006 s. 450.]</w:t>
      </w:r>
    </w:p>
    <w:p>
      <w:pPr>
        <w:pStyle w:val="Heading5"/>
      </w:pPr>
      <w:bookmarkStart w:id="47" w:name="_Toc155177754"/>
      <w:r>
        <w:rPr>
          <w:rStyle w:val="CharSectno"/>
        </w:rPr>
        <w:t>16L</w:t>
      </w:r>
      <w:r>
        <w:t>.</w:t>
      </w:r>
      <w:r>
        <w:tab/>
        <w:t>Statement of corporate intent to be agreed if possible</w:t>
      </w:r>
      <w:bookmarkEnd w:id="47"/>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No. 25 of 1998 s. 18; amended: No. 28 of 2006 s. 450.]</w:t>
      </w:r>
    </w:p>
    <w:p>
      <w:pPr>
        <w:pStyle w:val="Heading5"/>
      </w:pPr>
      <w:bookmarkStart w:id="48" w:name="_Toc155177755"/>
      <w:r>
        <w:rPr>
          <w:rStyle w:val="CharSectno"/>
        </w:rPr>
        <w:t>16M</w:t>
      </w:r>
      <w:r>
        <w:t>.</w:t>
      </w:r>
      <w:r>
        <w:tab/>
        <w:t>Minister’s powers in relation to draft statement of corporate intent</w:t>
      </w:r>
      <w:bookmarkEnd w:id="48"/>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lastRenderedPageBreak/>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No. 25 of 1998 s. 18; amended: No. 28 of 2006 s. 450.]</w:t>
      </w:r>
    </w:p>
    <w:p>
      <w:pPr>
        <w:pStyle w:val="Heading5"/>
      </w:pPr>
      <w:bookmarkStart w:id="49" w:name="_Toc155177756"/>
      <w:r>
        <w:rPr>
          <w:rStyle w:val="CharSectno"/>
        </w:rPr>
        <w:t>16N</w:t>
      </w:r>
      <w:r>
        <w:t>.</w:t>
      </w:r>
      <w:r>
        <w:tab/>
        <w:t>Statement of co</w:t>
      </w:r>
      <w:r>
        <w:rPr>
          <w:b w:val="0"/>
        </w:rPr>
        <w:t>r</w:t>
      </w:r>
      <w:r>
        <w:t>porate intent pending agreement</w:t>
      </w:r>
      <w:bookmarkEnd w:id="49"/>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No. 25 of 1998 s. 18; amended: No. 28 of 2006 s. 450.]</w:t>
      </w:r>
    </w:p>
    <w:p>
      <w:pPr>
        <w:pStyle w:val="Heading5"/>
      </w:pPr>
      <w:bookmarkStart w:id="50" w:name="_Toc155177757"/>
      <w:r>
        <w:rPr>
          <w:rStyle w:val="CharSectno"/>
        </w:rPr>
        <w:t>16O</w:t>
      </w:r>
      <w:r>
        <w:t>.</w:t>
      </w:r>
      <w:r>
        <w:tab/>
        <w:t>Minister’s agreement to draft statement of corporate intent</w:t>
      </w:r>
      <w:bookmarkEnd w:id="5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lastRenderedPageBreak/>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No. 25 of 1998 s. 18; amended: No. 28 of 2006 s. 450.]</w:t>
      </w:r>
    </w:p>
    <w:p>
      <w:pPr>
        <w:pStyle w:val="Heading5"/>
      </w:pPr>
      <w:bookmarkStart w:id="51" w:name="_Toc155177758"/>
      <w:r>
        <w:rPr>
          <w:rStyle w:val="CharSectno"/>
        </w:rPr>
        <w:t>16P</w:t>
      </w:r>
      <w:r>
        <w:t>.</w:t>
      </w:r>
      <w:r>
        <w:tab/>
        <w:t>Modification of statement of corporate intent</w:t>
      </w:r>
      <w:bookmarkEnd w:id="51"/>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No. 25 of 1998 s. 18; amended: No. 28 of 2006 s. 450.]</w:t>
      </w:r>
    </w:p>
    <w:p>
      <w:pPr>
        <w:pStyle w:val="Heading5"/>
        <w:rPr>
          <w:snapToGrid w:val="0"/>
        </w:rPr>
      </w:pPr>
      <w:bookmarkStart w:id="52" w:name="_Toc155177759"/>
      <w:r>
        <w:rPr>
          <w:rStyle w:val="CharSectno"/>
        </w:rPr>
        <w:t>16PA</w:t>
      </w:r>
      <w:r>
        <w:rPr>
          <w:snapToGrid w:val="0"/>
        </w:rPr>
        <w:t>.</w:t>
      </w:r>
      <w:r>
        <w:rPr>
          <w:snapToGrid w:val="0"/>
        </w:rPr>
        <w:tab/>
        <w:t>Concurrence of Treasurer</w:t>
      </w:r>
      <w:bookmarkEnd w:id="52"/>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lastRenderedPageBreak/>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No. 28 of 2006 s. 444.]</w:t>
      </w:r>
    </w:p>
    <w:p>
      <w:pPr>
        <w:pStyle w:val="Heading3"/>
        <w:keepLines/>
      </w:pPr>
      <w:bookmarkStart w:id="53" w:name="_Toc155177760"/>
      <w:r>
        <w:rPr>
          <w:rStyle w:val="CharDivNo"/>
        </w:rPr>
        <w:t>Division 3</w:t>
      </w:r>
      <w:r>
        <w:t xml:space="preserve"> — </w:t>
      </w:r>
      <w:r>
        <w:rPr>
          <w:rStyle w:val="CharDivText"/>
        </w:rPr>
        <w:t>Supplementary provision as to laying directions before Parliament</w:t>
      </w:r>
      <w:bookmarkEnd w:id="53"/>
    </w:p>
    <w:p>
      <w:pPr>
        <w:pStyle w:val="Footnoteheading"/>
        <w:keepNext/>
        <w:keepLines/>
      </w:pPr>
      <w:r>
        <w:tab/>
        <w:t>[Heading inserted: No. 25 of 1998 s. 18.]</w:t>
      </w:r>
    </w:p>
    <w:p>
      <w:pPr>
        <w:pStyle w:val="Heading5"/>
      </w:pPr>
      <w:bookmarkStart w:id="54" w:name="_Toc155177761"/>
      <w:r>
        <w:rPr>
          <w:rStyle w:val="CharSectno"/>
        </w:rPr>
        <w:t>16Q</w:t>
      </w:r>
      <w:r>
        <w:t>.</w:t>
      </w:r>
      <w:r>
        <w:tab/>
        <w:t>Procedure where a House is not sitting</w:t>
      </w:r>
      <w:bookmarkEnd w:id="54"/>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No. 25 of 1998 s. 18; amended: No. 28 of 2006 s. 450; No. 8 of 2009 s. 138.]</w:t>
      </w:r>
    </w:p>
    <w:p>
      <w:pPr>
        <w:pStyle w:val="Heading2"/>
      </w:pPr>
      <w:bookmarkStart w:id="55" w:name="_Toc155177762"/>
      <w:r>
        <w:rPr>
          <w:rStyle w:val="CharPartNo"/>
        </w:rPr>
        <w:lastRenderedPageBreak/>
        <w:t>Part IV</w:t>
      </w:r>
      <w:r>
        <w:rPr>
          <w:rStyle w:val="CharDivNo"/>
        </w:rPr>
        <w:t> </w:t>
      </w:r>
      <w:r>
        <w:t>—</w:t>
      </w:r>
      <w:r>
        <w:rPr>
          <w:rStyle w:val="CharDivText"/>
        </w:rPr>
        <w:t> </w:t>
      </w:r>
      <w:r>
        <w:rPr>
          <w:rStyle w:val="CharPartText"/>
        </w:rPr>
        <w:t>General</w:t>
      </w:r>
      <w:bookmarkEnd w:id="55"/>
    </w:p>
    <w:p>
      <w:pPr>
        <w:pStyle w:val="Heading5"/>
        <w:rPr>
          <w:snapToGrid w:val="0"/>
        </w:rPr>
      </w:pPr>
      <w:bookmarkStart w:id="56" w:name="_Toc155177763"/>
      <w:r>
        <w:rPr>
          <w:rStyle w:val="CharSectno"/>
        </w:rPr>
        <w:t>17</w:t>
      </w:r>
      <w:r>
        <w:rPr>
          <w:snapToGrid w:val="0"/>
        </w:rPr>
        <w:t>.</w:t>
      </w:r>
      <w:r>
        <w:rPr>
          <w:snapToGrid w:val="0"/>
        </w:rPr>
        <w:tab/>
        <w:t>Western Australian Treasury Corporation Account</w:t>
      </w:r>
      <w:bookmarkEnd w:id="56"/>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No. 24 of 1992 s. 10; No. 25 of 1998 s. 19.]</w:t>
      </w:r>
    </w:p>
    <w:p>
      <w:pPr>
        <w:pStyle w:val="Heading5"/>
      </w:pPr>
      <w:bookmarkStart w:id="57" w:name="_Toc155177764"/>
      <w:r>
        <w:rPr>
          <w:rStyle w:val="CharSectno"/>
        </w:rPr>
        <w:lastRenderedPageBreak/>
        <w:t>17A</w:t>
      </w:r>
      <w:r>
        <w:t>.</w:t>
      </w:r>
      <w:r>
        <w:tab/>
        <w:t>Dividends</w:t>
      </w:r>
      <w:bookmarkEnd w:id="57"/>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No. 25 of 1998 s. 20; amended: No. 28 of 2006 s. 445 and 450; No. 77 of 2006 s. 4.]</w:t>
      </w:r>
    </w:p>
    <w:p>
      <w:pPr>
        <w:pStyle w:val="Heading5"/>
        <w:rPr>
          <w:snapToGrid w:val="0"/>
        </w:rPr>
      </w:pPr>
      <w:bookmarkStart w:id="58" w:name="_Toc155177765"/>
      <w:r>
        <w:rPr>
          <w:rStyle w:val="CharSectno"/>
        </w:rPr>
        <w:t>18</w:t>
      </w:r>
      <w:r>
        <w:rPr>
          <w:snapToGrid w:val="0"/>
        </w:rPr>
        <w:t>.</w:t>
      </w:r>
      <w:r>
        <w:rPr>
          <w:snapToGrid w:val="0"/>
        </w:rPr>
        <w:tab/>
        <w:t>Delegation by Corporation</w:t>
      </w:r>
      <w:bookmarkEnd w:id="5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lastRenderedPageBreak/>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No. 25 of 1998 s. 21; No. 28 of 2006 s. 446.]</w:t>
      </w:r>
    </w:p>
    <w:p>
      <w:pPr>
        <w:pStyle w:val="Heading5"/>
        <w:rPr>
          <w:snapToGrid w:val="0"/>
        </w:rPr>
      </w:pPr>
      <w:bookmarkStart w:id="59" w:name="_Toc155177766"/>
      <w:r>
        <w:rPr>
          <w:rStyle w:val="CharSectno"/>
        </w:rPr>
        <w:t>19</w:t>
      </w:r>
      <w:r>
        <w:rPr>
          <w:snapToGrid w:val="0"/>
        </w:rPr>
        <w:t>.</w:t>
      </w:r>
      <w:r>
        <w:rPr>
          <w:snapToGrid w:val="0"/>
        </w:rPr>
        <w:tab/>
        <w:t xml:space="preserve">Delegation by </w:t>
      </w:r>
      <w:r>
        <w:t xml:space="preserve">Minister </w:t>
      </w:r>
      <w:r>
        <w:rPr>
          <w:snapToGrid w:val="0"/>
        </w:rPr>
        <w:t>of power of approval</w:t>
      </w:r>
      <w:bookmarkEnd w:id="59"/>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No. 28 of 2006 s. 450.]</w:t>
      </w:r>
    </w:p>
    <w:p>
      <w:pPr>
        <w:pStyle w:val="Heading5"/>
        <w:rPr>
          <w:snapToGrid w:val="0"/>
        </w:rPr>
      </w:pPr>
      <w:bookmarkStart w:id="60" w:name="_Toc155177767"/>
      <w:r>
        <w:rPr>
          <w:rStyle w:val="CharSectno"/>
        </w:rPr>
        <w:t>20</w:t>
      </w:r>
      <w:r>
        <w:rPr>
          <w:snapToGrid w:val="0"/>
        </w:rPr>
        <w:t>.</w:t>
      </w:r>
      <w:r>
        <w:rPr>
          <w:snapToGrid w:val="0"/>
        </w:rPr>
        <w:tab/>
        <w:t xml:space="preserve">Directions by </w:t>
      </w:r>
      <w:r>
        <w:t>Minister</w:t>
      </w:r>
      <w:bookmarkEnd w:id="60"/>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lastRenderedPageBreak/>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No. 24 of 1992 s. 11; No. 25 of 1998 s. 22; No. 28 of 2006 s. 450; No. 77 of 2006 Sch. 1 cl. 186(1).]</w:t>
      </w:r>
    </w:p>
    <w:p>
      <w:pPr>
        <w:pStyle w:val="Heading5"/>
        <w:rPr>
          <w:snapToGrid w:val="0"/>
        </w:rPr>
      </w:pPr>
      <w:bookmarkStart w:id="61" w:name="_Toc155177768"/>
      <w:r>
        <w:rPr>
          <w:rStyle w:val="CharSectno"/>
        </w:rPr>
        <w:t>21</w:t>
      </w:r>
      <w:r>
        <w:rPr>
          <w:snapToGrid w:val="0"/>
        </w:rPr>
        <w:t>.</w:t>
      </w:r>
      <w:r>
        <w:rPr>
          <w:snapToGrid w:val="0"/>
        </w:rPr>
        <w:tab/>
        <w:t>Financial administration, audit and reporting</w:t>
      </w:r>
      <w:bookmarkEnd w:id="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No. 77 of 2006 Sch. 1 cl. 186(2).]</w:t>
      </w:r>
    </w:p>
    <w:p>
      <w:pPr>
        <w:pStyle w:val="Heading5"/>
        <w:rPr>
          <w:snapToGrid w:val="0"/>
        </w:rPr>
      </w:pPr>
      <w:bookmarkStart w:id="62" w:name="_Toc155177769"/>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62"/>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lastRenderedPageBreak/>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No. 24 of 1992 s. 12; amended: No. 28 of 2006 s. 447.]</w:t>
      </w:r>
    </w:p>
    <w:p>
      <w:pPr>
        <w:pStyle w:val="Heading5"/>
        <w:rPr>
          <w:snapToGrid w:val="0"/>
        </w:rPr>
      </w:pPr>
      <w:bookmarkStart w:id="63" w:name="_Toc155177770"/>
      <w:r>
        <w:rPr>
          <w:rStyle w:val="CharSectno"/>
        </w:rPr>
        <w:t>21B</w:t>
      </w:r>
      <w:r>
        <w:rPr>
          <w:snapToGrid w:val="0"/>
        </w:rPr>
        <w:t>.</w:t>
      </w:r>
      <w:r>
        <w:rPr>
          <w:snapToGrid w:val="0"/>
        </w:rPr>
        <w:tab/>
        <w:t>Quarterly reports</w:t>
      </w:r>
      <w:bookmarkEnd w:id="6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lastRenderedPageBreak/>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No. 25 of 1998 s. 23(1); amended: No. 28 of 2006 s. 448 and 450.]</w:t>
      </w:r>
    </w:p>
    <w:p>
      <w:pPr>
        <w:pStyle w:val="Heading5"/>
        <w:rPr>
          <w:snapToGrid w:val="0"/>
        </w:rPr>
      </w:pPr>
      <w:bookmarkStart w:id="64" w:name="_Toc155177771"/>
      <w:r>
        <w:rPr>
          <w:rStyle w:val="CharSectno"/>
        </w:rPr>
        <w:t>22</w:t>
      </w:r>
      <w:r>
        <w:rPr>
          <w:snapToGrid w:val="0"/>
        </w:rPr>
        <w:t>.</w:t>
      </w:r>
      <w:r>
        <w:rPr>
          <w:snapToGrid w:val="0"/>
        </w:rPr>
        <w:tab/>
        <w:t>Regulations</w:t>
      </w:r>
      <w:bookmarkEnd w:id="64"/>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 xml:space="preserve">provide for the creation of debt paper under section 10 and for the cancellation, exchange, redemption, registration, surrender, transfer or transmission of debt </w:t>
      </w:r>
      <w:r>
        <w:rPr>
          <w:snapToGrid w:val="0"/>
        </w:rPr>
        <w:lastRenderedPageBreak/>
        <w:t>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No. 24 of 1992 s. 13.]</w:t>
      </w:r>
    </w:p>
    <w:p>
      <w:pPr>
        <w:pStyle w:val="Heading2"/>
      </w:pPr>
      <w:bookmarkStart w:id="65" w:name="_Toc155177772"/>
      <w:r>
        <w:rPr>
          <w:rStyle w:val="CharPartNo"/>
        </w:rPr>
        <w:lastRenderedPageBreak/>
        <w:t>Part V</w:t>
      </w:r>
      <w:r>
        <w:rPr>
          <w:rStyle w:val="CharDivNo"/>
        </w:rPr>
        <w:t> </w:t>
      </w:r>
      <w:r>
        <w:t>—</w:t>
      </w:r>
      <w:r>
        <w:rPr>
          <w:rStyle w:val="CharDivText"/>
        </w:rPr>
        <w:t> </w:t>
      </w:r>
      <w:r>
        <w:rPr>
          <w:rStyle w:val="CharPartText"/>
        </w:rPr>
        <w:t>Transitional, validation and consequential amendment</w:t>
      </w:r>
      <w:bookmarkEnd w:id="65"/>
    </w:p>
    <w:p>
      <w:pPr>
        <w:pStyle w:val="Heading5"/>
        <w:rPr>
          <w:snapToGrid w:val="0"/>
        </w:rPr>
      </w:pPr>
      <w:bookmarkStart w:id="66" w:name="_Toc155177773"/>
      <w:r>
        <w:rPr>
          <w:rStyle w:val="CharSectno"/>
        </w:rPr>
        <w:t>23</w:t>
      </w:r>
      <w:r>
        <w:rPr>
          <w:snapToGrid w:val="0"/>
        </w:rPr>
        <w:t>.</w:t>
      </w:r>
      <w:r>
        <w:rPr>
          <w:snapToGrid w:val="0"/>
        </w:rPr>
        <w:tab/>
        <w:t>Repeal</w:t>
      </w:r>
      <w:bookmarkEnd w:id="66"/>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67" w:name="_Toc155177774"/>
      <w:r>
        <w:rPr>
          <w:rStyle w:val="CharSectno"/>
        </w:rPr>
        <w:t>24</w:t>
      </w:r>
      <w:r>
        <w:rPr>
          <w:snapToGrid w:val="0"/>
        </w:rPr>
        <w:t>.</w:t>
      </w:r>
      <w:r>
        <w:rPr>
          <w:snapToGrid w:val="0"/>
        </w:rPr>
        <w:tab/>
        <w:t>Transitional provisions</w:t>
      </w:r>
      <w:bookmarkEnd w:id="67"/>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 xml:space="preserve">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w:t>
      </w:r>
      <w:r>
        <w:rPr>
          <w:snapToGrid w:val="0"/>
        </w:rPr>
        <w:lastRenderedPageBreak/>
        <w:t>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 xml:space="preserve">For the purposes of this section, a reference to the Treasurer under the repealed Act or to the Treasurer as the central borrowing authority in the State under the repealed Act, as the case requires, in an account, book, record, document or paper in </w:t>
      </w:r>
      <w:r>
        <w:rPr>
          <w:snapToGrid w:val="0"/>
        </w:rPr>
        <w:lastRenderedPageBreak/>
        <w:t>existence immediately before the coming into operation of this Act shall on that coming into operation be construed as a reference to the Corporation.</w:t>
      </w:r>
    </w:p>
    <w:p>
      <w:pPr>
        <w:pStyle w:val="Heading5"/>
        <w:rPr>
          <w:snapToGrid w:val="0"/>
        </w:rPr>
      </w:pPr>
      <w:bookmarkStart w:id="68" w:name="_Toc155177775"/>
      <w:r>
        <w:rPr>
          <w:rStyle w:val="CharSectno"/>
        </w:rPr>
        <w:t>25</w:t>
      </w:r>
      <w:r>
        <w:rPr>
          <w:snapToGrid w:val="0"/>
        </w:rPr>
        <w:t>.</w:t>
      </w:r>
      <w:r>
        <w:rPr>
          <w:snapToGrid w:val="0"/>
        </w:rPr>
        <w:tab/>
        <w:t>Validation</w:t>
      </w:r>
      <w:bookmarkEnd w:id="68"/>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69" w:name="_Toc155177776"/>
      <w:r>
        <w:rPr>
          <w:rStyle w:val="CharSchNo"/>
        </w:rPr>
        <w:lastRenderedPageBreak/>
        <w:t>Schedule 1</w:t>
      </w:r>
      <w:r>
        <w:t> — </w:t>
      </w:r>
      <w:r>
        <w:rPr>
          <w:rStyle w:val="CharSchText"/>
        </w:rPr>
        <w:t>Bodies that are not authorities</w:t>
      </w:r>
      <w:bookmarkEnd w:id="69"/>
    </w:p>
    <w:p>
      <w:pPr>
        <w:pStyle w:val="yShoulderClause"/>
        <w:rPr>
          <w:snapToGrid w:val="0"/>
        </w:rPr>
      </w:pPr>
      <w:r>
        <w:t>[Section </w:t>
      </w:r>
      <w:r>
        <w:rPr>
          <w:snapToGrid w:val="0"/>
        </w:rPr>
        <w:t>3]</w:t>
      </w:r>
    </w:p>
    <w:p>
      <w:pPr>
        <w:pStyle w:val="yFootnoteheading"/>
      </w:pPr>
      <w:r>
        <w:tab/>
        <w:t>[Heading inserted: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No. 59 of 1987 s. 47; No. 25 of 1998 s. 24; No. 26 of 1999 s. 111; No. 10 of 2001 s. 215; No. 12 of 2001 s. 51; No. 17 of 2005 s. 31; No. 24 of 2009 s. 511 and 518; No. 30 of 2015 s. 232.]</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71" w:name="_Toc155177777"/>
      <w:r>
        <w:rPr>
          <w:rStyle w:val="CharSchNo"/>
        </w:rPr>
        <w:lastRenderedPageBreak/>
        <w:t>Schedule 2</w:t>
      </w:r>
      <w:r>
        <w:t> — </w:t>
      </w:r>
      <w:r>
        <w:rPr>
          <w:rStyle w:val="CharSchText"/>
        </w:rPr>
        <w:t>Constitution and proceedings of board</w:t>
      </w:r>
      <w:bookmarkEnd w:id="71"/>
    </w:p>
    <w:p>
      <w:pPr>
        <w:pStyle w:val="yShoulderClause"/>
      </w:pPr>
      <w:r>
        <w:t>[Section 5C]</w:t>
      </w:r>
    </w:p>
    <w:p>
      <w:pPr>
        <w:pStyle w:val="yFootnoteheading"/>
        <w:spacing w:before="0"/>
      </w:pPr>
      <w:r>
        <w:tab/>
        <w:t>[Heading inserted: No. 25 of 1998 s. 25.]</w:t>
      </w:r>
    </w:p>
    <w:p>
      <w:pPr>
        <w:pStyle w:val="yHeading3"/>
        <w:spacing w:before="120"/>
      </w:pPr>
      <w:bookmarkStart w:id="72" w:name="_Toc155177778"/>
      <w:r>
        <w:rPr>
          <w:rStyle w:val="CharSDivNo"/>
        </w:rPr>
        <w:t>Division 1</w:t>
      </w:r>
      <w:r>
        <w:t> — </w:t>
      </w:r>
      <w:r>
        <w:rPr>
          <w:rStyle w:val="CharSDivText"/>
        </w:rPr>
        <w:t>Terms of office, meetings etc.</w:t>
      </w:r>
      <w:bookmarkEnd w:id="72"/>
    </w:p>
    <w:p>
      <w:pPr>
        <w:pStyle w:val="yFootnoteheading"/>
      </w:pPr>
      <w:r>
        <w:tab/>
        <w:t>[Heading inserted: No. 25 of 1998 s. 25.]</w:t>
      </w:r>
    </w:p>
    <w:p>
      <w:pPr>
        <w:pStyle w:val="yHeading5"/>
        <w:spacing w:before="120"/>
      </w:pPr>
      <w:bookmarkStart w:id="73" w:name="_Toc155177779"/>
      <w:r>
        <w:rPr>
          <w:rStyle w:val="CharSClsNo"/>
        </w:rPr>
        <w:t>1</w:t>
      </w:r>
      <w:r>
        <w:t>.</w:t>
      </w:r>
      <w:r>
        <w:tab/>
        <w:t>Term of office</w:t>
      </w:r>
      <w:bookmarkEnd w:id="73"/>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No. 25 of 1998 s. 25.]</w:t>
      </w:r>
    </w:p>
    <w:p>
      <w:pPr>
        <w:pStyle w:val="yHeading5"/>
        <w:spacing w:before="120"/>
      </w:pPr>
      <w:bookmarkStart w:id="74" w:name="_Toc155177780"/>
      <w:r>
        <w:rPr>
          <w:rStyle w:val="CharSClsNo"/>
        </w:rPr>
        <w:t>2</w:t>
      </w:r>
      <w:r>
        <w:t>.</w:t>
      </w:r>
      <w:r>
        <w:tab/>
        <w:t>Resignation, removal etc.</w:t>
      </w:r>
      <w:bookmarkEnd w:id="74"/>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No. 25 of 1998 s. 25; amended: No. 10 of 2001 s. 216; No. 28 of 2006 s. 450.]</w:t>
      </w:r>
    </w:p>
    <w:p>
      <w:pPr>
        <w:pStyle w:val="yHeading5"/>
      </w:pPr>
      <w:bookmarkStart w:id="75" w:name="_Toc155177781"/>
      <w:r>
        <w:rPr>
          <w:rStyle w:val="CharSClsNo"/>
        </w:rPr>
        <w:t>3</w:t>
      </w:r>
      <w:r>
        <w:t>.</w:t>
      </w:r>
      <w:r>
        <w:tab/>
        <w:t>Leave of absence</w:t>
      </w:r>
      <w:bookmarkEnd w:id="75"/>
    </w:p>
    <w:p>
      <w:pPr>
        <w:pStyle w:val="ySubsection"/>
      </w:pPr>
      <w:r>
        <w:tab/>
      </w:r>
      <w:r>
        <w:tab/>
        <w:t>The board may grant leave of absence to a director on such terms and conditions as it thinks fit.</w:t>
      </w:r>
    </w:p>
    <w:p>
      <w:pPr>
        <w:pStyle w:val="yFootnotesection"/>
      </w:pPr>
      <w:r>
        <w:tab/>
        <w:t>[Clause 3 inserted: No. 25 of 1998 s. 25.]</w:t>
      </w:r>
    </w:p>
    <w:p>
      <w:pPr>
        <w:pStyle w:val="yHeading5"/>
      </w:pPr>
      <w:bookmarkStart w:id="76" w:name="_Toc155177782"/>
      <w:r>
        <w:rPr>
          <w:rStyle w:val="CharSClsNo"/>
        </w:rPr>
        <w:lastRenderedPageBreak/>
        <w:t>4</w:t>
      </w:r>
      <w:r>
        <w:t>.</w:t>
      </w:r>
      <w:r>
        <w:tab/>
        <w:t>Director under section 5B(1)(b) unable to act</w:t>
      </w:r>
      <w:bookmarkEnd w:id="76"/>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No. 25 of 1998 s. 25.]</w:t>
      </w:r>
    </w:p>
    <w:p>
      <w:pPr>
        <w:pStyle w:val="yHeading5"/>
        <w:spacing w:before="200"/>
      </w:pPr>
      <w:bookmarkStart w:id="77" w:name="_Toc155177783"/>
      <w:r>
        <w:rPr>
          <w:rStyle w:val="CharSClsNo"/>
        </w:rPr>
        <w:t>5</w:t>
      </w:r>
      <w:r>
        <w:t>.</w:t>
      </w:r>
      <w:r>
        <w:tab/>
        <w:t>Chief executive officer unable to attend</w:t>
      </w:r>
      <w:bookmarkEnd w:id="7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No. 25 of 1998 s. 25; amended: No. 28 of 2006 s. 449.]</w:t>
      </w:r>
    </w:p>
    <w:p>
      <w:pPr>
        <w:pStyle w:val="yHeading5"/>
        <w:spacing w:before="200"/>
      </w:pPr>
      <w:bookmarkStart w:id="78" w:name="_Toc155177784"/>
      <w:r>
        <w:rPr>
          <w:rStyle w:val="CharSClsNo"/>
        </w:rPr>
        <w:t>6</w:t>
      </w:r>
      <w:r>
        <w:t>.</w:t>
      </w:r>
      <w:r>
        <w:tab/>
        <w:t>Appointed director unable to act</w:t>
      </w:r>
      <w:bookmarkEnd w:id="78"/>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No. 25 of 1998 s. 25; amended: No. 28 of 2006 s. 450.]</w:t>
      </w:r>
    </w:p>
    <w:p>
      <w:pPr>
        <w:pStyle w:val="yHeading5"/>
        <w:spacing w:before="200"/>
      </w:pPr>
      <w:bookmarkStart w:id="79" w:name="_Toc155177785"/>
      <w:r>
        <w:rPr>
          <w:rStyle w:val="CharSClsNo"/>
        </w:rPr>
        <w:t>7</w:t>
      </w:r>
      <w:r>
        <w:t>.</w:t>
      </w:r>
      <w:r>
        <w:tab/>
        <w:t>Saving</w:t>
      </w:r>
      <w:bookmarkEnd w:id="79"/>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keepNext/>
        <w:spacing w:before="60"/>
      </w:pPr>
      <w:r>
        <w:lastRenderedPageBreak/>
        <w:tab/>
        <w:t>(b)</w:t>
      </w:r>
      <w:r>
        <w:tab/>
        <w:t>his or her acting for or representing a director had ceased.</w:t>
      </w:r>
    </w:p>
    <w:p>
      <w:pPr>
        <w:pStyle w:val="yFootnotesection"/>
        <w:spacing w:before="100"/>
      </w:pPr>
      <w:r>
        <w:tab/>
        <w:t>[Clause 7 inserted: No. 25 of 1998 s. 25.]</w:t>
      </w:r>
    </w:p>
    <w:p>
      <w:pPr>
        <w:pStyle w:val="yHeading5"/>
      </w:pPr>
      <w:bookmarkStart w:id="80" w:name="_Toc155177786"/>
      <w:r>
        <w:rPr>
          <w:rStyle w:val="CharSClsNo"/>
        </w:rPr>
        <w:t>8</w:t>
      </w:r>
      <w:r>
        <w:t>.</w:t>
      </w:r>
      <w:r>
        <w:tab/>
        <w:t>Calling of meetings</w:t>
      </w:r>
      <w:bookmarkEnd w:id="80"/>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No. 25 of 1998 s. 25.]</w:t>
      </w:r>
    </w:p>
    <w:p>
      <w:pPr>
        <w:pStyle w:val="yHeading5"/>
      </w:pPr>
      <w:bookmarkStart w:id="81" w:name="_Toc155177787"/>
      <w:r>
        <w:rPr>
          <w:rStyle w:val="CharSClsNo"/>
        </w:rPr>
        <w:t>9</w:t>
      </w:r>
      <w:r>
        <w:t>.</w:t>
      </w:r>
      <w:r>
        <w:tab/>
        <w:t>Presiding officer</w:t>
      </w:r>
      <w:bookmarkEnd w:id="81"/>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No. 25 of 1998 s. 25.]</w:t>
      </w:r>
    </w:p>
    <w:p>
      <w:pPr>
        <w:pStyle w:val="yHeading5"/>
      </w:pPr>
      <w:bookmarkStart w:id="82" w:name="_Toc155177788"/>
      <w:r>
        <w:rPr>
          <w:rStyle w:val="CharSClsNo"/>
        </w:rPr>
        <w:t>10</w:t>
      </w:r>
      <w:r>
        <w:t>.</w:t>
      </w:r>
      <w:r>
        <w:tab/>
        <w:t>Quorum</w:t>
      </w:r>
      <w:bookmarkEnd w:id="82"/>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No. 25 of 1998 s. 25.]</w:t>
      </w:r>
    </w:p>
    <w:p>
      <w:pPr>
        <w:pStyle w:val="yHeading5"/>
      </w:pPr>
      <w:bookmarkStart w:id="83" w:name="_Toc155177789"/>
      <w:r>
        <w:rPr>
          <w:rStyle w:val="CharSClsNo"/>
        </w:rPr>
        <w:lastRenderedPageBreak/>
        <w:t>11</w:t>
      </w:r>
      <w:r>
        <w:t>.</w:t>
      </w:r>
      <w:r>
        <w:tab/>
        <w:t>Voting</w:t>
      </w:r>
      <w:bookmarkEnd w:id="83"/>
    </w:p>
    <w:p>
      <w:pPr>
        <w:pStyle w:val="ySubsection"/>
        <w:keepNext/>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No. 25 of 1998 s. 25.]</w:t>
      </w:r>
    </w:p>
    <w:p>
      <w:pPr>
        <w:pStyle w:val="yHeading5"/>
      </w:pPr>
      <w:bookmarkStart w:id="84" w:name="_Toc155177790"/>
      <w:r>
        <w:rPr>
          <w:rStyle w:val="CharSClsNo"/>
        </w:rPr>
        <w:t>12</w:t>
      </w:r>
      <w:r>
        <w:t>.</w:t>
      </w:r>
      <w:r>
        <w:tab/>
        <w:t>Minutes</w:t>
      </w:r>
      <w:bookmarkEnd w:id="84"/>
    </w:p>
    <w:p>
      <w:pPr>
        <w:pStyle w:val="ySubsection"/>
        <w:spacing w:before="150"/>
      </w:pPr>
      <w:r>
        <w:tab/>
      </w:r>
      <w:r>
        <w:tab/>
        <w:t>The board shall cause accurate minutes to be kept of the proceedings at its meetings.</w:t>
      </w:r>
    </w:p>
    <w:p>
      <w:pPr>
        <w:pStyle w:val="yFootnotesection"/>
        <w:spacing w:before="100"/>
      </w:pPr>
      <w:r>
        <w:tab/>
        <w:t>[Clause 12 inserted: No. 25 of 1998 s. 25.]</w:t>
      </w:r>
    </w:p>
    <w:p>
      <w:pPr>
        <w:pStyle w:val="yHeading5"/>
      </w:pPr>
      <w:bookmarkStart w:id="85" w:name="_Toc155177791"/>
      <w:r>
        <w:rPr>
          <w:rStyle w:val="CharSClsNo"/>
        </w:rPr>
        <w:t>13</w:t>
      </w:r>
      <w:r>
        <w:t>.</w:t>
      </w:r>
      <w:r>
        <w:tab/>
        <w:t>Resolution without meeting</w:t>
      </w:r>
      <w:bookmarkEnd w:id="8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No. 25 of 1998 s. 25.]</w:t>
      </w:r>
    </w:p>
    <w:p>
      <w:pPr>
        <w:pStyle w:val="yHeading5"/>
      </w:pPr>
      <w:bookmarkStart w:id="86" w:name="_Toc155177792"/>
      <w:r>
        <w:rPr>
          <w:rStyle w:val="CharSClsNo"/>
        </w:rPr>
        <w:t>14</w:t>
      </w:r>
      <w:r>
        <w:t>.</w:t>
      </w:r>
      <w:r>
        <w:tab/>
        <w:t>Telephone or video meetings</w:t>
      </w:r>
      <w:bookmarkEnd w:id="86"/>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No. 25 of 1998 s. 25.]</w:t>
      </w:r>
    </w:p>
    <w:p>
      <w:pPr>
        <w:pStyle w:val="yHeading5"/>
      </w:pPr>
      <w:bookmarkStart w:id="87" w:name="_Toc155177793"/>
      <w:r>
        <w:rPr>
          <w:rStyle w:val="CharSClsNo"/>
        </w:rPr>
        <w:t>15</w:t>
      </w:r>
      <w:r>
        <w:t>.</w:t>
      </w:r>
      <w:r>
        <w:tab/>
        <w:t>Committees</w:t>
      </w:r>
      <w:bookmarkEnd w:id="8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lastRenderedPageBreak/>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No. 25 of 1998 s. 25; amended: No. 28 of 2006 s. 450.]</w:t>
      </w:r>
    </w:p>
    <w:p>
      <w:pPr>
        <w:pStyle w:val="yHeading5"/>
      </w:pPr>
      <w:bookmarkStart w:id="88" w:name="_Toc155177794"/>
      <w:r>
        <w:rPr>
          <w:rStyle w:val="CharSClsNo"/>
        </w:rPr>
        <w:t>16</w:t>
      </w:r>
      <w:r>
        <w:t>.</w:t>
      </w:r>
      <w:r>
        <w:tab/>
        <w:t>Board to determine own procedures</w:t>
      </w:r>
      <w:bookmarkEnd w:id="88"/>
    </w:p>
    <w:p>
      <w:pPr>
        <w:pStyle w:val="ySubsection"/>
      </w:pPr>
      <w:r>
        <w:tab/>
      </w:r>
      <w:r>
        <w:tab/>
        <w:t>Subject to this Act, the board shall determine its own procedures.</w:t>
      </w:r>
    </w:p>
    <w:p>
      <w:pPr>
        <w:pStyle w:val="yFootnotesection"/>
      </w:pPr>
      <w:r>
        <w:tab/>
        <w:t>[Clause 16 inserted: No. 25 of 1998 s. 25.]</w:t>
      </w:r>
    </w:p>
    <w:p>
      <w:pPr>
        <w:pStyle w:val="yHeading3"/>
      </w:pPr>
      <w:bookmarkStart w:id="89" w:name="_Toc155177795"/>
      <w:r>
        <w:rPr>
          <w:rStyle w:val="CharSDivNo"/>
        </w:rPr>
        <w:t>Division 2</w:t>
      </w:r>
      <w:r>
        <w:t xml:space="preserve"> — </w:t>
      </w:r>
      <w:r>
        <w:rPr>
          <w:rStyle w:val="CharSDivText"/>
        </w:rPr>
        <w:t>Disclosure of interests etc.</w:t>
      </w:r>
      <w:bookmarkEnd w:id="89"/>
    </w:p>
    <w:p>
      <w:pPr>
        <w:pStyle w:val="yFootnoteheading"/>
      </w:pPr>
      <w:r>
        <w:tab/>
        <w:t>[Heading inserted: No. 25 of 1998 s. 25.]</w:t>
      </w:r>
    </w:p>
    <w:p>
      <w:pPr>
        <w:pStyle w:val="yHeading5"/>
      </w:pPr>
      <w:bookmarkStart w:id="90" w:name="_Toc155177796"/>
      <w:r>
        <w:rPr>
          <w:rStyle w:val="CharSClsNo"/>
        </w:rPr>
        <w:t>17</w:t>
      </w:r>
      <w:r>
        <w:t>.</w:t>
      </w:r>
      <w:r>
        <w:tab/>
        <w:t>Disclosure of interests</w:t>
      </w:r>
      <w:bookmarkEnd w:id="90"/>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No. 25 of 1998 s. 25.]</w:t>
      </w:r>
    </w:p>
    <w:p>
      <w:pPr>
        <w:pStyle w:val="yHeading5"/>
      </w:pPr>
      <w:bookmarkStart w:id="91" w:name="_Toc155177797"/>
      <w:r>
        <w:rPr>
          <w:rStyle w:val="CharSClsNo"/>
        </w:rPr>
        <w:t>18</w:t>
      </w:r>
      <w:r>
        <w:t>.</w:t>
      </w:r>
      <w:r>
        <w:tab/>
        <w:t>Voting by interested directors</w:t>
      </w:r>
      <w:bookmarkEnd w:id="91"/>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lastRenderedPageBreak/>
        <w:tab/>
        <w:t>(ii)</w:t>
      </w:r>
      <w:r>
        <w:tab/>
        <w:t>on a proposed resolution under clause 19 in respect of the matter, whether relating to that director or a different director;</w:t>
      </w:r>
    </w:p>
    <w:p>
      <w:pPr>
        <w:pStyle w:val="yIndenta"/>
      </w:pPr>
      <w:r>
        <w:tab/>
      </w:r>
      <w:r>
        <w:tab/>
        <w:t>and</w:t>
      </w:r>
    </w:p>
    <w:p>
      <w:pPr>
        <w:pStyle w:val="yIndenta"/>
        <w:keepNext/>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No. 25 of 1998 s. 25.]</w:t>
      </w:r>
    </w:p>
    <w:p>
      <w:pPr>
        <w:pStyle w:val="yHeading5"/>
      </w:pPr>
      <w:bookmarkStart w:id="92" w:name="_Toc155177798"/>
      <w:r>
        <w:rPr>
          <w:rStyle w:val="CharSClsNo"/>
        </w:rPr>
        <w:t>19</w:t>
      </w:r>
      <w:r>
        <w:t>.</w:t>
      </w:r>
      <w:r>
        <w:tab/>
        <w:t>Clause 18 may be declared inapplicable</w:t>
      </w:r>
      <w:bookmarkEnd w:id="92"/>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No. 25 of 1998 s. 25.]</w:t>
      </w:r>
    </w:p>
    <w:p>
      <w:pPr>
        <w:pStyle w:val="yHeading5"/>
      </w:pPr>
      <w:bookmarkStart w:id="93" w:name="_Toc155177799"/>
      <w:r>
        <w:rPr>
          <w:rStyle w:val="CharSClsNo"/>
        </w:rPr>
        <w:t>20</w:t>
      </w:r>
      <w:r>
        <w:t>.</w:t>
      </w:r>
      <w:r>
        <w:tab/>
        <w:t>Quorum where clause 18 applies</w:t>
      </w:r>
      <w:bookmarkEnd w:id="93"/>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No. 25 of 1998 s. 25; amended: No. 28 of 2006 s. 450.]</w:t>
      </w:r>
    </w:p>
    <w:p>
      <w:pPr>
        <w:pStyle w:val="yHeading5"/>
      </w:pPr>
      <w:bookmarkStart w:id="94" w:name="_Toc155177800"/>
      <w:r>
        <w:rPr>
          <w:rStyle w:val="CharSClsNo"/>
        </w:rPr>
        <w:t>21</w:t>
      </w:r>
      <w:r>
        <w:t>.</w:t>
      </w:r>
      <w:r>
        <w:tab/>
        <w:t>Minister may declare clauses 18 and 20 inapplicable</w:t>
      </w:r>
      <w:bookmarkEnd w:id="9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keepNext/>
      </w:pPr>
      <w:r>
        <w:lastRenderedPageBreak/>
        <w:tab/>
        <w:t>(2)</w:t>
      </w:r>
      <w:r>
        <w:tab/>
        <w:t>The Minister shall within 14 days after a declaration under subclause (1) is made cause a copy of the declaration to be laid before each House of Parliament.</w:t>
      </w:r>
    </w:p>
    <w:p>
      <w:pPr>
        <w:pStyle w:val="yFootnotesection"/>
      </w:pPr>
      <w:r>
        <w:tab/>
        <w:t>[Clause 21 inserted: No. 25 of 1998 s. 25; amended: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95" w:name="_Toc155177801"/>
      <w:r>
        <w:lastRenderedPageBreak/>
        <w:t>Notes</w:t>
      </w:r>
      <w:bookmarkEnd w:id="95"/>
    </w:p>
    <w:p>
      <w:pPr>
        <w:pStyle w:val="nStatement"/>
      </w:pPr>
      <w:r>
        <w:t xml:space="preserve">This is a compilation of the </w:t>
      </w:r>
      <w:r>
        <w:rPr>
          <w:i/>
          <w:noProof/>
        </w:rPr>
        <w:t>Western Australian Treasury Corporation Act 1986</w:t>
      </w:r>
      <w:r>
        <w:t xml:space="preserve"> and includes amendments made by other written laws. For provisions that have come into operation, and for information about any reprints, see the compilation table. </w:t>
      </w:r>
    </w:p>
    <w:p>
      <w:pPr>
        <w:pStyle w:val="nHeading3"/>
      </w:pPr>
      <w:bookmarkStart w:id="96" w:name="_Toc155177802"/>
      <w:r>
        <w:t>Compilation table</w:t>
      </w:r>
      <w:bookmarkEnd w:id="96"/>
    </w:p>
    <w:tbl>
      <w:tblPr>
        <w:tblW w:w="7080"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Act 1986</w:t>
            </w:r>
          </w:p>
        </w:tc>
        <w:tc>
          <w:tcPr>
            <w:tcW w:w="1080" w:type="dxa"/>
          </w:tcPr>
          <w:p>
            <w:pPr>
              <w:pStyle w:val="nTable"/>
              <w:spacing w:before="50" w:after="50"/>
            </w:pPr>
            <w:r>
              <w:t>16 of 1986</w:t>
            </w:r>
          </w:p>
        </w:tc>
        <w:tc>
          <w:tcPr>
            <w:tcW w:w="1200" w:type="dxa"/>
          </w:tcPr>
          <w:p>
            <w:pPr>
              <w:pStyle w:val="nTable"/>
              <w:spacing w:before="50" w:after="50"/>
            </w:pPr>
            <w:r>
              <w:t>25 Jul 1986</w:t>
            </w:r>
          </w:p>
        </w:tc>
        <w:tc>
          <w:tcPr>
            <w:tcW w:w="2520" w:type="dxa"/>
          </w:tcPr>
          <w:p>
            <w:pPr>
              <w:pStyle w:val="nTable"/>
              <w:spacing w:before="50" w:after="50"/>
            </w:pPr>
            <w:r>
              <w:t>1 Jul 1986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Associations Incorporation Act 1987</w:t>
            </w:r>
            <w:r>
              <w:t xml:space="preserve"> s. 49</w:t>
            </w:r>
          </w:p>
        </w:tc>
        <w:tc>
          <w:tcPr>
            <w:tcW w:w="1080" w:type="dxa"/>
          </w:tcPr>
          <w:p>
            <w:pPr>
              <w:pStyle w:val="nTable"/>
              <w:spacing w:before="50" w:after="50"/>
            </w:pPr>
            <w:r>
              <w:t>59 of 1987</w:t>
            </w:r>
          </w:p>
        </w:tc>
        <w:tc>
          <w:tcPr>
            <w:tcW w:w="1200" w:type="dxa"/>
          </w:tcPr>
          <w:p>
            <w:pPr>
              <w:pStyle w:val="nTable"/>
              <w:spacing w:before="50" w:after="50"/>
            </w:pPr>
            <w:r>
              <w:t>9 Nov 1987</w:t>
            </w:r>
          </w:p>
        </w:tc>
        <w:tc>
          <w:tcPr>
            <w:tcW w:w="2520" w:type="dxa"/>
          </w:tcPr>
          <w:p>
            <w:pPr>
              <w:pStyle w:val="nTable"/>
              <w:spacing w:before="50" w:after="50"/>
            </w:pPr>
            <w:r>
              <w:t xml:space="preserve">25 Jul 1988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1992</w:t>
            </w:r>
            <w:r>
              <w:t xml:space="preserve"> </w:t>
            </w:r>
            <w:r>
              <w:rPr>
                <w:vertAlign w:val="superscript"/>
              </w:rPr>
              <w:t>1,</w:t>
            </w:r>
            <w:r>
              <w:t xml:space="preserve"> </w:t>
            </w:r>
            <w:r>
              <w:rPr>
                <w:vertAlign w:val="superscript"/>
              </w:rPr>
              <w:t>2</w:t>
            </w:r>
          </w:p>
        </w:tc>
        <w:tc>
          <w:tcPr>
            <w:tcW w:w="1080" w:type="dxa"/>
          </w:tcPr>
          <w:p>
            <w:pPr>
              <w:pStyle w:val="nTable"/>
              <w:spacing w:before="50" w:after="50"/>
            </w:pPr>
            <w:r>
              <w:t>24 of 1992</w:t>
            </w:r>
          </w:p>
        </w:tc>
        <w:tc>
          <w:tcPr>
            <w:tcW w:w="1200" w:type="dxa"/>
          </w:tcPr>
          <w:p>
            <w:pPr>
              <w:pStyle w:val="nTable"/>
              <w:spacing w:before="50" w:after="50"/>
            </w:pPr>
            <w:r>
              <w:t>17 Jun 1992</w:t>
            </w:r>
          </w:p>
        </w:tc>
        <w:tc>
          <w:tcPr>
            <w:tcW w:w="2520" w:type="dxa"/>
          </w:tcPr>
          <w:p>
            <w:pPr>
              <w:pStyle w:val="nTable"/>
              <w:spacing w:before="50" w:after="50"/>
            </w:pPr>
            <w:r>
              <w:t>17 Jun 1992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Administration Legislation Amendment Act 1993</w:t>
            </w:r>
            <w:r>
              <w:t xml:space="preserve"> s. 11</w:t>
            </w:r>
          </w:p>
        </w:tc>
        <w:tc>
          <w:tcPr>
            <w:tcW w:w="1080" w:type="dxa"/>
          </w:tcPr>
          <w:p>
            <w:pPr>
              <w:pStyle w:val="nTable"/>
              <w:spacing w:before="50" w:after="50"/>
            </w:pPr>
            <w:r>
              <w:t>6 of 1993</w:t>
            </w:r>
          </w:p>
        </w:tc>
        <w:tc>
          <w:tcPr>
            <w:tcW w:w="1200" w:type="dxa"/>
          </w:tcPr>
          <w:p>
            <w:pPr>
              <w:pStyle w:val="nTable"/>
              <w:spacing w:before="50" w:after="50"/>
            </w:pPr>
            <w:r>
              <w:t>27 Aug 1993</w:t>
            </w:r>
          </w:p>
        </w:tc>
        <w:tc>
          <w:tcPr>
            <w:tcW w:w="2520" w:type="dxa"/>
          </w:tcPr>
          <w:p>
            <w:pPr>
              <w:pStyle w:val="nTable"/>
              <w:spacing w:before="50" w:after="50"/>
            </w:pPr>
            <w:r>
              <w:t>1 Jul 1993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(Public Sector Management) Act 1994</w:t>
            </w:r>
            <w:r>
              <w:t xml:space="preserve"> s. 19</w:t>
            </w:r>
          </w:p>
        </w:tc>
        <w:tc>
          <w:tcPr>
            <w:tcW w:w="1080" w:type="dxa"/>
          </w:tcPr>
          <w:p>
            <w:pPr>
              <w:pStyle w:val="nTable"/>
              <w:spacing w:before="50" w:after="50"/>
            </w:pPr>
            <w:r>
              <w:t>32 of 1994</w:t>
            </w:r>
          </w:p>
        </w:tc>
        <w:tc>
          <w:tcPr>
            <w:tcW w:w="1200" w:type="dxa"/>
          </w:tcPr>
          <w:p>
            <w:pPr>
              <w:pStyle w:val="nTable"/>
              <w:spacing w:before="50" w:after="50"/>
            </w:pPr>
            <w:r>
              <w:t>29 Jun 1994</w:t>
            </w:r>
          </w:p>
        </w:tc>
        <w:tc>
          <w:tcPr>
            <w:tcW w:w="2520" w:type="dxa"/>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Local Government (Consequential Amendments) Act 1996</w:t>
            </w:r>
            <w:r>
              <w:t xml:space="preserve"> s. 4</w:t>
            </w:r>
          </w:p>
        </w:tc>
        <w:tc>
          <w:tcPr>
            <w:tcW w:w="1080" w:type="dxa"/>
          </w:tcPr>
          <w:p>
            <w:pPr>
              <w:pStyle w:val="nTable"/>
              <w:spacing w:before="50" w:after="50"/>
            </w:pPr>
            <w:r>
              <w:t>14 of 1996</w:t>
            </w:r>
          </w:p>
        </w:tc>
        <w:tc>
          <w:tcPr>
            <w:tcW w:w="1200" w:type="dxa"/>
          </w:tcPr>
          <w:p>
            <w:pPr>
              <w:pStyle w:val="nTable"/>
              <w:spacing w:before="50" w:after="50"/>
            </w:pPr>
            <w:r>
              <w:t>28 Jun 1996</w:t>
            </w:r>
          </w:p>
        </w:tc>
        <w:tc>
          <w:tcPr>
            <w:tcW w:w="2520" w:type="dxa"/>
          </w:tcPr>
          <w:p>
            <w:pPr>
              <w:pStyle w:val="nTable"/>
              <w:spacing w:before="50" w:after="50"/>
            </w:pPr>
            <w:r>
              <w:t>1 Jul 1996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Legislation Amendment Act 1996</w:t>
            </w:r>
            <w:r>
              <w:t xml:space="preserve"> s. 64</w:t>
            </w:r>
          </w:p>
        </w:tc>
        <w:tc>
          <w:tcPr>
            <w:tcW w:w="1080" w:type="dxa"/>
          </w:tcPr>
          <w:p>
            <w:pPr>
              <w:pStyle w:val="nTable"/>
              <w:spacing w:before="50" w:after="50"/>
            </w:pPr>
            <w:r>
              <w:t>49 of 1996</w:t>
            </w:r>
          </w:p>
        </w:tc>
        <w:tc>
          <w:tcPr>
            <w:tcW w:w="1200" w:type="dxa"/>
          </w:tcPr>
          <w:p>
            <w:pPr>
              <w:pStyle w:val="nTable"/>
              <w:spacing w:before="50" w:after="50"/>
            </w:pPr>
            <w:r>
              <w:t>25 Oct 1996</w:t>
            </w:r>
          </w:p>
        </w:tc>
        <w:tc>
          <w:tcPr>
            <w:tcW w:w="2520" w:type="dxa"/>
          </w:tcPr>
          <w:p>
            <w:pPr>
              <w:pStyle w:val="nTable"/>
              <w:spacing w:before="50" w:after="50"/>
            </w:pPr>
            <w:r>
              <w:t>25 Oct 1996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3-5</w:t>
            </w:r>
          </w:p>
        </w:tc>
        <w:tc>
          <w:tcPr>
            <w:tcW w:w="1080" w:type="dxa"/>
          </w:tcPr>
          <w:p>
            <w:pPr>
              <w:pStyle w:val="nTable"/>
              <w:spacing w:before="50" w:after="50"/>
            </w:pPr>
            <w:r>
              <w:t>25 of 1998</w:t>
            </w:r>
          </w:p>
        </w:tc>
        <w:tc>
          <w:tcPr>
            <w:tcW w:w="1200" w:type="dxa"/>
          </w:tcPr>
          <w:p>
            <w:pPr>
              <w:pStyle w:val="nTable"/>
              <w:spacing w:before="50" w:after="50"/>
            </w:pPr>
            <w:r>
              <w:t>30 Jun 1998</w:t>
            </w:r>
          </w:p>
        </w:tc>
        <w:tc>
          <w:tcPr>
            <w:tcW w:w="2520" w:type="dxa"/>
          </w:tcPr>
          <w:p>
            <w:pPr>
              <w:pStyle w:val="nTable"/>
              <w:spacing w:before="50" w:after="50"/>
            </w:pPr>
            <w:r>
              <w:t>s. 1 and 2: 30 Jun 1998;</w:t>
            </w:r>
            <w:r>
              <w:br/>
              <w:t xml:space="preserve">Act other than s. 1 and 2: 10 Nov 1998 (see s. 2 and </w:t>
            </w:r>
            <w:r>
              <w:rPr>
                <w:i/>
              </w:rPr>
              <w:t>Gazette</w:t>
            </w:r>
            <w:r>
              <w:t xml:space="preserve"> 10 Nov 1998 p. 6149)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and Repeal (Financial Sector Reform) Act 1999</w:t>
            </w:r>
            <w:r>
              <w:t xml:space="preserve"> s. 111</w:t>
            </w:r>
          </w:p>
        </w:tc>
        <w:tc>
          <w:tcPr>
            <w:tcW w:w="1080" w:type="dxa"/>
          </w:tcPr>
          <w:p>
            <w:pPr>
              <w:pStyle w:val="nTable"/>
              <w:keepNext/>
              <w:keepLines/>
              <w:spacing w:before="50" w:after="50"/>
            </w:pPr>
            <w:r>
              <w:t>26 of 1999</w:t>
            </w:r>
          </w:p>
        </w:tc>
        <w:tc>
          <w:tcPr>
            <w:tcW w:w="1200" w:type="dxa"/>
          </w:tcPr>
          <w:p>
            <w:pPr>
              <w:pStyle w:val="nTable"/>
              <w:keepNext/>
              <w:keepLines/>
              <w:spacing w:before="50" w:after="50"/>
            </w:pPr>
            <w:r>
              <w:t>29 Jun 1999</w:t>
            </w:r>
          </w:p>
        </w:tc>
        <w:tc>
          <w:tcPr>
            <w:tcW w:w="2520" w:type="dxa"/>
          </w:tcPr>
          <w:p>
            <w:pPr>
              <w:pStyle w:val="nTable"/>
              <w:keepNext/>
              <w:keepLines/>
              <w:spacing w:before="50" w:after="5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Statutes (Repeals and Minor Amendments) Act 2000</w:t>
            </w:r>
            <w:r>
              <w:t xml:space="preserve"> s. 47</w:t>
            </w:r>
          </w:p>
        </w:tc>
        <w:tc>
          <w:tcPr>
            <w:tcW w:w="1080" w:type="dxa"/>
          </w:tcPr>
          <w:p>
            <w:pPr>
              <w:pStyle w:val="nTable"/>
              <w:spacing w:before="50" w:after="50"/>
            </w:pPr>
            <w:r>
              <w:t>24 of 2000</w:t>
            </w:r>
          </w:p>
        </w:tc>
        <w:tc>
          <w:tcPr>
            <w:tcW w:w="1200" w:type="dxa"/>
          </w:tcPr>
          <w:p>
            <w:pPr>
              <w:pStyle w:val="nTable"/>
              <w:spacing w:before="50" w:after="50"/>
            </w:pPr>
            <w:r>
              <w:t>4 Jul 2000</w:t>
            </w:r>
          </w:p>
        </w:tc>
        <w:tc>
          <w:tcPr>
            <w:tcW w:w="2520" w:type="dxa"/>
          </w:tcPr>
          <w:p>
            <w:pPr>
              <w:pStyle w:val="nTable"/>
              <w:spacing w:before="50" w:after="50"/>
            </w:pPr>
            <w:r>
              <w:t>4 Jul 2000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lastRenderedPageBreak/>
              <w:t xml:space="preserve">Reprint of the </w:t>
            </w:r>
            <w:r>
              <w:rPr>
                <w:b/>
                <w:i/>
              </w:rPr>
              <w:t>Western Australian Treasury Corporation Act 1986</w:t>
            </w:r>
            <w:r>
              <w:rPr>
                <w:b/>
              </w:rPr>
              <w:t xml:space="preserve"> as at 5 Jan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Corporations (Consequential Amendments) Act 2001</w:t>
            </w:r>
            <w:r>
              <w:t xml:space="preserve"> Pt. 56</w:t>
            </w:r>
          </w:p>
        </w:tc>
        <w:tc>
          <w:tcPr>
            <w:tcW w:w="1080" w:type="dxa"/>
          </w:tcPr>
          <w:p>
            <w:pPr>
              <w:pStyle w:val="nTable"/>
              <w:spacing w:before="50" w:after="50"/>
            </w:pPr>
            <w:r>
              <w:t>10 of 2001</w:t>
            </w:r>
          </w:p>
        </w:tc>
        <w:tc>
          <w:tcPr>
            <w:tcW w:w="1200" w:type="dxa"/>
          </w:tcPr>
          <w:p>
            <w:pPr>
              <w:pStyle w:val="nTable"/>
              <w:spacing w:before="50" w:after="50"/>
            </w:pPr>
            <w:r>
              <w:t>28 Jun 2001</w:t>
            </w:r>
          </w:p>
        </w:tc>
        <w:tc>
          <w:tcPr>
            <w:tcW w:w="2520"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Building Societies Amendment Act 2001 </w:t>
            </w:r>
            <w:r>
              <w:t>s. 51</w:t>
            </w:r>
          </w:p>
        </w:tc>
        <w:tc>
          <w:tcPr>
            <w:tcW w:w="1080" w:type="dxa"/>
          </w:tcPr>
          <w:p>
            <w:pPr>
              <w:pStyle w:val="nTable"/>
              <w:spacing w:before="50" w:after="50"/>
            </w:pPr>
            <w:r>
              <w:t>12 of 2001</w:t>
            </w:r>
          </w:p>
        </w:tc>
        <w:tc>
          <w:tcPr>
            <w:tcW w:w="1200" w:type="dxa"/>
          </w:tcPr>
          <w:p>
            <w:pPr>
              <w:pStyle w:val="nTable"/>
              <w:spacing w:before="50" w:after="50"/>
            </w:pPr>
            <w:r>
              <w:t>13 Jul 2001</w:t>
            </w:r>
          </w:p>
        </w:tc>
        <w:tc>
          <w:tcPr>
            <w:tcW w:w="2520" w:type="dxa"/>
          </w:tcPr>
          <w:p>
            <w:pPr>
              <w:pStyle w:val="nTable"/>
              <w:spacing w:before="50" w:after="50"/>
            </w:pPr>
            <w:r>
              <w:t>13 Jul 2001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Labour Relations Reform Act 2002 </w:t>
            </w:r>
            <w:r>
              <w:t>s. 27</w:t>
            </w:r>
          </w:p>
        </w:tc>
        <w:tc>
          <w:tcPr>
            <w:tcW w:w="1080" w:type="dxa"/>
          </w:tcPr>
          <w:p>
            <w:pPr>
              <w:pStyle w:val="nTable"/>
              <w:spacing w:before="50" w:after="50"/>
            </w:pPr>
            <w:r>
              <w:t>20 of 2002</w:t>
            </w:r>
          </w:p>
        </w:tc>
        <w:tc>
          <w:tcPr>
            <w:tcW w:w="1200" w:type="dxa"/>
          </w:tcPr>
          <w:p>
            <w:pPr>
              <w:pStyle w:val="nTable"/>
              <w:spacing w:before="50" w:after="50"/>
            </w:pPr>
            <w:r>
              <w:t>8 Jul 2002</w:t>
            </w:r>
          </w:p>
        </w:tc>
        <w:tc>
          <w:tcPr>
            <w:tcW w:w="2520" w:type="dxa"/>
          </w:tcPr>
          <w:p>
            <w:pPr>
              <w:pStyle w:val="nTable"/>
              <w:spacing w:before="50" w:after="5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Corporations (Consequential Amendments) Act (No. 3) 2003</w:t>
            </w:r>
            <w:r>
              <w:t xml:space="preserve"> Pt. 17</w:t>
            </w:r>
            <w:r>
              <w:rPr>
                <w:vertAlign w:val="superscript"/>
              </w:rPr>
              <w:t> 6</w:t>
            </w:r>
          </w:p>
        </w:tc>
        <w:tc>
          <w:tcPr>
            <w:tcW w:w="1080" w:type="dxa"/>
          </w:tcPr>
          <w:p>
            <w:pPr>
              <w:pStyle w:val="nTable"/>
              <w:spacing w:before="50" w:after="50"/>
            </w:pPr>
            <w:r>
              <w:t>21 of 2003</w:t>
            </w:r>
          </w:p>
        </w:tc>
        <w:tc>
          <w:tcPr>
            <w:tcW w:w="1200" w:type="dxa"/>
          </w:tcPr>
          <w:p>
            <w:pPr>
              <w:pStyle w:val="nTable"/>
              <w:spacing w:before="50" w:after="50"/>
            </w:pPr>
            <w:r>
              <w:t>23 Apr 2003</w:t>
            </w:r>
          </w:p>
        </w:tc>
        <w:tc>
          <w:tcPr>
            <w:tcW w:w="2520" w:type="dxa"/>
          </w:tcPr>
          <w:p>
            <w:pPr>
              <w:pStyle w:val="nTable"/>
              <w:spacing w:before="50" w:after="5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20" w:type="dxa"/>
          </w:tcPr>
          <w:p>
            <w:pPr>
              <w:pStyle w:val="nTable"/>
              <w:spacing w:before="50" w:after="5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Statutes (Repeals and Minor Amendments) Act 2003</w:t>
            </w:r>
            <w:r>
              <w:t xml:space="preserve"> s. 132</w:t>
            </w:r>
          </w:p>
        </w:tc>
        <w:tc>
          <w:tcPr>
            <w:tcW w:w="1080" w:type="dxa"/>
          </w:tcPr>
          <w:p>
            <w:pPr>
              <w:pStyle w:val="nTable"/>
              <w:spacing w:before="50" w:after="50"/>
            </w:pPr>
            <w:r>
              <w:t>74 of 2003</w:t>
            </w:r>
          </w:p>
        </w:tc>
        <w:tc>
          <w:tcPr>
            <w:tcW w:w="1200" w:type="dxa"/>
          </w:tcPr>
          <w:p>
            <w:pPr>
              <w:pStyle w:val="nTable"/>
              <w:spacing w:before="50" w:after="50"/>
            </w:pPr>
            <w:r>
              <w:t>15 Dec 2003</w:t>
            </w:r>
          </w:p>
        </w:tc>
        <w:tc>
          <w:tcPr>
            <w:tcW w:w="2520" w:type="dxa"/>
          </w:tcPr>
          <w:p>
            <w:pPr>
              <w:pStyle w:val="nTable"/>
              <w:spacing w:before="50" w:after="5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snapToGrid w:val="0"/>
              </w:rPr>
            </w:pPr>
            <w:r>
              <w:rPr>
                <w:i/>
              </w:rPr>
              <w:t>Housing Societies Repeal Act 2005</w:t>
            </w:r>
            <w:r>
              <w:t xml:space="preserve"> s. 31 </w:t>
            </w:r>
          </w:p>
        </w:tc>
        <w:tc>
          <w:tcPr>
            <w:tcW w:w="1080" w:type="dxa"/>
          </w:tcPr>
          <w:p>
            <w:pPr>
              <w:pStyle w:val="nTable"/>
              <w:spacing w:before="50" w:after="50"/>
              <w:rPr>
                <w:snapToGrid w:val="0"/>
              </w:rPr>
            </w:pPr>
            <w:r>
              <w:t>17 of 2005</w:t>
            </w:r>
          </w:p>
        </w:tc>
        <w:tc>
          <w:tcPr>
            <w:tcW w:w="1200" w:type="dxa"/>
          </w:tcPr>
          <w:p>
            <w:pPr>
              <w:pStyle w:val="nTable"/>
              <w:spacing w:before="50" w:after="50"/>
            </w:pPr>
            <w:r>
              <w:t>5 Oct 2005</w:t>
            </w:r>
          </w:p>
        </w:tc>
        <w:tc>
          <w:tcPr>
            <w:tcW w:w="2520" w:type="dxa"/>
          </w:tcPr>
          <w:p>
            <w:pPr>
              <w:pStyle w:val="nTable"/>
              <w:spacing w:before="50" w:after="50"/>
              <w:rPr>
                <w:spacing w:val="-2"/>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7</w:t>
            </w:r>
          </w:p>
        </w:tc>
        <w:tc>
          <w:tcPr>
            <w:tcW w:w="1080" w:type="dxa"/>
          </w:tcPr>
          <w:p>
            <w:pPr>
              <w:pStyle w:val="nTable"/>
              <w:spacing w:before="50" w:after="50"/>
            </w:pPr>
            <w:r>
              <w:rPr>
                <w:snapToGrid w:val="0"/>
              </w:rPr>
              <w:t>28 of 2006</w:t>
            </w:r>
          </w:p>
        </w:tc>
        <w:tc>
          <w:tcPr>
            <w:tcW w:w="1200" w:type="dxa"/>
          </w:tcPr>
          <w:p>
            <w:pPr>
              <w:pStyle w:val="nTable"/>
              <w:spacing w:before="50" w:after="50"/>
            </w:pPr>
            <w:r>
              <w:t>26 Jun 2006</w:t>
            </w:r>
          </w:p>
        </w:tc>
        <w:tc>
          <w:tcPr>
            <w:tcW w:w="2520" w:type="dxa"/>
          </w:tcPr>
          <w:p>
            <w:pPr>
              <w:pStyle w:val="nTable"/>
              <w:spacing w:before="50" w:after="50"/>
            </w:pPr>
            <w:r>
              <w:rPr>
                <w:spacing w:val="-2"/>
              </w:rPr>
              <w:t xml:space="preserve">1 Jul 2006 (see s. 2 and </w:t>
            </w:r>
            <w:r>
              <w:rPr>
                <w:i/>
                <w:spacing w:val="-2"/>
              </w:rPr>
              <w:t>Gazette</w:t>
            </w:r>
            <w:r>
              <w:rPr>
                <w:spacing w:val="-2"/>
              </w:rP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080" w:type="dxa"/>
          </w:tcPr>
          <w:p>
            <w:pPr>
              <w:pStyle w:val="nTable"/>
              <w:spacing w:before="50" w:after="50"/>
              <w:rPr>
                <w:snapToGrid w:val="0"/>
              </w:rPr>
            </w:pPr>
            <w:r>
              <w:rPr>
                <w:snapToGrid w:val="0"/>
              </w:rPr>
              <w:t>77 of 2006</w:t>
            </w:r>
          </w:p>
        </w:tc>
        <w:tc>
          <w:tcPr>
            <w:tcW w:w="1200" w:type="dxa"/>
          </w:tcPr>
          <w:p>
            <w:pPr>
              <w:pStyle w:val="nTable"/>
              <w:spacing w:before="50" w:after="50"/>
            </w:pPr>
            <w:r>
              <w:t>21 Dec 2006</w:t>
            </w:r>
          </w:p>
        </w:tc>
        <w:tc>
          <w:tcPr>
            <w:tcW w:w="2520" w:type="dxa"/>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Cs/>
              </w:rPr>
            </w:pPr>
            <w:r>
              <w:rPr>
                <w:i/>
              </w:rPr>
              <w:t>Statutes (Repeals and Miscellaneous Amendments) Act 2009</w:t>
            </w:r>
            <w:r>
              <w:rPr>
                <w:iCs/>
              </w:rPr>
              <w:t xml:space="preserve"> s. 138</w:t>
            </w:r>
          </w:p>
        </w:tc>
        <w:tc>
          <w:tcPr>
            <w:tcW w:w="1080" w:type="dxa"/>
          </w:tcPr>
          <w:p>
            <w:pPr>
              <w:pStyle w:val="nTable"/>
              <w:spacing w:before="50" w:after="50"/>
            </w:pPr>
            <w:r>
              <w:t xml:space="preserve">8 of 2009 </w:t>
            </w:r>
          </w:p>
        </w:tc>
        <w:tc>
          <w:tcPr>
            <w:tcW w:w="1200" w:type="dxa"/>
          </w:tcPr>
          <w:p>
            <w:pPr>
              <w:pStyle w:val="nTable"/>
              <w:spacing w:before="50" w:after="50"/>
            </w:pPr>
            <w:r>
              <w:t>21 May 2009</w:t>
            </w:r>
          </w:p>
        </w:tc>
        <w:tc>
          <w:tcPr>
            <w:tcW w:w="252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lastRenderedPageBreak/>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rPr>
              <w:t>Co-operatives Act 2009</w:t>
            </w:r>
            <w:r>
              <w:rPr>
                <w:iCs/>
              </w:rPr>
              <w:t xml:space="preserve"> s. 511 and 518</w:t>
            </w:r>
          </w:p>
        </w:tc>
        <w:tc>
          <w:tcPr>
            <w:tcW w:w="1080" w:type="dxa"/>
            <w:tcBorders>
              <w:top w:val="nil"/>
              <w:bottom w:val="nil"/>
            </w:tcBorders>
          </w:tcPr>
          <w:p>
            <w:pPr>
              <w:pStyle w:val="nTable"/>
              <w:spacing w:after="40"/>
            </w:pPr>
            <w:r>
              <w:t>24 of 2009</w:t>
            </w:r>
          </w:p>
        </w:tc>
        <w:tc>
          <w:tcPr>
            <w:tcW w:w="1200" w:type="dxa"/>
            <w:tcBorders>
              <w:top w:val="nil"/>
              <w:bottom w:val="nil"/>
            </w:tcBorders>
          </w:tcPr>
          <w:p>
            <w:pPr>
              <w:pStyle w:val="nTable"/>
              <w:spacing w:after="40"/>
            </w:pPr>
            <w:r>
              <w:t>22 Oct 2009</w:t>
            </w:r>
          </w:p>
        </w:tc>
        <w:tc>
          <w:tcPr>
            <w:tcW w:w="2520" w:type="dxa"/>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080" w:type="dxa"/>
            <w:tcBorders>
              <w:top w:val="nil"/>
              <w:bottom w:val="nil"/>
            </w:tcBorders>
          </w:tcPr>
          <w:p>
            <w:pPr>
              <w:pStyle w:val="nTable"/>
              <w:spacing w:after="40"/>
            </w:pPr>
            <w:r>
              <w:rPr>
                <w:snapToGrid w:val="0"/>
              </w:rPr>
              <w:t>39 of 2010</w:t>
            </w:r>
          </w:p>
        </w:tc>
        <w:tc>
          <w:tcPr>
            <w:tcW w:w="1200" w:type="dxa"/>
            <w:tcBorders>
              <w:top w:val="nil"/>
              <w:bottom w:val="nil"/>
            </w:tcBorders>
          </w:tcPr>
          <w:p>
            <w:pPr>
              <w:pStyle w:val="nTable"/>
              <w:spacing w:after="40"/>
            </w:pPr>
            <w:r>
              <w:t>1 Oct 2010</w:t>
            </w:r>
          </w:p>
        </w:tc>
        <w:tc>
          <w:tcPr>
            <w:tcW w:w="2520"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080" w:type="dxa"/>
            <w:tcBorders>
              <w:top w:val="nil"/>
              <w:bottom w:val="nil"/>
            </w:tcBorders>
          </w:tcPr>
          <w:p>
            <w:pPr>
              <w:pStyle w:val="nTable"/>
              <w:spacing w:after="40"/>
              <w:rPr>
                <w:snapToGrid w:val="0"/>
              </w:rPr>
            </w:pPr>
            <w:r>
              <w:t>30 of 2015</w:t>
            </w:r>
          </w:p>
        </w:tc>
        <w:tc>
          <w:tcPr>
            <w:tcW w:w="1200" w:type="dxa"/>
            <w:tcBorders>
              <w:top w:val="nil"/>
              <w:bottom w:val="nil"/>
            </w:tcBorders>
          </w:tcPr>
          <w:p>
            <w:pPr>
              <w:pStyle w:val="nTable"/>
              <w:spacing w:after="40"/>
            </w:pPr>
            <w:r>
              <w:t>2 Nov 2015</w:t>
            </w:r>
          </w:p>
        </w:tc>
        <w:tc>
          <w:tcPr>
            <w:tcW w:w="2520"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noProof/>
              </w:rPr>
            </w:pPr>
            <w:r>
              <w:rPr>
                <w:i/>
                <w:noProof/>
              </w:rPr>
              <w:t>Executive Officer Remuneration (Government Entities) Legislation Amendment Act 2016</w:t>
            </w:r>
            <w:r>
              <w:rPr>
                <w:noProof/>
              </w:rPr>
              <w:t xml:space="preserve"> Pt. 3 Div. 8</w:t>
            </w:r>
          </w:p>
        </w:tc>
        <w:tc>
          <w:tcPr>
            <w:tcW w:w="1080" w:type="dxa"/>
            <w:tcBorders>
              <w:top w:val="nil"/>
              <w:bottom w:val="nil"/>
            </w:tcBorders>
          </w:tcPr>
          <w:p>
            <w:pPr>
              <w:pStyle w:val="nTable"/>
              <w:spacing w:after="40"/>
            </w:pPr>
            <w:r>
              <w:t>46 of 2016</w:t>
            </w:r>
          </w:p>
        </w:tc>
        <w:tc>
          <w:tcPr>
            <w:tcW w:w="1200" w:type="dxa"/>
            <w:tcBorders>
              <w:top w:val="nil"/>
              <w:bottom w:val="nil"/>
            </w:tcBorders>
          </w:tcPr>
          <w:p>
            <w:pPr>
              <w:pStyle w:val="nTable"/>
              <w:spacing w:after="40"/>
            </w:pPr>
            <w:r>
              <w:t>7 Dec 2016</w:t>
            </w:r>
          </w:p>
        </w:tc>
        <w:tc>
          <w:tcPr>
            <w:tcW w:w="2520" w:type="dxa"/>
            <w:tcBorders>
              <w:top w:val="nil"/>
              <w:bottom w:val="nil"/>
            </w:tcBorders>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c>
          <w:tcPr>
            <w:tcW w:w="2280" w:type="dxa"/>
            <w:tcBorders>
              <w:top w:val="nil"/>
              <w:bottom w:val="single" w:sz="4" w:space="0" w:color="auto"/>
            </w:tcBorders>
          </w:tcPr>
          <w:p>
            <w:pPr>
              <w:pStyle w:val="nTable"/>
              <w:spacing w:after="40"/>
              <w:rPr>
                <w:i/>
                <w:noProof/>
              </w:rPr>
            </w:pPr>
            <w:r>
              <w:rPr>
                <w:i/>
              </w:rPr>
              <w:t>Government Trading Enterprises Act 2023</w:t>
            </w:r>
            <w:r>
              <w:t xml:space="preserve"> Pt. 12 Div. 11</w:t>
            </w:r>
          </w:p>
        </w:tc>
        <w:tc>
          <w:tcPr>
            <w:tcW w:w="1080" w:type="dxa"/>
            <w:tcBorders>
              <w:top w:val="nil"/>
              <w:bottom w:val="single" w:sz="4" w:space="0" w:color="auto"/>
            </w:tcBorders>
          </w:tcPr>
          <w:p>
            <w:pPr>
              <w:pStyle w:val="nTable"/>
              <w:spacing w:after="40"/>
            </w:pPr>
            <w:r>
              <w:t>13 of 2023</w:t>
            </w:r>
          </w:p>
        </w:tc>
        <w:tc>
          <w:tcPr>
            <w:tcW w:w="1200" w:type="dxa"/>
            <w:tcBorders>
              <w:top w:val="nil"/>
              <w:bottom w:val="single" w:sz="4" w:space="0" w:color="auto"/>
            </w:tcBorders>
          </w:tcPr>
          <w:p>
            <w:pPr>
              <w:pStyle w:val="nTable"/>
              <w:spacing w:after="40"/>
            </w:pPr>
            <w:r>
              <w:t>22 Jun 2023</w:t>
            </w:r>
          </w:p>
        </w:tc>
        <w:tc>
          <w:tcPr>
            <w:tcW w:w="2520" w:type="dxa"/>
            <w:tcBorders>
              <w:top w:val="nil"/>
              <w:bottom w:val="single" w:sz="4" w:space="0" w:color="auto"/>
            </w:tcBorders>
          </w:tcPr>
          <w:p>
            <w:pPr>
              <w:pStyle w:val="nTable"/>
              <w:spacing w:after="40"/>
              <w:rPr>
                <w:snapToGrid w:val="0"/>
              </w:rPr>
            </w:pPr>
            <w:r>
              <w:t>1 Jul 2023 (see s. 2(b) and SL 2023/89 cl. 2)</w:t>
            </w:r>
          </w:p>
        </w:tc>
      </w:tr>
    </w:tbl>
    <w:p>
      <w:pPr>
        <w:pStyle w:val="nHeading3"/>
      </w:pPr>
      <w:bookmarkStart w:id="97" w:name="_Toc155177803"/>
      <w:r>
        <w:t>Other notes</w:t>
      </w:r>
      <w:bookmarkEnd w:id="97"/>
    </w:p>
    <w:p>
      <w:pPr>
        <w:pStyle w:val="nNote"/>
        <w:keepNext/>
        <w:rPr>
          <w:snapToGrid w:val="0"/>
        </w:rPr>
      </w:pPr>
      <w:r>
        <w:rPr>
          <w:snapToGrid w:val="0"/>
          <w:vertAlign w:val="superscript"/>
        </w:rPr>
        <w:t>1</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Note"/>
        <w:keepNext/>
        <w:rPr>
          <w:snapToGrid w:val="0"/>
        </w:rPr>
      </w:pPr>
      <w:r>
        <w:rPr>
          <w:snapToGrid w:val="0"/>
          <w:vertAlign w:val="superscript"/>
        </w:rPr>
        <w:lastRenderedPageBreak/>
        <w:t>2</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Note"/>
        <w:keepNext/>
        <w:rPr>
          <w:snapToGrid w:val="0"/>
        </w:rPr>
      </w:pPr>
      <w:r>
        <w:rPr>
          <w:snapToGrid w:val="0"/>
          <w:vertAlign w:val="superscript"/>
        </w:rPr>
        <w:t>3</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Note"/>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Note"/>
      </w:pPr>
      <w:r>
        <w:rPr>
          <w:vertAlign w:val="superscript"/>
        </w:rPr>
        <w:t>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lastRenderedPageBreak/>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99" w:name="_Toc155177804"/>
      <w:r>
        <w:rPr>
          <w:sz w:val="28"/>
        </w:rPr>
        <w:lastRenderedPageBreak/>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8A4FB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52081F1" w14:textId="7BA79218" w:rsidR="002C19FB" w:rsidRDefault="002C19F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25BD8A" w14:textId="77777777" w:rsidR="002C19FB" w:rsidRDefault="002C19F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1E51972" w14:textId="53E1F402" w:rsidR="002C19FB" w:rsidRDefault="002C19F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D0DFABD" w14:textId="77777777" w:rsidR="002C19FB" w:rsidRDefault="002C19F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E4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C4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83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C5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03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947"/>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 w:name="WAFER_20230623103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522_GUID" w:val="a15350e8-0fb7-4ac7-bc38-5acc5e524058"/>
    <w:docVar w:name="WAFER_202306280945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4554_GUID" w:val="2c38d9bb-9dd7-4769-a383-e71d758fdfc4"/>
    <w:docVar w:name="WAFER_20231227143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947_GUID" w:val="2b7d9c9d-7929-4c80-9c46-d5f1ec36b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14583</Words>
  <Characters>69563</Characters>
  <Application>Microsoft Office Word</Application>
  <DocSecurity>0</DocSecurity>
  <Lines>1987</Lines>
  <Paragraphs>1202</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1986 - 03-m0-01</dc:title>
  <dc:subject/>
  <dc:creator/>
  <cp:keywords/>
  <dc:description/>
  <cp:lastModifiedBy>Master Repository Process</cp:lastModifiedBy>
  <cp:revision>4</cp:revision>
  <cp:lastPrinted>2010-04-28T03:37:00Z</cp:lastPrinted>
  <dcterms:created xsi:type="dcterms:W3CDTF">2024-01-03T04:34:00Z</dcterms:created>
  <dcterms:modified xsi:type="dcterms:W3CDTF">2024-01-03T04:34:00Z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AsAtDate">
    <vt:lpwstr>01 Jul 2023</vt:lpwstr>
  </property>
  <property fmtid="{D5CDD505-2E9C-101B-9397-08002B2CF9AE}" pid="7" name="Suffix">
    <vt:lpwstr>03-m0-01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