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Children’s Court of Western Australia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Children’s Court (Fees)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_Toc154745877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_Toc154745878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_Toc154745879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_Toc154745880 \h </w:instrText>
      </w:r>
      <w:r>
        <w:fldChar w:fldCharType="separate"/>
      </w:r>
      <w:r>
        <w:t>2</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_Toc154745881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_Toc154745882 \h </w:instrText>
      </w:r>
      <w:r>
        <w:fldChar w:fldCharType="separate"/>
      </w:r>
      <w:r>
        <w:t>3</w:t>
      </w:r>
      <w:r>
        <w:fldChar w:fldCharType="end"/>
      </w:r>
    </w:p>
    <w:p>
      <w:pPr>
        <w:pStyle w:val="TOC8"/>
        <w:rPr>
          <w:rFonts w:asciiTheme="minorHAnsi" w:eastAsiaTheme="minorEastAsia" w:hAnsiTheme="minorHAnsi" w:cstheme="minorBidi"/>
          <w:szCs w:val="22"/>
        </w:rPr>
      </w:pPr>
      <w:r>
        <w:t>6A.</w:t>
      </w:r>
      <w:r>
        <w:tab/>
        <w:t>Certain application fees may be waived</w:t>
      </w:r>
      <w:r>
        <w:tab/>
      </w:r>
      <w:r>
        <w:fldChar w:fldCharType="begin"/>
      </w:r>
      <w:r>
        <w:instrText xml:space="preserve"> PAGEREF _Toc154745883 \h </w:instrText>
      </w:r>
      <w:r>
        <w:fldChar w:fldCharType="separate"/>
      </w:r>
      <w:r>
        <w:t>4</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_Toc154745884 \h </w:instrText>
      </w:r>
      <w:r>
        <w:fldChar w:fldCharType="separate"/>
      </w:r>
      <w:r>
        <w:t>4</w:t>
      </w:r>
      <w:r>
        <w:fldChar w:fldCharType="end"/>
      </w:r>
    </w:p>
    <w:p>
      <w:pPr>
        <w:pStyle w:val="TOC8"/>
        <w:rPr>
          <w:rFonts w:asciiTheme="minorHAnsi" w:eastAsiaTheme="minorEastAsia" w:hAnsiTheme="minorHAnsi" w:cstheme="minorBidi"/>
          <w:szCs w:val="22"/>
        </w:rPr>
      </w:pPr>
      <w:r>
        <w:t>8.</w:t>
      </w:r>
      <w:r>
        <w:tab/>
        <w:t>Who is an eligible individual</w:t>
      </w:r>
      <w:r>
        <w:tab/>
      </w:r>
      <w:r>
        <w:fldChar w:fldCharType="begin"/>
      </w:r>
      <w:r>
        <w:instrText xml:space="preserve"> PAGEREF _Toc154745885 \h </w:instrText>
      </w:r>
      <w:r>
        <w:fldChar w:fldCharType="separate"/>
      </w:r>
      <w:r>
        <w:t>4</w:t>
      </w:r>
      <w:r>
        <w:fldChar w:fldCharType="end"/>
      </w:r>
    </w:p>
    <w:p>
      <w:pPr>
        <w:pStyle w:val="TOC8"/>
        <w:rPr>
          <w:rFonts w:asciiTheme="minorHAnsi" w:eastAsiaTheme="minorEastAsia" w:hAnsiTheme="minorHAnsi" w:cstheme="minorBidi"/>
          <w:szCs w:val="22"/>
        </w:rPr>
      </w:pPr>
      <w:r>
        <w:t>9A.</w:t>
      </w:r>
      <w:r>
        <w:tab/>
        <w:t>Application to be recognised as eligible individual</w:t>
      </w:r>
      <w:r>
        <w:tab/>
      </w:r>
      <w:r>
        <w:fldChar w:fldCharType="begin"/>
      </w:r>
      <w:r>
        <w:instrText xml:space="preserve"> PAGEREF _Toc154745886 \h </w:instrText>
      </w:r>
      <w:r>
        <w:fldChar w:fldCharType="separate"/>
      </w:r>
      <w:r>
        <w:t>5</w:t>
      </w:r>
      <w:r>
        <w:fldChar w:fldCharType="end"/>
      </w:r>
    </w:p>
    <w:p>
      <w:pPr>
        <w:pStyle w:val="TOC8"/>
        <w:rPr>
          <w:rFonts w:asciiTheme="minorHAnsi" w:eastAsiaTheme="minorEastAsia" w:hAnsiTheme="minorHAnsi" w:cstheme="minorBidi"/>
          <w:szCs w:val="22"/>
        </w:rPr>
      </w:pPr>
      <w:r>
        <w:t>9B.</w:t>
      </w:r>
      <w:r>
        <w:tab/>
        <w:t>Recognition as eligible individual</w:t>
      </w:r>
      <w:r>
        <w:tab/>
      </w:r>
      <w:r>
        <w:fldChar w:fldCharType="begin"/>
      </w:r>
      <w:r>
        <w:instrText xml:space="preserve"> PAGEREF _Toc154745887 \h </w:instrText>
      </w:r>
      <w:r>
        <w:fldChar w:fldCharType="separate"/>
      </w:r>
      <w:r>
        <w:t>6</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_Toc154745888 \h </w:instrText>
      </w:r>
      <w:r>
        <w:fldChar w:fldCharType="separate"/>
      </w:r>
      <w:r>
        <w:t>6</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_Toc154745889 \h </w:instrText>
      </w:r>
      <w:r>
        <w:fldChar w:fldCharType="separate"/>
      </w:r>
      <w:r>
        <w:t>7</w:t>
      </w:r>
      <w:r>
        <w:fldChar w:fldCharType="end"/>
      </w:r>
    </w:p>
    <w:p>
      <w:pPr>
        <w:pStyle w:val="TOC8"/>
        <w:rPr>
          <w:rFonts w:asciiTheme="minorHAnsi" w:eastAsiaTheme="minorEastAsia" w:hAnsiTheme="minorHAnsi" w:cstheme="minorBidi"/>
          <w:szCs w:val="22"/>
        </w:rPr>
      </w:pPr>
      <w:r>
        <w:t>9.</w:t>
      </w:r>
      <w:r>
        <w:tab/>
        <w:t>Waiving fee for copy of document or transcript</w:t>
      </w:r>
      <w:r>
        <w:tab/>
      </w:r>
      <w:r>
        <w:fldChar w:fldCharType="begin"/>
      </w:r>
      <w:r>
        <w:instrText xml:space="preserve"> PAGEREF _Toc154745890 \h </w:instrText>
      </w:r>
      <w:r>
        <w:fldChar w:fldCharType="separate"/>
      </w:r>
      <w:r>
        <w:t>7</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_Toc154745891 \h </w:instrText>
      </w:r>
      <w:r>
        <w:fldChar w:fldCharType="separate"/>
      </w:r>
      <w:r>
        <w:t>8</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_Toc154745892 \h </w:instrText>
      </w:r>
      <w:r>
        <w:fldChar w:fldCharType="separate"/>
      </w:r>
      <w:r>
        <w:t>8</w:t>
      </w:r>
      <w:r>
        <w:fldChar w:fldCharType="end"/>
      </w:r>
    </w:p>
    <w:p>
      <w:pPr>
        <w:pStyle w:val="TOC2"/>
        <w:tabs>
          <w:tab w:val="right" w:pos="7077"/>
        </w:tabs>
        <w:rPr>
          <w:rFonts w:asciiTheme="minorHAnsi" w:eastAsiaTheme="minorEastAsia" w:hAnsiTheme="minorHAnsi" w:cstheme="minorBidi"/>
          <w:b w:val="0"/>
          <w:sz w:val="22"/>
          <w:szCs w:val="22"/>
        </w:rPr>
      </w:pPr>
      <w:r>
        <w:t>Schedule 1 — Fees</w:t>
      </w:r>
    </w:p>
    <w:p>
      <w:pPr>
        <w:pStyle w:val="TOC4"/>
        <w:tabs>
          <w:tab w:val="right" w:pos="7077"/>
        </w:tabs>
        <w:rPr>
          <w:rFonts w:asciiTheme="minorHAnsi" w:eastAsiaTheme="minorEastAsia" w:hAnsiTheme="minorHAnsi" w:cstheme="minorBidi"/>
          <w:b w:val="0"/>
          <w:szCs w:val="22"/>
        </w:rPr>
      </w:pPr>
      <w:r>
        <w:t>Division 1 — General</w:t>
      </w:r>
    </w:p>
    <w:p>
      <w:pPr>
        <w:pStyle w:val="TOC4"/>
        <w:tabs>
          <w:tab w:val="right" w:pos="7077"/>
        </w:tabs>
        <w:rPr>
          <w:rFonts w:asciiTheme="minorHAnsi" w:eastAsiaTheme="minorEastAsia" w:hAnsiTheme="minorHAnsi" w:cstheme="minorBidi"/>
          <w:b w:val="0"/>
          <w:szCs w:val="22"/>
        </w:rPr>
      </w:pPr>
      <w:r>
        <w:t>Division 2 — Civil jurisdiction</w:t>
      </w:r>
    </w:p>
    <w:p>
      <w:pPr>
        <w:pStyle w:val="TOC4"/>
        <w:tabs>
          <w:tab w:val="right" w:pos="7077"/>
        </w:tabs>
        <w:rPr>
          <w:rFonts w:asciiTheme="minorHAnsi" w:eastAsiaTheme="minorEastAsia" w:hAnsiTheme="minorHAnsi" w:cstheme="minorBidi"/>
          <w:b w:val="0"/>
          <w:szCs w:val="22"/>
        </w:rPr>
      </w:pPr>
      <w:r>
        <w:t>Division 3 — Criminal jurisdiction</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_Toc154745898 \h </w:instrText>
      </w:r>
      <w:r>
        <w:fldChar w:fldCharType="separate"/>
      </w:r>
      <w:r>
        <w:t>16</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360"/>
      </w:pPr>
      <w:r>
        <w:lastRenderedPageBreak/>
        <w:t>Children’s Court of Western Australia Act 1988</w:t>
      </w:r>
    </w:p>
    <w:p>
      <w:pPr>
        <w:pStyle w:val="NameofActReg"/>
        <w:spacing w:after="480"/>
      </w:pPr>
      <w:r>
        <w:t>Children’s Court (Fees) Regulations 2005</w:t>
      </w:r>
    </w:p>
    <w:p>
      <w:pPr>
        <w:pStyle w:val="Heading5"/>
      </w:pPr>
      <w:bookmarkStart w:id="3" w:name="_Toc154745877"/>
      <w:r>
        <w:rPr>
          <w:rStyle w:val="CharSectno"/>
        </w:rPr>
        <w:t>1</w:t>
      </w:r>
      <w:r>
        <w:t>.</w:t>
      </w:r>
      <w:r>
        <w:tab/>
        <w:t>Citation</w:t>
      </w:r>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t>.</w:t>
      </w:r>
    </w:p>
    <w:p>
      <w:pPr>
        <w:pStyle w:val="Heading5"/>
        <w:rPr>
          <w:spacing w:val="-2"/>
        </w:rPr>
      </w:pPr>
      <w:bookmarkStart w:id="4" w:name="_Toc154745878"/>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p>
    <w:p>
      <w:pPr>
        <w:pStyle w:val="Heading5"/>
      </w:pPr>
      <w:bookmarkStart w:id="5" w:name="_Toc154745879"/>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keepNext/>
      </w:pPr>
      <w:r>
        <w:rPr>
          <w:b/>
        </w:rPr>
        <w:lastRenderedPageBreak/>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Gazette 23 Jun 2006 p. 2182; 14 Jun 2016 p. 1856.]</w:t>
      </w:r>
    </w:p>
    <w:p>
      <w:pPr>
        <w:pStyle w:val="Heading5"/>
        <w:spacing w:before="200"/>
        <w:rPr>
          <w:snapToGrid w:val="0"/>
        </w:rPr>
      </w:pPr>
      <w:bookmarkStart w:id="6" w:name="_Toc154745880"/>
      <w:r>
        <w:rPr>
          <w:rStyle w:val="CharSectno"/>
        </w:rPr>
        <w:t>4</w:t>
      </w:r>
      <w:r>
        <w:t>.</w:t>
      </w:r>
      <w:r>
        <w:tab/>
      </w:r>
      <w:r>
        <w:rPr>
          <w:snapToGrid w:val="0"/>
        </w:rPr>
        <w:t>Fees to be charged (Act s. 53)</w:t>
      </w:r>
      <w:bookmarkEnd w:id="6"/>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Gazette 14 Jun 2016 p. 1856.]</w:t>
      </w:r>
    </w:p>
    <w:p>
      <w:pPr>
        <w:pStyle w:val="Heading5"/>
      </w:pPr>
      <w:bookmarkStart w:id="7" w:name="_Toc154745881"/>
      <w:r>
        <w:rPr>
          <w:rStyle w:val="CharSectno"/>
        </w:rPr>
        <w:t>5</w:t>
      </w:r>
      <w:r>
        <w:t>.</w:t>
      </w:r>
      <w:r>
        <w:tab/>
        <w:t>Exemptions</w:t>
      </w:r>
      <w:bookmarkEnd w:id="7"/>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keepNext/>
      </w:pPr>
      <w:r>
        <w:lastRenderedPageBreak/>
        <w:tab/>
        <w:t>(d)</w:t>
      </w:r>
      <w:r>
        <w:tab/>
        <w:t>the person has not reached 18 years of age on the day the fee would otherwise be payable.</w:t>
      </w:r>
    </w:p>
    <w:p>
      <w:pPr>
        <w:pStyle w:val="Footnotesection"/>
        <w:spacing w:before="100"/>
        <w:ind w:left="890" w:hanging="890"/>
      </w:pPr>
      <w:r>
        <w:tab/>
        <w:t>[Regulation 5 inserted: Gazette 14 Jun 2016 p. 1857; amended: Gazette 27 Jun 2017 p. 3433.]</w:t>
      </w:r>
    </w:p>
    <w:p>
      <w:pPr>
        <w:pStyle w:val="Heading5"/>
        <w:spacing w:before="200"/>
      </w:pPr>
      <w:bookmarkStart w:id="8" w:name="_Toc154745882"/>
      <w:r>
        <w:rPr>
          <w:rStyle w:val="CharSectno"/>
        </w:rPr>
        <w:t>6</w:t>
      </w:r>
      <w:r>
        <w:t>.</w:t>
      </w:r>
      <w:r>
        <w:tab/>
        <w:t>Some fees subject to conditions or must be waived</w:t>
      </w:r>
      <w:bookmarkEnd w:id="8"/>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keepNext/>
      </w:pPr>
      <w:r>
        <w:lastRenderedPageBreak/>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pPr>
      <w:bookmarkStart w:id="9" w:name="_Toc154745883"/>
      <w:r>
        <w:rPr>
          <w:rStyle w:val="CharSectno"/>
        </w:rPr>
        <w:t>6A</w:t>
      </w:r>
      <w:r>
        <w:t>.</w:t>
      </w:r>
      <w:r>
        <w:tab/>
        <w:t>Certain application fees may be waived</w:t>
      </w:r>
      <w:bookmarkEnd w:id="9"/>
    </w:p>
    <w:p>
      <w:pPr>
        <w:pStyle w:val="Subsection"/>
      </w:pPr>
      <w:r>
        <w:tab/>
      </w:r>
      <w:r>
        <w:tab/>
        <w:t xml:space="preserve">A registrar may waive the fee for an application under the </w:t>
      </w:r>
      <w:r>
        <w:rPr>
          <w:i/>
        </w:rPr>
        <w:t>Criminal Procedure Act 2004</w:t>
      </w:r>
      <w:r>
        <w:t xml:space="preserve"> section 71(2)(a) or (b) for an order to set aside a decision if the registrar is satisfied that the reason for the failure to appear is a clerical error by the Court.</w:t>
      </w:r>
    </w:p>
    <w:p>
      <w:pPr>
        <w:pStyle w:val="Footnotesection"/>
      </w:pPr>
      <w:r>
        <w:tab/>
        <w:t>[Regulation 6A inserted: SL 2022/145 r. 4.]</w:t>
      </w:r>
    </w:p>
    <w:p>
      <w:pPr>
        <w:pStyle w:val="Heading5"/>
        <w:spacing w:before="240"/>
        <w:rPr>
          <w:snapToGrid w:val="0"/>
        </w:rPr>
      </w:pPr>
      <w:bookmarkStart w:id="10" w:name="_Toc154745884"/>
      <w:r>
        <w:rPr>
          <w:rStyle w:val="CharSectno"/>
        </w:rPr>
        <w:t>7</w:t>
      </w:r>
      <w:r>
        <w:t>.</w:t>
      </w:r>
      <w:r>
        <w:tab/>
      </w:r>
      <w:r>
        <w:rPr>
          <w:rStyle w:val="CharSectno"/>
        </w:rPr>
        <w:t>F</w:t>
      </w:r>
      <w:r>
        <w:rPr>
          <w:snapToGrid w:val="0"/>
        </w:rPr>
        <w:t>ees to be paid before documents etc. filed in civil cases</w:t>
      </w:r>
      <w:bookmarkEnd w:id="10"/>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1" w:name="_Toc154745885"/>
      <w:r>
        <w:rPr>
          <w:rStyle w:val="CharSectno"/>
        </w:rPr>
        <w:t>8</w:t>
      </w:r>
      <w:r>
        <w:t>.</w:t>
      </w:r>
      <w:r>
        <w:tab/>
        <w:t>Who is an eligible individual</w:t>
      </w:r>
      <w:bookmarkEnd w:id="11"/>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lastRenderedPageBreak/>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 Gazette 14 Jun 2016 p. 1857</w:t>
      </w:r>
      <w:r>
        <w:noBreakHyphen/>
        <w:t>8; amended: Gazette 20 Jul 2018 p. 2621.]</w:t>
      </w:r>
    </w:p>
    <w:p>
      <w:pPr>
        <w:pStyle w:val="Heading5"/>
      </w:pPr>
      <w:bookmarkStart w:id="12" w:name="_Toc154745886"/>
      <w:r>
        <w:rPr>
          <w:rStyle w:val="CharSectno"/>
        </w:rPr>
        <w:t>9A</w:t>
      </w:r>
      <w:r>
        <w:t>.</w:t>
      </w:r>
      <w:r>
        <w:tab/>
        <w:t>Application to be recognised as eligible individual</w:t>
      </w:r>
      <w:bookmarkEnd w:id="12"/>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keepNext/>
      </w:pPr>
      <w:r>
        <w:lastRenderedPageBreak/>
        <w:tab/>
        <w:t>(3)</w:t>
      </w:r>
      <w:r>
        <w:tab/>
        <w:t>Despite anything else in these regulations, a fee is not to be charged in respect of an application under subregulation (1).</w:t>
      </w:r>
    </w:p>
    <w:p>
      <w:pPr>
        <w:pStyle w:val="Footnotesection"/>
        <w:spacing w:before="100"/>
        <w:ind w:left="890" w:hanging="890"/>
      </w:pPr>
      <w:r>
        <w:tab/>
        <w:t>[Regulation 9A inserted: Gazette 14 Jun 2016 p. 1858</w:t>
      </w:r>
      <w:r>
        <w:noBreakHyphen/>
        <w:t>9; amended: Gazette 20 Jul 2018 p. 2622.]</w:t>
      </w:r>
    </w:p>
    <w:p>
      <w:pPr>
        <w:pStyle w:val="Heading5"/>
        <w:keepNext w:val="0"/>
      </w:pPr>
      <w:bookmarkStart w:id="13" w:name="_Toc154745887"/>
      <w:r>
        <w:rPr>
          <w:rStyle w:val="CharSectno"/>
        </w:rPr>
        <w:t>9B</w:t>
      </w:r>
      <w:r>
        <w:t>.</w:t>
      </w:r>
      <w:r>
        <w:tab/>
        <w:t>Recognition as eligible individual</w:t>
      </w:r>
      <w:bookmarkEnd w:id="13"/>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Gazette 14 Jun 2016 p. 1859; amended: Gazette 20 Jul 2018 p. 2622.]</w:t>
      </w:r>
    </w:p>
    <w:p>
      <w:pPr>
        <w:pStyle w:val="Heading5"/>
      </w:pPr>
      <w:bookmarkStart w:id="14" w:name="_Toc154745888"/>
      <w:r>
        <w:rPr>
          <w:rStyle w:val="CharSectno"/>
        </w:rPr>
        <w:t>9C</w:t>
      </w:r>
      <w:r>
        <w:t>.</w:t>
      </w:r>
      <w:r>
        <w:tab/>
        <w:t>False or misleading statements</w:t>
      </w:r>
      <w:bookmarkEnd w:id="14"/>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 xml:space="preserve">The Court or a registrar may revoke a direction made under regulation 9B(1) if satisfied, having given the person an </w:t>
      </w:r>
      <w:r>
        <w:lastRenderedPageBreak/>
        <w:t>opportunity to make a written submission, that the person has contravened subregulation (1).</w:t>
      </w:r>
    </w:p>
    <w:p>
      <w:pPr>
        <w:pStyle w:val="Subsection"/>
        <w:keepNext/>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Gazette 14 Jun 2016 p. 1860.]</w:t>
      </w:r>
    </w:p>
    <w:p>
      <w:pPr>
        <w:pStyle w:val="Heading5"/>
      </w:pPr>
      <w:bookmarkStart w:id="15" w:name="_Toc154745889"/>
      <w:r>
        <w:rPr>
          <w:rStyle w:val="CharSectno"/>
        </w:rPr>
        <w:t>9D</w:t>
      </w:r>
      <w:r>
        <w:t>.</w:t>
      </w:r>
      <w:r>
        <w:tab/>
        <w:t>Refunds</w:t>
      </w:r>
      <w:bookmarkEnd w:id="15"/>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Gazette 14 Jun 2016 p. 1860</w:t>
      </w:r>
      <w:r>
        <w:noBreakHyphen/>
        <w:t>1.]</w:t>
      </w:r>
    </w:p>
    <w:p>
      <w:pPr>
        <w:pStyle w:val="Heading5"/>
      </w:pPr>
      <w:bookmarkStart w:id="16" w:name="_Toc154745890"/>
      <w:r>
        <w:rPr>
          <w:rStyle w:val="CharSectno"/>
        </w:rPr>
        <w:t>9</w:t>
      </w:r>
      <w:r>
        <w:t>.</w:t>
      </w:r>
      <w:r>
        <w:tab/>
        <w:t>Waiving fee for copy of document or transcript</w:t>
      </w:r>
      <w:bookmarkEnd w:id="16"/>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Gazette 14 Jun 2016 p. 1861.]</w:t>
      </w:r>
    </w:p>
    <w:p>
      <w:pPr>
        <w:pStyle w:val="Heading5"/>
        <w:pageBreakBefore/>
        <w:spacing w:before="0"/>
      </w:pPr>
      <w:bookmarkStart w:id="17" w:name="_Toc154745891"/>
      <w:r>
        <w:rPr>
          <w:rStyle w:val="CharSectno"/>
        </w:rPr>
        <w:lastRenderedPageBreak/>
        <w:t>10</w:t>
      </w:r>
      <w:r>
        <w:t>.</w:t>
      </w:r>
      <w:r>
        <w:tab/>
        <w:t>Disputes as to fees, determination of</w:t>
      </w:r>
      <w:bookmarkEnd w:id="17"/>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Gazette 14 Jun 2016 p. 1861.]</w:t>
      </w:r>
    </w:p>
    <w:p>
      <w:pPr>
        <w:pStyle w:val="Heading5"/>
      </w:pPr>
      <w:bookmarkStart w:id="18" w:name="_Toc154745892"/>
      <w:r>
        <w:rPr>
          <w:rStyle w:val="CharSectno"/>
        </w:rPr>
        <w:t>11</w:t>
      </w:r>
      <w:r>
        <w:t>.</w:t>
      </w:r>
      <w:r>
        <w:tab/>
        <w:t>Unpaid fees, recovery of</w:t>
      </w:r>
      <w:bookmarkEnd w:id="18"/>
    </w:p>
    <w:p>
      <w:pPr>
        <w:pStyle w:val="Subsection"/>
      </w:pPr>
      <w:r>
        <w:tab/>
      </w:r>
      <w:r>
        <w:tab/>
        <w:t>Any unpaid fee is a debt due to the State and may be recovered by action in a court of competent jurisdiction.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9" w:name="_Toc154745893"/>
      <w:r>
        <w:rPr>
          <w:rStyle w:val="CharSchNo"/>
        </w:rPr>
        <w:lastRenderedPageBreak/>
        <w:t>Schedule 1</w:t>
      </w:r>
      <w:r>
        <w:t> — </w:t>
      </w:r>
      <w:r>
        <w:rPr>
          <w:rStyle w:val="CharSchText"/>
        </w:rPr>
        <w:t>Fees</w:t>
      </w:r>
      <w:bookmarkEnd w:id="19"/>
    </w:p>
    <w:p>
      <w:pPr>
        <w:pStyle w:val="yShoulderClause"/>
      </w:pPr>
      <w:r>
        <w:t>[r. 4]</w:t>
      </w:r>
    </w:p>
    <w:p>
      <w:pPr>
        <w:pStyle w:val="yFootnoteheading"/>
      </w:pPr>
      <w:r>
        <w:tab/>
        <w:t>[Heading inserted: SL 2023/120 r. 6.]</w:t>
      </w:r>
    </w:p>
    <w:p>
      <w:pPr>
        <w:pStyle w:val="yHeading3"/>
      </w:pPr>
      <w:bookmarkStart w:id="20" w:name="_Toc154745894"/>
      <w:r>
        <w:rPr>
          <w:rStyle w:val="CharSDivNo"/>
        </w:rPr>
        <w:t>Division 1</w:t>
      </w:r>
      <w:r>
        <w:t> — </w:t>
      </w:r>
      <w:r>
        <w:rPr>
          <w:rStyle w:val="CharSDivText"/>
        </w:rPr>
        <w:t>General</w:t>
      </w:r>
      <w:bookmarkEnd w:id="20"/>
    </w:p>
    <w:p>
      <w:pPr>
        <w:pStyle w:val="yFootnoteheading"/>
        <w:spacing w:after="60"/>
      </w:pPr>
      <w:r>
        <w:tab/>
        <w:t>[Heading inserted: SL 2023/120 r. 6.]</w:t>
      </w:r>
    </w:p>
    <w:tbl>
      <w:tblPr>
        <w:tblW w:w="6980" w:type="dxa"/>
        <w:tblInd w:w="108" w:type="dxa"/>
        <w:tblLayout w:type="fixed"/>
        <w:tblLook w:val="0000" w:firstRow="0" w:lastRow="0" w:firstColumn="0" w:lastColumn="0" w:noHBand="0" w:noVBand="0"/>
      </w:tblPr>
      <w:tblGrid>
        <w:gridCol w:w="709"/>
        <w:gridCol w:w="3544"/>
        <w:gridCol w:w="1417"/>
        <w:gridCol w:w="1310"/>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3544" w:type="dxa"/>
            <w:tcBorders>
              <w:top w:val="single" w:sz="4" w:space="0" w:color="auto"/>
              <w:bottom w:val="single" w:sz="4" w:space="0" w:color="auto"/>
            </w:tcBorders>
            <w:noWrap/>
          </w:tcPr>
          <w:p>
            <w:pPr>
              <w:pStyle w:val="yTableNAm"/>
              <w:jc w:val="center"/>
              <w:rPr>
                <w:rStyle w:val="DraftersNotes"/>
                <w:b w:val="0"/>
                <w:i w:val="0"/>
                <w:sz w:val="22"/>
              </w:rPr>
            </w:pPr>
            <w:r>
              <w:rPr>
                <w:b/>
              </w:rPr>
              <w:t>Matter</w:t>
            </w:r>
          </w:p>
        </w:tc>
        <w:tc>
          <w:tcPr>
            <w:tcW w:w="1417"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w:t>
            </w:r>
            <w:r>
              <w:rPr>
                <w:b/>
              </w:rPr>
              <w:br/>
            </w:r>
            <w:r>
              <w:rPr>
                <w:b/>
              </w:rPr>
              <w:br/>
              <w:t>$</w:t>
            </w:r>
          </w:p>
        </w:tc>
        <w:tc>
          <w:tcPr>
            <w:tcW w:w="1310"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eligible individual</w:t>
            </w:r>
            <w:r>
              <w:rPr>
                <w:b/>
              </w:rPr>
              <w:br/>
              <w:t>$</w:t>
            </w:r>
          </w:p>
        </w:tc>
      </w:tr>
      <w:tr>
        <w:trPr>
          <w:cantSplit/>
        </w:trPr>
        <w:tc>
          <w:tcPr>
            <w:tcW w:w="709" w:type="dxa"/>
            <w:tcBorders>
              <w:top w:val="single" w:sz="4" w:space="0" w:color="auto"/>
            </w:tcBorders>
            <w:noWrap/>
          </w:tcPr>
          <w:p>
            <w:pPr>
              <w:pStyle w:val="yTableNAm"/>
            </w:pPr>
            <w:r>
              <w:t>1.</w:t>
            </w:r>
          </w:p>
        </w:tc>
        <w:tc>
          <w:tcPr>
            <w:tcW w:w="3544" w:type="dxa"/>
            <w:tcBorders>
              <w:top w:val="single" w:sz="4" w:space="0" w:color="auto"/>
            </w:tcBorders>
            <w:noWrap/>
          </w:tcPr>
          <w:p>
            <w:pPr>
              <w:pStyle w:val="yTableNAm"/>
              <w:tabs>
                <w:tab w:val="clear" w:pos="567"/>
              </w:tabs>
              <w:ind w:left="491" w:hanging="491"/>
            </w:pPr>
            <w:r>
              <w:t>(a)</w:t>
            </w:r>
            <w:r>
              <w:tab/>
              <w:t>For every order or conviction drawn up in the Court’s criminal jurisdiction</w:t>
            </w:r>
          </w:p>
        </w:tc>
        <w:tc>
          <w:tcPr>
            <w:tcW w:w="1417" w:type="dxa"/>
            <w:tcBorders>
              <w:top w:val="single" w:sz="4" w:space="0" w:color="auto"/>
            </w:tcBorders>
            <w:noWrap/>
            <w:vAlign w:val="bottom"/>
          </w:tcPr>
          <w:p>
            <w:pPr>
              <w:pStyle w:val="yTableNAm"/>
              <w:tabs>
                <w:tab w:val="clear" w:pos="567"/>
              </w:tabs>
              <w:ind w:right="382"/>
              <w:jc w:val="right"/>
            </w:pPr>
            <w:r>
              <w:t>23.00</w:t>
            </w:r>
          </w:p>
        </w:tc>
        <w:tc>
          <w:tcPr>
            <w:tcW w:w="1310" w:type="dxa"/>
            <w:tcBorders>
              <w:top w:val="single" w:sz="4" w:space="0" w:color="auto"/>
            </w:tcBorders>
            <w:noWrap/>
            <w:vAlign w:val="bottom"/>
          </w:tcPr>
          <w:p>
            <w:pPr>
              <w:pStyle w:val="yTableNAm"/>
              <w:tabs>
                <w:tab w:val="clear" w:pos="567"/>
              </w:tabs>
              <w:ind w:right="268"/>
              <w:jc w:val="right"/>
            </w:pPr>
            <w:r>
              <w:t>6.90</w:t>
            </w:r>
          </w:p>
        </w:tc>
      </w:tr>
      <w:tr>
        <w:trPr>
          <w:cantSplit/>
        </w:trPr>
        <w:tc>
          <w:tcPr>
            <w:tcW w:w="709" w:type="dxa"/>
            <w:noWrap/>
          </w:tcPr>
          <w:p>
            <w:pPr>
              <w:pStyle w:val="yTableNAm"/>
            </w:pPr>
          </w:p>
        </w:tc>
        <w:tc>
          <w:tcPr>
            <w:tcW w:w="3544" w:type="dxa"/>
            <w:noWrap/>
          </w:tcPr>
          <w:p>
            <w:pPr>
              <w:pStyle w:val="yTableNAm"/>
              <w:tabs>
                <w:tab w:val="clear" w:pos="567"/>
              </w:tabs>
              <w:ind w:left="491" w:hanging="491"/>
            </w:pPr>
            <w:r>
              <w:t>(b)</w:t>
            </w:r>
            <w:r>
              <w:tab/>
              <w:t>Issue of a duplicate document or order</w:t>
            </w:r>
          </w:p>
        </w:tc>
        <w:tc>
          <w:tcPr>
            <w:tcW w:w="1417" w:type="dxa"/>
            <w:noWrap/>
            <w:vAlign w:val="bottom"/>
          </w:tcPr>
          <w:p>
            <w:pPr>
              <w:pStyle w:val="yTableNAm"/>
              <w:tabs>
                <w:tab w:val="clear" w:pos="567"/>
              </w:tabs>
              <w:ind w:right="382"/>
              <w:jc w:val="right"/>
            </w:pPr>
            <w:r>
              <w:t>23.00</w:t>
            </w:r>
          </w:p>
        </w:tc>
        <w:tc>
          <w:tcPr>
            <w:tcW w:w="1310" w:type="dxa"/>
            <w:noWrap/>
            <w:vAlign w:val="bottom"/>
          </w:tcPr>
          <w:p>
            <w:pPr>
              <w:pStyle w:val="yTableNAm"/>
              <w:tabs>
                <w:tab w:val="clear" w:pos="567"/>
              </w:tabs>
              <w:ind w:right="268"/>
              <w:jc w:val="right"/>
            </w:pPr>
            <w:r>
              <w:t>6.90</w:t>
            </w:r>
          </w:p>
        </w:tc>
      </w:tr>
      <w:tr>
        <w:trPr>
          <w:cantSplit/>
        </w:trPr>
        <w:tc>
          <w:tcPr>
            <w:tcW w:w="709" w:type="dxa"/>
            <w:noWrap/>
          </w:tcPr>
          <w:p>
            <w:pPr>
              <w:pStyle w:val="yTableNAm"/>
            </w:pPr>
            <w:r>
              <w:t>2.</w:t>
            </w:r>
          </w:p>
        </w:tc>
        <w:tc>
          <w:tcPr>
            <w:tcW w:w="3544" w:type="dxa"/>
            <w:noWrap/>
          </w:tcPr>
          <w:p>
            <w:pPr>
              <w:pStyle w:val="yTableNAm"/>
            </w:pPr>
            <w:r>
              <w:t>For the service of an application, summons, originating process, notice or order of the Court or another process requiring service</w:t>
            </w:r>
          </w:p>
        </w:tc>
        <w:tc>
          <w:tcPr>
            <w:tcW w:w="1417" w:type="dxa"/>
            <w:noWrap/>
            <w:vAlign w:val="bottom"/>
          </w:tcPr>
          <w:p>
            <w:pPr>
              <w:pStyle w:val="yTableNAm"/>
              <w:tabs>
                <w:tab w:val="clear" w:pos="567"/>
              </w:tabs>
              <w:ind w:right="382"/>
              <w:jc w:val="right"/>
            </w:pPr>
            <w:r>
              <w:t>101.00</w:t>
            </w:r>
          </w:p>
        </w:tc>
        <w:tc>
          <w:tcPr>
            <w:tcW w:w="1310" w:type="dxa"/>
            <w:noWrap/>
            <w:vAlign w:val="bottom"/>
          </w:tcPr>
          <w:p>
            <w:pPr>
              <w:pStyle w:val="yTableNAm"/>
              <w:tabs>
                <w:tab w:val="clear" w:pos="567"/>
              </w:tabs>
              <w:ind w:right="268"/>
              <w:jc w:val="right"/>
            </w:pPr>
            <w:r>
              <w:t>101.00</w:t>
            </w:r>
          </w:p>
        </w:tc>
      </w:tr>
      <w:tr>
        <w:trPr>
          <w:cantSplit/>
        </w:trPr>
        <w:tc>
          <w:tcPr>
            <w:tcW w:w="709" w:type="dxa"/>
            <w:noWrap/>
          </w:tcPr>
          <w:p>
            <w:pPr>
              <w:pStyle w:val="yTableNAm"/>
            </w:pPr>
          </w:p>
        </w:tc>
        <w:tc>
          <w:tcPr>
            <w:tcW w:w="6271"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ind w:left="493"/>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noWrap/>
          </w:tcPr>
          <w:p>
            <w:pPr>
              <w:pStyle w:val="yTableNAm"/>
            </w:pPr>
            <w:r>
              <w:t>3.</w:t>
            </w:r>
          </w:p>
        </w:tc>
        <w:tc>
          <w:tcPr>
            <w:tcW w:w="3544" w:type="dxa"/>
            <w:noWrap/>
          </w:tcPr>
          <w:p>
            <w:pPr>
              <w:pStyle w:val="yTableNAm"/>
            </w:pPr>
            <w:r>
              <w:t xml:space="preserve">If it is necessary to travel to execute a warrant or other process, or serve a summons, order of the Court, other process or document, or make an arrest or for all attempts, attendances and inspections, from the enforcement officer’s office or nearest police station — </w:t>
            </w:r>
          </w:p>
        </w:tc>
        <w:tc>
          <w:tcPr>
            <w:tcW w:w="1417" w:type="dxa"/>
            <w:noWrap/>
          </w:tcPr>
          <w:p>
            <w:pPr>
              <w:pStyle w:val="yTableNAm"/>
            </w:pPr>
          </w:p>
        </w:tc>
        <w:tc>
          <w:tcPr>
            <w:tcW w:w="1310" w:type="dxa"/>
            <w:noWrap/>
          </w:tcPr>
          <w:p>
            <w:pPr>
              <w:pStyle w:val="yTableNAm"/>
            </w:pPr>
          </w:p>
        </w:tc>
      </w:tr>
      <w:tr>
        <w:trPr>
          <w:cantSplit/>
        </w:trPr>
        <w:tc>
          <w:tcPr>
            <w:tcW w:w="709" w:type="dxa"/>
            <w:noWrap/>
          </w:tcPr>
          <w:p>
            <w:pPr>
              <w:pStyle w:val="yTableNAm"/>
            </w:pPr>
          </w:p>
        </w:tc>
        <w:tc>
          <w:tcPr>
            <w:tcW w:w="3544" w:type="dxa"/>
            <w:noWrap/>
          </w:tcPr>
          <w:p>
            <w:pPr>
              <w:pStyle w:val="yTableNAm"/>
              <w:tabs>
                <w:tab w:val="clear" w:pos="567"/>
              </w:tabs>
              <w:ind w:left="491" w:hanging="491"/>
            </w:pPr>
            <w:r>
              <w:t>(a)</w:t>
            </w:r>
            <w:r>
              <w:tab/>
              <w:t>for each kilometre travelled (1 way) in a metropolitan area</w:t>
            </w:r>
          </w:p>
        </w:tc>
        <w:tc>
          <w:tcPr>
            <w:tcW w:w="1417" w:type="dxa"/>
            <w:noWrap/>
            <w:vAlign w:val="bottom"/>
          </w:tcPr>
          <w:p>
            <w:pPr>
              <w:pStyle w:val="yTableNAm"/>
              <w:tabs>
                <w:tab w:val="clear" w:pos="567"/>
              </w:tabs>
              <w:ind w:right="382"/>
              <w:jc w:val="right"/>
            </w:pPr>
            <w:r>
              <w:t>2.50</w:t>
            </w:r>
          </w:p>
        </w:tc>
        <w:tc>
          <w:tcPr>
            <w:tcW w:w="1310" w:type="dxa"/>
            <w:noWrap/>
            <w:vAlign w:val="bottom"/>
          </w:tcPr>
          <w:p>
            <w:pPr>
              <w:pStyle w:val="yTableNAm"/>
              <w:tabs>
                <w:tab w:val="clear" w:pos="567"/>
              </w:tabs>
              <w:ind w:right="382"/>
              <w:jc w:val="right"/>
            </w:pPr>
            <w:r>
              <w:t>2.50</w:t>
            </w:r>
          </w:p>
        </w:tc>
      </w:tr>
      <w:tr>
        <w:trPr>
          <w:cantSplit/>
        </w:trPr>
        <w:tc>
          <w:tcPr>
            <w:tcW w:w="709" w:type="dxa"/>
            <w:noWrap/>
          </w:tcPr>
          <w:p>
            <w:pPr>
              <w:pStyle w:val="yTableNAm"/>
            </w:pPr>
          </w:p>
        </w:tc>
        <w:tc>
          <w:tcPr>
            <w:tcW w:w="3544" w:type="dxa"/>
            <w:noWrap/>
          </w:tcPr>
          <w:p>
            <w:pPr>
              <w:pStyle w:val="yTableNAm"/>
              <w:tabs>
                <w:tab w:val="clear" w:pos="567"/>
              </w:tabs>
              <w:ind w:left="491" w:hanging="491"/>
            </w:pPr>
            <w:r>
              <w:t>(b)</w:t>
            </w:r>
            <w:r>
              <w:tab/>
              <w:t>for each kilometre travelled (1 way) outside a metropolitan area</w:t>
            </w:r>
          </w:p>
        </w:tc>
        <w:tc>
          <w:tcPr>
            <w:tcW w:w="1417" w:type="dxa"/>
            <w:noWrap/>
            <w:vAlign w:val="bottom"/>
          </w:tcPr>
          <w:p>
            <w:pPr>
              <w:pStyle w:val="yTableNAm"/>
              <w:tabs>
                <w:tab w:val="clear" w:pos="567"/>
              </w:tabs>
              <w:ind w:right="382"/>
              <w:jc w:val="right"/>
            </w:pPr>
            <w:r>
              <w:t>2.80</w:t>
            </w:r>
          </w:p>
        </w:tc>
        <w:tc>
          <w:tcPr>
            <w:tcW w:w="1310" w:type="dxa"/>
            <w:noWrap/>
            <w:vAlign w:val="bottom"/>
          </w:tcPr>
          <w:p>
            <w:pPr>
              <w:pStyle w:val="yTableNAm"/>
              <w:tabs>
                <w:tab w:val="clear" w:pos="567"/>
              </w:tabs>
              <w:ind w:right="382"/>
              <w:jc w:val="right"/>
            </w:pPr>
            <w:r>
              <w:t>2.80</w:t>
            </w:r>
          </w:p>
        </w:tc>
      </w:tr>
      <w:tr>
        <w:trPr>
          <w:cantSplit/>
        </w:trPr>
        <w:tc>
          <w:tcPr>
            <w:tcW w:w="709" w:type="dxa"/>
            <w:noWrap/>
          </w:tcPr>
          <w:p>
            <w:pPr>
              <w:pStyle w:val="yTableNAm"/>
            </w:pPr>
          </w:p>
        </w:tc>
        <w:tc>
          <w:tcPr>
            <w:tcW w:w="6271"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ind w:left="493"/>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fee for kilometres travelled is chargeable.</w:t>
            </w:r>
          </w:p>
        </w:tc>
      </w:tr>
      <w:tr>
        <w:trPr>
          <w:cantSplit/>
        </w:trPr>
        <w:tc>
          <w:tcPr>
            <w:tcW w:w="709" w:type="dxa"/>
            <w:noWrap/>
          </w:tcPr>
          <w:p>
            <w:pPr>
              <w:pStyle w:val="yTableNAm"/>
            </w:pPr>
            <w:r>
              <w:t>4.</w:t>
            </w:r>
          </w:p>
        </w:tc>
        <w:tc>
          <w:tcPr>
            <w:tcW w:w="3544" w:type="dxa"/>
            <w:noWrap/>
          </w:tcPr>
          <w:p>
            <w:pPr>
              <w:pStyle w:val="yTableNAm"/>
              <w:tabs>
                <w:tab w:val="clear" w:pos="567"/>
              </w:tabs>
              <w:ind w:left="491" w:hanging="491"/>
            </w:pPr>
            <w:r>
              <w:t>(a)</w:t>
            </w:r>
            <w:r>
              <w:tab/>
              <w:t>For searching a record or proceeding (other than a search by or on behalf of a party to the proceedings in the Court’s civil jurisdiction)</w:t>
            </w:r>
          </w:p>
        </w:tc>
        <w:tc>
          <w:tcPr>
            <w:tcW w:w="1417" w:type="dxa"/>
            <w:noWrap/>
            <w:vAlign w:val="bottom"/>
          </w:tcPr>
          <w:p>
            <w:pPr>
              <w:pStyle w:val="yTableNAm"/>
              <w:tabs>
                <w:tab w:val="clear" w:pos="567"/>
              </w:tabs>
              <w:ind w:right="382"/>
              <w:jc w:val="right"/>
            </w:pPr>
            <w:r>
              <w:t>58.50</w:t>
            </w:r>
          </w:p>
        </w:tc>
        <w:tc>
          <w:tcPr>
            <w:tcW w:w="1310" w:type="dxa"/>
            <w:noWrap/>
            <w:vAlign w:val="bottom"/>
          </w:tcPr>
          <w:p>
            <w:pPr>
              <w:pStyle w:val="yTableNAm"/>
              <w:tabs>
                <w:tab w:val="clear" w:pos="567"/>
              </w:tabs>
              <w:ind w:right="382"/>
              <w:jc w:val="right"/>
            </w:pPr>
            <w:r>
              <w:t>17.55</w:t>
            </w:r>
          </w:p>
        </w:tc>
      </w:tr>
      <w:tr>
        <w:trPr>
          <w:cantSplit/>
        </w:trPr>
        <w:tc>
          <w:tcPr>
            <w:tcW w:w="709" w:type="dxa"/>
            <w:noWrap/>
          </w:tcPr>
          <w:p>
            <w:pPr>
              <w:pStyle w:val="yTableNAm"/>
            </w:pPr>
          </w:p>
        </w:tc>
        <w:tc>
          <w:tcPr>
            <w:tcW w:w="3544" w:type="dxa"/>
            <w:noWrap/>
          </w:tcPr>
          <w:p>
            <w:pPr>
              <w:pStyle w:val="yTableNAm"/>
              <w:tabs>
                <w:tab w:val="clear" w:pos="567"/>
              </w:tabs>
              <w:ind w:left="491" w:hanging="491"/>
            </w:pPr>
            <w:r>
              <w:t>(b)</w:t>
            </w:r>
            <w:r>
              <w:tab/>
              <w:t xml:space="preserve">For listening to or viewing an electronic recording that requires supervision by an officer of the Court — </w:t>
            </w:r>
          </w:p>
          <w:p>
            <w:pPr>
              <w:pStyle w:val="yTableNAm"/>
              <w:tabs>
                <w:tab w:val="clear" w:pos="567"/>
              </w:tabs>
              <w:ind w:left="1058" w:hanging="567"/>
            </w:pPr>
            <w:r>
              <w:t>(i)</w:t>
            </w:r>
            <w:r>
              <w:tab/>
              <w:t>a search fee</w:t>
            </w:r>
          </w:p>
        </w:tc>
        <w:tc>
          <w:tcPr>
            <w:tcW w:w="1417" w:type="dxa"/>
            <w:noWrap/>
            <w:vAlign w:val="bottom"/>
          </w:tcPr>
          <w:p>
            <w:pPr>
              <w:pStyle w:val="yTableNAm"/>
              <w:tabs>
                <w:tab w:val="clear" w:pos="567"/>
              </w:tabs>
              <w:ind w:right="382"/>
              <w:jc w:val="right"/>
            </w:pPr>
            <w:r>
              <w:t>58.50</w:t>
            </w:r>
          </w:p>
        </w:tc>
        <w:tc>
          <w:tcPr>
            <w:tcW w:w="1310" w:type="dxa"/>
            <w:noWrap/>
            <w:vAlign w:val="bottom"/>
          </w:tcPr>
          <w:p>
            <w:pPr>
              <w:pStyle w:val="yTableNAm"/>
              <w:tabs>
                <w:tab w:val="clear" w:pos="567"/>
              </w:tabs>
              <w:ind w:right="382"/>
              <w:jc w:val="right"/>
            </w:pPr>
            <w:r>
              <w:t>17.55</w:t>
            </w:r>
          </w:p>
        </w:tc>
      </w:tr>
      <w:tr>
        <w:trPr>
          <w:cantSplit/>
        </w:trPr>
        <w:tc>
          <w:tcPr>
            <w:tcW w:w="709" w:type="dxa"/>
            <w:noWrap/>
          </w:tcPr>
          <w:p>
            <w:pPr>
              <w:pStyle w:val="yTableNAm"/>
            </w:pPr>
          </w:p>
        </w:tc>
        <w:tc>
          <w:tcPr>
            <w:tcW w:w="3544" w:type="dxa"/>
            <w:noWrap/>
          </w:tcPr>
          <w:p>
            <w:pPr>
              <w:pStyle w:val="yTableNAm"/>
              <w:tabs>
                <w:tab w:val="clear" w:pos="567"/>
              </w:tabs>
              <w:ind w:left="1058" w:hanging="567"/>
            </w:pPr>
            <w:r>
              <w:t>(ii)</w:t>
            </w:r>
            <w:r>
              <w:tab/>
              <w:t>in addition to the search fee, for each hour of the officer’s time</w:t>
            </w:r>
          </w:p>
        </w:tc>
        <w:tc>
          <w:tcPr>
            <w:tcW w:w="1417" w:type="dxa"/>
            <w:noWrap/>
            <w:vAlign w:val="bottom"/>
          </w:tcPr>
          <w:p>
            <w:pPr>
              <w:pStyle w:val="yTableNAm"/>
              <w:tabs>
                <w:tab w:val="clear" w:pos="567"/>
              </w:tabs>
              <w:ind w:right="382"/>
              <w:jc w:val="right"/>
            </w:pPr>
            <w:r>
              <w:t>142.50</w:t>
            </w:r>
          </w:p>
        </w:tc>
        <w:tc>
          <w:tcPr>
            <w:tcW w:w="1310" w:type="dxa"/>
            <w:noWrap/>
            <w:vAlign w:val="bottom"/>
          </w:tcPr>
          <w:p>
            <w:pPr>
              <w:pStyle w:val="yTableNAm"/>
              <w:tabs>
                <w:tab w:val="clear" w:pos="567"/>
              </w:tabs>
              <w:ind w:right="382"/>
              <w:jc w:val="right"/>
            </w:pPr>
            <w:r>
              <w:t>42.80</w:t>
            </w:r>
          </w:p>
        </w:tc>
      </w:tr>
      <w:tr>
        <w:trPr>
          <w:cantSplit/>
        </w:trPr>
        <w:tc>
          <w:tcPr>
            <w:tcW w:w="709" w:type="dxa"/>
            <w:noWrap/>
          </w:tcPr>
          <w:p>
            <w:pPr>
              <w:pStyle w:val="yTableNAm"/>
            </w:pPr>
            <w:r>
              <w:t>5.</w:t>
            </w:r>
          </w:p>
        </w:tc>
        <w:tc>
          <w:tcPr>
            <w:tcW w:w="3544" w:type="dxa"/>
            <w:noWrap/>
          </w:tcPr>
          <w:p>
            <w:pPr>
              <w:pStyle w:val="yTableNAm"/>
              <w:tabs>
                <w:tab w:val="clear" w:pos="567"/>
              </w:tabs>
              <w:ind w:left="491" w:hanging="491"/>
            </w:pPr>
            <w:r>
              <w:t>(a)</w:t>
            </w:r>
            <w:r>
              <w:tab/>
              <w:t xml:space="preserve">On an application or summons for the production of records or documents that are required to be produced to a court, tribunal, arbitrator or umpire </w:t>
            </w:r>
          </w:p>
        </w:tc>
        <w:tc>
          <w:tcPr>
            <w:tcW w:w="1417" w:type="dxa"/>
            <w:noWrap/>
            <w:vAlign w:val="bottom"/>
          </w:tcPr>
          <w:p>
            <w:pPr>
              <w:pStyle w:val="yTableNAm"/>
              <w:tabs>
                <w:tab w:val="clear" w:pos="567"/>
              </w:tabs>
              <w:ind w:right="382"/>
              <w:jc w:val="right"/>
            </w:pPr>
            <w:r>
              <w:t>85.50</w:t>
            </w:r>
          </w:p>
        </w:tc>
        <w:tc>
          <w:tcPr>
            <w:tcW w:w="1310" w:type="dxa"/>
            <w:noWrap/>
            <w:vAlign w:val="bottom"/>
          </w:tcPr>
          <w:p>
            <w:pPr>
              <w:pStyle w:val="yTableNAm"/>
              <w:tabs>
                <w:tab w:val="clear" w:pos="567"/>
              </w:tabs>
              <w:ind w:right="382"/>
              <w:jc w:val="right"/>
            </w:pPr>
            <w:r>
              <w:t>25.60</w:t>
            </w:r>
          </w:p>
        </w:tc>
      </w:tr>
      <w:tr>
        <w:trPr>
          <w:cantSplit/>
        </w:trPr>
        <w:tc>
          <w:tcPr>
            <w:tcW w:w="709" w:type="dxa"/>
            <w:noWrap/>
          </w:tcPr>
          <w:p>
            <w:pPr>
              <w:pStyle w:val="yTableNAm"/>
            </w:pPr>
          </w:p>
        </w:tc>
        <w:tc>
          <w:tcPr>
            <w:tcW w:w="3544" w:type="dxa"/>
            <w:noWrap/>
          </w:tcPr>
          <w:p>
            <w:pPr>
              <w:pStyle w:val="yTableNAm"/>
              <w:tabs>
                <w:tab w:val="clear" w:pos="567"/>
              </w:tabs>
              <w:ind w:left="491" w:hanging="491"/>
            </w:pPr>
            <w:r>
              <w:t>(b)</w:t>
            </w:r>
            <w:r>
              <w:tab/>
              <w:t xml:space="preserve">If an officer is required to attend at a court or place out of the Court building where the officer is based — </w:t>
            </w:r>
          </w:p>
          <w:p>
            <w:pPr>
              <w:pStyle w:val="yTableNAm"/>
              <w:tabs>
                <w:tab w:val="clear" w:pos="567"/>
              </w:tabs>
              <w:ind w:left="1058" w:hanging="567"/>
            </w:pPr>
            <w:r>
              <w:t>(i)</w:t>
            </w:r>
            <w:r>
              <w:tab/>
              <w:t>the officer’s reasonable expenses approved by the Registrar</w:t>
            </w:r>
          </w:p>
          <w:p>
            <w:pPr>
              <w:pStyle w:val="yTableNAm"/>
              <w:tabs>
                <w:tab w:val="clear" w:pos="567"/>
              </w:tabs>
              <w:ind w:left="1058" w:hanging="567"/>
            </w:pPr>
            <w:r>
              <w:t>(ii)</w:t>
            </w:r>
            <w:r>
              <w:tab/>
              <w:t>in addition, for each hour the officer is necessarily absent from the officer’s office</w:t>
            </w:r>
          </w:p>
        </w:tc>
        <w:tc>
          <w:tcPr>
            <w:tcW w:w="1417" w:type="dxa"/>
            <w:noWrap/>
            <w:vAlign w:val="bottom"/>
          </w:tcPr>
          <w:p>
            <w:pPr>
              <w:pStyle w:val="yTableNAm"/>
              <w:tabs>
                <w:tab w:val="clear" w:pos="567"/>
                <w:tab w:val="left" w:pos="788"/>
              </w:tabs>
              <w:ind w:right="382"/>
              <w:jc w:val="right"/>
            </w:pPr>
            <w:r>
              <w:t>129.00</w:t>
            </w:r>
          </w:p>
        </w:tc>
        <w:tc>
          <w:tcPr>
            <w:tcW w:w="1310" w:type="dxa"/>
            <w:noWrap/>
            <w:vAlign w:val="bottom"/>
          </w:tcPr>
          <w:p>
            <w:pPr>
              <w:pStyle w:val="yTableNAm"/>
              <w:tabs>
                <w:tab w:val="clear" w:pos="567"/>
                <w:tab w:val="left" w:pos="788"/>
              </w:tabs>
              <w:ind w:right="382"/>
              <w:jc w:val="right"/>
            </w:pPr>
            <w:r>
              <w:t>38.70</w:t>
            </w:r>
          </w:p>
        </w:tc>
      </w:tr>
      <w:tr>
        <w:trPr>
          <w:cantSplit/>
        </w:trPr>
        <w:tc>
          <w:tcPr>
            <w:tcW w:w="709" w:type="dxa"/>
            <w:noWrap/>
          </w:tcPr>
          <w:p>
            <w:pPr>
              <w:pStyle w:val="yTableNAm"/>
            </w:pPr>
            <w:r>
              <w:t>6.</w:t>
            </w:r>
          </w:p>
        </w:tc>
        <w:tc>
          <w:tcPr>
            <w:tcW w:w="3544" w:type="dxa"/>
            <w:noWrap/>
          </w:tcPr>
          <w:p>
            <w:pPr>
              <w:pStyle w:val="yTableNAm"/>
              <w:tabs>
                <w:tab w:val="clear" w:pos="567"/>
              </w:tabs>
              <w:ind w:left="491" w:hanging="491"/>
            </w:pPr>
            <w:r>
              <w:t>(a)</w:t>
            </w:r>
            <w:r>
              <w:tab/>
              <w:t>Copies of documents or exhibits, for each page or part of a page</w:t>
            </w:r>
          </w:p>
        </w:tc>
        <w:tc>
          <w:tcPr>
            <w:tcW w:w="1417" w:type="dxa"/>
            <w:noWrap/>
            <w:vAlign w:val="bottom"/>
          </w:tcPr>
          <w:p>
            <w:pPr>
              <w:pStyle w:val="yTableNAm"/>
              <w:tabs>
                <w:tab w:val="clear" w:pos="567"/>
                <w:tab w:val="left" w:pos="788"/>
              </w:tabs>
              <w:ind w:right="382"/>
              <w:jc w:val="right"/>
            </w:pPr>
            <w:r>
              <w:t>2.45</w:t>
            </w:r>
          </w:p>
        </w:tc>
        <w:tc>
          <w:tcPr>
            <w:tcW w:w="1310" w:type="dxa"/>
            <w:noWrap/>
            <w:vAlign w:val="bottom"/>
          </w:tcPr>
          <w:p>
            <w:pPr>
              <w:pStyle w:val="yTableNAm"/>
              <w:tabs>
                <w:tab w:val="clear" w:pos="567"/>
                <w:tab w:val="left" w:pos="788"/>
              </w:tabs>
              <w:ind w:right="382"/>
              <w:jc w:val="right"/>
            </w:pPr>
            <w:r>
              <w:t>0.75</w:t>
            </w:r>
          </w:p>
        </w:tc>
      </w:tr>
      <w:tr>
        <w:trPr>
          <w:cantSplit/>
        </w:trPr>
        <w:tc>
          <w:tcPr>
            <w:tcW w:w="709" w:type="dxa"/>
            <w:noWrap/>
          </w:tcPr>
          <w:p>
            <w:pPr>
              <w:pStyle w:val="yTableNAm"/>
            </w:pPr>
          </w:p>
        </w:tc>
        <w:tc>
          <w:tcPr>
            <w:tcW w:w="3544" w:type="dxa"/>
            <w:noWrap/>
          </w:tcPr>
          <w:p>
            <w:pPr>
              <w:pStyle w:val="yTableNAm"/>
              <w:tabs>
                <w:tab w:val="clear" w:pos="567"/>
              </w:tabs>
              <w:ind w:left="491" w:hanging="491"/>
            </w:pPr>
            <w:r>
              <w:t>(b)</w:t>
            </w:r>
            <w:r>
              <w:tab/>
              <w:t xml:space="preserve">For a copy of reasons for judgment — </w:t>
            </w:r>
          </w:p>
          <w:p>
            <w:pPr>
              <w:pStyle w:val="yTableNAm"/>
              <w:tabs>
                <w:tab w:val="clear" w:pos="567"/>
              </w:tabs>
              <w:ind w:left="1058" w:hanging="567"/>
            </w:pPr>
            <w:r>
              <w:t>(i)</w:t>
            </w:r>
            <w:r>
              <w:tab/>
              <w:t>for each copy issued to a person, other than a party to the proceedings</w:t>
            </w:r>
          </w:p>
        </w:tc>
        <w:tc>
          <w:tcPr>
            <w:tcW w:w="1417" w:type="dxa"/>
            <w:noWrap/>
            <w:vAlign w:val="bottom"/>
          </w:tcPr>
          <w:p>
            <w:pPr>
              <w:pStyle w:val="yTableNAm"/>
              <w:tabs>
                <w:tab w:val="clear" w:pos="567"/>
                <w:tab w:val="left" w:pos="788"/>
              </w:tabs>
              <w:ind w:right="382"/>
              <w:jc w:val="right"/>
            </w:pPr>
            <w:r>
              <w:t>20.30</w:t>
            </w:r>
          </w:p>
        </w:tc>
        <w:tc>
          <w:tcPr>
            <w:tcW w:w="1310" w:type="dxa"/>
            <w:noWrap/>
            <w:vAlign w:val="bottom"/>
          </w:tcPr>
          <w:p>
            <w:pPr>
              <w:pStyle w:val="yTableNAm"/>
              <w:tabs>
                <w:tab w:val="clear" w:pos="567"/>
                <w:tab w:val="left" w:pos="788"/>
              </w:tabs>
              <w:ind w:right="382"/>
              <w:jc w:val="right"/>
            </w:pPr>
            <w:r>
              <w:t>6.10</w:t>
            </w:r>
          </w:p>
        </w:tc>
      </w:tr>
      <w:tr>
        <w:trPr>
          <w:cantSplit/>
        </w:trPr>
        <w:tc>
          <w:tcPr>
            <w:tcW w:w="709" w:type="dxa"/>
            <w:noWrap/>
          </w:tcPr>
          <w:p>
            <w:pPr>
              <w:pStyle w:val="yTableNAm"/>
            </w:pPr>
          </w:p>
        </w:tc>
        <w:tc>
          <w:tcPr>
            <w:tcW w:w="3544" w:type="dxa"/>
            <w:noWrap/>
          </w:tcPr>
          <w:p>
            <w:pPr>
              <w:pStyle w:val="yTableNAm"/>
              <w:tabs>
                <w:tab w:val="clear" w:pos="567"/>
              </w:tabs>
              <w:ind w:left="1058" w:hanging="567"/>
            </w:pPr>
            <w:r>
              <w:t>(ii)</w:t>
            </w:r>
            <w:r>
              <w:tab/>
              <w:t>for each copy in excess of 1 copy issued to a party to the proceedings</w:t>
            </w:r>
          </w:p>
        </w:tc>
        <w:tc>
          <w:tcPr>
            <w:tcW w:w="1417" w:type="dxa"/>
            <w:noWrap/>
            <w:vAlign w:val="bottom"/>
          </w:tcPr>
          <w:p>
            <w:pPr>
              <w:pStyle w:val="yTableNAm"/>
              <w:tabs>
                <w:tab w:val="clear" w:pos="567"/>
                <w:tab w:val="left" w:pos="788"/>
              </w:tabs>
              <w:ind w:right="382"/>
              <w:jc w:val="right"/>
            </w:pPr>
            <w:r>
              <w:t>20.30</w:t>
            </w:r>
          </w:p>
        </w:tc>
        <w:tc>
          <w:tcPr>
            <w:tcW w:w="1310" w:type="dxa"/>
            <w:noWrap/>
            <w:vAlign w:val="bottom"/>
          </w:tcPr>
          <w:p>
            <w:pPr>
              <w:pStyle w:val="yTableNAm"/>
              <w:tabs>
                <w:tab w:val="clear" w:pos="567"/>
                <w:tab w:val="left" w:pos="788"/>
              </w:tabs>
              <w:ind w:right="382"/>
              <w:jc w:val="right"/>
            </w:pPr>
            <w:r>
              <w:t>6.10</w:t>
            </w:r>
          </w:p>
        </w:tc>
      </w:tr>
      <w:tr>
        <w:trPr>
          <w:cantSplit/>
        </w:trPr>
        <w:tc>
          <w:tcPr>
            <w:tcW w:w="709" w:type="dxa"/>
            <w:noWrap/>
          </w:tcPr>
          <w:p>
            <w:pPr>
              <w:pStyle w:val="yTableNAm"/>
            </w:pPr>
          </w:p>
        </w:tc>
        <w:tc>
          <w:tcPr>
            <w:tcW w:w="3544" w:type="dxa"/>
            <w:noWrap/>
          </w:tcPr>
          <w:p>
            <w:pPr>
              <w:pStyle w:val="yTableNAm"/>
              <w:tabs>
                <w:tab w:val="clear" w:pos="567"/>
              </w:tabs>
              <w:ind w:left="1058" w:hanging="567"/>
            </w:pPr>
            <w:r>
              <w:t>(iii)</w:t>
            </w:r>
            <w:r>
              <w:tab/>
              <w:t>for each copy consisting of 10 or more pages, an additional fee per page</w:t>
            </w:r>
          </w:p>
        </w:tc>
        <w:tc>
          <w:tcPr>
            <w:tcW w:w="1417" w:type="dxa"/>
            <w:noWrap/>
            <w:vAlign w:val="bottom"/>
          </w:tcPr>
          <w:p>
            <w:pPr>
              <w:pStyle w:val="yTableNAm"/>
              <w:tabs>
                <w:tab w:val="clear" w:pos="567"/>
                <w:tab w:val="left" w:pos="788"/>
              </w:tabs>
              <w:ind w:right="382"/>
              <w:jc w:val="right"/>
            </w:pPr>
            <w:r>
              <w:t>2.60</w:t>
            </w:r>
          </w:p>
        </w:tc>
        <w:tc>
          <w:tcPr>
            <w:tcW w:w="1310" w:type="dxa"/>
            <w:noWrap/>
            <w:vAlign w:val="bottom"/>
          </w:tcPr>
          <w:p>
            <w:pPr>
              <w:pStyle w:val="yTableNAm"/>
              <w:tabs>
                <w:tab w:val="clear" w:pos="567"/>
                <w:tab w:val="left" w:pos="788"/>
              </w:tabs>
              <w:ind w:right="382"/>
              <w:jc w:val="right"/>
            </w:pPr>
            <w:r>
              <w:t>0.80</w:t>
            </w:r>
          </w:p>
        </w:tc>
      </w:tr>
      <w:tr>
        <w:trPr>
          <w:cantSplit/>
        </w:trPr>
        <w:tc>
          <w:tcPr>
            <w:tcW w:w="709" w:type="dxa"/>
            <w:noWrap/>
          </w:tcPr>
          <w:p>
            <w:pPr>
              <w:pStyle w:val="yTableNAm"/>
            </w:pPr>
          </w:p>
        </w:tc>
        <w:tc>
          <w:tcPr>
            <w:tcW w:w="3544" w:type="dxa"/>
            <w:noWrap/>
          </w:tcPr>
          <w:p>
            <w:pPr>
              <w:pStyle w:val="yTableNAm"/>
              <w:tabs>
                <w:tab w:val="clear" w:pos="567"/>
              </w:tabs>
              <w:ind w:left="491" w:hanging="491"/>
            </w:pPr>
            <w:r>
              <w:t>(c)</w:t>
            </w:r>
            <w:r>
              <w:tab/>
              <w:t>Additional fee for certifying that a document is a true copy</w:t>
            </w:r>
          </w:p>
        </w:tc>
        <w:tc>
          <w:tcPr>
            <w:tcW w:w="1417" w:type="dxa"/>
            <w:noWrap/>
            <w:vAlign w:val="bottom"/>
          </w:tcPr>
          <w:p>
            <w:pPr>
              <w:pStyle w:val="yTableNAm"/>
              <w:tabs>
                <w:tab w:val="clear" w:pos="567"/>
              </w:tabs>
              <w:ind w:right="382"/>
              <w:jc w:val="right"/>
            </w:pPr>
            <w:r>
              <w:t>27.20</w:t>
            </w:r>
          </w:p>
        </w:tc>
        <w:tc>
          <w:tcPr>
            <w:tcW w:w="1310" w:type="dxa"/>
            <w:noWrap/>
            <w:vAlign w:val="bottom"/>
          </w:tcPr>
          <w:p>
            <w:pPr>
              <w:pStyle w:val="yTableNAm"/>
              <w:tabs>
                <w:tab w:val="clear" w:pos="567"/>
              </w:tabs>
              <w:ind w:right="382"/>
              <w:jc w:val="right"/>
            </w:pPr>
            <w:r>
              <w:t>8.15</w:t>
            </w:r>
          </w:p>
        </w:tc>
      </w:tr>
      <w:tr>
        <w:trPr>
          <w:cantSplit/>
        </w:trPr>
        <w:tc>
          <w:tcPr>
            <w:tcW w:w="709" w:type="dxa"/>
            <w:noWrap/>
          </w:tcPr>
          <w:p>
            <w:pPr>
              <w:pStyle w:val="yTableNAm"/>
            </w:pPr>
          </w:p>
        </w:tc>
        <w:tc>
          <w:tcPr>
            <w:tcW w:w="6271"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ind w:left="493"/>
              <w:rPr>
                <w:rFonts w:ascii="Arial" w:hAnsi="Arial" w:cs="Arial"/>
                <w:sz w:val="18"/>
                <w:szCs w:val="18"/>
              </w:rPr>
            </w:pPr>
            <w:r>
              <w:rPr>
                <w:rFonts w:ascii="Arial" w:hAnsi="Arial" w:cs="Arial"/>
                <w:sz w:val="18"/>
                <w:szCs w:val="18"/>
              </w:rPr>
              <w:t>The fee under paragraph (a) for a copy of an application is not payable if circumstances under regulation 6(4) exist.</w:t>
            </w:r>
          </w:p>
        </w:tc>
      </w:tr>
      <w:tr>
        <w:trPr>
          <w:cantSplit/>
        </w:trPr>
        <w:tc>
          <w:tcPr>
            <w:tcW w:w="709" w:type="dxa"/>
            <w:noWrap/>
          </w:tcPr>
          <w:p>
            <w:pPr>
              <w:pStyle w:val="yTableNAm"/>
            </w:pPr>
            <w:r>
              <w:t>7.</w:t>
            </w:r>
          </w:p>
        </w:tc>
        <w:tc>
          <w:tcPr>
            <w:tcW w:w="3544" w:type="dxa"/>
            <w:noWrap/>
          </w:tcPr>
          <w:p>
            <w:pPr>
              <w:pStyle w:val="yTableNAm"/>
              <w:tabs>
                <w:tab w:val="clear" w:pos="567"/>
              </w:tabs>
              <w:ind w:left="491" w:hanging="491"/>
            </w:pPr>
            <w:r>
              <w:t>(a)</w:t>
            </w:r>
            <w:r>
              <w:tab/>
              <w:t xml:space="preserve">For providing a transcript, or part of a transcript — </w:t>
            </w:r>
          </w:p>
        </w:tc>
        <w:tc>
          <w:tcPr>
            <w:tcW w:w="1417" w:type="dxa"/>
            <w:noWrap/>
            <w:vAlign w:val="bottom"/>
          </w:tcPr>
          <w:p>
            <w:pPr>
              <w:pStyle w:val="yTableNAm"/>
            </w:pPr>
          </w:p>
        </w:tc>
        <w:tc>
          <w:tcPr>
            <w:tcW w:w="1310" w:type="dxa"/>
            <w:noWrap/>
            <w:vAlign w:val="bottom"/>
          </w:tcPr>
          <w:p>
            <w:pPr>
              <w:pStyle w:val="yTableNAm"/>
            </w:pPr>
          </w:p>
        </w:tc>
      </w:tr>
      <w:tr>
        <w:trPr>
          <w:cantSplit/>
        </w:trPr>
        <w:tc>
          <w:tcPr>
            <w:tcW w:w="709" w:type="dxa"/>
            <w:noWrap/>
          </w:tcPr>
          <w:p>
            <w:pPr>
              <w:pStyle w:val="yTableNAm"/>
            </w:pPr>
          </w:p>
        </w:tc>
        <w:tc>
          <w:tcPr>
            <w:tcW w:w="3544" w:type="dxa"/>
            <w:noWrap/>
          </w:tcPr>
          <w:p>
            <w:pPr>
              <w:pStyle w:val="yTableNAm"/>
              <w:tabs>
                <w:tab w:val="clear" w:pos="567"/>
              </w:tabs>
              <w:ind w:left="1058" w:hanging="567"/>
            </w:pPr>
            <w:r>
              <w:t>(i)</w:t>
            </w:r>
            <w:r>
              <w:tab/>
              <w:t xml:space="preserve">provided within 1 day after the day on which the fee is paid </w:t>
            </w:r>
          </w:p>
        </w:tc>
        <w:tc>
          <w:tcPr>
            <w:tcW w:w="1417" w:type="dxa"/>
            <w:noWrap/>
          </w:tcPr>
          <w:p>
            <w:pPr>
              <w:pStyle w:val="yTableNAm"/>
              <w:ind w:left="209"/>
            </w:pPr>
            <w:r>
              <w:t>26.90 plus</w:t>
            </w:r>
            <w:r>
              <w:br/>
              <w:t>11.10 per page</w:t>
            </w:r>
          </w:p>
        </w:tc>
        <w:tc>
          <w:tcPr>
            <w:tcW w:w="1310" w:type="dxa"/>
            <w:noWrap/>
          </w:tcPr>
          <w:p>
            <w:pPr>
              <w:pStyle w:val="yTableNAm"/>
              <w:ind w:left="209"/>
            </w:pPr>
            <w:r>
              <w:t xml:space="preserve">8.05 plus </w:t>
            </w:r>
            <w:r>
              <w:br/>
              <w:t>3.35 per page</w:t>
            </w:r>
          </w:p>
        </w:tc>
      </w:tr>
      <w:tr>
        <w:trPr>
          <w:cantSplit/>
        </w:trPr>
        <w:tc>
          <w:tcPr>
            <w:tcW w:w="709" w:type="dxa"/>
            <w:noWrap/>
          </w:tcPr>
          <w:p>
            <w:pPr>
              <w:pStyle w:val="yTableNAm"/>
            </w:pPr>
          </w:p>
        </w:tc>
        <w:tc>
          <w:tcPr>
            <w:tcW w:w="3544" w:type="dxa"/>
            <w:noWrap/>
          </w:tcPr>
          <w:p>
            <w:pPr>
              <w:pStyle w:val="yTableNAm"/>
              <w:tabs>
                <w:tab w:val="clear" w:pos="567"/>
              </w:tabs>
              <w:ind w:left="1058" w:hanging="567"/>
            </w:pPr>
            <w:r>
              <w:t>(ii)</w:t>
            </w:r>
            <w:r>
              <w:tab/>
              <w:t xml:space="preserve">provided within 2 days after the day on which the fee is paid </w:t>
            </w:r>
          </w:p>
        </w:tc>
        <w:tc>
          <w:tcPr>
            <w:tcW w:w="1417" w:type="dxa"/>
            <w:noWrap/>
          </w:tcPr>
          <w:p>
            <w:pPr>
              <w:pStyle w:val="yTableNAm"/>
              <w:ind w:left="209"/>
            </w:pPr>
            <w:r>
              <w:t>26.90 plus</w:t>
            </w:r>
            <w:r>
              <w:br/>
              <w:t>10.20 per page</w:t>
            </w:r>
          </w:p>
        </w:tc>
        <w:tc>
          <w:tcPr>
            <w:tcW w:w="1310" w:type="dxa"/>
            <w:noWrap/>
          </w:tcPr>
          <w:p>
            <w:pPr>
              <w:pStyle w:val="yTableNAm"/>
              <w:ind w:left="209"/>
            </w:pPr>
            <w:r>
              <w:t xml:space="preserve">8.05 plus </w:t>
            </w:r>
            <w:r>
              <w:br/>
              <w:t>3.05 per page</w:t>
            </w:r>
          </w:p>
        </w:tc>
      </w:tr>
      <w:tr>
        <w:trPr>
          <w:cantSplit/>
        </w:trPr>
        <w:tc>
          <w:tcPr>
            <w:tcW w:w="709" w:type="dxa"/>
            <w:noWrap/>
          </w:tcPr>
          <w:p>
            <w:pPr>
              <w:pStyle w:val="yTableNAm"/>
            </w:pPr>
          </w:p>
        </w:tc>
        <w:tc>
          <w:tcPr>
            <w:tcW w:w="3544" w:type="dxa"/>
            <w:noWrap/>
          </w:tcPr>
          <w:p>
            <w:pPr>
              <w:pStyle w:val="yTableNAm"/>
              <w:tabs>
                <w:tab w:val="clear" w:pos="567"/>
              </w:tabs>
              <w:ind w:left="1058" w:hanging="567"/>
            </w:pPr>
            <w:r>
              <w:t>(iii)</w:t>
            </w:r>
            <w:r>
              <w:tab/>
              <w:t xml:space="preserve">provided within 4 days after the day on which the fee is paid </w:t>
            </w:r>
          </w:p>
        </w:tc>
        <w:tc>
          <w:tcPr>
            <w:tcW w:w="1417" w:type="dxa"/>
            <w:noWrap/>
          </w:tcPr>
          <w:p>
            <w:pPr>
              <w:pStyle w:val="yTableNAm"/>
              <w:ind w:left="209"/>
            </w:pPr>
            <w:r>
              <w:t>26.90 plus</w:t>
            </w:r>
            <w:r>
              <w:br/>
              <w:t>9.60 per page</w:t>
            </w:r>
          </w:p>
        </w:tc>
        <w:tc>
          <w:tcPr>
            <w:tcW w:w="1310" w:type="dxa"/>
            <w:noWrap/>
          </w:tcPr>
          <w:p>
            <w:pPr>
              <w:pStyle w:val="yTableNAm"/>
              <w:ind w:left="209"/>
            </w:pPr>
            <w:r>
              <w:t xml:space="preserve">8.05 plus </w:t>
            </w:r>
            <w:r>
              <w:br/>
              <w:t>2.90 per page</w:t>
            </w:r>
          </w:p>
        </w:tc>
      </w:tr>
      <w:tr>
        <w:trPr>
          <w:cantSplit/>
        </w:trPr>
        <w:tc>
          <w:tcPr>
            <w:tcW w:w="709" w:type="dxa"/>
            <w:noWrap/>
          </w:tcPr>
          <w:p>
            <w:pPr>
              <w:pStyle w:val="yTableNAm"/>
            </w:pPr>
          </w:p>
        </w:tc>
        <w:tc>
          <w:tcPr>
            <w:tcW w:w="3544" w:type="dxa"/>
            <w:noWrap/>
          </w:tcPr>
          <w:p>
            <w:pPr>
              <w:pStyle w:val="yTableNAm"/>
              <w:tabs>
                <w:tab w:val="clear" w:pos="567"/>
              </w:tabs>
              <w:ind w:left="1058" w:hanging="567"/>
            </w:pPr>
            <w:r>
              <w:t>(iv)</w:t>
            </w:r>
            <w:r>
              <w:tab/>
              <w:t xml:space="preserve">provided within 7 days after the day on which the fee is paid </w:t>
            </w:r>
          </w:p>
        </w:tc>
        <w:tc>
          <w:tcPr>
            <w:tcW w:w="1417" w:type="dxa"/>
            <w:noWrap/>
          </w:tcPr>
          <w:p>
            <w:pPr>
              <w:pStyle w:val="yTableNAm"/>
              <w:ind w:left="209"/>
            </w:pPr>
            <w:r>
              <w:t xml:space="preserve">26.90 plus </w:t>
            </w:r>
            <w:r>
              <w:br/>
              <w:t>9.30 per page</w:t>
            </w:r>
          </w:p>
        </w:tc>
        <w:tc>
          <w:tcPr>
            <w:tcW w:w="1310" w:type="dxa"/>
            <w:noWrap/>
          </w:tcPr>
          <w:p>
            <w:pPr>
              <w:pStyle w:val="yTableNAm"/>
              <w:ind w:left="209"/>
            </w:pPr>
            <w:r>
              <w:t xml:space="preserve">8.05 plus </w:t>
            </w:r>
            <w:r>
              <w:br/>
              <w:t>2.80 per page</w:t>
            </w:r>
          </w:p>
        </w:tc>
      </w:tr>
      <w:tr>
        <w:trPr>
          <w:cantSplit/>
        </w:trPr>
        <w:tc>
          <w:tcPr>
            <w:tcW w:w="709" w:type="dxa"/>
            <w:noWrap/>
          </w:tcPr>
          <w:p>
            <w:pPr>
              <w:pStyle w:val="yTableNAm"/>
            </w:pPr>
          </w:p>
        </w:tc>
        <w:tc>
          <w:tcPr>
            <w:tcW w:w="3544" w:type="dxa"/>
            <w:noWrap/>
          </w:tcPr>
          <w:p>
            <w:pPr>
              <w:pStyle w:val="yTableNAm"/>
              <w:tabs>
                <w:tab w:val="clear" w:pos="567"/>
              </w:tabs>
              <w:ind w:left="1058" w:hanging="567"/>
            </w:pPr>
            <w:r>
              <w:t>(v)</w:t>
            </w:r>
            <w:r>
              <w:tab/>
              <w:t>provided within 14 days after the day on which the fee is paid</w:t>
            </w:r>
          </w:p>
        </w:tc>
        <w:tc>
          <w:tcPr>
            <w:tcW w:w="1417" w:type="dxa"/>
            <w:noWrap/>
          </w:tcPr>
          <w:p>
            <w:pPr>
              <w:pStyle w:val="yTableNAm"/>
              <w:ind w:left="209"/>
            </w:pPr>
            <w:r>
              <w:t xml:space="preserve">26.90 plus </w:t>
            </w:r>
            <w:r>
              <w:br/>
              <w:t>7.85 per page</w:t>
            </w:r>
          </w:p>
        </w:tc>
        <w:tc>
          <w:tcPr>
            <w:tcW w:w="1310" w:type="dxa"/>
            <w:noWrap/>
          </w:tcPr>
          <w:p>
            <w:pPr>
              <w:pStyle w:val="yTableNAm"/>
              <w:ind w:left="209"/>
            </w:pPr>
            <w:r>
              <w:t xml:space="preserve">8.05 plus </w:t>
            </w:r>
            <w:r>
              <w:br/>
              <w:t>2.35 per page</w:t>
            </w:r>
          </w:p>
        </w:tc>
      </w:tr>
      <w:tr>
        <w:trPr>
          <w:cantSplit/>
        </w:trPr>
        <w:tc>
          <w:tcPr>
            <w:tcW w:w="709" w:type="dxa"/>
            <w:noWrap/>
          </w:tcPr>
          <w:p>
            <w:pPr>
              <w:pStyle w:val="yTableNAm"/>
            </w:pPr>
          </w:p>
        </w:tc>
        <w:tc>
          <w:tcPr>
            <w:tcW w:w="3544" w:type="dxa"/>
            <w:noWrap/>
          </w:tcPr>
          <w:p>
            <w:pPr>
              <w:pStyle w:val="yTableNAm"/>
              <w:tabs>
                <w:tab w:val="clear" w:pos="567"/>
              </w:tabs>
              <w:ind w:left="1058" w:hanging="567"/>
            </w:pPr>
            <w:r>
              <w:t>(vi)</w:t>
            </w:r>
            <w:r>
              <w:tab/>
              <w:t>provided on a running basis (i.e. periodically throughout or following the day of the proceedings)</w:t>
            </w:r>
          </w:p>
        </w:tc>
        <w:tc>
          <w:tcPr>
            <w:tcW w:w="1417" w:type="dxa"/>
            <w:noWrap/>
          </w:tcPr>
          <w:p>
            <w:pPr>
              <w:pStyle w:val="yTableNAm"/>
              <w:ind w:left="209"/>
            </w:pPr>
            <w:r>
              <w:t xml:space="preserve">26.90 plus </w:t>
            </w:r>
            <w:r>
              <w:br/>
              <w:t>11.80 per page</w:t>
            </w:r>
          </w:p>
        </w:tc>
        <w:tc>
          <w:tcPr>
            <w:tcW w:w="1310" w:type="dxa"/>
            <w:noWrap/>
          </w:tcPr>
          <w:p>
            <w:pPr>
              <w:pStyle w:val="yTableNAm"/>
              <w:ind w:left="209"/>
            </w:pPr>
            <w:r>
              <w:t xml:space="preserve">8.05 plus </w:t>
            </w:r>
            <w:r>
              <w:br/>
              <w:t>3.55 per page</w:t>
            </w:r>
          </w:p>
        </w:tc>
      </w:tr>
      <w:tr>
        <w:trPr>
          <w:cantSplit/>
        </w:trPr>
        <w:tc>
          <w:tcPr>
            <w:tcW w:w="709" w:type="dxa"/>
            <w:noWrap/>
          </w:tcPr>
          <w:p>
            <w:pPr>
              <w:pStyle w:val="yTableNAm"/>
              <w:keepNext/>
            </w:pPr>
          </w:p>
        </w:tc>
        <w:tc>
          <w:tcPr>
            <w:tcW w:w="3544" w:type="dxa"/>
            <w:noWrap/>
          </w:tcPr>
          <w:p>
            <w:pPr>
              <w:pStyle w:val="yTableNAm"/>
              <w:keepNext/>
              <w:tabs>
                <w:tab w:val="clear" w:pos="567"/>
              </w:tabs>
              <w:ind w:left="491" w:hanging="491"/>
            </w:pPr>
            <w:r>
              <w:t>(b)</w:t>
            </w:r>
            <w:r>
              <w:tab/>
              <w:t>For providing a copy of a transcript, or part of a transcript, if the transcript or part has been provided to the person requesting the copy —</w:t>
            </w:r>
          </w:p>
        </w:tc>
        <w:tc>
          <w:tcPr>
            <w:tcW w:w="1417" w:type="dxa"/>
            <w:noWrap/>
          </w:tcPr>
          <w:p>
            <w:pPr>
              <w:pStyle w:val="yTableNAm"/>
              <w:keepNext/>
            </w:pPr>
          </w:p>
        </w:tc>
        <w:tc>
          <w:tcPr>
            <w:tcW w:w="1310" w:type="dxa"/>
            <w:noWrap/>
          </w:tcPr>
          <w:p>
            <w:pPr>
              <w:pStyle w:val="yTableNAm"/>
              <w:keepNext/>
            </w:pPr>
          </w:p>
        </w:tc>
      </w:tr>
      <w:tr>
        <w:trPr>
          <w:cantSplit/>
        </w:trPr>
        <w:tc>
          <w:tcPr>
            <w:tcW w:w="709" w:type="dxa"/>
            <w:noWrap/>
          </w:tcPr>
          <w:p>
            <w:pPr>
              <w:pStyle w:val="yTableNAm"/>
            </w:pPr>
          </w:p>
        </w:tc>
        <w:tc>
          <w:tcPr>
            <w:tcW w:w="3544" w:type="dxa"/>
            <w:noWrap/>
          </w:tcPr>
          <w:p>
            <w:pPr>
              <w:pStyle w:val="yTableNAm"/>
              <w:tabs>
                <w:tab w:val="clear" w:pos="567"/>
              </w:tabs>
              <w:ind w:left="1058" w:hanging="567"/>
            </w:pPr>
            <w:r>
              <w:t>(i)</w:t>
            </w:r>
            <w:r>
              <w:tab/>
              <w:t>electronic format</w:t>
            </w:r>
          </w:p>
        </w:tc>
        <w:tc>
          <w:tcPr>
            <w:tcW w:w="1417" w:type="dxa"/>
            <w:noWrap/>
          </w:tcPr>
          <w:p>
            <w:pPr>
              <w:pStyle w:val="yTableNAm"/>
              <w:ind w:left="209"/>
            </w:pPr>
            <w:r>
              <w:t>28.10 per copy</w:t>
            </w:r>
          </w:p>
        </w:tc>
        <w:tc>
          <w:tcPr>
            <w:tcW w:w="1310" w:type="dxa"/>
            <w:noWrap/>
          </w:tcPr>
          <w:p>
            <w:pPr>
              <w:pStyle w:val="yTableNAm"/>
              <w:ind w:left="209"/>
            </w:pPr>
            <w:r>
              <w:t>8.45 per copy</w:t>
            </w:r>
          </w:p>
        </w:tc>
      </w:tr>
      <w:tr>
        <w:trPr>
          <w:cantSplit/>
        </w:trPr>
        <w:tc>
          <w:tcPr>
            <w:tcW w:w="709" w:type="dxa"/>
            <w:noWrap/>
          </w:tcPr>
          <w:p>
            <w:pPr>
              <w:pStyle w:val="yTableNAm"/>
            </w:pPr>
          </w:p>
        </w:tc>
        <w:tc>
          <w:tcPr>
            <w:tcW w:w="3544" w:type="dxa"/>
            <w:noWrap/>
          </w:tcPr>
          <w:p>
            <w:pPr>
              <w:pStyle w:val="yTableNAm"/>
              <w:tabs>
                <w:tab w:val="clear" w:pos="567"/>
              </w:tabs>
              <w:ind w:left="1058" w:hanging="567"/>
            </w:pPr>
            <w:r>
              <w:t>(ii)</w:t>
            </w:r>
            <w:r>
              <w:tab/>
              <w:t>paper copy</w:t>
            </w:r>
          </w:p>
        </w:tc>
        <w:tc>
          <w:tcPr>
            <w:tcW w:w="1417" w:type="dxa"/>
            <w:noWrap/>
          </w:tcPr>
          <w:p>
            <w:pPr>
              <w:pStyle w:val="yTableNAm"/>
              <w:ind w:left="209"/>
            </w:pPr>
            <w:r>
              <w:t>2.80 per page</w:t>
            </w:r>
          </w:p>
        </w:tc>
        <w:tc>
          <w:tcPr>
            <w:tcW w:w="1310" w:type="dxa"/>
            <w:noWrap/>
          </w:tcPr>
          <w:p>
            <w:pPr>
              <w:pStyle w:val="yTableNAm"/>
              <w:ind w:left="209"/>
            </w:pPr>
            <w:r>
              <w:t>0.85 per page</w:t>
            </w:r>
          </w:p>
        </w:tc>
      </w:tr>
      <w:tr>
        <w:trPr>
          <w:cantSplit/>
        </w:trPr>
        <w:tc>
          <w:tcPr>
            <w:tcW w:w="709" w:type="dxa"/>
            <w:tcBorders>
              <w:bottom w:val="single" w:sz="4" w:space="0" w:color="auto"/>
            </w:tcBorders>
            <w:noWrap/>
          </w:tcPr>
          <w:p>
            <w:pPr>
              <w:pStyle w:val="yTableNAm"/>
            </w:pPr>
          </w:p>
        </w:tc>
        <w:tc>
          <w:tcPr>
            <w:tcW w:w="6271" w:type="dxa"/>
            <w:gridSpan w:val="3"/>
            <w:tcBorders>
              <w:bottom w:val="single" w:sz="4" w:space="0" w:color="auto"/>
            </w:tcBorders>
            <w:noWrap/>
          </w:tcPr>
          <w:p>
            <w:pPr>
              <w:pStyle w:val="yTableNAm"/>
              <w:rPr>
                <w:rFonts w:ascii="Arial" w:hAnsi="Arial" w:cs="Arial"/>
                <w:sz w:val="18"/>
                <w:szCs w:val="18"/>
              </w:rPr>
            </w:pPr>
            <w:r>
              <w:rPr>
                <w:rFonts w:ascii="Arial" w:hAnsi="Arial" w:cs="Arial"/>
                <w:sz w:val="18"/>
                <w:szCs w:val="18"/>
              </w:rPr>
              <w:t>Note for this item:</w:t>
            </w:r>
          </w:p>
          <w:p>
            <w:pPr>
              <w:pStyle w:val="yTableNAm"/>
              <w:ind w:left="493"/>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 SL 2023/120 r. 6.]</w:t>
      </w:r>
    </w:p>
    <w:p>
      <w:pPr>
        <w:pStyle w:val="yHeading3"/>
      </w:pPr>
      <w:bookmarkStart w:id="21" w:name="_Toc154745895"/>
      <w:r>
        <w:rPr>
          <w:rStyle w:val="CharSDivNo"/>
        </w:rPr>
        <w:t>Division 2</w:t>
      </w:r>
      <w:r>
        <w:t> — </w:t>
      </w:r>
      <w:r>
        <w:rPr>
          <w:rStyle w:val="CharSDivText"/>
        </w:rPr>
        <w:t>Civil jurisdiction</w:t>
      </w:r>
      <w:bookmarkEnd w:id="21"/>
    </w:p>
    <w:p>
      <w:pPr>
        <w:pStyle w:val="yFootnoteheading"/>
        <w:spacing w:after="60"/>
      </w:pPr>
      <w:r>
        <w:tab/>
        <w:t>[Heading inserted: SL 2023/120 r. 6.]</w:t>
      </w:r>
    </w:p>
    <w:tbl>
      <w:tblPr>
        <w:tblW w:w="7088" w:type="dxa"/>
        <w:tblLayout w:type="fixed"/>
        <w:tblLook w:val="0000" w:firstRow="0" w:lastRow="0" w:firstColumn="0" w:lastColumn="0" w:noHBand="0" w:noVBand="0"/>
      </w:tblPr>
      <w:tblGrid>
        <w:gridCol w:w="741"/>
        <w:gridCol w:w="3512"/>
        <w:gridCol w:w="1451"/>
        <w:gridCol w:w="1384"/>
      </w:tblGrid>
      <w:tr>
        <w:trPr>
          <w:cantSplit/>
          <w:tblHeader/>
        </w:trPr>
        <w:tc>
          <w:tcPr>
            <w:tcW w:w="741" w:type="dxa"/>
            <w:tcBorders>
              <w:top w:val="single" w:sz="4" w:space="0" w:color="auto"/>
              <w:bottom w:val="single" w:sz="4" w:space="0" w:color="auto"/>
            </w:tcBorders>
            <w:noWrap/>
          </w:tcPr>
          <w:p>
            <w:pPr>
              <w:pStyle w:val="yTableNAm"/>
              <w:jc w:val="center"/>
              <w:rPr>
                <w:b/>
              </w:rPr>
            </w:pPr>
            <w:r>
              <w:rPr>
                <w:b/>
              </w:rPr>
              <w:t>Item</w:t>
            </w:r>
          </w:p>
        </w:tc>
        <w:tc>
          <w:tcPr>
            <w:tcW w:w="3512" w:type="dxa"/>
            <w:tcBorders>
              <w:top w:val="single" w:sz="4" w:space="0" w:color="auto"/>
              <w:bottom w:val="single" w:sz="4" w:space="0" w:color="auto"/>
            </w:tcBorders>
            <w:noWrap/>
          </w:tcPr>
          <w:p>
            <w:pPr>
              <w:pStyle w:val="yTableNAm"/>
              <w:jc w:val="center"/>
              <w:rPr>
                <w:b/>
              </w:rPr>
            </w:pPr>
            <w:r>
              <w:rPr>
                <w:b/>
              </w:rPr>
              <w:t>Matter</w:t>
            </w:r>
          </w:p>
        </w:tc>
        <w:tc>
          <w:tcPr>
            <w:tcW w:w="1451"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w:t>
            </w:r>
            <w:r>
              <w:rPr>
                <w:b/>
              </w:rPr>
              <w:br/>
            </w:r>
            <w:r>
              <w:rPr>
                <w:b/>
              </w:rPr>
              <w:br/>
              <w:t>$</w:t>
            </w:r>
          </w:p>
        </w:tc>
        <w:tc>
          <w:tcPr>
            <w:tcW w:w="1384"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eligible individual</w:t>
            </w:r>
            <w:r>
              <w:rPr>
                <w:b/>
              </w:rPr>
              <w:br/>
              <w:t>$</w:t>
            </w:r>
          </w:p>
        </w:tc>
      </w:tr>
      <w:tr>
        <w:trPr>
          <w:cantSplit/>
        </w:trPr>
        <w:tc>
          <w:tcPr>
            <w:tcW w:w="741" w:type="dxa"/>
            <w:tcBorders>
              <w:top w:val="single" w:sz="4" w:space="0" w:color="auto"/>
            </w:tcBorders>
            <w:noWrap/>
          </w:tcPr>
          <w:p>
            <w:pPr>
              <w:pStyle w:val="yTableNAm"/>
            </w:pPr>
            <w:r>
              <w:t>1.</w:t>
            </w:r>
          </w:p>
        </w:tc>
        <w:tc>
          <w:tcPr>
            <w:tcW w:w="3512" w:type="dxa"/>
            <w:tcBorders>
              <w:top w:val="single" w:sz="4" w:space="0" w:color="auto"/>
            </w:tcBorders>
            <w:noWrap/>
          </w:tcPr>
          <w:p>
            <w:pPr>
              <w:pStyle w:val="yTableNAm"/>
            </w:pPr>
            <w:r>
              <w:t xml:space="preserve">On filing an application for a misconduct restraining order under the </w:t>
            </w:r>
            <w:r>
              <w:rPr>
                <w:i/>
                <w:iCs/>
              </w:rPr>
              <w:t>Restraining Orders Act 1997</w:t>
            </w:r>
            <w:r>
              <w:t xml:space="preserve"> </w:t>
            </w:r>
          </w:p>
        </w:tc>
        <w:tc>
          <w:tcPr>
            <w:tcW w:w="1451" w:type="dxa"/>
            <w:tcBorders>
              <w:top w:val="single" w:sz="4" w:space="0" w:color="auto"/>
            </w:tcBorders>
            <w:noWrap/>
            <w:vAlign w:val="bottom"/>
          </w:tcPr>
          <w:p>
            <w:pPr>
              <w:pStyle w:val="yTableNAm"/>
              <w:tabs>
                <w:tab w:val="clear" w:pos="567"/>
              </w:tabs>
              <w:ind w:right="352"/>
              <w:jc w:val="right"/>
            </w:pPr>
            <w:r>
              <w:t>168.00</w:t>
            </w:r>
          </w:p>
        </w:tc>
        <w:tc>
          <w:tcPr>
            <w:tcW w:w="1384" w:type="dxa"/>
            <w:tcBorders>
              <w:top w:val="single" w:sz="4" w:space="0" w:color="auto"/>
            </w:tcBorders>
            <w:noWrap/>
            <w:vAlign w:val="bottom"/>
          </w:tcPr>
          <w:p>
            <w:pPr>
              <w:pStyle w:val="yTableNAm"/>
              <w:tabs>
                <w:tab w:val="clear" w:pos="567"/>
              </w:tabs>
              <w:ind w:right="352"/>
              <w:jc w:val="right"/>
            </w:pPr>
            <w:r>
              <w:t>50.50</w:t>
            </w:r>
          </w:p>
        </w:tc>
      </w:tr>
      <w:tr>
        <w:trPr>
          <w:cantSplit/>
        </w:trPr>
        <w:tc>
          <w:tcPr>
            <w:tcW w:w="741" w:type="dxa"/>
            <w:noWrap/>
          </w:tcPr>
          <w:p>
            <w:pPr>
              <w:pStyle w:val="yTableNAm"/>
            </w:pPr>
            <w:r>
              <w:t>2.</w:t>
            </w:r>
          </w:p>
        </w:tc>
        <w:tc>
          <w:tcPr>
            <w:tcW w:w="3512" w:type="dxa"/>
            <w:noWrap/>
          </w:tcPr>
          <w:p>
            <w:pPr>
              <w:pStyle w:val="yTableNAm"/>
            </w:pPr>
            <w:r>
              <w:t xml:space="preserve">On the execution of an arrest warrant of any kind — </w:t>
            </w:r>
          </w:p>
        </w:tc>
        <w:tc>
          <w:tcPr>
            <w:tcW w:w="1451" w:type="dxa"/>
            <w:noWrap/>
            <w:vAlign w:val="bottom"/>
          </w:tcPr>
          <w:p>
            <w:pPr>
              <w:pStyle w:val="yTableNAm"/>
              <w:tabs>
                <w:tab w:val="clear" w:pos="567"/>
              </w:tabs>
              <w:ind w:right="352"/>
              <w:jc w:val="right"/>
            </w:pPr>
          </w:p>
        </w:tc>
        <w:tc>
          <w:tcPr>
            <w:tcW w:w="1384" w:type="dxa"/>
            <w:noWrap/>
            <w:vAlign w:val="bottom"/>
          </w:tcPr>
          <w:p>
            <w:pPr>
              <w:pStyle w:val="yTableNAm"/>
              <w:tabs>
                <w:tab w:val="clear" w:pos="567"/>
              </w:tabs>
              <w:ind w:right="352"/>
              <w:jc w:val="right"/>
            </w:pPr>
          </w:p>
        </w:tc>
      </w:tr>
      <w:tr>
        <w:trPr>
          <w:cantSplit/>
        </w:trPr>
        <w:tc>
          <w:tcPr>
            <w:tcW w:w="741" w:type="dxa"/>
            <w:noWrap/>
          </w:tcPr>
          <w:p>
            <w:pPr>
              <w:pStyle w:val="yTableNAm"/>
            </w:pPr>
          </w:p>
        </w:tc>
        <w:tc>
          <w:tcPr>
            <w:tcW w:w="3512" w:type="dxa"/>
            <w:noWrap/>
          </w:tcPr>
          <w:p>
            <w:pPr>
              <w:pStyle w:val="yTableNAm"/>
              <w:tabs>
                <w:tab w:val="clear" w:pos="567"/>
              </w:tabs>
              <w:ind w:left="566" w:hanging="566"/>
            </w:pPr>
            <w:r>
              <w:t>(a)</w:t>
            </w:r>
            <w:r>
              <w:tab/>
              <w:t>for arresting the person</w:t>
            </w:r>
          </w:p>
        </w:tc>
        <w:tc>
          <w:tcPr>
            <w:tcW w:w="1451" w:type="dxa"/>
            <w:noWrap/>
            <w:vAlign w:val="bottom"/>
          </w:tcPr>
          <w:p>
            <w:pPr>
              <w:pStyle w:val="yTableNAm"/>
              <w:tabs>
                <w:tab w:val="clear" w:pos="567"/>
              </w:tabs>
              <w:ind w:right="352"/>
              <w:jc w:val="right"/>
            </w:pPr>
            <w:r>
              <w:t>185.50</w:t>
            </w:r>
          </w:p>
        </w:tc>
        <w:tc>
          <w:tcPr>
            <w:tcW w:w="1384" w:type="dxa"/>
            <w:noWrap/>
            <w:vAlign w:val="bottom"/>
          </w:tcPr>
          <w:p>
            <w:pPr>
              <w:pStyle w:val="yTableNAm"/>
              <w:tabs>
                <w:tab w:val="clear" w:pos="567"/>
              </w:tabs>
              <w:ind w:right="352"/>
              <w:jc w:val="right"/>
            </w:pPr>
            <w:r>
              <w:t>185.50</w:t>
            </w:r>
          </w:p>
        </w:tc>
      </w:tr>
      <w:tr>
        <w:trPr>
          <w:cantSplit/>
        </w:trPr>
        <w:tc>
          <w:tcPr>
            <w:tcW w:w="741" w:type="dxa"/>
            <w:noWrap/>
          </w:tcPr>
          <w:p>
            <w:pPr>
              <w:pStyle w:val="yTableNAm"/>
            </w:pPr>
          </w:p>
        </w:tc>
        <w:tc>
          <w:tcPr>
            <w:tcW w:w="3512" w:type="dxa"/>
            <w:noWrap/>
          </w:tcPr>
          <w:p>
            <w:pPr>
              <w:pStyle w:val="yTableNAm"/>
              <w:tabs>
                <w:tab w:val="clear" w:pos="567"/>
              </w:tabs>
              <w:ind w:left="566" w:hanging="566"/>
            </w:pPr>
            <w:r>
              <w:t>(b)</w:t>
            </w:r>
            <w:r>
              <w:tab/>
              <w:t>for conveying the person to a court or a custodial place and releasing the person from arrest or custody</w:t>
            </w:r>
          </w:p>
        </w:tc>
        <w:tc>
          <w:tcPr>
            <w:tcW w:w="1451" w:type="dxa"/>
            <w:noWrap/>
            <w:vAlign w:val="bottom"/>
          </w:tcPr>
          <w:p>
            <w:pPr>
              <w:pStyle w:val="yTableNAm"/>
              <w:tabs>
                <w:tab w:val="clear" w:pos="567"/>
              </w:tabs>
              <w:ind w:right="352"/>
              <w:jc w:val="right"/>
            </w:pPr>
            <w:r>
              <w:t>184.00</w:t>
            </w:r>
          </w:p>
        </w:tc>
        <w:tc>
          <w:tcPr>
            <w:tcW w:w="1384" w:type="dxa"/>
            <w:noWrap/>
            <w:vAlign w:val="bottom"/>
          </w:tcPr>
          <w:p>
            <w:pPr>
              <w:pStyle w:val="yTableNAm"/>
              <w:tabs>
                <w:tab w:val="clear" w:pos="567"/>
              </w:tabs>
              <w:ind w:right="352"/>
              <w:jc w:val="right"/>
            </w:pPr>
            <w:r>
              <w:t>184.00</w:t>
            </w:r>
          </w:p>
        </w:tc>
      </w:tr>
      <w:tr>
        <w:trPr>
          <w:cantSplit/>
        </w:trPr>
        <w:tc>
          <w:tcPr>
            <w:tcW w:w="741" w:type="dxa"/>
            <w:noWrap/>
          </w:tcPr>
          <w:p>
            <w:pPr>
              <w:pStyle w:val="yTableNAm"/>
            </w:pPr>
          </w:p>
        </w:tc>
        <w:tc>
          <w:tcPr>
            <w:tcW w:w="3512" w:type="dxa"/>
            <w:noWrap/>
          </w:tcPr>
          <w:p>
            <w:pPr>
              <w:pStyle w:val="yTableNAm"/>
              <w:tabs>
                <w:tab w:val="clear" w:pos="567"/>
              </w:tabs>
              <w:ind w:left="566" w:hanging="566"/>
            </w:pPr>
            <w:r>
              <w:t>(c)</w:t>
            </w:r>
            <w:r>
              <w:tab/>
              <w:t xml:space="preserve">for each 30 minutes after 2 hours and 30 minutes that an enforcement officer is required to keep the person in custody until the person is conveyed to a court or a custodial place </w:t>
            </w:r>
          </w:p>
        </w:tc>
        <w:tc>
          <w:tcPr>
            <w:tcW w:w="1451" w:type="dxa"/>
            <w:noWrap/>
            <w:vAlign w:val="bottom"/>
          </w:tcPr>
          <w:p>
            <w:pPr>
              <w:pStyle w:val="yTableNAm"/>
              <w:tabs>
                <w:tab w:val="clear" w:pos="567"/>
              </w:tabs>
              <w:ind w:right="352"/>
              <w:jc w:val="right"/>
            </w:pPr>
            <w:r>
              <w:t>48.60</w:t>
            </w:r>
          </w:p>
        </w:tc>
        <w:tc>
          <w:tcPr>
            <w:tcW w:w="1384" w:type="dxa"/>
            <w:noWrap/>
            <w:vAlign w:val="bottom"/>
          </w:tcPr>
          <w:p>
            <w:pPr>
              <w:pStyle w:val="yTableNAm"/>
              <w:tabs>
                <w:tab w:val="clear" w:pos="567"/>
              </w:tabs>
              <w:ind w:right="352"/>
              <w:jc w:val="right"/>
            </w:pPr>
            <w:r>
              <w:t>48.60</w:t>
            </w:r>
          </w:p>
        </w:tc>
      </w:tr>
      <w:tr>
        <w:trPr>
          <w:cantSplit/>
          <w:trHeight w:val="1100"/>
        </w:trPr>
        <w:tc>
          <w:tcPr>
            <w:tcW w:w="741" w:type="dxa"/>
            <w:noWrap/>
          </w:tcPr>
          <w:p>
            <w:pPr>
              <w:pStyle w:val="yTableNAm"/>
            </w:pPr>
          </w:p>
        </w:tc>
        <w:tc>
          <w:tcPr>
            <w:tcW w:w="6347" w:type="dxa"/>
            <w:gridSpan w:val="3"/>
            <w:noWrap/>
          </w:tcPr>
          <w:p>
            <w:pPr>
              <w:pStyle w:val="yTableNAm"/>
              <w:rPr>
                <w:rFonts w:ascii="Arial" w:hAnsi="Arial" w:cs="Arial"/>
                <w:sz w:val="18"/>
                <w:szCs w:val="18"/>
              </w:rPr>
            </w:pPr>
            <w:r>
              <w:rPr>
                <w:rFonts w:ascii="Arial" w:hAnsi="Arial" w:cs="Arial"/>
                <w:sz w:val="18"/>
                <w:szCs w:val="18"/>
              </w:rPr>
              <w:t>Notes for this item:</w:t>
            </w:r>
          </w:p>
          <w:p>
            <w:pPr>
              <w:pStyle w:val="yTableNAm"/>
              <w:ind w:left="493" w:hanging="457"/>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417"/>
        </w:trPr>
        <w:tc>
          <w:tcPr>
            <w:tcW w:w="741" w:type="dxa"/>
            <w:noWrap/>
          </w:tcPr>
          <w:p>
            <w:pPr>
              <w:pStyle w:val="yTableNAm"/>
            </w:pPr>
          </w:p>
        </w:tc>
        <w:tc>
          <w:tcPr>
            <w:tcW w:w="6347" w:type="dxa"/>
            <w:gridSpan w:val="3"/>
            <w:noWrap/>
          </w:tcPr>
          <w:p>
            <w:pPr>
              <w:pStyle w:val="yTableNAm"/>
              <w:ind w:left="493" w:hanging="457"/>
              <w:rPr>
                <w:rFonts w:ascii="Arial" w:hAnsi="Arial" w:cs="Arial"/>
                <w:sz w:val="18"/>
                <w:szCs w:val="18"/>
              </w:rPr>
            </w:pPr>
            <w:r>
              <w:rPr>
                <w:rFonts w:ascii="Arial" w:hAnsi="Arial" w:cs="Arial"/>
                <w:sz w:val="18"/>
                <w:szCs w:val="18"/>
              </w:rPr>
              <w:t>2.</w:t>
            </w:r>
            <w:r>
              <w:rPr>
                <w:rFonts w:ascii="Arial" w:hAnsi="Arial" w:cs="Arial"/>
                <w:sz w:val="18"/>
                <w:szCs w:val="18"/>
              </w:rPr>
              <w:tab/>
              <w:t xml:space="preserve">The fee under paragraph (a) includes the costs of — </w:t>
            </w:r>
          </w:p>
          <w:p>
            <w:pPr>
              <w:pStyle w:val="yTableNAm"/>
              <w:tabs>
                <w:tab w:val="clear" w:pos="567"/>
                <w:tab w:val="left" w:pos="886"/>
              </w:tabs>
              <w:ind w:left="1028" w:hanging="709"/>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886"/>
              </w:tabs>
              <w:ind w:left="1028" w:hanging="709"/>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886"/>
              </w:tabs>
              <w:ind w:left="1028" w:hanging="709"/>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886"/>
              </w:tabs>
              <w:ind w:left="1028" w:hanging="709"/>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noWrap/>
          </w:tcPr>
          <w:p>
            <w:pPr>
              <w:pStyle w:val="yTableNAm"/>
            </w:pPr>
            <w:r>
              <w:t>3.</w:t>
            </w:r>
          </w:p>
        </w:tc>
        <w:tc>
          <w:tcPr>
            <w:tcW w:w="3512" w:type="dxa"/>
            <w:tcBorders>
              <w:bottom w:val="single" w:sz="4" w:space="0" w:color="auto"/>
            </w:tcBorders>
            <w:noWrap/>
          </w:tcPr>
          <w:p>
            <w:pPr>
              <w:pStyle w:val="yTableNAm"/>
            </w:pPr>
            <w:r>
              <w:t xml:space="preserve">On filing an application for an extraordinary licence under the </w:t>
            </w:r>
            <w:r>
              <w:rPr>
                <w:i/>
              </w:rPr>
              <w:t>Road Traffic (Authorisation to Drive) Act 2008</w:t>
            </w:r>
            <w:r>
              <w:rPr>
                <w:iCs/>
              </w:rPr>
              <w:t xml:space="preserve"> section 27</w:t>
            </w:r>
          </w:p>
        </w:tc>
        <w:tc>
          <w:tcPr>
            <w:tcW w:w="1451" w:type="dxa"/>
            <w:tcBorders>
              <w:bottom w:val="single" w:sz="4" w:space="0" w:color="auto"/>
            </w:tcBorders>
            <w:noWrap/>
            <w:vAlign w:val="bottom"/>
          </w:tcPr>
          <w:p>
            <w:pPr>
              <w:pStyle w:val="yTableNAm"/>
              <w:tabs>
                <w:tab w:val="clear" w:pos="567"/>
              </w:tabs>
              <w:ind w:right="352"/>
              <w:jc w:val="right"/>
            </w:pPr>
            <w:r>
              <w:t>255.00</w:t>
            </w:r>
          </w:p>
        </w:tc>
        <w:tc>
          <w:tcPr>
            <w:tcW w:w="1384" w:type="dxa"/>
            <w:tcBorders>
              <w:bottom w:val="single" w:sz="4" w:space="0" w:color="auto"/>
            </w:tcBorders>
            <w:noWrap/>
            <w:vAlign w:val="bottom"/>
          </w:tcPr>
          <w:p>
            <w:pPr>
              <w:pStyle w:val="yTableNAm"/>
              <w:tabs>
                <w:tab w:val="clear" w:pos="567"/>
              </w:tabs>
              <w:ind w:right="352"/>
              <w:jc w:val="right"/>
            </w:pPr>
            <w:r>
              <w:t>76.50</w:t>
            </w:r>
          </w:p>
        </w:tc>
      </w:tr>
    </w:tbl>
    <w:p>
      <w:pPr>
        <w:pStyle w:val="yFootnotesection"/>
      </w:pPr>
      <w:r>
        <w:tab/>
        <w:t>[Division 2 inserted: SL 2023/120 r. 6.]</w:t>
      </w:r>
    </w:p>
    <w:p>
      <w:pPr>
        <w:pStyle w:val="yHeading3"/>
      </w:pPr>
      <w:bookmarkStart w:id="22" w:name="_Toc154745896"/>
      <w:r>
        <w:rPr>
          <w:rStyle w:val="CharSDivNo"/>
        </w:rPr>
        <w:lastRenderedPageBreak/>
        <w:t>Division 3</w:t>
      </w:r>
      <w:r>
        <w:t> — </w:t>
      </w:r>
      <w:r>
        <w:rPr>
          <w:rStyle w:val="CharSDivText"/>
        </w:rPr>
        <w:t>Criminal jurisdiction</w:t>
      </w:r>
      <w:bookmarkEnd w:id="22"/>
    </w:p>
    <w:p>
      <w:pPr>
        <w:pStyle w:val="yFootnoteheading"/>
        <w:keepNext/>
        <w:spacing w:after="60"/>
      </w:pPr>
      <w:r>
        <w:tab/>
        <w:t>[Heading inserted: SL 2023/120 r. 6.]</w:t>
      </w:r>
    </w:p>
    <w:tbl>
      <w:tblPr>
        <w:tblW w:w="708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noWrap/>
          </w:tcPr>
          <w:p>
            <w:pPr>
              <w:pStyle w:val="yTableNAm"/>
              <w:jc w:val="center"/>
              <w:rPr>
                <w:b/>
              </w:rPr>
            </w:pPr>
            <w:r>
              <w:rPr>
                <w:b/>
              </w:rPr>
              <w:t>Item</w:t>
            </w:r>
          </w:p>
        </w:tc>
        <w:tc>
          <w:tcPr>
            <w:tcW w:w="3455" w:type="dxa"/>
            <w:tcBorders>
              <w:top w:val="single" w:sz="4" w:space="0" w:color="auto"/>
              <w:bottom w:val="single" w:sz="4" w:space="0" w:color="auto"/>
            </w:tcBorders>
            <w:noWrap/>
          </w:tcPr>
          <w:p>
            <w:pPr>
              <w:pStyle w:val="yTableNAm"/>
              <w:jc w:val="center"/>
              <w:rPr>
                <w:b/>
              </w:rPr>
            </w:pPr>
            <w:r>
              <w:rPr>
                <w:b/>
              </w:rPr>
              <w:t>Matter</w:t>
            </w:r>
          </w:p>
        </w:tc>
        <w:tc>
          <w:tcPr>
            <w:tcW w:w="1276"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w:t>
            </w:r>
            <w:r>
              <w:rPr>
                <w:b/>
              </w:rPr>
              <w:br/>
            </w:r>
            <w:r>
              <w:rPr>
                <w:b/>
              </w:rPr>
              <w:br/>
              <w:t>$</w:t>
            </w:r>
          </w:p>
        </w:tc>
        <w:tc>
          <w:tcPr>
            <w:tcW w:w="1559"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eligible individual</w:t>
            </w:r>
            <w:r>
              <w:rPr>
                <w:b/>
              </w:rPr>
              <w:br/>
              <w:t>$</w:t>
            </w:r>
          </w:p>
        </w:tc>
      </w:tr>
      <w:tr>
        <w:trPr>
          <w:cantSplit/>
        </w:trPr>
        <w:tc>
          <w:tcPr>
            <w:tcW w:w="798" w:type="dxa"/>
            <w:tcBorders>
              <w:top w:val="single" w:sz="4" w:space="0" w:color="auto"/>
            </w:tcBorders>
            <w:noWrap/>
          </w:tcPr>
          <w:p>
            <w:pPr>
              <w:pStyle w:val="yTableNAm"/>
            </w:pPr>
            <w:r>
              <w:t>1.</w:t>
            </w:r>
          </w:p>
        </w:tc>
        <w:tc>
          <w:tcPr>
            <w:tcW w:w="3455" w:type="dxa"/>
            <w:tcBorders>
              <w:top w:val="single" w:sz="4" w:space="0" w:color="auto"/>
            </w:tcBorders>
            <w:noWrap/>
          </w:tcPr>
          <w:p>
            <w:pPr>
              <w:pStyle w:val="yTableNAm"/>
            </w:pPr>
            <w:r>
              <w:t xml:space="preserve">On filing — </w:t>
            </w:r>
          </w:p>
        </w:tc>
        <w:tc>
          <w:tcPr>
            <w:tcW w:w="1276" w:type="dxa"/>
            <w:tcBorders>
              <w:top w:val="single" w:sz="4" w:space="0" w:color="auto"/>
            </w:tcBorders>
            <w:noWrap/>
          </w:tcPr>
          <w:p/>
        </w:tc>
        <w:tc>
          <w:tcPr>
            <w:tcW w:w="1559" w:type="dxa"/>
            <w:tcBorders>
              <w:top w:val="single" w:sz="4" w:space="0" w:color="auto"/>
            </w:tcBorders>
            <w:noWrap/>
          </w:tcPr>
          <w:p/>
        </w:tc>
      </w:tr>
      <w:tr>
        <w:trPr>
          <w:cantSplit/>
        </w:trPr>
        <w:tc>
          <w:tcPr>
            <w:tcW w:w="798" w:type="dxa"/>
            <w:noWrap/>
          </w:tcPr>
          <w:p>
            <w:pPr>
              <w:pStyle w:val="yTableNAm"/>
            </w:pPr>
          </w:p>
        </w:tc>
        <w:tc>
          <w:tcPr>
            <w:tcW w:w="3455" w:type="dxa"/>
            <w:noWrap/>
          </w:tcPr>
          <w:p>
            <w:pPr>
              <w:pStyle w:val="yTableNAm"/>
              <w:tabs>
                <w:tab w:val="clear" w:pos="567"/>
              </w:tabs>
              <w:ind w:left="517" w:hanging="517"/>
            </w:pPr>
            <w:r>
              <w:t>(a)</w:t>
            </w:r>
            <w:r>
              <w:tab/>
              <w:t xml:space="preserve">a prosecution notice </w:t>
            </w:r>
          </w:p>
        </w:tc>
        <w:tc>
          <w:tcPr>
            <w:tcW w:w="1276" w:type="dxa"/>
            <w:noWrap/>
            <w:vAlign w:val="bottom"/>
          </w:tcPr>
          <w:p>
            <w:pPr>
              <w:pStyle w:val="yTableNAm"/>
              <w:tabs>
                <w:tab w:val="clear" w:pos="567"/>
              </w:tabs>
              <w:ind w:right="177"/>
              <w:jc w:val="right"/>
            </w:pPr>
            <w:r>
              <w:t>141.50</w:t>
            </w:r>
          </w:p>
        </w:tc>
        <w:tc>
          <w:tcPr>
            <w:tcW w:w="1559" w:type="dxa"/>
            <w:noWrap/>
            <w:vAlign w:val="bottom"/>
          </w:tcPr>
          <w:p>
            <w:pPr>
              <w:pStyle w:val="yTableNAm"/>
              <w:tabs>
                <w:tab w:val="clear" w:pos="567"/>
              </w:tabs>
              <w:ind w:right="177"/>
              <w:jc w:val="right"/>
            </w:pPr>
            <w:r>
              <w:t>42.40</w:t>
            </w:r>
          </w:p>
        </w:tc>
      </w:tr>
      <w:tr>
        <w:trPr>
          <w:cantSplit/>
        </w:trPr>
        <w:tc>
          <w:tcPr>
            <w:tcW w:w="798" w:type="dxa"/>
            <w:noWrap/>
          </w:tcPr>
          <w:p>
            <w:pPr>
              <w:pStyle w:val="yTableNAm"/>
            </w:pPr>
          </w:p>
        </w:tc>
        <w:tc>
          <w:tcPr>
            <w:tcW w:w="3455" w:type="dxa"/>
            <w:noWrap/>
          </w:tcPr>
          <w:p>
            <w:pPr>
              <w:pStyle w:val="yTableNAm"/>
              <w:tabs>
                <w:tab w:val="clear" w:pos="567"/>
              </w:tabs>
              <w:ind w:left="517" w:hanging="517"/>
            </w:pPr>
            <w:r>
              <w:t>(b)</w:t>
            </w:r>
            <w:r>
              <w:tab/>
              <w:t xml:space="preserve">an application under the </w:t>
            </w:r>
            <w:r>
              <w:rPr>
                <w:i/>
              </w:rPr>
              <w:t>Criminal Procedure Act 2004</w:t>
            </w:r>
            <w:r>
              <w:t xml:space="preserve"> section 71</w:t>
            </w:r>
          </w:p>
        </w:tc>
        <w:tc>
          <w:tcPr>
            <w:tcW w:w="1276" w:type="dxa"/>
            <w:noWrap/>
            <w:vAlign w:val="bottom"/>
          </w:tcPr>
          <w:p>
            <w:pPr>
              <w:pStyle w:val="yTableNAm"/>
              <w:tabs>
                <w:tab w:val="clear" w:pos="567"/>
              </w:tabs>
              <w:ind w:right="177"/>
              <w:jc w:val="right"/>
            </w:pPr>
            <w:r>
              <w:t>141.50</w:t>
            </w:r>
          </w:p>
        </w:tc>
        <w:tc>
          <w:tcPr>
            <w:tcW w:w="1559" w:type="dxa"/>
            <w:noWrap/>
            <w:vAlign w:val="bottom"/>
          </w:tcPr>
          <w:p>
            <w:pPr>
              <w:pStyle w:val="yTableNAm"/>
              <w:tabs>
                <w:tab w:val="clear" w:pos="567"/>
              </w:tabs>
              <w:ind w:right="177"/>
              <w:jc w:val="right"/>
            </w:pPr>
            <w:r>
              <w:t>42.40</w:t>
            </w:r>
          </w:p>
        </w:tc>
      </w:tr>
      <w:tr>
        <w:trPr>
          <w:cantSplit/>
        </w:trPr>
        <w:tc>
          <w:tcPr>
            <w:tcW w:w="798" w:type="dxa"/>
            <w:noWrap/>
          </w:tcPr>
          <w:p>
            <w:pPr>
              <w:pStyle w:val="yTableNAm"/>
            </w:pPr>
            <w:r>
              <w:t>2.</w:t>
            </w:r>
          </w:p>
        </w:tc>
        <w:tc>
          <w:tcPr>
            <w:tcW w:w="3455" w:type="dxa"/>
            <w:noWrap/>
          </w:tcPr>
          <w:p>
            <w:pPr>
              <w:pStyle w:val="yTableNAm"/>
            </w:pPr>
            <w:r>
              <w:t xml:space="preserve">For the issue of a summons or court hearing notice to an accused </w:t>
            </w:r>
          </w:p>
        </w:tc>
        <w:tc>
          <w:tcPr>
            <w:tcW w:w="1276" w:type="dxa"/>
            <w:noWrap/>
            <w:vAlign w:val="bottom"/>
          </w:tcPr>
          <w:p>
            <w:pPr>
              <w:pStyle w:val="yTableNAm"/>
              <w:tabs>
                <w:tab w:val="clear" w:pos="567"/>
              </w:tabs>
              <w:ind w:right="177"/>
              <w:jc w:val="right"/>
            </w:pPr>
            <w:r>
              <w:t>27.20</w:t>
            </w:r>
          </w:p>
        </w:tc>
        <w:tc>
          <w:tcPr>
            <w:tcW w:w="1559" w:type="dxa"/>
            <w:noWrap/>
            <w:vAlign w:val="bottom"/>
          </w:tcPr>
          <w:p>
            <w:pPr>
              <w:pStyle w:val="yTableNAm"/>
              <w:tabs>
                <w:tab w:val="clear" w:pos="567"/>
              </w:tabs>
              <w:ind w:right="177"/>
              <w:jc w:val="right"/>
            </w:pPr>
            <w:r>
              <w:t>8.15</w:t>
            </w:r>
          </w:p>
        </w:tc>
      </w:tr>
      <w:tr>
        <w:trPr>
          <w:cantSplit/>
        </w:trPr>
        <w:tc>
          <w:tcPr>
            <w:tcW w:w="798" w:type="dxa"/>
            <w:noWrap/>
          </w:tcPr>
          <w:p>
            <w:pPr>
              <w:pStyle w:val="yTableNAm"/>
            </w:pPr>
            <w:r>
              <w:t>3.</w:t>
            </w:r>
          </w:p>
        </w:tc>
        <w:tc>
          <w:tcPr>
            <w:tcW w:w="3455" w:type="dxa"/>
            <w:noWrap/>
          </w:tcPr>
          <w:p>
            <w:pPr>
              <w:pStyle w:val="yTableNAm"/>
            </w:pPr>
            <w:r>
              <w:t xml:space="preserve">For a warrant of any kind — </w:t>
            </w:r>
          </w:p>
        </w:tc>
        <w:tc>
          <w:tcPr>
            <w:tcW w:w="1276" w:type="dxa"/>
            <w:noWrap/>
            <w:vAlign w:val="bottom"/>
          </w:tcPr>
          <w:p>
            <w:pPr>
              <w:pStyle w:val="yTableNAm"/>
              <w:tabs>
                <w:tab w:val="clear" w:pos="567"/>
              </w:tabs>
              <w:ind w:right="177"/>
              <w:jc w:val="right"/>
            </w:pPr>
          </w:p>
        </w:tc>
        <w:tc>
          <w:tcPr>
            <w:tcW w:w="1559" w:type="dxa"/>
            <w:noWrap/>
            <w:vAlign w:val="bottom"/>
          </w:tcPr>
          <w:p>
            <w:pPr>
              <w:pStyle w:val="yTableNAm"/>
              <w:tabs>
                <w:tab w:val="clear" w:pos="567"/>
              </w:tabs>
              <w:ind w:right="177"/>
              <w:jc w:val="right"/>
            </w:pPr>
          </w:p>
        </w:tc>
      </w:tr>
      <w:tr>
        <w:trPr>
          <w:cantSplit/>
        </w:trPr>
        <w:tc>
          <w:tcPr>
            <w:tcW w:w="798" w:type="dxa"/>
            <w:noWrap/>
          </w:tcPr>
          <w:p>
            <w:pPr>
              <w:pStyle w:val="yTableNAm"/>
            </w:pPr>
          </w:p>
        </w:tc>
        <w:tc>
          <w:tcPr>
            <w:tcW w:w="3455" w:type="dxa"/>
            <w:noWrap/>
          </w:tcPr>
          <w:p>
            <w:pPr>
              <w:pStyle w:val="yTableNAm"/>
              <w:tabs>
                <w:tab w:val="clear" w:pos="567"/>
              </w:tabs>
              <w:ind w:left="517" w:hanging="517"/>
            </w:pPr>
            <w:r>
              <w:t>(a)</w:t>
            </w:r>
            <w:r>
              <w:tab/>
              <w:t>issue of warrant</w:t>
            </w:r>
          </w:p>
        </w:tc>
        <w:tc>
          <w:tcPr>
            <w:tcW w:w="1276" w:type="dxa"/>
            <w:noWrap/>
            <w:vAlign w:val="bottom"/>
          </w:tcPr>
          <w:p>
            <w:pPr>
              <w:pStyle w:val="yTableNAm"/>
              <w:tabs>
                <w:tab w:val="clear" w:pos="567"/>
              </w:tabs>
              <w:ind w:right="177"/>
              <w:jc w:val="right"/>
            </w:pPr>
            <w:r>
              <w:t>141.50</w:t>
            </w:r>
          </w:p>
        </w:tc>
        <w:tc>
          <w:tcPr>
            <w:tcW w:w="1559" w:type="dxa"/>
            <w:noWrap/>
            <w:vAlign w:val="bottom"/>
          </w:tcPr>
          <w:p>
            <w:pPr>
              <w:pStyle w:val="yTableNAm"/>
              <w:tabs>
                <w:tab w:val="clear" w:pos="567"/>
              </w:tabs>
              <w:ind w:right="177"/>
              <w:jc w:val="right"/>
            </w:pPr>
            <w:r>
              <w:t>42.40</w:t>
            </w:r>
          </w:p>
        </w:tc>
      </w:tr>
      <w:tr>
        <w:trPr>
          <w:cantSplit/>
        </w:trPr>
        <w:tc>
          <w:tcPr>
            <w:tcW w:w="798" w:type="dxa"/>
            <w:tcBorders>
              <w:bottom w:val="single" w:sz="4" w:space="0" w:color="auto"/>
            </w:tcBorders>
            <w:noWrap/>
          </w:tcPr>
          <w:p>
            <w:pPr>
              <w:pStyle w:val="yTableNAm"/>
            </w:pPr>
          </w:p>
        </w:tc>
        <w:tc>
          <w:tcPr>
            <w:tcW w:w="3455" w:type="dxa"/>
            <w:tcBorders>
              <w:bottom w:val="single" w:sz="4" w:space="0" w:color="auto"/>
            </w:tcBorders>
            <w:noWrap/>
          </w:tcPr>
          <w:p>
            <w:pPr>
              <w:pStyle w:val="yTableNAm"/>
              <w:tabs>
                <w:tab w:val="clear" w:pos="567"/>
              </w:tabs>
              <w:ind w:left="517" w:hanging="517"/>
            </w:pPr>
            <w:r>
              <w:t>(b)</w:t>
            </w:r>
            <w:r>
              <w:tab/>
              <w:t>execution of warrant</w:t>
            </w:r>
          </w:p>
        </w:tc>
        <w:tc>
          <w:tcPr>
            <w:tcW w:w="1276" w:type="dxa"/>
            <w:tcBorders>
              <w:bottom w:val="single" w:sz="4" w:space="0" w:color="auto"/>
            </w:tcBorders>
            <w:noWrap/>
            <w:vAlign w:val="bottom"/>
          </w:tcPr>
          <w:p>
            <w:pPr>
              <w:pStyle w:val="yTableNAm"/>
              <w:tabs>
                <w:tab w:val="clear" w:pos="567"/>
              </w:tabs>
              <w:ind w:right="177"/>
              <w:jc w:val="right"/>
            </w:pPr>
            <w:r>
              <w:t>184.00</w:t>
            </w:r>
          </w:p>
        </w:tc>
        <w:tc>
          <w:tcPr>
            <w:tcW w:w="1559" w:type="dxa"/>
            <w:tcBorders>
              <w:bottom w:val="single" w:sz="4" w:space="0" w:color="auto"/>
            </w:tcBorders>
            <w:noWrap/>
            <w:vAlign w:val="bottom"/>
          </w:tcPr>
          <w:p>
            <w:pPr>
              <w:pStyle w:val="yTableNAm"/>
              <w:tabs>
                <w:tab w:val="clear" w:pos="567"/>
              </w:tabs>
              <w:ind w:right="177"/>
              <w:jc w:val="right"/>
            </w:pPr>
            <w:r>
              <w:t>184.00</w:t>
            </w:r>
          </w:p>
        </w:tc>
      </w:tr>
    </w:tbl>
    <w:p>
      <w:pPr>
        <w:pStyle w:val="yFootnotesection"/>
      </w:pPr>
      <w:r>
        <w:tab/>
        <w:t>[Division 3 inserted: SL 2023/120 r. 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4" w:name="_Toc154745897"/>
      <w:r>
        <w:lastRenderedPageBreak/>
        <w:t>Notes</w:t>
      </w:r>
      <w:bookmarkEnd w:id="24"/>
    </w:p>
    <w:p>
      <w:pPr>
        <w:pStyle w:val="nStatement"/>
      </w:pPr>
      <w:r>
        <w:t xml:space="preserve">This is a compilation of the </w:t>
      </w:r>
      <w:r>
        <w:rPr>
          <w:i/>
          <w:noProof/>
        </w:rPr>
        <w:t>Children’s Court (Fees) Regulations 2005</w:t>
      </w:r>
      <w:r>
        <w:t xml:space="preserve"> and includes amendments made by other written laws. For provisions that have come into operation, and for information about any reprints, see the compilation table.</w:t>
      </w:r>
    </w:p>
    <w:p>
      <w:pPr>
        <w:pStyle w:val="nHeading3"/>
      </w:pPr>
      <w:bookmarkStart w:id="25" w:name="_Toc154745898"/>
      <w:r>
        <w:t>Compilation table</w:t>
      </w:r>
      <w:bookmarkEnd w:id="2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2009</w:t>
            </w:r>
          </w:p>
        </w:tc>
        <w:tc>
          <w:tcPr>
            <w:tcW w:w="1276" w:type="dxa"/>
          </w:tcPr>
          <w:p>
            <w:pPr>
              <w:pStyle w:val="nTable"/>
              <w:spacing w:after="40"/>
            </w:pPr>
            <w:r>
              <w:t>9 Jun 2009 p. 1925</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2009</w:t>
            </w:r>
          </w:p>
        </w:tc>
        <w:tc>
          <w:tcPr>
            <w:tcW w:w="1276" w:type="dxa"/>
          </w:tcPr>
          <w:p>
            <w:pPr>
              <w:pStyle w:val="nTable"/>
              <w:spacing w:after="40"/>
            </w:pPr>
            <w:r>
              <w:t>4 Sep 2009 p. 3483-5</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lastRenderedPageBreak/>
              <w:t>Children’s Court (Fees) Amendment Regulations 2011</w:t>
            </w:r>
          </w:p>
        </w:tc>
        <w:tc>
          <w:tcPr>
            <w:tcW w:w="1276" w:type="dxa"/>
          </w:tcPr>
          <w:p>
            <w:pPr>
              <w:pStyle w:val="nTable"/>
              <w:keepNext/>
              <w:spacing w:after="40"/>
            </w:pPr>
            <w:r>
              <w:t>8 Mar 2011 p. 791</w:t>
            </w:r>
            <w:r>
              <w:noBreakHyphen/>
              <w:t>2</w:t>
            </w:r>
          </w:p>
        </w:tc>
        <w:tc>
          <w:tcPr>
            <w:tcW w:w="2693" w:type="dxa"/>
          </w:tcPr>
          <w:p>
            <w:pPr>
              <w:pStyle w:val="nTable"/>
              <w:keepNext/>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Children’s Court (Fees) Amendment Regulations (No. 2) 2011</w:t>
            </w:r>
          </w:p>
        </w:tc>
        <w:tc>
          <w:tcPr>
            <w:tcW w:w="1276" w:type="dxa"/>
          </w:tcPr>
          <w:p>
            <w:pPr>
              <w:pStyle w:val="nTable"/>
              <w:keepNext/>
              <w:spacing w:after="40"/>
            </w:pPr>
            <w:r>
              <w:t>20 Dec 2011 p. 5390</w:t>
            </w:r>
            <w:r>
              <w:noBreakHyphen/>
              <w:t>2</w:t>
            </w:r>
          </w:p>
        </w:tc>
        <w:tc>
          <w:tcPr>
            <w:tcW w:w="2693" w:type="dxa"/>
          </w:tcPr>
          <w:p>
            <w:pPr>
              <w:pStyle w:val="nTable"/>
              <w:keepNext/>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2012</w:t>
            </w:r>
          </w:p>
        </w:tc>
        <w:tc>
          <w:tcPr>
            <w:tcW w:w="1276" w:type="dxa"/>
            <w:shd w:val="clear" w:color="auto" w:fill="auto"/>
          </w:tcPr>
          <w:p>
            <w:pPr>
              <w:pStyle w:val="nTable"/>
              <w:spacing w:after="40"/>
            </w:pPr>
            <w:r>
              <w:t>27 Mar 2012 p. 1505</w:t>
            </w:r>
          </w:p>
        </w:tc>
        <w:tc>
          <w:tcPr>
            <w:tcW w:w="2693" w:type="dxa"/>
            <w:shd w:val="clear" w:color="auto" w:fill="auto"/>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snapToGrid w:val="0"/>
              </w:rPr>
              <w:t xml:space="preserve">Reprint 2:  The </w:t>
            </w:r>
            <w:r>
              <w:rPr>
                <w:b/>
                <w:bCs/>
                <w:i/>
              </w:rPr>
              <w:t>Children’s Court (Fees) Regulations 2005</w:t>
            </w:r>
            <w:r>
              <w:rPr>
                <w:b/>
                <w:bCs/>
                <w:snapToGrid w:val="0"/>
              </w:rPr>
              <w:t xml:space="preserve"> as at 15 Jun 2012</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2012</w:t>
            </w:r>
          </w:p>
        </w:tc>
        <w:tc>
          <w:tcPr>
            <w:tcW w:w="1276" w:type="dxa"/>
            <w:shd w:val="clear" w:color="auto" w:fill="auto"/>
          </w:tcPr>
          <w:p>
            <w:pPr>
              <w:pStyle w:val="nTable"/>
              <w:spacing w:after="40"/>
            </w:pPr>
            <w:r>
              <w:t>30 Nov 2012 p. 5794</w:t>
            </w:r>
            <w:r>
              <w:noBreakHyphen/>
              <w:t>5</w:t>
            </w:r>
          </w:p>
        </w:tc>
        <w:tc>
          <w:tcPr>
            <w:tcW w:w="2693" w:type="dxa"/>
            <w:shd w:val="clear" w:color="auto" w:fill="auto"/>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2013</w:t>
            </w:r>
          </w:p>
        </w:tc>
        <w:tc>
          <w:tcPr>
            <w:tcW w:w="1276" w:type="dxa"/>
            <w:shd w:val="clear" w:color="auto" w:fill="auto"/>
          </w:tcPr>
          <w:p>
            <w:pPr>
              <w:pStyle w:val="nTable"/>
              <w:spacing w:after="40"/>
            </w:pPr>
            <w:r>
              <w:t>15 Nov 2013 p. 5250</w:t>
            </w:r>
            <w:r>
              <w:noBreakHyphen/>
              <w:t>2</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2014</w:t>
            </w:r>
          </w:p>
        </w:tc>
        <w:tc>
          <w:tcPr>
            <w:tcW w:w="1276" w:type="dxa"/>
            <w:shd w:val="clear" w:color="auto" w:fill="auto"/>
          </w:tcPr>
          <w:p>
            <w:pPr>
              <w:pStyle w:val="nTable"/>
              <w:spacing w:after="40"/>
            </w:pPr>
            <w:r>
              <w:t>27 Jun 2014 p. 2333-4</w:t>
            </w:r>
          </w:p>
        </w:tc>
        <w:tc>
          <w:tcPr>
            <w:tcW w:w="2693"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2015</w:t>
            </w:r>
          </w:p>
        </w:tc>
        <w:tc>
          <w:tcPr>
            <w:tcW w:w="1276" w:type="dxa"/>
            <w:shd w:val="clear" w:color="auto" w:fill="auto"/>
          </w:tcPr>
          <w:p>
            <w:pPr>
              <w:pStyle w:val="nTable"/>
              <w:spacing w:after="40"/>
            </w:pPr>
            <w:r>
              <w:t>19 Jun 2015 p. 2114</w:t>
            </w:r>
            <w:r>
              <w:noBreakHyphen/>
              <w:t>15</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(Fees) Regulations 2016</w:t>
            </w:r>
            <w:r>
              <w:t xml:space="preserve"> Pt. 2</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lastRenderedPageBreak/>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2</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Justice Regulations Amendment (Fee Relief) Regulations 2018</w:t>
            </w:r>
            <w:r>
              <w:t xml:space="preserve"> Pt. 2</w:t>
            </w:r>
          </w:p>
        </w:tc>
        <w:tc>
          <w:tcPr>
            <w:tcW w:w="1276" w:type="dxa"/>
            <w:shd w:val="clear" w:color="auto" w:fill="auto"/>
          </w:tcPr>
          <w:p>
            <w:pPr>
              <w:pStyle w:val="nTable"/>
              <w:spacing w:after="40"/>
            </w:pPr>
            <w:r>
              <w:t>20 Jul 2018 p. 2621</w:t>
            </w:r>
            <w:r>
              <w:noBreakHyphen/>
              <w:t>30</w:t>
            </w:r>
          </w:p>
        </w:tc>
        <w:tc>
          <w:tcPr>
            <w:tcW w:w="2693"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(Transcript Fees) Regulations 2018</w:t>
            </w:r>
            <w:r>
              <w:t xml:space="preserve"> Pt. 2</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(Transcript Fees) Regulations 2019 </w:t>
            </w:r>
            <w:r>
              <w:t>Pt. 2</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pPr>
            <w:r>
              <w:rPr>
                <w:bCs/>
                <w:snapToGrid w:val="0"/>
              </w:rPr>
              <w:t>13 Mar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rPr>
                <w:bCs/>
                <w:snapToGrid w:val="0"/>
              </w:rPr>
            </w:pPr>
            <w:r>
              <w:rPr>
                <w:bCs/>
                <w:snapToGrid w:val="0"/>
              </w:rPr>
              <w:t>1 Jul 2019 (see r. 2(b))</w:t>
            </w:r>
          </w:p>
        </w:tc>
      </w:tr>
      <w:tr>
        <w:tc>
          <w:tcPr>
            <w:tcW w:w="3118" w:type="dxa"/>
            <w:tcBorders>
              <w:top w:val="nil"/>
              <w:bottom w:val="nil"/>
            </w:tcBorders>
            <w:shd w:val="clear" w:color="auto" w:fill="auto"/>
          </w:tcPr>
          <w:p>
            <w:pPr>
              <w:pStyle w:val="nTable"/>
              <w:spacing w:after="40"/>
            </w:pPr>
            <w:r>
              <w:rPr>
                <w:i/>
              </w:rPr>
              <w:t>Attorney General Regulations Amendment (Fees and Charges) Regulations 2020</w:t>
            </w:r>
            <w:r>
              <w:t xml:space="preserve"> Pt. 2</w:t>
            </w:r>
          </w:p>
        </w:tc>
        <w:tc>
          <w:tcPr>
            <w:tcW w:w="1276" w:type="dxa"/>
            <w:tcBorders>
              <w:top w:val="nil"/>
              <w:bottom w:val="nil"/>
            </w:tcBorders>
            <w:shd w:val="clear" w:color="auto" w:fill="auto"/>
          </w:tcPr>
          <w:p>
            <w:pPr>
              <w:pStyle w:val="nTable"/>
              <w:spacing w:after="40"/>
            </w:pPr>
            <w:r>
              <w:t>SL 2020/124 31 Jul 2020</w:t>
            </w:r>
          </w:p>
        </w:tc>
        <w:tc>
          <w:tcPr>
            <w:tcW w:w="2693" w:type="dxa"/>
            <w:tcBorders>
              <w:top w:val="nil"/>
              <w:bottom w:val="nil"/>
            </w:tcBorders>
            <w:shd w:val="clear" w:color="auto" w:fill="auto"/>
          </w:tcPr>
          <w:p>
            <w:pPr>
              <w:pStyle w:val="nTable"/>
              <w:spacing w:after="40"/>
              <w:rPr>
                <w:bCs/>
                <w:caps/>
                <w:snapToGrid w:val="0"/>
              </w:rPr>
            </w:pPr>
            <w:r>
              <w:rPr>
                <w:bCs/>
                <w:snapToGrid w:val="0"/>
              </w:rPr>
              <w:t>1 Aug 2020 (see r. 2(b))</w:t>
            </w:r>
          </w:p>
        </w:tc>
      </w:tr>
      <w:tr>
        <w:tc>
          <w:tcPr>
            <w:tcW w:w="3118" w:type="dxa"/>
            <w:tcBorders>
              <w:top w:val="nil"/>
              <w:bottom w:val="nil"/>
            </w:tcBorders>
            <w:shd w:val="clear" w:color="auto" w:fill="auto"/>
          </w:tcPr>
          <w:p>
            <w:pPr>
              <w:pStyle w:val="nTable"/>
              <w:spacing w:after="40"/>
              <w:rPr>
                <w:i/>
              </w:rPr>
            </w:pPr>
            <w:r>
              <w:rPr>
                <w:i/>
              </w:rPr>
              <w:t xml:space="preserve">Attorney General Regulations Amendment (Fees and Charges) Regulations 2021 </w:t>
            </w:r>
            <w:r>
              <w:t>Pt. 3</w:t>
            </w:r>
          </w:p>
        </w:tc>
        <w:tc>
          <w:tcPr>
            <w:tcW w:w="1276" w:type="dxa"/>
            <w:tcBorders>
              <w:top w:val="nil"/>
              <w:bottom w:val="nil"/>
            </w:tcBorders>
            <w:shd w:val="clear" w:color="auto" w:fill="auto"/>
          </w:tcPr>
          <w:p>
            <w:pPr>
              <w:pStyle w:val="nTable"/>
              <w:spacing w:after="40"/>
            </w:pPr>
            <w:r>
              <w:t>SL 2021/101 29 Jun 2021</w:t>
            </w:r>
          </w:p>
        </w:tc>
        <w:tc>
          <w:tcPr>
            <w:tcW w:w="2693" w:type="dxa"/>
            <w:tcBorders>
              <w:top w:val="nil"/>
              <w:bottom w:val="nil"/>
            </w:tcBorders>
            <w:shd w:val="clear" w:color="auto" w:fill="auto"/>
          </w:tcPr>
          <w:p>
            <w:pPr>
              <w:pStyle w:val="nTable"/>
              <w:spacing w:after="40"/>
              <w:rPr>
                <w:bCs/>
                <w:snapToGrid w:val="0"/>
              </w:rPr>
            </w:pPr>
            <w:r>
              <w:t>1 Jul 2021 (see r. 2(b))</w:t>
            </w:r>
          </w:p>
        </w:tc>
      </w:tr>
      <w:tr>
        <w:tc>
          <w:tcPr>
            <w:tcW w:w="3118" w:type="dxa"/>
            <w:tcBorders>
              <w:top w:val="nil"/>
              <w:bottom w:val="nil"/>
            </w:tcBorders>
            <w:shd w:val="clear" w:color="auto" w:fill="auto"/>
          </w:tcPr>
          <w:p>
            <w:pPr>
              <w:pStyle w:val="nTable"/>
              <w:spacing w:after="40"/>
              <w:rPr>
                <w:i/>
              </w:rPr>
            </w:pPr>
            <w:r>
              <w:rPr>
                <w:i/>
              </w:rPr>
              <w:t>Attorney General Regulations Amendment (Fees) Regulations 2021</w:t>
            </w:r>
            <w:r>
              <w:t xml:space="preserve"> Pt. 2</w:t>
            </w:r>
          </w:p>
        </w:tc>
        <w:tc>
          <w:tcPr>
            <w:tcW w:w="1276" w:type="dxa"/>
            <w:tcBorders>
              <w:top w:val="nil"/>
              <w:bottom w:val="nil"/>
            </w:tcBorders>
            <w:shd w:val="clear" w:color="auto" w:fill="auto"/>
          </w:tcPr>
          <w:p>
            <w:pPr>
              <w:pStyle w:val="nTable"/>
              <w:spacing w:after="40"/>
            </w:pPr>
            <w:r>
              <w:t>SL 2021/155 10 Sep 2021</w:t>
            </w:r>
          </w:p>
        </w:tc>
        <w:tc>
          <w:tcPr>
            <w:tcW w:w="2693" w:type="dxa"/>
            <w:tcBorders>
              <w:top w:val="nil"/>
              <w:bottom w:val="nil"/>
            </w:tcBorders>
            <w:shd w:val="clear" w:color="auto" w:fill="auto"/>
          </w:tcPr>
          <w:p>
            <w:pPr>
              <w:pStyle w:val="nTable"/>
              <w:spacing w:after="40"/>
            </w:pPr>
            <w:r>
              <w:t>11 Sep 2021 (see r. 2(b))</w:t>
            </w:r>
          </w:p>
        </w:tc>
      </w:tr>
      <w:tr>
        <w:tc>
          <w:tcPr>
            <w:tcW w:w="3118" w:type="dxa"/>
            <w:tcBorders>
              <w:top w:val="nil"/>
              <w:bottom w:val="nil"/>
            </w:tcBorders>
            <w:shd w:val="clear" w:color="auto" w:fill="auto"/>
          </w:tcPr>
          <w:p>
            <w:pPr>
              <w:pStyle w:val="nTable"/>
              <w:spacing w:after="40"/>
              <w:rPr>
                <w:i/>
              </w:rPr>
            </w:pPr>
            <w:r>
              <w:rPr>
                <w:i/>
              </w:rPr>
              <w:t xml:space="preserve">Attorney General Regulations Amendment (Fees and Charges) Regulations 2022 </w:t>
            </w:r>
            <w:r>
              <w:t>Pt. 3</w:t>
            </w:r>
          </w:p>
        </w:tc>
        <w:tc>
          <w:tcPr>
            <w:tcW w:w="1276" w:type="dxa"/>
            <w:tcBorders>
              <w:top w:val="nil"/>
              <w:bottom w:val="nil"/>
            </w:tcBorders>
            <w:shd w:val="clear" w:color="auto" w:fill="auto"/>
          </w:tcPr>
          <w:p>
            <w:pPr>
              <w:pStyle w:val="nTable"/>
              <w:spacing w:after="40"/>
            </w:pPr>
            <w:r>
              <w:t>SL 2022/111 30 June 2022</w:t>
            </w:r>
          </w:p>
        </w:tc>
        <w:tc>
          <w:tcPr>
            <w:tcW w:w="2693" w:type="dxa"/>
            <w:tcBorders>
              <w:top w:val="nil"/>
              <w:bottom w:val="nil"/>
            </w:tcBorders>
            <w:shd w:val="clear" w:color="auto" w:fill="auto"/>
          </w:tcPr>
          <w:p>
            <w:pPr>
              <w:pStyle w:val="nTable"/>
              <w:spacing w:after="40"/>
            </w:pPr>
            <w:r>
              <w:t>1 Jul 2022 (see r. 2(b))</w:t>
            </w:r>
          </w:p>
        </w:tc>
      </w:tr>
      <w:tr>
        <w:tc>
          <w:tcPr>
            <w:tcW w:w="3118" w:type="dxa"/>
            <w:tcBorders>
              <w:top w:val="nil"/>
              <w:bottom w:val="nil"/>
            </w:tcBorders>
            <w:shd w:val="clear" w:color="auto" w:fill="auto"/>
          </w:tcPr>
          <w:p>
            <w:pPr>
              <w:pStyle w:val="nTable"/>
              <w:spacing w:after="40"/>
              <w:rPr>
                <w:i/>
              </w:rPr>
            </w:pPr>
            <w:r>
              <w:rPr>
                <w:i/>
              </w:rPr>
              <w:t>Attorney General Regulations Amendment (Fee Waiver) Regulations 2022</w:t>
            </w:r>
            <w:r>
              <w:t xml:space="preserve"> Pt. 2</w:t>
            </w:r>
          </w:p>
        </w:tc>
        <w:tc>
          <w:tcPr>
            <w:tcW w:w="1276" w:type="dxa"/>
            <w:tcBorders>
              <w:top w:val="nil"/>
              <w:bottom w:val="nil"/>
            </w:tcBorders>
            <w:shd w:val="clear" w:color="auto" w:fill="auto"/>
          </w:tcPr>
          <w:p>
            <w:pPr>
              <w:pStyle w:val="nTable"/>
              <w:spacing w:after="40"/>
            </w:pPr>
            <w:r>
              <w:t>SL 2022/145 26 Aug 2022</w:t>
            </w:r>
          </w:p>
        </w:tc>
        <w:tc>
          <w:tcPr>
            <w:tcW w:w="2693" w:type="dxa"/>
            <w:tcBorders>
              <w:top w:val="nil"/>
              <w:bottom w:val="nil"/>
            </w:tcBorders>
            <w:shd w:val="clear" w:color="auto" w:fill="auto"/>
          </w:tcPr>
          <w:p>
            <w:pPr>
              <w:pStyle w:val="nTable"/>
              <w:spacing w:after="40"/>
            </w:pPr>
            <w:r>
              <w:t>27 Aug 2022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Attorney General Regulations Amendment (Fees and Charges) Regulations 2023</w:t>
            </w:r>
            <w:r>
              <w:t xml:space="preserve"> Pt. 3</w:t>
            </w:r>
          </w:p>
        </w:tc>
        <w:tc>
          <w:tcPr>
            <w:tcW w:w="1276" w:type="dxa"/>
            <w:tcBorders>
              <w:bottom w:val="single" w:sz="4" w:space="0" w:color="auto"/>
            </w:tcBorders>
            <w:shd w:val="clear" w:color="auto" w:fill="auto"/>
          </w:tcPr>
          <w:p>
            <w:pPr>
              <w:pStyle w:val="nTable"/>
              <w:spacing w:after="40"/>
            </w:pPr>
            <w:r>
              <w:t>SL 2023/120 2 Aug 2023</w:t>
            </w:r>
          </w:p>
        </w:tc>
        <w:tc>
          <w:tcPr>
            <w:tcW w:w="2693" w:type="dxa"/>
            <w:tcBorders>
              <w:bottom w:val="single" w:sz="4" w:space="0" w:color="auto"/>
            </w:tcBorders>
            <w:shd w:val="clear" w:color="auto" w:fill="auto"/>
          </w:tcPr>
          <w:p>
            <w:pPr>
              <w:pStyle w:val="nTable"/>
              <w:spacing w:after="40"/>
            </w:pPr>
            <w:r>
              <w:t>3 Aug 2023 (see r.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27" w:name="_Toc154745899"/>
      <w:r>
        <w:rPr>
          <w:sz w:val="28"/>
        </w:rPr>
        <w:lastRenderedPageBreak/>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Centrelink</w:t>
      </w:r>
      <w:r>
        <w:tab/>
        <w:t>8(1)</w:t>
      </w:r>
    </w:p>
    <w:p>
      <w:pPr>
        <w:pStyle w:val="DefinedTerms"/>
      </w:pPr>
      <w:r>
        <w:t>civil jurisdiction</w:t>
      </w:r>
      <w:r>
        <w:tab/>
        <w:t>3</w:t>
      </w:r>
    </w:p>
    <w:p>
      <w:pPr>
        <w:pStyle w:val="DefinedTerms"/>
      </w:pPr>
      <w:r>
        <w:t>criminal jurisdiction</w:t>
      </w:r>
      <w:r>
        <w:tab/>
        <w:t>3</w:t>
      </w:r>
    </w:p>
    <w:p>
      <w:pPr>
        <w:pStyle w:val="DefinedTerms"/>
      </w:pPr>
      <w:r>
        <w:t>deputy registrar</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prosecution notice</w:t>
      </w:r>
      <w:r>
        <w:tab/>
        <w:t>3</w:t>
      </w:r>
    </w:p>
    <w:p>
      <w:pPr>
        <w:pStyle w:val="DefinedTerms"/>
      </w:pPr>
      <w:r>
        <w:t>respondent</w:t>
      </w:r>
      <w:r>
        <w:tab/>
        <w:t>6(2)</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C0DA53F"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42E350F" w14:textId="4306890D" w:rsidR="008B399A" w:rsidRDefault="008B399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BB66E25" w14:textId="77777777" w:rsidR="008B399A" w:rsidRDefault="008B399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0AC5849" w14:textId="7B9146C7" w:rsidR="008B399A" w:rsidRDefault="008B399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EC3B000" w14:textId="77777777" w:rsidR="008B399A" w:rsidRDefault="008B399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03-k0-01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03-k0-01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03-k0-01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03-k0-01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03-k0-01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03-k0-01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 w:name="Coversheet"/>
    <w:bookmarkEnd w:id="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87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1035"/>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 w:name="WAFER_20181206133305" w:val="RemoveTocBookmarks,RemoveUnusedBookmarks,RemoveLanguageTags,UsedStyles,ResetPageSize"/>
    <w:docVar w:name="WAFER_20181206133305_GUID" w:val="163f645e-1654-4922-a744-c71d6a740a09"/>
    <w:docVar w:name="WAFER_20190311131100" w:val="RemoveTocBookmarks,RemoveUnusedBookmarks,RemoveLanguageTags,UpdateStyles,UsedStyles,ResetPageSize"/>
    <w:docVar w:name="WAFER_20190311131100_GUID" w:val="7dad6d96-308d-45e9-8613-a3cfe97c1ce4"/>
    <w:docVar w:name="WAFER_202007301459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45931_GUID" w:val="4465dc96-27ab-4066-9b03-ec87075418cb"/>
    <w:docVar w:name="WAFER_20210625145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746_GUID" w:val="9c8e28a4-3020-4545-8cd2-3ce7855018ca"/>
    <w:docVar w:name="WAFER_20210907120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20538_GUID" w:val="85c49832-fb0a-426b-8c29-26149f1f948c"/>
    <w:docVar w:name="WAFER_202206270840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84023_GUID" w:val="8180ec72-84e7-499e-ab36-de81e204c84c"/>
    <w:docVar w:name="WAFER_202208241110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1018_GUID" w:val="c46d1efd-096f-42ac-baa2-09a85fa5c91d"/>
    <w:docVar w:name="WAFER_202308011614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1161439_GUID" w:val="4687cf29-7c9b-438a-9bc7-09b361720fa4"/>
    <w:docVar w:name="WAFER_202312271610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1035_GUID" w:val="2c480b79-1ba9-48d1-b38c-8ed6e61ba1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31668-A77A-460B-BC4B-50291792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4147</Words>
  <Characters>19413</Characters>
  <Application>Microsoft Office Word</Application>
  <DocSecurity>0</DocSecurity>
  <Lines>924</Lines>
  <Paragraphs>535</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2005 - 03-k0-01</dc:title>
  <dc:subject/>
  <dc:creator/>
  <cp:keywords/>
  <dc:description/>
  <cp:lastModifiedBy>Master Repository Process</cp:lastModifiedBy>
  <cp:revision>4</cp:revision>
  <cp:lastPrinted>2018-09-04T01:15:00Z</cp:lastPrinted>
  <dcterms:created xsi:type="dcterms:W3CDTF">2023-12-29T04:37:00Z</dcterms:created>
  <dcterms:modified xsi:type="dcterms:W3CDTF">2023-12-29T04:37:00Z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AsAtDate">
    <vt:lpwstr>03 Aug 2023</vt:lpwstr>
  </property>
  <property fmtid="{D5CDD505-2E9C-101B-9397-08002B2CF9AE}" pid="8" name="Suffix">
    <vt:lpwstr>03-k0-01</vt:lpwstr>
  </property>
  <property fmtid="{D5CDD505-2E9C-101B-9397-08002B2CF9AE}" pid="9" name="Official">
    <vt:lpwstr/>
  </property>
  <property fmtid="{D5CDD505-2E9C-101B-9397-08002B2CF9AE}" pid="10" name="CommencementDate">
    <vt:lpwstr>20230803</vt:lpwstr>
  </property>
  <property fmtid="{D5CDD505-2E9C-101B-9397-08002B2CF9AE}" pid="11" name="CommencementAsAt">
    <vt:filetime>2023-08-02T16:00:00Z</vt:filetime>
  </property>
  <property fmtid="{D5CDD505-2E9C-101B-9397-08002B2CF9AE}" pid="12" name="CommencementYear">
    <vt:lpwstr>2023</vt:lpwstr>
  </property>
</Properties>
</file>