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(Kundat Djaru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_Toc155088506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_Toc155088507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Kundat Djaru Aboriginal Community</w:t>
      </w:r>
      <w:r>
        <w:tab/>
      </w:r>
      <w:r>
        <w:fldChar w:fldCharType="begin"/>
      </w:r>
      <w:r>
        <w:instrText xml:space="preserve"> PAGEREF _Toc155088508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_Toc155088509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_Toc155088510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Kundat Djaru Aboriginal Community</w:t>
      </w:r>
      <w:r>
        <w:tab/>
      </w:r>
      <w:r>
        <w:fldChar w:fldCharType="begin"/>
      </w:r>
      <w:r>
        <w:instrText xml:space="preserve"> PAGEREF _Toc155088511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_Toc155088512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_Toc155088513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_Toc155088515 \h </w:instrText>
      </w:r>
      <w:r>
        <w:fldChar w:fldCharType="separate"/>
      </w:r>
      <w:r>
        <w:t>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_Toc155088516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3" w:name="_Toc15508850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5" w:name="_Toc15508850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55088508"/>
      <w:r>
        <w:rPr>
          <w:rStyle w:val="CharSectno"/>
        </w:rPr>
        <w:t>3</w:t>
      </w:r>
      <w:r>
        <w:rPr>
          <w:snapToGrid w:val="0"/>
        </w:rPr>
        <w:t>.</w:t>
      </w:r>
      <w:r>
        <w:rPr>
          <w:snapToGrid w:val="0"/>
        </w:rPr>
        <w:tab/>
        <w:t>Term used: Kundat Djaru Aboriginal Community</w:t>
      </w:r>
      <w:bookmarkEnd w:id="6"/>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Lot 62 on Deposited Plan 216499 being the whole of the land in the Record of Qualified Certificate of Crown Land Title Volume LR3055 Folio 194.</w:t>
      </w:r>
    </w:p>
    <w:p>
      <w:pPr>
        <w:pStyle w:val="Ednotesection"/>
      </w:pPr>
      <w:r>
        <w:t>[</w:t>
      </w:r>
      <w:r>
        <w:rPr>
          <w:b/>
        </w:rPr>
        <w:t>4.</w:t>
      </w:r>
      <w:r>
        <w:tab/>
        <w:t>Deleted: SL 2022/158 r. 4.]</w:t>
      </w:r>
    </w:p>
    <w:p>
      <w:pPr>
        <w:pStyle w:val="Heading5"/>
      </w:pPr>
      <w:bookmarkStart w:id="7" w:name="_Toc155088509"/>
      <w:r>
        <w:rPr>
          <w:rStyle w:val="CharSectno"/>
        </w:rPr>
        <w:t>5</w:t>
      </w:r>
      <w:r>
        <w:t>.</w:t>
      </w:r>
      <w:r>
        <w:tab/>
        <w:t>Declaration of restricted area</w:t>
      </w:r>
      <w:bookmarkEnd w:id="7"/>
    </w:p>
    <w:p>
      <w:pPr>
        <w:pStyle w:val="Subsection"/>
      </w:pPr>
      <w:r>
        <w:tab/>
      </w:r>
      <w:r>
        <w:tab/>
        <w:t>The Kundat Djaru Aboriginal Community is declared to be a restricted area for the purposes of section 175(1a) of the Act.</w:t>
      </w:r>
    </w:p>
    <w:p>
      <w:pPr>
        <w:pStyle w:val="Heading5"/>
      </w:pPr>
      <w:bookmarkStart w:id="8" w:name="_Toc155088510"/>
      <w:r>
        <w:rPr>
          <w:rStyle w:val="CharSectno"/>
        </w:rPr>
        <w:lastRenderedPageBreak/>
        <w:t>6</w:t>
      </w:r>
      <w:r>
        <w:t>.</w:t>
      </w:r>
      <w:r>
        <w:tab/>
        <w:t>Notice of restricted area</w:t>
      </w:r>
      <w:bookmarkEnd w:id="8"/>
    </w:p>
    <w:p>
      <w:pPr>
        <w:pStyle w:val="Subsection"/>
        <w:keepNext/>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55088511"/>
      <w:r>
        <w:rPr>
          <w:rStyle w:val="CharSectno"/>
        </w:rPr>
        <w:t>7</w:t>
      </w:r>
      <w:r>
        <w:t>.</w:t>
      </w:r>
      <w:r>
        <w:tab/>
        <w:t>Prohibitions as to liquor in the Kundat Djaru Aboriginal Community</w:t>
      </w:r>
      <w:bookmarkEnd w:id="9"/>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55088512"/>
      <w:r>
        <w:rPr>
          <w:rStyle w:val="CharSectno"/>
        </w:rPr>
        <w:t>8</w:t>
      </w:r>
      <w:r>
        <w:t>.</w:t>
      </w:r>
      <w:r>
        <w:tab/>
        <w:t>Seizure and disposal of containers of liquor</w:t>
      </w:r>
      <w:bookmarkEnd w:id="10"/>
    </w:p>
    <w:p>
      <w:pPr>
        <w:pStyle w:val="Subsection"/>
      </w:pPr>
      <w:r>
        <w:tab/>
      </w:r>
      <w:r>
        <w:tab/>
        <w:t xml:space="preserve">Despite section 155(4) and (5) of the Act, a member of the Police Force may seize and, as soon as is practicable, dispose of any opened or unopened container of liquor suspected on </w:t>
      </w:r>
      <w:r>
        <w:lastRenderedPageBreak/>
        <w:t>reasonable grounds to be the subject of an offence under regulation 7.</w:t>
      </w:r>
    </w:p>
    <w:p>
      <w:pPr>
        <w:pStyle w:val="Heading5"/>
      </w:pPr>
      <w:bookmarkStart w:id="11" w:name="_Toc155088513"/>
      <w:r>
        <w:rPr>
          <w:rStyle w:val="CharSectno"/>
        </w:rPr>
        <w:t>9</w:t>
      </w:r>
      <w:r>
        <w:t>.</w:t>
      </w:r>
      <w:r>
        <w:tab/>
        <w:t>Period during which these regulations have effect</w:t>
      </w:r>
      <w:bookmarkEnd w:id="11"/>
    </w:p>
    <w:p>
      <w:pPr>
        <w:pStyle w:val="Subsection"/>
        <w:keepNext/>
      </w:pPr>
      <w:r>
        <w:tab/>
      </w:r>
      <w:r>
        <w:tab/>
        <w:t>Unless sooner repealed, these regulations have effect for the period that ends at the close of 18 September 2024.</w:t>
      </w:r>
    </w:p>
    <w:p>
      <w:pPr>
        <w:pStyle w:val="Footnotesection"/>
      </w:pPr>
      <w:r>
        <w:tab/>
        <w:t>[Regulation 9 amended: Gazette 13 Sep 2013 p. 4291; 14 Mar 2014 p. 631; 9 Sep 2016 p. 3888; 6 Sep 2019 p. 3202; SL 2022/158 r. 5; SL 2023/140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2" w:name="_Toc155088514"/>
      <w:r>
        <w:lastRenderedPageBreak/>
        <w:t>Notes</w:t>
      </w:r>
      <w:bookmarkEnd w:id="12"/>
    </w:p>
    <w:p>
      <w:pPr>
        <w:pStyle w:val="nStatement"/>
      </w:pPr>
      <w:r>
        <w:t xml:space="preserve">This is a compilation of the </w:t>
      </w:r>
      <w:r>
        <w:rPr>
          <w:i/>
          <w:noProof/>
        </w:rPr>
        <w:t>Liquor Control (Kundat Djaru Restricted Area) Regulations 2010</w:t>
      </w:r>
      <w:r>
        <w:t xml:space="preserve"> and includes amendments made by other written laws. For provisions that have come into operation see the compilation table.</w:t>
      </w:r>
    </w:p>
    <w:p>
      <w:pPr>
        <w:pStyle w:val="nHeading3"/>
      </w:pPr>
      <w:bookmarkStart w:id="13" w:name="_Toc155088515"/>
      <w:r>
        <w:t>Compilation table</w:t>
      </w:r>
      <w:bookmarkEnd w:id="1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Liquor Control (Kundat Djaru Restricted Area) Regulations 2010</w:t>
            </w:r>
            <w:r>
              <w:rPr>
                <w:vertAlign w:val="superscript"/>
              </w:rPr>
              <w:t> 1</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Liquor Control Regulations Amendment (Restricted Area) Regulations 2016</w:t>
            </w:r>
            <w:r>
              <w:t xml:space="preserve"> Pt. 3</w:t>
            </w:r>
          </w:p>
        </w:tc>
        <w:tc>
          <w:tcPr>
            <w:tcW w:w="1276" w:type="dxa"/>
          </w:tcPr>
          <w:p>
            <w:pPr>
              <w:pStyle w:val="nTable"/>
              <w:spacing w:after="40"/>
            </w:pPr>
            <w:r>
              <w:t>9 Sep 2016 p. 3887-8</w:t>
            </w:r>
          </w:p>
        </w:tc>
        <w:tc>
          <w:tcPr>
            <w:tcW w:w="2693" w:type="dxa"/>
          </w:tcPr>
          <w:p>
            <w:pPr>
              <w:pStyle w:val="nTable"/>
              <w:spacing w:after="40"/>
            </w:pPr>
            <w:r>
              <w:t>10 Sep 2016 (see r. 2(b))</w:t>
            </w:r>
          </w:p>
        </w:tc>
      </w:tr>
      <w:tr>
        <w:tc>
          <w:tcPr>
            <w:tcW w:w="3119" w:type="dxa"/>
            <w:tcBorders>
              <w:top w:val="nil"/>
              <w:bottom w:val="nil"/>
            </w:tcBorders>
          </w:tcPr>
          <w:p>
            <w:pPr>
              <w:pStyle w:val="nTable"/>
              <w:spacing w:after="40"/>
              <w:rPr>
                <w:i/>
              </w:rPr>
            </w:pPr>
            <w:r>
              <w:rPr>
                <w:i/>
              </w:rPr>
              <w:t>Liquor Control (Kundat Djaru Restricted Area) Amendment Regulations 2019</w:t>
            </w:r>
          </w:p>
        </w:tc>
        <w:tc>
          <w:tcPr>
            <w:tcW w:w="1276" w:type="dxa"/>
            <w:tcBorders>
              <w:top w:val="nil"/>
              <w:bottom w:val="nil"/>
            </w:tcBorders>
          </w:tcPr>
          <w:p>
            <w:pPr>
              <w:pStyle w:val="nTable"/>
              <w:spacing w:after="40"/>
            </w:pPr>
            <w:r>
              <w:t>6 Sep 2019 p. 3202</w:t>
            </w:r>
          </w:p>
        </w:tc>
        <w:tc>
          <w:tcPr>
            <w:tcW w:w="2693" w:type="dxa"/>
            <w:tcBorders>
              <w:top w:val="nil"/>
              <w:bottom w:val="nil"/>
            </w:tcBorders>
          </w:tcPr>
          <w:p>
            <w:pPr>
              <w:pStyle w:val="nTable"/>
              <w:spacing w:after="40"/>
            </w:pPr>
            <w:r>
              <w:t>r. 1 and 2: 6 Sep 2019 (see r. 2(a));</w:t>
            </w:r>
            <w:r>
              <w:br/>
              <w:t>Regulations other than r. 1 and 2: 7 Sep 2019 (see r. 2(b))</w:t>
            </w:r>
          </w:p>
        </w:tc>
      </w:tr>
      <w:tr>
        <w:tc>
          <w:tcPr>
            <w:tcW w:w="3119" w:type="dxa"/>
            <w:tcBorders>
              <w:top w:val="nil"/>
              <w:bottom w:val="nil"/>
            </w:tcBorders>
          </w:tcPr>
          <w:p>
            <w:pPr>
              <w:pStyle w:val="nTable"/>
              <w:spacing w:after="40"/>
              <w:rPr>
                <w:i/>
              </w:rPr>
            </w:pPr>
            <w:r>
              <w:rPr>
                <w:i/>
              </w:rPr>
              <w:t>Racing and Gaming Regulations Amendment (Liquor Control) Regulations (No. 3) 2022</w:t>
            </w:r>
            <w:r>
              <w:t xml:space="preserve"> Pt. 2</w:t>
            </w:r>
          </w:p>
        </w:tc>
        <w:tc>
          <w:tcPr>
            <w:tcW w:w="1276" w:type="dxa"/>
            <w:tcBorders>
              <w:top w:val="nil"/>
              <w:bottom w:val="nil"/>
            </w:tcBorders>
          </w:tcPr>
          <w:p>
            <w:pPr>
              <w:pStyle w:val="nTable"/>
              <w:spacing w:after="40"/>
            </w:pPr>
            <w:r>
              <w:t>SL 2022/158 9 Sep 2022</w:t>
            </w:r>
          </w:p>
        </w:tc>
        <w:tc>
          <w:tcPr>
            <w:tcW w:w="2693" w:type="dxa"/>
            <w:tcBorders>
              <w:top w:val="nil"/>
              <w:bottom w:val="nil"/>
            </w:tcBorders>
          </w:tcPr>
          <w:p>
            <w:pPr>
              <w:pStyle w:val="nTable"/>
              <w:spacing w:after="40"/>
            </w:pPr>
            <w:r>
              <w:t>10 Sep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pPr>
            <w:r>
              <w:rPr>
                <w:i/>
              </w:rPr>
              <w:t xml:space="preserve">Racing and Gaming Regulations Amendment (Liquor Control) Regulations (No. 4) 2023 </w:t>
            </w:r>
            <w:r>
              <w:t>Pt. 2</w:t>
            </w:r>
          </w:p>
        </w:tc>
        <w:tc>
          <w:tcPr>
            <w:tcW w:w="1276" w:type="dxa"/>
            <w:tcBorders>
              <w:bottom w:val="single" w:sz="4" w:space="0" w:color="auto"/>
            </w:tcBorders>
          </w:tcPr>
          <w:p>
            <w:pPr>
              <w:pStyle w:val="nTable"/>
              <w:spacing w:after="40"/>
            </w:pPr>
            <w:r>
              <w:t>SL 2023/140 6 Sep 2023</w:t>
            </w:r>
          </w:p>
        </w:tc>
        <w:tc>
          <w:tcPr>
            <w:tcW w:w="2693" w:type="dxa"/>
            <w:tcBorders>
              <w:bottom w:val="single" w:sz="4" w:space="0" w:color="auto"/>
            </w:tcBorders>
          </w:tcPr>
          <w:p>
            <w:pPr>
              <w:pStyle w:val="nTable"/>
              <w:spacing w:after="40"/>
            </w:pPr>
            <w:r>
              <w:t>7 Sep 2023 (see r. 2(b))</w:t>
            </w:r>
          </w:p>
        </w:tc>
      </w:tr>
    </w:tbl>
    <w:p>
      <w:pPr>
        <w:pStyle w:val="nHeading3"/>
      </w:pPr>
      <w:bookmarkStart w:id="14" w:name="_Toc155088516"/>
      <w:r>
        <w:t>Other notes</w:t>
      </w:r>
      <w:bookmarkEnd w:id="14"/>
    </w:p>
    <w:p>
      <w:pPr>
        <w:pStyle w:val="nNote"/>
      </w:pPr>
      <w:r>
        <w:rPr>
          <w:vertAlign w:val="superscript"/>
        </w:rPr>
        <w:t>1</w:t>
      </w:r>
      <w:r>
        <w:tab/>
        <w:t>These regulations expire at the close of 18 September 2024 (see r. 9).</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6" w:name="_Toc155088517"/>
      <w:r>
        <w:rPr>
          <w:sz w:val="28"/>
        </w:rPr>
        <w:lastRenderedPageBreak/>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Kundat Djaru Aboriginal Community</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9D2388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B80DE17" w14:textId="50BD50F8" w:rsidR="0008093A" w:rsidRDefault="0008093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9D4E229" w14:textId="77777777" w:rsidR="0008093A" w:rsidRDefault="0008093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6F51583" w14:textId="4BCEC3C5" w:rsidR="0008093A" w:rsidRDefault="0008093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3471B88" w14:textId="77777777" w:rsidR="0008093A" w:rsidRDefault="0008093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1908"/>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 w:name="WAFER_20190905160548" w:val="RemoveTocBookmarks,RemoveUnusedBookmarks,RemoveLanguageTags,ResetPageSize,RunningHeaders,UpdateStyles,UsedStyles"/>
    <w:docVar w:name="WAFER_20190905160548_GUID" w:val="ba03ad54-a731-443c-8f69-3eb2a73f63d0"/>
    <w:docVar w:name="WAFER_202209061503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06150340_GUID" w:val="83a732ca-865c-4733-9ca7-b387a424dca5"/>
    <w:docVar w:name="WAFER_202308311444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31144448_GUID" w:val="4e196ce5-ad0b-4dbf-bdf9-477227066656"/>
    <w:docVar w:name="WAFER_20231228151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1908_GUID" w:val="150ef1e2-d683-4554-8a91-df1f46a913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03C4D83-1892-4BAB-B0C3-A0892D3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2BD5-97C8-4373-AA92-ABFB9F7C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4729</Characters>
  <Application>Microsoft Office Word</Application>
  <DocSecurity>0</DocSecurity>
  <Lines>189</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2010 - 00-g0-01</dc:title>
  <dc:subject/>
  <dc:creator/>
  <cp:keywords/>
  <dc:description/>
  <cp:lastModifiedBy>Master Repository Process</cp:lastModifiedBy>
  <cp:revision>4</cp:revision>
  <cp:lastPrinted>2014-03-13T03:55:00Z</cp:lastPrinted>
  <dcterms:created xsi:type="dcterms:W3CDTF">2024-01-02T03:48:00Z</dcterms:created>
  <dcterms:modified xsi:type="dcterms:W3CDTF">2024-01-02T03:48:00Z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AsAtDate">
    <vt:lpwstr>07 Sep 2023</vt:lpwstr>
  </property>
  <property fmtid="{D5CDD505-2E9C-101B-9397-08002B2CF9AE}" pid="6" name="Suffix">
    <vt:lpwstr>00-g0-01</vt:lpwstr>
  </property>
  <property fmtid="{D5CDD505-2E9C-101B-9397-08002B2CF9AE}" pid="7" name="Official">
    <vt:lpwstr/>
  </property>
  <property fmtid="{D5CDD505-2E9C-101B-9397-08002B2CF9AE}" pid="8" name="CommencementDate">
    <vt:lpwstr>20230907</vt:lpwstr>
  </property>
  <property fmtid="{D5CDD505-2E9C-101B-9397-08002B2CF9AE}" pid="9" name="CommencementAsAt">
    <vt:filetime>2023-09-06T16:00:00Z</vt:filetime>
  </property>
  <property fmtid="{D5CDD505-2E9C-101B-9397-08002B2CF9AE}" pid="10" name="CommencementYear">
    <vt:lpwstr>2023</vt:lpwstr>
  </property>
</Properties>
</file>