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Building Act 2011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Building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_Toc155185771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_Toc155185772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_Toc155185773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15C amended</w:t>
      </w:r>
      <w:r>
        <w:tab/>
      </w:r>
      <w:r>
        <w:fldChar w:fldCharType="begin"/>
      </w:r>
      <w:r>
        <w:instrText xml:space="preserve"> PAGEREF _Toc155185774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31A amended</w:t>
      </w:r>
      <w:r>
        <w:tab/>
      </w:r>
      <w:r>
        <w:fldChar w:fldCharType="begin"/>
      </w:r>
      <w:r>
        <w:instrText xml:space="preserve"> PAGEREF _Toc155185775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31IA inserted</w:t>
      </w:r>
      <w:r>
        <w:tab/>
      </w:r>
      <w:r>
        <w:fldChar w:fldCharType="begin"/>
      </w:r>
      <w:r>
        <w:instrText xml:space="preserve"> PAGEREF _Toc155185776 \h </w:instrText>
      </w:r>
      <w:r>
        <w:fldChar w:fldCharType="separate"/>
      </w:r>
      <w:r>
        <w:t>4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31IA.</w:t>
      </w:r>
      <w:r>
        <w:rPr>
          <w:noProof/>
        </w:rPr>
        <w:tab/>
        <w:t xml:space="preserve">Transitional provision for </w:t>
      </w:r>
      <w:r>
        <w:rPr>
          <w:i/>
          <w:noProof/>
        </w:rPr>
        <w:t>Building Amendment Regulations (No. 2) 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Building Act 2011</w:t>
      </w:r>
    </w:p>
    <w:p>
      <w:pPr>
        <w:pStyle w:val="NameofActReg"/>
      </w:pPr>
      <w:r>
        <w:t>Building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77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Building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7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 (</w:t>
      </w:r>
      <w:r>
        <w:rPr>
          <w:rStyle w:val="CharDefText"/>
        </w:rPr>
        <w:t>publication day</w:t>
      </w:r>
      <w:r>
        <w:t>);</w:t>
      </w:r>
    </w:p>
    <w:p>
      <w:pPr>
        <w:pStyle w:val="Indenta"/>
      </w:pPr>
      <w:r>
        <w:tab/>
        <w:t>(b)</w:t>
      </w:r>
      <w:r>
        <w:tab/>
        <w:t>regulation 4(1) — on the day after publication day;</w:t>
      </w:r>
    </w:p>
    <w:p>
      <w:pPr>
        <w:pStyle w:val="Indenta"/>
      </w:pPr>
      <w:r>
        <w:tab/>
        <w:t>(c)</w:t>
      </w:r>
      <w:r>
        <w:tab/>
        <w:t>the rest of the regulations — on 1 October 2023</w:t>
      </w:r>
      <w:r>
        <w:rPr>
          <w:spacing w:val="-2"/>
        </w:rPr>
        <w:t>.</w:t>
      </w:r>
    </w:p>
    <w:p>
      <w:pPr>
        <w:pStyle w:val="Heading5"/>
        <w:rPr>
          <w:snapToGrid w:val="0"/>
        </w:rPr>
      </w:pPr>
      <w:bookmarkStart w:id="6" w:name="_Toc1551857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Building Regulations 2012</w:t>
      </w:r>
      <w:r>
        <w:t>.</w:t>
      </w:r>
    </w:p>
    <w:p>
      <w:pPr>
        <w:pStyle w:val="Heading5"/>
      </w:pPr>
      <w:bookmarkStart w:id="7" w:name="_Toc155185774"/>
      <w:r>
        <w:rPr>
          <w:rStyle w:val="CharSectno"/>
        </w:rPr>
        <w:t>4</w:t>
      </w:r>
      <w:r>
        <w:t>.</w:t>
      </w:r>
      <w:r>
        <w:tab/>
        <w:t>Regulation 15C amended</w:t>
      </w:r>
      <w:bookmarkEnd w:id="7"/>
    </w:p>
    <w:p>
      <w:pPr>
        <w:pStyle w:val="Subsection"/>
      </w:pPr>
      <w:r>
        <w:tab/>
        <w:t>(1)</w:t>
      </w:r>
      <w:r>
        <w:tab/>
        <w:t>After regulation 15C(3) insert:</w:t>
      </w:r>
    </w:p>
    <w:p>
      <w:pPr>
        <w:pStyle w:val="BlankOpen"/>
      </w:pPr>
    </w:p>
    <w:p>
      <w:pPr>
        <w:pStyle w:val="zSubsection"/>
      </w:pPr>
      <w:r>
        <w:tab/>
        <w:t>(4)</w:t>
      </w:r>
      <w:r>
        <w:tab/>
        <w:t>The Building Code (2022 edition) Volume One Part J3 is modified to delete clause J3D3(2) and insert:</w:t>
      </w:r>
    </w:p>
    <w:p>
      <w:pPr>
        <w:pStyle w:val="BlankOpen"/>
      </w:pPr>
    </w:p>
    <w:p>
      <w:pPr>
        <w:pStyle w:val="zSubsection"/>
        <w:tabs>
          <w:tab w:val="clear" w:pos="1162"/>
          <w:tab w:val="clear" w:pos="1446"/>
          <w:tab w:val="right" w:pos="1418"/>
        </w:tabs>
        <w:ind w:left="1701"/>
        <w:rPr>
          <w:sz w:val="22"/>
        </w:rPr>
      </w:pPr>
      <w:r>
        <w:tab/>
        <w:t>(2)</w:t>
      </w:r>
      <w:r>
        <w:tab/>
        <w:t xml:space="preserve">Energy ratings referred to in (1)(a)(i) and (ii) must be achieved using </w:t>
      </w:r>
      <w:r>
        <w:rPr>
          <w:i/>
          <w:iCs/>
        </w:rPr>
        <w:t>house energy rating software</w:t>
      </w:r>
      <w:r>
        <w:t>.</w:t>
      </w:r>
    </w:p>
    <w:p>
      <w:pPr>
        <w:pStyle w:val="BlankClose"/>
      </w:pPr>
    </w:p>
    <w:p>
      <w:pPr>
        <w:pStyle w:val="zSubsection"/>
      </w:pPr>
      <w:r>
        <w:lastRenderedPageBreak/>
        <w:tab/>
        <w:t>(5)</w:t>
      </w:r>
      <w:r>
        <w:tab/>
        <w:t>The Building Code (2022 edition) Volume Two Specification 42 clause S42C2(1) is modified to delete “, including the separate heating and cooling load limits,”.</w:t>
      </w:r>
    </w:p>
    <w:p>
      <w:pPr>
        <w:pStyle w:val="BlankClose"/>
        <w:rPr>
          <w:rStyle w:val="DraftersNotes"/>
          <w:b w:val="0"/>
          <w:i w:val="0"/>
          <w:sz w:val="24"/>
        </w:rPr>
      </w:pPr>
    </w:p>
    <w:p>
      <w:pPr>
        <w:pStyle w:val="Subsection"/>
      </w:pPr>
      <w:r>
        <w:tab/>
        <w:t>(2)</w:t>
      </w:r>
      <w:r>
        <w:tab/>
        <w:t>After regulation 15C(5) insert:</w:t>
      </w:r>
    </w:p>
    <w:p>
      <w:pPr>
        <w:pStyle w:val="BlankOpen"/>
      </w:pPr>
    </w:p>
    <w:p>
      <w:pPr>
        <w:pStyle w:val="zSubsection"/>
        <w:keepNext/>
        <w:rPr>
          <w:rStyle w:val="DraftersNotes"/>
          <w:b w:val="0"/>
          <w:i w:val="0"/>
          <w:sz w:val="24"/>
        </w:rPr>
      </w:pPr>
      <w:r>
        <w:tab/>
        <w:t>(6)</w:t>
      </w:r>
      <w:r>
        <w:tab/>
        <w:t xml:space="preserve">The Building Code (2022 edition) Volume One Part F8 Notes are modified as follows — </w:t>
      </w:r>
    </w:p>
    <w:p>
      <w:pPr>
        <w:pStyle w:val="zIndenta"/>
      </w:pPr>
      <w:r>
        <w:tab/>
        <w:t>(a)</w:t>
      </w:r>
      <w:r>
        <w:tab/>
        <w:t>delete “30 September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30 April 2025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>delete “1 October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1 May 2025</w:t>
      </w:r>
    </w:p>
    <w:p>
      <w:pPr>
        <w:pStyle w:val="BlankClose"/>
      </w:pPr>
    </w:p>
    <w:p>
      <w:pPr>
        <w:pStyle w:val="zSubsection"/>
      </w:pPr>
      <w:r>
        <w:tab/>
        <w:t>(7)</w:t>
      </w:r>
      <w:r>
        <w:tab/>
        <w:t>The Building Code (2022 edition) Volume One is modified to delete Part G7.</w:t>
      </w:r>
    </w:p>
    <w:p>
      <w:pPr>
        <w:pStyle w:val="zSubsection"/>
        <w:rPr>
          <w:rStyle w:val="DraftersNotes"/>
          <w:b w:val="0"/>
          <w:i w:val="0"/>
          <w:sz w:val="24"/>
        </w:rPr>
      </w:pPr>
      <w:r>
        <w:tab/>
        <w:t>(8)</w:t>
      </w:r>
      <w:r>
        <w:tab/>
        <w:t xml:space="preserve">The Building Code (2022 edition) Volume One in the Notes in Parts J1 to J9 is modified as follows — </w:t>
      </w:r>
    </w:p>
    <w:p>
      <w:pPr>
        <w:pStyle w:val="zIndenta"/>
      </w:pPr>
      <w:r>
        <w:tab/>
        <w:t>(a)</w:t>
      </w:r>
      <w:r>
        <w:tab/>
        <w:t>delete “30 September 2023” (each occurrence)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30 April 2025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>delete “1 October 2023” (each occurrence)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1 May 2025</w:t>
      </w:r>
    </w:p>
    <w:p>
      <w:pPr>
        <w:pStyle w:val="BlankClose"/>
      </w:pPr>
    </w:p>
    <w:p>
      <w:pPr>
        <w:pStyle w:val="zSubsection"/>
      </w:pPr>
      <w:r>
        <w:lastRenderedPageBreak/>
        <w:tab/>
        <w:t>(9)</w:t>
      </w:r>
      <w:r>
        <w:tab/>
        <w:t xml:space="preserve">The Building Code (2022 edition) Volume Two Part H4 clause H4D9 Notes are modified as follows — </w:t>
      </w:r>
    </w:p>
    <w:p>
      <w:pPr>
        <w:pStyle w:val="zIndenta"/>
      </w:pPr>
      <w:r>
        <w:tab/>
        <w:t>(a)</w:t>
      </w:r>
      <w:r>
        <w:tab/>
        <w:t>delete “30 September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30 April 2025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>delete “1 October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1 May 2025</w:t>
      </w:r>
    </w:p>
    <w:p>
      <w:pPr>
        <w:pStyle w:val="BlankClose"/>
      </w:pPr>
    </w:p>
    <w:p>
      <w:pPr>
        <w:pStyle w:val="zSubsection"/>
        <w:rPr>
          <w:rStyle w:val="DraftersNotes"/>
          <w:b w:val="0"/>
          <w:i w:val="0"/>
          <w:sz w:val="24"/>
        </w:rPr>
      </w:pPr>
      <w:r>
        <w:tab/>
        <w:t>(10)</w:t>
      </w:r>
      <w:r>
        <w:tab/>
        <w:t xml:space="preserve">The Building Code (2022 edition) Volume Two Part H6 Notes are modified as follows — </w:t>
      </w:r>
    </w:p>
    <w:p>
      <w:pPr>
        <w:pStyle w:val="zIndenta"/>
      </w:pPr>
      <w:r>
        <w:tab/>
        <w:t>(a)</w:t>
      </w:r>
      <w:r>
        <w:tab/>
        <w:t>delete “30 September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30 April 2025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>delete “1 October 2023” and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1 May 2025</w:t>
      </w:r>
    </w:p>
    <w:p>
      <w:pPr>
        <w:pStyle w:val="BlankClose"/>
      </w:pPr>
    </w:p>
    <w:p>
      <w:pPr>
        <w:pStyle w:val="zSubsection"/>
      </w:pPr>
      <w:r>
        <w:tab/>
        <w:t>(11)</w:t>
      </w:r>
      <w:r>
        <w:tab/>
        <w:t>The Building Code (2022 edition) Volume Two is modified to delete Part H8.</w:t>
      </w:r>
    </w:p>
    <w:p>
      <w:pPr>
        <w:pStyle w:val="zPermNoteHeading"/>
      </w:pPr>
      <w:r>
        <w:tab/>
        <w:t>Note for this regulation:</w:t>
      </w:r>
    </w:p>
    <w:p>
      <w:pPr>
        <w:pStyle w:val="zPermNoteText"/>
        <w:rPr>
          <w:rStyle w:val="DraftersNotes"/>
          <w:b w:val="0"/>
          <w:i w:val="0"/>
          <w:sz w:val="18"/>
        </w:rPr>
      </w:pPr>
      <w:r>
        <w:tab/>
      </w:r>
      <w:r>
        <w:tab/>
        <w:t>The Building Code (2022 edition) clause A1G4(3)(g) provides that a note is part of a provision or requirement in the Building Code and provides additional mandatory instructions.</w:t>
      </w:r>
    </w:p>
    <w:p>
      <w:pPr>
        <w:pStyle w:val="BlankClose"/>
      </w:pPr>
    </w:p>
    <w:p>
      <w:pPr>
        <w:pStyle w:val="Heading5"/>
      </w:pPr>
      <w:bookmarkStart w:id="8" w:name="_Toc155185775"/>
      <w:r>
        <w:rPr>
          <w:rStyle w:val="CharSectno"/>
        </w:rPr>
        <w:lastRenderedPageBreak/>
        <w:t>5</w:t>
      </w:r>
      <w:r>
        <w:t>.</w:t>
      </w:r>
      <w:r>
        <w:tab/>
        <w:t>Regulation 31A amended</w:t>
      </w:r>
      <w:bookmarkEnd w:id="8"/>
    </w:p>
    <w:p>
      <w:pPr>
        <w:pStyle w:val="Subsection"/>
        <w:keepNext/>
      </w:pPr>
      <w:r>
        <w:tab/>
        <w:t>(1)</w:t>
      </w:r>
      <w:r>
        <w:tab/>
        <w:t>In regulation 31A(3) after “in the”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relevant edition of the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regulation 31A(4):</w:t>
      </w:r>
    </w:p>
    <w:p>
      <w:pPr>
        <w:pStyle w:val="Indenta"/>
      </w:pPr>
      <w:r>
        <w:tab/>
        <w:t>(a)</w:t>
      </w:r>
      <w:r>
        <w:tab/>
        <w:t>delete “a superseded edition of the Building Code,”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an earlier edition (the </w:t>
      </w:r>
      <w:r>
        <w:rPr>
          <w:rStyle w:val="CharDefText"/>
        </w:rPr>
        <w:t>earlier edition</w:t>
      </w:r>
      <w:r>
        <w:t>) of the Building Code than the edition that was last adopted,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“superseded edition of the Building Code.”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earlier edition.</w:t>
      </w:r>
    </w:p>
    <w:p>
      <w:pPr>
        <w:pStyle w:val="BlankClose"/>
      </w:pPr>
    </w:p>
    <w:p>
      <w:pPr>
        <w:pStyle w:val="Heading5"/>
      </w:pPr>
      <w:bookmarkStart w:id="9" w:name="_Toc155185776"/>
      <w:r>
        <w:rPr>
          <w:rStyle w:val="CharSectno"/>
        </w:rPr>
        <w:t>6</w:t>
      </w:r>
      <w:r>
        <w:t>.</w:t>
      </w:r>
      <w:r>
        <w:tab/>
        <w:t>Regulation 31IA inserted</w:t>
      </w:r>
      <w:bookmarkEnd w:id="9"/>
      <w:r>
        <w:t xml:space="preserve"> </w:t>
      </w:r>
    </w:p>
    <w:p>
      <w:pPr>
        <w:pStyle w:val="Subsection"/>
      </w:pPr>
      <w:r>
        <w:tab/>
      </w:r>
      <w:r>
        <w:tab/>
        <w:t>At the end of Part 4 Division 1 Subdivision 1 insert:</w:t>
      </w:r>
    </w:p>
    <w:p>
      <w:pPr>
        <w:pStyle w:val="BlankOpen"/>
      </w:pPr>
    </w:p>
    <w:p>
      <w:pPr>
        <w:pStyle w:val="zHeading5"/>
      </w:pPr>
      <w:bookmarkStart w:id="10" w:name="_Toc155185777"/>
      <w:r>
        <w:t>31IA.</w:t>
      </w:r>
      <w:r>
        <w:tab/>
        <w:t xml:space="preserve">Transitional provision for </w:t>
      </w:r>
      <w:r>
        <w:rPr>
          <w:i/>
        </w:rPr>
        <w:t>Building Amendment Regulations (No. 2) 2023</w:t>
      </w:r>
      <w:bookmarkEnd w:id="10"/>
    </w:p>
    <w:p>
      <w:pPr>
        <w:pStyle w:val="zSubsection"/>
      </w:pPr>
      <w:r>
        <w:tab/>
        <w:t>(1)</w:t>
      </w:r>
      <w:r>
        <w:tab/>
        <w:t>Despite regulation 31A, this regulation applies in relation to an application for a building permit made during the period beginning on 1 May 2024 and ending on 30 April 2025.</w:t>
      </w:r>
    </w:p>
    <w:p>
      <w:pPr>
        <w:pStyle w:val="z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applicable building standard</w:t>
      </w:r>
      <w:r>
        <w:t xml:space="preserve"> in section 3, the building standards set out in subregulation (3) are prescribed as applicable building standards for the purposes of sections 19(3) </w:t>
      </w:r>
      <w:r>
        <w:lastRenderedPageBreak/>
        <w:t>and 37(1) in respect of all kinds of buildings and incidental structures, except to the extent that regulations 31BA, 31C, 31D and 31HA otherwise provide.</w:t>
      </w:r>
    </w:p>
    <w:p>
      <w:pPr>
        <w:pStyle w:val="zSubsection"/>
      </w:pPr>
      <w:r>
        <w:tab/>
        <w:t>(3)</w:t>
      </w:r>
      <w:r>
        <w:tab/>
        <w:t xml:space="preserve">For the purposes of subregulation (2), the applicable building standards for a building or incidental structure are the requirements in relation to the technical aspects of the construction of a building or incidental structure of that building or incidental structure’s classification that are — </w:t>
      </w:r>
    </w:p>
    <w:p>
      <w:pPr>
        <w:pStyle w:val="zIndenta"/>
      </w:pPr>
      <w:r>
        <w:tab/>
        <w:t>(a)</w:t>
      </w:r>
      <w:r>
        <w:tab/>
        <w:t>set out in the edition of the Building Code that is in effect at the time the application for the building permit is made; or</w:t>
      </w:r>
    </w:p>
    <w:p>
      <w:pPr>
        <w:pStyle w:val="zIndenta"/>
      </w:pPr>
      <w:r>
        <w:tab/>
        <w:t>(b)</w:t>
      </w:r>
      <w:r>
        <w:tab/>
        <w:t>set out in the Building Code (2019 edition) Amendment 1.</w:t>
      </w:r>
    </w:p>
    <w:p>
      <w:pPr>
        <w:pStyle w:val="zSubsection"/>
      </w:pPr>
      <w:r>
        <w:tab/>
        <w:t>(4)</w:t>
      </w:r>
      <w:r>
        <w:tab/>
        <w:t>For the purposes of subregulation (3), the applicable building standards include the governing requirements set out in the relevant edition of the Building Code.</w:t>
      </w:r>
    </w:p>
    <w:p>
      <w:pPr>
        <w:pStyle w:val="zSubsection"/>
      </w:pPr>
      <w:r>
        <w:tab/>
        <w:t>(5)</w:t>
      </w:r>
      <w:r>
        <w:tab/>
        <w:t xml:space="preserve">If the applicable building standards are set out in an earlier edition (the </w:t>
      </w:r>
      <w:r>
        <w:rPr>
          <w:rStyle w:val="CharDefText"/>
        </w:rPr>
        <w:t>earlier edition</w:t>
      </w:r>
      <w:r>
        <w:t>) of the Building Code than the edition that was last adopted, a reference in these regulations to a Volume, Section, Part, Type, clause or Schedule of the Building Code is taken to be a reference to the corresponding Volume, Section, Part, Type, clause or Schedule of the earlier edition.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C12FB4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6242D08" w14:textId="3E94DC90" w:rsidR="004F5A19" w:rsidRDefault="004F5A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4E06752" w14:textId="77777777" w:rsidR="004F5A19" w:rsidRDefault="004F5A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FE87F57" w14:textId="51E9DC0A" w:rsidR="004F5A19" w:rsidRDefault="004F5A1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6A228B" w14:textId="77777777" w:rsidR="004F5A19" w:rsidRDefault="004F5A1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Building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09090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181407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18140755_GUID" w:val="ed76dccd-118c-4da2-a206-e8c55f72250a"/>
    <w:docVar w:name="WAFER_202308241326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24132653_GUID" w:val="b6a21183-238a-405d-b4c7-71f578a418eb"/>
    <w:docVar w:name="WAFER_202309141330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14133039_GUID" w:val="ab6b2857-3f5c-4911-8885-38e970b68c8d"/>
    <w:docVar w:name="WAFER_202401020909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090903_GUID" w:val="6ce8ecaf-ce27-494d-84f1-8a7d843db3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D0EF42C-3104-4113-AC44-60AE609A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98F4-F2B5-453D-AE79-F632CC5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4638</Characters>
  <Application>Microsoft Office Word</Application>
  <DocSecurity>0</DocSecurity>
  <Lines>185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2024-01-03T06:49:00Z</dcterms:created>
  <dcterms:modified xsi:type="dcterms:W3CDTF">2024-01-03T06:49:00Z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54229</vt:lpwstr>
  </property>
  <property fmtid="{D5CDD505-2E9C-101B-9397-08002B2CF9AE}" pid="3" name="DocumentType">
    <vt:lpwstr>Reg</vt:lpwstr>
  </property>
  <property fmtid="{D5CDD505-2E9C-101B-9397-08002B2CF9AE}" pid="4" name="AsAtDate">
    <vt:lpwstr>20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2023/146</vt:lpwstr>
  </property>
  <property fmtid="{D5CDD505-2E9C-101B-9397-08002B2CF9AE}" pid="8" name="PublishDate">
    <vt:lpwstr>20 Sep 2023</vt:lpwstr>
  </property>
  <property fmtid="{D5CDD505-2E9C-101B-9397-08002B2CF9AE}" pid="9" name="CommencementDate">
    <vt:lpwstr>20230920</vt:lpwstr>
  </property>
  <property fmtid="{D5CDD505-2E9C-101B-9397-08002B2CF9AE}" pid="10" name="CommencementAsAt">
    <vt:filetime>2023-09-19T16:00:00Z</vt:filetime>
  </property>
  <property fmtid="{D5CDD505-2E9C-101B-9397-08002B2CF9AE}" pid="11" name="CommencementYear">
    <vt:lpwstr>2023</vt:lpwstr>
  </property>
</Properties>
</file>