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Mining Act 1978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Mining Amendment Regulations (No. 3)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Mining Amendment Regulations (No. 3)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_Toc155187207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_Toc155187208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_Toc155187209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85 amended</w:t>
      </w:r>
      <w:r>
        <w:tab/>
      </w:r>
      <w:r>
        <w:fldChar w:fldCharType="begin"/>
      </w:r>
      <w:r>
        <w:instrText xml:space="preserve"> PAGEREF _Toc155187210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85B amended</w:t>
      </w:r>
      <w:r>
        <w:tab/>
      </w:r>
      <w:r>
        <w:fldChar w:fldCharType="begin"/>
      </w:r>
      <w:r>
        <w:instrText xml:space="preserve"> PAGEREF _Toc155187211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86 amended</w:t>
      </w:r>
      <w:r>
        <w:tab/>
      </w:r>
      <w:r>
        <w:fldChar w:fldCharType="begin"/>
      </w:r>
      <w:r>
        <w:instrText xml:space="preserve"> PAGEREF _Toc155187212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86AA amended</w:t>
      </w:r>
      <w:r>
        <w:tab/>
      </w:r>
      <w:r>
        <w:fldChar w:fldCharType="begin"/>
      </w:r>
      <w:r>
        <w:instrText xml:space="preserve"> PAGEREF _Toc155187213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86AC amended</w:t>
      </w:r>
      <w:r>
        <w:tab/>
      </w:r>
      <w:r>
        <w:fldChar w:fldCharType="begin"/>
      </w:r>
      <w:r>
        <w:instrText xml:space="preserve"> PAGEREF _Toc155187214 \h </w:instrText>
      </w:r>
      <w:r>
        <w:fldChar w:fldCharType="separate"/>
      </w:r>
      <w:r>
        <w:t>9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Mining Act 1978</w:t>
      </w:r>
    </w:p>
    <w:p>
      <w:pPr>
        <w:pStyle w:val="NameofActReg"/>
      </w:pPr>
      <w:r>
        <w:t>Mining Amendment Regulations (No. 3)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20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Mining Amendment Regulations (No. 3) 2023</w:t>
      </w:r>
      <w:r>
        <w:t>.</w:t>
      </w:r>
    </w:p>
    <w:p>
      <w:pPr>
        <w:pStyle w:val="Heading5"/>
        <w:rPr>
          <w:spacing w:val="-2"/>
        </w:rPr>
      </w:pPr>
      <w:bookmarkStart w:id="5" w:name="_Toc1551872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October 2023.</w:t>
      </w:r>
    </w:p>
    <w:p>
      <w:pPr>
        <w:pStyle w:val="Heading5"/>
        <w:rPr>
          <w:snapToGrid w:val="0"/>
        </w:rPr>
      </w:pPr>
      <w:bookmarkStart w:id="6" w:name="_Toc15518720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Mining Regulations 1981</w:t>
      </w:r>
      <w:r>
        <w:t>.</w:t>
      </w:r>
    </w:p>
    <w:p>
      <w:pPr>
        <w:pStyle w:val="Heading5"/>
      </w:pPr>
      <w:bookmarkStart w:id="7" w:name="_Toc155187210"/>
      <w:r>
        <w:rPr>
          <w:rStyle w:val="CharSectno"/>
        </w:rPr>
        <w:t>4</w:t>
      </w:r>
      <w:r>
        <w:t>.</w:t>
      </w:r>
      <w:r>
        <w:tab/>
        <w:t>Regulation 85 amended</w:t>
      </w:r>
      <w:bookmarkEnd w:id="7"/>
    </w:p>
    <w:p>
      <w:pPr>
        <w:pStyle w:val="Subsection"/>
      </w:pPr>
      <w:r>
        <w:tab/>
      </w:r>
      <w:r>
        <w:tab/>
        <w:t>In regulation 85(1)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beneficiated</w:t>
      </w:r>
      <w:r>
        <w:t xml:space="preserve">, in relation to mineral ore, does not include — </w:t>
      </w:r>
    </w:p>
    <w:p>
      <w:pPr>
        <w:pStyle w:val="zDefpara"/>
      </w:pPr>
      <w:r>
        <w:tab/>
        <w:t>(a)</w:t>
      </w:r>
      <w:r>
        <w:tab/>
        <w:t>crushed; or</w:t>
      </w:r>
    </w:p>
    <w:p>
      <w:pPr>
        <w:pStyle w:val="zDefpara"/>
      </w:pPr>
      <w:r>
        <w:tab/>
        <w:t>(b)</w:t>
      </w:r>
      <w:r>
        <w:tab/>
        <w:t>screened; or</w:t>
      </w:r>
    </w:p>
    <w:p>
      <w:pPr>
        <w:pStyle w:val="zDefpara"/>
      </w:pPr>
      <w:r>
        <w:tab/>
        <w:t>(c)</w:t>
      </w:r>
      <w:r>
        <w:tab/>
        <w:t>separated by hydrocycloning or a similar technology; or</w:t>
      </w:r>
    </w:p>
    <w:p>
      <w:pPr>
        <w:pStyle w:val="zDefpara"/>
      </w:pPr>
      <w:r>
        <w:tab/>
        <w:t>(d)</w:t>
      </w:r>
      <w:r>
        <w:tab/>
        <w:t>washed; or</w:t>
      </w:r>
    </w:p>
    <w:p>
      <w:pPr>
        <w:pStyle w:val="zDefpara"/>
      </w:pPr>
      <w:r>
        <w:tab/>
        <w:t>(e)</w:t>
      </w:r>
      <w:r>
        <w:tab/>
        <w:t>scrubbed; or</w:t>
      </w:r>
    </w:p>
    <w:p>
      <w:pPr>
        <w:pStyle w:val="zDefpara"/>
      </w:pPr>
      <w:r>
        <w:lastRenderedPageBreak/>
        <w:tab/>
        <w:t>(f)</w:t>
      </w:r>
      <w:r>
        <w:tab/>
        <w:t>trommelled; or</w:t>
      </w:r>
    </w:p>
    <w:p>
      <w:pPr>
        <w:pStyle w:val="zDefpara"/>
      </w:pPr>
      <w:r>
        <w:tab/>
        <w:t>(g)</w:t>
      </w:r>
      <w:r>
        <w:tab/>
        <w:t>dried; or</w:t>
      </w:r>
    </w:p>
    <w:p>
      <w:pPr>
        <w:pStyle w:val="zDefpara"/>
      </w:pPr>
      <w:r>
        <w:tab/>
        <w:t>(h)</w:t>
      </w:r>
      <w:r>
        <w:tab/>
        <w:t>blended with another mineral or with another form of the same mineral; or</w:t>
      </w:r>
    </w:p>
    <w:p>
      <w:pPr>
        <w:pStyle w:val="zDefpara"/>
      </w:pPr>
      <w:r>
        <w:tab/>
        <w:t>(i)</w:t>
      </w:r>
      <w:r>
        <w:tab/>
        <w:t>a combination of 2 or more of these processes;</w:t>
      </w:r>
    </w:p>
    <w:p>
      <w:pPr>
        <w:pStyle w:val="zDefstart"/>
      </w:pPr>
      <w:r>
        <w:tab/>
      </w:r>
      <w:r>
        <w:rPr>
          <w:rStyle w:val="CharDefText"/>
        </w:rPr>
        <w:t>blend</w:t>
      </w:r>
      <w:r>
        <w:t xml:space="preserve"> means a blend or mixture of 2 or more minerals or forms of mineral referred to in the Table to regulation 86;</w:t>
      </w:r>
    </w:p>
    <w:p>
      <w:pPr>
        <w:pStyle w:val="BlankClose"/>
      </w:pPr>
    </w:p>
    <w:p>
      <w:pPr>
        <w:pStyle w:val="Heading5"/>
      </w:pPr>
      <w:bookmarkStart w:id="8" w:name="_Toc155187211"/>
      <w:r>
        <w:rPr>
          <w:rStyle w:val="CharSectno"/>
        </w:rPr>
        <w:t>5</w:t>
      </w:r>
      <w:r>
        <w:t>.</w:t>
      </w:r>
      <w:r>
        <w:tab/>
        <w:t>Regulation 85B amended</w:t>
      </w:r>
      <w:bookmarkEnd w:id="8"/>
    </w:p>
    <w:p>
      <w:pPr>
        <w:pStyle w:val="Subsection"/>
      </w:pPr>
      <w:r>
        <w:tab/>
      </w:r>
      <w:r>
        <w:tab/>
        <w:t xml:space="preserve">In regulation 85B(1): </w:t>
      </w:r>
    </w:p>
    <w:p>
      <w:pPr>
        <w:pStyle w:val="Indenta"/>
      </w:pPr>
      <w:r>
        <w:tab/>
        <w:t>(a)</w:t>
      </w:r>
      <w:r>
        <w:tab/>
        <w:t>delete “relevant —”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relevant, the following — 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after paragraph (b) insert:</w:t>
      </w:r>
    </w:p>
    <w:p>
      <w:pPr>
        <w:pStyle w:val="BlankOpen"/>
      </w:pPr>
    </w:p>
    <w:p>
      <w:pPr>
        <w:pStyle w:val="zIndenta"/>
      </w:pPr>
      <w:r>
        <w:tab/>
        <w:t>(ba)</w:t>
      </w:r>
      <w:r>
        <w:tab/>
        <w:t xml:space="preserve">if the mineral is sold in a blend — </w:t>
      </w:r>
    </w:p>
    <w:p>
      <w:pPr>
        <w:pStyle w:val="zIndenti"/>
      </w:pPr>
      <w:r>
        <w:tab/>
        <w:t>(i)</w:t>
      </w:r>
      <w:r>
        <w:tab/>
        <w:t>the components of the blend and the quantity of each component; and</w:t>
      </w:r>
    </w:p>
    <w:p>
      <w:pPr>
        <w:pStyle w:val="zIndenti"/>
      </w:pPr>
      <w:r>
        <w:tab/>
        <w:t>(ii)</w:t>
      </w:r>
      <w:r>
        <w:tab/>
        <w:t>any other information necessary to calculate the royalty for each component;</w:t>
      </w:r>
    </w:p>
    <w:p>
      <w:pPr>
        <w:pStyle w:val="BlankClose"/>
      </w:pPr>
    </w:p>
    <w:p>
      <w:pPr>
        <w:pStyle w:val="Heading5"/>
      </w:pPr>
      <w:bookmarkStart w:id="9" w:name="_Toc155187212"/>
      <w:r>
        <w:rPr>
          <w:rStyle w:val="CharSectno"/>
        </w:rPr>
        <w:t>6</w:t>
      </w:r>
      <w:r>
        <w:t>.</w:t>
      </w:r>
      <w:r>
        <w:tab/>
        <w:t>Regulation 86 amended</w:t>
      </w:r>
      <w:bookmarkEnd w:id="9"/>
    </w:p>
    <w:p>
      <w:pPr>
        <w:pStyle w:val="Subsection"/>
      </w:pPr>
      <w:r>
        <w:tab/>
        <w:t>(1)</w:t>
      </w:r>
      <w:r>
        <w:tab/>
        <w:t>Delete regulation 86(1) and insert:</w:t>
      </w:r>
    </w:p>
    <w:p>
      <w:pPr>
        <w:pStyle w:val="BlankOpen"/>
      </w:pPr>
    </w:p>
    <w:p>
      <w:pPr>
        <w:pStyle w:val="zSubsection"/>
      </w:pPr>
      <w:r>
        <w:tab/>
        <w:t>(1)</w:t>
      </w:r>
      <w:r>
        <w:tab/>
        <w:t xml:space="preserve">When a mineral or a form of a mineral referred to in the Table to this regulation is obtained from a mining tenement, or from land the subject of an application for </w:t>
      </w:r>
      <w:r>
        <w:lastRenderedPageBreak/>
        <w:t>a mining tenement, a royalty must be paid by the holder of, or applicant for, the mining tenement.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regulation 86(2) after “a mineral”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or form of a mineral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After regulation 86(2) insert:</w:t>
      </w:r>
    </w:p>
    <w:p>
      <w:pPr>
        <w:pStyle w:val="BlankOpen"/>
      </w:pPr>
    </w:p>
    <w:p>
      <w:pPr>
        <w:pStyle w:val="zSubsection"/>
      </w:pPr>
      <w:r>
        <w:tab/>
        <w:t>(2AA)</w:t>
      </w:r>
      <w:r>
        <w:tab/>
        <w:t>If different minerals or forms of mineral referred to in the Table to this regulation are sold in a blend, the royalty to be paid for each mineral or form of mineral must be calculated by reference (if relevant) to the price at which the blend is sold.</w:t>
      </w:r>
    </w:p>
    <w:p>
      <w:pPr>
        <w:pStyle w:val="BlankClose"/>
      </w:pPr>
    </w:p>
    <w:p>
      <w:pPr>
        <w:pStyle w:val="Subsection"/>
      </w:pPr>
      <w:r>
        <w:t> </w:t>
      </w:r>
      <w:r>
        <w:tab/>
        <w:t>(4)</w:t>
      </w:r>
      <w:r>
        <w:tab/>
        <w:t>In regulation 86(2a) delete the definitions of:</w:t>
      </w:r>
    </w:p>
    <w:p>
      <w:pPr>
        <w:pStyle w:val="DeleteListSub"/>
        <w:rPr>
          <w:b/>
          <w:i/>
        </w:rPr>
      </w:pPr>
      <w:r>
        <w:rPr>
          <w:b/>
          <w:i/>
        </w:rPr>
        <w:t>Amount A</w:t>
      </w:r>
    </w:p>
    <w:p>
      <w:pPr>
        <w:pStyle w:val="DeleteListSub"/>
        <w:rPr>
          <w:b/>
          <w:i/>
        </w:rPr>
      </w:pPr>
      <w:r>
        <w:rPr>
          <w:b/>
          <w:i/>
        </w:rPr>
        <w:t>Amount B</w:t>
      </w:r>
    </w:p>
    <w:p>
      <w:pPr>
        <w:pStyle w:val="Subsection"/>
      </w:pPr>
      <w:r>
        <w:tab/>
        <w:t>(5)</w:t>
      </w:r>
      <w:r>
        <w:tab/>
        <w:t>In regulation 86(2a)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Amount A</w:t>
      </w:r>
      <w:r>
        <w:t xml:space="preserve"> means, for the 5-year period beginning on 1 July 2010 and ending on 30 June 2015 and for each succeeding 5-year period (the </w:t>
      </w:r>
      <w:r>
        <w:rPr>
          <w:rStyle w:val="CharDefText"/>
        </w:rPr>
        <w:t>relevant period</w:t>
      </w:r>
      <w:r>
        <w:t>), the amount calculated under subregulation (2b) or provided for in subregulation (2d), as the case requires;</w:t>
      </w:r>
    </w:p>
    <w:p>
      <w:pPr>
        <w:pStyle w:val="zDefstart"/>
      </w:pPr>
      <w:r>
        <w:tab/>
      </w:r>
      <w:r>
        <w:rPr>
          <w:rStyle w:val="CharDefText"/>
        </w:rPr>
        <w:t>Amount B</w:t>
      </w:r>
      <w:r>
        <w:t xml:space="preserve"> means, for the 5-year period beginning on 1 July 2010 and ending on 30 June 2015 and for each succeeding 5-year period (the </w:t>
      </w:r>
      <w:r>
        <w:rPr>
          <w:rStyle w:val="CharDefText"/>
        </w:rPr>
        <w:t>relevant period</w:t>
      </w:r>
      <w:r>
        <w:t>), the amount calculated under subregulation (2b) or provided for in subregulation (2d), as the case requires.</w:t>
      </w:r>
    </w:p>
    <w:p>
      <w:pPr>
        <w:pStyle w:val="BlankClose"/>
      </w:pPr>
    </w:p>
    <w:p>
      <w:pPr>
        <w:pStyle w:val="Subsection"/>
      </w:pPr>
      <w:r>
        <w:lastRenderedPageBreak/>
        <w:tab/>
        <w:t>(6)</w:t>
      </w:r>
      <w:r>
        <w:tab/>
        <w:t>In regulation 86 delete the Table and insert:</w:t>
      </w:r>
    </w:p>
    <w:p>
      <w:pPr>
        <w:pStyle w:val="BlankOpen"/>
      </w:pPr>
    </w:p>
    <w:p>
      <w:pPr>
        <w:pStyle w:val="zTHeadingNAm"/>
        <w:rPr>
          <w:snapToGrid w:val="0"/>
        </w:rPr>
      </w:pPr>
      <w:r>
        <w:rPr>
          <w:snapToGrid w:val="0"/>
        </w:rPr>
        <w:t>Table</w:t>
      </w:r>
    </w:p>
    <w:tbl>
      <w:tblPr>
        <w:tblW w:w="708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1254"/>
        <w:gridCol w:w="1275"/>
        <w:gridCol w:w="3119"/>
      </w:tblGrid>
      <w:tr>
        <w:trPr>
          <w:tblHeader/>
        </w:trP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zTableNAm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Column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Column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>
            <w:pPr>
              <w:pStyle w:val="zTableNA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Column 3</w:t>
            </w:r>
          </w:p>
        </w:tc>
      </w:tr>
      <w:tr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zTableNA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Mineral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Amount per</w:t>
            </w:r>
            <w:r>
              <w:rPr>
                <w:b/>
                <w:sz w:val="16"/>
                <w:szCs w:val="16"/>
              </w:rPr>
              <w:br/>
              <w:t>tonne according</w:t>
            </w:r>
            <w:r>
              <w:rPr>
                <w:b/>
                <w:sz w:val="16"/>
                <w:szCs w:val="16"/>
              </w:rPr>
              <w:br/>
              <w:t>to quantity</w:t>
            </w:r>
            <w:r>
              <w:rPr>
                <w:b/>
                <w:sz w:val="16"/>
                <w:szCs w:val="16"/>
              </w:rPr>
              <w:br/>
              <w:t>produced or</w:t>
            </w:r>
            <w:r>
              <w:rPr>
                <w:b/>
                <w:sz w:val="16"/>
                <w:szCs w:val="16"/>
              </w:rPr>
              <w:br/>
              <w:t>obtained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Percentage of</w:t>
            </w:r>
            <w:r>
              <w:rPr>
                <w:b/>
                <w:sz w:val="16"/>
                <w:szCs w:val="16"/>
              </w:rPr>
              <w:br/>
              <w:t>the royalty</w:t>
            </w:r>
            <w:r>
              <w:rPr>
                <w:b/>
                <w:sz w:val="16"/>
                <w:szCs w:val="16"/>
              </w:rPr>
              <w:br/>
              <w:t>value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zTableNA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The rate as</w:t>
            </w:r>
            <w:r>
              <w:rPr>
                <w:b/>
                <w:sz w:val="16"/>
                <w:szCs w:val="16"/>
              </w:rPr>
              <w:br/>
              <w:t>specified hereunder</w:t>
            </w:r>
          </w:p>
          <w:p>
            <w:pPr>
              <w:pStyle w:val="zTableNAm"/>
              <w:jc w:val="center"/>
              <w:rPr>
                <w:i/>
                <w:sz w:val="18"/>
                <w:szCs w:val="18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Aggregate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Attapulgite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Bauxite (crushed or screened)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7½%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Stone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B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Chromite in concentrate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Clays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Coal (including lignite) </w:t>
            </w:r>
            <w:r>
              <w:rPr>
                <w:sz w:val="16"/>
                <w:szCs w:val="16"/>
              </w:rPr>
              <w:br/>
              <w:t>— not exported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 per tonne, to be adjusted each year at 30 June in accordance with the percentage increase in the average ex</w:t>
            </w:r>
            <w:r>
              <w:rPr>
                <w:sz w:val="16"/>
                <w:szCs w:val="16"/>
              </w:rPr>
              <w:noBreakHyphen/>
              <w:t>mine value of Collie coal for the year ending on that date when compared with the corresponding value of Collie coal for the year ending on 30 June 1981.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 exported (crushed or screened)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7½%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Cobalt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as crushed or screened material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in concentrate form</w:t>
            </w:r>
          </w:p>
          <w:p>
            <w:pPr>
              <w:pStyle w:val="zTableNAm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as a nickel by</w:t>
            </w:r>
            <w:r>
              <w:rPr>
                <w:sz w:val="16"/>
                <w:szCs w:val="16"/>
              </w:rPr>
              <w:noBreakHyphen/>
              <w:t>product or in metallic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7½%</w:t>
            </w: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2½%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Copper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as crushed or screened material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in concentrate form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as a nickel by</w:t>
            </w:r>
            <w:r>
              <w:rPr>
                <w:sz w:val="16"/>
                <w:szCs w:val="16"/>
              </w:rPr>
              <w:noBreakHyphen/>
              <w:t>product or in metallic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7½%</w:t>
            </w: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2½%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Diamond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Dolomite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Feldspar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Garnet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grades used for sand blasting, filtration, or waterjet cutting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grades used in higher technologies, including for garnet paper and polishing processes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5% of the royalty value, calculated on the basis of the nearest available port if exported</w:t>
            </w:r>
          </w:p>
          <w:p>
            <w:pPr>
              <w:pStyle w:val="zTableNAm"/>
              <w:rPr>
                <w:sz w:val="16"/>
                <w:szCs w:val="16"/>
              </w:rPr>
            </w:pP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2½% of the royalty value, calculated on the basis of the nearest available port if exported</w:t>
            </w: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Gems and precious stones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7½%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Gravel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Gypsum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Ilmenite in concentrate form, other than ilmenite feedstock as defined in regulation 86AC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rStyle w:val="DraftersNotes"/>
                <w:b w:val="0"/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Iron ore (including magnetite)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crushed or screened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7½%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— beneficiated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Kaolin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Lead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in concentrate form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in metallic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Leucoxene in concentrate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Limestone</w:t>
            </w:r>
            <w:r>
              <w:rPr>
                <w:sz w:val="16"/>
                <w:szCs w:val="16"/>
              </w:rPr>
              <w:br/>
              <w:t>(including limesands and shellsands)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used for agricultural or construction purposes or as a neutralising agent in tailings treatment operations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used for metallurgical purposes (other than as a neutralising agent in tailings treatment operations)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Amount B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Lithium in concentrate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Manganese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crushed or screened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7½%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beneficiated by the producer in Western Australia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Nickel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Ochre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Platinoids in metallic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keepNext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Potash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earth elements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accordance with the following formula: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71600" cy="39179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ind w:left="735" w:hanging="7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P = a representative market value of rare earth oxides (REO), as determined from time to time by the Minister.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ind w:left="735" w:hanging="7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U = the number of units per hundred of REO in the rare earth elements</w:t>
            </w:r>
            <w:r>
              <w:rPr>
                <w:sz w:val="16"/>
                <w:szCs w:val="16"/>
              </w:rPr>
              <w:noBreakHyphen/>
              <w:t>containing products sold.</w:t>
            </w: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ind w:left="735" w:hanging="735"/>
              <w:rPr>
                <w:rStyle w:val="DraftersNotes"/>
                <w:b w:val="0"/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Where R = the royalty.</w:t>
            </w: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Rutile in concentrate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 (used for construction purposes)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Amount A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</w:t>
            </w:r>
            <w:r>
              <w:rPr>
                <w:sz w:val="16"/>
                <w:szCs w:val="16"/>
              </w:rPr>
              <w:noBreakHyphen/>
              <w:t>precious stones (including specimen stones)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7½%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Silica (used for metallurgical purposes)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Amount B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(if sold as a by</w:t>
            </w:r>
            <w:r>
              <w:rPr>
                <w:sz w:val="16"/>
                <w:szCs w:val="16"/>
              </w:rPr>
              <w:noBreakHyphen/>
              <w:t>product or in metallic form)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2½%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Spongolite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Talc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B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Tantalum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(a)</w:t>
            </w:r>
            <w:r>
              <w:rPr>
                <w:sz w:val="16"/>
                <w:szCs w:val="16"/>
              </w:rPr>
              <w:tab/>
              <w:t>5% of the royalty value if sold in concentrate form.</w:t>
            </w:r>
          </w:p>
          <w:p>
            <w:pPr>
              <w:pStyle w:val="zTableNAm"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ab/>
              <w:t>(b)</w:t>
            </w:r>
            <w:r>
              <w:rPr>
                <w:sz w:val="16"/>
                <w:szCs w:val="16"/>
              </w:rPr>
              <w:tab/>
              <w:t>5% of the value in concentrate form if sold after further processing.</w:t>
            </w: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Tin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2½% of the royalty value of tin metal when sold in that form; or, when sold in any other form, 2½% of the value of the contained tin calculated at the ruling price of tin metal used for the purpose of the sale. </w:t>
            </w: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Uranium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rate is 5% of the royalty value if sold as a uranium oxide concentrate.</w:t>
            </w: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Vanadium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rate is —</w:t>
            </w:r>
          </w:p>
          <w:p>
            <w:pPr>
              <w:pStyle w:val="zTableNAm"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(a)</w:t>
            </w:r>
            <w:r>
              <w:rPr>
                <w:sz w:val="16"/>
                <w:szCs w:val="16"/>
              </w:rPr>
              <w:tab/>
              <w:t>if sold in concentrate form (vanadium oxide), 5% of the vanadium pentoxide price; or</w:t>
            </w:r>
          </w:p>
          <w:p>
            <w:pPr>
              <w:pStyle w:val="zTableNAm"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(b)</w:t>
            </w:r>
            <w:r>
              <w:rPr>
                <w:sz w:val="16"/>
                <w:szCs w:val="16"/>
              </w:rPr>
              <w:tab/>
              <w:t>if sold in metallic form (ferrovanadium), 2½% of the ferrovanadium price; or</w:t>
            </w:r>
          </w:p>
          <w:p>
            <w:pPr>
              <w:pStyle w:val="zTableNAm"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(c)</w:t>
            </w:r>
            <w:r>
              <w:rPr>
                <w:sz w:val="16"/>
                <w:szCs w:val="16"/>
              </w:rPr>
              <w:tab/>
              <w:t>for vanadium not realised on contained vanadium from a product (such as magnetite) where the average grades of vanadium are over 0.275% V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vertAlign w:val="subscript"/>
              </w:rPr>
              <w:t>5</w:t>
            </w:r>
            <w:r>
              <w:rPr>
                <w:sz w:val="16"/>
                <w:szCs w:val="16"/>
              </w:rPr>
              <w:t xml:space="preserve"> in the ore and a vanadium circuit is not installed — 5% of the vanadium pentoxide price.</w:t>
            </w: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Zinc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in concentrate form</w:t>
            </w:r>
          </w:p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 if sold in metallic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2½%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Zircon in concentrate form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5%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zTableNAm"/>
              <w:rPr>
                <w:sz w:val="16"/>
                <w:szCs w:val="16"/>
              </w:rPr>
            </w:pP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mineral that is listed in this Table but is in a form that is not listed in this Table for that mineral</w:t>
            </w:r>
          </w:p>
          <w:p>
            <w:pPr>
              <w:pStyle w:val="zTableNAm"/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>
            <w:pPr>
              <w:pStyle w:val="zTableNAm"/>
              <w:keepLines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 mineral that is not listed in this Table or mentioned in regulation 86AA or 86AC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zTableNAm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>
            <w:pPr>
              <w:pStyle w:val="zTableNA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rate is —</w:t>
            </w:r>
          </w:p>
          <w:p>
            <w:pPr>
              <w:pStyle w:val="zTableNAm"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(a)</w:t>
            </w:r>
            <w:r>
              <w:rPr>
                <w:sz w:val="16"/>
                <w:szCs w:val="16"/>
              </w:rPr>
              <w:tab/>
              <w:t>if sold as crushed or screened material, 7½% of the royalty value; or</w:t>
            </w:r>
          </w:p>
          <w:p>
            <w:pPr>
              <w:pStyle w:val="zTableNAm"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(b)</w:t>
            </w:r>
            <w:r>
              <w:rPr>
                <w:sz w:val="16"/>
                <w:szCs w:val="16"/>
              </w:rPr>
              <w:tab/>
              <w:t>if sold in concentrate form, 5% of the royalty value; or</w:t>
            </w:r>
          </w:p>
          <w:p>
            <w:pPr>
              <w:pStyle w:val="zTableNAm"/>
              <w:keepNext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ab/>
              <w:t>(c)</w:t>
            </w:r>
            <w:r>
              <w:rPr>
                <w:sz w:val="16"/>
                <w:szCs w:val="16"/>
              </w:rPr>
              <w:tab/>
              <w:t>if sold in metallic form or a form of equivalent processing, 2½% of the royalty value.; or</w:t>
            </w:r>
          </w:p>
          <w:p>
            <w:pPr>
              <w:pStyle w:val="zTableNAm"/>
              <w:tabs>
                <w:tab w:val="clear" w:pos="567"/>
                <w:tab w:val="left" w:pos="301"/>
                <w:tab w:val="left" w:pos="597"/>
              </w:tabs>
              <w:ind w:left="595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(d)</w:t>
            </w:r>
            <w:r>
              <w:rPr>
                <w:sz w:val="16"/>
                <w:szCs w:val="16"/>
              </w:rPr>
              <w:tab/>
              <w:t>if sold in any other form, 7½% of the royalty value.</w:t>
            </w:r>
          </w:p>
        </w:tc>
      </w:tr>
    </w:tbl>
    <w:p>
      <w:pPr>
        <w:pStyle w:val="BlankClose"/>
      </w:pPr>
    </w:p>
    <w:p>
      <w:pPr>
        <w:pStyle w:val="Heading5"/>
      </w:pPr>
      <w:bookmarkStart w:id="10" w:name="_Toc155187213"/>
      <w:r>
        <w:rPr>
          <w:rStyle w:val="CharSectno"/>
        </w:rPr>
        <w:t>7</w:t>
      </w:r>
      <w:r>
        <w:t>.</w:t>
      </w:r>
      <w:r>
        <w:tab/>
        <w:t>Regulation 86AA amended</w:t>
      </w:r>
      <w:bookmarkEnd w:id="10"/>
    </w:p>
    <w:p>
      <w:pPr>
        <w:pStyle w:val="Subsection"/>
      </w:pPr>
      <w:r>
        <w:tab/>
        <w:t>(1)</w:t>
      </w:r>
      <w:r>
        <w:tab/>
        <w:t>Delete regulation 86AA(2) to (5) and insert:</w:t>
      </w:r>
    </w:p>
    <w:p>
      <w:pPr>
        <w:pStyle w:val="BlankOpen"/>
      </w:pPr>
    </w:p>
    <w:p>
      <w:pPr>
        <w:pStyle w:val="zSubsection"/>
      </w:pPr>
      <w:r>
        <w:tab/>
        <w:t>(4)</w:t>
      </w:r>
      <w:r>
        <w:tab/>
        <w:t>The rate of royalty payable for gold metal is 2.5% of the royalty value of the gold metal produced.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 xml:space="preserve">In regulation 86AA(9A) delete “as a concentrate” and insert: 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in concentrate form</w:t>
      </w:r>
    </w:p>
    <w:p>
      <w:pPr>
        <w:pStyle w:val="BlankClose"/>
      </w:pPr>
    </w:p>
    <w:p>
      <w:pPr>
        <w:pStyle w:val="Heading5"/>
      </w:pPr>
      <w:bookmarkStart w:id="11" w:name="_Toc155187214"/>
      <w:r>
        <w:rPr>
          <w:rStyle w:val="CharSectno"/>
        </w:rPr>
        <w:t>8</w:t>
      </w:r>
      <w:r>
        <w:t>.</w:t>
      </w:r>
      <w:r>
        <w:tab/>
        <w:t>Regulation 86AC amended</w:t>
      </w:r>
      <w:bookmarkEnd w:id="11"/>
    </w:p>
    <w:p>
      <w:pPr>
        <w:pStyle w:val="Subsection"/>
      </w:pPr>
      <w:r>
        <w:tab/>
      </w:r>
      <w:r>
        <w:tab/>
        <w:t>Delete regulation 86AC(4) and insert:</w:t>
      </w:r>
    </w:p>
    <w:p>
      <w:pPr>
        <w:pStyle w:val="BlankOpen"/>
      </w:pPr>
    </w:p>
    <w:p>
      <w:pPr>
        <w:pStyle w:val="zSubsection"/>
      </w:pPr>
      <w:r>
        <w:tab/>
        <w:t>(4)</w:t>
      </w:r>
      <w:r>
        <w:tab/>
        <w:t>The rate of royalty payable for ilmenite feedstock that is of marketable quality is 5% of its value.</w:t>
      </w:r>
    </w:p>
    <w:p>
      <w:pPr>
        <w:pStyle w:val="BlankClose"/>
      </w:pPr>
    </w:p>
    <w:p>
      <w:pPr>
        <w:pStyle w:val="ByCommand"/>
        <w:spacing w:before="360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B87F03A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092E552" w14:textId="169E244A" w:rsidR="00620579" w:rsidRDefault="0062057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E7435C3" w14:textId="77777777" w:rsidR="00620579" w:rsidRDefault="0062057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B3F2B71" w14:textId="0C8DE92D" w:rsidR="00620579" w:rsidRDefault="0062057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1727CD4" w14:textId="77777777" w:rsidR="00620579" w:rsidRDefault="00620579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375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051450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05145021_GUID" w:val="1e75dc6c-0ce9-407d-a667-47a00ec57840"/>
    <w:docVar w:name="WAFER_202309070843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07084338_GUID" w:val="f8b27e1d-e433-4327-a697-06a6cee9cf04"/>
    <w:docVar w:name="WAFER_2023091412174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14121743_GUID" w:val="aa6c1b5c-e815-4de9-b6c4-c6e45c05ec9c"/>
    <w:docVar w:name="WAFER_202401031137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3759_GUID" w:val="cd7b3982-5ca0-46cf-9eeb-c4dfd0b94a0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E119479F-B42F-4C9F-9BD8-123D345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92C9-2CE6-485C-B3C4-42029D3F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1497</Words>
  <Characters>7247</Characters>
  <Application>Microsoft Office Word</Application>
  <DocSecurity>0</DocSecurity>
  <Lines>658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Amendment Regulations (No. 3) 2023 - 00-00-01</dc:title>
  <dc:subject/>
  <dc:creator/>
  <cp:keywords/>
  <dc:description/>
  <cp:lastModifiedBy>Master Repository Process</cp:lastModifiedBy>
  <cp:revision>4</cp:revision>
  <cp:lastPrinted>2023-09-07T03:23:00Z</cp:lastPrinted>
  <dcterms:created xsi:type="dcterms:W3CDTF">2024-01-03T07:13:00Z</dcterms:created>
  <dcterms:modified xsi:type="dcterms:W3CDTF">2024-01-03T07:13:00Z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54451</vt:lpwstr>
  </property>
  <property fmtid="{D5CDD505-2E9C-101B-9397-08002B2CF9AE}" pid="3" name="DocumentType">
    <vt:lpwstr>Reg</vt:lpwstr>
  </property>
  <property fmtid="{D5CDD505-2E9C-101B-9397-08002B2CF9AE}" pid="4" name="AsAtDate">
    <vt:lpwstr>20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2023/144</vt:lpwstr>
  </property>
  <property fmtid="{D5CDD505-2E9C-101B-9397-08002B2CF9AE}" pid="8" name="PublishDate">
    <vt:lpwstr>20 Sep 2023</vt:lpwstr>
  </property>
  <property fmtid="{D5CDD505-2E9C-101B-9397-08002B2CF9AE}" pid="9" name="CommencementDate">
    <vt:lpwstr>20230920</vt:lpwstr>
  </property>
  <property fmtid="{D5CDD505-2E9C-101B-9397-08002B2CF9AE}" pid="10" name="CommencementAsAt">
    <vt:filetime>2023-09-19T16:00:00Z</vt:filetime>
  </property>
  <property fmtid="{D5CDD505-2E9C-101B-9397-08002B2CF9AE}" pid="11" name="CommencementYear">
    <vt:lpwstr>2023</vt:lpwstr>
  </property>
</Properties>
</file>