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rPr>
          <w:noProof/>
        </w:rPr>
        <w:b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_Toc155081781 \h </w:instrText>
      </w:r>
      <w:r>
        <w:fldChar w:fldCharType="separate"/>
      </w:r>
      <w:r>
        <w:t>1</w:t>
      </w:r>
      <w:r>
        <w:fldChar w:fldCharType="end"/>
      </w:r>
    </w:p>
    <w:p>
      <w:pPr>
        <w:pStyle w:val="TOC8"/>
        <w:rPr>
          <w:rFonts w:asciiTheme="minorHAnsi" w:eastAsiaTheme="minorEastAsia" w:hAnsiTheme="minorHAnsi" w:cstheme="minorBidi"/>
          <w:szCs w:val="22"/>
        </w:rPr>
      </w:pPr>
      <w:r>
        <w:t>2.</w:t>
      </w:r>
      <w:r>
        <w:tab/>
        <w:t>Prescribed offences and modified penalties</w:t>
      </w:r>
      <w:r>
        <w:tab/>
      </w:r>
      <w:r>
        <w:fldChar w:fldCharType="begin"/>
      </w:r>
      <w:r>
        <w:instrText xml:space="preserve"> PAGEREF _Toc155081782 \h </w:instrText>
      </w:r>
      <w:r>
        <w:fldChar w:fldCharType="separate"/>
      </w:r>
      <w:r>
        <w:t>1</w:t>
      </w:r>
      <w:r>
        <w:fldChar w:fldCharType="end"/>
      </w:r>
    </w:p>
    <w:p>
      <w:pPr>
        <w:pStyle w:val="TOC8"/>
        <w:rPr>
          <w:rFonts w:asciiTheme="minorHAnsi" w:eastAsiaTheme="minorEastAsia" w:hAnsiTheme="minorHAnsi" w:cstheme="minorBidi"/>
          <w:szCs w:val="22"/>
        </w:rPr>
      </w:pPr>
      <w:r>
        <w:t>3.</w:t>
      </w:r>
      <w:r>
        <w:tab/>
        <w:t>Authorised officers and approved officers</w:t>
      </w:r>
      <w:r>
        <w:tab/>
      </w:r>
      <w:r>
        <w:fldChar w:fldCharType="begin"/>
      </w:r>
      <w:r>
        <w:instrText xml:space="preserve"> PAGEREF _Toc155081783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_Toc155081784 \h </w:instrText>
      </w:r>
      <w:r>
        <w:fldChar w:fldCharType="separate"/>
      </w:r>
      <w:r>
        <w:t>1</w:t>
      </w:r>
      <w:r>
        <w:fldChar w:fldCharType="end"/>
      </w:r>
    </w:p>
    <w:p>
      <w:pPr>
        <w:pStyle w:val="TOC2"/>
        <w:tabs>
          <w:tab w:val="right" w:pos="7077"/>
        </w:tabs>
        <w:rPr>
          <w:rFonts w:asciiTheme="minorHAnsi" w:eastAsiaTheme="minorEastAsia" w:hAnsiTheme="minorHAnsi" w:cstheme="minorBidi"/>
          <w:b w:val="0"/>
          <w:sz w:val="22"/>
          <w:szCs w:val="22"/>
        </w:rPr>
      </w:pPr>
      <w:r>
        <w:t>Schedule 1 — Prescribed offences and modified penalties</w:t>
      </w:r>
    </w:p>
    <w:p>
      <w:pPr>
        <w:pStyle w:val="TOC2"/>
        <w:tabs>
          <w:tab w:val="righ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Form 1 — Infringement notice</w:t>
      </w:r>
      <w:r>
        <w:tab/>
      </w:r>
      <w:r>
        <w:fldChar w:fldCharType="begin"/>
      </w:r>
      <w:r>
        <w:instrText xml:space="preserve"> PAGEREF _Toc155081787 \h </w:instrText>
      </w:r>
      <w:r>
        <w:fldChar w:fldCharType="separate"/>
      </w:r>
      <w:r>
        <w:t>11</w:t>
      </w:r>
      <w:r>
        <w:fldChar w:fldCharType="end"/>
      </w:r>
    </w:p>
    <w:p>
      <w:pPr>
        <w:pStyle w:val="TOC8"/>
        <w:rPr>
          <w:rFonts w:asciiTheme="minorHAnsi" w:eastAsiaTheme="minorEastAsia" w:hAnsiTheme="minorHAnsi" w:cstheme="minorBidi"/>
          <w:szCs w:val="22"/>
        </w:rPr>
      </w:pPr>
      <w:r>
        <w:t>Form 2 — Withdrawal of infringement notice</w:t>
      </w:r>
      <w:r>
        <w:tab/>
      </w:r>
      <w:r>
        <w:fldChar w:fldCharType="begin"/>
      </w:r>
      <w:r>
        <w:instrText xml:space="preserve"> PAGEREF _Toc155081788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_Toc155081790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Gas Standards Act 1972</w:t>
      </w:r>
      <w:r>
        <w:br/>
        <w:t>Criminal Procedure Act 2004</w:t>
      </w:r>
    </w:p>
    <w:p>
      <w:pPr>
        <w:pStyle w:val="NameofActReg"/>
      </w:pPr>
      <w:r>
        <w:t>Gas Standards (Infringement Notices) Regulations 2007</w:t>
      </w:r>
    </w:p>
    <w:p>
      <w:pPr>
        <w:pStyle w:val="Heading5"/>
      </w:pPr>
      <w:bookmarkStart w:id="3" w:name="_Toc15508178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5" w:name="_Toc155081782"/>
      <w:r>
        <w:rPr>
          <w:rStyle w:val="CharSectno"/>
        </w:rPr>
        <w:t>2</w:t>
      </w:r>
      <w:r>
        <w:t>.</w:t>
      </w:r>
      <w:r>
        <w:tab/>
        <w:t>Prescribed offences and modified penalties</w:t>
      </w:r>
      <w:bookmarkEnd w:id="5"/>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6" w:name="_Toc155081783"/>
      <w:r>
        <w:rPr>
          <w:rStyle w:val="CharSectno"/>
        </w:rPr>
        <w:t>3</w:t>
      </w:r>
      <w:r>
        <w:t>.</w:t>
      </w:r>
      <w:r>
        <w:tab/>
        <w:t>Authorised officers and approved officers</w:t>
      </w:r>
      <w:bookmarkEnd w:id="6"/>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3 amended: SL 2023/147 r. 17.]</w:t>
      </w:r>
    </w:p>
    <w:p>
      <w:pPr>
        <w:pStyle w:val="Heading5"/>
      </w:pPr>
      <w:bookmarkStart w:id="7" w:name="_Toc155081784"/>
      <w:r>
        <w:rPr>
          <w:rStyle w:val="CharSectno"/>
        </w:rPr>
        <w:t>4</w:t>
      </w:r>
      <w:r>
        <w:t>.</w:t>
      </w:r>
      <w:r>
        <w:tab/>
        <w:t>Forms</w:t>
      </w:r>
      <w:bookmarkEnd w:id="7"/>
    </w:p>
    <w:p>
      <w:pPr>
        <w:pStyle w:val="Subsection"/>
      </w:pPr>
      <w:r>
        <w:tab/>
      </w:r>
      <w:r>
        <w:tab/>
        <w:t>The forms set out in Schedule 2 are prescribed in relation to the matters specified in those forms.</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Heading2"/>
      </w:pPr>
      <w:bookmarkStart w:id="8" w:name="_Toc155081785"/>
      <w:r>
        <w:rPr>
          <w:rStyle w:val="CharSchNo"/>
        </w:rPr>
        <w:lastRenderedPageBreak/>
        <w:t>Schedule 1</w:t>
      </w:r>
      <w:r>
        <w:t> — </w:t>
      </w:r>
      <w:r>
        <w:rPr>
          <w:rStyle w:val="CharSchText"/>
        </w:rPr>
        <w:t>Prescribed offences and modified penalties</w:t>
      </w:r>
      <w:bookmarkEnd w:id="8"/>
    </w:p>
    <w:p>
      <w:pPr>
        <w:pStyle w:val="yShoulderClause"/>
      </w:pPr>
      <w:r>
        <w:t>[r. 2]</w:t>
      </w:r>
    </w:p>
    <w:p>
      <w:pPr>
        <w:pStyle w:val="yFootnoteheading"/>
        <w:spacing w:after="120"/>
      </w:pPr>
      <w:r>
        <w:tab/>
        <w:t>[Heading inserted: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lastRenderedPageBreak/>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lastRenderedPageBreak/>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16D</w:t>
            </w:r>
          </w:p>
        </w:tc>
        <w:tc>
          <w:tcPr>
            <w:tcW w:w="3544" w:type="dxa"/>
            <w:tcMar>
              <w:left w:w="113" w:type="dxa"/>
            </w:tcMar>
          </w:tcPr>
          <w:p>
            <w:pPr>
              <w:pStyle w:val="yTableNAm"/>
              <w:tabs>
                <w:tab w:val="clear" w:pos="567"/>
                <w:tab w:val="left" w:leader="dot" w:pos="3431"/>
              </w:tabs>
              <w:rPr>
                <w:sz w:val="20"/>
              </w:rPr>
            </w:pPr>
            <w:r>
              <w:rPr>
                <w:sz w:val="20"/>
              </w:rPr>
              <w:t xml:space="preserve">Failing to ensure that person doing gasfitting work complies with regulations and that gasfitting work is work supervising gas fitter is authorised to supervise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lastRenderedPageBreak/>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lastRenderedPageBreak/>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lastRenderedPageBreak/>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lastRenderedPageBreak/>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lastRenderedPageBreak/>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Gazette 4 May 2010 p. 1681-6; amended SL 2023/147 r. 18.]</w:t>
      </w:r>
    </w:p>
    <w:p>
      <w:pPr>
        <w:pStyle w:val="yScheduleHeading"/>
      </w:pPr>
      <w:bookmarkStart w:id="9" w:name="_Toc155081786"/>
      <w:r>
        <w:rPr>
          <w:rStyle w:val="CharSchNo"/>
        </w:rPr>
        <w:lastRenderedPageBreak/>
        <w:t>Schedule 2</w:t>
      </w:r>
      <w:r>
        <w:rPr>
          <w:rStyle w:val="CharSDivNo"/>
        </w:rPr>
        <w:t> </w:t>
      </w:r>
      <w:r>
        <w:t>—</w:t>
      </w:r>
      <w:r>
        <w:rPr>
          <w:rStyle w:val="CharSDivText"/>
        </w:rPr>
        <w:t> </w:t>
      </w:r>
      <w:r>
        <w:rPr>
          <w:rStyle w:val="CharSchText"/>
        </w:rPr>
        <w:t>Forms</w:t>
      </w:r>
      <w:bookmarkEnd w:id="9"/>
    </w:p>
    <w:p>
      <w:pPr>
        <w:pStyle w:val="yShoulderClause"/>
        <w:spacing w:before="60"/>
      </w:pPr>
      <w:r>
        <w:t>[r. 4]</w:t>
      </w:r>
    </w:p>
    <w:p>
      <w:pPr>
        <w:pStyle w:val="yHeading5"/>
        <w:spacing w:before="80" w:after="80"/>
      </w:pPr>
      <w:bookmarkStart w:id="10" w:name="_Toc155081787"/>
      <w:r>
        <w:t>Form 1 — Infringement notice</w:t>
      </w:r>
      <w:bookmarkEnd w:id="10"/>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rPr>
          <w:cantSplit/>
        </w:trP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right="-108"/>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812" w:type="dxa"/>
            <w:gridSpan w:val="2"/>
            <w:tcBorders>
              <w:top w:val="nil"/>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Gazette 20 Aug 2013 p. 3834; SL 2020/163 r. 32.]</w:t>
      </w:r>
    </w:p>
    <w:p>
      <w:pPr>
        <w:pStyle w:val="yHeading5"/>
        <w:pageBreakBefore/>
        <w:spacing w:before="0" w:after="80"/>
        <w:ind w:left="595" w:hanging="595"/>
      </w:pPr>
      <w:bookmarkStart w:id="11" w:name="_Toc155081788"/>
      <w:r>
        <w:lastRenderedPageBreak/>
        <w:t>Form 2 — Withdrawal of infringement notice</w:t>
      </w:r>
      <w:bookmarkEnd w:id="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3" w:name="_Toc155081789"/>
      <w:r>
        <w:lastRenderedPageBreak/>
        <w:t>Notes</w:t>
      </w:r>
      <w:bookmarkEnd w:id="13"/>
    </w:p>
    <w:p>
      <w:pPr>
        <w:pStyle w:val="nStatement"/>
      </w:pPr>
      <w:r>
        <w:t xml:space="preserve">This is a compilation of the </w:t>
      </w:r>
      <w:r>
        <w:rPr>
          <w:i/>
          <w:noProof/>
        </w:rPr>
        <w:t>Gas Standards (Infringement Notices) Regulations 2007</w:t>
      </w:r>
      <w:r>
        <w:t xml:space="preserve"> and includes amendments made by other written laws. For provisions that have come into operation, and for information about any reprints, see the compilation table.</w:t>
      </w:r>
    </w:p>
    <w:p>
      <w:pPr>
        <w:pStyle w:val="nHeading3"/>
      </w:pPr>
      <w:bookmarkStart w:id="14" w:name="_Toc155081790"/>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7"/>
        <w:gridCol w:w="2664"/>
        <w:gridCol w:w="30"/>
      </w:tblGrid>
      <w:tr>
        <w:trPr>
          <w:gridAfter w:val="1"/>
          <w:wAfter w:w="3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64" w:type="dxa"/>
          </w:tcPr>
          <w:p>
            <w:pPr>
              <w:pStyle w:val="nTable"/>
              <w:spacing w:after="40"/>
              <w:rPr>
                <w:b/>
              </w:rPr>
            </w:pPr>
            <w:r>
              <w:rPr>
                <w:b/>
              </w:rPr>
              <w:t>Commencement</w:t>
            </w:r>
          </w:p>
        </w:tc>
      </w:tr>
      <w:tr>
        <w:trPr>
          <w:gridBefore w:val="1"/>
          <w:wBefore w:w="28" w:type="dxa"/>
        </w:trP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7" w:type="dxa"/>
            <w:tcBorders>
              <w:top w:val="single" w:sz="8" w:space="0" w:color="auto"/>
              <w:bottom w:val="nil"/>
            </w:tcBorders>
          </w:tcPr>
          <w:p>
            <w:pPr>
              <w:pStyle w:val="nTable"/>
              <w:spacing w:after="40"/>
            </w:pPr>
            <w:r>
              <w:t>20 Mar 2007 p. 1061</w:t>
            </w:r>
            <w:r>
              <w:noBreakHyphen/>
              <w:t>70</w:t>
            </w:r>
          </w:p>
        </w:tc>
        <w:tc>
          <w:tcPr>
            <w:tcW w:w="2694" w:type="dxa"/>
            <w:gridSpan w:val="2"/>
            <w:tcBorders>
              <w:top w:val="single" w:sz="8" w:space="0" w:color="auto"/>
              <w:bottom w:val="nil"/>
            </w:tcBorders>
          </w:tcPr>
          <w:p>
            <w:pPr>
              <w:pStyle w:val="nTable"/>
              <w:spacing w:after="40"/>
            </w:pPr>
            <w:r>
              <w:t>20 Mar 2007</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7" w:type="dxa"/>
            <w:tcBorders>
              <w:top w:val="nil"/>
              <w:bottom w:val="nil"/>
            </w:tcBorders>
          </w:tcPr>
          <w:p>
            <w:pPr>
              <w:pStyle w:val="nTable"/>
              <w:spacing w:after="40"/>
            </w:pPr>
            <w:r>
              <w:t>9 Oct 2007 p. 5347</w:t>
            </w:r>
          </w:p>
        </w:tc>
        <w:tc>
          <w:tcPr>
            <w:tcW w:w="2694" w:type="dxa"/>
            <w:gridSpan w:val="2"/>
            <w:tcBorders>
              <w:top w:val="nil"/>
              <w:bottom w:val="nil"/>
            </w:tcBorders>
          </w:tcPr>
          <w:p>
            <w:pPr>
              <w:pStyle w:val="nTable"/>
              <w:spacing w:after="40"/>
            </w:pPr>
            <w:r>
              <w:rPr>
                <w:snapToGrid w:val="0"/>
              </w:rPr>
              <w:t>r. 1 and 2: 9 Oct 2007 (see r. 2(a));</w:t>
            </w:r>
            <w:r>
              <w:rPr>
                <w:snapToGrid w:val="0"/>
              </w:rPr>
              <w:br/>
              <w:t>Regulations other than r. 1 and 2: 10 Oct 2007 (see r. 2(b))</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7" w:type="dxa"/>
            <w:tcBorders>
              <w:top w:val="nil"/>
              <w:bottom w:val="nil"/>
            </w:tcBorders>
          </w:tcPr>
          <w:p>
            <w:pPr>
              <w:pStyle w:val="nTable"/>
              <w:spacing w:after="40"/>
            </w:pPr>
            <w:r>
              <w:t>4 May 2010 p. 1681-6</w:t>
            </w:r>
          </w:p>
        </w:tc>
        <w:tc>
          <w:tcPr>
            <w:tcW w:w="2694" w:type="dxa"/>
            <w:gridSpan w:val="2"/>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7" w:type="dxa"/>
            <w:tcBorders>
              <w:top w:val="nil"/>
              <w:bottom w:val="nil"/>
            </w:tcBorders>
            <w:shd w:val="clear" w:color="auto" w:fill="auto"/>
          </w:tcPr>
          <w:p>
            <w:pPr>
              <w:pStyle w:val="nTable"/>
              <w:spacing w:after="40"/>
            </w:pPr>
            <w:r>
              <w:t>20 Aug 2013 p. 3834</w:t>
            </w:r>
          </w:p>
        </w:tc>
        <w:tc>
          <w:tcPr>
            <w:tcW w:w="2694" w:type="dxa"/>
            <w:gridSpan w:val="2"/>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gridBefore w:val="1"/>
          <w:wBefore w:w="28" w:type="dxa"/>
        </w:trPr>
        <w:tc>
          <w:tcPr>
            <w:tcW w:w="7089" w:type="dxa"/>
            <w:gridSpan w:val="4"/>
            <w:tcBorders>
              <w:top w:val="nil"/>
              <w:bottom w:val="nil"/>
            </w:tcBorders>
            <w:shd w:val="clear" w:color="auto" w:fill="auto"/>
          </w:tcPr>
          <w:p>
            <w:pPr>
              <w:pStyle w:val="nTable"/>
              <w:spacing w:after="40"/>
              <w:rPr>
                <w:snapToGrid w:val="0"/>
              </w:rPr>
            </w:pPr>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rPr>
              <w:t>Commerce Regulations Amendment (Infringement Notices) Regulations 2020</w:t>
            </w:r>
            <w:r>
              <w:t xml:space="preserve"> Pt. 16</w:t>
            </w:r>
          </w:p>
        </w:tc>
        <w:tc>
          <w:tcPr>
            <w:tcW w:w="1277" w:type="dxa"/>
            <w:tcBorders>
              <w:top w:val="nil"/>
              <w:bottom w:val="nil"/>
            </w:tcBorders>
            <w:shd w:val="clear" w:color="auto" w:fill="auto"/>
          </w:tcPr>
          <w:p>
            <w:pPr>
              <w:pStyle w:val="nTable"/>
              <w:spacing w:after="40"/>
            </w:pPr>
            <w:r>
              <w:t>SL 2020/163 25 Sep 2020</w:t>
            </w:r>
          </w:p>
        </w:tc>
        <w:tc>
          <w:tcPr>
            <w:tcW w:w="2694" w:type="dxa"/>
            <w:gridSpan w:val="2"/>
            <w:tcBorders>
              <w:top w:val="nil"/>
              <w:bottom w:val="nil"/>
            </w:tcBorders>
            <w:shd w:val="clear" w:color="auto" w:fill="auto"/>
          </w:tcPr>
          <w:p>
            <w:pPr>
              <w:pStyle w:val="nTable"/>
              <w:spacing w:after="40"/>
              <w:rPr>
                <w:snapToGrid w:val="0"/>
              </w:rPr>
            </w:pPr>
            <w:r>
              <w:t>29 Sep 2020 (see r. 2(b) and SL 2020/159 cl. 2(a))</w:t>
            </w:r>
          </w:p>
        </w:tc>
      </w:tr>
      <w:tr>
        <w:trPr>
          <w:gridBefore w:val="1"/>
          <w:wBefore w:w="28" w:type="dxa"/>
        </w:trPr>
        <w:tc>
          <w:tcPr>
            <w:tcW w:w="3118" w:type="dxa"/>
            <w:tcBorders>
              <w:top w:val="nil"/>
              <w:bottom w:val="single" w:sz="8" w:space="0" w:color="auto"/>
            </w:tcBorders>
            <w:shd w:val="clear" w:color="auto" w:fill="auto"/>
          </w:tcPr>
          <w:p>
            <w:pPr>
              <w:pStyle w:val="nTable"/>
              <w:spacing w:after="40"/>
              <w:rPr>
                <w:i/>
              </w:rPr>
            </w:pPr>
            <w:r>
              <w:rPr>
                <w:i/>
                <w:noProof/>
              </w:rPr>
              <w:t>Commerce Regulations Amendment (Gas Standards) Regulations 2023</w:t>
            </w:r>
            <w:r>
              <w:rPr>
                <w:noProof/>
              </w:rPr>
              <w:t xml:space="preserve"> Pt. 3</w:t>
            </w:r>
          </w:p>
        </w:tc>
        <w:tc>
          <w:tcPr>
            <w:tcW w:w="1277" w:type="dxa"/>
            <w:tcBorders>
              <w:top w:val="nil"/>
              <w:bottom w:val="single" w:sz="8" w:space="0" w:color="auto"/>
            </w:tcBorders>
            <w:shd w:val="clear" w:color="auto" w:fill="auto"/>
          </w:tcPr>
          <w:p>
            <w:pPr>
              <w:pStyle w:val="nTable"/>
              <w:spacing w:after="40"/>
            </w:pPr>
            <w:r>
              <w:t>SL 2023/147 20 Sep 2023</w:t>
            </w:r>
          </w:p>
        </w:tc>
        <w:tc>
          <w:tcPr>
            <w:tcW w:w="2694" w:type="dxa"/>
            <w:gridSpan w:val="2"/>
            <w:tcBorders>
              <w:top w:val="nil"/>
              <w:bottom w:val="single" w:sz="8" w:space="0" w:color="auto"/>
            </w:tcBorders>
            <w:shd w:val="clear" w:color="auto" w:fill="auto"/>
          </w:tcPr>
          <w:p>
            <w:pPr>
              <w:pStyle w:val="nTable"/>
              <w:spacing w:after="40"/>
            </w:pPr>
            <w:r>
              <w:t>21 Sep 2023 (see r. 2(b))</w:t>
            </w:r>
          </w:p>
        </w:tc>
      </w:tr>
    </w:tbl>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9669A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47ECB9C" w14:textId="3BC0B0E8" w:rsidR="00CF60E9" w:rsidRDefault="00CF60E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F55F385" w14:textId="77777777" w:rsidR="00CF60E9" w:rsidRDefault="00CF60E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F6BF29C" w14:textId="4BF85630" w:rsidR="00CF60E9" w:rsidRDefault="00CF60E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B47147A" w14:textId="77777777" w:rsidR="00CF60E9" w:rsidRDefault="00CF60E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 w:name="Coversheet"/>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EE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90CA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7ECF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2C5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958"/>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 w:name="WAFER_20200923150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0407_GUID" w:val="7b72f649-7101-4bb5-a3f4-8eedfc633889"/>
    <w:docVar w:name="WAFER_202309151508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15150843_GUID" w:val="9151ed37-6fd0-4389-8361-c55e81ae3254"/>
    <w:docVar w:name="WAFER_20231228115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921_GUID" w:val="5a85e501-ac78-4be1-b533-091c3c0bc548"/>
    <w:docVar w:name="WAFER_202312281159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958_GUID" w:val="3b29c670-cf42-4d22-a2b6-48628738e5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90F458C-FF70-468B-AFD1-581236AB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1AE3-6DCA-46ED-BC5C-F214214B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2620</Words>
  <Characters>13288</Characters>
  <Application>Microsoft Office Word</Application>
  <DocSecurity>0</DocSecurity>
  <Lines>1107</Lines>
  <Paragraphs>497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2007 - 01-c0-01</dc:title>
  <dc:subject/>
  <dc:creator/>
  <cp:keywords/>
  <dc:description/>
  <cp:lastModifiedBy>Master Repository Process</cp:lastModifiedBy>
  <cp:revision>4</cp:revision>
  <cp:lastPrinted>2014-03-14T01:41:00Z</cp:lastPrinted>
  <dcterms:created xsi:type="dcterms:W3CDTF">2024-01-02T01:56:00Z</dcterms:created>
  <dcterms:modified xsi:type="dcterms:W3CDTF">2024-01-02T01:56:00Z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OwlsUID">
    <vt:i4>38649</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2014-03-20T16:00:00Z</vt:filetime>
  </property>
  <property fmtid="{D5CDD505-2E9C-101B-9397-08002B2CF9AE}" pid="7" name="AsAtDate">
    <vt:lpwstr>21 Sep 2023</vt:lpwstr>
  </property>
  <property fmtid="{D5CDD505-2E9C-101B-9397-08002B2CF9AE}" pid="8" name="Suffix">
    <vt:lpwstr>01-c0-01</vt:lpwstr>
  </property>
  <property fmtid="{D5CDD505-2E9C-101B-9397-08002B2CF9AE}" pid="9" name="Official">
    <vt:lpwstr/>
  </property>
  <property fmtid="{D5CDD505-2E9C-101B-9397-08002B2CF9AE}" pid="10" name="CommencementDate">
    <vt:lpwstr>20230921</vt:lpwstr>
  </property>
  <property fmtid="{D5CDD505-2E9C-101B-9397-08002B2CF9AE}" pid="11" name="CommencementAsAt">
    <vt:filetime>2023-09-20T16:00:00Z</vt:filetime>
  </property>
  <property fmtid="{D5CDD505-2E9C-101B-9397-08002B2CF9AE}" pid="12" name="CommencementYear">
    <vt:lpwstr>2023</vt:lpwstr>
  </property>
</Properties>
</file>