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Planning and Development Act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_Toc155165827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_Toc155165828 \h </w:instrText>
      </w:r>
      <w:r>
        <w:fldChar w:fldCharType="separate"/>
      </w:r>
      <w:r>
        <w:t>2</w:t>
      </w:r>
      <w:r>
        <w:fldChar w:fldCharType="end"/>
      </w:r>
    </w:p>
    <w:p>
      <w:pPr>
        <w:pStyle w:val="TOC8"/>
        <w:rPr>
          <w:rFonts w:asciiTheme="minorHAnsi" w:eastAsiaTheme="minorEastAsia" w:hAnsiTheme="minorHAnsi" w:cstheme="minorBidi"/>
          <w:szCs w:val="22"/>
        </w:rPr>
      </w:pPr>
      <w:r>
        <w:t>3.</w:t>
      </w:r>
      <w:r>
        <w:tab/>
        <w:t>Purposes and interpretation of this Act</w:t>
      </w:r>
      <w:r>
        <w:tab/>
      </w:r>
      <w:r>
        <w:fldChar w:fldCharType="begin"/>
      </w:r>
      <w:r>
        <w:instrText xml:space="preserve"> PAGEREF _Toc155165829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_Toc155165830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_Toc155165831 \h </w:instrText>
      </w:r>
      <w:r>
        <w:fldChar w:fldCharType="separate"/>
      </w:r>
      <w:r>
        <w:t>10</w:t>
      </w:r>
      <w:r>
        <w:fldChar w:fldCharType="end"/>
      </w:r>
    </w:p>
    <w:p>
      <w:pPr>
        <w:pStyle w:val="TOC8"/>
        <w:rPr>
          <w:rFonts w:asciiTheme="minorHAnsi" w:eastAsiaTheme="minorEastAsia" w:hAnsiTheme="minorHAnsi" w:cstheme="minorBidi"/>
          <w:szCs w:val="22"/>
        </w:rPr>
      </w:pPr>
      <w:r>
        <w:t>6.</w:t>
      </w:r>
      <w:r>
        <w:tab/>
        <w:t>Act does not interfere with public works</w:t>
      </w:r>
      <w:r>
        <w:tab/>
      </w:r>
      <w:r>
        <w:fldChar w:fldCharType="begin"/>
      </w:r>
      <w:r>
        <w:instrText xml:space="preserve"> PAGEREF _Toc155165832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The Western Australian Planning Commission</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7.</w:t>
      </w:r>
      <w:r>
        <w:tab/>
        <w:t>Commission established</w:t>
      </w:r>
      <w:r>
        <w:tab/>
      </w:r>
      <w:r>
        <w:fldChar w:fldCharType="begin"/>
      </w:r>
      <w:r>
        <w:instrText xml:space="preserve"> PAGEREF _Toc155165835 \h </w:instrText>
      </w:r>
      <w:r>
        <w:fldChar w:fldCharType="separate"/>
      </w:r>
      <w:r>
        <w:t>12</w:t>
      </w:r>
      <w:r>
        <w:fldChar w:fldCharType="end"/>
      </w:r>
    </w:p>
    <w:p>
      <w:pPr>
        <w:pStyle w:val="TOC8"/>
        <w:rPr>
          <w:rFonts w:asciiTheme="minorHAnsi" w:eastAsiaTheme="minorEastAsia" w:hAnsiTheme="minorHAnsi" w:cstheme="minorBidi"/>
          <w:szCs w:val="22"/>
        </w:rPr>
      </w:pPr>
      <w:r>
        <w:t>8.</w:t>
      </w:r>
      <w:r>
        <w:tab/>
        <w:t>Status</w:t>
      </w:r>
      <w:r>
        <w:tab/>
      </w:r>
      <w:r>
        <w:fldChar w:fldCharType="begin"/>
      </w:r>
      <w:r>
        <w:instrText xml:space="preserve"> PAGEREF _Toc155165836 \h </w:instrText>
      </w:r>
      <w:r>
        <w:fldChar w:fldCharType="separate"/>
      </w:r>
      <w:r>
        <w:t>12</w:t>
      </w:r>
      <w:r>
        <w:fldChar w:fldCharType="end"/>
      </w:r>
    </w:p>
    <w:p>
      <w:pPr>
        <w:pStyle w:val="TOC8"/>
        <w:rPr>
          <w:rFonts w:asciiTheme="minorHAnsi" w:eastAsiaTheme="minorEastAsia" w:hAnsiTheme="minorHAnsi" w:cstheme="minorBidi"/>
          <w:szCs w:val="22"/>
        </w:rPr>
      </w:pPr>
      <w:r>
        <w:t>9.</w:t>
      </w:r>
      <w:r>
        <w:tab/>
        <w:t>Board of management</w:t>
      </w:r>
      <w:r>
        <w:tab/>
      </w:r>
      <w:r>
        <w:fldChar w:fldCharType="begin"/>
      </w:r>
      <w:r>
        <w:instrText xml:space="preserve"> PAGEREF _Toc155165837 \h </w:instrText>
      </w:r>
      <w:r>
        <w:fldChar w:fldCharType="separate"/>
      </w:r>
      <w:r>
        <w:t>12</w:t>
      </w:r>
      <w:r>
        <w:fldChar w:fldCharType="end"/>
      </w:r>
    </w:p>
    <w:p>
      <w:pPr>
        <w:pStyle w:val="TOC8"/>
        <w:rPr>
          <w:rFonts w:asciiTheme="minorHAnsi" w:eastAsiaTheme="minorEastAsia" w:hAnsiTheme="minorHAnsi" w:cstheme="minorBidi"/>
          <w:szCs w:val="22"/>
        </w:rPr>
      </w:pPr>
      <w:r>
        <w:t>10.</w:t>
      </w:r>
      <w:r>
        <w:tab/>
        <w:t>Membership of board</w:t>
      </w:r>
      <w:r>
        <w:tab/>
      </w:r>
      <w:r>
        <w:fldChar w:fldCharType="begin"/>
      </w:r>
      <w:r>
        <w:instrText xml:space="preserve"> PAGEREF _Toc155165838 \h </w:instrText>
      </w:r>
      <w:r>
        <w:fldChar w:fldCharType="separate"/>
      </w:r>
      <w:r>
        <w:t>12</w:t>
      </w:r>
      <w:r>
        <w:fldChar w:fldCharType="end"/>
      </w:r>
    </w:p>
    <w:p>
      <w:pPr>
        <w:pStyle w:val="TOC8"/>
        <w:rPr>
          <w:rFonts w:asciiTheme="minorHAnsi" w:eastAsiaTheme="minorEastAsia" w:hAnsiTheme="minorHAnsi" w:cstheme="minorBidi"/>
          <w:szCs w:val="22"/>
        </w:rPr>
      </w:pPr>
      <w:r>
        <w:t>11.</w:t>
      </w:r>
      <w:r>
        <w:tab/>
        <w:t>Associate members of board, for regions</w:t>
      </w:r>
      <w:r>
        <w:tab/>
      </w:r>
      <w:r>
        <w:fldChar w:fldCharType="begin"/>
      </w:r>
      <w:r>
        <w:instrText xml:space="preserve"> PAGEREF _Toc155165839 \h </w:instrText>
      </w:r>
      <w:r>
        <w:fldChar w:fldCharType="separate"/>
      </w:r>
      <w:r>
        <w:t>15</w:t>
      </w:r>
      <w:r>
        <w:fldChar w:fldCharType="end"/>
      </w:r>
    </w:p>
    <w:p>
      <w:pPr>
        <w:pStyle w:val="TOC8"/>
        <w:rPr>
          <w:rFonts w:asciiTheme="minorHAnsi" w:eastAsiaTheme="minorEastAsia" w:hAnsiTheme="minorHAnsi" w:cstheme="minorBidi"/>
          <w:szCs w:val="22"/>
        </w:rPr>
      </w:pPr>
      <w:r>
        <w:t>12.</w:t>
      </w:r>
      <w:r>
        <w:tab/>
        <w:t>Board’s constitution and proceedings (Sch. 1)</w:t>
      </w:r>
      <w:r>
        <w:tab/>
      </w:r>
      <w:r>
        <w:fldChar w:fldCharType="begin"/>
      </w:r>
      <w:r>
        <w:instrText xml:space="preserve"> PAGEREF _Toc155165840 \h </w:instrText>
      </w:r>
      <w:r>
        <w:fldChar w:fldCharType="separate"/>
      </w:r>
      <w:r>
        <w:t>15</w:t>
      </w:r>
      <w:r>
        <w:fldChar w:fldCharType="end"/>
      </w:r>
    </w:p>
    <w:p>
      <w:pPr>
        <w:pStyle w:val="TOC8"/>
        <w:rPr>
          <w:rFonts w:asciiTheme="minorHAnsi" w:eastAsiaTheme="minorEastAsia" w:hAnsiTheme="minorHAnsi" w:cstheme="minorBidi"/>
          <w:szCs w:val="22"/>
        </w:rPr>
      </w:pPr>
      <w:r>
        <w:t>13.</w:t>
      </w:r>
      <w:r>
        <w:tab/>
        <w:t>Remuneration and allowances</w:t>
      </w:r>
      <w:r>
        <w:tab/>
      </w:r>
      <w:r>
        <w:fldChar w:fldCharType="begin"/>
      </w:r>
      <w:r>
        <w:instrText xml:space="preserve"> PAGEREF _Toc155165841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14.</w:t>
      </w:r>
      <w:r>
        <w:tab/>
        <w:t>Functions</w:t>
      </w:r>
      <w:r>
        <w:tab/>
      </w:r>
      <w:r>
        <w:fldChar w:fldCharType="begin"/>
      </w:r>
      <w:r>
        <w:instrText xml:space="preserve"> PAGEREF _Toc155165843 \h </w:instrText>
      </w:r>
      <w:r>
        <w:fldChar w:fldCharType="separate"/>
      </w:r>
      <w:r>
        <w:t>16</w:t>
      </w:r>
      <w:r>
        <w:fldChar w:fldCharType="end"/>
      </w:r>
    </w:p>
    <w:p>
      <w:pPr>
        <w:pStyle w:val="TOC8"/>
        <w:rPr>
          <w:rFonts w:asciiTheme="minorHAnsi" w:eastAsiaTheme="minorEastAsia" w:hAnsiTheme="minorHAnsi" w:cstheme="minorBidi"/>
          <w:szCs w:val="22"/>
        </w:rPr>
      </w:pPr>
      <w:r>
        <w:t>15.</w:t>
      </w:r>
      <w:r>
        <w:tab/>
        <w:t>Powers</w:t>
      </w:r>
      <w:r>
        <w:tab/>
      </w:r>
      <w:r>
        <w:fldChar w:fldCharType="begin"/>
      </w:r>
      <w:r>
        <w:instrText xml:space="preserve"> PAGEREF _Toc155165844 \h </w:instrText>
      </w:r>
      <w:r>
        <w:fldChar w:fldCharType="separate"/>
      </w:r>
      <w:r>
        <w:t>18</w:t>
      </w:r>
      <w:r>
        <w:fldChar w:fldCharType="end"/>
      </w:r>
    </w:p>
    <w:p>
      <w:pPr>
        <w:pStyle w:val="TOC8"/>
        <w:rPr>
          <w:rFonts w:asciiTheme="minorHAnsi" w:eastAsiaTheme="minorEastAsia" w:hAnsiTheme="minorHAnsi" w:cstheme="minorBidi"/>
          <w:szCs w:val="22"/>
        </w:rPr>
      </w:pPr>
      <w:r>
        <w:t>16.</w:t>
      </w:r>
      <w:r>
        <w:tab/>
        <w:t>Delegation by Commission</w:t>
      </w:r>
      <w:r>
        <w:tab/>
      </w:r>
      <w:r>
        <w:fldChar w:fldCharType="begin"/>
      </w:r>
      <w:r>
        <w:instrText xml:space="preserve"> PAGEREF _Toc155165845 \h </w:instrText>
      </w:r>
      <w:r>
        <w:fldChar w:fldCharType="separate"/>
      </w:r>
      <w:r>
        <w:t>20</w:t>
      </w:r>
      <w:r>
        <w:fldChar w:fldCharType="end"/>
      </w:r>
    </w:p>
    <w:p>
      <w:pPr>
        <w:pStyle w:val="TOC8"/>
        <w:rPr>
          <w:rFonts w:asciiTheme="minorHAnsi" w:eastAsiaTheme="minorEastAsia" w:hAnsiTheme="minorHAnsi" w:cstheme="minorBidi"/>
          <w:szCs w:val="22"/>
        </w:rPr>
      </w:pPr>
      <w:r>
        <w:t>17.</w:t>
      </w:r>
      <w:r>
        <w:tab/>
        <w:t>Minister may give Commission directions</w:t>
      </w:r>
      <w:r>
        <w:tab/>
      </w:r>
      <w:r>
        <w:fldChar w:fldCharType="begin"/>
      </w:r>
      <w:r>
        <w:instrText xml:space="preserve"> PAGEREF _Toc155165846 \h </w:instrText>
      </w:r>
      <w:r>
        <w:fldChar w:fldCharType="separate"/>
      </w:r>
      <w:r>
        <w:t>21</w:t>
      </w:r>
      <w:r>
        <w:fldChar w:fldCharType="end"/>
      </w:r>
    </w:p>
    <w:p>
      <w:pPr>
        <w:pStyle w:val="TOC8"/>
        <w:rPr>
          <w:rFonts w:asciiTheme="minorHAnsi" w:eastAsiaTheme="minorEastAsia" w:hAnsiTheme="minorHAnsi" w:cstheme="minorBidi"/>
          <w:szCs w:val="22"/>
        </w:rPr>
      </w:pPr>
      <w:r>
        <w:t>18.</w:t>
      </w:r>
      <w:r>
        <w:tab/>
        <w:t>Minister to have access to information</w:t>
      </w:r>
      <w:r>
        <w:tab/>
      </w:r>
      <w:r>
        <w:fldChar w:fldCharType="begin"/>
      </w:r>
      <w:r>
        <w:instrText xml:space="preserve"> PAGEREF _Toc155165847 \h </w:instrText>
      </w:r>
      <w:r>
        <w:fldChar w:fldCharType="separate"/>
      </w:r>
      <w:r>
        <w:t>23</w:t>
      </w:r>
      <w:r>
        <w:fldChar w:fldCharType="end"/>
      </w:r>
    </w:p>
    <w:p>
      <w:pPr>
        <w:pStyle w:val="TOC8"/>
        <w:rPr>
          <w:rFonts w:asciiTheme="minorHAnsi" w:eastAsiaTheme="minorEastAsia" w:hAnsiTheme="minorHAnsi" w:cstheme="minorBidi"/>
          <w:szCs w:val="22"/>
        </w:rPr>
      </w:pPr>
      <w:r>
        <w:t>19.</w:t>
      </w:r>
      <w:r>
        <w:tab/>
        <w:t>Committees (Sch. 2)</w:t>
      </w:r>
      <w:r>
        <w:tab/>
      </w:r>
      <w:r>
        <w:fldChar w:fldCharType="begin"/>
      </w:r>
      <w:r>
        <w:instrText xml:space="preserve"> PAGEREF _Toc155165848 \h </w:instrText>
      </w:r>
      <w:r>
        <w:fldChar w:fldCharType="separate"/>
      </w:r>
      <w:r>
        <w:t>23</w:t>
      </w:r>
      <w:r>
        <w:fldChar w:fldCharType="end"/>
      </w:r>
    </w:p>
    <w:p>
      <w:pPr>
        <w:pStyle w:val="TOC8"/>
        <w:rPr>
          <w:rFonts w:asciiTheme="minorHAnsi" w:eastAsiaTheme="minorEastAsia" w:hAnsiTheme="minorHAnsi" w:cstheme="minorBidi"/>
          <w:szCs w:val="22"/>
        </w:rPr>
      </w:pPr>
      <w:r>
        <w:t>20.</w:t>
      </w:r>
      <w:r>
        <w:tab/>
        <w:t>Fees for Commission’s services</w:t>
      </w:r>
      <w:r>
        <w:tab/>
      </w:r>
      <w:r>
        <w:fldChar w:fldCharType="begin"/>
      </w:r>
      <w:r>
        <w:instrText xml:space="preserve"> PAGEREF _Toc155165849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Administration</w:t>
      </w:r>
    </w:p>
    <w:p>
      <w:pPr>
        <w:pStyle w:val="TOC8"/>
        <w:rPr>
          <w:rFonts w:asciiTheme="minorHAnsi" w:eastAsiaTheme="minorEastAsia" w:hAnsiTheme="minorHAnsi" w:cstheme="minorBidi"/>
          <w:szCs w:val="22"/>
        </w:rPr>
      </w:pPr>
      <w:r>
        <w:t>21.</w:t>
      </w:r>
      <w:r>
        <w:tab/>
        <w:t>Secretary</w:t>
      </w:r>
      <w:r>
        <w:tab/>
      </w:r>
      <w:r>
        <w:fldChar w:fldCharType="begin"/>
      </w:r>
      <w:r>
        <w:instrText xml:space="preserve"> PAGEREF _Toc155165851 \h </w:instrText>
      </w:r>
      <w:r>
        <w:fldChar w:fldCharType="separate"/>
      </w:r>
      <w:r>
        <w:t>24</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_Toc155165852 \h </w:instrText>
      </w:r>
      <w:r>
        <w:fldChar w:fldCharType="separate"/>
      </w:r>
      <w:r>
        <w:t>24</w:t>
      </w:r>
      <w:r>
        <w:fldChar w:fldCharType="end"/>
      </w:r>
    </w:p>
    <w:p>
      <w:pPr>
        <w:pStyle w:val="TOC8"/>
        <w:rPr>
          <w:rFonts w:asciiTheme="minorHAnsi" w:eastAsiaTheme="minorEastAsia" w:hAnsiTheme="minorHAnsi" w:cstheme="minorBidi"/>
          <w:szCs w:val="22"/>
        </w:rPr>
      </w:pPr>
      <w:r>
        <w:t>23.</w:t>
      </w:r>
      <w:r>
        <w:tab/>
        <w:t>Use of staff and facilities of public authorities</w:t>
      </w:r>
      <w:r>
        <w:tab/>
      </w:r>
      <w:r>
        <w:fldChar w:fldCharType="begin"/>
      </w:r>
      <w:r>
        <w:instrText xml:space="preserve"> PAGEREF _Toc155165853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24.</w:t>
      </w:r>
      <w:r>
        <w:tab/>
        <w:t>Execution of documents</w:t>
      </w:r>
      <w:r>
        <w:tab/>
      </w:r>
      <w:r>
        <w:fldChar w:fldCharType="begin"/>
      </w:r>
      <w:r>
        <w:instrText xml:space="preserve"> PAGEREF _Toc155165855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State planning policies</w:t>
      </w:r>
    </w:p>
    <w:p>
      <w:pPr>
        <w:pStyle w:val="TOC8"/>
        <w:rPr>
          <w:rFonts w:asciiTheme="minorHAnsi" w:eastAsiaTheme="minorEastAsia" w:hAnsiTheme="minorHAnsi" w:cstheme="minorBidi"/>
          <w:szCs w:val="22"/>
        </w:rPr>
      </w:pPr>
      <w:r>
        <w:t>25.</w:t>
      </w:r>
      <w:r>
        <w:tab/>
        <w:t>Statements of planning policy under repealed Act, effect of</w:t>
      </w:r>
      <w:r>
        <w:tab/>
      </w:r>
      <w:r>
        <w:fldChar w:fldCharType="begin"/>
      </w:r>
      <w:r>
        <w:instrText xml:space="preserve"> PAGEREF _Toc155165857 \h </w:instrText>
      </w:r>
      <w:r>
        <w:fldChar w:fldCharType="separate"/>
      </w:r>
      <w:r>
        <w:t>27</w:t>
      </w:r>
      <w:r>
        <w:fldChar w:fldCharType="end"/>
      </w:r>
    </w:p>
    <w:p>
      <w:pPr>
        <w:pStyle w:val="TOC8"/>
        <w:rPr>
          <w:rFonts w:asciiTheme="minorHAnsi" w:eastAsiaTheme="minorEastAsia" w:hAnsiTheme="minorHAnsi" w:cstheme="minorBidi"/>
          <w:szCs w:val="22"/>
        </w:rPr>
      </w:pPr>
      <w:r>
        <w:t>26.</w:t>
      </w:r>
      <w:r>
        <w:tab/>
        <w:t>State planning policies, preparation and content of</w:t>
      </w:r>
      <w:r>
        <w:tab/>
      </w:r>
      <w:r>
        <w:fldChar w:fldCharType="begin"/>
      </w:r>
      <w:r>
        <w:instrText xml:space="preserve"> PAGEREF _Toc155165858 \h </w:instrText>
      </w:r>
      <w:r>
        <w:fldChar w:fldCharType="separate"/>
      </w:r>
      <w:r>
        <w:t>27</w:t>
      </w:r>
      <w:r>
        <w:fldChar w:fldCharType="end"/>
      </w:r>
    </w:p>
    <w:p>
      <w:pPr>
        <w:pStyle w:val="TOC8"/>
        <w:rPr>
          <w:rFonts w:asciiTheme="minorHAnsi" w:eastAsiaTheme="minorEastAsia" w:hAnsiTheme="minorHAnsi" w:cstheme="minorBidi"/>
          <w:szCs w:val="22"/>
        </w:rPr>
      </w:pPr>
      <w:r>
        <w:t>27.</w:t>
      </w:r>
      <w:r>
        <w:tab/>
        <w:t>Matters to be considered when preparing State planning policy</w:t>
      </w:r>
      <w:r>
        <w:tab/>
      </w:r>
      <w:r>
        <w:fldChar w:fldCharType="begin"/>
      </w:r>
      <w:r>
        <w:instrText xml:space="preserve"> PAGEREF _Toc155165859 \h </w:instrText>
      </w:r>
      <w:r>
        <w:fldChar w:fldCharType="separate"/>
      </w:r>
      <w:r>
        <w:t>28</w:t>
      </w:r>
      <w:r>
        <w:fldChar w:fldCharType="end"/>
      </w:r>
    </w:p>
    <w:p>
      <w:pPr>
        <w:pStyle w:val="TOC8"/>
        <w:rPr>
          <w:rFonts w:asciiTheme="minorHAnsi" w:eastAsiaTheme="minorEastAsia" w:hAnsiTheme="minorHAnsi" w:cstheme="minorBidi"/>
          <w:szCs w:val="22"/>
        </w:rPr>
      </w:pPr>
      <w:r>
        <w:t>28.</w:t>
      </w:r>
      <w:r>
        <w:tab/>
        <w:t>Consultation on and public notice of proposed State planning policy</w:t>
      </w:r>
      <w:r>
        <w:tab/>
      </w:r>
      <w:r>
        <w:fldChar w:fldCharType="begin"/>
      </w:r>
      <w:r>
        <w:instrText xml:space="preserve"> PAGEREF _Toc155165860 \h </w:instrText>
      </w:r>
      <w:r>
        <w:fldChar w:fldCharType="separate"/>
      </w:r>
      <w:r>
        <w:t>28</w:t>
      </w:r>
      <w:r>
        <w:fldChar w:fldCharType="end"/>
      </w:r>
    </w:p>
    <w:p>
      <w:pPr>
        <w:pStyle w:val="TOC8"/>
        <w:rPr>
          <w:rFonts w:asciiTheme="minorHAnsi" w:eastAsiaTheme="minorEastAsia" w:hAnsiTheme="minorHAnsi" w:cstheme="minorBidi"/>
          <w:szCs w:val="22"/>
        </w:rPr>
      </w:pPr>
      <w:r>
        <w:t>29.</w:t>
      </w:r>
      <w:r>
        <w:tab/>
        <w:t>Approval of Governor</w:t>
      </w:r>
      <w:r>
        <w:tab/>
      </w:r>
      <w:r>
        <w:fldChar w:fldCharType="begin"/>
      </w:r>
      <w:r>
        <w:instrText xml:space="preserve"> PAGEREF _Toc155165861 \h </w:instrText>
      </w:r>
      <w:r>
        <w:fldChar w:fldCharType="separate"/>
      </w:r>
      <w:r>
        <w:t>30</w:t>
      </w:r>
      <w:r>
        <w:fldChar w:fldCharType="end"/>
      </w:r>
    </w:p>
    <w:p>
      <w:pPr>
        <w:pStyle w:val="TOC8"/>
        <w:rPr>
          <w:rFonts w:asciiTheme="minorHAnsi" w:eastAsiaTheme="minorEastAsia" w:hAnsiTheme="minorHAnsi" w:cstheme="minorBidi"/>
          <w:szCs w:val="22"/>
        </w:rPr>
      </w:pPr>
      <w:r>
        <w:t>30.</w:t>
      </w:r>
      <w:r>
        <w:tab/>
        <w:t>Publicising approved State planning policy</w:t>
      </w:r>
      <w:r>
        <w:tab/>
      </w:r>
      <w:r>
        <w:fldChar w:fldCharType="begin"/>
      </w:r>
      <w:r>
        <w:instrText xml:space="preserve"> PAGEREF _Toc155165862 \h </w:instrText>
      </w:r>
      <w:r>
        <w:fldChar w:fldCharType="separate"/>
      </w:r>
      <w:r>
        <w:t>30</w:t>
      </w:r>
      <w:r>
        <w:fldChar w:fldCharType="end"/>
      </w:r>
    </w:p>
    <w:p>
      <w:pPr>
        <w:pStyle w:val="TOC8"/>
        <w:rPr>
          <w:rFonts w:asciiTheme="minorHAnsi" w:eastAsiaTheme="minorEastAsia" w:hAnsiTheme="minorHAnsi" w:cstheme="minorBidi"/>
          <w:szCs w:val="22"/>
        </w:rPr>
      </w:pPr>
      <w:r>
        <w:t>31.</w:t>
      </w:r>
      <w:r>
        <w:tab/>
        <w:t>Amending or repealing State planning policy</w:t>
      </w:r>
      <w:r>
        <w:tab/>
      </w:r>
      <w:r>
        <w:fldChar w:fldCharType="begin"/>
      </w:r>
      <w:r>
        <w:instrText xml:space="preserve"> PAGEREF _Toc155165863 \h </w:instrText>
      </w:r>
      <w:r>
        <w:fldChar w:fldCharType="separate"/>
      </w:r>
      <w:r>
        <w:t>30</w:t>
      </w:r>
      <w:r>
        <w:fldChar w:fldCharType="end"/>
      </w:r>
    </w:p>
    <w:p>
      <w:pPr>
        <w:pStyle w:val="TOC8"/>
        <w:rPr>
          <w:rFonts w:asciiTheme="minorHAnsi" w:eastAsiaTheme="minorEastAsia" w:hAnsiTheme="minorHAnsi" w:cstheme="minorBidi"/>
          <w:szCs w:val="22"/>
        </w:rPr>
      </w:pPr>
      <w:r>
        <w:t>32.</w:t>
      </w:r>
      <w:r>
        <w:tab/>
        <w:t>Environmental review</w:t>
      </w:r>
      <w:r>
        <w:tab/>
      </w:r>
      <w:r>
        <w:fldChar w:fldCharType="begin"/>
      </w:r>
      <w:r>
        <w:instrText xml:space="preserve"> PAGEREF _Toc155165864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Region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region planning schemes</w:t>
      </w:r>
    </w:p>
    <w:p>
      <w:pPr>
        <w:pStyle w:val="TOC8"/>
        <w:rPr>
          <w:rFonts w:asciiTheme="minorHAnsi" w:eastAsiaTheme="minorEastAsia" w:hAnsiTheme="minorHAnsi" w:cstheme="minorBidi"/>
          <w:szCs w:val="22"/>
        </w:rPr>
      </w:pPr>
      <w:r>
        <w:t>33.</w:t>
      </w:r>
      <w:r>
        <w:tab/>
        <w:t>Schemes under repealed Act, effect of</w:t>
      </w:r>
      <w:r>
        <w:tab/>
      </w:r>
      <w:r>
        <w:fldChar w:fldCharType="begin"/>
      </w:r>
      <w:r>
        <w:instrText xml:space="preserve"> PAGEREF _Toc155165867 \h </w:instrText>
      </w:r>
      <w:r>
        <w:fldChar w:fldCharType="separate"/>
      </w:r>
      <w:r>
        <w:t>32</w:t>
      </w:r>
      <w:r>
        <w:fldChar w:fldCharType="end"/>
      </w:r>
    </w:p>
    <w:p>
      <w:pPr>
        <w:pStyle w:val="TOC8"/>
        <w:rPr>
          <w:rFonts w:asciiTheme="minorHAnsi" w:eastAsiaTheme="minorEastAsia" w:hAnsiTheme="minorHAnsi" w:cstheme="minorBidi"/>
          <w:szCs w:val="22"/>
        </w:rPr>
      </w:pPr>
      <w:r>
        <w:t>34.</w:t>
      </w:r>
      <w:r>
        <w:tab/>
        <w:t>Region planning schemes, preparation and content of</w:t>
      </w:r>
      <w:r>
        <w:tab/>
      </w:r>
      <w:r>
        <w:fldChar w:fldCharType="begin"/>
      </w:r>
      <w:r>
        <w:instrText xml:space="preserve"> PAGEREF _Toc155165868 \h </w:instrText>
      </w:r>
      <w:r>
        <w:fldChar w:fldCharType="separate"/>
      </w:r>
      <w:r>
        <w:t>32</w:t>
      </w:r>
      <w:r>
        <w:fldChar w:fldCharType="end"/>
      </w:r>
    </w:p>
    <w:p>
      <w:pPr>
        <w:pStyle w:val="TOC8"/>
        <w:rPr>
          <w:rFonts w:asciiTheme="minorHAnsi" w:eastAsiaTheme="minorEastAsia" w:hAnsiTheme="minorHAnsi" w:cstheme="minorBidi"/>
          <w:szCs w:val="22"/>
        </w:rPr>
      </w:pPr>
      <w:r>
        <w:t>35.</w:t>
      </w:r>
      <w:r>
        <w:tab/>
        <w:t>Commission may resolve to prepare or amend region planning scheme</w:t>
      </w:r>
      <w:r>
        <w:tab/>
      </w:r>
      <w:r>
        <w:fldChar w:fldCharType="begin"/>
      </w:r>
      <w:r>
        <w:instrText xml:space="preserve"> PAGEREF _Toc155165869 \h </w:instrText>
      </w:r>
      <w:r>
        <w:fldChar w:fldCharType="separate"/>
      </w:r>
      <w:r>
        <w:t>33</w:t>
      </w:r>
      <w:r>
        <w:fldChar w:fldCharType="end"/>
      </w:r>
    </w:p>
    <w:p>
      <w:pPr>
        <w:pStyle w:val="TOC8"/>
        <w:rPr>
          <w:rFonts w:asciiTheme="minorHAnsi" w:eastAsiaTheme="minorEastAsia" w:hAnsiTheme="minorHAnsi" w:cstheme="minorBidi"/>
          <w:szCs w:val="22"/>
        </w:rPr>
      </w:pPr>
      <w:r>
        <w:t>36.</w:t>
      </w:r>
      <w:r>
        <w:tab/>
        <w:t>Restrictions on making or amending region planning scheme for metropolitan region</w:t>
      </w:r>
      <w:r>
        <w:tab/>
      </w:r>
      <w:r>
        <w:fldChar w:fldCharType="begin"/>
      </w:r>
      <w:r>
        <w:instrText xml:space="preserve"> PAGEREF _Toc155165870 \h </w:instrText>
      </w:r>
      <w:r>
        <w:fldChar w:fldCharType="separate"/>
      </w:r>
      <w:r>
        <w:t>33</w:t>
      </w:r>
      <w:r>
        <w:fldChar w:fldCharType="end"/>
      </w:r>
    </w:p>
    <w:p>
      <w:pPr>
        <w:pStyle w:val="TOC8"/>
        <w:rPr>
          <w:rFonts w:asciiTheme="minorHAnsi" w:eastAsiaTheme="minorEastAsia" w:hAnsiTheme="minorHAnsi" w:cstheme="minorBidi"/>
          <w:szCs w:val="22"/>
        </w:rPr>
      </w:pPr>
      <w:r>
        <w:t>37.</w:t>
      </w:r>
      <w:r>
        <w:tab/>
        <w:t>Region planning scheme may be amended or repealed</w:t>
      </w:r>
      <w:r>
        <w:tab/>
      </w:r>
      <w:r>
        <w:fldChar w:fldCharType="begin"/>
      </w:r>
      <w:r>
        <w:instrText xml:space="preserve"> PAGEREF _Toc155165871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Relevant considerations in preparation or amendment of region planning scheme or amendment and requirement to advertise</w:t>
      </w:r>
    </w:p>
    <w:p>
      <w:pPr>
        <w:pStyle w:val="TOC8"/>
        <w:rPr>
          <w:rFonts w:asciiTheme="minorHAnsi" w:eastAsiaTheme="minorEastAsia" w:hAnsiTheme="minorHAnsi" w:cstheme="minorBidi"/>
          <w:szCs w:val="22"/>
        </w:rPr>
      </w:pPr>
      <w:r>
        <w:t>38.</w:t>
      </w:r>
      <w:r>
        <w:tab/>
        <w:t>Referral of proposed scheme or amendment to EPA</w:t>
      </w:r>
      <w:r>
        <w:tab/>
      </w:r>
      <w:r>
        <w:fldChar w:fldCharType="begin"/>
      </w:r>
      <w:r>
        <w:instrText xml:space="preserve"> PAGEREF _Toc155165873 \h </w:instrText>
      </w:r>
      <w:r>
        <w:fldChar w:fldCharType="separate"/>
      </w:r>
      <w:r>
        <w:t>34</w:t>
      </w:r>
      <w:r>
        <w:fldChar w:fldCharType="end"/>
      </w:r>
    </w:p>
    <w:p>
      <w:pPr>
        <w:pStyle w:val="TOC8"/>
        <w:rPr>
          <w:rFonts w:asciiTheme="minorHAnsi" w:eastAsiaTheme="minorEastAsia" w:hAnsiTheme="minorHAnsi" w:cstheme="minorBidi"/>
          <w:szCs w:val="22"/>
        </w:rPr>
      </w:pPr>
      <w:r>
        <w:lastRenderedPageBreak/>
        <w:t>39.</w:t>
      </w:r>
      <w:r>
        <w:tab/>
        <w:t>Environmental review of proposed scheme or amendment</w:t>
      </w:r>
      <w:r>
        <w:tab/>
      </w:r>
      <w:r>
        <w:fldChar w:fldCharType="begin"/>
      </w:r>
      <w:r>
        <w:instrText xml:space="preserve"> PAGEREF _Toc155165874 \h </w:instrText>
      </w:r>
      <w:r>
        <w:fldChar w:fldCharType="separate"/>
      </w:r>
      <w:r>
        <w:t>35</w:t>
      </w:r>
      <w:r>
        <w:fldChar w:fldCharType="end"/>
      </w:r>
    </w:p>
    <w:p>
      <w:pPr>
        <w:pStyle w:val="TOC8"/>
        <w:rPr>
          <w:rFonts w:asciiTheme="minorHAnsi" w:eastAsiaTheme="minorEastAsia" w:hAnsiTheme="minorHAnsi" w:cstheme="minorBidi"/>
          <w:szCs w:val="22"/>
        </w:rPr>
      </w:pPr>
      <w:r>
        <w:t>43.</w:t>
      </w:r>
      <w:r>
        <w:tab/>
        <w:t>Advertising proposed scheme or amendment</w:t>
      </w:r>
      <w:r>
        <w:tab/>
      </w:r>
      <w:r>
        <w:fldChar w:fldCharType="begin"/>
      </w:r>
      <w:r>
        <w:instrText xml:space="preserve"> PAGEREF _Toc155165875 \h </w:instrText>
      </w:r>
      <w:r>
        <w:fldChar w:fldCharType="separate"/>
      </w:r>
      <w:r>
        <w:t>36</w:t>
      </w:r>
      <w:r>
        <w:fldChar w:fldCharType="end"/>
      </w:r>
    </w:p>
    <w:p>
      <w:pPr>
        <w:pStyle w:val="TOC8"/>
        <w:rPr>
          <w:rFonts w:asciiTheme="minorHAnsi" w:eastAsiaTheme="minorEastAsia" w:hAnsiTheme="minorHAnsi" w:cstheme="minorBidi"/>
          <w:szCs w:val="22"/>
        </w:rPr>
      </w:pPr>
      <w:r>
        <w:t>45.</w:t>
      </w:r>
      <w:r>
        <w:tab/>
        <w:t>Commission’s duties if proposed scheme or amendment is to be assessed under EP Act</w:t>
      </w:r>
      <w:r>
        <w:tab/>
      </w:r>
      <w:r>
        <w:fldChar w:fldCharType="begin"/>
      </w:r>
      <w:r>
        <w:instrText xml:space="preserve"> PAGEREF _Toc155165876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Submission and approval of region planning schemes or amendment other than minor amendments</w:t>
      </w:r>
    </w:p>
    <w:p>
      <w:pPr>
        <w:pStyle w:val="TOC8"/>
        <w:rPr>
          <w:rFonts w:asciiTheme="minorHAnsi" w:eastAsiaTheme="minorEastAsia" w:hAnsiTheme="minorHAnsi" w:cstheme="minorBidi"/>
          <w:szCs w:val="22"/>
        </w:rPr>
      </w:pPr>
      <w:r>
        <w:t>47A.</w:t>
      </w:r>
      <w:r>
        <w:tab/>
        <w:t>Region planning scheme or non</w:t>
      </w:r>
      <w:r>
        <w:noBreakHyphen/>
        <w:t>minor amendment to be submitted and approved under this Division</w:t>
      </w:r>
      <w:r>
        <w:tab/>
      </w:r>
      <w:r>
        <w:fldChar w:fldCharType="begin"/>
      </w:r>
      <w:r>
        <w:instrText xml:space="preserve"> PAGEREF _Toc155165878 \h </w:instrText>
      </w:r>
      <w:r>
        <w:fldChar w:fldCharType="separate"/>
      </w:r>
      <w:r>
        <w:t>38</w:t>
      </w:r>
      <w:r>
        <w:fldChar w:fldCharType="end"/>
      </w:r>
    </w:p>
    <w:p>
      <w:pPr>
        <w:pStyle w:val="TOC8"/>
        <w:rPr>
          <w:rFonts w:asciiTheme="minorHAnsi" w:eastAsiaTheme="minorEastAsia" w:hAnsiTheme="minorHAnsi" w:cstheme="minorBidi"/>
          <w:szCs w:val="22"/>
        </w:rPr>
      </w:pPr>
      <w:r>
        <w:t>48.</w:t>
      </w:r>
      <w:r>
        <w:tab/>
        <w:t>Proposed scheme or amendment and public submissions to be submitted to Minister</w:t>
      </w:r>
      <w:r>
        <w:tab/>
      </w:r>
      <w:r>
        <w:fldChar w:fldCharType="begin"/>
      </w:r>
      <w:r>
        <w:instrText xml:space="preserve"> PAGEREF _Toc155165879 \h </w:instrText>
      </w:r>
      <w:r>
        <w:fldChar w:fldCharType="separate"/>
      </w:r>
      <w:r>
        <w:t>38</w:t>
      </w:r>
      <w:r>
        <w:fldChar w:fldCharType="end"/>
      </w:r>
    </w:p>
    <w:p>
      <w:pPr>
        <w:pStyle w:val="TOC8"/>
        <w:rPr>
          <w:rFonts w:asciiTheme="minorHAnsi" w:eastAsiaTheme="minorEastAsia" w:hAnsiTheme="minorHAnsi" w:cstheme="minorBidi"/>
          <w:szCs w:val="22"/>
        </w:rPr>
      </w:pPr>
      <w:r>
        <w:t>50.</w:t>
      </w:r>
      <w:r>
        <w:tab/>
        <w:t>When Minister may submit proposed scheme or amendment for Governor’s approval</w:t>
      </w:r>
      <w:r>
        <w:tab/>
      </w:r>
      <w:r>
        <w:fldChar w:fldCharType="begin"/>
      </w:r>
      <w:r>
        <w:instrText xml:space="preserve"> PAGEREF _Toc155165880 \h </w:instrText>
      </w:r>
      <w:r>
        <w:fldChar w:fldCharType="separate"/>
      </w:r>
      <w:r>
        <w:t>39</w:t>
      </w:r>
      <w:r>
        <w:fldChar w:fldCharType="end"/>
      </w:r>
    </w:p>
    <w:p>
      <w:pPr>
        <w:pStyle w:val="TOC8"/>
        <w:rPr>
          <w:rFonts w:asciiTheme="minorHAnsi" w:eastAsiaTheme="minorEastAsia" w:hAnsiTheme="minorHAnsi" w:cstheme="minorBidi"/>
          <w:szCs w:val="22"/>
        </w:rPr>
      </w:pPr>
      <w:r>
        <w:t>51.</w:t>
      </w:r>
      <w:r>
        <w:tab/>
        <w:t>Minister may direct proposed scheme or amendment to be republicised</w:t>
      </w:r>
      <w:r>
        <w:tab/>
      </w:r>
      <w:r>
        <w:fldChar w:fldCharType="begin"/>
      </w:r>
      <w:r>
        <w:instrText xml:space="preserve"> PAGEREF _Toc155165881 \h </w:instrText>
      </w:r>
      <w:r>
        <w:fldChar w:fldCharType="separate"/>
      </w:r>
      <w:r>
        <w:t>39</w:t>
      </w:r>
      <w:r>
        <w:fldChar w:fldCharType="end"/>
      </w:r>
    </w:p>
    <w:p>
      <w:pPr>
        <w:pStyle w:val="TOC8"/>
        <w:rPr>
          <w:rFonts w:asciiTheme="minorHAnsi" w:eastAsiaTheme="minorEastAsia" w:hAnsiTheme="minorHAnsi" w:cstheme="minorBidi"/>
          <w:szCs w:val="22"/>
        </w:rPr>
      </w:pPr>
      <w:r>
        <w:t>52.</w:t>
      </w:r>
      <w:r>
        <w:tab/>
        <w:t>Modifications to proposed scheme or amendment, procedure on</w:t>
      </w:r>
      <w:r>
        <w:tab/>
      </w:r>
      <w:r>
        <w:fldChar w:fldCharType="begin"/>
      </w:r>
      <w:r>
        <w:instrText xml:space="preserve"> PAGEREF _Toc155165882 \h </w:instrText>
      </w:r>
      <w:r>
        <w:fldChar w:fldCharType="separate"/>
      </w:r>
      <w:r>
        <w:t>40</w:t>
      </w:r>
      <w:r>
        <w:fldChar w:fldCharType="end"/>
      </w:r>
    </w:p>
    <w:p>
      <w:pPr>
        <w:pStyle w:val="TOC8"/>
        <w:rPr>
          <w:rFonts w:asciiTheme="minorHAnsi" w:eastAsiaTheme="minorEastAsia" w:hAnsiTheme="minorHAnsi" w:cstheme="minorBidi"/>
          <w:szCs w:val="22"/>
        </w:rPr>
      </w:pPr>
      <w:r>
        <w:t>53.</w:t>
      </w:r>
      <w:r>
        <w:tab/>
        <w:t>Approval of Governor</w:t>
      </w:r>
      <w:r>
        <w:tab/>
      </w:r>
      <w:r>
        <w:fldChar w:fldCharType="begin"/>
      </w:r>
      <w:r>
        <w:instrText xml:space="preserve"> PAGEREF _Toc155165883 \h </w:instrText>
      </w:r>
      <w:r>
        <w:fldChar w:fldCharType="separate"/>
      </w:r>
      <w:r>
        <w:t>40</w:t>
      </w:r>
      <w:r>
        <w:fldChar w:fldCharType="end"/>
      </w:r>
    </w:p>
    <w:p>
      <w:pPr>
        <w:pStyle w:val="TOC8"/>
        <w:rPr>
          <w:rFonts w:asciiTheme="minorHAnsi" w:eastAsiaTheme="minorEastAsia" w:hAnsiTheme="minorHAnsi" w:cstheme="minorBidi"/>
          <w:szCs w:val="22"/>
        </w:rPr>
      </w:pPr>
      <w:r>
        <w:t>54.</w:t>
      </w:r>
      <w:r>
        <w:tab/>
        <w:t>Publicising approved scheme or amendment</w:t>
      </w:r>
      <w:r>
        <w:tab/>
      </w:r>
      <w:r>
        <w:fldChar w:fldCharType="begin"/>
      </w:r>
      <w:r>
        <w:instrText xml:space="preserve"> PAGEREF _Toc155165884 \h </w:instrText>
      </w:r>
      <w:r>
        <w:fldChar w:fldCharType="separate"/>
      </w:r>
      <w:r>
        <w:t>41</w:t>
      </w:r>
      <w:r>
        <w:fldChar w:fldCharType="end"/>
      </w:r>
    </w:p>
    <w:p>
      <w:pPr>
        <w:pStyle w:val="TOC8"/>
        <w:rPr>
          <w:rFonts w:asciiTheme="minorHAnsi" w:eastAsiaTheme="minorEastAsia" w:hAnsiTheme="minorHAnsi" w:cstheme="minorBidi"/>
          <w:szCs w:val="22"/>
        </w:rPr>
      </w:pPr>
      <w:r>
        <w:t>55.</w:t>
      </w:r>
      <w:r>
        <w:tab/>
        <w:t>Revoking approval of scheme or amendment</w:t>
      </w:r>
      <w:r>
        <w:tab/>
      </w:r>
      <w:r>
        <w:fldChar w:fldCharType="begin"/>
      </w:r>
      <w:r>
        <w:instrText xml:space="preserve"> PAGEREF _Toc155165885 \h </w:instrText>
      </w:r>
      <w:r>
        <w:fldChar w:fldCharType="separate"/>
      </w:r>
      <w:r>
        <w:t>41</w:t>
      </w:r>
      <w:r>
        <w:fldChar w:fldCharType="end"/>
      </w:r>
    </w:p>
    <w:p>
      <w:pPr>
        <w:pStyle w:val="TOC8"/>
        <w:rPr>
          <w:rFonts w:asciiTheme="minorHAnsi" w:eastAsiaTheme="minorEastAsia" w:hAnsiTheme="minorHAnsi" w:cstheme="minorBidi"/>
          <w:szCs w:val="22"/>
        </w:rPr>
      </w:pPr>
      <w:r>
        <w:t>56.</w:t>
      </w:r>
      <w:r>
        <w:tab/>
        <w:t>Parliament may disallow scheme or amendment</w:t>
      </w:r>
      <w:r>
        <w:tab/>
      </w:r>
      <w:r>
        <w:fldChar w:fldCharType="begin"/>
      </w:r>
      <w:r>
        <w:instrText xml:space="preserve"> PAGEREF _Toc155165886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Submission and approval of minor amendments to region planning schemes</w:t>
      </w:r>
    </w:p>
    <w:p>
      <w:pPr>
        <w:pStyle w:val="TOC8"/>
        <w:rPr>
          <w:rFonts w:asciiTheme="minorHAnsi" w:eastAsiaTheme="minorEastAsia" w:hAnsiTheme="minorHAnsi" w:cstheme="minorBidi"/>
          <w:szCs w:val="22"/>
        </w:rPr>
      </w:pPr>
      <w:r>
        <w:t>56A.</w:t>
      </w:r>
      <w:r>
        <w:tab/>
        <w:t>Term used: minor region planning scheme amendment</w:t>
      </w:r>
      <w:r>
        <w:tab/>
      </w:r>
      <w:r>
        <w:fldChar w:fldCharType="begin"/>
      </w:r>
      <w:r>
        <w:instrText xml:space="preserve"> PAGEREF _Toc155165888 \h </w:instrText>
      </w:r>
      <w:r>
        <w:fldChar w:fldCharType="separate"/>
      </w:r>
      <w:r>
        <w:t>43</w:t>
      </w:r>
      <w:r>
        <w:fldChar w:fldCharType="end"/>
      </w:r>
    </w:p>
    <w:p>
      <w:pPr>
        <w:pStyle w:val="TOC8"/>
        <w:rPr>
          <w:rFonts w:asciiTheme="minorHAnsi" w:eastAsiaTheme="minorEastAsia" w:hAnsiTheme="minorHAnsi" w:cstheme="minorBidi"/>
          <w:szCs w:val="22"/>
        </w:rPr>
      </w:pPr>
      <w:r>
        <w:t>57.</w:t>
      </w:r>
      <w:r>
        <w:tab/>
        <w:t>Proposed minor amendment may be submitted and approved under this Division</w:t>
      </w:r>
      <w:r>
        <w:tab/>
      </w:r>
      <w:r>
        <w:fldChar w:fldCharType="begin"/>
      </w:r>
      <w:r>
        <w:instrText xml:space="preserve"> PAGEREF _Toc155165889 \h </w:instrText>
      </w:r>
      <w:r>
        <w:fldChar w:fldCharType="separate"/>
      </w:r>
      <w:r>
        <w:t>43</w:t>
      </w:r>
      <w:r>
        <w:fldChar w:fldCharType="end"/>
      </w:r>
    </w:p>
    <w:p>
      <w:pPr>
        <w:pStyle w:val="TOC8"/>
        <w:rPr>
          <w:rFonts w:asciiTheme="minorHAnsi" w:eastAsiaTheme="minorEastAsia" w:hAnsiTheme="minorHAnsi" w:cstheme="minorBidi"/>
          <w:szCs w:val="22"/>
        </w:rPr>
      </w:pPr>
      <w:r>
        <w:t>61.</w:t>
      </w:r>
      <w:r>
        <w:tab/>
        <w:t>Minister not to approve proposed minor amendment in some cases</w:t>
      </w:r>
      <w:r>
        <w:tab/>
      </w:r>
      <w:r>
        <w:fldChar w:fldCharType="begin"/>
      </w:r>
      <w:r>
        <w:instrText xml:space="preserve"> PAGEREF _Toc155165890 \h </w:instrText>
      </w:r>
      <w:r>
        <w:fldChar w:fldCharType="separate"/>
      </w:r>
      <w:r>
        <w:t>43</w:t>
      </w:r>
      <w:r>
        <w:fldChar w:fldCharType="end"/>
      </w:r>
    </w:p>
    <w:p>
      <w:pPr>
        <w:pStyle w:val="TOC8"/>
        <w:rPr>
          <w:rFonts w:asciiTheme="minorHAnsi" w:eastAsiaTheme="minorEastAsia" w:hAnsiTheme="minorHAnsi" w:cstheme="minorBidi"/>
          <w:szCs w:val="22"/>
        </w:rPr>
      </w:pPr>
      <w:r>
        <w:t>62.</w:t>
      </w:r>
      <w:r>
        <w:tab/>
        <w:t>Minister may approve or decline to approve minor amendment</w:t>
      </w:r>
      <w:r>
        <w:tab/>
      </w:r>
      <w:r>
        <w:fldChar w:fldCharType="begin"/>
      </w:r>
      <w:r>
        <w:instrText xml:space="preserve"> PAGEREF _Toc155165891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4A — Withdrawal of region planning scheme or amendment</w:t>
      </w:r>
    </w:p>
    <w:p>
      <w:pPr>
        <w:pStyle w:val="TOC8"/>
        <w:rPr>
          <w:rFonts w:asciiTheme="minorHAnsi" w:eastAsiaTheme="minorEastAsia" w:hAnsiTheme="minorHAnsi" w:cstheme="minorBidi"/>
          <w:szCs w:val="22"/>
        </w:rPr>
      </w:pPr>
      <w:r>
        <w:t>62A.</w:t>
      </w:r>
      <w:r>
        <w:tab/>
        <w:t>Minister may withdraw or direct withdrawal of proposed scheme or amendment</w:t>
      </w:r>
      <w:r>
        <w:tab/>
      </w:r>
      <w:r>
        <w:fldChar w:fldCharType="begin"/>
      </w:r>
      <w:r>
        <w:instrText xml:space="preserve"> PAGEREF _Toc155165893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Consolidation of region planning scheme</w:t>
      </w:r>
    </w:p>
    <w:p>
      <w:pPr>
        <w:pStyle w:val="TOC8"/>
        <w:rPr>
          <w:rFonts w:asciiTheme="minorHAnsi" w:eastAsiaTheme="minorEastAsia" w:hAnsiTheme="minorHAnsi" w:cstheme="minorBidi"/>
          <w:szCs w:val="22"/>
        </w:rPr>
      </w:pPr>
      <w:r>
        <w:t>63.</w:t>
      </w:r>
      <w:r>
        <w:tab/>
        <w:t>Minister may direct consolidation</w:t>
      </w:r>
      <w:r>
        <w:tab/>
      </w:r>
      <w:r>
        <w:fldChar w:fldCharType="begin"/>
      </w:r>
      <w:r>
        <w:instrText xml:space="preserve"> PAGEREF _Toc155165895 \h </w:instrText>
      </w:r>
      <w:r>
        <w:fldChar w:fldCharType="separate"/>
      </w:r>
      <w:r>
        <w:t>46</w:t>
      </w:r>
      <w:r>
        <w:fldChar w:fldCharType="end"/>
      </w:r>
    </w:p>
    <w:p>
      <w:pPr>
        <w:pStyle w:val="TOC8"/>
        <w:rPr>
          <w:rFonts w:asciiTheme="minorHAnsi" w:eastAsiaTheme="minorEastAsia" w:hAnsiTheme="minorHAnsi" w:cstheme="minorBidi"/>
          <w:szCs w:val="22"/>
        </w:rPr>
      </w:pPr>
      <w:r>
        <w:lastRenderedPageBreak/>
        <w:t>64.</w:t>
      </w:r>
      <w:r>
        <w:tab/>
        <w:t>Maps, plans, diagrams may be added or substituted</w:t>
      </w:r>
      <w:r>
        <w:tab/>
      </w:r>
      <w:r>
        <w:fldChar w:fldCharType="begin"/>
      </w:r>
      <w:r>
        <w:instrText xml:space="preserve"> PAGEREF _Toc155165896 \h </w:instrText>
      </w:r>
      <w:r>
        <w:fldChar w:fldCharType="separate"/>
      </w:r>
      <w:r>
        <w:t>46</w:t>
      </w:r>
      <w:r>
        <w:fldChar w:fldCharType="end"/>
      </w:r>
    </w:p>
    <w:p>
      <w:pPr>
        <w:pStyle w:val="TOC8"/>
        <w:rPr>
          <w:rFonts w:asciiTheme="minorHAnsi" w:eastAsiaTheme="minorEastAsia" w:hAnsiTheme="minorHAnsi" w:cstheme="minorBidi"/>
          <w:szCs w:val="22"/>
        </w:rPr>
      </w:pPr>
      <w:r>
        <w:t>65.</w:t>
      </w:r>
      <w:r>
        <w:tab/>
        <w:t>Certification and delivery of consolidation</w:t>
      </w:r>
      <w:r>
        <w:tab/>
      </w:r>
      <w:r>
        <w:fldChar w:fldCharType="begin"/>
      </w:r>
      <w:r>
        <w:instrText xml:space="preserve"> PAGEREF _Toc155165897 \h </w:instrText>
      </w:r>
      <w:r>
        <w:fldChar w:fldCharType="separate"/>
      </w:r>
      <w:r>
        <w:t>47</w:t>
      </w:r>
      <w:r>
        <w:fldChar w:fldCharType="end"/>
      </w:r>
    </w:p>
    <w:p>
      <w:pPr>
        <w:pStyle w:val="TOC8"/>
        <w:rPr>
          <w:rFonts w:asciiTheme="minorHAnsi" w:eastAsiaTheme="minorEastAsia" w:hAnsiTheme="minorHAnsi" w:cstheme="minorBidi"/>
          <w:szCs w:val="22"/>
        </w:rPr>
      </w:pPr>
      <w:r>
        <w:t>66.</w:t>
      </w:r>
      <w:r>
        <w:tab/>
        <w:t>Proof of consolidation</w:t>
      </w:r>
      <w:r>
        <w:tab/>
      </w:r>
      <w:r>
        <w:fldChar w:fldCharType="begin"/>
      </w:r>
      <w:r>
        <w:instrText xml:space="preserve"> PAGEREF _Toc155165898 \h </w:instrText>
      </w:r>
      <w:r>
        <w:fldChar w:fldCharType="separate"/>
      </w:r>
      <w:r>
        <w:t>47</w:t>
      </w:r>
      <w:r>
        <w:fldChar w:fldCharType="end"/>
      </w:r>
    </w:p>
    <w:p>
      <w:pPr>
        <w:pStyle w:val="TOC8"/>
        <w:rPr>
          <w:rFonts w:asciiTheme="minorHAnsi" w:eastAsiaTheme="minorEastAsia" w:hAnsiTheme="minorHAnsi" w:cstheme="minorBidi"/>
          <w:szCs w:val="22"/>
        </w:rPr>
      </w:pPr>
      <w:r>
        <w:t>67.</w:t>
      </w:r>
      <w:r>
        <w:tab/>
        <w:t>Consolidation of portion of region planning scheme</w:t>
      </w:r>
      <w:r>
        <w:tab/>
      </w:r>
      <w:r>
        <w:fldChar w:fldCharType="begin"/>
      </w:r>
      <w:r>
        <w:instrText xml:space="preserve"> PAGEREF _Toc155165899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Local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local planning schemes</w:t>
      </w:r>
    </w:p>
    <w:p>
      <w:pPr>
        <w:pStyle w:val="TOC8"/>
        <w:rPr>
          <w:rFonts w:asciiTheme="minorHAnsi" w:eastAsiaTheme="minorEastAsia" w:hAnsiTheme="minorHAnsi" w:cstheme="minorBidi"/>
          <w:szCs w:val="22"/>
        </w:rPr>
      </w:pPr>
      <w:r>
        <w:t>68.</w:t>
      </w:r>
      <w:r>
        <w:tab/>
        <w:t>Town planning schemes under repealed Act, effect of</w:t>
      </w:r>
      <w:r>
        <w:tab/>
      </w:r>
      <w:r>
        <w:fldChar w:fldCharType="begin"/>
      </w:r>
      <w:r>
        <w:instrText xml:space="preserve"> PAGEREF _Toc155165902 \h </w:instrText>
      </w:r>
      <w:r>
        <w:fldChar w:fldCharType="separate"/>
      </w:r>
      <w:r>
        <w:t>48</w:t>
      </w:r>
      <w:r>
        <w:fldChar w:fldCharType="end"/>
      </w:r>
    </w:p>
    <w:p>
      <w:pPr>
        <w:pStyle w:val="TOC8"/>
        <w:rPr>
          <w:rFonts w:asciiTheme="minorHAnsi" w:eastAsiaTheme="minorEastAsia" w:hAnsiTheme="minorHAnsi" w:cstheme="minorBidi"/>
          <w:szCs w:val="22"/>
        </w:rPr>
      </w:pPr>
      <w:r>
        <w:t>69.</w:t>
      </w:r>
      <w:r>
        <w:tab/>
        <w:t>General objects of schemes</w:t>
      </w:r>
      <w:r>
        <w:tab/>
      </w:r>
      <w:r>
        <w:fldChar w:fldCharType="begin"/>
      </w:r>
      <w:r>
        <w:instrText xml:space="preserve"> PAGEREF _Toc155165903 \h </w:instrText>
      </w:r>
      <w:r>
        <w:fldChar w:fldCharType="separate"/>
      </w:r>
      <w:r>
        <w:t>48</w:t>
      </w:r>
      <w:r>
        <w:fldChar w:fldCharType="end"/>
      </w:r>
    </w:p>
    <w:p>
      <w:pPr>
        <w:pStyle w:val="TOC8"/>
        <w:rPr>
          <w:rFonts w:asciiTheme="minorHAnsi" w:eastAsiaTheme="minorEastAsia" w:hAnsiTheme="minorHAnsi" w:cstheme="minorBidi"/>
          <w:szCs w:val="22"/>
        </w:rPr>
      </w:pPr>
      <w:r>
        <w:t>70.</w:t>
      </w:r>
      <w:r>
        <w:tab/>
        <w:t>Scheme may be made for land outside scheme or be concurrent with another scheme</w:t>
      </w:r>
      <w:r>
        <w:tab/>
      </w:r>
      <w:r>
        <w:fldChar w:fldCharType="begin"/>
      </w:r>
      <w:r>
        <w:instrText xml:space="preserve"> PAGEREF _Toc155165904 \h </w:instrText>
      </w:r>
      <w:r>
        <w:fldChar w:fldCharType="separate"/>
      </w:r>
      <w:r>
        <w:t>49</w:t>
      </w:r>
      <w:r>
        <w:fldChar w:fldCharType="end"/>
      </w:r>
    </w:p>
    <w:p>
      <w:pPr>
        <w:pStyle w:val="TOC8"/>
        <w:rPr>
          <w:rFonts w:asciiTheme="minorHAnsi" w:eastAsiaTheme="minorEastAsia" w:hAnsiTheme="minorHAnsi" w:cstheme="minorBidi"/>
          <w:szCs w:val="22"/>
        </w:rPr>
      </w:pPr>
      <w:r>
        <w:t>71.</w:t>
      </w:r>
      <w:r>
        <w:tab/>
        <w:t>Scheme not to apply to redevelopment area or Swan Valley</w:t>
      </w:r>
      <w:r>
        <w:tab/>
      </w:r>
      <w:r>
        <w:fldChar w:fldCharType="begin"/>
      </w:r>
      <w:r>
        <w:instrText xml:space="preserve"> PAGEREF _Toc155165905 \h </w:instrText>
      </w:r>
      <w:r>
        <w:fldChar w:fldCharType="separate"/>
      </w:r>
      <w:r>
        <w:t>49</w:t>
      </w:r>
      <w:r>
        <w:fldChar w:fldCharType="end"/>
      </w:r>
    </w:p>
    <w:p>
      <w:pPr>
        <w:pStyle w:val="TOC8"/>
        <w:rPr>
          <w:rFonts w:asciiTheme="minorHAnsi" w:eastAsiaTheme="minorEastAsia" w:hAnsiTheme="minorHAnsi" w:cstheme="minorBidi"/>
          <w:szCs w:val="22"/>
        </w:rPr>
      </w:pPr>
      <w:r>
        <w:t>72.</w:t>
      </w:r>
      <w:r>
        <w:tab/>
        <w:t>Local government may prepare or adopt scheme</w:t>
      </w:r>
      <w:r>
        <w:tab/>
      </w:r>
      <w:r>
        <w:fldChar w:fldCharType="begin"/>
      </w:r>
      <w:r>
        <w:instrText xml:space="preserve"> PAGEREF _Toc155165906 \h </w:instrText>
      </w:r>
      <w:r>
        <w:fldChar w:fldCharType="separate"/>
      </w:r>
      <w:r>
        <w:t>50</w:t>
      </w:r>
      <w:r>
        <w:fldChar w:fldCharType="end"/>
      </w:r>
    </w:p>
    <w:p>
      <w:pPr>
        <w:pStyle w:val="TOC8"/>
        <w:rPr>
          <w:rFonts w:asciiTheme="minorHAnsi" w:eastAsiaTheme="minorEastAsia" w:hAnsiTheme="minorHAnsi" w:cstheme="minorBidi"/>
          <w:szCs w:val="22"/>
        </w:rPr>
      </w:pPr>
      <w:r>
        <w:t>73.</w:t>
      </w:r>
      <w:r>
        <w:tab/>
        <w:t>Contents of scheme</w:t>
      </w:r>
      <w:r>
        <w:tab/>
      </w:r>
      <w:r>
        <w:fldChar w:fldCharType="begin"/>
      </w:r>
      <w:r>
        <w:instrText xml:space="preserve"> PAGEREF _Toc155165907 \h </w:instrText>
      </w:r>
      <w:r>
        <w:fldChar w:fldCharType="separate"/>
      </w:r>
      <w:r>
        <w:t>50</w:t>
      </w:r>
      <w:r>
        <w:fldChar w:fldCharType="end"/>
      </w:r>
    </w:p>
    <w:p>
      <w:pPr>
        <w:pStyle w:val="TOC8"/>
        <w:rPr>
          <w:rFonts w:asciiTheme="minorHAnsi" w:eastAsiaTheme="minorEastAsia" w:hAnsiTheme="minorHAnsi" w:cstheme="minorBidi"/>
          <w:szCs w:val="22"/>
        </w:rPr>
      </w:pPr>
      <w:r>
        <w:t>74.</w:t>
      </w:r>
      <w:r>
        <w:tab/>
        <w:t>Repealing scheme</w:t>
      </w:r>
      <w:r>
        <w:tab/>
      </w:r>
      <w:r>
        <w:fldChar w:fldCharType="begin"/>
      </w:r>
      <w:r>
        <w:instrText xml:space="preserve"> PAGEREF _Toc155165908 \h </w:instrText>
      </w:r>
      <w:r>
        <w:fldChar w:fldCharType="separate"/>
      </w:r>
      <w:r>
        <w:t>51</w:t>
      </w:r>
      <w:r>
        <w:fldChar w:fldCharType="end"/>
      </w:r>
    </w:p>
    <w:p>
      <w:pPr>
        <w:pStyle w:val="TOC8"/>
        <w:rPr>
          <w:rFonts w:asciiTheme="minorHAnsi" w:eastAsiaTheme="minorEastAsia" w:hAnsiTheme="minorHAnsi" w:cstheme="minorBidi"/>
          <w:szCs w:val="22"/>
        </w:rPr>
      </w:pPr>
      <w:r>
        <w:t>75.</w:t>
      </w:r>
      <w:r>
        <w:tab/>
        <w:t>Amending scheme</w:t>
      </w:r>
      <w:r>
        <w:tab/>
      </w:r>
      <w:r>
        <w:fldChar w:fldCharType="begin"/>
      </w:r>
      <w:r>
        <w:instrText xml:space="preserve"> PAGEREF _Toc155165909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Minister’s powers in relation to local planning schemes</w:t>
      </w:r>
    </w:p>
    <w:p>
      <w:pPr>
        <w:pStyle w:val="TOC8"/>
        <w:rPr>
          <w:rFonts w:asciiTheme="minorHAnsi" w:eastAsiaTheme="minorEastAsia" w:hAnsiTheme="minorHAnsi" w:cstheme="minorBidi"/>
          <w:szCs w:val="22"/>
        </w:rPr>
      </w:pPr>
      <w:r>
        <w:t>76.</w:t>
      </w:r>
      <w:r>
        <w:tab/>
        <w:t>Minister may order local government to prepare or adopt scheme or amendment</w:t>
      </w:r>
      <w:r>
        <w:tab/>
      </w:r>
      <w:r>
        <w:fldChar w:fldCharType="begin"/>
      </w:r>
      <w:r>
        <w:instrText xml:space="preserve"> PAGEREF _Toc155165911 \h </w:instrText>
      </w:r>
      <w:r>
        <w:fldChar w:fldCharType="separate"/>
      </w:r>
      <w:r>
        <w:t>52</w:t>
      </w:r>
      <w:r>
        <w:fldChar w:fldCharType="end"/>
      </w:r>
    </w:p>
    <w:p>
      <w:pPr>
        <w:pStyle w:val="TOC8"/>
        <w:rPr>
          <w:rFonts w:asciiTheme="minorHAnsi" w:eastAsiaTheme="minorEastAsia" w:hAnsiTheme="minorHAnsi" w:cstheme="minorBidi"/>
          <w:szCs w:val="22"/>
        </w:rPr>
      </w:pPr>
      <w:r>
        <w:t>77A.</w:t>
      </w:r>
      <w:r>
        <w:tab/>
        <w:t>Minister may order local government to amend scheme to be consistent with State planning policy</w:t>
      </w:r>
      <w:r>
        <w:tab/>
      </w:r>
      <w:r>
        <w:fldChar w:fldCharType="begin"/>
      </w:r>
      <w:r>
        <w:instrText xml:space="preserve"> PAGEREF _Toc155165912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Relevant considerations in preparation or amendment of local planning scheme</w:t>
      </w:r>
    </w:p>
    <w:p>
      <w:pPr>
        <w:pStyle w:val="TOC8"/>
        <w:rPr>
          <w:rFonts w:asciiTheme="minorHAnsi" w:eastAsiaTheme="minorEastAsia" w:hAnsiTheme="minorHAnsi" w:cstheme="minorBidi"/>
          <w:szCs w:val="22"/>
        </w:rPr>
      </w:pPr>
      <w:r>
        <w:t>77.</w:t>
      </w:r>
      <w:r>
        <w:tab/>
        <w:t>State planning policies, effect of on scheme</w:t>
      </w:r>
      <w:r>
        <w:tab/>
      </w:r>
      <w:r>
        <w:fldChar w:fldCharType="begin"/>
      </w:r>
      <w:r>
        <w:instrText xml:space="preserve"> PAGEREF _Toc155165914 \h </w:instrText>
      </w:r>
      <w:r>
        <w:fldChar w:fldCharType="separate"/>
      </w:r>
      <w:r>
        <w:t>54</w:t>
      </w:r>
      <w:r>
        <w:fldChar w:fldCharType="end"/>
      </w:r>
    </w:p>
    <w:p>
      <w:pPr>
        <w:pStyle w:val="TOC8"/>
        <w:rPr>
          <w:rFonts w:asciiTheme="minorHAnsi" w:eastAsiaTheme="minorEastAsia" w:hAnsiTheme="minorHAnsi" w:cstheme="minorBidi"/>
          <w:szCs w:val="22"/>
        </w:rPr>
      </w:pPr>
      <w:r>
        <w:t>79.</w:t>
      </w:r>
      <w:r>
        <w:tab/>
        <w:t>Heritage Council’s advice to be sought in some cases</w:t>
      </w:r>
      <w:r>
        <w:tab/>
      </w:r>
      <w:r>
        <w:fldChar w:fldCharType="begin"/>
      </w:r>
      <w:r>
        <w:instrText xml:space="preserve"> PAGEREF _Toc155165915 \h </w:instrText>
      </w:r>
      <w:r>
        <w:fldChar w:fldCharType="separate"/>
      </w:r>
      <w:r>
        <w:t>55</w:t>
      </w:r>
      <w:r>
        <w:fldChar w:fldCharType="end"/>
      </w:r>
    </w:p>
    <w:p>
      <w:pPr>
        <w:pStyle w:val="TOC8"/>
        <w:rPr>
          <w:rFonts w:asciiTheme="minorHAnsi" w:eastAsiaTheme="minorEastAsia" w:hAnsiTheme="minorHAnsi" w:cstheme="minorBidi"/>
          <w:szCs w:val="22"/>
        </w:rPr>
      </w:pPr>
      <w:r>
        <w:t>80.</w:t>
      </w:r>
      <w:r>
        <w:tab/>
        <w:t>Swan and Canning Rivers management programme, effect of</w:t>
      </w:r>
      <w:r>
        <w:tab/>
      </w:r>
      <w:r>
        <w:fldChar w:fldCharType="begin"/>
      </w:r>
      <w:r>
        <w:instrText xml:space="preserve"> PAGEREF _Toc155165916 \h </w:instrText>
      </w:r>
      <w:r>
        <w:fldChar w:fldCharType="separate"/>
      </w:r>
      <w:r>
        <w:t>55</w:t>
      </w:r>
      <w:r>
        <w:fldChar w:fldCharType="end"/>
      </w:r>
    </w:p>
    <w:p>
      <w:pPr>
        <w:pStyle w:val="TOC8"/>
        <w:rPr>
          <w:rFonts w:asciiTheme="minorHAnsi" w:eastAsiaTheme="minorEastAsia" w:hAnsiTheme="minorHAnsi" w:cstheme="minorBidi"/>
          <w:szCs w:val="22"/>
        </w:rPr>
      </w:pPr>
      <w:r>
        <w:t>81.</w:t>
      </w:r>
      <w:r>
        <w:tab/>
        <w:t>Referral of proposed scheme or amendment to EPA</w:t>
      </w:r>
      <w:r>
        <w:tab/>
      </w:r>
      <w:r>
        <w:fldChar w:fldCharType="begin"/>
      </w:r>
      <w:r>
        <w:instrText xml:space="preserve"> PAGEREF _Toc155165917 \h </w:instrText>
      </w:r>
      <w:r>
        <w:fldChar w:fldCharType="separate"/>
      </w:r>
      <w:r>
        <w:t>56</w:t>
      </w:r>
      <w:r>
        <w:fldChar w:fldCharType="end"/>
      </w:r>
    </w:p>
    <w:p>
      <w:pPr>
        <w:pStyle w:val="TOC8"/>
        <w:rPr>
          <w:rFonts w:asciiTheme="minorHAnsi" w:eastAsiaTheme="minorEastAsia" w:hAnsiTheme="minorHAnsi" w:cstheme="minorBidi"/>
          <w:szCs w:val="22"/>
        </w:rPr>
      </w:pPr>
      <w:r>
        <w:t>82.</w:t>
      </w:r>
      <w:r>
        <w:tab/>
        <w:t>Environmental review, when required etc.</w:t>
      </w:r>
      <w:r>
        <w:tab/>
      </w:r>
      <w:r>
        <w:fldChar w:fldCharType="begin"/>
      </w:r>
      <w:r>
        <w:instrText xml:space="preserve"> PAGEREF _Toc155165918 \h </w:instrText>
      </w:r>
      <w:r>
        <w:fldChar w:fldCharType="separate"/>
      </w:r>
      <w:r>
        <w:t>56</w:t>
      </w:r>
      <w:r>
        <w:fldChar w:fldCharType="end"/>
      </w:r>
    </w:p>
    <w:p>
      <w:pPr>
        <w:pStyle w:val="TOC8"/>
        <w:rPr>
          <w:rFonts w:asciiTheme="minorHAnsi" w:eastAsiaTheme="minorEastAsia" w:hAnsiTheme="minorHAnsi" w:cstheme="minorBidi"/>
          <w:szCs w:val="22"/>
        </w:rPr>
      </w:pPr>
      <w:r>
        <w:t>83.</w:t>
      </w:r>
      <w:r>
        <w:tab/>
        <w:t>Consultation requirements</w:t>
      </w:r>
      <w:r>
        <w:tab/>
      </w:r>
      <w:r>
        <w:fldChar w:fldCharType="begin"/>
      </w:r>
      <w:r>
        <w:instrText xml:space="preserve"> PAGEREF _Toc155165919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Advertisement and approval</w:t>
      </w:r>
    </w:p>
    <w:p>
      <w:pPr>
        <w:pStyle w:val="TOC8"/>
        <w:rPr>
          <w:rFonts w:asciiTheme="minorHAnsi" w:eastAsiaTheme="minorEastAsia" w:hAnsiTheme="minorHAnsi" w:cstheme="minorBidi"/>
          <w:szCs w:val="22"/>
        </w:rPr>
      </w:pPr>
      <w:r>
        <w:t>83A.</w:t>
      </w:r>
      <w:r>
        <w:tab/>
        <w:t>Proposed scheme or amendment to be submitted to Minister for approval to advertise</w:t>
      </w:r>
      <w:r>
        <w:tab/>
      </w:r>
      <w:r>
        <w:fldChar w:fldCharType="begin"/>
      </w:r>
      <w:r>
        <w:instrText xml:space="preserve"> PAGEREF _Toc155165921 \h </w:instrText>
      </w:r>
      <w:r>
        <w:fldChar w:fldCharType="separate"/>
      </w:r>
      <w:r>
        <w:t>58</w:t>
      </w:r>
      <w:r>
        <w:fldChar w:fldCharType="end"/>
      </w:r>
    </w:p>
    <w:p>
      <w:pPr>
        <w:pStyle w:val="TOC8"/>
        <w:rPr>
          <w:rFonts w:asciiTheme="minorHAnsi" w:eastAsiaTheme="minorEastAsia" w:hAnsiTheme="minorHAnsi" w:cstheme="minorBidi"/>
          <w:szCs w:val="22"/>
        </w:rPr>
      </w:pPr>
      <w:r>
        <w:t>84.</w:t>
      </w:r>
      <w:r>
        <w:tab/>
        <w:t>Advertising proposed scheme or amendment</w:t>
      </w:r>
      <w:r>
        <w:tab/>
      </w:r>
      <w:r>
        <w:fldChar w:fldCharType="begin"/>
      </w:r>
      <w:r>
        <w:instrText xml:space="preserve"> PAGEREF _Toc155165922 \h </w:instrText>
      </w:r>
      <w:r>
        <w:fldChar w:fldCharType="separate"/>
      </w:r>
      <w:r>
        <w:t>59</w:t>
      </w:r>
      <w:r>
        <w:fldChar w:fldCharType="end"/>
      </w:r>
    </w:p>
    <w:p>
      <w:pPr>
        <w:pStyle w:val="TOC8"/>
        <w:rPr>
          <w:rFonts w:asciiTheme="minorHAnsi" w:eastAsiaTheme="minorEastAsia" w:hAnsiTheme="minorHAnsi" w:cstheme="minorBidi"/>
          <w:szCs w:val="22"/>
        </w:rPr>
      </w:pPr>
      <w:r>
        <w:t>85.</w:t>
      </w:r>
      <w:r>
        <w:tab/>
        <w:t>Local government’s duties if proposed scheme or amendment to be assessed under EP Act</w:t>
      </w:r>
      <w:r>
        <w:tab/>
      </w:r>
      <w:r>
        <w:fldChar w:fldCharType="begin"/>
      </w:r>
      <w:r>
        <w:instrText xml:space="preserve"> PAGEREF _Toc155165923 \h </w:instrText>
      </w:r>
      <w:r>
        <w:fldChar w:fldCharType="separate"/>
      </w:r>
      <w:r>
        <w:t>59</w:t>
      </w:r>
      <w:r>
        <w:fldChar w:fldCharType="end"/>
      </w:r>
    </w:p>
    <w:p>
      <w:pPr>
        <w:pStyle w:val="TOC8"/>
        <w:rPr>
          <w:rFonts w:asciiTheme="minorHAnsi" w:eastAsiaTheme="minorEastAsia" w:hAnsiTheme="minorHAnsi" w:cstheme="minorBidi"/>
          <w:szCs w:val="22"/>
        </w:rPr>
      </w:pPr>
      <w:r>
        <w:t>86.</w:t>
      </w:r>
      <w:r>
        <w:tab/>
        <w:t>Minister not to approve proposed scheme or amendment in some cases</w:t>
      </w:r>
      <w:r>
        <w:tab/>
      </w:r>
      <w:r>
        <w:fldChar w:fldCharType="begin"/>
      </w:r>
      <w:r>
        <w:instrText xml:space="preserve"> PAGEREF _Toc155165924 \h </w:instrText>
      </w:r>
      <w:r>
        <w:fldChar w:fldCharType="separate"/>
      </w:r>
      <w:r>
        <w:t>60</w:t>
      </w:r>
      <w:r>
        <w:fldChar w:fldCharType="end"/>
      </w:r>
    </w:p>
    <w:p>
      <w:pPr>
        <w:pStyle w:val="TOC8"/>
        <w:rPr>
          <w:rFonts w:asciiTheme="minorHAnsi" w:eastAsiaTheme="minorEastAsia" w:hAnsiTheme="minorHAnsi" w:cstheme="minorBidi"/>
          <w:szCs w:val="22"/>
        </w:rPr>
      </w:pPr>
      <w:r>
        <w:t>87.</w:t>
      </w:r>
      <w:r>
        <w:tab/>
        <w:t>Approving and publicising scheme or amendment</w:t>
      </w:r>
      <w:r>
        <w:tab/>
      </w:r>
      <w:r>
        <w:fldChar w:fldCharType="begin"/>
      </w:r>
      <w:r>
        <w:instrText xml:space="preserve"> PAGEREF _Toc155165925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5 — Review of local planning schemes</w:t>
      </w:r>
    </w:p>
    <w:p>
      <w:pPr>
        <w:pStyle w:val="TOC8"/>
        <w:rPr>
          <w:rFonts w:asciiTheme="minorHAnsi" w:eastAsiaTheme="minorEastAsia" w:hAnsiTheme="minorHAnsi" w:cstheme="minorBidi"/>
          <w:szCs w:val="22"/>
        </w:rPr>
      </w:pPr>
      <w:r>
        <w:t>88.</w:t>
      </w:r>
      <w:r>
        <w:tab/>
        <w:t>Consolidated scheme, when to be prepared</w:t>
      </w:r>
      <w:r>
        <w:tab/>
      </w:r>
      <w:r>
        <w:fldChar w:fldCharType="begin"/>
      </w:r>
      <w:r>
        <w:instrText xml:space="preserve"> PAGEREF _Toc155165927 \h </w:instrText>
      </w:r>
      <w:r>
        <w:fldChar w:fldCharType="separate"/>
      </w:r>
      <w:r>
        <w:t>62</w:t>
      </w:r>
      <w:r>
        <w:fldChar w:fldCharType="end"/>
      </w:r>
    </w:p>
    <w:p>
      <w:pPr>
        <w:pStyle w:val="TOC8"/>
        <w:rPr>
          <w:rFonts w:asciiTheme="minorHAnsi" w:eastAsiaTheme="minorEastAsia" w:hAnsiTheme="minorHAnsi" w:cstheme="minorBidi"/>
          <w:szCs w:val="22"/>
        </w:rPr>
      </w:pPr>
      <w:r>
        <w:t>89.</w:t>
      </w:r>
      <w:r>
        <w:tab/>
        <w:t>Consolidated scheme, public submissions to be sought on</w:t>
      </w:r>
      <w:r>
        <w:tab/>
      </w:r>
      <w:r>
        <w:fldChar w:fldCharType="begin"/>
      </w:r>
      <w:r>
        <w:instrText xml:space="preserve"> PAGEREF _Toc155165928 \h </w:instrText>
      </w:r>
      <w:r>
        <w:fldChar w:fldCharType="separate"/>
      </w:r>
      <w:r>
        <w:t>63</w:t>
      </w:r>
      <w:r>
        <w:fldChar w:fldCharType="end"/>
      </w:r>
    </w:p>
    <w:p>
      <w:pPr>
        <w:pStyle w:val="TOC8"/>
        <w:rPr>
          <w:rFonts w:asciiTheme="minorHAnsi" w:eastAsiaTheme="minorEastAsia" w:hAnsiTheme="minorHAnsi" w:cstheme="minorBidi"/>
          <w:szCs w:val="22"/>
        </w:rPr>
      </w:pPr>
      <w:r>
        <w:t>90.</w:t>
      </w:r>
      <w:r>
        <w:tab/>
        <w:t>Consolidated scheme, report on operation of required</w:t>
      </w:r>
      <w:r>
        <w:tab/>
      </w:r>
      <w:r>
        <w:fldChar w:fldCharType="begin"/>
      </w:r>
      <w:r>
        <w:instrText xml:space="preserve"> PAGEREF _Toc155165929 \h </w:instrText>
      </w:r>
      <w:r>
        <w:fldChar w:fldCharType="separate"/>
      </w:r>
      <w:r>
        <w:t>64</w:t>
      </w:r>
      <w:r>
        <w:fldChar w:fldCharType="end"/>
      </w:r>
    </w:p>
    <w:p>
      <w:pPr>
        <w:pStyle w:val="TOC8"/>
        <w:rPr>
          <w:rFonts w:asciiTheme="minorHAnsi" w:eastAsiaTheme="minorEastAsia" w:hAnsiTheme="minorHAnsi" w:cstheme="minorBidi"/>
          <w:szCs w:val="22"/>
        </w:rPr>
      </w:pPr>
      <w:r>
        <w:t>91.</w:t>
      </w:r>
      <w:r>
        <w:tab/>
        <w:t>Procedure if s. 90 report does not recommend change to scheme</w:t>
      </w:r>
      <w:r>
        <w:tab/>
      </w:r>
      <w:r>
        <w:fldChar w:fldCharType="begin"/>
      </w:r>
      <w:r>
        <w:instrText xml:space="preserve"> PAGEREF _Toc155165930 \h </w:instrText>
      </w:r>
      <w:r>
        <w:fldChar w:fldCharType="separate"/>
      </w:r>
      <w:r>
        <w:t>64</w:t>
      </w:r>
      <w:r>
        <w:fldChar w:fldCharType="end"/>
      </w:r>
    </w:p>
    <w:p>
      <w:pPr>
        <w:pStyle w:val="TOC8"/>
        <w:rPr>
          <w:rFonts w:asciiTheme="minorHAnsi" w:eastAsiaTheme="minorEastAsia" w:hAnsiTheme="minorHAnsi" w:cstheme="minorBidi"/>
          <w:szCs w:val="22"/>
        </w:rPr>
      </w:pPr>
      <w:r>
        <w:t>92.</w:t>
      </w:r>
      <w:r>
        <w:tab/>
        <w:t>Procedure if s. 90 report recommends change to scheme</w:t>
      </w:r>
      <w:r>
        <w:tab/>
      </w:r>
      <w:r>
        <w:fldChar w:fldCharType="begin"/>
      </w:r>
      <w:r>
        <w:instrText xml:space="preserve"> PAGEREF _Toc155165931 \h </w:instrText>
      </w:r>
      <w:r>
        <w:fldChar w:fldCharType="separate"/>
      </w:r>
      <w:r>
        <w:t>65</w:t>
      </w:r>
      <w:r>
        <w:fldChar w:fldCharType="end"/>
      </w:r>
    </w:p>
    <w:p>
      <w:pPr>
        <w:pStyle w:val="TOC8"/>
        <w:rPr>
          <w:rFonts w:asciiTheme="minorHAnsi" w:eastAsiaTheme="minorEastAsia" w:hAnsiTheme="minorHAnsi" w:cstheme="minorBidi"/>
          <w:szCs w:val="22"/>
        </w:rPr>
      </w:pPr>
      <w:r>
        <w:t>93.</w:t>
      </w:r>
      <w:r>
        <w:tab/>
        <w:t>Consolidated scheme, effect of publication of</w:t>
      </w:r>
      <w:r>
        <w:tab/>
      </w:r>
      <w:r>
        <w:fldChar w:fldCharType="begin"/>
      </w:r>
      <w:r>
        <w:instrText xml:space="preserve"> PAGEREF _Toc155165932 \h </w:instrText>
      </w:r>
      <w:r>
        <w:fldChar w:fldCharType="separate"/>
      </w:r>
      <w:r>
        <w:t>66</w:t>
      </w:r>
      <w:r>
        <w:fldChar w:fldCharType="end"/>
      </w:r>
    </w:p>
    <w:p>
      <w:pPr>
        <w:pStyle w:val="TOC8"/>
        <w:rPr>
          <w:rFonts w:asciiTheme="minorHAnsi" w:eastAsiaTheme="minorEastAsia" w:hAnsiTheme="minorHAnsi" w:cstheme="minorBidi"/>
          <w:szCs w:val="22"/>
        </w:rPr>
      </w:pPr>
      <w:r>
        <w:t>94.</w:t>
      </w:r>
      <w:r>
        <w:tab/>
        <w:t>Procedure if new scheme prepared following s. 90 report</w:t>
      </w:r>
      <w:r>
        <w:tab/>
      </w:r>
      <w:r>
        <w:fldChar w:fldCharType="begin"/>
      </w:r>
      <w:r>
        <w:instrText xml:space="preserve"> PAGEREF _Toc155165933 \h </w:instrText>
      </w:r>
      <w:r>
        <w:fldChar w:fldCharType="separate"/>
      </w:r>
      <w:r>
        <w:t>66</w:t>
      </w:r>
      <w:r>
        <w:fldChar w:fldCharType="end"/>
      </w:r>
    </w:p>
    <w:p>
      <w:pPr>
        <w:pStyle w:val="TOC8"/>
        <w:rPr>
          <w:rFonts w:asciiTheme="minorHAnsi" w:eastAsiaTheme="minorEastAsia" w:hAnsiTheme="minorHAnsi" w:cstheme="minorBidi"/>
          <w:szCs w:val="22"/>
        </w:rPr>
      </w:pPr>
      <w:r>
        <w:t>95.</w:t>
      </w:r>
      <w:r>
        <w:tab/>
        <w:t>Procedure if scheme repealed following s. 90 report</w:t>
      </w:r>
      <w:r>
        <w:tab/>
      </w:r>
      <w:r>
        <w:fldChar w:fldCharType="begin"/>
      </w:r>
      <w:r>
        <w:instrText xml:space="preserve"> PAGEREF _Toc155165934 \h </w:instrText>
      </w:r>
      <w:r>
        <w:fldChar w:fldCharType="separate"/>
      </w:r>
      <w:r>
        <w:t>67</w:t>
      </w:r>
      <w:r>
        <w:fldChar w:fldCharType="end"/>
      </w:r>
    </w:p>
    <w:p>
      <w:pPr>
        <w:pStyle w:val="TOC8"/>
        <w:rPr>
          <w:rFonts w:asciiTheme="minorHAnsi" w:eastAsiaTheme="minorEastAsia" w:hAnsiTheme="minorHAnsi" w:cstheme="minorBidi"/>
          <w:szCs w:val="22"/>
        </w:rPr>
      </w:pPr>
      <w:r>
        <w:t>96.</w:t>
      </w:r>
      <w:r>
        <w:tab/>
        <w:t>Consolidation of 2 or more schemes, when this Div. applies to</w:t>
      </w:r>
      <w:r>
        <w:tab/>
      </w:r>
      <w:r>
        <w:fldChar w:fldCharType="begin"/>
      </w:r>
      <w:r>
        <w:instrText xml:space="preserve"> PAGEREF _Toc155165935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6 — Crown land</w:t>
      </w:r>
    </w:p>
    <w:p>
      <w:pPr>
        <w:pStyle w:val="TOC8"/>
        <w:rPr>
          <w:rFonts w:asciiTheme="minorHAnsi" w:eastAsiaTheme="minorEastAsia" w:hAnsiTheme="minorHAnsi" w:cstheme="minorBidi"/>
          <w:szCs w:val="22"/>
        </w:rPr>
      </w:pPr>
      <w:r>
        <w:t>97.</w:t>
      </w:r>
      <w:r>
        <w:tab/>
        <w:t>Schemes for Crown lands</w:t>
      </w:r>
      <w:r>
        <w:tab/>
      </w:r>
      <w:r>
        <w:fldChar w:fldCharType="begin"/>
      </w:r>
      <w:r>
        <w:instrText xml:space="preserve"> PAGEREF _Toc155165937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6 — Interim development orders</w:t>
      </w:r>
    </w:p>
    <w:p>
      <w:pPr>
        <w:pStyle w:val="TOC4"/>
        <w:tabs>
          <w:tab w:val="right" w:leader="dot" w:pos="7077"/>
        </w:tabs>
        <w:rPr>
          <w:rFonts w:asciiTheme="minorHAnsi" w:eastAsiaTheme="minorEastAsia" w:hAnsiTheme="minorHAnsi" w:cstheme="minorBidi"/>
          <w:b w:val="0"/>
          <w:szCs w:val="22"/>
        </w:rPr>
      </w:pPr>
      <w:r>
        <w:t>Division 1 — Regional interim development orders</w:t>
      </w:r>
    </w:p>
    <w:p>
      <w:pPr>
        <w:pStyle w:val="TOC8"/>
        <w:rPr>
          <w:rFonts w:asciiTheme="minorHAnsi" w:eastAsiaTheme="minorEastAsia" w:hAnsiTheme="minorHAnsi" w:cstheme="minorBidi"/>
          <w:szCs w:val="22"/>
        </w:rPr>
      </w:pPr>
      <w:r>
        <w:t>98.</w:t>
      </w:r>
      <w:r>
        <w:tab/>
        <w:t>Making and purpose of order</w:t>
      </w:r>
      <w:r>
        <w:tab/>
      </w:r>
      <w:r>
        <w:fldChar w:fldCharType="begin"/>
      </w:r>
      <w:r>
        <w:instrText xml:space="preserve"> PAGEREF _Toc155165940 \h </w:instrText>
      </w:r>
      <w:r>
        <w:fldChar w:fldCharType="separate"/>
      </w:r>
      <w:r>
        <w:t>70</w:t>
      </w:r>
      <w:r>
        <w:fldChar w:fldCharType="end"/>
      </w:r>
    </w:p>
    <w:p>
      <w:pPr>
        <w:pStyle w:val="TOC8"/>
        <w:rPr>
          <w:rFonts w:asciiTheme="minorHAnsi" w:eastAsiaTheme="minorEastAsia" w:hAnsiTheme="minorHAnsi" w:cstheme="minorBidi"/>
          <w:szCs w:val="22"/>
        </w:rPr>
      </w:pPr>
      <w:r>
        <w:t>99.</w:t>
      </w:r>
      <w:r>
        <w:tab/>
        <w:t>Contents of order</w:t>
      </w:r>
      <w:r>
        <w:tab/>
      </w:r>
      <w:r>
        <w:fldChar w:fldCharType="begin"/>
      </w:r>
      <w:r>
        <w:instrText xml:space="preserve"> PAGEREF _Toc155165941 \h </w:instrText>
      </w:r>
      <w:r>
        <w:fldChar w:fldCharType="separate"/>
      </w:r>
      <w:r>
        <w:t>71</w:t>
      </w:r>
      <w:r>
        <w:fldChar w:fldCharType="end"/>
      </w:r>
    </w:p>
    <w:p>
      <w:pPr>
        <w:pStyle w:val="TOC8"/>
        <w:rPr>
          <w:rFonts w:asciiTheme="minorHAnsi" w:eastAsiaTheme="minorEastAsia" w:hAnsiTheme="minorHAnsi" w:cstheme="minorBidi"/>
          <w:szCs w:val="22"/>
        </w:rPr>
      </w:pPr>
      <w:r>
        <w:t>100.</w:t>
      </w:r>
      <w:r>
        <w:tab/>
        <w:t>Commission to consult local government on some development applications</w:t>
      </w:r>
      <w:r>
        <w:tab/>
      </w:r>
      <w:r>
        <w:fldChar w:fldCharType="begin"/>
      </w:r>
      <w:r>
        <w:instrText xml:space="preserve"> PAGEREF _Toc155165942 \h </w:instrText>
      </w:r>
      <w:r>
        <w:fldChar w:fldCharType="separate"/>
      </w:r>
      <w:r>
        <w:t>72</w:t>
      </w:r>
      <w:r>
        <w:fldChar w:fldCharType="end"/>
      </w:r>
    </w:p>
    <w:p>
      <w:pPr>
        <w:pStyle w:val="TOC8"/>
        <w:rPr>
          <w:rFonts w:asciiTheme="minorHAnsi" w:eastAsiaTheme="minorEastAsia" w:hAnsiTheme="minorHAnsi" w:cstheme="minorBidi"/>
          <w:szCs w:val="22"/>
        </w:rPr>
      </w:pPr>
      <w:r>
        <w:t>101.</w:t>
      </w:r>
      <w:r>
        <w:tab/>
        <w:t>Restrictions on power to grant development approval</w:t>
      </w:r>
      <w:r>
        <w:tab/>
      </w:r>
      <w:r>
        <w:fldChar w:fldCharType="begin"/>
      </w:r>
      <w:r>
        <w:instrText xml:space="preserve"> PAGEREF _Toc155165943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Local interim development orders</w:t>
      </w:r>
    </w:p>
    <w:p>
      <w:pPr>
        <w:pStyle w:val="TOC8"/>
        <w:rPr>
          <w:rFonts w:asciiTheme="minorHAnsi" w:eastAsiaTheme="minorEastAsia" w:hAnsiTheme="minorHAnsi" w:cstheme="minorBidi"/>
          <w:szCs w:val="22"/>
        </w:rPr>
      </w:pPr>
      <w:r>
        <w:t>102.</w:t>
      </w:r>
      <w:r>
        <w:tab/>
        <w:t>Making and purpose of order</w:t>
      </w:r>
      <w:r>
        <w:tab/>
      </w:r>
      <w:r>
        <w:fldChar w:fldCharType="begin"/>
      </w:r>
      <w:r>
        <w:instrText xml:space="preserve"> PAGEREF _Toc155165945 \h </w:instrText>
      </w:r>
      <w:r>
        <w:fldChar w:fldCharType="separate"/>
      </w:r>
      <w:r>
        <w:t>72</w:t>
      </w:r>
      <w:r>
        <w:fldChar w:fldCharType="end"/>
      </w:r>
    </w:p>
    <w:p>
      <w:pPr>
        <w:pStyle w:val="TOC8"/>
        <w:rPr>
          <w:rFonts w:asciiTheme="minorHAnsi" w:eastAsiaTheme="minorEastAsia" w:hAnsiTheme="minorHAnsi" w:cstheme="minorBidi"/>
          <w:szCs w:val="22"/>
        </w:rPr>
      </w:pPr>
      <w:r>
        <w:t>103.</w:t>
      </w:r>
      <w:r>
        <w:tab/>
        <w:t>Contents of order</w:t>
      </w:r>
      <w:r>
        <w:tab/>
      </w:r>
      <w:r>
        <w:fldChar w:fldCharType="begin"/>
      </w:r>
      <w:r>
        <w:instrText xml:space="preserve"> PAGEREF _Toc155165946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3 — Provisions applying to regional and local interim development orders</w:t>
      </w:r>
    </w:p>
    <w:p>
      <w:pPr>
        <w:pStyle w:val="TOC8"/>
        <w:rPr>
          <w:rFonts w:asciiTheme="minorHAnsi" w:eastAsiaTheme="minorEastAsia" w:hAnsiTheme="minorHAnsi" w:cstheme="minorBidi"/>
          <w:szCs w:val="22"/>
        </w:rPr>
      </w:pPr>
      <w:r>
        <w:t>104.</w:t>
      </w:r>
      <w:r>
        <w:tab/>
        <w:t>Consultation requirements</w:t>
      </w:r>
      <w:r>
        <w:tab/>
      </w:r>
      <w:r>
        <w:fldChar w:fldCharType="begin"/>
      </w:r>
      <w:r>
        <w:instrText xml:space="preserve"> PAGEREF _Toc155165948 \h </w:instrText>
      </w:r>
      <w:r>
        <w:fldChar w:fldCharType="separate"/>
      </w:r>
      <w:r>
        <w:t>74</w:t>
      </w:r>
      <w:r>
        <w:fldChar w:fldCharType="end"/>
      </w:r>
    </w:p>
    <w:p>
      <w:pPr>
        <w:pStyle w:val="TOC8"/>
        <w:rPr>
          <w:rFonts w:asciiTheme="minorHAnsi" w:eastAsiaTheme="minorEastAsia" w:hAnsiTheme="minorHAnsi" w:cstheme="minorBidi"/>
          <w:szCs w:val="22"/>
        </w:rPr>
      </w:pPr>
      <w:r>
        <w:t>105.</w:t>
      </w:r>
      <w:r>
        <w:tab/>
        <w:t>Publicising interim development order</w:t>
      </w:r>
      <w:r>
        <w:tab/>
      </w:r>
      <w:r>
        <w:fldChar w:fldCharType="begin"/>
      </w:r>
      <w:r>
        <w:instrText xml:space="preserve"> PAGEREF _Toc155165949 \h </w:instrText>
      </w:r>
      <w:r>
        <w:fldChar w:fldCharType="separate"/>
      </w:r>
      <w:r>
        <w:t>75</w:t>
      </w:r>
      <w:r>
        <w:fldChar w:fldCharType="end"/>
      </w:r>
    </w:p>
    <w:p>
      <w:pPr>
        <w:pStyle w:val="TOC8"/>
        <w:rPr>
          <w:rFonts w:asciiTheme="minorHAnsi" w:eastAsiaTheme="minorEastAsia" w:hAnsiTheme="minorHAnsi" w:cstheme="minorBidi"/>
          <w:szCs w:val="22"/>
        </w:rPr>
      </w:pPr>
      <w:r>
        <w:t>106.</w:t>
      </w:r>
      <w:r>
        <w:tab/>
        <w:t>Administration of interim development order</w:t>
      </w:r>
      <w:r>
        <w:tab/>
      </w:r>
      <w:r>
        <w:fldChar w:fldCharType="begin"/>
      </w:r>
      <w:r>
        <w:instrText xml:space="preserve"> PAGEREF _Toc155165950 \h </w:instrText>
      </w:r>
      <w:r>
        <w:fldChar w:fldCharType="separate"/>
      </w:r>
      <w:r>
        <w:t>76</w:t>
      </w:r>
      <w:r>
        <w:fldChar w:fldCharType="end"/>
      </w:r>
    </w:p>
    <w:p>
      <w:pPr>
        <w:pStyle w:val="TOC8"/>
        <w:rPr>
          <w:rFonts w:asciiTheme="minorHAnsi" w:eastAsiaTheme="minorEastAsia" w:hAnsiTheme="minorHAnsi" w:cstheme="minorBidi"/>
          <w:szCs w:val="22"/>
        </w:rPr>
      </w:pPr>
      <w:r>
        <w:t>107.</w:t>
      </w:r>
      <w:r>
        <w:tab/>
        <w:t>Effect and duration of interim development order</w:t>
      </w:r>
      <w:r>
        <w:tab/>
      </w:r>
      <w:r>
        <w:fldChar w:fldCharType="begin"/>
      </w:r>
      <w:r>
        <w:instrText xml:space="preserve"> PAGEREF _Toc155165951 \h </w:instrText>
      </w:r>
      <w:r>
        <w:fldChar w:fldCharType="separate"/>
      </w:r>
      <w:r>
        <w:t>76</w:t>
      </w:r>
      <w:r>
        <w:fldChar w:fldCharType="end"/>
      </w:r>
    </w:p>
    <w:p>
      <w:pPr>
        <w:pStyle w:val="TOC8"/>
        <w:rPr>
          <w:rFonts w:asciiTheme="minorHAnsi" w:eastAsiaTheme="minorEastAsia" w:hAnsiTheme="minorHAnsi" w:cstheme="minorBidi"/>
          <w:szCs w:val="22"/>
        </w:rPr>
      </w:pPr>
      <w:r>
        <w:t>108.</w:t>
      </w:r>
      <w:r>
        <w:tab/>
        <w:t>Existing lawful development not affected</w:t>
      </w:r>
      <w:r>
        <w:tab/>
      </w:r>
      <w:r>
        <w:fldChar w:fldCharType="begin"/>
      </w:r>
      <w:r>
        <w:instrText xml:space="preserve"> PAGEREF _Toc155165952 \h </w:instrText>
      </w:r>
      <w:r>
        <w:fldChar w:fldCharType="separate"/>
      </w:r>
      <w:r>
        <w:t>77</w:t>
      </w:r>
      <w:r>
        <w:fldChar w:fldCharType="end"/>
      </w:r>
    </w:p>
    <w:p>
      <w:pPr>
        <w:pStyle w:val="TOC8"/>
        <w:rPr>
          <w:rFonts w:asciiTheme="minorHAnsi" w:eastAsiaTheme="minorEastAsia" w:hAnsiTheme="minorHAnsi" w:cstheme="minorBidi"/>
          <w:szCs w:val="22"/>
        </w:rPr>
      </w:pPr>
      <w:r>
        <w:t>109.</w:t>
      </w:r>
      <w:r>
        <w:tab/>
        <w:t>Amending interim development order</w:t>
      </w:r>
      <w:r>
        <w:tab/>
      </w:r>
      <w:r>
        <w:fldChar w:fldCharType="begin"/>
      </w:r>
      <w:r>
        <w:instrText xml:space="preserve"> PAGEREF _Toc155165953 \h </w:instrText>
      </w:r>
      <w:r>
        <w:fldChar w:fldCharType="separate"/>
      </w:r>
      <w:r>
        <w:t>77</w:t>
      </w:r>
      <w:r>
        <w:fldChar w:fldCharType="end"/>
      </w:r>
    </w:p>
    <w:p>
      <w:pPr>
        <w:pStyle w:val="TOC8"/>
        <w:rPr>
          <w:rFonts w:asciiTheme="minorHAnsi" w:eastAsiaTheme="minorEastAsia" w:hAnsiTheme="minorHAnsi" w:cstheme="minorBidi"/>
          <w:szCs w:val="22"/>
        </w:rPr>
      </w:pPr>
      <w:r>
        <w:t>110.</w:t>
      </w:r>
      <w:r>
        <w:tab/>
        <w:t>Revoking interim development order</w:t>
      </w:r>
      <w:r>
        <w:tab/>
      </w:r>
      <w:r>
        <w:fldChar w:fldCharType="begin"/>
      </w:r>
      <w:r>
        <w:instrText xml:space="preserve"> PAGEREF _Toc155165954 \h </w:instrText>
      </w:r>
      <w:r>
        <w:fldChar w:fldCharType="separate"/>
      </w:r>
      <w:r>
        <w:t>77</w:t>
      </w:r>
      <w:r>
        <w:fldChar w:fldCharType="end"/>
      </w:r>
    </w:p>
    <w:p>
      <w:pPr>
        <w:pStyle w:val="TOC8"/>
        <w:rPr>
          <w:rFonts w:asciiTheme="minorHAnsi" w:eastAsiaTheme="minorEastAsia" w:hAnsiTheme="minorHAnsi" w:cstheme="minorBidi"/>
          <w:szCs w:val="22"/>
        </w:rPr>
      </w:pPr>
      <w:r>
        <w:t>111.</w:t>
      </w:r>
      <w:r>
        <w:tab/>
        <w:t>Non</w:t>
      </w:r>
      <w:r>
        <w:noBreakHyphen/>
        <w:t>conforming development by local government or public authority, procedure for</w:t>
      </w:r>
      <w:r>
        <w:tab/>
      </w:r>
      <w:r>
        <w:fldChar w:fldCharType="begin"/>
      </w:r>
      <w:r>
        <w:instrText xml:space="preserve"> PAGEREF _Toc155165955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7 — Planning control areas</w:t>
      </w:r>
    </w:p>
    <w:p>
      <w:pPr>
        <w:pStyle w:val="TOC8"/>
        <w:rPr>
          <w:rFonts w:asciiTheme="minorHAnsi" w:eastAsiaTheme="minorEastAsia" w:hAnsiTheme="minorHAnsi" w:cstheme="minorBidi"/>
          <w:szCs w:val="22"/>
        </w:rPr>
      </w:pPr>
      <w:r>
        <w:t>112.</w:t>
      </w:r>
      <w:r>
        <w:tab/>
        <w:t>Declaration of planning control areas</w:t>
      </w:r>
      <w:r>
        <w:tab/>
      </w:r>
      <w:r>
        <w:fldChar w:fldCharType="begin"/>
      </w:r>
      <w:r>
        <w:instrText xml:space="preserve"> PAGEREF _Toc155165957 \h </w:instrText>
      </w:r>
      <w:r>
        <w:fldChar w:fldCharType="separate"/>
      </w:r>
      <w:r>
        <w:t>80</w:t>
      </w:r>
      <w:r>
        <w:fldChar w:fldCharType="end"/>
      </w:r>
    </w:p>
    <w:p>
      <w:pPr>
        <w:pStyle w:val="TOC8"/>
        <w:rPr>
          <w:rFonts w:asciiTheme="minorHAnsi" w:eastAsiaTheme="minorEastAsia" w:hAnsiTheme="minorHAnsi" w:cstheme="minorBidi"/>
          <w:szCs w:val="22"/>
        </w:rPr>
      </w:pPr>
      <w:r>
        <w:t>113.</w:t>
      </w:r>
      <w:r>
        <w:tab/>
        <w:t>Amending or revoking s. 112 declaration</w:t>
      </w:r>
      <w:r>
        <w:tab/>
      </w:r>
      <w:r>
        <w:fldChar w:fldCharType="begin"/>
      </w:r>
      <w:r>
        <w:instrText xml:space="preserve"> PAGEREF _Toc155165958 \h </w:instrText>
      </w:r>
      <w:r>
        <w:fldChar w:fldCharType="separate"/>
      </w:r>
      <w:r>
        <w:t>81</w:t>
      </w:r>
      <w:r>
        <w:fldChar w:fldCharType="end"/>
      </w:r>
    </w:p>
    <w:p>
      <w:pPr>
        <w:pStyle w:val="TOC8"/>
        <w:rPr>
          <w:rFonts w:asciiTheme="minorHAnsi" w:eastAsiaTheme="minorEastAsia" w:hAnsiTheme="minorHAnsi" w:cstheme="minorBidi"/>
          <w:szCs w:val="22"/>
        </w:rPr>
      </w:pPr>
      <w:r>
        <w:t>114.</w:t>
      </w:r>
      <w:r>
        <w:tab/>
        <w:t>Duration of s. 112 declaration</w:t>
      </w:r>
      <w:r>
        <w:tab/>
      </w:r>
      <w:r>
        <w:fldChar w:fldCharType="begin"/>
      </w:r>
      <w:r>
        <w:instrText xml:space="preserve"> PAGEREF _Toc155165959 \h </w:instrText>
      </w:r>
      <w:r>
        <w:fldChar w:fldCharType="separate"/>
      </w:r>
      <w:r>
        <w:t>81</w:t>
      </w:r>
      <w:r>
        <w:fldChar w:fldCharType="end"/>
      </w:r>
    </w:p>
    <w:p>
      <w:pPr>
        <w:pStyle w:val="TOC8"/>
        <w:rPr>
          <w:rFonts w:asciiTheme="minorHAnsi" w:eastAsiaTheme="minorEastAsia" w:hAnsiTheme="minorHAnsi" w:cstheme="minorBidi"/>
          <w:szCs w:val="22"/>
        </w:rPr>
      </w:pPr>
      <w:r>
        <w:t>115.</w:t>
      </w:r>
      <w:r>
        <w:tab/>
        <w:t>Development in planning control area, applying for approval of</w:t>
      </w:r>
      <w:r>
        <w:tab/>
      </w:r>
      <w:r>
        <w:fldChar w:fldCharType="begin"/>
      </w:r>
      <w:r>
        <w:instrText xml:space="preserve"> PAGEREF _Toc155165960 \h </w:instrText>
      </w:r>
      <w:r>
        <w:fldChar w:fldCharType="separate"/>
      </w:r>
      <w:r>
        <w:t>81</w:t>
      </w:r>
      <w:r>
        <w:fldChar w:fldCharType="end"/>
      </w:r>
    </w:p>
    <w:p>
      <w:pPr>
        <w:pStyle w:val="TOC8"/>
        <w:rPr>
          <w:rFonts w:asciiTheme="minorHAnsi" w:eastAsiaTheme="minorEastAsia" w:hAnsiTheme="minorHAnsi" w:cstheme="minorBidi"/>
          <w:szCs w:val="22"/>
        </w:rPr>
      </w:pPr>
      <w:r>
        <w:t>116.</w:t>
      </w:r>
      <w:r>
        <w:tab/>
        <w:t>Commission may approve or refuse s. 115 application</w:t>
      </w:r>
      <w:r>
        <w:tab/>
      </w:r>
      <w:r>
        <w:fldChar w:fldCharType="begin"/>
      </w:r>
      <w:r>
        <w:instrText xml:space="preserve"> PAGEREF _Toc155165961 \h </w:instrText>
      </w:r>
      <w:r>
        <w:fldChar w:fldCharType="separate"/>
      </w:r>
      <w:r>
        <w:t>82</w:t>
      </w:r>
      <w:r>
        <w:fldChar w:fldCharType="end"/>
      </w:r>
    </w:p>
    <w:p>
      <w:pPr>
        <w:pStyle w:val="TOC8"/>
        <w:rPr>
          <w:rFonts w:asciiTheme="minorHAnsi" w:eastAsiaTheme="minorEastAsia" w:hAnsiTheme="minorHAnsi" w:cstheme="minorBidi"/>
          <w:szCs w:val="22"/>
        </w:rPr>
      </w:pPr>
      <w:r>
        <w:t>117.</w:t>
      </w:r>
      <w:r>
        <w:tab/>
        <w:t>Commission may revoke approval if development does not conform with it</w:t>
      </w:r>
      <w:r>
        <w:tab/>
      </w:r>
      <w:r>
        <w:fldChar w:fldCharType="begin"/>
      </w:r>
      <w:r>
        <w:instrText xml:space="preserve"> PAGEREF _Toc155165962 \h </w:instrText>
      </w:r>
      <w:r>
        <w:fldChar w:fldCharType="separate"/>
      </w:r>
      <w:r>
        <w:t>82</w:t>
      </w:r>
      <w:r>
        <w:fldChar w:fldCharType="end"/>
      </w:r>
    </w:p>
    <w:p>
      <w:pPr>
        <w:pStyle w:val="TOC8"/>
        <w:rPr>
          <w:rFonts w:asciiTheme="minorHAnsi" w:eastAsiaTheme="minorEastAsia" w:hAnsiTheme="minorHAnsi" w:cstheme="minorBidi"/>
          <w:szCs w:val="22"/>
        </w:rPr>
      </w:pPr>
      <w:r>
        <w:t>118.</w:t>
      </w:r>
      <w:r>
        <w:tab/>
        <w:t>Existing lawful development not affected</w:t>
      </w:r>
      <w:r>
        <w:tab/>
      </w:r>
      <w:r>
        <w:fldChar w:fldCharType="begin"/>
      </w:r>
      <w:r>
        <w:instrText xml:space="preserve"> PAGEREF _Toc155165963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Improvement plans and schemes</w:t>
      </w:r>
    </w:p>
    <w:p>
      <w:pPr>
        <w:pStyle w:val="TOC4"/>
        <w:tabs>
          <w:tab w:val="right" w:leader="dot" w:pos="7077"/>
        </w:tabs>
        <w:rPr>
          <w:rFonts w:asciiTheme="minorHAnsi" w:eastAsiaTheme="minorEastAsia" w:hAnsiTheme="minorHAnsi" w:cstheme="minorBidi"/>
          <w:b w:val="0"/>
          <w:szCs w:val="22"/>
        </w:rPr>
      </w:pPr>
      <w:r>
        <w:t>Division 1 — Improvement plans</w:t>
      </w:r>
    </w:p>
    <w:p>
      <w:pPr>
        <w:pStyle w:val="TOC8"/>
        <w:rPr>
          <w:rFonts w:asciiTheme="minorHAnsi" w:eastAsiaTheme="minorEastAsia" w:hAnsiTheme="minorHAnsi" w:cstheme="minorBidi"/>
          <w:szCs w:val="22"/>
        </w:rPr>
      </w:pPr>
      <w:r>
        <w:t>119.</w:t>
      </w:r>
      <w:r>
        <w:tab/>
        <w:t>Preparing and making improvement plan</w:t>
      </w:r>
      <w:r>
        <w:tab/>
      </w:r>
      <w:r>
        <w:fldChar w:fldCharType="begin"/>
      </w:r>
      <w:r>
        <w:instrText xml:space="preserve"> PAGEREF _Toc155165966 \h </w:instrText>
      </w:r>
      <w:r>
        <w:fldChar w:fldCharType="separate"/>
      </w:r>
      <w:r>
        <w:t>84</w:t>
      </w:r>
      <w:r>
        <w:fldChar w:fldCharType="end"/>
      </w:r>
    </w:p>
    <w:p>
      <w:pPr>
        <w:pStyle w:val="TOC8"/>
        <w:rPr>
          <w:rFonts w:asciiTheme="minorHAnsi" w:eastAsiaTheme="minorEastAsia" w:hAnsiTheme="minorHAnsi" w:cstheme="minorBidi"/>
          <w:szCs w:val="22"/>
        </w:rPr>
      </w:pPr>
      <w:r>
        <w:t>120.</w:t>
      </w:r>
      <w:r>
        <w:tab/>
        <w:t>Amending or revoking improvement plan</w:t>
      </w:r>
      <w:r>
        <w:tab/>
      </w:r>
      <w:r>
        <w:fldChar w:fldCharType="begin"/>
      </w:r>
      <w:r>
        <w:instrText xml:space="preserve"> PAGEREF _Toc155165967 \h </w:instrText>
      </w:r>
      <w:r>
        <w:fldChar w:fldCharType="separate"/>
      </w:r>
      <w:r>
        <w:t>86</w:t>
      </w:r>
      <w:r>
        <w:fldChar w:fldCharType="end"/>
      </w:r>
    </w:p>
    <w:p>
      <w:pPr>
        <w:pStyle w:val="TOC8"/>
        <w:rPr>
          <w:rFonts w:asciiTheme="minorHAnsi" w:eastAsiaTheme="minorEastAsia" w:hAnsiTheme="minorHAnsi" w:cstheme="minorBidi"/>
          <w:szCs w:val="22"/>
        </w:rPr>
      </w:pPr>
      <w:r>
        <w:t>121.</w:t>
      </w:r>
      <w:r>
        <w:tab/>
        <w:t>Commission’s powers as to land under improvement plan</w:t>
      </w:r>
      <w:r>
        <w:tab/>
      </w:r>
      <w:r>
        <w:fldChar w:fldCharType="begin"/>
      </w:r>
      <w:r>
        <w:instrText xml:space="preserve"> PAGEREF _Toc155165968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Improvement schemes</w:t>
      </w:r>
    </w:p>
    <w:p>
      <w:pPr>
        <w:pStyle w:val="TOC8"/>
        <w:rPr>
          <w:rFonts w:asciiTheme="minorHAnsi" w:eastAsiaTheme="minorEastAsia" w:hAnsiTheme="minorHAnsi" w:cstheme="minorBidi"/>
          <w:szCs w:val="22"/>
        </w:rPr>
      </w:pPr>
      <w:r>
        <w:t>122A.</w:t>
      </w:r>
      <w:r>
        <w:tab/>
        <w:t>Content of improvement scheme</w:t>
      </w:r>
      <w:r>
        <w:tab/>
      </w:r>
      <w:r>
        <w:fldChar w:fldCharType="begin"/>
      </w:r>
      <w:r>
        <w:instrText xml:space="preserve"> PAGEREF _Toc155165970 \h </w:instrText>
      </w:r>
      <w:r>
        <w:fldChar w:fldCharType="separate"/>
      </w:r>
      <w:r>
        <w:t>88</w:t>
      </w:r>
      <w:r>
        <w:fldChar w:fldCharType="end"/>
      </w:r>
    </w:p>
    <w:p>
      <w:pPr>
        <w:pStyle w:val="TOC8"/>
        <w:rPr>
          <w:rFonts w:asciiTheme="minorHAnsi" w:eastAsiaTheme="minorEastAsia" w:hAnsiTheme="minorHAnsi" w:cstheme="minorBidi"/>
          <w:szCs w:val="22"/>
        </w:rPr>
      </w:pPr>
      <w:r>
        <w:t>122B.</w:t>
      </w:r>
      <w:r>
        <w:tab/>
        <w:t>Preparing, approving and reviewing improvement scheme</w:t>
      </w:r>
      <w:r>
        <w:tab/>
      </w:r>
      <w:r>
        <w:fldChar w:fldCharType="begin"/>
      </w:r>
      <w:r>
        <w:instrText xml:space="preserve"> PAGEREF _Toc155165971 \h </w:instrText>
      </w:r>
      <w:r>
        <w:fldChar w:fldCharType="separate"/>
      </w:r>
      <w:r>
        <w:t>88</w:t>
      </w:r>
      <w:r>
        <w:fldChar w:fldCharType="end"/>
      </w:r>
    </w:p>
    <w:p>
      <w:pPr>
        <w:pStyle w:val="TOC8"/>
        <w:rPr>
          <w:rFonts w:asciiTheme="minorHAnsi" w:eastAsiaTheme="minorEastAsia" w:hAnsiTheme="minorHAnsi" w:cstheme="minorBidi"/>
          <w:szCs w:val="22"/>
        </w:rPr>
      </w:pPr>
      <w:r>
        <w:t>122C.</w:t>
      </w:r>
      <w:r>
        <w:tab/>
        <w:t>Existing lawful development not affected</w:t>
      </w:r>
      <w:r>
        <w:tab/>
      </w:r>
      <w:r>
        <w:fldChar w:fldCharType="begin"/>
      </w:r>
      <w:r>
        <w:instrText xml:space="preserve"> PAGEREF _Toc155165972 \h </w:instrText>
      </w:r>
      <w:r>
        <w:fldChar w:fldCharType="separate"/>
      </w:r>
      <w:r>
        <w:t>90</w:t>
      </w:r>
      <w:r>
        <w:fldChar w:fldCharType="end"/>
      </w:r>
    </w:p>
    <w:p>
      <w:pPr>
        <w:pStyle w:val="TOC8"/>
        <w:rPr>
          <w:rFonts w:asciiTheme="minorHAnsi" w:eastAsiaTheme="minorEastAsia" w:hAnsiTheme="minorHAnsi" w:cstheme="minorBidi"/>
          <w:szCs w:val="22"/>
        </w:rPr>
      </w:pPr>
      <w:r>
        <w:lastRenderedPageBreak/>
        <w:t>122D.</w:t>
      </w:r>
      <w:r>
        <w:tab/>
        <w:t>Effect of improvement scheme on other planning schemes</w:t>
      </w:r>
      <w:r>
        <w:tab/>
      </w:r>
      <w:r>
        <w:fldChar w:fldCharType="begin"/>
      </w:r>
      <w:r>
        <w:instrText xml:space="preserve"> PAGEREF _Toc155165973 \h </w:instrText>
      </w:r>
      <w:r>
        <w:fldChar w:fldCharType="separate"/>
      </w:r>
      <w:r>
        <w:t>90</w:t>
      </w:r>
      <w:r>
        <w:fldChar w:fldCharType="end"/>
      </w:r>
    </w:p>
    <w:p>
      <w:pPr>
        <w:pStyle w:val="TOC8"/>
        <w:rPr>
          <w:rFonts w:asciiTheme="minorHAnsi" w:eastAsiaTheme="minorEastAsia" w:hAnsiTheme="minorHAnsi" w:cstheme="minorBidi"/>
          <w:szCs w:val="22"/>
        </w:rPr>
      </w:pPr>
      <w:r>
        <w:t>122E.</w:t>
      </w:r>
      <w:r>
        <w:tab/>
        <w:t>Removal of land from improvement scheme area or repeal of improvement scheme, effect of</w:t>
      </w:r>
      <w:r>
        <w:tab/>
      </w:r>
      <w:r>
        <w:fldChar w:fldCharType="begin"/>
      </w:r>
      <w:r>
        <w:instrText xml:space="preserve"> PAGEREF _Toc155165974 \h </w:instrText>
      </w:r>
      <w:r>
        <w:fldChar w:fldCharType="separate"/>
      </w:r>
      <w:r>
        <w:t>91</w:t>
      </w:r>
      <w:r>
        <w:fldChar w:fldCharType="end"/>
      </w:r>
    </w:p>
    <w:p>
      <w:pPr>
        <w:pStyle w:val="TOC8"/>
        <w:rPr>
          <w:rFonts w:asciiTheme="minorHAnsi" w:eastAsiaTheme="minorEastAsia" w:hAnsiTheme="minorHAnsi" w:cstheme="minorBidi"/>
          <w:szCs w:val="22"/>
        </w:rPr>
      </w:pPr>
      <w:r>
        <w:t>122F.</w:t>
      </w:r>
      <w:r>
        <w:tab/>
        <w:t>Amended improvement scheme area, transitional provisions for</w:t>
      </w:r>
      <w:r>
        <w:tab/>
      </w:r>
      <w:r>
        <w:fldChar w:fldCharType="begin"/>
      </w:r>
      <w:r>
        <w:instrText xml:space="preserve"> PAGEREF _Toc155165975 \h </w:instrText>
      </w:r>
      <w:r>
        <w:fldChar w:fldCharType="separate"/>
      </w:r>
      <w:r>
        <w:t>92</w:t>
      </w:r>
      <w:r>
        <w:fldChar w:fldCharType="end"/>
      </w:r>
    </w:p>
    <w:p>
      <w:pPr>
        <w:pStyle w:val="TOC8"/>
        <w:rPr>
          <w:rFonts w:asciiTheme="minorHAnsi" w:eastAsiaTheme="minorEastAsia" w:hAnsiTheme="minorHAnsi" w:cstheme="minorBidi"/>
          <w:szCs w:val="22"/>
        </w:rPr>
      </w:pPr>
      <w:r>
        <w:t>122G.</w:t>
      </w:r>
      <w:r>
        <w:tab/>
        <w:t>Applications for development pending when land removed or improvement scheme repealed</w:t>
      </w:r>
      <w:r>
        <w:tab/>
      </w:r>
      <w:r>
        <w:fldChar w:fldCharType="begin"/>
      </w:r>
      <w:r>
        <w:instrText xml:space="preserve"> PAGEREF _Toc155165976 \h </w:instrText>
      </w:r>
      <w:r>
        <w:fldChar w:fldCharType="separate"/>
      </w:r>
      <w:r>
        <w:t>92</w:t>
      </w:r>
      <w:r>
        <w:fldChar w:fldCharType="end"/>
      </w:r>
    </w:p>
    <w:p>
      <w:pPr>
        <w:pStyle w:val="TOC8"/>
        <w:rPr>
          <w:rFonts w:asciiTheme="minorHAnsi" w:eastAsiaTheme="minorEastAsia" w:hAnsiTheme="minorHAnsi" w:cstheme="minorBidi"/>
          <w:szCs w:val="22"/>
        </w:rPr>
      </w:pPr>
      <w:r>
        <w:t>122H.</w:t>
      </w:r>
      <w:r>
        <w:tab/>
        <w:t>Permanently closing street in improvement scheme area</w:t>
      </w:r>
      <w:r>
        <w:tab/>
      </w:r>
      <w:r>
        <w:fldChar w:fldCharType="begin"/>
      </w:r>
      <w:r>
        <w:instrText xml:space="preserve"> PAGEREF _Toc155165977 \h </w:instrText>
      </w:r>
      <w:r>
        <w:fldChar w:fldCharType="separate"/>
      </w:r>
      <w:r>
        <w:t>93</w:t>
      </w:r>
      <w:r>
        <w:fldChar w:fldCharType="end"/>
      </w:r>
    </w:p>
    <w:p>
      <w:pPr>
        <w:pStyle w:val="TOC8"/>
        <w:rPr>
          <w:rFonts w:asciiTheme="minorHAnsi" w:eastAsiaTheme="minorEastAsia" w:hAnsiTheme="minorHAnsi" w:cstheme="minorBidi"/>
          <w:szCs w:val="22"/>
        </w:rPr>
      </w:pPr>
      <w:r>
        <w:t>122I.</w:t>
      </w:r>
      <w:r>
        <w:tab/>
        <w:t>Some planning schemes have no force while improvement scheme in force</w:t>
      </w:r>
      <w:r>
        <w:tab/>
      </w:r>
      <w:r>
        <w:fldChar w:fldCharType="begin"/>
      </w:r>
      <w:r>
        <w:instrText xml:space="preserve"> PAGEREF _Toc155165978 \h </w:instrText>
      </w:r>
      <w:r>
        <w:fldChar w:fldCharType="separate"/>
      </w:r>
      <w:r>
        <w:t>93</w:t>
      </w:r>
      <w:r>
        <w:fldChar w:fldCharType="end"/>
      </w:r>
    </w:p>
    <w:p>
      <w:pPr>
        <w:pStyle w:val="TOC8"/>
        <w:rPr>
          <w:rFonts w:asciiTheme="minorHAnsi" w:eastAsiaTheme="minorEastAsia" w:hAnsiTheme="minorHAnsi" w:cstheme="minorBidi"/>
          <w:szCs w:val="22"/>
        </w:rPr>
      </w:pPr>
      <w:r>
        <w:t>122J.</w:t>
      </w:r>
      <w:r>
        <w:tab/>
        <w:t>Minister may amend local planning scheme to conform with improvement scheme</w:t>
      </w:r>
      <w:r>
        <w:tab/>
      </w:r>
      <w:r>
        <w:fldChar w:fldCharType="begin"/>
      </w:r>
      <w:r>
        <w:instrText xml:space="preserve"> PAGEREF _Toc155165979 \h </w:instrText>
      </w:r>
      <w:r>
        <w:fldChar w:fldCharType="separate"/>
      </w:r>
      <w:r>
        <w:t>94</w:t>
      </w:r>
      <w:r>
        <w:fldChar w:fldCharType="end"/>
      </w:r>
    </w:p>
    <w:p>
      <w:pPr>
        <w:pStyle w:val="TOC8"/>
        <w:rPr>
          <w:rFonts w:asciiTheme="minorHAnsi" w:eastAsiaTheme="minorEastAsia" w:hAnsiTheme="minorHAnsi" w:cstheme="minorBidi"/>
          <w:szCs w:val="22"/>
        </w:rPr>
      </w:pPr>
      <w:r>
        <w:t>122K.</w:t>
      </w:r>
      <w:r>
        <w:tab/>
        <w:t>Region planning scheme may be amended to conform with improvement scheme</w:t>
      </w:r>
      <w:r>
        <w:tab/>
      </w:r>
      <w:r>
        <w:fldChar w:fldCharType="begin"/>
      </w:r>
      <w:r>
        <w:instrText xml:space="preserve"> PAGEREF _Toc155165980 \h </w:instrText>
      </w:r>
      <w:r>
        <w:fldChar w:fldCharType="separate"/>
      </w:r>
      <w:r>
        <w:t>94</w:t>
      </w:r>
      <w:r>
        <w:fldChar w:fldCharType="end"/>
      </w:r>
    </w:p>
    <w:p>
      <w:pPr>
        <w:pStyle w:val="TOC8"/>
        <w:rPr>
          <w:rFonts w:asciiTheme="minorHAnsi" w:eastAsiaTheme="minorEastAsia" w:hAnsiTheme="minorHAnsi" w:cstheme="minorBidi"/>
          <w:szCs w:val="22"/>
        </w:rPr>
      </w:pPr>
      <w:r>
        <w:t>122L.</w:t>
      </w:r>
      <w:r>
        <w:tab/>
        <w:t>Minister has s. 211 and 212 powers for improvement scheme</w:t>
      </w:r>
      <w:r>
        <w:tab/>
      </w:r>
      <w:r>
        <w:fldChar w:fldCharType="begin"/>
      </w:r>
      <w:r>
        <w:instrText xml:space="preserve"> PAGEREF _Toc155165981 \h </w:instrText>
      </w:r>
      <w:r>
        <w:fldChar w:fldCharType="separate"/>
      </w:r>
      <w:r>
        <w:t>94</w:t>
      </w:r>
      <w:r>
        <w:fldChar w:fldCharType="end"/>
      </w:r>
    </w:p>
    <w:p>
      <w:pPr>
        <w:pStyle w:val="TOC8"/>
        <w:rPr>
          <w:rFonts w:asciiTheme="minorHAnsi" w:eastAsiaTheme="minorEastAsia" w:hAnsiTheme="minorHAnsi" w:cstheme="minorBidi"/>
          <w:szCs w:val="22"/>
        </w:rPr>
      </w:pPr>
      <w:r>
        <w:t>122M.</w:t>
      </w:r>
      <w:r>
        <w:tab/>
        <w:t>Fees for planning matters under improvement scheme, Commission may impose</w:t>
      </w:r>
      <w:r>
        <w:tab/>
      </w:r>
      <w:r>
        <w:fldChar w:fldCharType="begin"/>
      </w:r>
      <w:r>
        <w:instrText xml:space="preserve"> PAGEREF _Toc155165982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122.</w:t>
      </w:r>
      <w:r>
        <w:tab/>
        <w:t>This Part does not derogate from other powers</w:t>
      </w:r>
      <w:r>
        <w:tab/>
      </w:r>
      <w:r>
        <w:fldChar w:fldCharType="begin"/>
      </w:r>
      <w:r>
        <w:instrText xml:space="preserve"> PAGEREF _Toc155165984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9 — Relationship between planning schemes, planning control provisions and written laws</w:t>
      </w:r>
    </w:p>
    <w:p>
      <w:pPr>
        <w:pStyle w:val="TOC8"/>
        <w:rPr>
          <w:rFonts w:asciiTheme="minorHAnsi" w:eastAsiaTheme="minorEastAsia" w:hAnsiTheme="minorHAnsi" w:cstheme="minorBidi"/>
          <w:szCs w:val="22"/>
        </w:rPr>
      </w:pPr>
      <w:r>
        <w:t>123.</w:t>
      </w:r>
      <w:r>
        <w:tab/>
        <w:t>Local planning scheme or local law to be consistent with region planning scheme or Swan Valley Planning Scheme</w:t>
      </w:r>
      <w:r>
        <w:tab/>
      </w:r>
      <w:r>
        <w:fldChar w:fldCharType="begin"/>
      </w:r>
      <w:r>
        <w:instrText xml:space="preserve"> PAGEREF _Toc155165986 \h </w:instrText>
      </w:r>
      <w:r>
        <w:fldChar w:fldCharType="separate"/>
      </w:r>
      <w:r>
        <w:t>96</w:t>
      </w:r>
      <w:r>
        <w:fldChar w:fldCharType="end"/>
      </w:r>
    </w:p>
    <w:p>
      <w:pPr>
        <w:pStyle w:val="TOC8"/>
        <w:rPr>
          <w:rFonts w:asciiTheme="minorHAnsi" w:eastAsiaTheme="minorEastAsia" w:hAnsiTheme="minorHAnsi" w:cstheme="minorBidi"/>
          <w:szCs w:val="22"/>
        </w:rPr>
      </w:pPr>
      <w:r>
        <w:t>124.</w:t>
      </w:r>
      <w:r>
        <w:tab/>
        <w:t>Effect of region planning scheme on local planning scheme</w:t>
      </w:r>
      <w:r>
        <w:tab/>
      </w:r>
      <w:r>
        <w:fldChar w:fldCharType="begin"/>
      </w:r>
      <w:r>
        <w:instrText xml:space="preserve"> PAGEREF _Toc155165987 \h </w:instrText>
      </w:r>
      <w:r>
        <w:fldChar w:fldCharType="separate"/>
      </w:r>
      <w:r>
        <w:t>96</w:t>
      </w:r>
      <w:r>
        <w:fldChar w:fldCharType="end"/>
      </w:r>
    </w:p>
    <w:p>
      <w:pPr>
        <w:pStyle w:val="TOC8"/>
        <w:rPr>
          <w:rFonts w:asciiTheme="minorHAnsi" w:eastAsiaTheme="minorEastAsia" w:hAnsiTheme="minorHAnsi" w:cstheme="minorBidi"/>
          <w:szCs w:val="22"/>
        </w:rPr>
      </w:pPr>
      <w:r>
        <w:t>125.</w:t>
      </w:r>
      <w:r>
        <w:tab/>
        <w:t>Minister may direct local government to amend local planning scheme to be consistent with region planning scheme etc.</w:t>
      </w:r>
      <w:r>
        <w:tab/>
      </w:r>
      <w:r>
        <w:fldChar w:fldCharType="begin"/>
      </w:r>
      <w:r>
        <w:instrText xml:space="preserve"> PAGEREF _Toc155165988 \h </w:instrText>
      </w:r>
      <w:r>
        <w:fldChar w:fldCharType="separate"/>
      </w:r>
      <w:r>
        <w:t>98</w:t>
      </w:r>
      <w:r>
        <w:fldChar w:fldCharType="end"/>
      </w:r>
    </w:p>
    <w:p>
      <w:pPr>
        <w:pStyle w:val="TOC8"/>
        <w:rPr>
          <w:rFonts w:asciiTheme="minorHAnsi" w:eastAsiaTheme="minorEastAsia" w:hAnsiTheme="minorHAnsi" w:cstheme="minorBidi"/>
          <w:szCs w:val="22"/>
        </w:rPr>
      </w:pPr>
      <w:r>
        <w:t>126.</w:t>
      </w:r>
      <w:r>
        <w:tab/>
        <w:t>Local planning scheme, amendment of due to region planning scheme</w:t>
      </w:r>
      <w:r>
        <w:tab/>
      </w:r>
      <w:r>
        <w:fldChar w:fldCharType="begin"/>
      </w:r>
      <w:r>
        <w:instrText xml:space="preserve"> PAGEREF _Toc155165989 \h </w:instrText>
      </w:r>
      <w:r>
        <w:fldChar w:fldCharType="separate"/>
      </w:r>
      <w:r>
        <w:t>98</w:t>
      </w:r>
      <w:r>
        <w:fldChar w:fldCharType="end"/>
      </w:r>
    </w:p>
    <w:p>
      <w:pPr>
        <w:pStyle w:val="TOC8"/>
        <w:rPr>
          <w:rFonts w:asciiTheme="minorHAnsi" w:eastAsiaTheme="minorEastAsia" w:hAnsiTheme="minorHAnsi" w:cstheme="minorBidi"/>
          <w:szCs w:val="22"/>
        </w:rPr>
      </w:pPr>
      <w:r>
        <w:lastRenderedPageBreak/>
        <w:t>127.</w:t>
      </w:r>
      <w:r>
        <w:tab/>
        <w:t>Minister may direct local government to modify proposed scheme or amendment to be consistent with region planning scheme</w:t>
      </w:r>
      <w:r>
        <w:tab/>
      </w:r>
      <w:r>
        <w:fldChar w:fldCharType="begin"/>
      </w:r>
      <w:r>
        <w:instrText xml:space="preserve"> PAGEREF _Toc155165990 \h </w:instrText>
      </w:r>
      <w:r>
        <w:fldChar w:fldCharType="separate"/>
      </w:r>
      <w:r>
        <w:t>100</w:t>
      </w:r>
      <w:r>
        <w:fldChar w:fldCharType="end"/>
      </w:r>
    </w:p>
    <w:p>
      <w:pPr>
        <w:pStyle w:val="TOC8"/>
        <w:rPr>
          <w:rFonts w:asciiTheme="minorHAnsi" w:eastAsiaTheme="minorEastAsia" w:hAnsiTheme="minorHAnsi" w:cstheme="minorBidi"/>
          <w:szCs w:val="22"/>
        </w:rPr>
      </w:pPr>
      <w:r>
        <w:t>128.</w:t>
      </w:r>
      <w:r>
        <w:tab/>
        <w:t>Breach of s. 124(2), 125 or 127(2), Minister’s powers in case of</w:t>
      </w:r>
      <w:r>
        <w:tab/>
      </w:r>
      <w:r>
        <w:fldChar w:fldCharType="begin"/>
      </w:r>
      <w:r>
        <w:instrText xml:space="preserve"> PAGEREF _Toc155165991 \h </w:instrText>
      </w:r>
      <w:r>
        <w:fldChar w:fldCharType="separate"/>
      </w:r>
      <w:r>
        <w:t>100</w:t>
      </w:r>
      <w:r>
        <w:fldChar w:fldCharType="end"/>
      </w:r>
    </w:p>
    <w:p>
      <w:pPr>
        <w:pStyle w:val="TOC8"/>
        <w:rPr>
          <w:rFonts w:asciiTheme="minorHAnsi" w:eastAsiaTheme="minorEastAsia" w:hAnsiTheme="minorHAnsi" w:cstheme="minorBidi"/>
          <w:szCs w:val="22"/>
        </w:rPr>
      </w:pPr>
      <w:r>
        <w:t>129.</w:t>
      </w:r>
      <w:r>
        <w:tab/>
        <w:t>Inconsistency between interim development order and local planning scheme or local law, effect of</w:t>
      </w:r>
      <w:r>
        <w:tab/>
      </w:r>
      <w:r>
        <w:fldChar w:fldCharType="begin"/>
      </w:r>
      <w:r>
        <w:instrText xml:space="preserve"> PAGEREF _Toc155165992 \h </w:instrText>
      </w:r>
      <w:r>
        <w:fldChar w:fldCharType="separate"/>
      </w:r>
      <w:r>
        <w:t>102</w:t>
      </w:r>
      <w:r>
        <w:fldChar w:fldCharType="end"/>
      </w:r>
    </w:p>
    <w:p>
      <w:pPr>
        <w:pStyle w:val="TOC8"/>
        <w:rPr>
          <w:rFonts w:asciiTheme="minorHAnsi" w:eastAsiaTheme="minorEastAsia" w:hAnsiTheme="minorHAnsi" w:cstheme="minorBidi"/>
          <w:szCs w:val="22"/>
        </w:rPr>
      </w:pPr>
      <w:r>
        <w:t>130.</w:t>
      </w:r>
      <w:r>
        <w:tab/>
        <w:t>Planning control area provisions (Part 7) prevail</w:t>
      </w:r>
      <w:r>
        <w:tab/>
      </w:r>
      <w:r>
        <w:fldChar w:fldCharType="begin"/>
      </w:r>
      <w:r>
        <w:instrText xml:space="preserve"> PAGEREF _Toc155165993 \h </w:instrText>
      </w:r>
      <w:r>
        <w:fldChar w:fldCharType="separate"/>
      </w:r>
      <w:r>
        <w:t>102</w:t>
      </w:r>
      <w:r>
        <w:fldChar w:fldCharType="end"/>
      </w:r>
    </w:p>
    <w:p>
      <w:pPr>
        <w:pStyle w:val="TOC8"/>
        <w:rPr>
          <w:rFonts w:asciiTheme="minorHAnsi" w:eastAsiaTheme="minorEastAsia" w:hAnsiTheme="minorHAnsi" w:cstheme="minorBidi"/>
          <w:szCs w:val="22"/>
        </w:rPr>
      </w:pPr>
      <w:r>
        <w:t>131.</w:t>
      </w:r>
      <w:r>
        <w:tab/>
      </w:r>
      <w:r>
        <w:rPr>
          <w:bCs/>
        </w:rPr>
        <w:t>Building standards etc. prevail</w:t>
      </w:r>
      <w:r>
        <w:tab/>
      </w:r>
      <w:r>
        <w:fldChar w:fldCharType="begin"/>
      </w:r>
      <w:r>
        <w:instrText xml:space="preserve"> PAGEREF _Toc155165994 \h </w:instrText>
      </w:r>
      <w:r>
        <w:fldChar w:fldCharType="separate"/>
      </w:r>
      <w:r>
        <w:t>103</w:t>
      </w:r>
      <w:r>
        <w:fldChar w:fldCharType="end"/>
      </w:r>
    </w:p>
    <w:p>
      <w:pPr>
        <w:pStyle w:val="TOC8"/>
        <w:rPr>
          <w:rFonts w:asciiTheme="minorHAnsi" w:eastAsiaTheme="minorEastAsia" w:hAnsiTheme="minorHAnsi" w:cstheme="minorBidi"/>
          <w:szCs w:val="22"/>
        </w:rPr>
      </w:pPr>
      <w:r>
        <w:t>131A.</w:t>
      </w:r>
      <w:r>
        <w:tab/>
        <w:t>Relationship between Swan Valley Planning Scheme and other planning schemes or policies</w:t>
      </w:r>
      <w:r>
        <w:tab/>
      </w:r>
      <w:r>
        <w:fldChar w:fldCharType="begin"/>
      </w:r>
      <w:r>
        <w:instrText xml:space="preserve"> PAGEREF _Toc155165995 \h </w:instrText>
      </w:r>
      <w:r>
        <w:fldChar w:fldCharType="separate"/>
      </w:r>
      <w:r>
        <w:t>103</w:t>
      </w:r>
      <w:r>
        <w:fldChar w:fldCharType="end"/>
      </w:r>
    </w:p>
    <w:p>
      <w:pPr>
        <w:pStyle w:val="TOC8"/>
        <w:rPr>
          <w:rFonts w:asciiTheme="minorHAnsi" w:eastAsiaTheme="minorEastAsia" w:hAnsiTheme="minorHAnsi" w:cstheme="minorBidi"/>
          <w:szCs w:val="22"/>
        </w:rPr>
      </w:pPr>
      <w:r>
        <w:t>132.</w:t>
      </w:r>
      <w:r>
        <w:tab/>
        <w:t>Governor may modify or suspend law to enable planning scheme to have effect</w:t>
      </w:r>
      <w:r>
        <w:tab/>
      </w:r>
      <w:r>
        <w:fldChar w:fldCharType="begin"/>
      </w:r>
      <w:r>
        <w:instrText xml:space="preserve"> PAGEREF _Toc155165996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10 — Subdivision and development control</w:t>
      </w:r>
    </w:p>
    <w:p>
      <w:pPr>
        <w:pStyle w:val="TOC4"/>
        <w:tabs>
          <w:tab w:val="right" w:leader="dot" w:pos="7077"/>
        </w:tabs>
        <w:rPr>
          <w:rFonts w:asciiTheme="minorHAnsi" w:eastAsiaTheme="minorEastAsia" w:hAnsiTheme="minorHAnsi" w:cstheme="minorBidi"/>
          <w:b w:val="0"/>
          <w:szCs w:val="22"/>
        </w:rPr>
      </w:pPr>
      <w:r>
        <w:t>Division 1 — Application</w:t>
      </w:r>
    </w:p>
    <w:p>
      <w:pPr>
        <w:pStyle w:val="TOC8"/>
        <w:rPr>
          <w:rFonts w:asciiTheme="minorHAnsi" w:eastAsiaTheme="minorEastAsia" w:hAnsiTheme="minorHAnsi" w:cstheme="minorBidi"/>
          <w:szCs w:val="22"/>
        </w:rPr>
      </w:pPr>
      <w:r>
        <w:t>133.</w:t>
      </w:r>
      <w:r>
        <w:tab/>
        <w:t>Application of Part to Crown land</w:t>
      </w:r>
      <w:r>
        <w:tab/>
      </w:r>
      <w:r>
        <w:fldChar w:fldCharType="begin"/>
      </w:r>
      <w:r>
        <w:instrText xml:space="preserve"> PAGEREF _Toc155165999 \h </w:instrText>
      </w:r>
      <w:r>
        <w:fldChar w:fldCharType="separate"/>
      </w:r>
      <w:r>
        <w:t>105</w:t>
      </w:r>
      <w:r>
        <w:fldChar w:fldCharType="end"/>
      </w:r>
    </w:p>
    <w:p>
      <w:pPr>
        <w:pStyle w:val="TOC8"/>
        <w:rPr>
          <w:rFonts w:asciiTheme="minorHAnsi" w:eastAsiaTheme="minorEastAsia" w:hAnsiTheme="minorHAnsi" w:cstheme="minorBidi"/>
          <w:szCs w:val="22"/>
        </w:rPr>
      </w:pPr>
      <w:r>
        <w:t>134.</w:t>
      </w:r>
      <w:r>
        <w:tab/>
        <w:t>Relationship of Part to some other laws</w:t>
      </w:r>
      <w:r>
        <w:tab/>
      </w:r>
      <w:r>
        <w:fldChar w:fldCharType="begin"/>
      </w:r>
      <w:r>
        <w:instrText xml:space="preserve"> PAGEREF _Toc155166000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2 — Approval for subdivision and certain transactions</w:t>
      </w:r>
    </w:p>
    <w:p>
      <w:pPr>
        <w:pStyle w:val="TOC8"/>
        <w:rPr>
          <w:rFonts w:asciiTheme="minorHAnsi" w:eastAsiaTheme="minorEastAsia" w:hAnsiTheme="minorHAnsi" w:cstheme="minorBidi"/>
          <w:szCs w:val="22"/>
        </w:rPr>
      </w:pPr>
      <w:r>
        <w:t>135.</w:t>
      </w:r>
      <w:r>
        <w:tab/>
        <w:t>No subdivision etc. without approval</w:t>
      </w:r>
      <w:r>
        <w:tab/>
      </w:r>
      <w:r>
        <w:fldChar w:fldCharType="begin"/>
      </w:r>
      <w:r>
        <w:instrText xml:space="preserve"> PAGEREF _Toc155166002 \h </w:instrText>
      </w:r>
      <w:r>
        <w:fldChar w:fldCharType="separate"/>
      </w:r>
      <w:r>
        <w:t>106</w:t>
      </w:r>
      <w:r>
        <w:fldChar w:fldCharType="end"/>
      </w:r>
    </w:p>
    <w:p>
      <w:pPr>
        <w:pStyle w:val="TOC8"/>
        <w:rPr>
          <w:rFonts w:asciiTheme="minorHAnsi" w:eastAsiaTheme="minorEastAsia" w:hAnsiTheme="minorHAnsi" w:cstheme="minorBidi"/>
          <w:szCs w:val="22"/>
        </w:rPr>
      </w:pPr>
      <w:r>
        <w:t>136.</w:t>
      </w:r>
      <w:r>
        <w:tab/>
        <w:t>Approval required for some dealings as to land not dealt with as lot or lots</w:t>
      </w:r>
      <w:r>
        <w:tab/>
      </w:r>
      <w:r>
        <w:fldChar w:fldCharType="begin"/>
      </w:r>
      <w:r>
        <w:instrText xml:space="preserve"> PAGEREF _Toc155166003 \h </w:instrText>
      </w:r>
      <w:r>
        <w:fldChar w:fldCharType="separate"/>
      </w:r>
      <w:r>
        <w:t>106</w:t>
      </w:r>
      <w:r>
        <w:fldChar w:fldCharType="end"/>
      </w:r>
    </w:p>
    <w:p>
      <w:pPr>
        <w:pStyle w:val="TOC8"/>
        <w:rPr>
          <w:rFonts w:asciiTheme="minorHAnsi" w:eastAsiaTheme="minorEastAsia" w:hAnsiTheme="minorHAnsi" w:cstheme="minorBidi"/>
          <w:szCs w:val="22"/>
        </w:rPr>
      </w:pPr>
      <w:r>
        <w:t>137.</w:t>
      </w:r>
      <w:r>
        <w:tab/>
        <w:t>Heritage land, subdivision etc. of</w:t>
      </w:r>
      <w:r>
        <w:tab/>
      </w:r>
      <w:r>
        <w:fldChar w:fldCharType="begin"/>
      </w:r>
      <w:r>
        <w:instrText xml:space="preserve"> PAGEREF _Toc155166004 \h </w:instrText>
      </w:r>
      <w:r>
        <w:fldChar w:fldCharType="separate"/>
      </w:r>
      <w:r>
        <w:t>109</w:t>
      </w:r>
      <w:r>
        <w:fldChar w:fldCharType="end"/>
      </w:r>
    </w:p>
    <w:p>
      <w:pPr>
        <w:pStyle w:val="TOC8"/>
        <w:rPr>
          <w:rFonts w:asciiTheme="minorHAnsi" w:eastAsiaTheme="minorEastAsia" w:hAnsiTheme="minorHAnsi" w:cstheme="minorBidi"/>
          <w:szCs w:val="22"/>
        </w:rPr>
      </w:pPr>
      <w:r>
        <w:t>138.</w:t>
      </w:r>
      <w:r>
        <w:tab/>
        <w:t>Commission’s functions when approving subdivision etc.</w:t>
      </w:r>
      <w:r>
        <w:tab/>
      </w:r>
      <w:r>
        <w:fldChar w:fldCharType="begin"/>
      </w:r>
      <w:r>
        <w:instrText xml:space="preserve"> PAGEREF _Toc155166005 \h </w:instrText>
      </w:r>
      <w:r>
        <w:fldChar w:fldCharType="separate"/>
      </w:r>
      <w:r>
        <w:t>109</w:t>
      </w:r>
      <w:r>
        <w:fldChar w:fldCharType="end"/>
      </w:r>
    </w:p>
    <w:p>
      <w:pPr>
        <w:pStyle w:val="TOC8"/>
        <w:rPr>
          <w:rFonts w:asciiTheme="minorHAnsi" w:eastAsiaTheme="minorEastAsia" w:hAnsiTheme="minorHAnsi" w:cstheme="minorBidi"/>
          <w:szCs w:val="22"/>
        </w:rPr>
      </w:pPr>
      <w:r>
        <w:t>138A.</w:t>
      </w:r>
      <w:r>
        <w:tab/>
        <w:t>Commission’s functions when approving subdivision etc. in Swan Valley</w:t>
      </w:r>
      <w:r>
        <w:tab/>
      </w:r>
      <w:r>
        <w:fldChar w:fldCharType="begin"/>
      </w:r>
      <w:r>
        <w:instrText xml:space="preserve"> PAGEREF _Toc155166006 \h </w:instrText>
      </w:r>
      <w:r>
        <w:fldChar w:fldCharType="separate"/>
      </w:r>
      <w:r>
        <w:t>111</w:t>
      </w:r>
      <w:r>
        <w:fldChar w:fldCharType="end"/>
      </w:r>
    </w:p>
    <w:p>
      <w:pPr>
        <w:pStyle w:val="TOC8"/>
        <w:rPr>
          <w:rFonts w:asciiTheme="minorHAnsi" w:eastAsiaTheme="minorEastAsia" w:hAnsiTheme="minorHAnsi" w:cstheme="minorBidi"/>
          <w:szCs w:val="22"/>
        </w:rPr>
      </w:pPr>
      <w:r>
        <w:t>139.</w:t>
      </w:r>
      <w:r>
        <w:tab/>
        <w:t>Leases and licences that do not need approval under s. 136</w:t>
      </w:r>
      <w:r>
        <w:tab/>
      </w:r>
      <w:r>
        <w:fldChar w:fldCharType="begin"/>
      </w:r>
      <w:r>
        <w:instrText xml:space="preserve"> PAGEREF _Toc155166007 \h </w:instrText>
      </w:r>
      <w:r>
        <w:fldChar w:fldCharType="separate"/>
      </w:r>
      <w:r>
        <w:t>111</w:t>
      </w:r>
      <w:r>
        <w:fldChar w:fldCharType="end"/>
      </w:r>
    </w:p>
    <w:p>
      <w:pPr>
        <w:pStyle w:val="TOC8"/>
        <w:rPr>
          <w:rFonts w:asciiTheme="minorHAnsi" w:eastAsiaTheme="minorEastAsia" w:hAnsiTheme="minorHAnsi" w:cstheme="minorBidi"/>
          <w:szCs w:val="22"/>
        </w:rPr>
      </w:pPr>
      <w:r>
        <w:t>140.</w:t>
      </w:r>
      <w:r>
        <w:tab/>
        <w:t>Saving of some agreements entered into without approval under s. 136</w:t>
      </w:r>
      <w:r>
        <w:tab/>
      </w:r>
      <w:r>
        <w:fldChar w:fldCharType="begin"/>
      </w:r>
      <w:r>
        <w:instrText xml:space="preserve"> PAGEREF _Toc155166008 \h </w:instrText>
      </w:r>
      <w:r>
        <w:fldChar w:fldCharType="separate"/>
      </w:r>
      <w:r>
        <w:t>112</w:t>
      </w:r>
      <w:r>
        <w:fldChar w:fldCharType="end"/>
      </w:r>
    </w:p>
    <w:p>
      <w:pPr>
        <w:pStyle w:val="TOC8"/>
        <w:rPr>
          <w:rFonts w:asciiTheme="minorHAnsi" w:eastAsiaTheme="minorEastAsia" w:hAnsiTheme="minorHAnsi" w:cstheme="minorBidi"/>
          <w:szCs w:val="22"/>
        </w:rPr>
      </w:pPr>
      <w:r>
        <w:t>141.</w:t>
      </w:r>
      <w:r>
        <w:tab/>
        <w:t>Refund where land transaction cannot be completed</w:t>
      </w:r>
      <w:r>
        <w:tab/>
      </w:r>
      <w:r>
        <w:fldChar w:fldCharType="begin"/>
      </w:r>
      <w:r>
        <w:instrText xml:space="preserve"> PAGEREF _Toc155166009 \h </w:instrText>
      </w:r>
      <w:r>
        <w:fldChar w:fldCharType="separate"/>
      </w:r>
      <w:r>
        <w:t>113</w:t>
      </w:r>
      <w:r>
        <w:fldChar w:fldCharType="end"/>
      </w:r>
    </w:p>
    <w:p>
      <w:pPr>
        <w:pStyle w:val="TOC8"/>
        <w:rPr>
          <w:rFonts w:asciiTheme="minorHAnsi" w:eastAsiaTheme="minorEastAsia" w:hAnsiTheme="minorHAnsi" w:cstheme="minorBidi"/>
          <w:szCs w:val="22"/>
        </w:rPr>
      </w:pPr>
      <w:r>
        <w:t>142.</w:t>
      </w:r>
      <w:r>
        <w:tab/>
        <w:t>Consultation requirements as to proposed subdivision</w:t>
      </w:r>
      <w:r>
        <w:tab/>
      </w:r>
      <w:r>
        <w:fldChar w:fldCharType="begin"/>
      </w:r>
      <w:r>
        <w:instrText xml:space="preserve"> PAGEREF _Toc155166010 \h </w:instrText>
      </w:r>
      <w:r>
        <w:fldChar w:fldCharType="separate"/>
      </w:r>
      <w:r>
        <w:t>114</w:t>
      </w:r>
      <w:r>
        <w:fldChar w:fldCharType="end"/>
      </w:r>
    </w:p>
    <w:p>
      <w:pPr>
        <w:pStyle w:val="TOC8"/>
        <w:rPr>
          <w:rFonts w:asciiTheme="minorHAnsi" w:eastAsiaTheme="minorEastAsia" w:hAnsiTheme="minorHAnsi" w:cstheme="minorBidi"/>
          <w:szCs w:val="22"/>
        </w:rPr>
      </w:pPr>
      <w:r>
        <w:t>143.</w:t>
      </w:r>
      <w:r>
        <w:tab/>
        <w:t>Commission’s duties when dealing with plan of subdivision</w:t>
      </w:r>
      <w:r>
        <w:tab/>
      </w:r>
      <w:r>
        <w:fldChar w:fldCharType="begin"/>
      </w:r>
      <w:r>
        <w:instrText xml:space="preserve"> PAGEREF _Toc155166011 \h </w:instrText>
      </w:r>
      <w:r>
        <w:fldChar w:fldCharType="separate"/>
      </w:r>
      <w:r>
        <w:t>115</w:t>
      </w:r>
      <w:r>
        <w:fldChar w:fldCharType="end"/>
      </w:r>
    </w:p>
    <w:p>
      <w:pPr>
        <w:pStyle w:val="TOC8"/>
        <w:rPr>
          <w:rFonts w:asciiTheme="minorHAnsi" w:eastAsiaTheme="minorEastAsia" w:hAnsiTheme="minorHAnsi" w:cstheme="minorBidi"/>
          <w:szCs w:val="22"/>
        </w:rPr>
      </w:pPr>
      <w:r>
        <w:lastRenderedPageBreak/>
        <w:t>144.</w:t>
      </w:r>
      <w:r>
        <w:tab/>
        <w:t>Reconsidering refusal to approve plan of subdivision</w:t>
      </w:r>
      <w:r>
        <w:tab/>
      </w:r>
      <w:r>
        <w:fldChar w:fldCharType="begin"/>
      </w:r>
      <w:r>
        <w:instrText xml:space="preserve"> PAGEREF _Toc155166012 \h </w:instrText>
      </w:r>
      <w:r>
        <w:fldChar w:fldCharType="separate"/>
      </w:r>
      <w:r>
        <w:t>115</w:t>
      </w:r>
      <w:r>
        <w:fldChar w:fldCharType="end"/>
      </w:r>
    </w:p>
    <w:p>
      <w:pPr>
        <w:pStyle w:val="TOC8"/>
        <w:rPr>
          <w:rFonts w:asciiTheme="minorHAnsi" w:eastAsiaTheme="minorEastAsia" w:hAnsiTheme="minorHAnsi" w:cstheme="minorBidi"/>
          <w:szCs w:val="22"/>
        </w:rPr>
      </w:pPr>
      <w:r>
        <w:t>145.</w:t>
      </w:r>
      <w:r>
        <w:tab/>
        <w:t>Diagram or plan of survey of approved plan of subdivision, approval of</w:t>
      </w:r>
      <w:r>
        <w:tab/>
      </w:r>
      <w:r>
        <w:fldChar w:fldCharType="begin"/>
      </w:r>
      <w:r>
        <w:instrText xml:space="preserve"> PAGEREF _Toc155166013 \h </w:instrText>
      </w:r>
      <w:r>
        <w:fldChar w:fldCharType="separate"/>
      </w:r>
      <w:r>
        <w:t>116</w:t>
      </w:r>
      <w:r>
        <w:fldChar w:fldCharType="end"/>
      </w:r>
    </w:p>
    <w:p>
      <w:pPr>
        <w:pStyle w:val="TOC8"/>
        <w:rPr>
          <w:rFonts w:asciiTheme="minorHAnsi" w:eastAsiaTheme="minorEastAsia" w:hAnsiTheme="minorHAnsi" w:cstheme="minorBidi"/>
          <w:szCs w:val="22"/>
        </w:rPr>
      </w:pPr>
      <w:r>
        <w:t>145A.</w:t>
      </w:r>
      <w:r>
        <w:tab/>
        <w:t>Period for submission of diagram or plan of survey for approval by Commission</w:t>
      </w:r>
      <w:r>
        <w:tab/>
      </w:r>
      <w:r>
        <w:fldChar w:fldCharType="begin"/>
      </w:r>
      <w:r>
        <w:instrText xml:space="preserve"> PAGEREF _Toc155166014 \h </w:instrText>
      </w:r>
      <w:r>
        <w:fldChar w:fldCharType="separate"/>
      </w:r>
      <w:r>
        <w:t>117</w:t>
      </w:r>
      <w:r>
        <w:fldChar w:fldCharType="end"/>
      </w:r>
    </w:p>
    <w:p>
      <w:pPr>
        <w:pStyle w:val="TOC8"/>
        <w:rPr>
          <w:rFonts w:asciiTheme="minorHAnsi" w:eastAsiaTheme="minorEastAsia" w:hAnsiTheme="minorHAnsi" w:cstheme="minorBidi"/>
          <w:szCs w:val="22"/>
        </w:rPr>
      </w:pPr>
      <w:r>
        <w:t>146.</w:t>
      </w:r>
      <w:r>
        <w:tab/>
        <w:t>No certificate of title for subdivided land without approved diagram or plan of survey</w:t>
      </w:r>
      <w:r>
        <w:tab/>
      </w:r>
      <w:r>
        <w:fldChar w:fldCharType="begin"/>
      </w:r>
      <w:r>
        <w:instrText xml:space="preserve"> PAGEREF _Toc155166015 \h </w:instrText>
      </w:r>
      <w:r>
        <w:fldChar w:fldCharType="separate"/>
      </w:r>
      <w:r>
        <w:t>119</w:t>
      </w:r>
      <w:r>
        <w:fldChar w:fldCharType="end"/>
      </w:r>
    </w:p>
    <w:p>
      <w:pPr>
        <w:pStyle w:val="TOC8"/>
        <w:rPr>
          <w:rFonts w:asciiTheme="minorHAnsi" w:eastAsiaTheme="minorEastAsia" w:hAnsiTheme="minorHAnsi" w:cstheme="minorBidi"/>
          <w:szCs w:val="22"/>
        </w:rPr>
      </w:pPr>
      <w:r>
        <w:t>147.</w:t>
      </w:r>
      <w:r>
        <w:tab/>
        <w:t>No registration etc. of some land dealings without Commission’s approval</w:t>
      </w:r>
      <w:r>
        <w:tab/>
      </w:r>
      <w:r>
        <w:fldChar w:fldCharType="begin"/>
      </w:r>
      <w:r>
        <w:instrText xml:space="preserve"> PAGEREF _Toc155166016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3 — Conditions of subdivision</w:t>
      </w:r>
    </w:p>
    <w:p>
      <w:pPr>
        <w:pStyle w:val="TOC8"/>
        <w:rPr>
          <w:rFonts w:asciiTheme="minorHAnsi" w:eastAsiaTheme="minorEastAsia" w:hAnsiTheme="minorHAnsi" w:cstheme="minorBidi"/>
          <w:szCs w:val="22"/>
        </w:rPr>
      </w:pPr>
      <w:r>
        <w:t>150.</w:t>
      </w:r>
      <w:r>
        <w:tab/>
        <w:t>Road access, conditions as to</w:t>
      </w:r>
      <w:r>
        <w:tab/>
      </w:r>
      <w:r>
        <w:fldChar w:fldCharType="begin"/>
      </w:r>
      <w:r>
        <w:instrText xml:space="preserve"> PAGEREF _Toc155166018 \h </w:instrText>
      </w:r>
      <w:r>
        <w:fldChar w:fldCharType="separate"/>
      </w:r>
      <w:r>
        <w:t>121</w:t>
      </w:r>
      <w:r>
        <w:fldChar w:fldCharType="end"/>
      </w:r>
    </w:p>
    <w:p>
      <w:pPr>
        <w:pStyle w:val="TOC8"/>
        <w:rPr>
          <w:rFonts w:asciiTheme="minorHAnsi" w:eastAsiaTheme="minorEastAsia" w:hAnsiTheme="minorHAnsi" w:cstheme="minorBidi"/>
          <w:szCs w:val="22"/>
        </w:rPr>
      </w:pPr>
      <w:r>
        <w:t>151.</w:t>
      </w:r>
      <w:r>
        <w:tab/>
        <w:t>Reconsidering conditions</w:t>
      </w:r>
      <w:r>
        <w:tab/>
      </w:r>
      <w:r>
        <w:fldChar w:fldCharType="begin"/>
      </w:r>
      <w:r>
        <w:instrText xml:space="preserve"> PAGEREF _Toc155166019 \h </w:instrText>
      </w:r>
      <w:r>
        <w:fldChar w:fldCharType="separate"/>
      </w:r>
      <w:r>
        <w:t>122</w:t>
      </w:r>
      <w:r>
        <w:fldChar w:fldCharType="end"/>
      </w:r>
    </w:p>
    <w:p>
      <w:pPr>
        <w:pStyle w:val="TOC8"/>
        <w:rPr>
          <w:rFonts w:asciiTheme="minorHAnsi" w:eastAsiaTheme="minorEastAsia" w:hAnsiTheme="minorHAnsi" w:cstheme="minorBidi"/>
          <w:szCs w:val="22"/>
        </w:rPr>
      </w:pPr>
      <w:r>
        <w:t>152.</w:t>
      </w:r>
      <w:r>
        <w:tab/>
        <w:t>Certain land to vest in Crown</w:t>
      </w:r>
      <w:r>
        <w:tab/>
      </w:r>
      <w:r>
        <w:fldChar w:fldCharType="begin"/>
      </w:r>
      <w:r>
        <w:instrText xml:space="preserve"> PAGEREF _Toc155166020 \h </w:instrText>
      </w:r>
      <w:r>
        <w:fldChar w:fldCharType="separate"/>
      </w:r>
      <w:r>
        <w:t>122</w:t>
      </w:r>
      <w:r>
        <w:fldChar w:fldCharType="end"/>
      </w:r>
    </w:p>
    <w:p>
      <w:pPr>
        <w:pStyle w:val="TOC8"/>
        <w:rPr>
          <w:rFonts w:asciiTheme="minorHAnsi" w:eastAsiaTheme="minorEastAsia" w:hAnsiTheme="minorHAnsi" w:cstheme="minorBidi"/>
          <w:szCs w:val="22"/>
        </w:rPr>
      </w:pPr>
      <w:r>
        <w:t>153.</w:t>
      </w:r>
      <w:r>
        <w:tab/>
        <w:t>Setting aside land for open space or payment in lieu</w:t>
      </w:r>
      <w:r>
        <w:tab/>
      </w:r>
      <w:r>
        <w:fldChar w:fldCharType="begin"/>
      </w:r>
      <w:r>
        <w:instrText xml:space="preserve"> PAGEREF _Toc155166021 \h </w:instrText>
      </w:r>
      <w:r>
        <w:fldChar w:fldCharType="separate"/>
      </w:r>
      <w:r>
        <w:t>124</w:t>
      </w:r>
      <w:r>
        <w:fldChar w:fldCharType="end"/>
      </w:r>
    </w:p>
    <w:p>
      <w:pPr>
        <w:pStyle w:val="TOC8"/>
        <w:rPr>
          <w:rFonts w:asciiTheme="minorHAnsi" w:eastAsiaTheme="minorEastAsia" w:hAnsiTheme="minorHAnsi" w:cstheme="minorBidi"/>
          <w:szCs w:val="22"/>
        </w:rPr>
      </w:pPr>
      <w:r>
        <w:t>154.</w:t>
      </w:r>
      <w:r>
        <w:tab/>
        <w:t>Money paid in lieu of open space, application of</w:t>
      </w:r>
      <w:r>
        <w:tab/>
      </w:r>
      <w:r>
        <w:fldChar w:fldCharType="begin"/>
      </w:r>
      <w:r>
        <w:instrText xml:space="preserve"> PAGEREF _Toc155166022 \h </w:instrText>
      </w:r>
      <w:r>
        <w:fldChar w:fldCharType="separate"/>
      </w:r>
      <w:r>
        <w:t>125</w:t>
      </w:r>
      <w:r>
        <w:fldChar w:fldCharType="end"/>
      </w:r>
    </w:p>
    <w:p>
      <w:pPr>
        <w:pStyle w:val="TOC8"/>
        <w:rPr>
          <w:rFonts w:asciiTheme="minorHAnsi" w:eastAsiaTheme="minorEastAsia" w:hAnsiTheme="minorHAnsi" w:cstheme="minorBidi"/>
          <w:szCs w:val="22"/>
        </w:rPr>
      </w:pPr>
      <w:r>
        <w:t>155.</w:t>
      </w:r>
      <w:r>
        <w:tab/>
        <w:t>Value of land for s. 153, how determined</w:t>
      </w:r>
      <w:r>
        <w:tab/>
      </w:r>
      <w:r>
        <w:fldChar w:fldCharType="begin"/>
      </w:r>
      <w:r>
        <w:instrText xml:space="preserve"> PAGEREF _Toc155166023 \h </w:instrText>
      </w:r>
      <w:r>
        <w:fldChar w:fldCharType="separate"/>
      </w:r>
      <w:r>
        <w:t>126</w:t>
      </w:r>
      <w:r>
        <w:fldChar w:fldCharType="end"/>
      </w:r>
    </w:p>
    <w:p>
      <w:pPr>
        <w:pStyle w:val="TOC8"/>
        <w:rPr>
          <w:rFonts w:asciiTheme="minorHAnsi" w:eastAsiaTheme="minorEastAsia" w:hAnsiTheme="minorHAnsi" w:cstheme="minorBidi"/>
          <w:szCs w:val="22"/>
        </w:rPr>
      </w:pPr>
      <w:r>
        <w:t>156.</w:t>
      </w:r>
      <w:r>
        <w:tab/>
        <w:t>Valuation under s. 155, dispute as to</w:t>
      </w:r>
      <w:r>
        <w:tab/>
      </w:r>
      <w:r>
        <w:fldChar w:fldCharType="begin"/>
      </w:r>
      <w:r>
        <w:instrText xml:space="preserve"> PAGEREF _Toc155166024 \h </w:instrText>
      </w:r>
      <w:r>
        <w:fldChar w:fldCharType="separate"/>
      </w:r>
      <w:r>
        <w:t>128</w:t>
      </w:r>
      <w:r>
        <w:fldChar w:fldCharType="end"/>
      </w:r>
    </w:p>
    <w:p>
      <w:pPr>
        <w:pStyle w:val="TOC8"/>
        <w:rPr>
          <w:rFonts w:asciiTheme="minorHAnsi" w:eastAsiaTheme="minorEastAsia" w:hAnsiTheme="minorHAnsi" w:cstheme="minorBidi"/>
          <w:szCs w:val="22"/>
        </w:rPr>
      </w:pPr>
      <w:r>
        <w:t>157.</w:t>
      </w:r>
      <w:r>
        <w:tab/>
        <w:t>When approval of subdivision deemed to be approval under planning scheme</w:t>
      </w:r>
      <w:r>
        <w:tab/>
      </w:r>
      <w:r>
        <w:fldChar w:fldCharType="begin"/>
      </w:r>
      <w:r>
        <w:instrText xml:space="preserve"> PAGEREF _Toc155166025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4 — Subdivision costs</w:t>
      </w:r>
    </w:p>
    <w:p>
      <w:pPr>
        <w:pStyle w:val="TOC8"/>
        <w:rPr>
          <w:rFonts w:asciiTheme="minorHAnsi" w:eastAsiaTheme="minorEastAsia" w:hAnsiTheme="minorHAnsi" w:cstheme="minorBidi"/>
          <w:szCs w:val="22"/>
        </w:rPr>
      </w:pPr>
      <w:r>
        <w:t>158.</w:t>
      </w:r>
      <w:r>
        <w:tab/>
        <w:t>Expenses of construction etc. of roads etc.</w:t>
      </w:r>
      <w:r>
        <w:tab/>
      </w:r>
      <w:r>
        <w:fldChar w:fldCharType="begin"/>
      </w:r>
      <w:r>
        <w:instrText xml:space="preserve"> PAGEREF _Toc155166027 \h </w:instrText>
      </w:r>
      <w:r>
        <w:fldChar w:fldCharType="separate"/>
      </w:r>
      <w:r>
        <w:t>129</w:t>
      </w:r>
      <w:r>
        <w:fldChar w:fldCharType="end"/>
      </w:r>
    </w:p>
    <w:p>
      <w:pPr>
        <w:pStyle w:val="TOC8"/>
        <w:rPr>
          <w:rFonts w:asciiTheme="minorHAnsi" w:eastAsiaTheme="minorEastAsia" w:hAnsiTheme="minorHAnsi" w:cstheme="minorBidi"/>
          <w:szCs w:val="22"/>
        </w:rPr>
      </w:pPr>
      <w:r>
        <w:t>159.</w:t>
      </w:r>
      <w:r>
        <w:tab/>
        <w:t>Subdivider may recover portion of road costs from later subdivider</w:t>
      </w:r>
      <w:r>
        <w:tab/>
      </w:r>
      <w:r>
        <w:fldChar w:fldCharType="begin"/>
      </w:r>
      <w:r>
        <w:instrText xml:space="preserve"> PAGEREF _Toc155166028 \h </w:instrText>
      </w:r>
      <w:r>
        <w:fldChar w:fldCharType="separate"/>
      </w:r>
      <w:r>
        <w:t>130</w:t>
      </w:r>
      <w:r>
        <w:fldChar w:fldCharType="end"/>
      </w:r>
    </w:p>
    <w:p>
      <w:pPr>
        <w:pStyle w:val="TOC8"/>
        <w:rPr>
          <w:rFonts w:asciiTheme="minorHAnsi" w:eastAsiaTheme="minorEastAsia" w:hAnsiTheme="minorHAnsi" w:cstheme="minorBidi"/>
          <w:szCs w:val="22"/>
        </w:rPr>
      </w:pPr>
      <w:r>
        <w:t>160.</w:t>
      </w:r>
      <w:r>
        <w:tab/>
        <w:t>Money payable under s. 159, recovery of</w:t>
      </w:r>
      <w:r>
        <w:tab/>
      </w:r>
      <w:r>
        <w:fldChar w:fldCharType="begin"/>
      </w:r>
      <w:r>
        <w:instrText xml:space="preserve"> PAGEREF _Toc155166029 \h </w:instrText>
      </w:r>
      <w:r>
        <w:fldChar w:fldCharType="separate"/>
      </w:r>
      <w:r>
        <w:t>131</w:t>
      </w:r>
      <w:r>
        <w:fldChar w:fldCharType="end"/>
      </w:r>
    </w:p>
    <w:p>
      <w:pPr>
        <w:pStyle w:val="TOC8"/>
        <w:rPr>
          <w:rFonts w:asciiTheme="minorHAnsi" w:eastAsiaTheme="minorEastAsia" w:hAnsiTheme="minorHAnsi" w:cstheme="minorBidi"/>
          <w:szCs w:val="22"/>
        </w:rPr>
      </w:pPr>
      <w:r>
        <w:t>161.</w:t>
      </w:r>
      <w:r>
        <w:tab/>
        <w:t>When subdivision occurs</w:t>
      </w:r>
      <w:r>
        <w:tab/>
      </w:r>
      <w:r>
        <w:fldChar w:fldCharType="begin"/>
      </w:r>
      <w:r>
        <w:instrText xml:space="preserve"> PAGEREF _Toc155166030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5 — Development controls</w:t>
      </w:r>
    </w:p>
    <w:p>
      <w:pPr>
        <w:pStyle w:val="TOC8"/>
        <w:rPr>
          <w:rFonts w:asciiTheme="minorHAnsi" w:eastAsiaTheme="minorEastAsia" w:hAnsiTheme="minorHAnsi" w:cstheme="minorBidi"/>
          <w:szCs w:val="22"/>
        </w:rPr>
      </w:pPr>
      <w:r>
        <w:t>162.</w:t>
      </w:r>
      <w:r>
        <w:tab/>
        <w:t>No development except with approval</w:t>
      </w:r>
      <w:r>
        <w:tab/>
      </w:r>
      <w:r>
        <w:fldChar w:fldCharType="begin"/>
      </w:r>
      <w:r>
        <w:instrText xml:space="preserve"> PAGEREF _Toc155166032 \h </w:instrText>
      </w:r>
      <w:r>
        <w:fldChar w:fldCharType="separate"/>
      </w:r>
      <w:r>
        <w:t>132</w:t>
      </w:r>
      <w:r>
        <w:fldChar w:fldCharType="end"/>
      </w:r>
    </w:p>
    <w:p>
      <w:pPr>
        <w:pStyle w:val="TOC8"/>
        <w:rPr>
          <w:rFonts w:asciiTheme="minorHAnsi" w:eastAsiaTheme="minorEastAsia" w:hAnsiTheme="minorHAnsi" w:cstheme="minorBidi"/>
          <w:szCs w:val="22"/>
        </w:rPr>
      </w:pPr>
      <w:r>
        <w:t>163.</w:t>
      </w:r>
      <w:r>
        <w:tab/>
        <w:t>Application for development of heritage place</w:t>
      </w:r>
      <w:r>
        <w:tab/>
      </w:r>
      <w:r>
        <w:fldChar w:fldCharType="begin"/>
      </w:r>
      <w:r>
        <w:instrText xml:space="preserve"> PAGEREF _Toc155166033 \h </w:instrText>
      </w:r>
      <w:r>
        <w:fldChar w:fldCharType="separate"/>
      </w:r>
      <w:r>
        <w:t>132</w:t>
      </w:r>
      <w:r>
        <w:fldChar w:fldCharType="end"/>
      </w:r>
    </w:p>
    <w:p>
      <w:pPr>
        <w:pStyle w:val="TOC8"/>
        <w:rPr>
          <w:rFonts w:asciiTheme="minorHAnsi" w:eastAsiaTheme="minorEastAsia" w:hAnsiTheme="minorHAnsi" w:cstheme="minorBidi"/>
          <w:szCs w:val="22"/>
        </w:rPr>
      </w:pPr>
      <w:r>
        <w:t>164.</w:t>
      </w:r>
      <w:r>
        <w:tab/>
        <w:t>Development commenced or carried out, subsequent approval of</w:t>
      </w:r>
      <w:r>
        <w:tab/>
      </w:r>
      <w:r>
        <w:fldChar w:fldCharType="begin"/>
      </w:r>
      <w:r>
        <w:instrText xml:space="preserve"> PAGEREF _Toc155166034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5A — Integration of subdivision and development</w:t>
      </w:r>
    </w:p>
    <w:p>
      <w:pPr>
        <w:pStyle w:val="TOC8"/>
        <w:rPr>
          <w:rFonts w:asciiTheme="minorHAnsi" w:eastAsiaTheme="minorEastAsia" w:hAnsiTheme="minorHAnsi" w:cstheme="minorBidi"/>
          <w:szCs w:val="22"/>
        </w:rPr>
      </w:pPr>
      <w:r>
        <w:t>164A.</w:t>
      </w:r>
      <w:r>
        <w:tab/>
        <w:t>Integration of subdivision and development</w:t>
      </w:r>
      <w:r>
        <w:tab/>
      </w:r>
      <w:r>
        <w:fldChar w:fldCharType="begin"/>
      </w:r>
      <w:r>
        <w:instrText xml:space="preserve"> PAGEREF _Toc155166036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165.</w:t>
      </w:r>
      <w:r>
        <w:tab/>
        <w:t>Hazard etc. affecting land, notating titles as to</w:t>
      </w:r>
      <w:r>
        <w:tab/>
      </w:r>
      <w:r>
        <w:fldChar w:fldCharType="begin"/>
      </w:r>
      <w:r>
        <w:instrText xml:space="preserve"> PAGEREF _Toc155166038 \h </w:instrText>
      </w:r>
      <w:r>
        <w:fldChar w:fldCharType="separate"/>
      </w:r>
      <w:r>
        <w:t>135</w:t>
      </w:r>
      <w:r>
        <w:fldChar w:fldCharType="end"/>
      </w:r>
    </w:p>
    <w:p>
      <w:pPr>
        <w:pStyle w:val="TOC8"/>
        <w:rPr>
          <w:rFonts w:asciiTheme="minorHAnsi" w:eastAsiaTheme="minorEastAsia" w:hAnsiTheme="minorHAnsi" w:cstheme="minorBidi"/>
          <w:szCs w:val="22"/>
        </w:rPr>
      </w:pPr>
      <w:r>
        <w:t>166.</w:t>
      </w:r>
      <w:r>
        <w:tab/>
        <w:t>Encroachment that leads to approved subdivision</w:t>
      </w:r>
      <w:r>
        <w:tab/>
      </w:r>
      <w:r>
        <w:fldChar w:fldCharType="begin"/>
      </w:r>
      <w:r>
        <w:instrText xml:space="preserve"> PAGEREF _Toc155166039 \h </w:instrText>
      </w:r>
      <w:r>
        <w:fldChar w:fldCharType="separate"/>
      </w:r>
      <w:r>
        <w:t>136</w:t>
      </w:r>
      <w:r>
        <w:fldChar w:fldCharType="end"/>
      </w:r>
    </w:p>
    <w:p>
      <w:pPr>
        <w:pStyle w:val="TOC8"/>
        <w:rPr>
          <w:rFonts w:asciiTheme="minorHAnsi" w:eastAsiaTheme="minorEastAsia" w:hAnsiTheme="minorHAnsi" w:cstheme="minorBidi"/>
          <w:szCs w:val="22"/>
        </w:rPr>
      </w:pPr>
      <w:r>
        <w:lastRenderedPageBreak/>
        <w:t>167.</w:t>
      </w:r>
      <w:r>
        <w:tab/>
        <w:t>Easement, creation of etc. on subdivision etc.</w:t>
      </w:r>
      <w:r>
        <w:tab/>
      </w:r>
      <w:r>
        <w:fldChar w:fldCharType="begin"/>
      </w:r>
      <w:r>
        <w:instrText xml:space="preserve"> PAGEREF _Toc155166040 \h </w:instrText>
      </w:r>
      <w:r>
        <w:fldChar w:fldCharType="separate"/>
      </w:r>
      <w:r>
        <w:t>137</w:t>
      </w:r>
      <w:r>
        <w:fldChar w:fldCharType="end"/>
      </w:r>
    </w:p>
    <w:p>
      <w:pPr>
        <w:pStyle w:val="TOC8"/>
        <w:rPr>
          <w:rFonts w:asciiTheme="minorHAnsi" w:eastAsiaTheme="minorEastAsia" w:hAnsiTheme="minorHAnsi" w:cstheme="minorBidi"/>
          <w:szCs w:val="22"/>
        </w:rPr>
      </w:pPr>
      <w:r>
        <w:t>168.</w:t>
      </w:r>
      <w:r>
        <w:tab/>
        <w:t>Road, creation of etc. on subdivision etc.</w:t>
      </w:r>
      <w:r>
        <w:tab/>
      </w:r>
      <w:r>
        <w:fldChar w:fldCharType="begin"/>
      </w:r>
      <w:r>
        <w:instrText xml:space="preserve"> PAGEREF _Toc155166041 \h </w:instrText>
      </w:r>
      <w:r>
        <w:fldChar w:fldCharType="separate"/>
      </w:r>
      <w:r>
        <w:t>139</w:t>
      </w:r>
      <w:r>
        <w:fldChar w:fldCharType="end"/>
      </w:r>
    </w:p>
    <w:p>
      <w:pPr>
        <w:pStyle w:val="TOC8"/>
        <w:rPr>
          <w:rFonts w:asciiTheme="minorHAnsi" w:eastAsiaTheme="minorEastAsia" w:hAnsiTheme="minorHAnsi" w:cstheme="minorBidi"/>
          <w:szCs w:val="22"/>
        </w:rPr>
      </w:pPr>
      <w:r>
        <w:t>169.</w:t>
      </w:r>
      <w:r>
        <w:tab/>
        <w:t>Roads and waterways, minimum standards of construction for</w:t>
      </w:r>
      <w:r>
        <w:tab/>
      </w:r>
      <w:r>
        <w:fldChar w:fldCharType="begin"/>
      </w:r>
      <w:r>
        <w:instrText xml:space="preserve"> PAGEREF _Toc155166042 \h </w:instrText>
      </w:r>
      <w:r>
        <w:fldChar w:fldCharType="separate"/>
      </w:r>
      <w:r>
        <w:t>141</w:t>
      </w:r>
      <w:r>
        <w:fldChar w:fldCharType="end"/>
      </w:r>
    </w:p>
    <w:p>
      <w:pPr>
        <w:pStyle w:val="TOC8"/>
        <w:rPr>
          <w:rFonts w:asciiTheme="minorHAnsi" w:eastAsiaTheme="minorEastAsia" w:hAnsiTheme="minorHAnsi" w:cstheme="minorBidi"/>
          <w:szCs w:val="22"/>
        </w:rPr>
      </w:pPr>
      <w:r>
        <w:t>170.</w:t>
      </w:r>
      <w:r>
        <w:tab/>
        <w:t>Proposed road or waterway, drawings etc. of required</w:t>
      </w:r>
      <w:r>
        <w:tab/>
      </w:r>
      <w:r>
        <w:fldChar w:fldCharType="begin"/>
      </w:r>
      <w:r>
        <w:instrText xml:space="preserve"> PAGEREF _Toc155166043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Development Assessment Panels and development control</w:t>
      </w:r>
    </w:p>
    <w:p>
      <w:pPr>
        <w:pStyle w:val="TOC4"/>
        <w:tabs>
          <w:tab w:val="right" w:leader="dot" w:pos="7077"/>
        </w:tabs>
        <w:rPr>
          <w:rFonts w:asciiTheme="minorHAnsi" w:eastAsiaTheme="minorEastAsia" w:hAnsiTheme="minorHAnsi" w:cstheme="minorBidi"/>
          <w:b w:val="0"/>
          <w:szCs w:val="22"/>
        </w:rPr>
      </w:pPr>
      <w:r>
        <w:t>Division 1 — Functions of DAPs</w:t>
      </w:r>
    </w:p>
    <w:p>
      <w:pPr>
        <w:pStyle w:val="TOC8"/>
        <w:rPr>
          <w:rFonts w:asciiTheme="minorHAnsi" w:eastAsiaTheme="minorEastAsia" w:hAnsiTheme="minorHAnsi" w:cstheme="minorBidi"/>
          <w:szCs w:val="22"/>
        </w:rPr>
      </w:pPr>
      <w:r>
        <w:t>171A.</w:t>
      </w:r>
      <w:r>
        <w:tab/>
        <w:t>Prescribed development applications, DAP to determine and regulations for</w:t>
      </w:r>
      <w:r>
        <w:tab/>
      </w:r>
      <w:r>
        <w:fldChar w:fldCharType="begin"/>
      </w:r>
      <w:r>
        <w:instrText xml:space="preserve"> PAGEREF _Toc155166046 \h </w:instrText>
      </w:r>
      <w:r>
        <w:fldChar w:fldCharType="separate"/>
      </w:r>
      <w:r>
        <w:t>144</w:t>
      </w:r>
      <w:r>
        <w:fldChar w:fldCharType="end"/>
      </w:r>
    </w:p>
    <w:p>
      <w:pPr>
        <w:pStyle w:val="TOC8"/>
        <w:rPr>
          <w:rFonts w:asciiTheme="minorHAnsi" w:eastAsiaTheme="minorEastAsia" w:hAnsiTheme="minorHAnsi" w:cstheme="minorBidi"/>
          <w:szCs w:val="22"/>
        </w:rPr>
      </w:pPr>
      <w:r>
        <w:t>171B.</w:t>
      </w:r>
      <w:r>
        <w:tab/>
        <w:t>DAP to carry out delegated functions</w:t>
      </w:r>
      <w:r>
        <w:tab/>
      </w:r>
      <w:r>
        <w:fldChar w:fldCharType="begin"/>
      </w:r>
      <w:r>
        <w:instrText xml:space="preserve"> PAGEREF _Toc155166047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2 — Development Assessment Panels: establishment and administration</w:t>
      </w:r>
    </w:p>
    <w:p>
      <w:pPr>
        <w:pStyle w:val="TOC8"/>
        <w:rPr>
          <w:rFonts w:asciiTheme="minorHAnsi" w:eastAsiaTheme="minorEastAsia" w:hAnsiTheme="minorHAnsi" w:cstheme="minorBidi"/>
          <w:szCs w:val="22"/>
        </w:rPr>
      </w:pPr>
      <w:r>
        <w:t>171C.</w:t>
      </w:r>
      <w:r>
        <w:tab/>
        <w:t>Establishment of DAPs</w:t>
      </w:r>
      <w:r>
        <w:tab/>
      </w:r>
      <w:r>
        <w:fldChar w:fldCharType="begin"/>
      </w:r>
      <w:r>
        <w:instrText xml:space="preserve"> PAGEREF _Toc155166049 \h </w:instrText>
      </w:r>
      <w:r>
        <w:fldChar w:fldCharType="separate"/>
      </w:r>
      <w:r>
        <w:t>147</w:t>
      </w:r>
      <w:r>
        <w:fldChar w:fldCharType="end"/>
      </w:r>
    </w:p>
    <w:p>
      <w:pPr>
        <w:pStyle w:val="TOC8"/>
        <w:rPr>
          <w:rFonts w:asciiTheme="minorHAnsi" w:eastAsiaTheme="minorEastAsia" w:hAnsiTheme="minorHAnsi" w:cstheme="minorBidi"/>
          <w:szCs w:val="22"/>
        </w:rPr>
      </w:pPr>
      <w:r>
        <w:t>171D.</w:t>
      </w:r>
      <w:r>
        <w:tab/>
        <w:t>Constitution, procedure and conduct of DAPs</w:t>
      </w:r>
      <w:r>
        <w:tab/>
      </w:r>
      <w:r>
        <w:fldChar w:fldCharType="begin"/>
      </w:r>
      <w:r>
        <w:instrText xml:space="preserve"> PAGEREF _Toc155166050 \h </w:instrText>
      </w:r>
      <w:r>
        <w:fldChar w:fldCharType="separate"/>
      </w:r>
      <w:r>
        <w:t>147</w:t>
      </w:r>
      <w:r>
        <w:fldChar w:fldCharType="end"/>
      </w:r>
    </w:p>
    <w:p>
      <w:pPr>
        <w:pStyle w:val="TOC8"/>
        <w:rPr>
          <w:rFonts w:asciiTheme="minorHAnsi" w:eastAsiaTheme="minorEastAsia" w:hAnsiTheme="minorHAnsi" w:cstheme="minorBidi"/>
          <w:szCs w:val="22"/>
        </w:rPr>
      </w:pPr>
      <w:r>
        <w:t>171E.</w:t>
      </w:r>
      <w:r>
        <w:tab/>
        <w:t>Administration and costs of DAPs</w:t>
      </w:r>
      <w:r>
        <w:tab/>
      </w:r>
      <w:r>
        <w:fldChar w:fldCharType="begin"/>
      </w:r>
      <w:r>
        <w:instrText xml:space="preserve"> PAGEREF _Toc155166051 \h </w:instrText>
      </w:r>
      <w:r>
        <w:fldChar w:fldCharType="separate"/>
      </w:r>
      <w:r>
        <w:t>148</w:t>
      </w:r>
      <w:r>
        <w:fldChar w:fldCharType="end"/>
      </w:r>
    </w:p>
    <w:p>
      <w:pPr>
        <w:pStyle w:val="TOC8"/>
        <w:rPr>
          <w:rFonts w:asciiTheme="minorHAnsi" w:eastAsiaTheme="minorEastAsia" w:hAnsiTheme="minorHAnsi" w:cstheme="minorBidi"/>
          <w:szCs w:val="22"/>
        </w:rPr>
      </w:pPr>
      <w:r>
        <w:t>171F.</w:t>
      </w:r>
      <w:r>
        <w:tab/>
        <w:t>Review of regulations</w:t>
      </w:r>
      <w:r>
        <w:tab/>
      </w:r>
      <w:r>
        <w:fldChar w:fldCharType="begin"/>
      </w:r>
      <w:r>
        <w:instrText xml:space="preserve"> PAGEREF _Toc155166052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11 — Compensation and acquisition</w:t>
      </w:r>
    </w:p>
    <w:p>
      <w:pPr>
        <w:pStyle w:val="TOC4"/>
        <w:tabs>
          <w:tab w:val="right" w:leader="dot" w:pos="7077"/>
        </w:tabs>
        <w:rPr>
          <w:rFonts w:asciiTheme="minorHAnsi" w:eastAsiaTheme="minorEastAsia" w:hAnsiTheme="minorHAnsi" w:cstheme="minorBidi"/>
          <w:b w:val="0"/>
          <w:szCs w:val="22"/>
        </w:rPr>
      </w:pPr>
      <w:r>
        <w:t>Division 1 — General matters in relation to compensation</w:t>
      </w:r>
    </w:p>
    <w:p>
      <w:pPr>
        <w:pStyle w:val="TOC8"/>
        <w:rPr>
          <w:rFonts w:asciiTheme="minorHAnsi" w:eastAsiaTheme="minorEastAsia" w:hAnsiTheme="minorHAnsi" w:cstheme="minorBidi"/>
          <w:szCs w:val="22"/>
        </w:rPr>
      </w:pPr>
      <w:r>
        <w:t>171.</w:t>
      </w:r>
      <w:r>
        <w:tab/>
        <w:t>Entitlement to compensation, limits on</w:t>
      </w:r>
      <w:r>
        <w:tab/>
      </w:r>
      <w:r>
        <w:fldChar w:fldCharType="begin"/>
      </w:r>
      <w:r>
        <w:instrText xml:space="preserve"> PAGEREF _Toc155166055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2 — Compensation where land injuriously affected by planning scheme</w:t>
      </w:r>
    </w:p>
    <w:p>
      <w:pPr>
        <w:pStyle w:val="TOC8"/>
        <w:rPr>
          <w:rFonts w:asciiTheme="minorHAnsi" w:eastAsiaTheme="minorEastAsia" w:hAnsiTheme="minorHAnsi" w:cstheme="minorBidi"/>
          <w:szCs w:val="22"/>
        </w:rPr>
      </w:pPr>
      <w:r>
        <w:t>172.</w:t>
      </w:r>
      <w:r>
        <w:tab/>
        <w:t>Terms used</w:t>
      </w:r>
      <w:r>
        <w:tab/>
      </w:r>
      <w:r>
        <w:fldChar w:fldCharType="begin"/>
      </w:r>
      <w:r>
        <w:instrText xml:space="preserve"> PAGEREF _Toc155166057 \h </w:instrText>
      </w:r>
      <w:r>
        <w:fldChar w:fldCharType="separate"/>
      </w:r>
      <w:r>
        <w:t>150</w:t>
      </w:r>
      <w:r>
        <w:fldChar w:fldCharType="end"/>
      </w:r>
    </w:p>
    <w:p>
      <w:pPr>
        <w:pStyle w:val="TOC8"/>
        <w:rPr>
          <w:rFonts w:asciiTheme="minorHAnsi" w:eastAsiaTheme="minorEastAsia" w:hAnsiTheme="minorHAnsi" w:cstheme="minorBidi"/>
          <w:szCs w:val="22"/>
        </w:rPr>
      </w:pPr>
      <w:r>
        <w:t>173.</w:t>
      </w:r>
      <w:r>
        <w:tab/>
        <w:t>Injurious affection, compensation for</w:t>
      </w:r>
      <w:r>
        <w:tab/>
      </w:r>
      <w:r>
        <w:fldChar w:fldCharType="begin"/>
      </w:r>
      <w:r>
        <w:instrText xml:space="preserve"> PAGEREF _Toc155166058 \h </w:instrText>
      </w:r>
      <w:r>
        <w:fldChar w:fldCharType="separate"/>
      </w:r>
      <w:r>
        <w:t>151</w:t>
      </w:r>
      <w:r>
        <w:fldChar w:fldCharType="end"/>
      </w:r>
    </w:p>
    <w:p>
      <w:pPr>
        <w:pStyle w:val="TOC8"/>
        <w:rPr>
          <w:rFonts w:asciiTheme="minorHAnsi" w:eastAsiaTheme="minorEastAsia" w:hAnsiTheme="minorHAnsi" w:cstheme="minorBidi"/>
          <w:szCs w:val="22"/>
        </w:rPr>
      </w:pPr>
      <w:r>
        <w:t>174.</w:t>
      </w:r>
      <w:r>
        <w:tab/>
        <w:t>When land is injuriously affected</w:t>
      </w:r>
      <w:r>
        <w:tab/>
      </w:r>
      <w:r>
        <w:fldChar w:fldCharType="begin"/>
      </w:r>
      <w:r>
        <w:instrText xml:space="preserve"> PAGEREF _Toc155166059 \h </w:instrText>
      </w:r>
      <w:r>
        <w:fldChar w:fldCharType="separate"/>
      </w:r>
      <w:r>
        <w:t>151</w:t>
      </w:r>
      <w:r>
        <w:fldChar w:fldCharType="end"/>
      </w:r>
    </w:p>
    <w:p>
      <w:pPr>
        <w:pStyle w:val="TOC8"/>
        <w:rPr>
          <w:rFonts w:asciiTheme="minorHAnsi" w:eastAsiaTheme="minorEastAsia" w:hAnsiTheme="minorHAnsi" w:cstheme="minorBidi"/>
          <w:szCs w:val="22"/>
        </w:rPr>
      </w:pPr>
      <w:r>
        <w:t>175.</w:t>
      </w:r>
      <w:r>
        <w:tab/>
        <w:t>No compensation if scheme’s provisions are, or could have been, in certain other laws</w:t>
      </w:r>
      <w:r>
        <w:tab/>
      </w:r>
      <w:r>
        <w:fldChar w:fldCharType="begin"/>
      </w:r>
      <w:r>
        <w:instrText xml:space="preserve"> PAGEREF _Toc155166060 \h </w:instrText>
      </w:r>
      <w:r>
        <w:fldChar w:fldCharType="separate"/>
      </w:r>
      <w:r>
        <w:t>153</w:t>
      </w:r>
      <w:r>
        <w:fldChar w:fldCharType="end"/>
      </w:r>
    </w:p>
    <w:p>
      <w:pPr>
        <w:pStyle w:val="TOC8"/>
        <w:rPr>
          <w:rFonts w:asciiTheme="minorHAnsi" w:eastAsiaTheme="minorEastAsia" w:hAnsiTheme="minorHAnsi" w:cstheme="minorBidi"/>
          <w:szCs w:val="22"/>
        </w:rPr>
      </w:pPr>
      <w:r>
        <w:t>176.</w:t>
      </w:r>
      <w:r>
        <w:tab/>
        <w:t>Questions as to injurious affection etc., how determined</w:t>
      </w:r>
      <w:r>
        <w:tab/>
      </w:r>
      <w:r>
        <w:fldChar w:fldCharType="begin"/>
      </w:r>
      <w:r>
        <w:instrText xml:space="preserve"> PAGEREF _Toc155166061 \h </w:instrText>
      </w:r>
      <w:r>
        <w:fldChar w:fldCharType="separate"/>
      </w:r>
      <w:r>
        <w:t>154</w:t>
      </w:r>
      <w:r>
        <w:fldChar w:fldCharType="end"/>
      </w:r>
    </w:p>
    <w:p>
      <w:pPr>
        <w:pStyle w:val="TOC8"/>
        <w:rPr>
          <w:rFonts w:asciiTheme="minorHAnsi" w:eastAsiaTheme="minorEastAsia" w:hAnsiTheme="minorHAnsi" w:cstheme="minorBidi"/>
          <w:szCs w:val="22"/>
        </w:rPr>
      </w:pPr>
      <w:r>
        <w:t>177.</w:t>
      </w:r>
      <w:r>
        <w:tab/>
        <w:t>When compensation payable if land reserved</w:t>
      </w:r>
      <w:r>
        <w:tab/>
      </w:r>
      <w:r>
        <w:fldChar w:fldCharType="begin"/>
      </w:r>
      <w:r>
        <w:instrText xml:space="preserve"> PAGEREF _Toc155166062 \h </w:instrText>
      </w:r>
      <w:r>
        <w:fldChar w:fldCharType="separate"/>
      </w:r>
      <w:r>
        <w:t>154</w:t>
      </w:r>
      <w:r>
        <w:fldChar w:fldCharType="end"/>
      </w:r>
    </w:p>
    <w:p>
      <w:pPr>
        <w:pStyle w:val="TOC8"/>
        <w:rPr>
          <w:rFonts w:asciiTheme="minorHAnsi" w:eastAsiaTheme="minorEastAsia" w:hAnsiTheme="minorHAnsi" w:cstheme="minorBidi"/>
          <w:szCs w:val="22"/>
        </w:rPr>
      </w:pPr>
      <w:r>
        <w:t>178.</w:t>
      </w:r>
      <w:r>
        <w:tab/>
        <w:t>Claim for compensation, time for making</w:t>
      </w:r>
      <w:r>
        <w:tab/>
      </w:r>
      <w:r>
        <w:fldChar w:fldCharType="begin"/>
      </w:r>
      <w:r>
        <w:instrText xml:space="preserve"> PAGEREF _Toc155166063 \h </w:instrText>
      </w:r>
      <w:r>
        <w:fldChar w:fldCharType="separate"/>
      </w:r>
      <w:r>
        <w:t>156</w:t>
      </w:r>
      <w:r>
        <w:fldChar w:fldCharType="end"/>
      </w:r>
    </w:p>
    <w:p>
      <w:pPr>
        <w:pStyle w:val="TOC8"/>
        <w:rPr>
          <w:rFonts w:asciiTheme="minorHAnsi" w:eastAsiaTheme="minorEastAsia" w:hAnsiTheme="minorHAnsi" w:cstheme="minorBidi"/>
          <w:szCs w:val="22"/>
        </w:rPr>
      </w:pPr>
      <w:r>
        <w:t>179.</w:t>
      </w:r>
      <w:r>
        <w:tab/>
        <w:t>Injurious affection due to land being reserved, amount of compensation for</w:t>
      </w:r>
      <w:r>
        <w:tab/>
      </w:r>
      <w:r>
        <w:fldChar w:fldCharType="begin"/>
      </w:r>
      <w:r>
        <w:instrText xml:space="preserve"> PAGEREF _Toc155166064 \h </w:instrText>
      </w:r>
      <w:r>
        <w:fldChar w:fldCharType="separate"/>
      </w:r>
      <w:r>
        <w:t>156</w:t>
      </w:r>
      <w:r>
        <w:fldChar w:fldCharType="end"/>
      </w:r>
    </w:p>
    <w:p>
      <w:pPr>
        <w:pStyle w:val="TOC8"/>
        <w:rPr>
          <w:rFonts w:asciiTheme="minorHAnsi" w:eastAsiaTheme="minorEastAsia" w:hAnsiTheme="minorHAnsi" w:cstheme="minorBidi"/>
          <w:szCs w:val="22"/>
        </w:rPr>
      </w:pPr>
      <w:r>
        <w:t>180.</w:t>
      </w:r>
      <w:r>
        <w:tab/>
        <w:t>Notating title to land after compensation paid</w:t>
      </w:r>
      <w:r>
        <w:tab/>
      </w:r>
      <w:r>
        <w:fldChar w:fldCharType="begin"/>
      </w:r>
      <w:r>
        <w:instrText xml:space="preserve"> PAGEREF _Toc155166065 \h </w:instrText>
      </w:r>
      <w:r>
        <w:fldChar w:fldCharType="separate"/>
      </w:r>
      <w:r>
        <w:t>157</w:t>
      </w:r>
      <w:r>
        <w:fldChar w:fldCharType="end"/>
      </w:r>
    </w:p>
    <w:p>
      <w:pPr>
        <w:pStyle w:val="TOC8"/>
        <w:rPr>
          <w:rFonts w:asciiTheme="minorHAnsi" w:eastAsiaTheme="minorEastAsia" w:hAnsiTheme="minorHAnsi" w:cstheme="minorBidi"/>
          <w:szCs w:val="22"/>
        </w:rPr>
      </w:pPr>
      <w:r>
        <w:lastRenderedPageBreak/>
        <w:t>181.</w:t>
      </w:r>
      <w:r>
        <w:tab/>
        <w:t>Recovering paid compensation if reservation revoked or reduced</w:t>
      </w:r>
      <w:r>
        <w:tab/>
      </w:r>
      <w:r>
        <w:fldChar w:fldCharType="begin"/>
      </w:r>
      <w:r>
        <w:instrText xml:space="preserve"> PAGEREF _Toc155166066 \h </w:instrText>
      </w:r>
      <w:r>
        <w:fldChar w:fldCharType="separate"/>
      </w:r>
      <w:r>
        <w:t>157</w:t>
      </w:r>
      <w:r>
        <w:fldChar w:fldCharType="end"/>
      </w:r>
    </w:p>
    <w:p>
      <w:pPr>
        <w:pStyle w:val="TOC8"/>
        <w:rPr>
          <w:rFonts w:asciiTheme="minorHAnsi" w:eastAsiaTheme="minorEastAsia" w:hAnsiTheme="minorHAnsi" w:cstheme="minorBidi"/>
          <w:szCs w:val="22"/>
        </w:rPr>
      </w:pPr>
      <w:r>
        <w:t>182.</w:t>
      </w:r>
      <w:r>
        <w:tab/>
        <w:t>Board of Valuers</w:t>
      </w:r>
      <w:r>
        <w:tab/>
      </w:r>
      <w:r>
        <w:fldChar w:fldCharType="begin"/>
      </w:r>
      <w:r>
        <w:instrText xml:space="preserve"> PAGEREF _Toc155166067 \h </w:instrText>
      </w:r>
      <w:r>
        <w:fldChar w:fldCharType="separate"/>
      </w:r>
      <w:r>
        <w:t>162</w:t>
      </w:r>
      <w:r>
        <w:fldChar w:fldCharType="end"/>
      </w:r>
    </w:p>
    <w:p>
      <w:pPr>
        <w:pStyle w:val="TOC8"/>
        <w:rPr>
          <w:rFonts w:asciiTheme="minorHAnsi" w:eastAsiaTheme="minorEastAsia" w:hAnsiTheme="minorHAnsi" w:cstheme="minorBidi"/>
          <w:szCs w:val="22"/>
        </w:rPr>
      </w:pPr>
      <w:r>
        <w:t>183.</w:t>
      </w:r>
      <w:r>
        <w:tab/>
        <w:t>Valuations by Board</w:t>
      </w:r>
      <w:r>
        <w:tab/>
      </w:r>
      <w:r>
        <w:fldChar w:fldCharType="begin"/>
      </w:r>
      <w:r>
        <w:instrText xml:space="preserve"> PAGEREF _Toc155166068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3 — Other compensation</w:t>
      </w:r>
    </w:p>
    <w:p>
      <w:pPr>
        <w:pStyle w:val="TOC8"/>
        <w:rPr>
          <w:rFonts w:asciiTheme="minorHAnsi" w:eastAsiaTheme="minorEastAsia" w:hAnsiTheme="minorHAnsi" w:cstheme="minorBidi"/>
          <w:szCs w:val="22"/>
        </w:rPr>
      </w:pPr>
      <w:r>
        <w:t>184.</w:t>
      </w:r>
      <w:r>
        <w:tab/>
        <w:t>Betterment; compensation for expenses rendered abortive by amendment or repeal of scheme</w:t>
      </w:r>
      <w:r>
        <w:tab/>
      </w:r>
      <w:r>
        <w:fldChar w:fldCharType="begin"/>
      </w:r>
      <w:r>
        <w:instrText xml:space="preserve"> PAGEREF _Toc155166070 \h </w:instrText>
      </w:r>
      <w:r>
        <w:fldChar w:fldCharType="separate"/>
      </w:r>
      <w:r>
        <w:t>164</w:t>
      </w:r>
      <w:r>
        <w:fldChar w:fldCharType="end"/>
      </w:r>
    </w:p>
    <w:p>
      <w:pPr>
        <w:pStyle w:val="TOC8"/>
        <w:rPr>
          <w:rFonts w:asciiTheme="minorHAnsi" w:eastAsiaTheme="minorEastAsia" w:hAnsiTheme="minorHAnsi" w:cstheme="minorBidi"/>
          <w:szCs w:val="22"/>
        </w:rPr>
      </w:pPr>
      <w:r>
        <w:t>185.</w:t>
      </w:r>
      <w:r>
        <w:tab/>
        <w:t>Injurious affection due to interim development order</w:t>
      </w:r>
      <w:r>
        <w:tab/>
      </w:r>
      <w:r>
        <w:fldChar w:fldCharType="begin"/>
      </w:r>
      <w:r>
        <w:instrText xml:space="preserve"> PAGEREF _Toc155166071 \h </w:instrText>
      </w:r>
      <w:r>
        <w:fldChar w:fldCharType="separate"/>
      </w:r>
      <w:r>
        <w:t>165</w:t>
      </w:r>
      <w:r>
        <w:fldChar w:fldCharType="end"/>
      </w:r>
    </w:p>
    <w:p>
      <w:pPr>
        <w:pStyle w:val="TOC8"/>
        <w:rPr>
          <w:rFonts w:asciiTheme="minorHAnsi" w:eastAsiaTheme="minorEastAsia" w:hAnsiTheme="minorHAnsi" w:cstheme="minorBidi"/>
          <w:szCs w:val="22"/>
        </w:rPr>
      </w:pPr>
      <w:r>
        <w:t>186.</w:t>
      </w:r>
      <w:r>
        <w:tab/>
        <w:t>Injurious affection due to planning control area</w:t>
      </w:r>
      <w:r>
        <w:tab/>
      </w:r>
      <w:r>
        <w:fldChar w:fldCharType="begin"/>
      </w:r>
      <w:r>
        <w:instrText xml:space="preserve"> PAGEREF _Toc155166072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4 — Purchase or compulsory acquisition</w:t>
      </w:r>
    </w:p>
    <w:p>
      <w:pPr>
        <w:pStyle w:val="TOC8"/>
        <w:rPr>
          <w:rFonts w:asciiTheme="minorHAnsi" w:eastAsiaTheme="minorEastAsia" w:hAnsiTheme="minorHAnsi" w:cstheme="minorBidi"/>
          <w:szCs w:val="22"/>
        </w:rPr>
      </w:pPr>
      <w:r>
        <w:t>187.</w:t>
      </w:r>
      <w:r>
        <w:tab/>
        <w:t>Acquiring land in lieu of paying compensation</w:t>
      </w:r>
      <w:r>
        <w:tab/>
      </w:r>
      <w:r>
        <w:fldChar w:fldCharType="begin"/>
      </w:r>
      <w:r>
        <w:instrText xml:space="preserve"> PAGEREF _Toc155166074 \h </w:instrText>
      </w:r>
      <w:r>
        <w:fldChar w:fldCharType="separate"/>
      </w:r>
      <w:r>
        <w:t>166</w:t>
      </w:r>
      <w:r>
        <w:fldChar w:fldCharType="end"/>
      </w:r>
    </w:p>
    <w:p>
      <w:pPr>
        <w:pStyle w:val="TOC8"/>
        <w:rPr>
          <w:rFonts w:asciiTheme="minorHAnsi" w:eastAsiaTheme="minorEastAsia" w:hAnsiTheme="minorHAnsi" w:cstheme="minorBidi"/>
          <w:szCs w:val="22"/>
        </w:rPr>
      </w:pPr>
      <w:r>
        <w:t>188.</w:t>
      </w:r>
      <w:r>
        <w:tab/>
        <w:t>Land to be acquired under s. 187, valuing</w:t>
      </w:r>
      <w:r>
        <w:tab/>
      </w:r>
      <w:r>
        <w:fldChar w:fldCharType="begin"/>
      </w:r>
      <w:r>
        <w:instrText xml:space="preserve"> PAGEREF _Toc155166075 \h </w:instrText>
      </w:r>
      <w:r>
        <w:fldChar w:fldCharType="separate"/>
      </w:r>
      <w:r>
        <w:t>167</w:t>
      </w:r>
      <w:r>
        <w:fldChar w:fldCharType="end"/>
      </w:r>
    </w:p>
    <w:p>
      <w:pPr>
        <w:pStyle w:val="TOC8"/>
        <w:rPr>
          <w:rFonts w:asciiTheme="minorHAnsi" w:eastAsiaTheme="minorEastAsia" w:hAnsiTheme="minorHAnsi" w:cstheme="minorBidi"/>
          <w:szCs w:val="22"/>
        </w:rPr>
      </w:pPr>
      <w:r>
        <w:t>189.</w:t>
      </w:r>
      <w:r>
        <w:tab/>
        <w:t>Land in proposed region planning scheme, Commission may purchase</w:t>
      </w:r>
      <w:r>
        <w:tab/>
      </w:r>
      <w:r>
        <w:fldChar w:fldCharType="begin"/>
      </w:r>
      <w:r>
        <w:instrText xml:space="preserve"> PAGEREF _Toc155166076 \h </w:instrText>
      </w:r>
      <w:r>
        <w:fldChar w:fldCharType="separate"/>
      </w:r>
      <w:r>
        <w:t>168</w:t>
      </w:r>
      <w:r>
        <w:fldChar w:fldCharType="end"/>
      </w:r>
    </w:p>
    <w:p>
      <w:pPr>
        <w:pStyle w:val="TOC8"/>
        <w:rPr>
          <w:rFonts w:asciiTheme="minorHAnsi" w:eastAsiaTheme="minorEastAsia" w:hAnsiTheme="minorHAnsi" w:cstheme="minorBidi"/>
          <w:szCs w:val="22"/>
        </w:rPr>
      </w:pPr>
      <w:r>
        <w:t>190.</w:t>
      </w:r>
      <w:r>
        <w:tab/>
        <w:t>Responsible authority may purchase land for planning scheme</w:t>
      </w:r>
      <w:r>
        <w:tab/>
      </w:r>
      <w:r>
        <w:fldChar w:fldCharType="begin"/>
      </w:r>
      <w:r>
        <w:instrText xml:space="preserve"> PAGEREF _Toc155166077 \h </w:instrText>
      </w:r>
      <w:r>
        <w:fldChar w:fldCharType="separate"/>
      </w:r>
      <w:r>
        <w:t>168</w:t>
      </w:r>
      <w:r>
        <w:fldChar w:fldCharType="end"/>
      </w:r>
    </w:p>
    <w:p>
      <w:pPr>
        <w:pStyle w:val="TOC8"/>
        <w:rPr>
          <w:rFonts w:asciiTheme="minorHAnsi" w:eastAsiaTheme="minorEastAsia" w:hAnsiTheme="minorHAnsi" w:cstheme="minorBidi"/>
          <w:szCs w:val="22"/>
        </w:rPr>
      </w:pPr>
      <w:r>
        <w:t>191.</w:t>
      </w:r>
      <w:r>
        <w:tab/>
        <w:t>Compulsory acquisition of land in scheme area</w:t>
      </w:r>
      <w:r>
        <w:tab/>
      </w:r>
      <w:r>
        <w:fldChar w:fldCharType="begin"/>
      </w:r>
      <w:r>
        <w:instrText xml:space="preserve"> PAGEREF _Toc155166078 \h </w:instrText>
      </w:r>
      <w:r>
        <w:fldChar w:fldCharType="separate"/>
      </w:r>
      <w:r>
        <w:t>169</w:t>
      </w:r>
      <w:r>
        <w:fldChar w:fldCharType="end"/>
      </w:r>
    </w:p>
    <w:p>
      <w:pPr>
        <w:pStyle w:val="TOC8"/>
        <w:rPr>
          <w:rFonts w:asciiTheme="minorHAnsi" w:eastAsiaTheme="minorEastAsia" w:hAnsiTheme="minorHAnsi" w:cstheme="minorBidi"/>
          <w:szCs w:val="22"/>
        </w:rPr>
      </w:pPr>
      <w:r>
        <w:t>192.</w:t>
      </w:r>
      <w:r>
        <w:tab/>
        <w:t>Land etc. to be acquired under s. 191, valuing</w:t>
      </w:r>
      <w:r>
        <w:tab/>
      </w:r>
      <w:r>
        <w:fldChar w:fldCharType="begin"/>
      </w:r>
      <w:r>
        <w:instrText xml:space="preserve"> PAGEREF _Toc155166079 \h </w:instrText>
      </w:r>
      <w:r>
        <w:fldChar w:fldCharType="separate"/>
      </w:r>
      <w:r>
        <w:t>170</w:t>
      </w:r>
      <w:r>
        <w:fldChar w:fldCharType="end"/>
      </w:r>
    </w:p>
    <w:p>
      <w:pPr>
        <w:pStyle w:val="TOC8"/>
        <w:rPr>
          <w:rFonts w:asciiTheme="minorHAnsi" w:eastAsiaTheme="minorEastAsia" w:hAnsiTheme="minorHAnsi" w:cstheme="minorBidi"/>
          <w:szCs w:val="22"/>
        </w:rPr>
      </w:pPr>
      <w:r>
        <w:t>193.</w:t>
      </w:r>
      <w:r>
        <w:tab/>
        <w:t>Responsible authority’s powers as to acquired land</w:t>
      </w:r>
      <w:r>
        <w:tab/>
      </w:r>
      <w:r>
        <w:fldChar w:fldCharType="begin"/>
      </w:r>
      <w:r>
        <w:instrText xml:space="preserve"> PAGEREF _Toc155166080 \h </w:instrText>
      </w:r>
      <w:r>
        <w:fldChar w:fldCharType="separate"/>
      </w:r>
      <w:r>
        <w:t>171</w:t>
      </w:r>
      <w:r>
        <w:fldChar w:fldCharType="end"/>
      </w:r>
    </w:p>
    <w:p>
      <w:pPr>
        <w:pStyle w:val="TOC8"/>
        <w:rPr>
          <w:rFonts w:asciiTheme="minorHAnsi" w:eastAsiaTheme="minorEastAsia" w:hAnsiTheme="minorHAnsi" w:cstheme="minorBidi"/>
          <w:szCs w:val="22"/>
        </w:rPr>
      </w:pPr>
      <w:r>
        <w:t>194.</w:t>
      </w:r>
      <w:r>
        <w:tab/>
        <w:t>Responsible authority may grant easement over acquired land</w:t>
      </w:r>
      <w:r>
        <w:tab/>
      </w:r>
      <w:r>
        <w:fldChar w:fldCharType="begin"/>
      </w:r>
      <w:r>
        <w:instrText xml:space="preserve"> PAGEREF _Toc155166081 \h </w:instrText>
      </w:r>
      <w:r>
        <w:fldChar w:fldCharType="separate"/>
      </w:r>
      <w:r>
        <w:t>171</w:t>
      </w:r>
      <w:r>
        <w:fldChar w:fldCharType="end"/>
      </w:r>
    </w:p>
    <w:p>
      <w:pPr>
        <w:pStyle w:val="TOC8"/>
        <w:rPr>
          <w:rFonts w:asciiTheme="minorHAnsi" w:eastAsiaTheme="minorEastAsia" w:hAnsiTheme="minorHAnsi" w:cstheme="minorBidi"/>
          <w:szCs w:val="22"/>
        </w:rPr>
      </w:pPr>
      <w:r>
        <w:t>195.</w:t>
      </w:r>
      <w:r>
        <w:tab/>
        <w:t>Commission’s powers to acquire land in improvement plan</w:t>
      </w:r>
      <w:r>
        <w:tab/>
      </w:r>
      <w:r>
        <w:fldChar w:fldCharType="begin"/>
      </w:r>
      <w:r>
        <w:instrText xml:space="preserve"> PAGEREF _Toc155166082 \h </w:instrText>
      </w:r>
      <w:r>
        <w:fldChar w:fldCharType="separate"/>
      </w:r>
      <w:r>
        <w:t>172</w:t>
      </w:r>
      <w:r>
        <w:fldChar w:fldCharType="end"/>
      </w:r>
    </w:p>
    <w:p>
      <w:pPr>
        <w:pStyle w:val="TOC8"/>
        <w:rPr>
          <w:rFonts w:asciiTheme="minorHAnsi" w:eastAsiaTheme="minorEastAsia" w:hAnsiTheme="minorHAnsi" w:cstheme="minorBidi"/>
          <w:szCs w:val="22"/>
        </w:rPr>
      </w:pPr>
      <w:r>
        <w:t>196.</w:t>
      </w:r>
      <w:r>
        <w:tab/>
        <w:t>Commission may sell etc. acquired land</w:t>
      </w:r>
      <w:r>
        <w:tab/>
      </w:r>
      <w:r>
        <w:fldChar w:fldCharType="begin"/>
      </w:r>
      <w:r>
        <w:instrText xml:space="preserve"> PAGEREF _Toc155166083 \h </w:instrText>
      </w:r>
      <w:r>
        <w:fldChar w:fldCharType="separate"/>
      </w:r>
      <w:r>
        <w:t>172</w:t>
      </w:r>
      <w:r>
        <w:fldChar w:fldCharType="end"/>
      </w:r>
    </w:p>
    <w:p>
      <w:pPr>
        <w:pStyle w:val="TOC8"/>
        <w:rPr>
          <w:rFonts w:asciiTheme="minorHAnsi" w:eastAsiaTheme="minorEastAsia" w:hAnsiTheme="minorHAnsi" w:cstheme="minorBidi"/>
          <w:szCs w:val="22"/>
        </w:rPr>
      </w:pPr>
      <w:r>
        <w:t>197.</w:t>
      </w:r>
      <w:r>
        <w:tab/>
        <w:t>Declaring land for public work to be instead held etc. for region planning scheme or improvement plan</w:t>
      </w:r>
      <w:r>
        <w:tab/>
      </w:r>
      <w:r>
        <w:fldChar w:fldCharType="begin"/>
      </w:r>
      <w:r>
        <w:instrText xml:space="preserve"> PAGEREF _Toc155166084 \h </w:instrText>
      </w:r>
      <w:r>
        <w:fldChar w:fldCharType="separate"/>
      </w:r>
      <w:r>
        <w:t>173</w:t>
      </w:r>
      <w:r>
        <w:fldChar w:fldCharType="end"/>
      </w:r>
    </w:p>
    <w:p>
      <w:pPr>
        <w:pStyle w:val="TOC8"/>
        <w:rPr>
          <w:rFonts w:asciiTheme="minorHAnsi" w:eastAsiaTheme="minorEastAsia" w:hAnsiTheme="minorHAnsi" w:cstheme="minorBidi"/>
          <w:szCs w:val="22"/>
        </w:rPr>
      </w:pPr>
      <w:r>
        <w:t>197A.</w:t>
      </w:r>
      <w:r>
        <w:tab/>
        <w:t>Planning control areas</w:t>
      </w:r>
      <w:r>
        <w:tab/>
      </w:r>
      <w:r>
        <w:fldChar w:fldCharType="begin"/>
      </w:r>
      <w:r>
        <w:instrText xml:space="preserve"> PAGEREF _Toc155166085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Part 12 — Financial provisions</w:t>
      </w:r>
    </w:p>
    <w:p>
      <w:pPr>
        <w:pStyle w:val="TOC4"/>
        <w:tabs>
          <w:tab w:val="right" w:leader="dot" w:pos="7077"/>
        </w:tabs>
        <w:rPr>
          <w:rFonts w:asciiTheme="minorHAnsi" w:eastAsiaTheme="minorEastAsia" w:hAnsiTheme="minorHAnsi" w:cstheme="minorBidi"/>
          <w:b w:val="0"/>
          <w:szCs w:val="22"/>
        </w:rPr>
      </w:pPr>
      <w:r>
        <w:t>Division 1 — Metropolitan Region Improvement Fund</w:t>
      </w:r>
    </w:p>
    <w:p>
      <w:pPr>
        <w:pStyle w:val="TOC8"/>
        <w:rPr>
          <w:rFonts w:asciiTheme="minorHAnsi" w:eastAsiaTheme="minorEastAsia" w:hAnsiTheme="minorHAnsi" w:cstheme="minorBidi"/>
          <w:szCs w:val="22"/>
        </w:rPr>
      </w:pPr>
      <w:r>
        <w:t>198.</w:t>
      </w:r>
      <w:r>
        <w:tab/>
        <w:t>Metropolitan Region Improvement Account</w:t>
      </w:r>
      <w:r>
        <w:tab/>
      </w:r>
      <w:r>
        <w:fldChar w:fldCharType="begin"/>
      </w:r>
      <w:r>
        <w:instrText xml:space="preserve"> PAGEREF _Toc155166088 \h </w:instrText>
      </w:r>
      <w:r>
        <w:fldChar w:fldCharType="separate"/>
      </w:r>
      <w:r>
        <w:t>177</w:t>
      </w:r>
      <w:r>
        <w:fldChar w:fldCharType="end"/>
      </w:r>
    </w:p>
    <w:p>
      <w:pPr>
        <w:pStyle w:val="TOC8"/>
        <w:rPr>
          <w:rFonts w:asciiTheme="minorHAnsi" w:eastAsiaTheme="minorEastAsia" w:hAnsiTheme="minorHAnsi" w:cstheme="minorBidi"/>
          <w:szCs w:val="22"/>
        </w:rPr>
      </w:pPr>
      <w:r>
        <w:t>199.</w:t>
      </w:r>
      <w:r>
        <w:tab/>
        <w:t>MRI Account, application of</w:t>
      </w:r>
      <w:r>
        <w:tab/>
      </w:r>
      <w:r>
        <w:fldChar w:fldCharType="begin"/>
      </w:r>
      <w:r>
        <w:instrText xml:space="preserve"> PAGEREF _Toc155166089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2 — Metropolitan Region Improvement Tax</w:t>
      </w:r>
    </w:p>
    <w:p>
      <w:pPr>
        <w:pStyle w:val="TOC8"/>
        <w:rPr>
          <w:rFonts w:asciiTheme="minorHAnsi" w:eastAsiaTheme="minorEastAsia" w:hAnsiTheme="minorHAnsi" w:cstheme="minorBidi"/>
          <w:szCs w:val="22"/>
        </w:rPr>
      </w:pPr>
      <w:r>
        <w:t>200.</w:t>
      </w:r>
      <w:r>
        <w:tab/>
        <w:t>Owners’ liability to pay tax</w:t>
      </w:r>
      <w:r>
        <w:tab/>
      </w:r>
      <w:r>
        <w:fldChar w:fldCharType="begin"/>
      </w:r>
      <w:r>
        <w:instrText xml:space="preserve"> PAGEREF _Toc155166091 \h </w:instrText>
      </w:r>
      <w:r>
        <w:fldChar w:fldCharType="separate"/>
      </w:r>
      <w:r>
        <w:t>179</w:t>
      </w:r>
      <w:r>
        <w:fldChar w:fldCharType="end"/>
      </w:r>
    </w:p>
    <w:p>
      <w:pPr>
        <w:pStyle w:val="TOC8"/>
        <w:rPr>
          <w:rFonts w:asciiTheme="minorHAnsi" w:eastAsiaTheme="minorEastAsia" w:hAnsiTheme="minorHAnsi" w:cstheme="minorBidi"/>
          <w:szCs w:val="22"/>
        </w:rPr>
      </w:pPr>
      <w:r>
        <w:lastRenderedPageBreak/>
        <w:t>201.</w:t>
      </w:r>
      <w:r>
        <w:rPr>
          <w:vertAlign w:val="superscript"/>
        </w:rPr>
        <w:t> 1MC</w:t>
      </w:r>
      <w:r>
        <w:tab/>
        <w:t>Tax collections, how to be dealt with</w:t>
      </w:r>
      <w:r>
        <w:tab/>
      </w:r>
      <w:r>
        <w:fldChar w:fldCharType="begin"/>
      </w:r>
      <w:r>
        <w:instrText xml:space="preserve"> PAGEREF _Toc155166092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3 — Financial provisions relating to the Commission</w:t>
      </w:r>
    </w:p>
    <w:p>
      <w:pPr>
        <w:pStyle w:val="TOC8"/>
        <w:rPr>
          <w:rFonts w:asciiTheme="minorHAnsi" w:eastAsiaTheme="minorEastAsia" w:hAnsiTheme="minorHAnsi" w:cstheme="minorBidi"/>
          <w:szCs w:val="22"/>
        </w:rPr>
      </w:pPr>
      <w:r>
        <w:t>202.</w:t>
      </w:r>
      <w:r>
        <w:tab/>
        <w:t>Saving</w:t>
      </w:r>
      <w:r>
        <w:tab/>
      </w:r>
      <w:r>
        <w:fldChar w:fldCharType="begin"/>
      </w:r>
      <w:r>
        <w:instrText xml:space="preserve"> PAGEREF _Toc155166094 \h </w:instrText>
      </w:r>
      <w:r>
        <w:fldChar w:fldCharType="separate"/>
      </w:r>
      <w:r>
        <w:t>180</w:t>
      </w:r>
      <w:r>
        <w:fldChar w:fldCharType="end"/>
      </w:r>
    </w:p>
    <w:p>
      <w:pPr>
        <w:pStyle w:val="TOC8"/>
        <w:rPr>
          <w:rFonts w:asciiTheme="minorHAnsi" w:eastAsiaTheme="minorEastAsia" w:hAnsiTheme="minorHAnsi" w:cstheme="minorBidi"/>
          <w:szCs w:val="22"/>
        </w:rPr>
      </w:pPr>
      <w:r>
        <w:t>203.</w:t>
      </w:r>
      <w:r>
        <w:tab/>
        <w:t>Funds of Commission</w:t>
      </w:r>
      <w:r>
        <w:tab/>
      </w:r>
      <w:r>
        <w:fldChar w:fldCharType="begin"/>
      </w:r>
      <w:r>
        <w:instrText xml:space="preserve"> PAGEREF _Toc155166095 \h </w:instrText>
      </w:r>
      <w:r>
        <w:fldChar w:fldCharType="separate"/>
      </w:r>
      <w:r>
        <w:t>181</w:t>
      </w:r>
      <w:r>
        <w:fldChar w:fldCharType="end"/>
      </w:r>
    </w:p>
    <w:p>
      <w:pPr>
        <w:pStyle w:val="TOC8"/>
        <w:rPr>
          <w:rFonts w:asciiTheme="minorHAnsi" w:eastAsiaTheme="minorEastAsia" w:hAnsiTheme="minorHAnsi" w:cstheme="minorBidi"/>
          <w:szCs w:val="22"/>
        </w:rPr>
      </w:pPr>
      <w:r>
        <w:t>204.</w:t>
      </w:r>
      <w:r>
        <w:tab/>
        <w:t>Minister’s approval needed for some contracts and expenditure</w:t>
      </w:r>
      <w:r>
        <w:tab/>
      </w:r>
      <w:r>
        <w:fldChar w:fldCharType="begin"/>
      </w:r>
      <w:r>
        <w:instrText xml:space="preserve"> PAGEREF _Toc155166096 \h </w:instrText>
      </w:r>
      <w:r>
        <w:fldChar w:fldCharType="separate"/>
      </w:r>
      <w:r>
        <w:t>181</w:t>
      </w:r>
      <w:r>
        <w:fldChar w:fldCharType="end"/>
      </w:r>
    </w:p>
    <w:p>
      <w:pPr>
        <w:pStyle w:val="TOC8"/>
        <w:rPr>
          <w:rFonts w:asciiTheme="minorHAnsi" w:eastAsiaTheme="minorEastAsia" w:hAnsiTheme="minorHAnsi" w:cstheme="minorBidi"/>
          <w:szCs w:val="22"/>
        </w:rPr>
      </w:pPr>
      <w:r>
        <w:t>205.</w:t>
      </w:r>
      <w:r>
        <w:tab/>
        <w:t>Borrowing powers</w:t>
      </w:r>
      <w:r>
        <w:tab/>
      </w:r>
      <w:r>
        <w:fldChar w:fldCharType="begin"/>
      </w:r>
      <w:r>
        <w:instrText xml:space="preserve"> PAGEREF _Toc155166097 \h </w:instrText>
      </w:r>
      <w:r>
        <w:fldChar w:fldCharType="separate"/>
      </w:r>
      <w:r>
        <w:t>181</w:t>
      </w:r>
      <w:r>
        <w:fldChar w:fldCharType="end"/>
      </w:r>
    </w:p>
    <w:p>
      <w:pPr>
        <w:pStyle w:val="TOC8"/>
        <w:rPr>
          <w:rFonts w:asciiTheme="minorHAnsi" w:eastAsiaTheme="minorEastAsia" w:hAnsiTheme="minorHAnsi" w:cstheme="minorBidi"/>
          <w:szCs w:val="22"/>
        </w:rPr>
      </w:pPr>
      <w:r>
        <w:t>206.</w:t>
      </w:r>
      <w:r>
        <w:tab/>
        <w:t>Borrowing from Treasurer</w:t>
      </w:r>
      <w:r>
        <w:tab/>
      </w:r>
      <w:r>
        <w:fldChar w:fldCharType="begin"/>
      </w:r>
      <w:r>
        <w:instrText xml:space="preserve"> PAGEREF _Toc155166098 \h </w:instrText>
      </w:r>
      <w:r>
        <w:fldChar w:fldCharType="separate"/>
      </w:r>
      <w:r>
        <w:t>182</w:t>
      </w:r>
      <w:r>
        <w:fldChar w:fldCharType="end"/>
      </w:r>
    </w:p>
    <w:p>
      <w:pPr>
        <w:pStyle w:val="TOC8"/>
        <w:rPr>
          <w:rFonts w:asciiTheme="minorHAnsi" w:eastAsiaTheme="minorEastAsia" w:hAnsiTheme="minorHAnsi" w:cstheme="minorBidi"/>
          <w:szCs w:val="22"/>
        </w:rPr>
      </w:pPr>
      <w:r>
        <w:t>207.</w:t>
      </w:r>
      <w:r>
        <w:tab/>
        <w:t>Guarantees by Treasurer</w:t>
      </w:r>
      <w:r>
        <w:tab/>
      </w:r>
      <w:r>
        <w:fldChar w:fldCharType="begin"/>
      </w:r>
      <w:r>
        <w:instrText xml:space="preserve"> PAGEREF _Toc155166099 \h </w:instrText>
      </w:r>
      <w:r>
        <w:fldChar w:fldCharType="separate"/>
      </w:r>
      <w:r>
        <w:t>182</w:t>
      </w:r>
      <w:r>
        <w:fldChar w:fldCharType="end"/>
      </w:r>
    </w:p>
    <w:p>
      <w:pPr>
        <w:pStyle w:val="TOC8"/>
        <w:rPr>
          <w:rFonts w:asciiTheme="minorHAnsi" w:eastAsiaTheme="minorEastAsia" w:hAnsiTheme="minorHAnsi" w:cstheme="minorBidi"/>
          <w:szCs w:val="22"/>
        </w:rPr>
      </w:pPr>
      <w:r>
        <w:t>208.</w:t>
      </w:r>
      <w:r>
        <w:tab/>
      </w:r>
      <w:r>
        <w:rPr>
          <w:i/>
        </w:rPr>
        <w:t>Financial Management Act 2006</w:t>
      </w:r>
      <w:r>
        <w:t xml:space="preserve"> and </w:t>
      </w:r>
      <w:r>
        <w:rPr>
          <w:i/>
        </w:rPr>
        <w:t>Auditor General Act 2006</w:t>
      </w:r>
      <w:r>
        <w:t>, application of</w:t>
      </w:r>
      <w:r>
        <w:tab/>
      </w:r>
      <w:r>
        <w:fldChar w:fldCharType="begin"/>
      </w:r>
      <w:r>
        <w:instrText xml:space="preserve"> PAGEREF _Toc155166100 \h </w:instrText>
      </w:r>
      <w:r>
        <w:fldChar w:fldCharType="separate"/>
      </w:r>
      <w:r>
        <w:t>183</w:t>
      </w:r>
      <w:r>
        <w:fldChar w:fldCharType="end"/>
      </w:r>
    </w:p>
    <w:p>
      <w:pPr>
        <w:pStyle w:val="TOC8"/>
        <w:rPr>
          <w:rFonts w:asciiTheme="minorHAnsi" w:eastAsiaTheme="minorEastAsia" w:hAnsiTheme="minorHAnsi" w:cstheme="minorBidi"/>
          <w:szCs w:val="22"/>
        </w:rPr>
      </w:pPr>
      <w:r>
        <w:t>209.</w:t>
      </w:r>
      <w:r>
        <w:tab/>
        <w:t>Commission’s land not subject to rates etc.</w:t>
      </w:r>
      <w:r>
        <w:tab/>
      </w:r>
      <w:r>
        <w:fldChar w:fldCharType="begin"/>
      </w:r>
      <w:r>
        <w:instrText xml:space="preserve"> PAGEREF _Toc155166101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4 — Financial provisions relating to local governments</w:t>
      </w:r>
    </w:p>
    <w:p>
      <w:pPr>
        <w:pStyle w:val="TOC8"/>
        <w:rPr>
          <w:rFonts w:asciiTheme="minorHAnsi" w:eastAsiaTheme="minorEastAsia" w:hAnsiTheme="minorHAnsi" w:cstheme="minorBidi"/>
          <w:szCs w:val="22"/>
        </w:rPr>
      </w:pPr>
      <w:r>
        <w:t>210.</w:t>
      </w:r>
      <w:r>
        <w:tab/>
        <w:t>Apportioning expenses between local governments</w:t>
      </w:r>
      <w:r>
        <w:tab/>
      </w:r>
      <w:r>
        <w:fldChar w:fldCharType="begin"/>
      </w:r>
      <w:r>
        <w:instrText xml:space="preserve"> PAGEREF _Toc155166103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Part 13 — Enforcement and legal proceedings</w:t>
      </w:r>
    </w:p>
    <w:p>
      <w:pPr>
        <w:pStyle w:val="TOC4"/>
        <w:tabs>
          <w:tab w:val="right" w:leader="dot" w:pos="7077"/>
        </w:tabs>
        <w:rPr>
          <w:rFonts w:asciiTheme="minorHAnsi" w:eastAsiaTheme="minorEastAsia" w:hAnsiTheme="minorHAnsi" w:cstheme="minorBidi"/>
          <w:b w:val="0"/>
          <w:szCs w:val="22"/>
        </w:rPr>
      </w:pPr>
      <w:r>
        <w:t>Division 1 — Enforcement</w:t>
      </w:r>
    </w:p>
    <w:p>
      <w:pPr>
        <w:pStyle w:val="TOC8"/>
        <w:rPr>
          <w:rFonts w:asciiTheme="minorHAnsi" w:eastAsiaTheme="minorEastAsia" w:hAnsiTheme="minorHAnsi" w:cstheme="minorBidi"/>
          <w:szCs w:val="22"/>
        </w:rPr>
      </w:pPr>
      <w:r>
        <w:t>211.</w:t>
      </w:r>
      <w:r>
        <w:tab/>
        <w:t>Person aggrieved by local government’s omission may go to Minister; Minister’s powers</w:t>
      </w:r>
      <w:r>
        <w:tab/>
      </w:r>
      <w:r>
        <w:fldChar w:fldCharType="begin"/>
      </w:r>
      <w:r>
        <w:instrText xml:space="preserve"> PAGEREF _Toc155166106 \h </w:instrText>
      </w:r>
      <w:r>
        <w:fldChar w:fldCharType="separate"/>
      </w:r>
      <w:r>
        <w:t>185</w:t>
      </w:r>
      <w:r>
        <w:fldChar w:fldCharType="end"/>
      </w:r>
    </w:p>
    <w:p>
      <w:pPr>
        <w:pStyle w:val="TOC8"/>
        <w:rPr>
          <w:rFonts w:asciiTheme="minorHAnsi" w:eastAsiaTheme="minorEastAsia" w:hAnsiTheme="minorHAnsi" w:cstheme="minorBidi"/>
          <w:szCs w:val="22"/>
        </w:rPr>
      </w:pPr>
      <w:r>
        <w:t>212.</w:t>
      </w:r>
      <w:r>
        <w:tab/>
        <w:t>Breach of order etc. by local government, Minister’s powers as to</w:t>
      </w:r>
      <w:r>
        <w:tab/>
      </w:r>
      <w:r>
        <w:fldChar w:fldCharType="begin"/>
      </w:r>
      <w:r>
        <w:instrText xml:space="preserve"> PAGEREF _Toc155166107 \h </w:instrText>
      </w:r>
      <w:r>
        <w:fldChar w:fldCharType="separate"/>
      </w:r>
      <w:r>
        <w:t>186</w:t>
      </w:r>
      <w:r>
        <w:fldChar w:fldCharType="end"/>
      </w:r>
    </w:p>
    <w:p>
      <w:pPr>
        <w:pStyle w:val="TOC8"/>
        <w:rPr>
          <w:rFonts w:asciiTheme="minorHAnsi" w:eastAsiaTheme="minorEastAsia" w:hAnsiTheme="minorHAnsi" w:cstheme="minorBidi"/>
          <w:szCs w:val="22"/>
        </w:rPr>
      </w:pPr>
      <w:r>
        <w:t>213.</w:t>
      </w:r>
      <w:r>
        <w:tab/>
        <w:t>Minister’s action under s. 212, effect of</w:t>
      </w:r>
      <w:r>
        <w:tab/>
      </w:r>
      <w:r>
        <w:fldChar w:fldCharType="begin"/>
      </w:r>
      <w:r>
        <w:instrText xml:space="preserve"> PAGEREF _Toc155166108 \h </w:instrText>
      </w:r>
      <w:r>
        <w:fldChar w:fldCharType="separate"/>
      </w:r>
      <w:r>
        <w:t>188</w:t>
      </w:r>
      <w:r>
        <w:fldChar w:fldCharType="end"/>
      </w:r>
    </w:p>
    <w:p>
      <w:pPr>
        <w:pStyle w:val="TOC8"/>
        <w:rPr>
          <w:rFonts w:asciiTheme="minorHAnsi" w:eastAsiaTheme="minorEastAsia" w:hAnsiTheme="minorHAnsi" w:cstheme="minorBidi"/>
          <w:szCs w:val="22"/>
        </w:rPr>
      </w:pPr>
      <w:r>
        <w:t>214.</w:t>
      </w:r>
      <w:r>
        <w:tab/>
        <w:t>Illegal development, responsible authority’s powers as to</w:t>
      </w:r>
      <w:r>
        <w:tab/>
      </w:r>
      <w:r>
        <w:fldChar w:fldCharType="begin"/>
      </w:r>
      <w:r>
        <w:instrText xml:space="preserve"> PAGEREF _Toc155166109 \h </w:instrText>
      </w:r>
      <w:r>
        <w:fldChar w:fldCharType="separate"/>
      </w:r>
      <w:r>
        <w:t>189</w:t>
      </w:r>
      <w:r>
        <w:fldChar w:fldCharType="end"/>
      </w:r>
    </w:p>
    <w:p>
      <w:pPr>
        <w:pStyle w:val="TOC8"/>
        <w:rPr>
          <w:rFonts w:asciiTheme="minorHAnsi" w:eastAsiaTheme="minorEastAsia" w:hAnsiTheme="minorHAnsi" w:cstheme="minorBidi"/>
          <w:szCs w:val="22"/>
        </w:rPr>
      </w:pPr>
      <w:r>
        <w:t>215.</w:t>
      </w:r>
      <w:r>
        <w:tab/>
        <w:t>Illegal development, responsible authority’s powers to remove etc.</w:t>
      </w:r>
      <w:r>
        <w:tab/>
      </w:r>
      <w:r>
        <w:fldChar w:fldCharType="begin"/>
      </w:r>
      <w:r>
        <w:instrText xml:space="preserve"> PAGEREF _Toc155166110 \h </w:instrText>
      </w:r>
      <w:r>
        <w:fldChar w:fldCharType="separate"/>
      </w:r>
      <w:r>
        <w:t>191</w:t>
      </w:r>
      <w:r>
        <w:fldChar w:fldCharType="end"/>
      </w:r>
    </w:p>
    <w:p>
      <w:pPr>
        <w:pStyle w:val="TOC8"/>
        <w:rPr>
          <w:rFonts w:asciiTheme="minorHAnsi" w:eastAsiaTheme="minorEastAsia" w:hAnsiTheme="minorHAnsi" w:cstheme="minorBidi"/>
          <w:szCs w:val="22"/>
        </w:rPr>
      </w:pPr>
      <w:r>
        <w:t>216.</w:t>
      </w:r>
      <w:r>
        <w:tab/>
        <w:t>Breach of Act etc. or development approval, injunctions as to</w:t>
      </w:r>
      <w:r>
        <w:tab/>
      </w:r>
      <w:r>
        <w:fldChar w:fldCharType="begin"/>
      </w:r>
      <w:r>
        <w:instrText xml:space="preserve"> PAGEREF _Toc155166111 \h </w:instrText>
      </w:r>
      <w:r>
        <w:fldChar w:fldCharType="separate"/>
      </w:r>
      <w:r>
        <w:t>192</w:t>
      </w:r>
      <w:r>
        <w:fldChar w:fldCharType="end"/>
      </w:r>
    </w:p>
    <w:p>
      <w:pPr>
        <w:pStyle w:val="TOC8"/>
        <w:rPr>
          <w:rFonts w:asciiTheme="minorHAnsi" w:eastAsiaTheme="minorEastAsia" w:hAnsiTheme="minorHAnsi" w:cstheme="minorBidi"/>
          <w:szCs w:val="22"/>
        </w:rPr>
      </w:pPr>
      <w:r>
        <w:t>217.</w:t>
      </w:r>
      <w:r>
        <w:tab/>
        <w:t>Environmental conditions, Minister’s powers to enforce</w:t>
      </w:r>
      <w:r>
        <w:tab/>
      </w:r>
      <w:r>
        <w:fldChar w:fldCharType="begin"/>
      </w:r>
      <w:r>
        <w:instrText xml:space="preserve"> PAGEREF _Toc155166112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218.</w:t>
      </w:r>
      <w:r>
        <w:tab/>
        <w:t>Planning scheme or condition on development, contravening etc.</w:t>
      </w:r>
      <w:r>
        <w:tab/>
      </w:r>
      <w:r>
        <w:fldChar w:fldCharType="begin"/>
      </w:r>
      <w:r>
        <w:instrText xml:space="preserve"> PAGEREF _Toc155166114 \h </w:instrText>
      </w:r>
      <w:r>
        <w:fldChar w:fldCharType="separate"/>
      </w:r>
      <w:r>
        <w:t>195</w:t>
      </w:r>
      <w:r>
        <w:fldChar w:fldCharType="end"/>
      </w:r>
    </w:p>
    <w:p>
      <w:pPr>
        <w:pStyle w:val="TOC8"/>
        <w:rPr>
          <w:rFonts w:asciiTheme="minorHAnsi" w:eastAsiaTheme="minorEastAsia" w:hAnsiTheme="minorHAnsi" w:cstheme="minorBidi"/>
          <w:szCs w:val="22"/>
        </w:rPr>
      </w:pPr>
      <w:r>
        <w:t>219.</w:t>
      </w:r>
      <w:r>
        <w:tab/>
        <w:t>Unauthorised subdivision works</w:t>
      </w:r>
      <w:r>
        <w:tab/>
      </w:r>
      <w:r>
        <w:fldChar w:fldCharType="begin"/>
      </w:r>
      <w:r>
        <w:instrText xml:space="preserve"> PAGEREF _Toc155166115 \h </w:instrText>
      </w:r>
      <w:r>
        <w:fldChar w:fldCharType="separate"/>
      </w:r>
      <w:r>
        <w:t>195</w:t>
      </w:r>
      <w:r>
        <w:fldChar w:fldCharType="end"/>
      </w:r>
    </w:p>
    <w:p>
      <w:pPr>
        <w:pStyle w:val="TOC8"/>
        <w:rPr>
          <w:rFonts w:asciiTheme="minorHAnsi" w:eastAsiaTheme="minorEastAsia" w:hAnsiTheme="minorHAnsi" w:cstheme="minorBidi"/>
          <w:szCs w:val="22"/>
        </w:rPr>
      </w:pPr>
      <w:r>
        <w:t>220.</w:t>
      </w:r>
      <w:r>
        <w:tab/>
        <w:t>Planning control area, unauthorised development in</w:t>
      </w:r>
      <w:r>
        <w:tab/>
      </w:r>
      <w:r>
        <w:fldChar w:fldCharType="begin"/>
      </w:r>
      <w:r>
        <w:instrText xml:space="preserve"> PAGEREF _Toc155166116 \h </w:instrText>
      </w:r>
      <w:r>
        <w:fldChar w:fldCharType="separate"/>
      </w:r>
      <w:r>
        <w:t>196</w:t>
      </w:r>
      <w:r>
        <w:fldChar w:fldCharType="end"/>
      </w:r>
    </w:p>
    <w:p>
      <w:pPr>
        <w:pStyle w:val="TOC8"/>
        <w:rPr>
          <w:rFonts w:asciiTheme="minorHAnsi" w:eastAsiaTheme="minorEastAsia" w:hAnsiTheme="minorHAnsi" w:cstheme="minorBidi"/>
          <w:szCs w:val="22"/>
        </w:rPr>
      </w:pPr>
      <w:r>
        <w:lastRenderedPageBreak/>
        <w:t>221.</w:t>
      </w:r>
      <w:r>
        <w:tab/>
        <w:t>Interim development order, contravening</w:t>
      </w:r>
      <w:r>
        <w:tab/>
      </w:r>
      <w:r>
        <w:fldChar w:fldCharType="begin"/>
      </w:r>
      <w:r>
        <w:instrText xml:space="preserve"> PAGEREF _Toc155166117 \h </w:instrText>
      </w:r>
      <w:r>
        <w:fldChar w:fldCharType="separate"/>
      </w:r>
      <w:r>
        <w:t>196</w:t>
      </w:r>
      <w:r>
        <w:fldChar w:fldCharType="end"/>
      </w:r>
    </w:p>
    <w:p>
      <w:pPr>
        <w:pStyle w:val="TOC8"/>
        <w:rPr>
          <w:rFonts w:asciiTheme="minorHAnsi" w:eastAsiaTheme="minorEastAsia" w:hAnsiTheme="minorHAnsi" w:cstheme="minorBidi"/>
          <w:szCs w:val="22"/>
        </w:rPr>
      </w:pPr>
      <w:r>
        <w:t>222.</w:t>
      </w:r>
      <w:r>
        <w:tab/>
        <w:t>Heritage place, unauthorised development in</w:t>
      </w:r>
      <w:r>
        <w:tab/>
      </w:r>
      <w:r>
        <w:fldChar w:fldCharType="begin"/>
      </w:r>
      <w:r>
        <w:instrText xml:space="preserve"> PAGEREF _Toc155166118 \h </w:instrText>
      </w:r>
      <w:r>
        <w:fldChar w:fldCharType="separate"/>
      </w:r>
      <w:r>
        <w:t>196</w:t>
      </w:r>
      <w:r>
        <w:fldChar w:fldCharType="end"/>
      </w:r>
    </w:p>
    <w:p>
      <w:pPr>
        <w:pStyle w:val="TOC8"/>
        <w:rPr>
          <w:rFonts w:asciiTheme="minorHAnsi" w:eastAsiaTheme="minorEastAsia" w:hAnsiTheme="minorHAnsi" w:cstheme="minorBidi"/>
          <w:szCs w:val="22"/>
        </w:rPr>
      </w:pPr>
      <w:r>
        <w:t>223.</w:t>
      </w:r>
      <w:r>
        <w:tab/>
        <w:t>General penalty</w:t>
      </w:r>
      <w:r>
        <w:tab/>
      </w:r>
      <w:r>
        <w:fldChar w:fldCharType="begin"/>
      </w:r>
      <w:r>
        <w:instrText xml:space="preserve"> PAGEREF _Toc155166119 \h </w:instrText>
      </w:r>
      <w:r>
        <w:fldChar w:fldCharType="separate"/>
      </w:r>
      <w:r>
        <w:t>197</w:t>
      </w:r>
      <w:r>
        <w:fldChar w:fldCharType="end"/>
      </w:r>
    </w:p>
    <w:p>
      <w:pPr>
        <w:pStyle w:val="TOC8"/>
        <w:rPr>
          <w:rFonts w:asciiTheme="minorHAnsi" w:eastAsiaTheme="minorEastAsia" w:hAnsiTheme="minorHAnsi" w:cstheme="minorBidi"/>
          <w:szCs w:val="22"/>
        </w:rPr>
      </w:pPr>
      <w:r>
        <w:t>224.</w:t>
      </w:r>
      <w:r>
        <w:tab/>
        <w:t>Other enforcement provisions not affected</w:t>
      </w:r>
      <w:r>
        <w:tab/>
      </w:r>
      <w:r>
        <w:fldChar w:fldCharType="begin"/>
      </w:r>
      <w:r>
        <w:instrText xml:space="preserve"> PAGEREF _Toc155166120 \h </w:instrText>
      </w:r>
      <w:r>
        <w:fldChar w:fldCharType="separate"/>
      </w:r>
      <w:r>
        <w:t>197</w:t>
      </w:r>
      <w:r>
        <w:fldChar w:fldCharType="end"/>
      </w:r>
    </w:p>
    <w:p>
      <w:pPr>
        <w:pStyle w:val="TOC8"/>
        <w:rPr>
          <w:rFonts w:asciiTheme="minorHAnsi" w:eastAsiaTheme="minorEastAsia" w:hAnsiTheme="minorHAnsi" w:cstheme="minorBidi"/>
          <w:szCs w:val="22"/>
        </w:rPr>
      </w:pPr>
      <w:r>
        <w:t>225.</w:t>
      </w:r>
      <w:r>
        <w:tab/>
        <w:t>Onus of proof in vehicle offence may be shifted</w:t>
      </w:r>
      <w:r>
        <w:tab/>
      </w:r>
      <w:r>
        <w:fldChar w:fldCharType="begin"/>
      </w:r>
      <w:r>
        <w:instrText xml:space="preserve"> PAGEREF _Toc155166121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_Toc155166123 \h </w:instrText>
      </w:r>
      <w:r>
        <w:fldChar w:fldCharType="separate"/>
      </w:r>
      <w:r>
        <w:t>199</w:t>
      </w:r>
      <w:r>
        <w:fldChar w:fldCharType="end"/>
      </w:r>
    </w:p>
    <w:p>
      <w:pPr>
        <w:pStyle w:val="TOC8"/>
        <w:rPr>
          <w:rFonts w:asciiTheme="minorHAnsi" w:eastAsiaTheme="minorEastAsia" w:hAnsiTheme="minorHAnsi" w:cstheme="minorBidi"/>
          <w:szCs w:val="22"/>
        </w:rPr>
      </w:pPr>
      <w:r>
        <w:t>227.</w:t>
      </w:r>
      <w:r>
        <w:tab/>
        <w:t>Prescribed offences</w:t>
      </w:r>
      <w:r>
        <w:tab/>
      </w:r>
      <w:r>
        <w:fldChar w:fldCharType="begin"/>
      </w:r>
      <w:r>
        <w:instrText xml:space="preserve"> PAGEREF _Toc155166124 \h </w:instrText>
      </w:r>
      <w:r>
        <w:fldChar w:fldCharType="separate"/>
      </w:r>
      <w:r>
        <w:t>199</w:t>
      </w:r>
      <w:r>
        <w:fldChar w:fldCharType="end"/>
      </w:r>
    </w:p>
    <w:p>
      <w:pPr>
        <w:pStyle w:val="TOC8"/>
        <w:rPr>
          <w:rFonts w:asciiTheme="minorHAnsi" w:eastAsiaTheme="minorEastAsia" w:hAnsiTheme="minorHAnsi" w:cstheme="minorBidi"/>
          <w:szCs w:val="22"/>
        </w:rPr>
      </w:pPr>
      <w:r>
        <w:t>228.</w:t>
      </w:r>
      <w:r>
        <w:tab/>
        <w:t>Giving of infringement notice</w:t>
      </w:r>
      <w:r>
        <w:tab/>
      </w:r>
      <w:r>
        <w:fldChar w:fldCharType="begin"/>
      </w:r>
      <w:r>
        <w:instrText xml:space="preserve"> PAGEREF _Toc155166125 \h </w:instrText>
      </w:r>
      <w:r>
        <w:fldChar w:fldCharType="separate"/>
      </w:r>
      <w:r>
        <w:t>199</w:t>
      </w:r>
      <w:r>
        <w:fldChar w:fldCharType="end"/>
      </w:r>
    </w:p>
    <w:p>
      <w:pPr>
        <w:pStyle w:val="TOC8"/>
        <w:rPr>
          <w:rFonts w:asciiTheme="minorHAnsi" w:eastAsiaTheme="minorEastAsia" w:hAnsiTheme="minorHAnsi" w:cstheme="minorBidi"/>
          <w:szCs w:val="22"/>
        </w:rPr>
      </w:pPr>
      <w:r>
        <w:t>229.</w:t>
      </w:r>
      <w:r>
        <w:tab/>
        <w:t>Content of infringement notice</w:t>
      </w:r>
      <w:r>
        <w:tab/>
      </w:r>
      <w:r>
        <w:fldChar w:fldCharType="begin"/>
      </w:r>
      <w:r>
        <w:instrText xml:space="preserve"> PAGEREF _Toc155166126 \h </w:instrText>
      </w:r>
      <w:r>
        <w:fldChar w:fldCharType="separate"/>
      </w:r>
      <w:r>
        <w:t>200</w:t>
      </w:r>
      <w:r>
        <w:fldChar w:fldCharType="end"/>
      </w:r>
    </w:p>
    <w:p>
      <w:pPr>
        <w:pStyle w:val="TOC8"/>
        <w:rPr>
          <w:rFonts w:asciiTheme="minorHAnsi" w:eastAsiaTheme="minorEastAsia" w:hAnsiTheme="minorHAnsi" w:cstheme="minorBidi"/>
          <w:szCs w:val="22"/>
        </w:rPr>
      </w:pPr>
      <w:r>
        <w:t>230.</w:t>
      </w:r>
      <w:r>
        <w:tab/>
        <w:t>Extending time to pay modified penalty</w:t>
      </w:r>
      <w:r>
        <w:tab/>
      </w:r>
      <w:r>
        <w:fldChar w:fldCharType="begin"/>
      </w:r>
      <w:r>
        <w:instrText xml:space="preserve"> PAGEREF _Toc155166127 \h </w:instrText>
      </w:r>
      <w:r>
        <w:fldChar w:fldCharType="separate"/>
      </w:r>
      <w:r>
        <w:t>200</w:t>
      </w:r>
      <w:r>
        <w:fldChar w:fldCharType="end"/>
      </w:r>
    </w:p>
    <w:p>
      <w:pPr>
        <w:pStyle w:val="TOC8"/>
        <w:rPr>
          <w:rFonts w:asciiTheme="minorHAnsi" w:eastAsiaTheme="minorEastAsia" w:hAnsiTheme="minorHAnsi" w:cstheme="minorBidi"/>
          <w:szCs w:val="22"/>
        </w:rPr>
      </w:pPr>
      <w:r>
        <w:t>231.</w:t>
      </w:r>
      <w:r>
        <w:tab/>
        <w:t>Withdrawal of infringement notice</w:t>
      </w:r>
      <w:r>
        <w:tab/>
      </w:r>
      <w:r>
        <w:fldChar w:fldCharType="begin"/>
      </w:r>
      <w:r>
        <w:instrText xml:space="preserve"> PAGEREF _Toc155166128 \h </w:instrText>
      </w:r>
      <w:r>
        <w:fldChar w:fldCharType="separate"/>
      </w:r>
      <w:r>
        <w:t>200</w:t>
      </w:r>
      <w:r>
        <w:fldChar w:fldCharType="end"/>
      </w:r>
    </w:p>
    <w:p>
      <w:pPr>
        <w:pStyle w:val="TOC8"/>
        <w:rPr>
          <w:rFonts w:asciiTheme="minorHAnsi" w:eastAsiaTheme="minorEastAsia" w:hAnsiTheme="minorHAnsi" w:cstheme="minorBidi"/>
          <w:szCs w:val="22"/>
        </w:rPr>
      </w:pPr>
      <w:r>
        <w:t>232.</w:t>
      </w:r>
      <w:r>
        <w:tab/>
        <w:t>Benefit of paying modified penalty</w:t>
      </w:r>
      <w:r>
        <w:tab/>
      </w:r>
      <w:r>
        <w:fldChar w:fldCharType="begin"/>
      </w:r>
      <w:r>
        <w:instrText xml:space="preserve"> PAGEREF _Toc155166129 \h </w:instrText>
      </w:r>
      <w:r>
        <w:fldChar w:fldCharType="separate"/>
      </w:r>
      <w:r>
        <w:t>201</w:t>
      </w:r>
      <w:r>
        <w:fldChar w:fldCharType="end"/>
      </w:r>
    </w:p>
    <w:p>
      <w:pPr>
        <w:pStyle w:val="TOC8"/>
        <w:rPr>
          <w:rFonts w:asciiTheme="minorHAnsi" w:eastAsiaTheme="minorEastAsia" w:hAnsiTheme="minorHAnsi" w:cstheme="minorBidi"/>
          <w:szCs w:val="22"/>
        </w:rPr>
      </w:pPr>
      <w:r>
        <w:t>233.</w:t>
      </w:r>
      <w:r>
        <w:tab/>
        <w:t>Paid modified penalty, application of</w:t>
      </w:r>
      <w:r>
        <w:tab/>
      </w:r>
      <w:r>
        <w:fldChar w:fldCharType="begin"/>
      </w:r>
      <w:r>
        <w:instrText xml:space="preserve"> PAGEREF _Toc155166130 \h </w:instrText>
      </w:r>
      <w:r>
        <w:fldChar w:fldCharType="separate"/>
      </w:r>
      <w:r>
        <w:t>201</w:t>
      </w:r>
      <w:r>
        <w:fldChar w:fldCharType="end"/>
      </w:r>
    </w:p>
    <w:p>
      <w:pPr>
        <w:pStyle w:val="TOC8"/>
        <w:rPr>
          <w:rFonts w:asciiTheme="minorHAnsi" w:eastAsiaTheme="minorEastAsia" w:hAnsiTheme="minorHAnsi" w:cstheme="minorBidi"/>
          <w:szCs w:val="22"/>
        </w:rPr>
      </w:pPr>
      <w:r>
        <w:t>234.</w:t>
      </w:r>
      <w:r>
        <w:tab/>
        <w:t>Designated persons, appointment of</w:t>
      </w:r>
      <w:r>
        <w:tab/>
      </w:r>
      <w:r>
        <w:fldChar w:fldCharType="begin"/>
      </w:r>
      <w:r>
        <w:instrText xml:space="preserve"> PAGEREF _Toc155166131 \h </w:instrText>
      </w:r>
      <w:r>
        <w:fldChar w:fldCharType="separate"/>
      </w:r>
      <w:r>
        <w:t>201</w:t>
      </w:r>
      <w:r>
        <w:fldChar w:fldCharType="end"/>
      </w:r>
    </w:p>
    <w:p>
      <w:pPr>
        <w:pStyle w:val="TOC8"/>
        <w:rPr>
          <w:rFonts w:asciiTheme="minorHAnsi" w:eastAsiaTheme="minorEastAsia" w:hAnsiTheme="minorHAnsi" w:cstheme="minorBidi"/>
          <w:szCs w:val="22"/>
        </w:rPr>
      </w:pPr>
      <w:r>
        <w:t>235.</w:t>
      </w:r>
      <w:r>
        <w:tab/>
        <w:t>Notice placing onus on vehicle owner</w:t>
      </w:r>
      <w:r>
        <w:tab/>
      </w:r>
      <w:r>
        <w:fldChar w:fldCharType="begin"/>
      </w:r>
      <w:r>
        <w:instrText xml:space="preserve"> PAGEREF _Toc155166132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Part 14 — Applications for review</w:t>
      </w:r>
    </w:p>
    <w:p>
      <w:pPr>
        <w:pStyle w:val="TOC4"/>
        <w:tabs>
          <w:tab w:val="right" w:leader="dot" w:pos="7077"/>
        </w:tabs>
        <w:rPr>
          <w:rFonts w:asciiTheme="minorHAnsi" w:eastAsiaTheme="minorEastAsia" w:hAnsiTheme="minorHAnsi" w:cstheme="minorBidi"/>
          <w:b w:val="0"/>
          <w:szCs w:val="22"/>
        </w:rPr>
      </w:pPr>
      <w:r>
        <w:t>Division 1 — Making and determination of applications for review</w:t>
      </w:r>
    </w:p>
    <w:p>
      <w:pPr>
        <w:pStyle w:val="TOC8"/>
        <w:rPr>
          <w:rFonts w:asciiTheme="minorHAnsi" w:eastAsiaTheme="minorEastAsia" w:hAnsiTheme="minorHAnsi" w:cstheme="minorBidi"/>
          <w:szCs w:val="22"/>
        </w:rPr>
      </w:pPr>
      <w:r>
        <w:t>236.</w:t>
      </w:r>
      <w:r>
        <w:tab/>
        <w:t>When this Part applies</w:t>
      </w:r>
      <w:r>
        <w:tab/>
      </w:r>
      <w:r>
        <w:fldChar w:fldCharType="begin"/>
      </w:r>
      <w:r>
        <w:instrText xml:space="preserve"> PAGEREF _Toc155166135 \h </w:instrText>
      </w:r>
      <w:r>
        <w:fldChar w:fldCharType="separate"/>
      </w:r>
      <w:r>
        <w:t>203</w:t>
      </w:r>
      <w:r>
        <w:fldChar w:fldCharType="end"/>
      </w:r>
    </w:p>
    <w:p>
      <w:pPr>
        <w:pStyle w:val="TOC8"/>
        <w:rPr>
          <w:rFonts w:asciiTheme="minorHAnsi" w:eastAsiaTheme="minorEastAsia" w:hAnsiTheme="minorHAnsi" w:cstheme="minorBidi"/>
          <w:szCs w:val="22"/>
        </w:rPr>
      </w:pPr>
      <w:r>
        <w:t>237.</w:t>
      </w:r>
      <w:r>
        <w:tab/>
        <w:t>Terms used</w:t>
      </w:r>
      <w:r>
        <w:tab/>
      </w:r>
      <w:r>
        <w:fldChar w:fldCharType="begin"/>
      </w:r>
      <w:r>
        <w:instrText xml:space="preserve"> PAGEREF _Toc155166136 \h </w:instrText>
      </w:r>
      <w:r>
        <w:fldChar w:fldCharType="separate"/>
      </w:r>
      <w:r>
        <w:t>204</w:t>
      </w:r>
      <w:r>
        <w:fldChar w:fldCharType="end"/>
      </w:r>
    </w:p>
    <w:p>
      <w:pPr>
        <w:pStyle w:val="TOC8"/>
        <w:rPr>
          <w:rFonts w:asciiTheme="minorHAnsi" w:eastAsiaTheme="minorEastAsia" w:hAnsiTheme="minorHAnsi" w:cstheme="minorBidi"/>
          <w:szCs w:val="22"/>
        </w:rPr>
      </w:pPr>
      <w:r>
        <w:t>237A.</w:t>
      </w:r>
      <w:r>
        <w:tab/>
        <w:t>How SAT to be constituted</w:t>
      </w:r>
      <w:r>
        <w:tab/>
      </w:r>
      <w:r>
        <w:fldChar w:fldCharType="begin"/>
      </w:r>
      <w:r>
        <w:instrText xml:space="preserve"> PAGEREF _Toc155166137 \h </w:instrText>
      </w:r>
      <w:r>
        <w:fldChar w:fldCharType="separate"/>
      </w:r>
      <w:r>
        <w:t>204</w:t>
      </w:r>
      <w:r>
        <w:fldChar w:fldCharType="end"/>
      </w:r>
    </w:p>
    <w:p>
      <w:pPr>
        <w:pStyle w:val="TOC8"/>
        <w:rPr>
          <w:rFonts w:asciiTheme="minorHAnsi" w:eastAsiaTheme="minorEastAsia" w:hAnsiTheme="minorHAnsi" w:cstheme="minorBidi"/>
          <w:szCs w:val="22"/>
        </w:rPr>
      </w:pPr>
      <w:r>
        <w:t>238.</w:t>
      </w:r>
      <w:r>
        <w:tab/>
        <w:t>SAT members, qualifications of</w:t>
      </w:r>
      <w:r>
        <w:tab/>
      </w:r>
      <w:r>
        <w:fldChar w:fldCharType="begin"/>
      </w:r>
      <w:r>
        <w:instrText xml:space="preserve"> PAGEREF _Toc155166138 \h </w:instrText>
      </w:r>
      <w:r>
        <w:fldChar w:fldCharType="separate"/>
      </w:r>
      <w:r>
        <w:t>205</w:t>
      </w:r>
      <w:r>
        <w:fldChar w:fldCharType="end"/>
      </w:r>
    </w:p>
    <w:p>
      <w:pPr>
        <w:pStyle w:val="TOC8"/>
        <w:rPr>
          <w:rFonts w:asciiTheme="minorHAnsi" w:eastAsiaTheme="minorEastAsia" w:hAnsiTheme="minorHAnsi" w:cstheme="minorBidi"/>
          <w:szCs w:val="22"/>
        </w:rPr>
      </w:pPr>
      <w:r>
        <w:t>239.</w:t>
      </w:r>
      <w:r>
        <w:tab/>
        <w:t>Legal representation, some applicants may elect there will be none</w:t>
      </w:r>
      <w:r>
        <w:tab/>
      </w:r>
      <w:r>
        <w:fldChar w:fldCharType="begin"/>
      </w:r>
      <w:r>
        <w:instrText xml:space="preserve"> PAGEREF _Toc155166139 \h </w:instrText>
      </w:r>
      <w:r>
        <w:fldChar w:fldCharType="separate"/>
      </w:r>
      <w:r>
        <w:t>205</w:t>
      </w:r>
      <w:r>
        <w:fldChar w:fldCharType="end"/>
      </w:r>
    </w:p>
    <w:p>
      <w:pPr>
        <w:pStyle w:val="TOC8"/>
        <w:rPr>
          <w:rFonts w:asciiTheme="minorHAnsi" w:eastAsiaTheme="minorEastAsia" w:hAnsiTheme="minorHAnsi" w:cstheme="minorBidi"/>
          <w:szCs w:val="22"/>
        </w:rPr>
      </w:pPr>
      <w:r>
        <w:t>240.</w:t>
      </w:r>
      <w:r>
        <w:tab/>
        <w:t>SAT to invite Minister for the Environment to make submission before determining certain applications</w:t>
      </w:r>
      <w:r>
        <w:tab/>
      </w:r>
      <w:r>
        <w:fldChar w:fldCharType="begin"/>
      </w:r>
      <w:r>
        <w:instrText xml:space="preserve"> PAGEREF _Toc155166140 \h </w:instrText>
      </w:r>
      <w:r>
        <w:fldChar w:fldCharType="separate"/>
      </w:r>
      <w:r>
        <w:t>206</w:t>
      </w:r>
      <w:r>
        <w:fldChar w:fldCharType="end"/>
      </w:r>
    </w:p>
    <w:p>
      <w:pPr>
        <w:pStyle w:val="TOC8"/>
        <w:rPr>
          <w:rFonts w:asciiTheme="minorHAnsi" w:eastAsiaTheme="minorEastAsia" w:hAnsiTheme="minorHAnsi" w:cstheme="minorBidi"/>
          <w:szCs w:val="22"/>
        </w:rPr>
      </w:pPr>
      <w:r>
        <w:t>241.</w:t>
      </w:r>
      <w:r>
        <w:tab/>
        <w:t>SAT to have regard to certain matters</w:t>
      </w:r>
      <w:r>
        <w:tab/>
      </w:r>
      <w:r>
        <w:fldChar w:fldCharType="begin"/>
      </w:r>
      <w:r>
        <w:instrText xml:space="preserve"> PAGEREF _Toc155166141 \h </w:instrText>
      </w:r>
      <w:r>
        <w:fldChar w:fldCharType="separate"/>
      </w:r>
      <w:r>
        <w:t>206</w:t>
      </w:r>
      <w:r>
        <w:fldChar w:fldCharType="end"/>
      </w:r>
    </w:p>
    <w:p>
      <w:pPr>
        <w:pStyle w:val="TOC8"/>
        <w:rPr>
          <w:rFonts w:asciiTheme="minorHAnsi" w:eastAsiaTheme="minorEastAsia" w:hAnsiTheme="minorHAnsi" w:cstheme="minorBidi"/>
          <w:szCs w:val="22"/>
        </w:rPr>
      </w:pPr>
      <w:r>
        <w:t>242.</w:t>
      </w:r>
      <w:r>
        <w:tab/>
        <w:t>Persons who are not parties, submissions from</w:t>
      </w:r>
      <w:r>
        <w:tab/>
      </w:r>
      <w:r>
        <w:fldChar w:fldCharType="begin"/>
      </w:r>
      <w:r>
        <w:instrText xml:space="preserve"> PAGEREF _Toc155166142 \h </w:instrText>
      </w:r>
      <w:r>
        <w:fldChar w:fldCharType="separate"/>
      </w:r>
      <w:r>
        <w:t>207</w:t>
      </w:r>
      <w:r>
        <w:fldChar w:fldCharType="end"/>
      </w:r>
    </w:p>
    <w:p>
      <w:pPr>
        <w:pStyle w:val="TOC8"/>
        <w:rPr>
          <w:rFonts w:asciiTheme="minorHAnsi" w:eastAsiaTheme="minorEastAsia" w:hAnsiTheme="minorHAnsi" w:cstheme="minorBidi"/>
          <w:szCs w:val="22"/>
        </w:rPr>
      </w:pPr>
      <w:r>
        <w:t>243.</w:t>
      </w:r>
      <w:r>
        <w:tab/>
        <w:t>Exclusion of powers to join parties</w:t>
      </w:r>
      <w:r>
        <w:tab/>
      </w:r>
      <w:r>
        <w:fldChar w:fldCharType="begin"/>
      </w:r>
      <w:r>
        <w:instrText xml:space="preserve"> PAGEREF _Toc155166143 \h </w:instrText>
      </w:r>
      <w:r>
        <w:fldChar w:fldCharType="separate"/>
      </w:r>
      <w:r>
        <w:t>208</w:t>
      </w:r>
      <w:r>
        <w:fldChar w:fldCharType="end"/>
      </w:r>
    </w:p>
    <w:p>
      <w:pPr>
        <w:pStyle w:val="TOC8"/>
        <w:rPr>
          <w:rFonts w:asciiTheme="minorHAnsi" w:eastAsiaTheme="minorEastAsia" w:hAnsiTheme="minorHAnsi" w:cstheme="minorBidi"/>
          <w:szCs w:val="22"/>
        </w:rPr>
      </w:pPr>
      <w:r>
        <w:t>244.</w:t>
      </w:r>
      <w:r>
        <w:tab/>
        <w:t>SAT review of some SAT decisions</w:t>
      </w:r>
      <w:r>
        <w:tab/>
      </w:r>
      <w:r>
        <w:fldChar w:fldCharType="begin"/>
      </w:r>
      <w:r>
        <w:instrText xml:space="preserve"> PAGEREF _Toc155166144 \h </w:instrText>
      </w:r>
      <w:r>
        <w:fldChar w:fldCharType="separate"/>
      </w:r>
      <w:r>
        <w:t>208</w:t>
      </w:r>
      <w:r>
        <w:fldChar w:fldCharType="end"/>
      </w:r>
    </w:p>
    <w:p>
      <w:pPr>
        <w:pStyle w:val="TOC8"/>
        <w:rPr>
          <w:rFonts w:asciiTheme="minorHAnsi" w:eastAsiaTheme="minorEastAsia" w:hAnsiTheme="minorHAnsi" w:cstheme="minorBidi"/>
          <w:szCs w:val="22"/>
        </w:rPr>
      </w:pPr>
      <w:r>
        <w:t>245.</w:t>
      </w:r>
      <w:r>
        <w:tab/>
        <w:t>Submissions by Minister to SAT</w:t>
      </w:r>
      <w:r>
        <w:tab/>
      </w:r>
      <w:r>
        <w:fldChar w:fldCharType="begin"/>
      </w:r>
      <w:r>
        <w:instrText xml:space="preserve"> PAGEREF _Toc155166145 \h </w:instrText>
      </w:r>
      <w:r>
        <w:fldChar w:fldCharType="separate"/>
      </w:r>
      <w:r>
        <w:t>209</w:t>
      </w:r>
      <w:r>
        <w:fldChar w:fldCharType="end"/>
      </w:r>
    </w:p>
    <w:p>
      <w:pPr>
        <w:pStyle w:val="TOC8"/>
        <w:rPr>
          <w:rFonts w:asciiTheme="minorHAnsi" w:eastAsiaTheme="minorEastAsia" w:hAnsiTheme="minorHAnsi" w:cstheme="minorBidi"/>
          <w:szCs w:val="22"/>
        </w:rPr>
      </w:pPr>
      <w:r>
        <w:t>246.</w:t>
      </w:r>
      <w:r>
        <w:tab/>
        <w:t>Minister may call in application to SAT for review</w:t>
      </w:r>
      <w:r>
        <w:tab/>
      </w:r>
      <w:r>
        <w:fldChar w:fldCharType="begin"/>
      </w:r>
      <w:r>
        <w:instrText xml:space="preserve"> PAGEREF _Toc155166146 \h </w:instrText>
      </w:r>
      <w:r>
        <w:fldChar w:fldCharType="separate"/>
      </w:r>
      <w:r>
        <w:t>210</w:t>
      </w:r>
      <w:r>
        <w:fldChar w:fldCharType="end"/>
      </w:r>
    </w:p>
    <w:p>
      <w:pPr>
        <w:pStyle w:val="TOC8"/>
        <w:rPr>
          <w:rFonts w:asciiTheme="minorHAnsi" w:eastAsiaTheme="minorEastAsia" w:hAnsiTheme="minorHAnsi" w:cstheme="minorBidi"/>
          <w:szCs w:val="22"/>
        </w:rPr>
      </w:pPr>
      <w:r>
        <w:t>247.</w:t>
      </w:r>
      <w:r>
        <w:tab/>
        <w:t>Determination of application by Minister</w:t>
      </w:r>
      <w:r>
        <w:tab/>
      </w:r>
      <w:r>
        <w:fldChar w:fldCharType="begin"/>
      </w:r>
      <w:r>
        <w:instrText xml:space="preserve"> PAGEREF _Toc155166147 \h </w:instrText>
      </w:r>
      <w:r>
        <w:fldChar w:fldCharType="separate"/>
      </w:r>
      <w:r>
        <w:t>211</w:t>
      </w:r>
      <w:r>
        <w:fldChar w:fldCharType="end"/>
      </w:r>
    </w:p>
    <w:p>
      <w:pPr>
        <w:pStyle w:val="TOC4"/>
        <w:tabs>
          <w:tab w:val="right" w:leader="dot" w:pos="7077"/>
        </w:tabs>
        <w:rPr>
          <w:rFonts w:asciiTheme="minorHAnsi" w:eastAsiaTheme="minorEastAsia" w:hAnsiTheme="minorHAnsi" w:cstheme="minorBidi"/>
          <w:b w:val="0"/>
          <w:szCs w:val="22"/>
        </w:rPr>
      </w:pPr>
      <w:r>
        <w:t>Division 2 — Decisions which may be reviewed</w:t>
      </w:r>
    </w:p>
    <w:p>
      <w:pPr>
        <w:pStyle w:val="TOC8"/>
        <w:rPr>
          <w:rFonts w:asciiTheme="minorHAnsi" w:eastAsiaTheme="minorEastAsia" w:hAnsiTheme="minorHAnsi" w:cstheme="minorBidi"/>
          <w:szCs w:val="22"/>
        </w:rPr>
      </w:pPr>
      <w:r>
        <w:t>249.</w:t>
      </w:r>
      <w:r>
        <w:tab/>
        <w:t>Decision as to development under interim development order</w:t>
      </w:r>
      <w:r>
        <w:tab/>
      </w:r>
      <w:r>
        <w:fldChar w:fldCharType="begin"/>
      </w:r>
      <w:r>
        <w:instrText xml:space="preserve"> PAGEREF _Toc155166149 \h </w:instrText>
      </w:r>
      <w:r>
        <w:fldChar w:fldCharType="separate"/>
      </w:r>
      <w:r>
        <w:t>212</w:t>
      </w:r>
      <w:r>
        <w:fldChar w:fldCharType="end"/>
      </w:r>
    </w:p>
    <w:p>
      <w:pPr>
        <w:pStyle w:val="TOC8"/>
        <w:rPr>
          <w:rFonts w:asciiTheme="minorHAnsi" w:eastAsiaTheme="minorEastAsia" w:hAnsiTheme="minorHAnsi" w:cstheme="minorBidi"/>
          <w:szCs w:val="22"/>
        </w:rPr>
      </w:pPr>
      <w:r>
        <w:lastRenderedPageBreak/>
        <w:t>250.</w:t>
      </w:r>
      <w:r>
        <w:tab/>
        <w:t>Decision as to development in planning control area</w:t>
      </w:r>
      <w:r>
        <w:tab/>
      </w:r>
      <w:r>
        <w:fldChar w:fldCharType="begin"/>
      </w:r>
      <w:r>
        <w:instrText xml:space="preserve"> PAGEREF _Toc155166150 \h </w:instrText>
      </w:r>
      <w:r>
        <w:fldChar w:fldCharType="separate"/>
      </w:r>
      <w:r>
        <w:t>213</w:t>
      </w:r>
      <w:r>
        <w:fldChar w:fldCharType="end"/>
      </w:r>
    </w:p>
    <w:p>
      <w:pPr>
        <w:pStyle w:val="TOC8"/>
        <w:rPr>
          <w:rFonts w:asciiTheme="minorHAnsi" w:eastAsiaTheme="minorEastAsia" w:hAnsiTheme="minorHAnsi" w:cstheme="minorBidi"/>
          <w:szCs w:val="22"/>
        </w:rPr>
      </w:pPr>
      <w:r>
        <w:t>251.</w:t>
      </w:r>
      <w:r>
        <w:tab/>
        <w:t>Some decisions made under Part 10</w:t>
      </w:r>
      <w:r>
        <w:tab/>
      </w:r>
      <w:r>
        <w:fldChar w:fldCharType="begin"/>
      </w:r>
      <w:r>
        <w:instrText xml:space="preserve"> PAGEREF _Toc155166151 \h </w:instrText>
      </w:r>
      <w:r>
        <w:fldChar w:fldCharType="separate"/>
      </w:r>
      <w:r>
        <w:t>213</w:t>
      </w:r>
      <w:r>
        <w:fldChar w:fldCharType="end"/>
      </w:r>
    </w:p>
    <w:p>
      <w:pPr>
        <w:pStyle w:val="TOC8"/>
        <w:rPr>
          <w:rFonts w:asciiTheme="minorHAnsi" w:eastAsiaTheme="minorEastAsia" w:hAnsiTheme="minorHAnsi" w:cstheme="minorBidi"/>
          <w:szCs w:val="22"/>
        </w:rPr>
      </w:pPr>
      <w:r>
        <w:t>252.</w:t>
      </w:r>
      <w:r>
        <w:tab/>
        <w:t>Decision made in exercise of discretionary power under planning scheme</w:t>
      </w:r>
      <w:r>
        <w:tab/>
      </w:r>
      <w:r>
        <w:fldChar w:fldCharType="begin"/>
      </w:r>
      <w:r>
        <w:instrText xml:space="preserve"> PAGEREF _Toc155166152 \h </w:instrText>
      </w:r>
      <w:r>
        <w:fldChar w:fldCharType="separate"/>
      </w:r>
      <w:r>
        <w:t>214</w:t>
      </w:r>
      <w:r>
        <w:fldChar w:fldCharType="end"/>
      </w:r>
    </w:p>
    <w:p>
      <w:pPr>
        <w:pStyle w:val="TOC8"/>
        <w:rPr>
          <w:rFonts w:asciiTheme="minorHAnsi" w:eastAsiaTheme="minorEastAsia" w:hAnsiTheme="minorHAnsi" w:cstheme="minorBidi"/>
          <w:szCs w:val="22"/>
        </w:rPr>
      </w:pPr>
      <w:r>
        <w:t>253.</w:t>
      </w:r>
      <w:r>
        <w:tab/>
        <w:t>Failure of responsible authority to make decision within decision period</w:t>
      </w:r>
      <w:r>
        <w:tab/>
      </w:r>
      <w:r>
        <w:fldChar w:fldCharType="begin"/>
      </w:r>
      <w:r>
        <w:instrText xml:space="preserve"> PAGEREF _Toc155166153 \h </w:instrText>
      </w:r>
      <w:r>
        <w:fldChar w:fldCharType="separate"/>
      </w:r>
      <w:r>
        <w:t>215</w:t>
      </w:r>
      <w:r>
        <w:fldChar w:fldCharType="end"/>
      </w:r>
    </w:p>
    <w:p>
      <w:pPr>
        <w:pStyle w:val="TOC4"/>
        <w:tabs>
          <w:tab w:val="right" w:leader="dot" w:pos="7077"/>
        </w:tabs>
        <w:rPr>
          <w:rFonts w:asciiTheme="minorHAnsi" w:eastAsiaTheme="minorEastAsia" w:hAnsiTheme="minorHAnsi" w:cstheme="minorBidi"/>
          <w:b w:val="0"/>
          <w:szCs w:val="22"/>
        </w:rPr>
      </w:pPr>
      <w:r>
        <w:t>Division 3 — Other applications for review</w:t>
      </w:r>
    </w:p>
    <w:p>
      <w:pPr>
        <w:pStyle w:val="TOC8"/>
        <w:rPr>
          <w:rFonts w:asciiTheme="minorHAnsi" w:eastAsiaTheme="minorEastAsia" w:hAnsiTheme="minorHAnsi" w:cstheme="minorBidi"/>
          <w:szCs w:val="22"/>
        </w:rPr>
      </w:pPr>
      <w:r>
        <w:t>254.</w:t>
      </w:r>
      <w:r>
        <w:tab/>
        <w:t>Decision made under EP Act s. 48I</w:t>
      </w:r>
      <w:r>
        <w:tab/>
      </w:r>
      <w:r>
        <w:fldChar w:fldCharType="begin"/>
      </w:r>
      <w:r>
        <w:instrText xml:space="preserve"> PAGEREF _Toc155166155 \h </w:instrText>
      </w:r>
      <w:r>
        <w:fldChar w:fldCharType="separate"/>
      </w:r>
      <w:r>
        <w:t>217</w:t>
      </w:r>
      <w:r>
        <w:fldChar w:fldCharType="end"/>
      </w:r>
    </w:p>
    <w:p>
      <w:pPr>
        <w:pStyle w:val="TOC8"/>
        <w:rPr>
          <w:rFonts w:asciiTheme="minorHAnsi" w:eastAsiaTheme="minorEastAsia" w:hAnsiTheme="minorHAnsi" w:cstheme="minorBidi"/>
          <w:szCs w:val="22"/>
        </w:rPr>
      </w:pPr>
      <w:r>
        <w:t>255.</w:t>
      </w:r>
      <w:r>
        <w:tab/>
        <w:t>Direction given under s. 214</w:t>
      </w:r>
      <w:r>
        <w:tab/>
      </w:r>
      <w:r>
        <w:fldChar w:fldCharType="begin"/>
      </w:r>
      <w:r>
        <w:instrText xml:space="preserve"> PAGEREF _Toc155166156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Part 15 — Subsidiary legislation</w:t>
      </w:r>
    </w:p>
    <w:p>
      <w:pPr>
        <w:pStyle w:val="TOC8"/>
        <w:rPr>
          <w:rFonts w:asciiTheme="minorHAnsi" w:eastAsiaTheme="minorEastAsia" w:hAnsiTheme="minorHAnsi" w:cstheme="minorBidi"/>
          <w:szCs w:val="22"/>
        </w:rPr>
      </w:pPr>
      <w:r>
        <w:t>256.</w:t>
      </w:r>
      <w:r>
        <w:tab/>
        <w:t>Regulations for content of local planning schemes</w:t>
      </w:r>
      <w:r>
        <w:tab/>
      </w:r>
      <w:r>
        <w:fldChar w:fldCharType="begin"/>
      </w:r>
      <w:r>
        <w:instrText xml:space="preserve"> PAGEREF _Toc155166158 \h </w:instrText>
      </w:r>
      <w:r>
        <w:fldChar w:fldCharType="separate"/>
      </w:r>
      <w:r>
        <w:t>218</w:t>
      </w:r>
      <w:r>
        <w:fldChar w:fldCharType="end"/>
      </w:r>
    </w:p>
    <w:p>
      <w:pPr>
        <w:pStyle w:val="TOC8"/>
        <w:rPr>
          <w:rFonts w:asciiTheme="minorHAnsi" w:eastAsiaTheme="minorEastAsia" w:hAnsiTheme="minorHAnsi" w:cstheme="minorBidi"/>
          <w:szCs w:val="22"/>
        </w:rPr>
      </w:pPr>
      <w:r>
        <w:t>257A.</w:t>
      </w:r>
      <w:r>
        <w:tab/>
        <w:t>Model provisions, effect of</w:t>
      </w:r>
      <w:r>
        <w:tab/>
      </w:r>
      <w:r>
        <w:fldChar w:fldCharType="begin"/>
      </w:r>
      <w:r>
        <w:instrText xml:space="preserve"> PAGEREF _Toc155166159 \h </w:instrText>
      </w:r>
      <w:r>
        <w:fldChar w:fldCharType="separate"/>
      </w:r>
      <w:r>
        <w:t>219</w:t>
      </w:r>
      <w:r>
        <w:fldChar w:fldCharType="end"/>
      </w:r>
    </w:p>
    <w:p>
      <w:pPr>
        <w:pStyle w:val="TOC8"/>
        <w:rPr>
          <w:rFonts w:asciiTheme="minorHAnsi" w:eastAsiaTheme="minorEastAsia" w:hAnsiTheme="minorHAnsi" w:cstheme="minorBidi"/>
          <w:szCs w:val="22"/>
        </w:rPr>
      </w:pPr>
      <w:r>
        <w:t>257B.</w:t>
      </w:r>
      <w:r>
        <w:tab/>
        <w:t>Deemed provisions, effect of</w:t>
      </w:r>
      <w:r>
        <w:tab/>
      </w:r>
      <w:r>
        <w:fldChar w:fldCharType="begin"/>
      </w:r>
      <w:r>
        <w:instrText xml:space="preserve"> PAGEREF _Toc155166160 \h </w:instrText>
      </w:r>
      <w:r>
        <w:fldChar w:fldCharType="separate"/>
      </w:r>
      <w:r>
        <w:t>220</w:t>
      </w:r>
      <w:r>
        <w:fldChar w:fldCharType="end"/>
      </w:r>
    </w:p>
    <w:p>
      <w:pPr>
        <w:pStyle w:val="TOC8"/>
        <w:rPr>
          <w:rFonts w:asciiTheme="minorHAnsi" w:eastAsiaTheme="minorEastAsia" w:hAnsiTheme="minorHAnsi" w:cstheme="minorBidi"/>
          <w:szCs w:val="22"/>
        </w:rPr>
      </w:pPr>
      <w:r>
        <w:t>258.</w:t>
      </w:r>
      <w:r>
        <w:tab/>
        <w:t>Regulations for procedure and costs for local planning schemes</w:t>
      </w:r>
      <w:r>
        <w:tab/>
      </w:r>
      <w:r>
        <w:fldChar w:fldCharType="begin"/>
      </w:r>
      <w:r>
        <w:instrText xml:space="preserve"> PAGEREF _Toc155166161 \h </w:instrText>
      </w:r>
      <w:r>
        <w:fldChar w:fldCharType="separate"/>
      </w:r>
      <w:r>
        <w:t>220</w:t>
      </w:r>
      <w:r>
        <w:fldChar w:fldCharType="end"/>
      </w:r>
    </w:p>
    <w:p>
      <w:pPr>
        <w:pStyle w:val="TOC8"/>
        <w:rPr>
          <w:rFonts w:asciiTheme="minorHAnsi" w:eastAsiaTheme="minorEastAsia" w:hAnsiTheme="minorHAnsi" w:cstheme="minorBidi"/>
          <w:szCs w:val="22"/>
        </w:rPr>
      </w:pPr>
      <w:r>
        <w:t>258A.</w:t>
      </w:r>
      <w:r>
        <w:tab/>
        <w:t>Regulations as to procedure and costs for region planning schemes</w:t>
      </w:r>
      <w:r>
        <w:tab/>
      </w:r>
      <w:r>
        <w:fldChar w:fldCharType="begin"/>
      </w:r>
      <w:r>
        <w:instrText xml:space="preserve"> PAGEREF _Toc155166162 \h </w:instrText>
      </w:r>
      <w:r>
        <w:fldChar w:fldCharType="separate"/>
      </w:r>
      <w:r>
        <w:t>222</w:t>
      </w:r>
      <w:r>
        <w:fldChar w:fldCharType="end"/>
      </w:r>
    </w:p>
    <w:p>
      <w:pPr>
        <w:pStyle w:val="TOC8"/>
        <w:rPr>
          <w:rFonts w:asciiTheme="minorHAnsi" w:eastAsiaTheme="minorEastAsia" w:hAnsiTheme="minorHAnsi" w:cstheme="minorBidi"/>
          <w:szCs w:val="22"/>
        </w:rPr>
      </w:pPr>
      <w:r>
        <w:t>259.</w:t>
      </w:r>
      <w:r>
        <w:tab/>
        <w:t>Regulations for environmental review expenses</w:t>
      </w:r>
      <w:r>
        <w:tab/>
      </w:r>
      <w:r>
        <w:fldChar w:fldCharType="begin"/>
      </w:r>
      <w:r>
        <w:instrText xml:space="preserve"> PAGEREF _Toc155166163 \h </w:instrText>
      </w:r>
      <w:r>
        <w:fldChar w:fldCharType="separate"/>
      </w:r>
      <w:r>
        <w:t>222</w:t>
      </w:r>
      <w:r>
        <w:fldChar w:fldCharType="end"/>
      </w:r>
    </w:p>
    <w:p>
      <w:pPr>
        <w:pStyle w:val="TOC8"/>
        <w:rPr>
          <w:rFonts w:asciiTheme="minorHAnsi" w:eastAsiaTheme="minorEastAsia" w:hAnsiTheme="minorHAnsi" w:cstheme="minorBidi"/>
          <w:szCs w:val="22"/>
        </w:rPr>
      </w:pPr>
      <w:r>
        <w:t>261.</w:t>
      </w:r>
      <w:r>
        <w:tab/>
        <w:t>Local government fees for planning matters etc., regulations as to</w:t>
      </w:r>
      <w:r>
        <w:tab/>
      </w:r>
      <w:r>
        <w:fldChar w:fldCharType="begin"/>
      </w:r>
      <w:r>
        <w:instrText xml:space="preserve"> PAGEREF _Toc155166164 \h </w:instrText>
      </w:r>
      <w:r>
        <w:fldChar w:fldCharType="separate"/>
      </w:r>
      <w:r>
        <w:t>223</w:t>
      </w:r>
      <w:r>
        <w:fldChar w:fldCharType="end"/>
      </w:r>
    </w:p>
    <w:p>
      <w:pPr>
        <w:pStyle w:val="TOC8"/>
        <w:rPr>
          <w:rFonts w:asciiTheme="minorHAnsi" w:eastAsiaTheme="minorEastAsia" w:hAnsiTheme="minorHAnsi" w:cstheme="minorBidi"/>
          <w:szCs w:val="22"/>
        </w:rPr>
      </w:pPr>
      <w:r>
        <w:t>262.</w:t>
      </w:r>
      <w:r>
        <w:tab/>
        <w:t>Uniform general local laws</w:t>
      </w:r>
      <w:r>
        <w:tab/>
      </w:r>
      <w:r>
        <w:fldChar w:fldCharType="begin"/>
      </w:r>
      <w:r>
        <w:instrText xml:space="preserve"> PAGEREF _Toc155166165 \h </w:instrText>
      </w:r>
      <w:r>
        <w:fldChar w:fldCharType="separate"/>
      </w:r>
      <w:r>
        <w:t>224</w:t>
      </w:r>
      <w:r>
        <w:fldChar w:fldCharType="end"/>
      </w:r>
    </w:p>
    <w:p>
      <w:pPr>
        <w:pStyle w:val="TOC8"/>
        <w:rPr>
          <w:rFonts w:asciiTheme="minorHAnsi" w:eastAsiaTheme="minorEastAsia" w:hAnsiTheme="minorHAnsi" w:cstheme="minorBidi"/>
          <w:szCs w:val="22"/>
        </w:rPr>
      </w:pPr>
      <w:r>
        <w:t>263.</w:t>
      </w:r>
      <w:r>
        <w:tab/>
        <w:t>Regulations: general</w:t>
      </w:r>
      <w:r>
        <w:tab/>
      </w:r>
      <w:r>
        <w:fldChar w:fldCharType="begin"/>
      </w:r>
      <w:r>
        <w:instrText xml:space="preserve"> PAGEREF _Toc155166166 \h </w:instrText>
      </w:r>
      <w:r>
        <w:fldChar w:fldCharType="separate"/>
      </w:r>
      <w:r>
        <w:t>225</w:t>
      </w:r>
      <w:r>
        <w:fldChar w:fldCharType="end"/>
      </w:r>
    </w:p>
    <w:p>
      <w:pPr>
        <w:pStyle w:val="TOC8"/>
        <w:rPr>
          <w:rFonts w:asciiTheme="minorHAnsi" w:eastAsiaTheme="minorEastAsia" w:hAnsiTheme="minorHAnsi" w:cstheme="minorBidi"/>
          <w:szCs w:val="22"/>
        </w:rPr>
      </w:pPr>
      <w:r>
        <w:t>264.</w:t>
      </w:r>
      <w:r>
        <w:tab/>
        <w:t>Regulations may adopt codes and other texts</w:t>
      </w:r>
      <w:r>
        <w:tab/>
      </w:r>
      <w:r>
        <w:fldChar w:fldCharType="begin"/>
      </w:r>
      <w:r>
        <w:instrText xml:space="preserve"> PAGEREF _Toc155166167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Part 16 — Miscellaneous</w:t>
      </w:r>
    </w:p>
    <w:p>
      <w:pPr>
        <w:pStyle w:val="TOC8"/>
        <w:rPr>
          <w:rFonts w:asciiTheme="minorHAnsi" w:eastAsiaTheme="minorEastAsia" w:hAnsiTheme="minorHAnsi" w:cstheme="minorBidi"/>
          <w:szCs w:val="22"/>
        </w:rPr>
      </w:pPr>
      <w:r>
        <w:t>265.</w:t>
      </w:r>
      <w:r>
        <w:tab/>
        <w:t>Delegation by Minister</w:t>
      </w:r>
      <w:r>
        <w:tab/>
      </w:r>
      <w:r>
        <w:fldChar w:fldCharType="begin"/>
      </w:r>
      <w:r>
        <w:instrText xml:space="preserve"> PAGEREF _Toc155166169 \h </w:instrText>
      </w:r>
      <w:r>
        <w:fldChar w:fldCharType="separate"/>
      </w:r>
      <w:r>
        <w:t>228</w:t>
      </w:r>
      <w:r>
        <w:fldChar w:fldCharType="end"/>
      </w:r>
    </w:p>
    <w:p>
      <w:pPr>
        <w:pStyle w:val="TOC8"/>
        <w:rPr>
          <w:rFonts w:asciiTheme="minorHAnsi" w:eastAsiaTheme="minorEastAsia" w:hAnsiTheme="minorHAnsi" w:cstheme="minorBidi"/>
          <w:szCs w:val="22"/>
        </w:rPr>
      </w:pPr>
      <w:r>
        <w:t>266.</w:t>
      </w:r>
      <w:r>
        <w:tab/>
        <w:t xml:space="preserve">Duties and liabilities of persons performing functions under this Act or </w:t>
      </w:r>
      <w:r>
        <w:rPr>
          <w:i/>
        </w:rPr>
        <w:t>Swan Valley Planning Act 2020</w:t>
      </w:r>
      <w:r>
        <w:tab/>
      </w:r>
      <w:r>
        <w:fldChar w:fldCharType="begin"/>
      </w:r>
      <w:r>
        <w:instrText xml:space="preserve"> PAGEREF _Toc155166170 \h </w:instrText>
      </w:r>
      <w:r>
        <w:fldChar w:fldCharType="separate"/>
      </w:r>
      <w:r>
        <w:t>228</w:t>
      </w:r>
      <w:r>
        <w:fldChar w:fldCharType="end"/>
      </w:r>
    </w:p>
    <w:p>
      <w:pPr>
        <w:pStyle w:val="TOC8"/>
        <w:rPr>
          <w:rFonts w:asciiTheme="minorHAnsi" w:eastAsiaTheme="minorEastAsia" w:hAnsiTheme="minorHAnsi" w:cstheme="minorBidi"/>
          <w:szCs w:val="22"/>
        </w:rPr>
      </w:pPr>
      <w:r>
        <w:t>267A.</w:t>
      </w:r>
      <w:r>
        <w:tab/>
        <w:t>Crown and State land, who may sign documents as to</w:t>
      </w:r>
      <w:r>
        <w:tab/>
      </w:r>
      <w:r>
        <w:fldChar w:fldCharType="begin"/>
      </w:r>
      <w:r>
        <w:instrText xml:space="preserve"> PAGEREF _Toc155166171 \h </w:instrText>
      </w:r>
      <w:r>
        <w:fldChar w:fldCharType="separate"/>
      </w:r>
      <w:r>
        <w:t>230</w:t>
      </w:r>
      <w:r>
        <w:fldChar w:fldCharType="end"/>
      </w:r>
    </w:p>
    <w:p>
      <w:pPr>
        <w:pStyle w:val="TOC8"/>
        <w:rPr>
          <w:rFonts w:asciiTheme="minorHAnsi" w:eastAsiaTheme="minorEastAsia" w:hAnsiTheme="minorHAnsi" w:cstheme="minorBidi"/>
          <w:szCs w:val="22"/>
        </w:rPr>
      </w:pPr>
      <w:r>
        <w:t>267B.</w:t>
      </w:r>
      <w:r>
        <w:tab/>
        <w:t>Electronic planning maps</w:t>
      </w:r>
      <w:r>
        <w:tab/>
      </w:r>
      <w:r>
        <w:fldChar w:fldCharType="begin"/>
      </w:r>
      <w:r>
        <w:instrText xml:space="preserve"> PAGEREF _Toc155166172 \h </w:instrText>
      </w:r>
      <w:r>
        <w:fldChar w:fldCharType="separate"/>
      </w:r>
      <w:r>
        <w:t>231</w:t>
      </w:r>
      <w:r>
        <w:fldChar w:fldCharType="end"/>
      </w:r>
    </w:p>
    <w:p>
      <w:pPr>
        <w:pStyle w:val="TOC8"/>
        <w:rPr>
          <w:rFonts w:asciiTheme="minorHAnsi" w:eastAsiaTheme="minorEastAsia" w:hAnsiTheme="minorHAnsi" w:cstheme="minorBidi"/>
          <w:szCs w:val="22"/>
        </w:rPr>
      </w:pPr>
      <w:r>
        <w:t>267C.</w:t>
      </w:r>
      <w:r>
        <w:tab/>
        <w:t>Certified copies of electronic planning maps</w:t>
      </w:r>
      <w:r>
        <w:tab/>
      </w:r>
      <w:r>
        <w:fldChar w:fldCharType="begin"/>
      </w:r>
      <w:r>
        <w:instrText xml:space="preserve"> PAGEREF _Toc155166173 \h </w:instrText>
      </w:r>
      <w:r>
        <w:fldChar w:fldCharType="separate"/>
      </w:r>
      <w:r>
        <w:t>232</w:t>
      </w:r>
      <w:r>
        <w:fldChar w:fldCharType="end"/>
      </w:r>
    </w:p>
    <w:p>
      <w:pPr>
        <w:pStyle w:val="TOC8"/>
        <w:rPr>
          <w:rFonts w:asciiTheme="minorHAnsi" w:eastAsiaTheme="minorEastAsia" w:hAnsiTheme="minorHAnsi" w:cstheme="minorBidi"/>
          <w:szCs w:val="22"/>
        </w:rPr>
      </w:pPr>
      <w:r>
        <w:t>267.</w:t>
      </w:r>
      <w:r>
        <w:tab/>
        <w:t>Protection from personal liability</w:t>
      </w:r>
      <w:r>
        <w:tab/>
      </w:r>
      <w:r>
        <w:fldChar w:fldCharType="begin"/>
      </w:r>
      <w:r>
        <w:instrText xml:space="preserve"> PAGEREF _Toc155166174 \h </w:instrText>
      </w:r>
      <w:r>
        <w:fldChar w:fldCharType="separate"/>
      </w:r>
      <w:r>
        <w:t>233</w:t>
      </w:r>
      <w:r>
        <w:fldChar w:fldCharType="end"/>
      </w:r>
    </w:p>
    <w:p>
      <w:pPr>
        <w:pStyle w:val="TOC8"/>
        <w:rPr>
          <w:rFonts w:asciiTheme="minorHAnsi" w:eastAsiaTheme="minorEastAsia" w:hAnsiTheme="minorHAnsi" w:cstheme="minorBidi"/>
          <w:szCs w:val="22"/>
        </w:rPr>
      </w:pPr>
      <w:r>
        <w:t>268A.</w:t>
      </w:r>
      <w:r>
        <w:tab/>
        <w:t>Laying documents before House of Parliament that is not sitting</w:t>
      </w:r>
      <w:r>
        <w:tab/>
      </w:r>
      <w:r>
        <w:fldChar w:fldCharType="begin"/>
      </w:r>
      <w:r>
        <w:instrText xml:space="preserve"> PAGEREF _Toc155166175 \h </w:instrText>
      </w:r>
      <w:r>
        <w:fldChar w:fldCharType="separate"/>
      </w:r>
      <w:r>
        <w:t>233</w:t>
      </w:r>
      <w:r>
        <w:fldChar w:fldCharType="end"/>
      </w:r>
    </w:p>
    <w:p>
      <w:pPr>
        <w:pStyle w:val="TOC8"/>
        <w:rPr>
          <w:rFonts w:asciiTheme="minorHAnsi" w:eastAsiaTheme="minorEastAsia" w:hAnsiTheme="minorHAnsi" w:cstheme="minorBidi"/>
          <w:szCs w:val="22"/>
        </w:rPr>
      </w:pPr>
      <w:r>
        <w:t>268.</w:t>
      </w:r>
      <w:r>
        <w:tab/>
        <w:t>Review of Act</w:t>
      </w:r>
      <w:r>
        <w:tab/>
      </w:r>
      <w:r>
        <w:fldChar w:fldCharType="begin"/>
      </w:r>
      <w:r>
        <w:instrText xml:space="preserve"> PAGEREF _Toc155166176 \h </w:instrText>
      </w:r>
      <w:r>
        <w:fldChar w:fldCharType="separate"/>
      </w:r>
      <w:r>
        <w:t>234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17 — Special provisions for COVID</w:t>
      </w:r>
      <w:r>
        <w:noBreakHyphen/>
        <w:t>19 pandemic relating to development applications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269.</w:t>
      </w:r>
      <w:r>
        <w:tab/>
        <w:t>Terms used</w:t>
      </w:r>
      <w:r>
        <w:tab/>
      </w:r>
      <w:r>
        <w:fldChar w:fldCharType="begin"/>
      </w:r>
      <w:r>
        <w:instrText xml:space="preserve"> PAGEREF _Toc155166179 \h </w:instrText>
      </w:r>
      <w:r>
        <w:fldChar w:fldCharType="separate"/>
      </w:r>
      <w:r>
        <w:t>235</w:t>
      </w:r>
      <w:r>
        <w:fldChar w:fldCharType="end"/>
      </w:r>
    </w:p>
    <w:p>
      <w:pPr>
        <w:pStyle w:val="TOC8"/>
        <w:rPr>
          <w:rFonts w:asciiTheme="minorHAnsi" w:eastAsiaTheme="minorEastAsia" w:hAnsiTheme="minorHAnsi" w:cstheme="minorBidi"/>
          <w:szCs w:val="22"/>
        </w:rPr>
      </w:pPr>
      <w:r>
        <w:t>270.</w:t>
      </w:r>
      <w:r>
        <w:tab/>
        <w:t>Effect of Part</w:t>
      </w:r>
      <w:r>
        <w:tab/>
      </w:r>
      <w:r>
        <w:fldChar w:fldCharType="begin"/>
      </w:r>
      <w:r>
        <w:instrText xml:space="preserve"> PAGEREF _Toc155166180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t>Division 2 — Commission to determine certain development applications</w:t>
      </w:r>
    </w:p>
    <w:p>
      <w:pPr>
        <w:pStyle w:val="TOC6"/>
        <w:tabs>
          <w:tab w:val="right" w:leader="dot" w:pos="7077"/>
        </w:tabs>
        <w:rPr>
          <w:rFonts w:asciiTheme="minorHAnsi" w:eastAsiaTheme="minorEastAsia" w:hAnsiTheme="minorHAnsi" w:cstheme="minorBidi"/>
          <w:b w:val="0"/>
          <w:sz w:val="22"/>
          <w:szCs w:val="22"/>
        </w:rPr>
      </w:pPr>
      <w:r>
        <w:t>Subdivision 1 — Applications and referrals</w:t>
      </w:r>
    </w:p>
    <w:p>
      <w:pPr>
        <w:pStyle w:val="TOC8"/>
        <w:rPr>
          <w:rFonts w:asciiTheme="minorHAnsi" w:eastAsiaTheme="minorEastAsia" w:hAnsiTheme="minorHAnsi" w:cstheme="minorBidi"/>
          <w:szCs w:val="22"/>
        </w:rPr>
      </w:pPr>
      <w:r>
        <w:t>271.</w:t>
      </w:r>
      <w:r>
        <w:tab/>
        <w:t>Development applications that may be made directly to Commission during recovery period or extended recovery period</w:t>
      </w:r>
      <w:r>
        <w:tab/>
      </w:r>
      <w:r>
        <w:fldChar w:fldCharType="begin"/>
      </w:r>
      <w:r>
        <w:instrText xml:space="preserve"> PAGEREF _Toc155166183 \h </w:instrText>
      </w:r>
      <w:r>
        <w:fldChar w:fldCharType="separate"/>
      </w:r>
      <w:r>
        <w:t>239</w:t>
      </w:r>
      <w:r>
        <w:fldChar w:fldCharType="end"/>
      </w:r>
    </w:p>
    <w:p>
      <w:pPr>
        <w:pStyle w:val="TOC8"/>
        <w:rPr>
          <w:rFonts w:asciiTheme="minorHAnsi" w:eastAsiaTheme="minorEastAsia" w:hAnsiTheme="minorHAnsi" w:cstheme="minorBidi"/>
          <w:szCs w:val="22"/>
        </w:rPr>
      </w:pPr>
      <w:r>
        <w:t>272.</w:t>
      </w:r>
      <w:r>
        <w:tab/>
        <w:t>Development applications that may be referred to Commission by Premier during recovery period or extended recovery period</w:t>
      </w:r>
      <w:r>
        <w:tab/>
      </w:r>
      <w:r>
        <w:fldChar w:fldCharType="begin"/>
      </w:r>
      <w:r>
        <w:instrText xml:space="preserve"> PAGEREF _Toc155166184 \h </w:instrText>
      </w:r>
      <w:r>
        <w:fldChar w:fldCharType="separate"/>
      </w:r>
      <w:r>
        <w:t>239</w:t>
      </w:r>
      <w:r>
        <w:fldChar w:fldCharType="end"/>
      </w:r>
    </w:p>
    <w:p>
      <w:pPr>
        <w:pStyle w:val="TOC8"/>
        <w:rPr>
          <w:rFonts w:asciiTheme="minorHAnsi" w:eastAsiaTheme="minorEastAsia" w:hAnsiTheme="minorHAnsi" w:cstheme="minorBidi"/>
          <w:szCs w:val="22"/>
        </w:rPr>
      </w:pPr>
      <w:r>
        <w:t>273.</w:t>
      </w:r>
      <w:r>
        <w:tab/>
        <w:t>Supplementary provisions for applications and referrals</w:t>
      </w:r>
      <w:r>
        <w:tab/>
      </w:r>
      <w:r>
        <w:fldChar w:fldCharType="begin"/>
      </w:r>
      <w:r>
        <w:instrText xml:space="preserve"> PAGEREF _Toc155166185 \h </w:instrText>
      </w:r>
      <w:r>
        <w:fldChar w:fldCharType="separate"/>
      </w:r>
      <w:r>
        <w:t>241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Determinations</w:t>
      </w:r>
    </w:p>
    <w:p>
      <w:pPr>
        <w:pStyle w:val="TOC8"/>
        <w:rPr>
          <w:rFonts w:asciiTheme="minorHAnsi" w:eastAsiaTheme="minorEastAsia" w:hAnsiTheme="minorHAnsi" w:cstheme="minorBidi"/>
          <w:szCs w:val="22"/>
        </w:rPr>
      </w:pPr>
      <w:r>
        <w:t>274.</w:t>
      </w:r>
      <w:r>
        <w:tab/>
        <w:t>Determination of development applications by Commission</w:t>
      </w:r>
      <w:r>
        <w:tab/>
      </w:r>
      <w:r>
        <w:fldChar w:fldCharType="begin"/>
      </w:r>
      <w:r>
        <w:instrText xml:space="preserve"> PAGEREF _Toc155166187 \h </w:instrText>
      </w:r>
      <w:r>
        <w:fldChar w:fldCharType="separate"/>
      </w:r>
      <w:r>
        <w:t>242</w:t>
      </w:r>
      <w:r>
        <w:fldChar w:fldCharType="end"/>
      </w:r>
    </w:p>
    <w:p>
      <w:pPr>
        <w:pStyle w:val="TOC8"/>
        <w:rPr>
          <w:rFonts w:asciiTheme="minorHAnsi" w:eastAsiaTheme="minorEastAsia" w:hAnsiTheme="minorHAnsi" w:cstheme="minorBidi"/>
          <w:szCs w:val="22"/>
        </w:rPr>
      </w:pPr>
      <w:r>
        <w:t>275.</w:t>
      </w:r>
      <w:r>
        <w:tab/>
        <w:t>Application of legal instruments and matters to which Commission must have due regard</w:t>
      </w:r>
      <w:r>
        <w:tab/>
      </w:r>
      <w:r>
        <w:fldChar w:fldCharType="begin"/>
      </w:r>
      <w:r>
        <w:instrText xml:space="preserve"> PAGEREF _Toc155166188 \h </w:instrText>
      </w:r>
      <w:r>
        <w:fldChar w:fldCharType="separate"/>
      </w:r>
      <w:r>
        <w:t>244</w:t>
      </w:r>
      <w:r>
        <w:fldChar w:fldCharType="end"/>
      </w:r>
    </w:p>
    <w:p>
      <w:pPr>
        <w:pStyle w:val="TOC8"/>
        <w:rPr>
          <w:rFonts w:asciiTheme="minorHAnsi" w:eastAsiaTheme="minorEastAsia" w:hAnsiTheme="minorHAnsi" w:cstheme="minorBidi"/>
          <w:szCs w:val="22"/>
        </w:rPr>
      </w:pPr>
      <w:r>
        <w:t>276.</w:t>
      </w:r>
      <w:r>
        <w:tab/>
        <w:t>Consultation, submissions and other input</w:t>
      </w:r>
      <w:r>
        <w:tab/>
      </w:r>
      <w:r>
        <w:fldChar w:fldCharType="begin"/>
      </w:r>
      <w:r>
        <w:instrText xml:space="preserve"> PAGEREF _Toc155166189 \h </w:instrText>
      </w:r>
      <w:r>
        <w:fldChar w:fldCharType="separate"/>
      </w:r>
      <w:r>
        <w:t>246</w:t>
      </w:r>
      <w:r>
        <w:fldChar w:fldCharType="end"/>
      </w:r>
    </w:p>
    <w:p>
      <w:pPr>
        <w:pStyle w:val="TOC8"/>
        <w:rPr>
          <w:rFonts w:asciiTheme="minorHAnsi" w:eastAsiaTheme="minorEastAsia" w:hAnsiTheme="minorHAnsi" w:cstheme="minorBidi"/>
          <w:szCs w:val="22"/>
        </w:rPr>
      </w:pPr>
      <w:r>
        <w:t>277.</w:t>
      </w:r>
      <w:r>
        <w:tab/>
        <w:t>Effect of Commission determination under s. 274</w:t>
      </w:r>
      <w:r>
        <w:tab/>
      </w:r>
      <w:r>
        <w:fldChar w:fldCharType="begin"/>
      </w:r>
      <w:r>
        <w:instrText xml:space="preserve"> PAGEREF _Toc155166190 \h </w:instrText>
      </w:r>
      <w:r>
        <w:fldChar w:fldCharType="separate"/>
      </w:r>
      <w:r>
        <w:t>248</w:t>
      </w:r>
      <w:r>
        <w:fldChar w:fldCharType="end"/>
      </w:r>
    </w:p>
    <w:p>
      <w:pPr>
        <w:pStyle w:val="TOC8"/>
        <w:rPr>
          <w:rFonts w:asciiTheme="minorHAnsi" w:eastAsiaTheme="minorEastAsia" w:hAnsiTheme="minorHAnsi" w:cstheme="minorBidi"/>
          <w:szCs w:val="22"/>
        </w:rPr>
      </w:pPr>
      <w:r>
        <w:t>278.</w:t>
      </w:r>
      <w:r>
        <w:tab/>
        <w:t>Substantial commencement of development approved by Commission under s. 274</w:t>
      </w:r>
      <w:r>
        <w:tab/>
      </w:r>
      <w:r>
        <w:fldChar w:fldCharType="begin"/>
      </w:r>
      <w:r>
        <w:instrText xml:space="preserve"> PAGEREF _Toc155166191 \h </w:instrText>
      </w:r>
      <w:r>
        <w:fldChar w:fldCharType="separate"/>
      </w:r>
      <w:r>
        <w:t>250</w:t>
      </w:r>
      <w:r>
        <w:fldChar w:fldCharType="end"/>
      </w:r>
    </w:p>
    <w:p>
      <w:pPr>
        <w:pStyle w:val="TOC8"/>
        <w:rPr>
          <w:rFonts w:asciiTheme="minorHAnsi" w:eastAsiaTheme="minorEastAsia" w:hAnsiTheme="minorHAnsi" w:cstheme="minorBidi"/>
          <w:szCs w:val="22"/>
        </w:rPr>
      </w:pPr>
      <w:r>
        <w:t>279.</w:t>
      </w:r>
      <w:r>
        <w:tab/>
        <w:t>Amendment or cancellation of approval granted by Commission under s. 274</w:t>
      </w:r>
      <w:r>
        <w:tab/>
      </w:r>
      <w:r>
        <w:fldChar w:fldCharType="begin"/>
      </w:r>
      <w:r>
        <w:instrText xml:space="preserve"> PAGEREF _Toc155166192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Division 3 — Avoiding conflicts with approvals granted by Commission under section 274</w:t>
      </w:r>
    </w:p>
    <w:p>
      <w:pPr>
        <w:pStyle w:val="TOC8"/>
        <w:rPr>
          <w:rFonts w:asciiTheme="minorHAnsi" w:eastAsiaTheme="minorEastAsia" w:hAnsiTheme="minorHAnsi" w:cstheme="minorBidi"/>
          <w:szCs w:val="22"/>
        </w:rPr>
      </w:pPr>
      <w:r>
        <w:t>280.</w:t>
      </w:r>
      <w:r>
        <w:tab/>
        <w:t>General provisions for Division</w:t>
      </w:r>
      <w:r>
        <w:tab/>
      </w:r>
      <w:r>
        <w:fldChar w:fldCharType="begin"/>
      </w:r>
      <w:r>
        <w:instrText xml:space="preserve"> PAGEREF _Toc155166194 \h </w:instrText>
      </w:r>
      <w:r>
        <w:fldChar w:fldCharType="separate"/>
      </w:r>
      <w:r>
        <w:t>253</w:t>
      </w:r>
      <w:r>
        <w:fldChar w:fldCharType="end"/>
      </w:r>
    </w:p>
    <w:p>
      <w:pPr>
        <w:pStyle w:val="TOC8"/>
        <w:rPr>
          <w:rFonts w:asciiTheme="minorHAnsi" w:eastAsiaTheme="minorEastAsia" w:hAnsiTheme="minorHAnsi" w:cstheme="minorBidi"/>
          <w:szCs w:val="22"/>
        </w:rPr>
      </w:pPr>
      <w:r>
        <w:t>281.</w:t>
      </w:r>
      <w:r>
        <w:tab/>
        <w:t>Decision</w:t>
      </w:r>
      <w:r>
        <w:noBreakHyphen/>
        <w:t>maker proposing to perform function in conflict with approval</w:t>
      </w:r>
      <w:r>
        <w:tab/>
      </w:r>
      <w:r>
        <w:fldChar w:fldCharType="begin"/>
      </w:r>
      <w:r>
        <w:instrText xml:space="preserve"> PAGEREF _Toc155166195 \h </w:instrText>
      </w:r>
      <w:r>
        <w:fldChar w:fldCharType="separate"/>
      </w:r>
      <w:r>
        <w:t>255</w:t>
      </w:r>
      <w:r>
        <w:fldChar w:fldCharType="end"/>
      </w:r>
    </w:p>
    <w:p>
      <w:pPr>
        <w:pStyle w:val="TOC8"/>
        <w:rPr>
          <w:rFonts w:asciiTheme="minorHAnsi" w:eastAsiaTheme="minorEastAsia" w:hAnsiTheme="minorHAnsi" w:cstheme="minorBidi"/>
          <w:szCs w:val="22"/>
        </w:rPr>
      </w:pPr>
      <w:r>
        <w:t>282.</w:t>
      </w:r>
      <w:r>
        <w:tab/>
        <w:t>Owner of land or other prescribed person may apply for direction if performance of function conflicts with approval</w:t>
      </w:r>
      <w:r>
        <w:tab/>
      </w:r>
      <w:r>
        <w:fldChar w:fldCharType="begin"/>
      </w:r>
      <w:r>
        <w:instrText xml:space="preserve"> PAGEREF _Toc155166196 \h </w:instrText>
      </w:r>
      <w:r>
        <w:fldChar w:fldCharType="separate"/>
      </w:r>
      <w:r>
        <w:t>257</w:t>
      </w:r>
      <w:r>
        <w:fldChar w:fldCharType="end"/>
      </w:r>
    </w:p>
    <w:p>
      <w:pPr>
        <w:pStyle w:val="TOC4"/>
        <w:tabs>
          <w:tab w:val="right" w:leader="dot" w:pos="7077"/>
        </w:tabs>
        <w:rPr>
          <w:rFonts w:asciiTheme="minorHAnsi" w:eastAsiaTheme="minorEastAsia" w:hAnsiTheme="minorHAnsi" w:cstheme="minorBidi"/>
          <w:b w:val="0"/>
          <w:szCs w:val="22"/>
        </w:rPr>
      </w:pPr>
      <w:r>
        <w:t>Division 4 — Oversight of Commission</w:t>
      </w:r>
    </w:p>
    <w:p>
      <w:pPr>
        <w:pStyle w:val="TOC8"/>
        <w:rPr>
          <w:rFonts w:asciiTheme="minorHAnsi" w:eastAsiaTheme="minorEastAsia" w:hAnsiTheme="minorHAnsi" w:cstheme="minorBidi"/>
          <w:szCs w:val="22"/>
        </w:rPr>
      </w:pPr>
      <w:r>
        <w:t>283.</w:t>
      </w:r>
      <w:r>
        <w:tab/>
        <w:t>State Administrative Tribunal</w:t>
      </w:r>
      <w:r>
        <w:tab/>
      </w:r>
      <w:r>
        <w:fldChar w:fldCharType="begin"/>
      </w:r>
      <w:r>
        <w:instrText xml:space="preserve"> PAGEREF _Toc155166198 \h </w:instrText>
      </w:r>
      <w:r>
        <w:fldChar w:fldCharType="separate"/>
      </w:r>
      <w:r>
        <w:t>258</w:t>
      </w:r>
      <w:r>
        <w:fldChar w:fldCharType="end"/>
      </w:r>
    </w:p>
    <w:p>
      <w:pPr>
        <w:pStyle w:val="TOC8"/>
        <w:rPr>
          <w:rFonts w:asciiTheme="minorHAnsi" w:eastAsiaTheme="minorEastAsia" w:hAnsiTheme="minorHAnsi" w:cstheme="minorBidi"/>
          <w:szCs w:val="22"/>
        </w:rPr>
      </w:pPr>
      <w:r>
        <w:lastRenderedPageBreak/>
        <w:t>284.</w:t>
      </w:r>
      <w:r>
        <w:tab/>
        <w:t>Governor may amend or cancel approval granted by Commission under s. 274</w:t>
      </w:r>
      <w:r>
        <w:tab/>
      </w:r>
      <w:r>
        <w:fldChar w:fldCharType="begin"/>
      </w:r>
      <w:r>
        <w:instrText xml:space="preserve"> PAGEREF _Toc155166199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Division 5 — Final matters</w:t>
      </w:r>
    </w:p>
    <w:p>
      <w:pPr>
        <w:pStyle w:val="TOC8"/>
        <w:rPr>
          <w:rFonts w:asciiTheme="minorHAnsi" w:eastAsiaTheme="minorEastAsia" w:hAnsiTheme="minorHAnsi" w:cstheme="minorBidi"/>
          <w:szCs w:val="22"/>
        </w:rPr>
      </w:pPr>
      <w:r>
        <w:t>285.</w:t>
      </w:r>
      <w:r>
        <w:tab/>
        <w:t>Fees</w:t>
      </w:r>
      <w:r>
        <w:tab/>
      </w:r>
      <w:r>
        <w:fldChar w:fldCharType="begin"/>
      </w:r>
      <w:r>
        <w:instrText xml:space="preserve"> PAGEREF _Toc155166201 \h </w:instrText>
      </w:r>
      <w:r>
        <w:fldChar w:fldCharType="separate"/>
      </w:r>
      <w:r>
        <w:t>261</w:t>
      </w:r>
      <w:r>
        <w:fldChar w:fldCharType="end"/>
      </w:r>
    </w:p>
    <w:p>
      <w:pPr>
        <w:pStyle w:val="TOC8"/>
        <w:rPr>
          <w:rFonts w:asciiTheme="minorHAnsi" w:eastAsiaTheme="minorEastAsia" w:hAnsiTheme="minorHAnsi" w:cstheme="minorBidi"/>
          <w:szCs w:val="22"/>
        </w:rPr>
      </w:pPr>
      <w:r>
        <w:t>286.</w:t>
      </w:r>
      <w:r>
        <w:tab/>
        <w:t>Regulations</w:t>
      </w:r>
      <w:r>
        <w:tab/>
      </w:r>
      <w:r>
        <w:fldChar w:fldCharType="begin"/>
      </w:r>
      <w:r>
        <w:instrText xml:space="preserve"> PAGEREF _Toc155166202 \h </w:instrText>
      </w:r>
      <w:r>
        <w:fldChar w:fldCharType="separate"/>
      </w:r>
      <w:r>
        <w:t>261</w:t>
      </w:r>
      <w:r>
        <w:fldChar w:fldCharType="end"/>
      </w:r>
    </w:p>
    <w:p>
      <w:pPr>
        <w:pStyle w:val="TOC2"/>
        <w:tabs>
          <w:tab w:val="right" w:leader="dot" w:pos="7077"/>
        </w:tabs>
        <w:rPr>
          <w:rFonts w:asciiTheme="minorHAnsi" w:eastAsiaTheme="minorEastAsia" w:hAnsiTheme="minorHAnsi" w:cstheme="minorBidi"/>
          <w:b w:val="0"/>
          <w:sz w:val="22"/>
          <w:szCs w:val="22"/>
        </w:rPr>
      </w:pPr>
      <w:r>
        <w:t>Part 18 — Extension of time for endorsement of diagram or plan of survey due to COVID</w:t>
      </w:r>
      <w:r>
        <w:noBreakHyphen/>
        <w:t>19 pandemic</w:t>
      </w:r>
    </w:p>
    <w:p>
      <w:pPr>
        <w:pStyle w:val="TOC8"/>
        <w:rPr>
          <w:rFonts w:asciiTheme="minorHAnsi" w:eastAsiaTheme="minorEastAsia" w:hAnsiTheme="minorHAnsi" w:cstheme="minorBidi"/>
          <w:szCs w:val="22"/>
        </w:rPr>
      </w:pPr>
      <w:r>
        <w:t>287.</w:t>
      </w:r>
      <w:r>
        <w:tab/>
        <w:t>Term used: COVID</w:t>
      </w:r>
      <w:r>
        <w:noBreakHyphen/>
        <w:t>19 emergency start date</w:t>
      </w:r>
      <w:r>
        <w:tab/>
      </w:r>
      <w:r>
        <w:fldChar w:fldCharType="begin"/>
      </w:r>
      <w:r>
        <w:instrText xml:space="preserve"> PAGEREF _Toc155166204 \h </w:instrText>
      </w:r>
      <w:r>
        <w:fldChar w:fldCharType="separate"/>
      </w:r>
      <w:r>
        <w:t>262</w:t>
      </w:r>
      <w:r>
        <w:fldChar w:fldCharType="end"/>
      </w:r>
    </w:p>
    <w:p>
      <w:pPr>
        <w:pStyle w:val="TOC8"/>
        <w:rPr>
          <w:rFonts w:asciiTheme="minorHAnsi" w:eastAsiaTheme="minorEastAsia" w:hAnsiTheme="minorHAnsi" w:cstheme="minorBidi"/>
          <w:szCs w:val="22"/>
        </w:rPr>
      </w:pPr>
      <w:r>
        <w:t>288.</w:t>
      </w:r>
      <w:r>
        <w:tab/>
        <w:t>Extension of time for endorsement of diagram or plan of survey of approved subdivision</w:t>
      </w:r>
      <w:r>
        <w:tab/>
      </w:r>
      <w:r>
        <w:fldChar w:fldCharType="begin"/>
      </w:r>
      <w:r>
        <w:instrText xml:space="preserve"> PAGEREF _Toc155166205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Part 19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rPr>
        <w:t>Planning and Development Amendment Act 2020</w:t>
      </w:r>
    </w:p>
    <w:p>
      <w:pPr>
        <w:pStyle w:val="TOC8"/>
        <w:rPr>
          <w:rFonts w:asciiTheme="minorHAnsi" w:eastAsiaTheme="minorEastAsia" w:hAnsiTheme="minorHAnsi" w:cstheme="minorBidi"/>
          <w:szCs w:val="22"/>
        </w:rPr>
      </w:pPr>
      <w:r>
        <w:t>289.</w:t>
      </w:r>
      <w:r>
        <w:tab/>
        <w:t>LDAP or JDAP continues as district DAP</w:t>
      </w:r>
      <w:r>
        <w:tab/>
      </w:r>
      <w:r>
        <w:fldChar w:fldCharType="begin"/>
      </w:r>
      <w:r>
        <w:instrText xml:space="preserve"> PAGEREF _Toc155166208 \h </w:instrText>
      </w:r>
      <w:r>
        <w:fldChar w:fldCharType="separate"/>
      </w:r>
      <w:r>
        <w:t>264</w:t>
      </w:r>
      <w:r>
        <w:fldChar w:fldCharType="end"/>
      </w:r>
    </w:p>
    <w:p>
      <w:pPr>
        <w:pStyle w:val="TOC8"/>
        <w:rPr>
          <w:rFonts w:asciiTheme="minorHAnsi" w:eastAsiaTheme="minorEastAsia" w:hAnsiTheme="minorHAnsi" w:cstheme="minorBidi"/>
          <w:szCs w:val="22"/>
        </w:rPr>
      </w:pPr>
      <w:r>
        <w:t>290.</w:t>
      </w:r>
      <w:r>
        <w:tab/>
        <w:t>Preparation and approval of planning schemes where process commenced before commencement day</w:t>
      </w:r>
      <w:r>
        <w:tab/>
      </w:r>
      <w:r>
        <w:fldChar w:fldCharType="begin"/>
      </w:r>
      <w:r>
        <w:instrText xml:space="preserve"> PAGEREF _Toc155166209 \h </w:instrText>
      </w:r>
      <w:r>
        <w:fldChar w:fldCharType="separate"/>
      </w:r>
      <w:r>
        <w:t>265</w:t>
      </w:r>
      <w:r>
        <w:fldChar w:fldCharType="end"/>
      </w:r>
    </w:p>
    <w:p>
      <w:pPr>
        <w:pStyle w:val="TOC8"/>
        <w:rPr>
          <w:rFonts w:asciiTheme="minorHAnsi" w:eastAsiaTheme="minorEastAsia" w:hAnsiTheme="minorHAnsi" w:cstheme="minorBidi"/>
          <w:szCs w:val="22"/>
        </w:rPr>
      </w:pPr>
      <w:r>
        <w:t>291.</w:t>
      </w:r>
      <w:r>
        <w:tab/>
        <w:t>R</w:t>
      </w:r>
      <w:r>
        <w:noBreakHyphen/>
        <w:t>Codes taken to be planning codes</w:t>
      </w:r>
      <w:r>
        <w:tab/>
      </w:r>
      <w:r>
        <w:fldChar w:fldCharType="begin"/>
      </w:r>
      <w:r>
        <w:instrText xml:space="preserve"> PAGEREF _Toc155166210 \h </w:instrText>
      </w:r>
      <w:r>
        <w:fldChar w:fldCharType="separate"/>
      </w:r>
      <w:r>
        <w:t>266</w:t>
      </w:r>
      <w:r>
        <w:fldChar w:fldCharType="end"/>
      </w:r>
    </w:p>
    <w:p>
      <w:pPr>
        <w:pStyle w:val="TOC8"/>
        <w:rPr>
          <w:rFonts w:asciiTheme="minorHAnsi" w:eastAsiaTheme="minorEastAsia" w:hAnsiTheme="minorHAnsi" w:cstheme="minorBidi"/>
          <w:szCs w:val="22"/>
        </w:rPr>
      </w:pPr>
      <w:r>
        <w:t>292.</w:t>
      </w:r>
      <w:r>
        <w:tab/>
        <w:t>Regulations made by Minister continue in force</w:t>
      </w:r>
      <w:r>
        <w:tab/>
      </w:r>
      <w:r>
        <w:fldChar w:fldCharType="begin"/>
      </w:r>
      <w:r>
        <w:instrText xml:space="preserve"> PAGEREF _Toc155166211 \h </w:instrText>
      </w:r>
      <w:r>
        <w:fldChar w:fldCharType="separate"/>
      </w:r>
      <w:r>
        <w:t>266</w:t>
      </w:r>
      <w:r>
        <w:fldChar w:fldCharType="end"/>
      </w:r>
    </w:p>
    <w:p>
      <w:pPr>
        <w:pStyle w:val="TOC8"/>
        <w:rPr>
          <w:rFonts w:asciiTheme="minorHAnsi" w:eastAsiaTheme="minorEastAsia" w:hAnsiTheme="minorHAnsi" w:cstheme="minorBidi"/>
          <w:szCs w:val="22"/>
        </w:rPr>
      </w:pPr>
      <w:r>
        <w:t>293.</w:t>
      </w:r>
      <w:r>
        <w:tab/>
        <w:t>Electronic planning maps prepared before commencement day</w:t>
      </w:r>
      <w:r>
        <w:tab/>
      </w:r>
      <w:r>
        <w:fldChar w:fldCharType="begin"/>
      </w:r>
      <w:r>
        <w:instrText xml:space="preserve"> PAGEREF _Toc155166212 \h </w:instrText>
      </w:r>
      <w:r>
        <w:fldChar w:fldCharType="separate"/>
      </w:r>
      <w:r>
        <w:t>267</w:t>
      </w:r>
      <w:r>
        <w:fldChar w:fldCharType="end"/>
      </w:r>
    </w:p>
    <w:p>
      <w:pPr>
        <w:pStyle w:val="TOC8"/>
        <w:rPr>
          <w:rFonts w:asciiTheme="minorHAnsi" w:eastAsiaTheme="minorEastAsia" w:hAnsiTheme="minorHAnsi" w:cstheme="minorBidi"/>
          <w:szCs w:val="22"/>
        </w:rPr>
      </w:pPr>
      <w:r>
        <w:t>294.</w:t>
      </w:r>
      <w:r>
        <w:tab/>
        <w:t>Transitional regulations</w:t>
      </w:r>
      <w:r>
        <w:tab/>
      </w:r>
      <w:r>
        <w:fldChar w:fldCharType="begin"/>
      </w:r>
      <w:r>
        <w:instrText xml:space="preserve"> PAGEREF _Toc155166213 \h </w:instrText>
      </w:r>
      <w:r>
        <w:fldChar w:fldCharType="separate"/>
      </w:r>
      <w:r>
        <w:t>267</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for </w:t>
      </w:r>
      <w:r>
        <w:rPr>
          <w:i/>
        </w:rPr>
        <w:t>Planning and Development Amendment Act 2022</w:t>
      </w:r>
    </w:p>
    <w:p>
      <w:pPr>
        <w:pStyle w:val="TOC8"/>
        <w:rPr>
          <w:rFonts w:asciiTheme="minorHAnsi" w:eastAsiaTheme="minorEastAsia" w:hAnsiTheme="minorHAnsi" w:cstheme="minorBidi"/>
          <w:szCs w:val="22"/>
        </w:rPr>
      </w:pPr>
      <w:r>
        <w:t>295.</w:t>
      </w:r>
      <w:r>
        <w:tab/>
        <w:t>Amendments to development approvals</w:t>
      </w:r>
      <w:r>
        <w:tab/>
      </w:r>
      <w:r>
        <w:fldChar w:fldCharType="begin"/>
      </w:r>
      <w:r>
        <w:instrText xml:space="preserve"> PAGEREF _Toc155166215 \h </w:instrText>
      </w:r>
      <w:r>
        <w:fldChar w:fldCharType="separate"/>
      </w:r>
      <w:r>
        <w:t>269</w:t>
      </w:r>
      <w:r>
        <w:fldChar w:fldCharType="end"/>
      </w:r>
    </w:p>
    <w:p>
      <w:pPr>
        <w:pStyle w:val="TOC8"/>
        <w:rPr>
          <w:rFonts w:asciiTheme="minorHAnsi" w:eastAsiaTheme="minorEastAsia" w:hAnsiTheme="minorHAnsi" w:cstheme="minorBidi"/>
          <w:szCs w:val="22"/>
        </w:rPr>
      </w:pPr>
      <w:r>
        <w:t>296.</w:t>
      </w:r>
      <w:r>
        <w:tab/>
        <w:t>Fees</w:t>
      </w:r>
      <w:r>
        <w:tab/>
      </w:r>
      <w:r>
        <w:fldChar w:fldCharType="begin"/>
      </w:r>
      <w:r>
        <w:instrText xml:space="preserve"> PAGEREF _Toc155166216 \h </w:instrText>
      </w:r>
      <w:r>
        <w:fldChar w:fldCharType="separate"/>
      </w:r>
      <w:r>
        <w:t>269</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_Toc155166218 \h </w:instrText>
      </w:r>
      <w:r>
        <w:fldChar w:fldCharType="separate"/>
      </w:r>
      <w:r>
        <w:t>270</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_Toc155166219 \h </w:instrText>
      </w:r>
      <w:r>
        <w:fldChar w:fldCharType="separate"/>
      </w:r>
      <w:r>
        <w:t>270</w:t>
      </w:r>
      <w:r>
        <w:fldChar w:fldCharType="end"/>
      </w:r>
    </w:p>
    <w:p>
      <w:pPr>
        <w:pStyle w:val="TOC8"/>
        <w:rPr>
          <w:rFonts w:asciiTheme="minorHAnsi" w:eastAsiaTheme="minorEastAsia" w:hAnsiTheme="minorHAnsi" w:cstheme="minorBidi"/>
          <w:szCs w:val="22"/>
        </w:rPr>
      </w:pPr>
      <w:r>
        <w:t>3.</w:t>
      </w:r>
      <w:r>
        <w:tab/>
        <w:t>Appointments to be part-time unless stated otherwise</w:t>
      </w:r>
      <w:r>
        <w:tab/>
      </w:r>
      <w:r>
        <w:fldChar w:fldCharType="begin"/>
      </w:r>
      <w:r>
        <w:instrText xml:space="preserve"> PAGEREF _Toc155166220 \h </w:instrText>
      </w:r>
      <w:r>
        <w:fldChar w:fldCharType="separate"/>
      </w:r>
      <w:r>
        <w:t>270</w:t>
      </w:r>
      <w:r>
        <w:fldChar w:fldCharType="end"/>
      </w:r>
    </w:p>
    <w:p>
      <w:pPr>
        <w:pStyle w:val="TOC8"/>
        <w:rPr>
          <w:rFonts w:asciiTheme="minorHAnsi" w:eastAsiaTheme="minorEastAsia" w:hAnsiTheme="minorHAnsi" w:cstheme="minorBidi"/>
          <w:szCs w:val="22"/>
        </w:rPr>
      </w:pPr>
      <w:r>
        <w:t>4.</w:t>
      </w:r>
      <w:r>
        <w:tab/>
        <w:t>Vacancies in and removal from office</w:t>
      </w:r>
      <w:r>
        <w:tab/>
      </w:r>
      <w:r>
        <w:fldChar w:fldCharType="begin"/>
      </w:r>
      <w:r>
        <w:instrText xml:space="preserve"> PAGEREF _Toc155166221 \h </w:instrText>
      </w:r>
      <w:r>
        <w:fldChar w:fldCharType="separate"/>
      </w:r>
      <w:r>
        <w:t>270</w:t>
      </w:r>
      <w:r>
        <w:fldChar w:fldCharType="end"/>
      </w:r>
    </w:p>
    <w:p>
      <w:pPr>
        <w:pStyle w:val="TOC8"/>
        <w:rPr>
          <w:rFonts w:asciiTheme="minorHAnsi" w:eastAsiaTheme="minorEastAsia" w:hAnsiTheme="minorHAnsi" w:cstheme="minorBidi"/>
          <w:szCs w:val="22"/>
        </w:rPr>
      </w:pPr>
      <w:r>
        <w:lastRenderedPageBreak/>
        <w:t>5.</w:t>
      </w:r>
      <w:r>
        <w:tab/>
        <w:t>Leave of absence</w:t>
      </w:r>
      <w:r>
        <w:tab/>
      </w:r>
      <w:r>
        <w:fldChar w:fldCharType="begin"/>
      </w:r>
      <w:r>
        <w:instrText xml:space="preserve"> PAGEREF _Toc155166222 \h </w:instrText>
      </w:r>
      <w:r>
        <w:fldChar w:fldCharType="separate"/>
      </w:r>
      <w:r>
        <w:t>271</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_Toc155166223 \h </w:instrText>
      </w:r>
      <w:r>
        <w:fldChar w:fldCharType="separate"/>
      </w:r>
      <w:r>
        <w:t>271</w:t>
      </w:r>
      <w:r>
        <w:fldChar w:fldCharType="end"/>
      </w:r>
    </w:p>
    <w:p>
      <w:pPr>
        <w:pStyle w:val="TOC8"/>
        <w:rPr>
          <w:rFonts w:asciiTheme="minorHAnsi" w:eastAsiaTheme="minorEastAsia" w:hAnsiTheme="minorHAnsi" w:cstheme="minorBidi"/>
          <w:szCs w:val="22"/>
        </w:rPr>
      </w:pPr>
      <w:r>
        <w:t>7.</w:t>
      </w:r>
      <w:r>
        <w:tab/>
        <w:t>Deputy members</w:t>
      </w:r>
      <w:r>
        <w:tab/>
      </w:r>
      <w:r>
        <w:fldChar w:fldCharType="begin"/>
      </w:r>
      <w:r>
        <w:instrText xml:space="preserve"> PAGEREF _Toc155166224 \h </w:instrText>
      </w:r>
      <w:r>
        <w:fldChar w:fldCharType="separate"/>
      </w:r>
      <w:r>
        <w:t>272</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_Toc155166225 \h </w:instrText>
      </w:r>
      <w:r>
        <w:fldChar w:fldCharType="separate"/>
      </w:r>
      <w:r>
        <w:t>272</w:t>
      </w:r>
      <w:r>
        <w:fldChar w:fldCharType="end"/>
      </w:r>
    </w:p>
    <w:p>
      <w:pPr>
        <w:pStyle w:val="TOC8"/>
        <w:rPr>
          <w:rFonts w:asciiTheme="minorHAnsi" w:eastAsiaTheme="minorEastAsia" w:hAnsiTheme="minorHAnsi" w:cstheme="minorBidi"/>
          <w:szCs w:val="22"/>
        </w:rPr>
      </w:pPr>
      <w:r>
        <w:t>9.</w:t>
      </w:r>
      <w:r>
        <w:tab/>
        <w:t>Resolution without meeting</w:t>
      </w:r>
      <w:r>
        <w:tab/>
      </w:r>
      <w:r>
        <w:fldChar w:fldCharType="begin"/>
      </w:r>
      <w:r>
        <w:instrText xml:space="preserve"> PAGEREF _Toc155166226 \h </w:instrText>
      </w:r>
      <w:r>
        <w:fldChar w:fldCharType="separate"/>
      </w:r>
      <w:r>
        <w:t>273</w:t>
      </w:r>
      <w:r>
        <w:fldChar w:fldCharType="end"/>
      </w:r>
    </w:p>
    <w:p>
      <w:pPr>
        <w:pStyle w:val="TOC8"/>
        <w:rPr>
          <w:rFonts w:asciiTheme="minorHAnsi" w:eastAsiaTheme="minorEastAsia" w:hAnsiTheme="minorHAnsi" w:cstheme="minorBidi"/>
          <w:szCs w:val="22"/>
        </w:rPr>
      </w:pPr>
      <w:r>
        <w:t>10.</w:t>
      </w:r>
      <w:r>
        <w:tab/>
        <w:t>Telephone or similar meetings</w:t>
      </w:r>
      <w:r>
        <w:tab/>
      </w:r>
      <w:r>
        <w:fldChar w:fldCharType="begin"/>
      </w:r>
      <w:r>
        <w:instrText xml:space="preserve"> PAGEREF _Toc155166227 \h </w:instrText>
      </w:r>
      <w:r>
        <w:fldChar w:fldCharType="separate"/>
      </w:r>
      <w:r>
        <w:t>273</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_Toc155166228 \h </w:instrText>
      </w:r>
      <w:r>
        <w:fldChar w:fldCharType="separate"/>
      </w:r>
      <w:r>
        <w:t>273</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_Toc155166229 \h </w:instrText>
      </w:r>
      <w:r>
        <w:fldChar w:fldCharType="separate"/>
      </w:r>
      <w:r>
        <w:t>273</w:t>
      </w:r>
      <w:r>
        <w:fldChar w:fldCharType="end"/>
      </w:r>
    </w:p>
    <w:p>
      <w:pPr>
        <w:pStyle w:val="TOC2"/>
        <w:tabs>
          <w:tab w:val="right" w:leader="dot" w:pos="7077"/>
        </w:tabs>
        <w:rPr>
          <w:rFonts w:asciiTheme="minorHAnsi" w:eastAsiaTheme="minorEastAsia" w:hAnsiTheme="minorHAnsi" w:cstheme="minorBidi"/>
          <w:b w:val="0"/>
          <w:sz w:val="22"/>
          <w:szCs w:val="22"/>
        </w:rPr>
      </w:pPr>
      <w:r>
        <w:t>Schedule 2 — Committees</w:t>
      </w:r>
    </w:p>
    <w:p>
      <w:pPr>
        <w:pStyle w:val="TOC8"/>
        <w:rPr>
          <w:rFonts w:asciiTheme="minorHAnsi" w:eastAsiaTheme="minorEastAsia" w:hAnsiTheme="minorHAnsi" w:cstheme="minorBidi"/>
          <w:szCs w:val="22"/>
        </w:rPr>
      </w:pPr>
      <w:r>
        <w:t>1.</w:t>
      </w:r>
      <w:r>
        <w:tab/>
        <w:t>Committees, general provisions as to</w:t>
      </w:r>
      <w:r>
        <w:tab/>
      </w:r>
      <w:r>
        <w:fldChar w:fldCharType="begin"/>
      </w:r>
      <w:r>
        <w:instrText xml:space="preserve"> PAGEREF _Toc155166231 \h </w:instrText>
      </w:r>
      <w:r>
        <w:fldChar w:fldCharType="separate"/>
      </w:r>
      <w:r>
        <w:t>274</w:t>
      </w:r>
      <w:r>
        <w:fldChar w:fldCharType="end"/>
      </w:r>
    </w:p>
    <w:p>
      <w:pPr>
        <w:pStyle w:val="TOC8"/>
        <w:rPr>
          <w:rFonts w:asciiTheme="minorHAnsi" w:eastAsiaTheme="minorEastAsia" w:hAnsiTheme="minorHAnsi" w:cstheme="minorBidi"/>
          <w:szCs w:val="22"/>
        </w:rPr>
      </w:pPr>
      <w:r>
        <w:t>2.</w:t>
      </w:r>
      <w:r>
        <w:tab/>
        <w:t>Deputy members for local government representatives</w:t>
      </w:r>
      <w:r>
        <w:tab/>
      </w:r>
      <w:r>
        <w:fldChar w:fldCharType="begin"/>
      </w:r>
      <w:r>
        <w:instrText xml:space="preserve"> PAGEREF _Toc155166232 \h </w:instrText>
      </w:r>
      <w:r>
        <w:fldChar w:fldCharType="separate"/>
      </w:r>
      <w:r>
        <w:t>275</w:t>
      </w:r>
      <w:r>
        <w:fldChar w:fldCharType="end"/>
      </w:r>
    </w:p>
    <w:p>
      <w:pPr>
        <w:pStyle w:val="TOC8"/>
        <w:rPr>
          <w:rFonts w:asciiTheme="minorHAnsi" w:eastAsiaTheme="minorEastAsia" w:hAnsiTheme="minorHAnsi" w:cstheme="minorBidi"/>
          <w:szCs w:val="22"/>
        </w:rPr>
      </w:pPr>
      <w:r>
        <w:t>3.</w:t>
      </w:r>
      <w:r>
        <w:tab/>
        <w:t>Executive, Finance and Property Committee</w:t>
      </w:r>
      <w:r>
        <w:tab/>
      </w:r>
      <w:r>
        <w:fldChar w:fldCharType="begin"/>
      </w:r>
      <w:r>
        <w:instrText xml:space="preserve"> PAGEREF _Toc155166233 \h </w:instrText>
      </w:r>
      <w:r>
        <w:fldChar w:fldCharType="separate"/>
      </w:r>
      <w:r>
        <w:t>275</w:t>
      </w:r>
      <w:r>
        <w:fldChar w:fldCharType="end"/>
      </w:r>
    </w:p>
    <w:p>
      <w:pPr>
        <w:pStyle w:val="TOC8"/>
        <w:rPr>
          <w:rFonts w:asciiTheme="minorHAnsi" w:eastAsiaTheme="minorEastAsia" w:hAnsiTheme="minorHAnsi" w:cstheme="minorBidi"/>
          <w:szCs w:val="22"/>
        </w:rPr>
      </w:pPr>
      <w:r>
        <w:t>4.</w:t>
      </w:r>
      <w:r>
        <w:tab/>
        <w:t>Statutory Planning Committee</w:t>
      </w:r>
      <w:r>
        <w:tab/>
      </w:r>
      <w:r>
        <w:fldChar w:fldCharType="begin"/>
      </w:r>
      <w:r>
        <w:instrText xml:space="preserve"> PAGEREF _Toc155166234 \h </w:instrText>
      </w:r>
      <w:r>
        <w:fldChar w:fldCharType="separate"/>
      </w:r>
      <w:r>
        <w:t>276</w:t>
      </w:r>
      <w:r>
        <w:fldChar w:fldCharType="end"/>
      </w:r>
    </w:p>
    <w:p>
      <w:pPr>
        <w:pStyle w:val="TOC8"/>
        <w:rPr>
          <w:rFonts w:asciiTheme="minorHAnsi" w:eastAsiaTheme="minorEastAsia" w:hAnsiTheme="minorHAnsi" w:cstheme="minorBidi"/>
          <w:szCs w:val="22"/>
        </w:rPr>
      </w:pPr>
      <w:r>
        <w:t>5.</w:t>
      </w:r>
      <w:r>
        <w:tab/>
        <w:t>Sustainable Transport Committee</w:t>
      </w:r>
      <w:r>
        <w:tab/>
      </w:r>
      <w:r>
        <w:fldChar w:fldCharType="begin"/>
      </w:r>
      <w:r>
        <w:instrText xml:space="preserve"> PAGEREF _Toc155166235 \h </w:instrText>
      </w:r>
      <w:r>
        <w:fldChar w:fldCharType="separate"/>
      </w:r>
      <w:r>
        <w:t>277</w:t>
      </w:r>
      <w:r>
        <w:fldChar w:fldCharType="end"/>
      </w:r>
    </w:p>
    <w:p>
      <w:pPr>
        <w:pStyle w:val="TOC8"/>
        <w:rPr>
          <w:rFonts w:asciiTheme="minorHAnsi" w:eastAsiaTheme="minorEastAsia" w:hAnsiTheme="minorHAnsi" w:cstheme="minorBidi"/>
          <w:szCs w:val="22"/>
        </w:rPr>
      </w:pPr>
      <w:r>
        <w:t>7.</w:t>
      </w:r>
      <w:r>
        <w:tab/>
        <w:t>Coastal Planning and Coordination Council</w:t>
      </w:r>
      <w:r>
        <w:tab/>
      </w:r>
      <w:r>
        <w:fldChar w:fldCharType="begin"/>
      </w:r>
      <w:r>
        <w:instrText xml:space="preserve"> PAGEREF _Toc155166236 \h </w:instrText>
      </w:r>
      <w:r>
        <w:fldChar w:fldCharType="separate"/>
      </w:r>
      <w:r>
        <w:t>278</w:t>
      </w:r>
      <w:r>
        <w:fldChar w:fldCharType="end"/>
      </w:r>
    </w:p>
    <w:p>
      <w:pPr>
        <w:pStyle w:val="TOC8"/>
        <w:rPr>
          <w:rFonts w:asciiTheme="minorHAnsi" w:eastAsiaTheme="minorEastAsia" w:hAnsiTheme="minorHAnsi" w:cstheme="minorBidi"/>
          <w:szCs w:val="22"/>
        </w:rPr>
      </w:pPr>
      <w:r>
        <w:t>8.</w:t>
      </w:r>
      <w:r>
        <w:tab/>
        <w:t>Regional planning committees</w:t>
      </w:r>
      <w:r>
        <w:tab/>
      </w:r>
      <w:r>
        <w:fldChar w:fldCharType="begin"/>
      </w:r>
      <w:r>
        <w:instrText xml:space="preserve"> PAGEREF _Toc155166237 \h </w:instrText>
      </w:r>
      <w:r>
        <w:fldChar w:fldCharType="separate"/>
      </w:r>
      <w:r>
        <w:t>280</w:t>
      </w:r>
      <w:r>
        <w:fldChar w:fldCharType="end"/>
      </w:r>
    </w:p>
    <w:p>
      <w:pPr>
        <w:pStyle w:val="TOC8"/>
        <w:rPr>
          <w:rFonts w:asciiTheme="minorHAnsi" w:eastAsiaTheme="minorEastAsia" w:hAnsiTheme="minorHAnsi" w:cstheme="minorBidi"/>
          <w:szCs w:val="22"/>
        </w:rPr>
      </w:pPr>
      <w:r>
        <w:t>9.</w:t>
      </w:r>
      <w:r>
        <w:tab/>
        <w:t>District planning committees</w:t>
      </w:r>
      <w:r>
        <w:tab/>
      </w:r>
      <w:r>
        <w:fldChar w:fldCharType="begin"/>
      </w:r>
      <w:r>
        <w:instrText xml:space="preserve"> PAGEREF _Toc155166238 \h </w:instrText>
      </w:r>
      <w:r>
        <w:fldChar w:fldCharType="separate"/>
      </w:r>
      <w:r>
        <w:t>281</w:t>
      </w:r>
      <w:r>
        <w:fldChar w:fldCharType="end"/>
      </w:r>
    </w:p>
    <w:p>
      <w:pPr>
        <w:pStyle w:val="TOC2"/>
        <w:tabs>
          <w:tab w:val="right" w:leader="dot" w:pos="7077"/>
        </w:tabs>
        <w:rPr>
          <w:rFonts w:asciiTheme="minorHAnsi" w:eastAsiaTheme="minorEastAsia" w:hAnsiTheme="minorHAnsi" w:cstheme="minorBidi"/>
          <w:b w:val="0"/>
          <w:sz w:val="22"/>
          <w:szCs w:val="22"/>
        </w:rPr>
      </w:pPr>
      <w:r>
        <w:t>Schedule 3 — Metropolitan region</w:t>
      </w:r>
    </w:p>
    <w:p>
      <w:pPr>
        <w:pStyle w:val="TOC2"/>
        <w:tabs>
          <w:tab w:val="right" w:leader="dot" w:pos="7077"/>
        </w:tabs>
        <w:rPr>
          <w:rFonts w:asciiTheme="minorHAnsi" w:eastAsiaTheme="minorEastAsia" w:hAnsiTheme="minorHAnsi" w:cstheme="minorBidi"/>
          <w:b w:val="0"/>
          <w:sz w:val="22"/>
          <w:szCs w:val="22"/>
        </w:rPr>
      </w:pPr>
      <w:r>
        <w:t>Schedule 4 — Other regions</w:t>
      </w:r>
    </w:p>
    <w:p>
      <w:pPr>
        <w:pStyle w:val="TOC8"/>
        <w:rPr>
          <w:rFonts w:asciiTheme="minorHAnsi" w:eastAsiaTheme="minorEastAsia" w:hAnsiTheme="minorHAnsi" w:cstheme="minorBidi"/>
          <w:szCs w:val="22"/>
        </w:rPr>
      </w:pPr>
      <w:r>
        <w:t>1.</w:t>
      </w:r>
      <w:r>
        <w:tab/>
        <w:t>Gascoyne Region</w:t>
      </w:r>
      <w:r>
        <w:tab/>
      </w:r>
      <w:r>
        <w:fldChar w:fldCharType="begin"/>
      </w:r>
      <w:r>
        <w:instrText xml:space="preserve"> PAGEREF _Toc155166241 \h </w:instrText>
      </w:r>
      <w:r>
        <w:fldChar w:fldCharType="separate"/>
      </w:r>
      <w:r>
        <w:t>285</w:t>
      </w:r>
      <w:r>
        <w:fldChar w:fldCharType="end"/>
      </w:r>
    </w:p>
    <w:p>
      <w:pPr>
        <w:pStyle w:val="TOC8"/>
        <w:rPr>
          <w:rFonts w:asciiTheme="minorHAnsi" w:eastAsiaTheme="minorEastAsia" w:hAnsiTheme="minorHAnsi" w:cstheme="minorBidi"/>
          <w:szCs w:val="22"/>
        </w:rPr>
      </w:pPr>
      <w:r>
        <w:t>2.</w:t>
      </w:r>
      <w:r>
        <w:tab/>
        <w:t>Goldfields</w:t>
      </w:r>
      <w:r>
        <w:noBreakHyphen/>
        <w:t>Esperance Region</w:t>
      </w:r>
      <w:r>
        <w:tab/>
      </w:r>
      <w:r>
        <w:fldChar w:fldCharType="begin"/>
      </w:r>
      <w:r>
        <w:instrText xml:space="preserve"> PAGEREF _Toc155166242 \h </w:instrText>
      </w:r>
      <w:r>
        <w:fldChar w:fldCharType="separate"/>
      </w:r>
      <w:r>
        <w:t>285</w:t>
      </w:r>
      <w:r>
        <w:fldChar w:fldCharType="end"/>
      </w:r>
    </w:p>
    <w:p>
      <w:pPr>
        <w:pStyle w:val="TOC8"/>
        <w:rPr>
          <w:rFonts w:asciiTheme="minorHAnsi" w:eastAsiaTheme="minorEastAsia" w:hAnsiTheme="minorHAnsi" w:cstheme="minorBidi"/>
          <w:szCs w:val="22"/>
        </w:rPr>
      </w:pPr>
      <w:r>
        <w:t>3.</w:t>
      </w:r>
      <w:r>
        <w:tab/>
        <w:t>Great Southern Region</w:t>
      </w:r>
      <w:r>
        <w:tab/>
      </w:r>
      <w:r>
        <w:fldChar w:fldCharType="begin"/>
      </w:r>
      <w:r>
        <w:instrText xml:space="preserve"> PAGEREF _Toc155166243 \h </w:instrText>
      </w:r>
      <w:r>
        <w:fldChar w:fldCharType="separate"/>
      </w:r>
      <w:r>
        <w:t>285</w:t>
      </w:r>
      <w:r>
        <w:fldChar w:fldCharType="end"/>
      </w:r>
    </w:p>
    <w:p>
      <w:pPr>
        <w:pStyle w:val="TOC8"/>
        <w:rPr>
          <w:rFonts w:asciiTheme="minorHAnsi" w:eastAsiaTheme="minorEastAsia" w:hAnsiTheme="minorHAnsi" w:cstheme="minorBidi"/>
          <w:szCs w:val="22"/>
        </w:rPr>
      </w:pPr>
      <w:r>
        <w:t>4.</w:t>
      </w:r>
      <w:r>
        <w:tab/>
        <w:t>Kimberley Region</w:t>
      </w:r>
      <w:r>
        <w:tab/>
      </w:r>
      <w:r>
        <w:fldChar w:fldCharType="begin"/>
      </w:r>
      <w:r>
        <w:instrText xml:space="preserve"> PAGEREF _Toc155166244 \h </w:instrText>
      </w:r>
      <w:r>
        <w:fldChar w:fldCharType="separate"/>
      </w:r>
      <w:r>
        <w:t>285</w:t>
      </w:r>
      <w:r>
        <w:fldChar w:fldCharType="end"/>
      </w:r>
    </w:p>
    <w:p>
      <w:pPr>
        <w:pStyle w:val="TOC8"/>
        <w:rPr>
          <w:rFonts w:asciiTheme="minorHAnsi" w:eastAsiaTheme="minorEastAsia" w:hAnsiTheme="minorHAnsi" w:cstheme="minorBidi"/>
          <w:szCs w:val="22"/>
        </w:rPr>
      </w:pPr>
      <w:r>
        <w:t>5.</w:t>
      </w:r>
      <w:r>
        <w:tab/>
        <w:t>Mid West Region</w:t>
      </w:r>
      <w:r>
        <w:tab/>
      </w:r>
      <w:r>
        <w:fldChar w:fldCharType="begin"/>
      </w:r>
      <w:r>
        <w:instrText xml:space="preserve"> PAGEREF _Toc155166245 \h </w:instrText>
      </w:r>
      <w:r>
        <w:fldChar w:fldCharType="separate"/>
      </w:r>
      <w:r>
        <w:t>285</w:t>
      </w:r>
      <w:r>
        <w:fldChar w:fldCharType="end"/>
      </w:r>
    </w:p>
    <w:p>
      <w:pPr>
        <w:pStyle w:val="TOC8"/>
        <w:rPr>
          <w:rFonts w:asciiTheme="minorHAnsi" w:eastAsiaTheme="minorEastAsia" w:hAnsiTheme="minorHAnsi" w:cstheme="minorBidi"/>
          <w:szCs w:val="22"/>
        </w:rPr>
      </w:pPr>
      <w:r>
        <w:t>6.</w:t>
      </w:r>
      <w:r>
        <w:tab/>
        <w:t>Peel Region</w:t>
      </w:r>
      <w:r>
        <w:tab/>
      </w:r>
      <w:r>
        <w:fldChar w:fldCharType="begin"/>
      </w:r>
      <w:r>
        <w:instrText xml:space="preserve"> PAGEREF _Toc155166246 \h </w:instrText>
      </w:r>
      <w:r>
        <w:fldChar w:fldCharType="separate"/>
      </w:r>
      <w:r>
        <w:t>285</w:t>
      </w:r>
      <w:r>
        <w:fldChar w:fldCharType="end"/>
      </w:r>
    </w:p>
    <w:p>
      <w:pPr>
        <w:pStyle w:val="TOC8"/>
        <w:rPr>
          <w:rFonts w:asciiTheme="minorHAnsi" w:eastAsiaTheme="minorEastAsia" w:hAnsiTheme="minorHAnsi" w:cstheme="minorBidi"/>
          <w:szCs w:val="22"/>
        </w:rPr>
      </w:pPr>
      <w:r>
        <w:t>7.</w:t>
      </w:r>
      <w:r>
        <w:tab/>
        <w:t>Pilbara Region</w:t>
      </w:r>
      <w:r>
        <w:tab/>
      </w:r>
      <w:r>
        <w:fldChar w:fldCharType="begin"/>
      </w:r>
      <w:r>
        <w:instrText xml:space="preserve"> PAGEREF _Toc155166247 \h </w:instrText>
      </w:r>
      <w:r>
        <w:fldChar w:fldCharType="separate"/>
      </w:r>
      <w:r>
        <w:t>285</w:t>
      </w:r>
      <w:r>
        <w:fldChar w:fldCharType="end"/>
      </w:r>
    </w:p>
    <w:p>
      <w:pPr>
        <w:pStyle w:val="TOC8"/>
        <w:rPr>
          <w:rFonts w:asciiTheme="minorHAnsi" w:eastAsiaTheme="minorEastAsia" w:hAnsiTheme="minorHAnsi" w:cstheme="minorBidi"/>
          <w:szCs w:val="22"/>
        </w:rPr>
      </w:pPr>
      <w:r>
        <w:t>8.</w:t>
      </w:r>
      <w:r>
        <w:tab/>
        <w:t>South West Region</w:t>
      </w:r>
      <w:r>
        <w:tab/>
      </w:r>
      <w:r>
        <w:fldChar w:fldCharType="begin"/>
      </w:r>
      <w:r>
        <w:instrText xml:space="preserve"> PAGEREF _Toc155166248 \h </w:instrText>
      </w:r>
      <w:r>
        <w:fldChar w:fldCharType="separate"/>
      </w:r>
      <w:r>
        <w:t>286</w:t>
      </w:r>
      <w:r>
        <w:fldChar w:fldCharType="end"/>
      </w:r>
    </w:p>
    <w:p>
      <w:pPr>
        <w:pStyle w:val="TOC8"/>
        <w:rPr>
          <w:rFonts w:asciiTheme="minorHAnsi" w:eastAsiaTheme="minorEastAsia" w:hAnsiTheme="minorHAnsi" w:cstheme="minorBidi"/>
          <w:szCs w:val="22"/>
        </w:rPr>
      </w:pPr>
      <w:r>
        <w:t>9.</w:t>
      </w:r>
      <w:r>
        <w:tab/>
        <w:t>Wheatbelt Region</w:t>
      </w:r>
      <w:r>
        <w:tab/>
      </w:r>
      <w:r>
        <w:fldChar w:fldCharType="begin"/>
      </w:r>
      <w:r>
        <w:instrText xml:space="preserve"> PAGEREF _Toc155166249 \h </w:instrText>
      </w:r>
      <w:r>
        <w:fldChar w:fldCharType="separate"/>
      </w:r>
      <w:r>
        <w:t>286</w:t>
      </w:r>
      <w:r>
        <w:fldChar w:fldCharType="end"/>
      </w:r>
    </w:p>
    <w:p>
      <w:pPr>
        <w:pStyle w:val="TOC2"/>
        <w:tabs>
          <w:tab w:val="right" w:leader="dot" w:pos="7077"/>
        </w:tabs>
        <w:rPr>
          <w:rFonts w:asciiTheme="minorHAnsi" w:eastAsiaTheme="minorEastAsia" w:hAnsiTheme="minorHAnsi" w:cstheme="minorBidi"/>
          <w:b w:val="0"/>
          <w:sz w:val="22"/>
          <w:szCs w:val="22"/>
        </w:rPr>
      </w:pPr>
      <w:r>
        <w:t>Schedule 5 — Local governments — metropolitan region</w:t>
      </w:r>
    </w:p>
    <w:p>
      <w:pPr>
        <w:pStyle w:val="TOC8"/>
        <w:rPr>
          <w:rFonts w:asciiTheme="minorHAnsi" w:eastAsiaTheme="minorEastAsia" w:hAnsiTheme="minorHAnsi" w:cstheme="minorBidi"/>
          <w:szCs w:val="22"/>
        </w:rPr>
      </w:pPr>
      <w:r>
        <w:t>1.</w:t>
      </w:r>
      <w:r>
        <w:tab/>
        <w:t>SOUTH</w:t>
      </w:r>
      <w:r>
        <w:noBreakHyphen/>
        <w:t>WEST GROUP</w:t>
      </w:r>
      <w:r>
        <w:tab/>
      </w:r>
      <w:r>
        <w:fldChar w:fldCharType="begin"/>
      </w:r>
      <w:r>
        <w:instrText xml:space="preserve"> PAGEREF _Toc155166251 \h </w:instrText>
      </w:r>
      <w:r>
        <w:fldChar w:fldCharType="separate"/>
      </w:r>
      <w:r>
        <w:t>287</w:t>
      </w:r>
      <w:r>
        <w:fldChar w:fldCharType="end"/>
      </w:r>
    </w:p>
    <w:p>
      <w:pPr>
        <w:pStyle w:val="TOC8"/>
        <w:rPr>
          <w:rFonts w:asciiTheme="minorHAnsi" w:eastAsiaTheme="minorEastAsia" w:hAnsiTheme="minorHAnsi" w:cstheme="minorBidi"/>
          <w:szCs w:val="22"/>
        </w:rPr>
      </w:pPr>
      <w:r>
        <w:t>2.</w:t>
      </w:r>
      <w:r>
        <w:tab/>
        <w:t>WESTERN SUBURBS GROUP</w:t>
      </w:r>
      <w:r>
        <w:tab/>
      </w:r>
      <w:r>
        <w:fldChar w:fldCharType="begin"/>
      </w:r>
      <w:r>
        <w:instrText xml:space="preserve"> PAGEREF _Toc155166252 \h </w:instrText>
      </w:r>
      <w:r>
        <w:fldChar w:fldCharType="separate"/>
      </w:r>
      <w:r>
        <w:t>287</w:t>
      </w:r>
      <w:r>
        <w:fldChar w:fldCharType="end"/>
      </w:r>
    </w:p>
    <w:p>
      <w:pPr>
        <w:pStyle w:val="TOC8"/>
        <w:rPr>
          <w:rFonts w:asciiTheme="minorHAnsi" w:eastAsiaTheme="minorEastAsia" w:hAnsiTheme="minorHAnsi" w:cstheme="minorBidi"/>
          <w:szCs w:val="22"/>
        </w:rPr>
      </w:pPr>
      <w:r>
        <w:t>3.</w:t>
      </w:r>
      <w:r>
        <w:tab/>
        <w:t>NORTH</w:t>
      </w:r>
      <w:r>
        <w:noBreakHyphen/>
        <w:t>WEST GROUP</w:t>
      </w:r>
      <w:r>
        <w:tab/>
      </w:r>
      <w:r>
        <w:fldChar w:fldCharType="begin"/>
      </w:r>
      <w:r>
        <w:instrText xml:space="preserve"> PAGEREF _Toc155166253 \h </w:instrText>
      </w:r>
      <w:r>
        <w:fldChar w:fldCharType="separate"/>
      </w:r>
      <w:r>
        <w:t>287</w:t>
      </w:r>
      <w:r>
        <w:fldChar w:fldCharType="end"/>
      </w:r>
    </w:p>
    <w:p>
      <w:pPr>
        <w:pStyle w:val="TOC8"/>
        <w:rPr>
          <w:rFonts w:asciiTheme="minorHAnsi" w:eastAsiaTheme="minorEastAsia" w:hAnsiTheme="minorHAnsi" w:cstheme="minorBidi"/>
          <w:szCs w:val="22"/>
        </w:rPr>
      </w:pPr>
      <w:r>
        <w:t>4.</w:t>
      </w:r>
      <w:r>
        <w:tab/>
        <w:t>SOUTH</w:t>
      </w:r>
      <w:r>
        <w:noBreakHyphen/>
        <w:t>EAST GROUP</w:t>
      </w:r>
      <w:r>
        <w:tab/>
      </w:r>
      <w:r>
        <w:fldChar w:fldCharType="begin"/>
      </w:r>
      <w:r>
        <w:instrText xml:space="preserve"> PAGEREF _Toc155166254 \h </w:instrText>
      </w:r>
      <w:r>
        <w:fldChar w:fldCharType="separate"/>
      </w:r>
      <w:r>
        <w:t>288</w:t>
      </w:r>
      <w:r>
        <w:fldChar w:fldCharType="end"/>
      </w:r>
    </w:p>
    <w:p>
      <w:pPr>
        <w:pStyle w:val="TOC8"/>
        <w:rPr>
          <w:rFonts w:asciiTheme="minorHAnsi" w:eastAsiaTheme="minorEastAsia" w:hAnsiTheme="minorHAnsi" w:cstheme="minorBidi"/>
          <w:szCs w:val="22"/>
        </w:rPr>
      </w:pPr>
      <w:r>
        <w:t>5.</w:t>
      </w:r>
      <w:r>
        <w:tab/>
        <w:t>EASTERN GROUP</w:t>
      </w:r>
      <w:r>
        <w:tab/>
      </w:r>
      <w:r>
        <w:fldChar w:fldCharType="begin"/>
      </w:r>
      <w:r>
        <w:instrText xml:space="preserve"> PAGEREF _Toc155166255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6 — Planning control areas: purposes for which land may be required</w:t>
      </w:r>
    </w:p>
    <w:p>
      <w:pPr>
        <w:pStyle w:val="TOC2"/>
        <w:tabs>
          <w:tab w:val="right" w:leader="dot" w:pos="7077"/>
        </w:tabs>
        <w:rPr>
          <w:rFonts w:asciiTheme="minorHAnsi" w:eastAsiaTheme="minorEastAsia" w:hAnsiTheme="minorHAnsi" w:cstheme="minorBidi"/>
          <w:b w:val="0"/>
          <w:sz w:val="22"/>
          <w:szCs w:val="22"/>
        </w:rPr>
      </w:pPr>
      <w:r>
        <w:t>Schedule 7 — Matters which may be dealt with by planning scheme</w:t>
      </w:r>
    </w:p>
    <w:p>
      <w:pPr>
        <w:pStyle w:val="TOC8"/>
        <w:rPr>
          <w:rFonts w:asciiTheme="minorHAnsi" w:eastAsiaTheme="minorEastAsia" w:hAnsiTheme="minorHAnsi" w:cstheme="minorBidi"/>
          <w:szCs w:val="22"/>
        </w:rPr>
      </w:pPr>
      <w:r>
        <w:t>1.</w:t>
      </w:r>
      <w:r>
        <w:tab/>
        <w:t>Generality preserved</w:t>
      </w:r>
      <w:r>
        <w:tab/>
      </w:r>
      <w:r>
        <w:fldChar w:fldCharType="begin"/>
      </w:r>
      <w:r>
        <w:instrText xml:space="preserve"> PAGEREF _Toc155166258 \h </w:instrText>
      </w:r>
      <w:r>
        <w:fldChar w:fldCharType="separate"/>
      </w:r>
      <w:r>
        <w:t>290</w:t>
      </w:r>
      <w:r>
        <w:fldChar w:fldCharType="end"/>
      </w:r>
    </w:p>
    <w:p>
      <w:pPr>
        <w:pStyle w:val="TOC8"/>
        <w:rPr>
          <w:rFonts w:asciiTheme="minorHAnsi" w:eastAsiaTheme="minorEastAsia" w:hAnsiTheme="minorHAnsi" w:cstheme="minorBidi"/>
          <w:szCs w:val="22"/>
        </w:rPr>
      </w:pPr>
      <w:r>
        <w:t>2.</w:t>
      </w:r>
      <w:r>
        <w:tab/>
        <w:t>Subdivision</w:t>
      </w:r>
      <w:r>
        <w:tab/>
      </w:r>
      <w:r>
        <w:fldChar w:fldCharType="begin"/>
      </w:r>
      <w:r>
        <w:instrText xml:space="preserve"> PAGEREF _Toc155166259 \h </w:instrText>
      </w:r>
      <w:r>
        <w:fldChar w:fldCharType="separate"/>
      </w:r>
      <w:r>
        <w:t>290</w:t>
      </w:r>
      <w:r>
        <w:fldChar w:fldCharType="end"/>
      </w:r>
    </w:p>
    <w:p>
      <w:pPr>
        <w:pStyle w:val="TOC8"/>
        <w:rPr>
          <w:rFonts w:asciiTheme="minorHAnsi" w:eastAsiaTheme="minorEastAsia" w:hAnsiTheme="minorHAnsi" w:cstheme="minorBidi"/>
          <w:szCs w:val="22"/>
        </w:rPr>
      </w:pPr>
      <w:r>
        <w:t>3.</w:t>
      </w:r>
      <w:r>
        <w:tab/>
        <w:t>Reconstruction</w:t>
      </w:r>
      <w:r>
        <w:tab/>
      </w:r>
      <w:r>
        <w:fldChar w:fldCharType="begin"/>
      </w:r>
      <w:r>
        <w:instrText xml:space="preserve"> PAGEREF _Toc155166260 \h </w:instrText>
      </w:r>
      <w:r>
        <w:fldChar w:fldCharType="separate"/>
      </w:r>
      <w:r>
        <w:t>290</w:t>
      </w:r>
      <w:r>
        <w:fldChar w:fldCharType="end"/>
      </w:r>
    </w:p>
    <w:p>
      <w:pPr>
        <w:pStyle w:val="TOC8"/>
        <w:rPr>
          <w:rFonts w:asciiTheme="minorHAnsi" w:eastAsiaTheme="minorEastAsia" w:hAnsiTheme="minorHAnsi" w:cstheme="minorBidi"/>
          <w:szCs w:val="22"/>
        </w:rPr>
      </w:pPr>
      <w:r>
        <w:t>4.</w:t>
      </w:r>
      <w:r>
        <w:tab/>
        <w:t>Preservation and conservation</w:t>
      </w:r>
      <w:r>
        <w:tab/>
      </w:r>
      <w:r>
        <w:fldChar w:fldCharType="begin"/>
      </w:r>
      <w:r>
        <w:instrText xml:space="preserve"> PAGEREF _Toc155166261 \h </w:instrText>
      </w:r>
      <w:r>
        <w:fldChar w:fldCharType="separate"/>
      </w:r>
      <w:r>
        <w:t>290</w:t>
      </w:r>
      <w:r>
        <w:fldChar w:fldCharType="end"/>
      </w:r>
    </w:p>
    <w:p>
      <w:pPr>
        <w:pStyle w:val="TOC8"/>
        <w:rPr>
          <w:rFonts w:asciiTheme="minorHAnsi" w:eastAsiaTheme="minorEastAsia" w:hAnsiTheme="minorHAnsi" w:cstheme="minorBidi"/>
          <w:szCs w:val="22"/>
        </w:rPr>
      </w:pPr>
      <w:r>
        <w:t>5.</w:t>
      </w:r>
      <w:r>
        <w:tab/>
        <w:t>Roads, public works, community infrastructure, reservation of land, provision of facilities</w:t>
      </w:r>
      <w:r>
        <w:tab/>
      </w:r>
      <w:r>
        <w:fldChar w:fldCharType="begin"/>
      </w:r>
      <w:r>
        <w:instrText xml:space="preserve"> PAGEREF _Toc155166262 \h </w:instrText>
      </w:r>
      <w:r>
        <w:fldChar w:fldCharType="separate"/>
      </w:r>
      <w:r>
        <w:t>291</w:t>
      </w:r>
      <w:r>
        <w:fldChar w:fldCharType="end"/>
      </w:r>
    </w:p>
    <w:p>
      <w:pPr>
        <w:pStyle w:val="TOC8"/>
        <w:rPr>
          <w:rFonts w:asciiTheme="minorHAnsi" w:eastAsiaTheme="minorEastAsia" w:hAnsiTheme="minorHAnsi" w:cstheme="minorBidi"/>
          <w:szCs w:val="22"/>
        </w:rPr>
      </w:pPr>
      <w:r>
        <w:t>6.</w:t>
      </w:r>
      <w:r>
        <w:tab/>
        <w:t>Zoning</w:t>
      </w:r>
      <w:r>
        <w:tab/>
      </w:r>
      <w:r>
        <w:fldChar w:fldCharType="begin"/>
      </w:r>
      <w:r>
        <w:instrText xml:space="preserve"> PAGEREF _Toc155166263 \h </w:instrText>
      </w:r>
      <w:r>
        <w:fldChar w:fldCharType="separate"/>
      </w:r>
      <w:r>
        <w:t>291</w:t>
      </w:r>
      <w:r>
        <w:fldChar w:fldCharType="end"/>
      </w:r>
    </w:p>
    <w:p>
      <w:pPr>
        <w:pStyle w:val="TOC8"/>
        <w:rPr>
          <w:rFonts w:asciiTheme="minorHAnsi" w:eastAsiaTheme="minorEastAsia" w:hAnsiTheme="minorHAnsi" w:cstheme="minorBidi"/>
          <w:szCs w:val="22"/>
        </w:rPr>
      </w:pPr>
      <w:r>
        <w:t>7.</w:t>
      </w:r>
      <w:r>
        <w:tab/>
        <w:t>Controls for land management</w:t>
      </w:r>
      <w:r>
        <w:tab/>
      </w:r>
      <w:r>
        <w:fldChar w:fldCharType="begin"/>
      </w:r>
      <w:r>
        <w:instrText xml:space="preserve"> PAGEREF _Toc155166264 \h </w:instrText>
      </w:r>
      <w:r>
        <w:fldChar w:fldCharType="separate"/>
      </w:r>
      <w:r>
        <w:t>291</w:t>
      </w:r>
      <w:r>
        <w:fldChar w:fldCharType="end"/>
      </w:r>
    </w:p>
    <w:p>
      <w:pPr>
        <w:pStyle w:val="TOC8"/>
        <w:rPr>
          <w:rFonts w:asciiTheme="minorHAnsi" w:eastAsiaTheme="minorEastAsia" w:hAnsiTheme="minorHAnsi" w:cstheme="minorBidi"/>
          <w:szCs w:val="22"/>
        </w:rPr>
      </w:pPr>
      <w:r>
        <w:t>8.</w:t>
      </w:r>
      <w:r>
        <w:tab/>
        <w:t>Development standards</w:t>
      </w:r>
      <w:r>
        <w:tab/>
      </w:r>
      <w:r>
        <w:fldChar w:fldCharType="begin"/>
      </w:r>
      <w:r>
        <w:instrText xml:space="preserve"> PAGEREF _Toc155166265 \h </w:instrText>
      </w:r>
      <w:r>
        <w:fldChar w:fldCharType="separate"/>
      </w:r>
      <w:r>
        <w:t>291</w:t>
      </w:r>
      <w:r>
        <w:fldChar w:fldCharType="end"/>
      </w:r>
    </w:p>
    <w:p>
      <w:pPr>
        <w:pStyle w:val="TOC8"/>
        <w:rPr>
          <w:rFonts w:asciiTheme="minorHAnsi" w:eastAsiaTheme="minorEastAsia" w:hAnsiTheme="minorHAnsi" w:cstheme="minorBidi"/>
          <w:szCs w:val="22"/>
        </w:rPr>
      </w:pPr>
      <w:r>
        <w:t>9.</w:t>
      </w:r>
      <w:r>
        <w:tab/>
        <w:t>Development controls</w:t>
      </w:r>
      <w:r>
        <w:tab/>
      </w:r>
      <w:r>
        <w:fldChar w:fldCharType="begin"/>
      </w:r>
      <w:r>
        <w:instrText xml:space="preserve"> PAGEREF _Toc155166266 \h </w:instrText>
      </w:r>
      <w:r>
        <w:fldChar w:fldCharType="separate"/>
      </w:r>
      <w:r>
        <w:t>292</w:t>
      </w:r>
      <w:r>
        <w:fldChar w:fldCharType="end"/>
      </w:r>
    </w:p>
    <w:p>
      <w:pPr>
        <w:pStyle w:val="TOC8"/>
        <w:rPr>
          <w:rFonts w:asciiTheme="minorHAnsi" w:eastAsiaTheme="minorEastAsia" w:hAnsiTheme="minorHAnsi" w:cstheme="minorBidi"/>
          <w:szCs w:val="22"/>
        </w:rPr>
      </w:pPr>
      <w:r>
        <w:t>10.</w:t>
      </w:r>
      <w:r>
        <w:tab/>
        <w:t>Acquisition and purchase of land</w:t>
      </w:r>
      <w:r>
        <w:tab/>
      </w:r>
      <w:r>
        <w:fldChar w:fldCharType="begin"/>
      </w:r>
      <w:r>
        <w:instrText xml:space="preserve"> PAGEREF _Toc155166267 \h </w:instrText>
      </w:r>
      <w:r>
        <w:fldChar w:fldCharType="separate"/>
      </w:r>
      <w:r>
        <w:t>292</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_Toc155166268 \h </w:instrText>
      </w:r>
      <w:r>
        <w:fldChar w:fldCharType="separate"/>
      </w:r>
      <w:r>
        <w:t>292</w:t>
      </w:r>
      <w:r>
        <w:fldChar w:fldCharType="end"/>
      </w:r>
    </w:p>
    <w:p>
      <w:pPr>
        <w:pStyle w:val="TOC8"/>
        <w:rPr>
          <w:rFonts w:asciiTheme="minorHAnsi" w:eastAsiaTheme="minorEastAsia" w:hAnsiTheme="minorHAnsi" w:cstheme="minorBidi"/>
          <w:szCs w:val="22"/>
        </w:rPr>
      </w:pPr>
      <w:r>
        <w:t>12.</w:t>
      </w:r>
      <w:r>
        <w:tab/>
        <w:t>Agreements and cooperation</w:t>
      </w:r>
      <w:r>
        <w:tab/>
      </w:r>
      <w:r>
        <w:fldChar w:fldCharType="begin"/>
      </w:r>
      <w:r>
        <w:instrText xml:space="preserve"> PAGEREF _Toc155166269 \h </w:instrText>
      </w:r>
      <w:r>
        <w:fldChar w:fldCharType="separate"/>
      </w:r>
      <w:r>
        <w:t>292</w:t>
      </w:r>
      <w:r>
        <w:fldChar w:fldCharType="end"/>
      </w:r>
    </w:p>
    <w:p>
      <w:pPr>
        <w:pStyle w:val="TOC8"/>
        <w:rPr>
          <w:rFonts w:asciiTheme="minorHAnsi" w:eastAsiaTheme="minorEastAsia" w:hAnsiTheme="minorHAnsi" w:cstheme="minorBidi"/>
          <w:szCs w:val="22"/>
        </w:rPr>
      </w:pPr>
      <w:r>
        <w:t>13.</w:t>
      </w:r>
      <w:r>
        <w:tab/>
        <w:t>Carrying out scheme</w:t>
      </w:r>
      <w:r>
        <w:tab/>
      </w:r>
      <w:r>
        <w:fldChar w:fldCharType="begin"/>
      </w:r>
      <w:r>
        <w:instrText xml:space="preserve"> PAGEREF _Toc155166270 \h </w:instrText>
      </w:r>
      <w:r>
        <w:fldChar w:fldCharType="separate"/>
      </w:r>
      <w:r>
        <w:t>293</w:t>
      </w:r>
      <w:r>
        <w:fldChar w:fldCharType="end"/>
      </w:r>
    </w:p>
    <w:p>
      <w:pPr>
        <w:pStyle w:val="TOC8"/>
        <w:rPr>
          <w:rFonts w:asciiTheme="minorHAnsi" w:eastAsiaTheme="minorEastAsia" w:hAnsiTheme="minorHAnsi" w:cstheme="minorBidi"/>
          <w:szCs w:val="22"/>
        </w:rPr>
      </w:pPr>
      <w:r>
        <w:t>14.</w:t>
      </w:r>
      <w:r>
        <w:tab/>
        <w:t>Review by SAT</w:t>
      </w:r>
      <w:r>
        <w:tab/>
      </w:r>
      <w:r>
        <w:fldChar w:fldCharType="begin"/>
      </w:r>
      <w:r>
        <w:instrText xml:space="preserve"> PAGEREF _Toc155166271 \h </w:instrText>
      </w:r>
      <w:r>
        <w:fldChar w:fldCharType="separate"/>
      </w:r>
      <w:r>
        <w:t>293</w:t>
      </w:r>
      <w:r>
        <w:fldChar w:fldCharType="end"/>
      </w:r>
    </w:p>
    <w:p>
      <w:pPr>
        <w:pStyle w:val="TOC8"/>
        <w:rPr>
          <w:rFonts w:asciiTheme="minorHAnsi" w:eastAsiaTheme="minorEastAsia" w:hAnsiTheme="minorHAnsi" w:cstheme="minorBidi"/>
          <w:szCs w:val="22"/>
        </w:rPr>
      </w:pPr>
      <w:r>
        <w:t>15.</w:t>
      </w:r>
      <w:r>
        <w:tab/>
        <w:t>Policies and ancillary matters</w:t>
      </w:r>
      <w:r>
        <w:tab/>
      </w:r>
      <w:r>
        <w:fldChar w:fldCharType="begin"/>
      </w:r>
      <w:r>
        <w:instrText xml:space="preserve"> PAGEREF _Toc155166272 \h </w:instrText>
      </w:r>
      <w:r>
        <w:fldChar w:fldCharType="separate"/>
      </w:r>
      <w:r>
        <w:t>293</w:t>
      </w:r>
      <w:r>
        <w:fldChar w:fldCharType="end"/>
      </w:r>
    </w:p>
    <w:p>
      <w:pPr>
        <w:pStyle w:val="TOC2"/>
        <w:tabs>
          <w:tab w:val="right" w:leader="dot" w:pos="7077"/>
        </w:tabs>
        <w:rPr>
          <w:rFonts w:asciiTheme="minorHAnsi" w:eastAsiaTheme="minorEastAsia" w:hAnsiTheme="minorHAnsi" w:cstheme="minorBidi"/>
          <w:b w:val="0"/>
          <w:sz w:val="22"/>
          <w:szCs w:val="22"/>
        </w:rPr>
      </w:pPr>
      <w:r>
        <w:t>Schedule 8 — Matters for which local laws may be made by Governor</w:t>
      </w:r>
    </w:p>
    <w:p>
      <w:pPr>
        <w:pStyle w:val="TOC8"/>
        <w:rPr>
          <w:rFonts w:asciiTheme="minorHAnsi" w:eastAsiaTheme="minorEastAsia" w:hAnsiTheme="minorHAnsi" w:cstheme="minorBidi"/>
          <w:szCs w:val="22"/>
        </w:rPr>
      </w:pPr>
      <w:r>
        <w:t>1.</w:t>
      </w:r>
      <w:r>
        <w:tab/>
        <w:t>Purchase and reservation of land</w:t>
      </w:r>
      <w:r>
        <w:tab/>
      </w:r>
      <w:r>
        <w:fldChar w:fldCharType="begin"/>
      </w:r>
      <w:r>
        <w:instrText xml:space="preserve"> PAGEREF _Toc155166274 \h </w:instrText>
      </w:r>
      <w:r>
        <w:fldChar w:fldCharType="separate"/>
      </w:r>
      <w:r>
        <w:t>294</w:t>
      </w:r>
      <w:r>
        <w:fldChar w:fldCharType="end"/>
      </w:r>
    </w:p>
    <w:p>
      <w:pPr>
        <w:pStyle w:val="TOC8"/>
        <w:rPr>
          <w:rFonts w:asciiTheme="minorHAnsi" w:eastAsiaTheme="minorEastAsia" w:hAnsiTheme="minorHAnsi" w:cstheme="minorBidi"/>
          <w:szCs w:val="22"/>
        </w:rPr>
      </w:pPr>
      <w:r>
        <w:t>2.</w:t>
      </w:r>
      <w:r>
        <w:tab/>
        <w:t>Limiting and regulating building</w:t>
      </w:r>
      <w:r>
        <w:tab/>
      </w:r>
      <w:r>
        <w:fldChar w:fldCharType="begin"/>
      </w:r>
      <w:r>
        <w:instrText xml:space="preserve"> PAGEREF _Toc155166275 \h </w:instrText>
      </w:r>
      <w:r>
        <w:fldChar w:fldCharType="separate"/>
      </w:r>
      <w:r>
        <w:t>294</w:t>
      </w:r>
      <w:r>
        <w:fldChar w:fldCharType="end"/>
      </w:r>
    </w:p>
    <w:p>
      <w:pPr>
        <w:pStyle w:val="TOC8"/>
        <w:rPr>
          <w:rFonts w:asciiTheme="minorHAnsi" w:eastAsiaTheme="minorEastAsia" w:hAnsiTheme="minorHAnsi" w:cstheme="minorBidi"/>
          <w:szCs w:val="22"/>
        </w:rPr>
      </w:pPr>
      <w:r>
        <w:t>3.</w:t>
      </w:r>
      <w:r>
        <w:tab/>
        <w:t>Classification and zoning</w:t>
      </w:r>
      <w:r>
        <w:tab/>
      </w:r>
      <w:r>
        <w:fldChar w:fldCharType="begin"/>
      </w:r>
      <w:r>
        <w:instrText xml:space="preserve"> PAGEREF _Toc155166276 \h </w:instrText>
      </w:r>
      <w:r>
        <w:fldChar w:fldCharType="separate"/>
      </w:r>
      <w:r>
        <w:t>294</w:t>
      </w:r>
      <w:r>
        <w:fldChar w:fldCharType="end"/>
      </w:r>
    </w:p>
    <w:p>
      <w:pPr>
        <w:pStyle w:val="TOC8"/>
        <w:rPr>
          <w:rFonts w:asciiTheme="minorHAnsi" w:eastAsiaTheme="minorEastAsia" w:hAnsiTheme="minorHAnsi" w:cstheme="minorBidi"/>
          <w:szCs w:val="22"/>
        </w:rPr>
      </w:pPr>
      <w:r>
        <w:t>4.</w:t>
      </w:r>
      <w:r>
        <w:tab/>
        <w:t>Prohibiting unauthorised uses</w:t>
      </w:r>
      <w:r>
        <w:tab/>
      </w:r>
      <w:r>
        <w:fldChar w:fldCharType="begin"/>
      </w:r>
      <w:r>
        <w:instrText xml:space="preserve"> PAGEREF _Toc155166277 \h </w:instrText>
      </w:r>
      <w:r>
        <w:fldChar w:fldCharType="separate"/>
      </w:r>
      <w:r>
        <w:t>295</w:t>
      </w:r>
      <w:r>
        <w:fldChar w:fldCharType="end"/>
      </w:r>
    </w:p>
    <w:p>
      <w:pPr>
        <w:pStyle w:val="TOC8"/>
        <w:rPr>
          <w:rFonts w:asciiTheme="minorHAnsi" w:eastAsiaTheme="minorEastAsia" w:hAnsiTheme="minorHAnsi" w:cstheme="minorBidi"/>
          <w:szCs w:val="22"/>
        </w:rPr>
      </w:pPr>
      <w:r>
        <w:t>5.</w:t>
      </w:r>
      <w:r>
        <w:tab/>
        <w:t>Prescribing characteristics of buildings</w:t>
      </w:r>
      <w:r>
        <w:tab/>
      </w:r>
      <w:r>
        <w:fldChar w:fldCharType="begin"/>
      </w:r>
      <w:r>
        <w:instrText xml:space="preserve"> PAGEREF _Toc155166278 \h </w:instrText>
      </w:r>
      <w:r>
        <w:fldChar w:fldCharType="separate"/>
      </w:r>
      <w:r>
        <w:t>295</w:t>
      </w:r>
      <w:r>
        <w:fldChar w:fldCharType="end"/>
      </w:r>
    </w:p>
    <w:p>
      <w:pPr>
        <w:pStyle w:val="TOC8"/>
        <w:rPr>
          <w:rFonts w:asciiTheme="minorHAnsi" w:eastAsiaTheme="minorEastAsia" w:hAnsiTheme="minorHAnsi" w:cstheme="minorBidi"/>
          <w:szCs w:val="22"/>
        </w:rPr>
      </w:pPr>
      <w:r>
        <w:t>6.</w:t>
      </w:r>
      <w:r>
        <w:tab/>
        <w:t>Prohibiting trade etc. or erection or use of building</w:t>
      </w:r>
      <w:r>
        <w:tab/>
      </w:r>
      <w:r>
        <w:fldChar w:fldCharType="begin"/>
      </w:r>
      <w:r>
        <w:instrText xml:space="preserve"> PAGEREF _Toc155166279 \h </w:instrText>
      </w:r>
      <w:r>
        <w:fldChar w:fldCharType="separate"/>
      </w:r>
      <w:r>
        <w:t>295</w:t>
      </w:r>
      <w:r>
        <w:fldChar w:fldCharType="end"/>
      </w:r>
    </w:p>
    <w:p>
      <w:pPr>
        <w:pStyle w:val="TOC8"/>
        <w:rPr>
          <w:rFonts w:asciiTheme="minorHAnsi" w:eastAsiaTheme="minorEastAsia" w:hAnsiTheme="minorHAnsi" w:cstheme="minorBidi"/>
          <w:szCs w:val="22"/>
        </w:rPr>
      </w:pPr>
      <w:r>
        <w:t>7.</w:t>
      </w:r>
      <w:r>
        <w:tab/>
        <w:t>Requirements of new subdivisions</w:t>
      </w:r>
      <w:r>
        <w:tab/>
      </w:r>
      <w:r>
        <w:fldChar w:fldCharType="begin"/>
      </w:r>
      <w:r>
        <w:instrText xml:space="preserve"> PAGEREF _Toc155166280 \h </w:instrText>
      </w:r>
      <w:r>
        <w:fldChar w:fldCharType="separate"/>
      </w:r>
      <w:r>
        <w:t>295</w:t>
      </w:r>
      <w:r>
        <w:fldChar w:fldCharType="end"/>
      </w:r>
    </w:p>
    <w:p>
      <w:pPr>
        <w:pStyle w:val="TOC8"/>
        <w:rPr>
          <w:rFonts w:asciiTheme="minorHAnsi" w:eastAsiaTheme="minorEastAsia" w:hAnsiTheme="minorHAnsi" w:cstheme="minorBidi"/>
          <w:szCs w:val="22"/>
        </w:rPr>
      </w:pPr>
      <w:r>
        <w:t>8.</w:t>
      </w:r>
      <w:r>
        <w:tab/>
        <w:t>Building lines</w:t>
      </w:r>
      <w:r>
        <w:tab/>
      </w:r>
      <w:r>
        <w:fldChar w:fldCharType="begin"/>
      </w:r>
      <w:r>
        <w:instrText xml:space="preserve"> PAGEREF _Toc155166281 \h </w:instrText>
      </w:r>
      <w:r>
        <w:fldChar w:fldCharType="separate"/>
      </w:r>
      <w:r>
        <w:t>296</w:t>
      </w:r>
      <w:r>
        <w:fldChar w:fldCharType="end"/>
      </w:r>
    </w:p>
    <w:p>
      <w:pPr>
        <w:pStyle w:val="TOC8"/>
        <w:rPr>
          <w:rFonts w:asciiTheme="minorHAnsi" w:eastAsiaTheme="minorEastAsia" w:hAnsiTheme="minorHAnsi" w:cstheme="minorBidi"/>
          <w:szCs w:val="22"/>
        </w:rPr>
      </w:pPr>
      <w:r>
        <w:t>9.</w:t>
      </w:r>
      <w:r>
        <w:tab/>
        <w:t>Open space etc.</w:t>
      </w:r>
      <w:r>
        <w:tab/>
      </w:r>
      <w:r>
        <w:fldChar w:fldCharType="begin"/>
      </w:r>
      <w:r>
        <w:instrText xml:space="preserve"> PAGEREF _Toc155166282 \h </w:instrText>
      </w:r>
      <w:r>
        <w:fldChar w:fldCharType="separate"/>
      </w:r>
      <w:r>
        <w:t>296</w:t>
      </w:r>
      <w:r>
        <w:fldChar w:fldCharType="end"/>
      </w:r>
    </w:p>
    <w:p>
      <w:pPr>
        <w:pStyle w:val="TOC8"/>
        <w:rPr>
          <w:rFonts w:asciiTheme="minorHAnsi" w:eastAsiaTheme="minorEastAsia" w:hAnsiTheme="minorHAnsi" w:cstheme="minorBidi"/>
          <w:szCs w:val="22"/>
        </w:rPr>
      </w:pPr>
      <w:r>
        <w:t>10.</w:t>
      </w:r>
      <w:r>
        <w:tab/>
        <w:t>Heights of walls etc. at road corners</w:t>
      </w:r>
      <w:r>
        <w:tab/>
      </w:r>
      <w:r>
        <w:fldChar w:fldCharType="begin"/>
      </w:r>
      <w:r>
        <w:instrText xml:space="preserve"> PAGEREF _Toc155166283 \h </w:instrText>
      </w:r>
      <w:r>
        <w:fldChar w:fldCharType="separate"/>
      </w:r>
      <w:r>
        <w:t>296</w:t>
      </w:r>
      <w:r>
        <w:fldChar w:fldCharType="end"/>
      </w:r>
    </w:p>
    <w:p>
      <w:pPr>
        <w:pStyle w:val="TOC8"/>
        <w:rPr>
          <w:rFonts w:asciiTheme="minorHAnsi" w:eastAsiaTheme="minorEastAsia" w:hAnsiTheme="minorHAnsi" w:cstheme="minorBidi"/>
          <w:szCs w:val="22"/>
        </w:rPr>
      </w:pPr>
      <w:r>
        <w:t>11.</w:t>
      </w:r>
      <w:r>
        <w:tab/>
        <w:t>Implementing of local laws</w:t>
      </w:r>
      <w:r>
        <w:tab/>
      </w:r>
      <w:r>
        <w:fldChar w:fldCharType="begin"/>
      </w:r>
      <w:r>
        <w:instrText xml:space="preserve"> PAGEREF _Toc155166284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Schedule 9 — Board of Valuers</w:t>
      </w:r>
    </w:p>
    <w:p>
      <w:pPr>
        <w:pStyle w:val="TOC8"/>
        <w:rPr>
          <w:rFonts w:asciiTheme="minorHAnsi" w:eastAsiaTheme="minorEastAsia" w:hAnsiTheme="minorHAnsi" w:cstheme="minorBidi"/>
          <w:szCs w:val="22"/>
        </w:rPr>
      </w:pPr>
      <w:r>
        <w:t>1.</w:t>
      </w:r>
      <w:r>
        <w:tab/>
        <w:t>Term used: Board</w:t>
      </w:r>
      <w:r>
        <w:tab/>
      </w:r>
      <w:r>
        <w:fldChar w:fldCharType="begin"/>
      </w:r>
      <w:r>
        <w:instrText xml:space="preserve"> PAGEREF _Toc155166286 \h </w:instrText>
      </w:r>
      <w:r>
        <w:fldChar w:fldCharType="separate"/>
      </w:r>
      <w:r>
        <w:t>297</w:t>
      </w:r>
      <w:r>
        <w:fldChar w:fldCharType="end"/>
      </w:r>
    </w:p>
    <w:p>
      <w:pPr>
        <w:pStyle w:val="TOC8"/>
        <w:rPr>
          <w:rFonts w:asciiTheme="minorHAnsi" w:eastAsiaTheme="minorEastAsia" w:hAnsiTheme="minorHAnsi" w:cstheme="minorBidi"/>
          <w:szCs w:val="22"/>
        </w:rPr>
      </w:pPr>
      <w:r>
        <w:lastRenderedPageBreak/>
        <w:t>2.</w:t>
      </w:r>
      <w:r>
        <w:tab/>
        <w:t>Term of office</w:t>
      </w:r>
      <w:r>
        <w:tab/>
      </w:r>
      <w:r>
        <w:fldChar w:fldCharType="begin"/>
      </w:r>
      <w:r>
        <w:instrText xml:space="preserve"> PAGEREF _Toc155166287 \h </w:instrText>
      </w:r>
      <w:r>
        <w:fldChar w:fldCharType="separate"/>
      </w:r>
      <w:r>
        <w:t>297</w:t>
      </w:r>
      <w:r>
        <w:fldChar w:fldCharType="end"/>
      </w:r>
    </w:p>
    <w:p>
      <w:pPr>
        <w:pStyle w:val="TOC8"/>
        <w:rPr>
          <w:rFonts w:asciiTheme="minorHAnsi" w:eastAsiaTheme="minorEastAsia" w:hAnsiTheme="minorHAnsi" w:cstheme="minorBidi"/>
          <w:szCs w:val="22"/>
        </w:rPr>
      </w:pPr>
      <w:r>
        <w:t>3.</w:t>
      </w:r>
      <w:r>
        <w:tab/>
        <w:t>Constitution of Board</w:t>
      </w:r>
      <w:r>
        <w:tab/>
      </w:r>
      <w:r>
        <w:fldChar w:fldCharType="begin"/>
      </w:r>
      <w:r>
        <w:instrText xml:space="preserve"> PAGEREF _Toc155166288 \h </w:instrText>
      </w:r>
      <w:r>
        <w:fldChar w:fldCharType="separate"/>
      </w:r>
      <w:r>
        <w:t>297</w:t>
      </w:r>
      <w:r>
        <w:fldChar w:fldCharType="end"/>
      </w:r>
    </w:p>
    <w:p>
      <w:pPr>
        <w:pStyle w:val="TOC8"/>
        <w:rPr>
          <w:rFonts w:asciiTheme="minorHAnsi" w:eastAsiaTheme="minorEastAsia" w:hAnsiTheme="minorHAnsi" w:cstheme="minorBidi"/>
          <w:szCs w:val="22"/>
        </w:rPr>
      </w:pPr>
      <w:r>
        <w:t>4.</w:t>
      </w:r>
      <w:r>
        <w:tab/>
        <w:t>Resignation or removal from office</w:t>
      </w:r>
      <w:r>
        <w:tab/>
      </w:r>
      <w:r>
        <w:fldChar w:fldCharType="begin"/>
      </w:r>
      <w:r>
        <w:instrText xml:space="preserve"> PAGEREF _Toc155166289 \h </w:instrText>
      </w:r>
      <w:r>
        <w:fldChar w:fldCharType="separate"/>
      </w:r>
      <w:r>
        <w:t>297</w:t>
      </w:r>
      <w:r>
        <w:fldChar w:fldCharType="end"/>
      </w:r>
    </w:p>
    <w:p>
      <w:pPr>
        <w:pStyle w:val="TOC8"/>
        <w:rPr>
          <w:rFonts w:asciiTheme="minorHAnsi" w:eastAsiaTheme="minorEastAsia" w:hAnsiTheme="minorHAnsi" w:cstheme="minorBidi"/>
          <w:szCs w:val="22"/>
        </w:rPr>
      </w:pPr>
      <w:r>
        <w:t>5.</w:t>
      </w:r>
      <w:r>
        <w:tab/>
        <w:t>Remuneration of members</w:t>
      </w:r>
      <w:r>
        <w:tab/>
      </w:r>
      <w:r>
        <w:fldChar w:fldCharType="begin"/>
      </w:r>
      <w:r>
        <w:instrText xml:space="preserve"> PAGEREF _Toc155166290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_Toc155166292 \h </w:instrText>
      </w:r>
      <w:r>
        <w:fldChar w:fldCharType="separate"/>
      </w:r>
      <w:r>
        <w:t>299</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_Toc155166293 \h </w:instrText>
      </w:r>
      <w:r>
        <w:fldChar w:fldCharType="separate"/>
      </w:r>
      <w:r>
        <w:t>302</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_Toc155166294 \h </w:instrText>
      </w:r>
      <w:r>
        <w:fldChar w:fldCharType="separate"/>
      </w:r>
      <w:r>
        <w:t>302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3" w:name="_Toc155165826"/>
      <w:r>
        <w:rPr>
          <w:rStyle w:val="CharPartNo"/>
        </w:rPr>
        <w:lastRenderedPageBreak/>
        <w:t>Part 1</w:t>
      </w:r>
      <w:r>
        <w:rPr>
          <w:rStyle w:val="CharDivNo"/>
        </w:rPr>
        <w:t> </w:t>
      </w:r>
      <w:r>
        <w:t>—</w:t>
      </w:r>
      <w:r>
        <w:rPr>
          <w:rStyle w:val="CharDivText"/>
        </w:rPr>
        <w:t> </w:t>
      </w:r>
      <w:r>
        <w:rPr>
          <w:rStyle w:val="CharPartText"/>
        </w:rPr>
        <w:t>Preliminary</w:t>
      </w:r>
      <w:bookmarkEnd w:id="3"/>
    </w:p>
    <w:p>
      <w:pPr>
        <w:pStyle w:val="Heading5"/>
        <w:spacing w:before="240"/>
        <w:rPr>
          <w:snapToGrid w:val="0"/>
        </w:rPr>
      </w:pPr>
      <w:bookmarkStart w:id="4" w:name="_Toc155165827"/>
      <w:r>
        <w:rPr>
          <w:rStyle w:val="CharSectno"/>
        </w:rPr>
        <w:t>1</w:t>
      </w:r>
      <w:r>
        <w:rPr>
          <w:snapToGrid w:val="0"/>
        </w:rPr>
        <w:t>.</w:t>
      </w:r>
      <w:r>
        <w:rPr>
          <w:snapToGrid w:val="0"/>
        </w:rPr>
        <w:tab/>
        <w:t>Short title</w:t>
      </w:r>
      <w:bookmarkEnd w:id="4"/>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rPr>
        <w:t>.</w:t>
      </w:r>
    </w:p>
    <w:p>
      <w:pPr>
        <w:pStyle w:val="Heading5"/>
        <w:spacing w:before="240"/>
      </w:pPr>
      <w:bookmarkStart w:id="5" w:name="_Toc155165828"/>
      <w:r>
        <w:rPr>
          <w:rStyle w:val="CharSectno"/>
        </w:rPr>
        <w:t>2</w:t>
      </w:r>
      <w:r>
        <w:t>.</w:t>
      </w:r>
      <w:r>
        <w:tab/>
        <w:t>Commencement</w:t>
      </w:r>
      <w:bookmarkEnd w:id="5"/>
    </w:p>
    <w:p>
      <w:pPr>
        <w:pStyle w:val="Subsection"/>
        <w:spacing w:before="180"/>
      </w:pPr>
      <w:r>
        <w:tab/>
        <w:t>(1)</w:t>
      </w:r>
      <w:r>
        <w:tab/>
        <w:t>This Act comes into operation on a day fixed by proclamation.</w:t>
      </w:r>
    </w:p>
    <w:p>
      <w:pPr>
        <w:pStyle w:val="Subsection"/>
        <w:spacing w:before="180"/>
      </w:pPr>
      <w:r>
        <w:tab/>
        <w:t>(2)</w:t>
      </w:r>
      <w:r>
        <w:tab/>
        <w:t>Different days may be fixed under subsection (1) for different provisions.</w:t>
      </w:r>
    </w:p>
    <w:p>
      <w:pPr>
        <w:pStyle w:val="Heading5"/>
        <w:spacing w:before="240"/>
      </w:pPr>
      <w:bookmarkStart w:id="6" w:name="_Toc155165829"/>
      <w:r>
        <w:rPr>
          <w:rStyle w:val="CharSectno"/>
        </w:rPr>
        <w:t>3</w:t>
      </w:r>
      <w:r>
        <w:t>.</w:t>
      </w:r>
      <w:r>
        <w:tab/>
        <w:t>Purposes and interpretation of this Act</w:t>
      </w:r>
      <w:bookmarkEnd w:id="6"/>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7" w:name="_Toc155165830"/>
      <w:r>
        <w:rPr>
          <w:rStyle w:val="CharSectno"/>
        </w:rPr>
        <w:t>4</w:t>
      </w:r>
      <w:r>
        <w:t>.</w:t>
      </w:r>
      <w:r>
        <w:tab/>
        <w:t>Terms used</w:t>
      </w:r>
      <w:bookmarkEnd w:id="7"/>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lastRenderedPageBreak/>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protection order made under the </w:t>
      </w:r>
      <w:r>
        <w:rPr>
          <w:i/>
        </w:rPr>
        <w:t>Heritage Act 2018</w:t>
      </w:r>
      <w:r>
        <w:t xml:space="preserve"> Part 4 Division 1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by the </w:t>
      </w:r>
      <w:r>
        <w:rPr>
          <w:i/>
        </w:rPr>
        <w:t>Heritage Act 2018</w:t>
      </w:r>
      <w:r>
        <w:t>;</w:t>
      </w:r>
    </w:p>
    <w:p>
      <w:pPr>
        <w:pStyle w:val="Defstart"/>
      </w:pPr>
      <w:r>
        <w:tab/>
      </w:r>
      <w:r>
        <w:rPr>
          <w:rStyle w:val="CharDefText"/>
        </w:rPr>
        <w:t>improvement plan</w:t>
      </w:r>
      <w:r>
        <w:t xml:space="preserve"> means an improvement plan referred to in section 119;</w:t>
      </w:r>
    </w:p>
    <w:p>
      <w:pPr>
        <w:pStyle w:val="Defstart"/>
      </w:pPr>
      <w:r>
        <w:lastRenderedPageBreak/>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keepNex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1</w:t>
      </w:r>
      <w:r>
        <w:t>; or</w:t>
      </w:r>
    </w:p>
    <w:p>
      <w:pPr>
        <w:pStyle w:val="Defsubpara"/>
        <w:keepNext/>
        <w:keepLines w:val="0"/>
      </w:pPr>
      <w:r>
        <w:lastRenderedPageBreak/>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 xml:space="preserve">but does not include a lot as defined in the </w:t>
      </w:r>
      <w:r>
        <w:rPr>
          <w:i/>
        </w:rPr>
        <w:t>Strata Titles Act 1985</w:t>
      </w:r>
      <w:r>
        <w:t xml:space="preserve"> section 3(1);</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w:t>
      </w:r>
      <w:r>
        <w:lastRenderedPageBreak/>
        <w:t xml:space="preserve">this Act, or the Swan Valley Planning Scheme that has effect under the </w:t>
      </w:r>
      <w:r>
        <w:rPr>
          <w:i/>
        </w:rPr>
        <w:t>Swan Valley Planning Act 2020</w:t>
      </w:r>
      <w:r>
        <w:t xml:space="preserve">, and includes — </w:t>
      </w:r>
    </w:p>
    <w:p>
      <w:pPr>
        <w:pStyle w:val="Indenta"/>
        <w:keepNext/>
      </w:pPr>
      <w:r>
        <w:tab/>
        <w:t>(a)</w:t>
      </w:r>
      <w:r>
        <w:tab/>
        <w:t xml:space="preserve">in the case of a local planning scheme, region planning scheme or improvement scheme that has effect under this Act — 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(aa)</w:t>
      </w:r>
      <w:r>
        <w:tab/>
        <w:t xml:space="preserve">in the case of the Swan Valley Planning Scheme — the provisions of the scheme being — </w:t>
      </w:r>
    </w:p>
    <w:p>
      <w:pPr>
        <w:pStyle w:val="Defsubpara"/>
      </w:pPr>
      <w:r>
        <w:tab/>
        <w:t>(i)</w:t>
      </w:r>
      <w:r>
        <w:tab/>
        <w:t>the provisions set out in the scheme; and</w:t>
      </w:r>
    </w:p>
    <w:p>
      <w:pPr>
        <w:pStyle w:val="Defsubpara"/>
      </w:pPr>
      <w:r>
        <w:tab/>
        <w:t>(ii)</w:t>
      </w:r>
      <w:r>
        <w:tab/>
        <w:t xml:space="preserve">any provisions of a kind referred to in the </w:t>
      </w:r>
      <w:r>
        <w:rPr>
          <w:i/>
        </w:rPr>
        <w:t>Swan Valley Planning Act 2020</w:t>
      </w:r>
      <w:r>
        <w:t xml:space="preserve"> section 11 that, with any modifications set out in the scheme, have effect under that section as part of the scheme;</w:t>
      </w:r>
    </w:p>
    <w:p>
      <w:pPr>
        <w:pStyle w:val="Defpar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keepNext/>
      </w:pPr>
      <w:r>
        <w:lastRenderedPageBreak/>
        <w:tab/>
      </w:r>
      <w:r>
        <w:rPr>
          <w:rStyle w:val="CharDefText"/>
        </w:rPr>
        <w:t>public work</w:t>
      </w:r>
      <w:r>
        <w:t xml:space="preserve"> includes the following — </w:t>
      </w:r>
    </w:p>
    <w:p>
      <w:pPr>
        <w:pStyle w:val="Defpara"/>
      </w:pPr>
      <w:r>
        <w:tab/>
        <w:t>(a)</w:t>
      </w:r>
      <w:r>
        <w:tab/>
        <w:t xml:space="preserve">any public work as defined in the </w:t>
      </w:r>
      <w:r>
        <w:rPr>
          <w:i/>
        </w:rPr>
        <w:t>Public Works Act 1902</w:t>
      </w:r>
      <w:r>
        <w:t xml:space="preserve"> section 2;</w:t>
      </w:r>
    </w:p>
    <w:p>
      <w:pPr>
        <w:pStyle w:val="Defpara"/>
      </w:pPr>
      <w:r>
        <w:tab/>
        <w:t>(b)</w:t>
      </w:r>
      <w:r>
        <w:tab/>
        <w:t>development in any area to which a region planning scheme applies if the development is of a class or kind designated as public work under the scheme;</w:t>
      </w:r>
    </w:p>
    <w:p>
      <w:pPr>
        <w:pStyle w:val="Defpara"/>
      </w:pPr>
      <w:r>
        <w:tab/>
        <w:t>(c)</w:t>
      </w:r>
      <w:r>
        <w:tab/>
        <w:t>development in any area to which a local planning scheme applies if the development is of a class or kind designated as public work under the scheme;</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keepLines/>
      </w:pPr>
      <w:r>
        <w:lastRenderedPageBreak/>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or the Swan Valley Planning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in the </w:t>
      </w:r>
      <w:r>
        <w:rPr>
          <w:i/>
        </w:rPr>
        <w:t>Swan Valley Planning Act 2020</w:t>
      </w:r>
      <w:r>
        <w:t xml:space="preserve"> section 3;</w:t>
      </w:r>
    </w:p>
    <w:p>
      <w:pPr>
        <w:pStyle w:val="Defstart"/>
      </w:pPr>
      <w:r>
        <w:tab/>
      </w:r>
      <w:r>
        <w:rPr>
          <w:rStyle w:val="CharDefText"/>
        </w:rPr>
        <w:t>Swan Valley Planning Scheme</w:t>
      </w:r>
      <w:r>
        <w:t xml:space="preserve"> has the meaning given in the </w:t>
      </w:r>
      <w:r>
        <w:rPr>
          <w:i/>
        </w:rPr>
        <w:t>Swan Valley Planning Act 2020</w:t>
      </w:r>
      <w:r>
        <w:t xml:space="preserve"> section 3;</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Next/>
      </w:pPr>
      <w:r>
        <w:tab/>
        <w:t>(b)</w:t>
      </w:r>
      <w:r>
        <w:tab/>
        <w:t xml:space="preserve">“a local planning scheme prepared by a local government” or “an amendment prepared by a local </w:t>
      </w:r>
      <w:r>
        <w:lastRenderedPageBreak/>
        <w:t>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No. 60 of 2006 s. 147(2); No. 77 of 2006 Sch. 1 cl. 127(1); No. 21 of 2008 s. 690; No. 28 of 2010 s. 4, 41 and 52; No. 8 of 2012 s. 161; No. 22 of 2018 s. 186(2); No. 30 of 2018 s. 161; No. 26 of 2020 s. 11; No. 45 of 2020 s. 57; No. 9 of 2022 s. 424; No. 4 of 2023 s. 143.]</w:t>
      </w:r>
    </w:p>
    <w:p>
      <w:pPr>
        <w:pStyle w:val="Heading5"/>
        <w:spacing w:before="180"/>
      </w:pPr>
      <w:bookmarkStart w:id="8" w:name="_Toc155165831"/>
      <w:r>
        <w:rPr>
          <w:rStyle w:val="CharSectno"/>
        </w:rPr>
        <w:t>5</w:t>
      </w:r>
      <w:r>
        <w:t>.</w:t>
      </w:r>
      <w:r>
        <w:tab/>
        <w:t>Crown bound</w:t>
      </w:r>
      <w:bookmarkEnd w:id="8"/>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No. 28 of 2010 s. 5.] </w:t>
      </w:r>
    </w:p>
    <w:p>
      <w:pPr>
        <w:pStyle w:val="Heading5"/>
        <w:spacing w:before="180"/>
      </w:pPr>
      <w:bookmarkStart w:id="9" w:name="_Toc155165832"/>
      <w:r>
        <w:rPr>
          <w:rStyle w:val="CharSectno"/>
        </w:rPr>
        <w:t>6</w:t>
      </w:r>
      <w:r>
        <w:t>.</w:t>
      </w:r>
      <w:r>
        <w:tab/>
        <w:t>Act does not interfere with public works</w:t>
      </w:r>
      <w:bookmarkEnd w:id="9"/>
    </w:p>
    <w:p>
      <w:pPr>
        <w:pStyle w:val="Subsection"/>
        <w:keepNext/>
        <w:keepLines/>
      </w:pPr>
      <w:r>
        <w:tab/>
        <w:t>(1)</w:t>
      </w:r>
      <w:r>
        <w:tab/>
        <w:t xml:space="preserve">Subject to subsections (2) to (4), nothing in this Act interferes with the right of the Crown, or the Governor, or a public authority,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keepNext/>
      </w:pPr>
      <w:r>
        <w:lastRenderedPageBreak/>
        <w:tab/>
        <w:t>(2)</w:t>
      </w:r>
      <w:r>
        <w:tab/>
        <w:t xml:space="preserve">Rights referred to in subsection (1) are to be exercised having due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 and</w:t>
      </w:r>
    </w:p>
    <w:p>
      <w:pPr>
        <w:pStyle w:val="Indenta"/>
      </w:pPr>
      <w:r>
        <w:tab/>
        <w:t>(c)</w:t>
      </w:r>
      <w:r>
        <w:tab/>
        <w:t>any advice provided by the responsible authority in the course of the consultation required under subsection (3) in respect of the exercise of the right.</w:t>
      </w:r>
    </w:p>
    <w:p>
      <w:pPr>
        <w:pStyle w:val="Subsection"/>
      </w:pPr>
      <w:r>
        <w:tab/>
        <w:t>(3)</w:t>
      </w:r>
      <w:r>
        <w:tab/>
        <w:t>At the time when a proposal for any public work, or for the taking of land for a public work, is being formulated, the responsible authority is to be consulted as to whether the undertaking, construction or provision of, or the taking of land for, the public work will be consistent with the matters referred to in subsection (2)(a) and (b).</w:t>
      </w:r>
    </w:p>
    <w:p>
      <w:pPr>
        <w:pStyle w:val="Subsection"/>
      </w:pPr>
      <w:r>
        <w:tab/>
        <w:t>(4)</w:t>
      </w:r>
      <w:r>
        <w:tab/>
        <w:t xml:space="preserve">This section does not affect — </w:t>
      </w:r>
    </w:p>
    <w:p>
      <w:pPr>
        <w:pStyle w:val="Indenta"/>
      </w:pPr>
      <w:r>
        <w:tab/>
        <w:t>(a)</w:t>
      </w:r>
      <w:r>
        <w:tab/>
        <w:t>the application of section 5(2) and (3); or</w:t>
      </w:r>
    </w:p>
    <w:p>
      <w:pPr>
        <w:pStyle w:val="Indenta"/>
      </w:pPr>
      <w:r>
        <w:tab/>
        <w:t>(b)</w:t>
      </w:r>
      <w:r>
        <w:tab/>
        <w:t>the application of a region planning scheme or an improvement scheme in relation to anything done, or proposed to be done, by a public authority that is not an agency of the Crown.</w:t>
      </w:r>
    </w:p>
    <w:p>
      <w:pPr>
        <w:pStyle w:val="Footnotesection"/>
      </w:pPr>
      <w:r>
        <w:tab/>
        <w:t xml:space="preserve">[Section 6 amended: No. 28 of 2010 s. 6; No. 26 of 2020 s. 12.] </w:t>
      </w:r>
    </w:p>
    <w:p>
      <w:pPr>
        <w:pStyle w:val="Heading2"/>
      </w:pPr>
      <w:bookmarkStart w:id="10" w:name="_Toc155165833"/>
      <w:r>
        <w:rPr>
          <w:rStyle w:val="CharPartNo"/>
        </w:rPr>
        <w:lastRenderedPageBreak/>
        <w:t>Part 2</w:t>
      </w:r>
      <w:r>
        <w:t> — </w:t>
      </w:r>
      <w:r>
        <w:rPr>
          <w:rStyle w:val="CharPartText"/>
        </w:rPr>
        <w:t>The Western Australian Planning Commission</w:t>
      </w:r>
      <w:bookmarkEnd w:id="10"/>
    </w:p>
    <w:p>
      <w:pPr>
        <w:pStyle w:val="Heading3"/>
      </w:pPr>
      <w:bookmarkStart w:id="11" w:name="_Toc155165834"/>
      <w:r>
        <w:rPr>
          <w:rStyle w:val="CharDivNo"/>
        </w:rPr>
        <w:t>Division 1</w:t>
      </w:r>
      <w:r>
        <w:t> — </w:t>
      </w:r>
      <w:r>
        <w:rPr>
          <w:rStyle w:val="CharDivText"/>
        </w:rPr>
        <w:t>Establishment and management</w:t>
      </w:r>
      <w:bookmarkEnd w:id="11"/>
    </w:p>
    <w:p>
      <w:pPr>
        <w:pStyle w:val="Heading5"/>
      </w:pPr>
      <w:bookmarkStart w:id="12" w:name="_Toc155165835"/>
      <w:r>
        <w:rPr>
          <w:rStyle w:val="CharSectno"/>
        </w:rPr>
        <w:t>7</w:t>
      </w:r>
      <w:r>
        <w:t>.</w:t>
      </w:r>
      <w:r>
        <w:tab/>
        <w:t>Commission established</w:t>
      </w:r>
      <w:bookmarkEnd w:id="12"/>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13" w:name="_Toc155165836"/>
      <w:r>
        <w:rPr>
          <w:rStyle w:val="CharSectno"/>
        </w:rPr>
        <w:t>8</w:t>
      </w:r>
      <w:r>
        <w:t>.</w:t>
      </w:r>
      <w:r>
        <w:tab/>
        <w:t>Status</w:t>
      </w:r>
      <w:bookmarkEnd w:id="13"/>
    </w:p>
    <w:p>
      <w:pPr>
        <w:pStyle w:val="Subsection"/>
      </w:pPr>
      <w:r>
        <w:tab/>
      </w:r>
      <w:r>
        <w:tab/>
        <w:t>The Commission is an agent of the State and has the status, immunities and privileges of the State.</w:t>
      </w:r>
    </w:p>
    <w:p>
      <w:pPr>
        <w:pStyle w:val="Heading5"/>
      </w:pPr>
      <w:bookmarkStart w:id="14" w:name="_Toc155165837"/>
      <w:r>
        <w:rPr>
          <w:rStyle w:val="CharSectno"/>
        </w:rPr>
        <w:t>9</w:t>
      </w:r>
      <w:r>
        <w:t>.</w:t>
      </w:r>
      <w:r>
        <w:tab/>
        <w:t>Board of management</w:t>
      </w:r>
      <w:bookmarkEnd w:id="14"/>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15" w:name="_Toc155165838"/>
      <w:r>
        <w:rPr>
          <w:rStyle w:val="CharSectno"/>
        </w:rPr>
        <w:t>10</w:t>
      </w:r>
      <w:r>
        <w:t>.</w:t>
      </w:r>
      <w:r>
        <w:tab/>
        <w:t>Membership of board</w:t>
      </w:r>
      <w:bookmarkEnd w:id="15"/>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 xml:space="preserve">one is to be a person nominated by the Minister from a list of the names of 4 persons representing the interests of local governments within the </w:t>
      </w:r>
      <w:r>
        <w:lastRenderedPageBreak/>
        <w:t>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lastRenderedPageBreak/>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keepNext/>
      </w:pPr>
      <w:r>
        <w:tab/>
        <w:t>(3)</w:t>
      </w:r>
      <w:r>
        <w:tab/>
        <w:t xml:space="preserve">If a submission is not made under subsection (2) within the time specified under that subsection, the Minister may nominate a </w:t>
      </w:r>
      <w:r>
        <w:lastRenderedPageBreak/>
        <w:t>person the Minister thinks fit to be a member in place of the person referred to in subsection (1)(b)(i) or (ii).</w:t>
      </w:r>
    </w:p>
    <w:p>
      <w:pPr>
        <w:pStyle w:val="Footnotesection"/>
      </w:pPr>
      <w:r>
        <w:tab/>
        <w:t>[Section 10 amended: No. 25 of 2012 s. 222(2).]</w:t>
      </w:r>
    </w:p>
    <w:p>
      <w:pPr>
        <w:pStyle w:val="Heading5"/>
        <w:keepLines w:val="0"/>
      </w:pPr>
      <w:bookmarkStart w:id="16" w:name="_Toc155165839"/>
      <w:r>
        <w:rPr>
          <w:rStyle w:val="CharSectno"/>
        </w:rPr>
        <w:t>11</w:t>
      </w:r>
      <w:r>
        <w:t>.</w:t>
      </w:r>
      <w:r>
        <w:tab/>
        <w:t>Associate members of board, for regions</w:t>
      </w:r>
      <w:bookmarkEnd w:id="16"/>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17" w:name="_Toc155165840"/>
      <w:r>
        <w:rPr>
          <w:rStyle w:val="CharSectno"/>
        </w:rPr>
        <w:t>12</w:t>
      </w:r>
      <w:r>
        <w:t>.</w:t>
      </w:r>
      <w:r>
        <w:tab/>
        <w:t>Board’s constitution and proceedings (Sch. 1)</w:t>
      </w:r>
      <w:bookmarkEnd w:id="17"/>
    </w:p>
    <w:p>
      <w:pPr>
        <w:pStyle w:val="Subsection"/>
        <w:spacing w:before="120"/>
      </w:pPr>
      <w:r>
        <w:tab/>
      </w:r>
      <w:r>
        <w:tab/>
        <w:t>Schedule 1 has effect.</w:t>
      </w:r>
    </w:p>
    <w:p>
      <w:pPr>
        <w:pStyle w:val="Heading5"/>
      </w:pPr>
      <w:bookmarkStart w:id="18" w:name="_Toc155165841"/>
      <w:r>
        <w:rPr>
          <w:rStyle w:val="CharSectno"/>
        </w:rPr>
        <w:t>13</w:t>
      </w:r>
      <w:r>
        <w:t>.</w:t>
      </w:r>
      <w:r>
        <w:tab/>
        <w:t>Remuneration and allowances</w:t>
      </w:r>
      <w:bookmarkEnd w:id="18"/>
    </w:p>
    <w:p>
      <w:pPr>
        <w:pStyle w:val="Subsection"/>
        <w:spacing w:before="120"/>
      </w:pPr>
      <w:r>
        <w:tab/>
      </w:r>
      <w:r>
        <w:tab/>
        <w:t xml:space="preserve">A member, a deputy member, an associate member or a member of a committee established under Schedule 2 or the </w:t>
      </w:r>
      <w:r>
        <w:rPr>
          <w:i/>
        </w:rPr>
        <w:t>Swan Valley Planning Act 2020</w:t>
      </w:r>
      <w:r>
        <w:t xml:space="preserve"> section 33 is to be paid such remuneration and allowances as are determined by the Minister on the recommendation of the Public Sector Commissioner.</w:t>
      </w:r>
    </w:p>
    <w:p>
      <w:pPr>
        <w:pStyle w:val="Footnotesection"/>
      </w:pPr>
      <w:r>
        <w:tab/>
        <w:t>[Section 13 amended: No. 39 of 2010 s. 89; No. 45 of 2020 s. 58.]</w:t>
      </w:r>
    </w:p>
    <w:p>
      <w:pPr>
        <w:pStyle w:val="Heading3"/>
      </w:pPr>
      <w:bookmarkStart w:id="19" w:name="_Toc155165842"/>
      <w:r>
        <w:rPr>
          <w:rStyle w:val="CharDivNo"/>
        </w:rPr>
        <w:lastRenderedPageBreak/>
        <w:t>Division 2</w:t>
      </w:r>
      <w:r>
        <w:t> — </w:t>
      </w:r>
      <w:r>
        <w:rPr>
          <w:rStyle w:val="CharDivText"/>
        </w:rPr>
        <w:t>Functions and powers</w:t>
      </w:r>
      <w:bookmarkEnd w:id="19"/>
    </w:p>
    <w:p>
      <w:pPr>
        <w:pStyle w:val="Heading5"/>
        <w:spacing w:before="180"/>
      </w:pPr>
      <w:bookmarkStart w:id="20" w:name="_Toc155165843"/>
      <w:r>
        <w:rPr>
          <w:rStyle w:val="CharSectno"/>
        </w:rPr>
        <w:t>14</w:t>
      </w:r>
      <w:r>
        <w:t>.</w:t>
      </w:r>
      <w:r>
        <w:tab/>
        <w:t>Functions</w:t>
      </w:r>
      <w:bookmarkEnd w:id="20"/>
    </w:p>
    <w:p>
      <w:pPr>
        <w:pStyle w:val="Subsection"/>
        <w:keepNext/>
        <w:spacing w:before="120"/>
      </w:pPr>
      <w:r>
        <w:tab/>
      </w:r>
      <w:r>
        <w:tab/>
        <w:t xml:space="preserve">The functions of the Commission are — </w:t>
      </w:r>
    </w:p>
    <w:p>
      <w:pPr>
        <w:pStyle w:val="Indenta"/>
        <w:keepNext/>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lastRenderedPageBreak/>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an improvement scheme or the Swan Valley Planning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 xml:space="preserve">to establish, and exercise powers in relation to, committees under Schedule 2 and the </w:t>
      </w:r>
      <w:r>
        <w:rPr>
          <w:i/>
        </w:rPr>
        <w:t>Swan Valley Planning Act 2020</w:t>
      </w:r>
      <w:r>
        <w:t>; and</w:t>
      </w:r>
    </w:p>
    <w:p>
      <w:pPr>
        <w:pStyle w:val="Indenta"/>
      </w:pPr>
      <w:r>
        <w:tab/>
        <w:t>(l)</w:t>
      </w:r>
      <w:r>
        <w:tab/>
        <w:t>to do all things that are necessary for the purpose of carrying out this Act, region planning schemes, improvement schemes and the Swan Valley Planning Scheme; and</w:t>
      </w:r>
    </w:p>
    <w:p>
      <w:pPr>
        <w:pStyle w:val="Indenta"/>
        <w:keepNext/>
      </w:pPr>
      <w:r>
        <w:lastRenderedPageBreak/>
        <w:tab/>
        <w:t>(m)</w:t>
      </w:r>
      <w:r>
        <w:tab/>
        <w:t xml:space="preserve">to do anything else that it is required or authorised to do by this Act, the </w:t>
      </w:r>
      <w:r>
        <w:rPr>
          <w:i/>
        </w:rPr>
        <w:t>Swan Valley Planning Act 2020</w:t>
      </w:r>
      <w:r>
        <w:t xml:space="preserve"> or any other written law.</w:t>
      </w:r>
    </w:p>
    <w:p>
      <w:pPr>
        <w:pStyle w:val="Footnotesection"/>
      </w:pPr>
      <w:r>
        <w:tab/>
        <w:t xml:space="preserve">[Section 14 amended: No. 28 of 2010 s. 7; No. 45 of 2020 s. 59.] </w:t>
      </w:r>
    </w:p>
    <w:p>
      <w:pPr>
        <w:pStyle w:val="Heading5"/>
      </w:pPr>
      <w:bookmarkStart w:id="21" w:name="_Toc155165844"/>
      <w:r>
        <w:rPr>
          <w:rStyle w:val="CharSectno"/>
        </w:rPr>
        <w:t>15</w:t>
      </w:r>
      <w:r>
        <w:t>.</w:t>
      </w:r>
      <w:r>
        <w:tab/>
        <w:t>Powers</w:t>
      </w:r>
      <w:bookmarkEnd w:id="21"/>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 xml:space="preserve">for the commercial exploitation of the knowledge, expertise and resources of the </w:t>
      </w:r>
      <w:r>
        <w:lastRenderedPageBreak/>
        <w:t>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lastRenderedPageBreak/>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22" w:name="_Toc155165845"/>
      <w:r>
        <w:rPr>
          <w:rStyle w:val="CharSectno"/>
        </w:rPr>
        <w:t>16</w:t>
      </w:r>
      <w:r>
        <w:t>.</w:t>
      </w:r>
      <w:r>
        <w:tab/>
        <w:t>Delegation by Commission</w:t>
      </w:r>
      <w:bookmarkEnd w:id="22"/>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lastRenderedPageBreak/>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No. 28 of 2010 s. 42; </w:t>
      </w:r>
      <w:r>
        <w:rPr>
          <w:spacing w:val="-4"/>
        </w:rPr>
        <w:t>No. 45 of 2011 s. 1</w:t>
      </w:r>
      <w:r>
        <w:t>41(2) and (3).]</w:t>
      </w:r>
    </w:p>
    <w:p>
      <w:pPr>
        <w:pStyle w:val="Heading5"/>
      </w:pPr>
      <w:bookmarkStart w:id="23" w:name="_Toc155165846"/>
      <w:r>
        <w:rPr>
          <w:rStyle w:val="CharSectno"/>
        </w:rPr>
        <w:t>17</w:t>
      </w:r>
      <w:r>
        <w:t>.</w:t>
      </w:r>
      <w:r>
        <w:tab/>
        <w:t>Minister may give Commission directions</w:t>
      </w:r>
      <w:bookmarkEnd w:id="23"/>
    </w:p>
    <w:p>
      <w:pPr>
        <w:pStyle w:val="Subsection"/>
        <w:spacing w:before="150"/>
      </w:pPr>
      <w:r>
        <w:tab/>
        <w:t>(1)</w:t>
      </w:r>
      <w:r>
        <w:tab/>
        <w:t xml:space="preserve">The Minister may give written directions to the Commission with respect to the exercise or performance of its functions, </w:t>
      </w:r>
      <w:r>
        <w:lastRenderedPageBreak/>
        <w:t>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51(1), 51(2), 52(2), 62A(1), 63(1) or 67(1).</w:t>
      </w:r>
    </w:p>
    <w:p>
      <w:pPr>
        <w:pStyle w:val="Footnotesection"/>
      </w:pPr>
      <w:r>
        <w:tab/>
        <w:t>[Section 17 amended: No. 77 of 2006 Sch. 1 cl. 127(2); No. 26 of 2020 s. 21.]</w:t>
      </w:r>
    </w:p>
    <w:p>
      <w:pPr>
        <w:pStyle w:val="Heading5"/>
      </w:pPr>
      <w:bookmarkStart w:id="24" w:name="_Toc155165847"/>
      <w:r>
        <w:rPr>
          <w:rStyle w:val="CharSectno"/>
        </w:rPr>
        <w:lastRenderedPageBreak/>
        <w:t>18</w:t>
      </w:r>
      <w:r>
        <w:t>.</w:t>
      </w:r>
      <w:r>
        <w:tab/>
        <w:t>Minister to have access to information</w:t>
      </w:r>
      <w:bookmarkEnd w:id="24"/>
    </w:p>
    <w:p>
      <w:pPr>
        <w:pStyle w:val="Subsection"/>
        <w:keepNext/>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25" w:name="_Toc155165848"/>
      <w:r>
        <w:rPr>
          <w:rStyle w:val="CharSectno"/>
        </w:rPr>
        <w:t>19</w:t>
      </w:r>
      <w:r>
        <w:t>.</w:t>
      </w:r>
      <w:r>
        <w:tab/>
        <w:t>Committees (Sch. 2)</w:t>
      </w:r>
      <w:bookmarkEnd w:id="25"/>
    </w:p>
    <w:p>
      <w:pPr>
        <w:pStyle w:val="Subsection"/>
        <w:spacing w:before="140"/>
      </w:pPr>
      <w:r>
        <w:tab/>
      </w:r>
      <w:r>
        <w:tab/>
        <w:t xml:space="preserve">Schedule 2 has effect with respect to committees established by the Commission under that Schedule or the </w:t>
      </w:r>
      <w:r>
        <w:rPr>
          <w:i/>
        </w:rPr>
        <w:t>Swan Valley Planning Act 2020</w:t>
      </w:r>
      <w:r>
        <w:t xml:space="preserve"> section 33.</w:t>
      </w:r>
    </w:p>
    <w:p>
      <w:pPr>
        <w:pStyle w:val="Footnotesection"/>
      </w:pPr>
      <w:r>
        <w:tab/>
        <w:t>[Section 19 amended: No. 45 of 2020 s. 60.]</w:t>
      </w:r>
    </w:p>
    <w:p>
      <w:pPr>
        <w:pStyle w:val="Heading5"/>
      </w:pPr>
      <w:bookmarkStart w:id="26" w:name="_Toc155165849"/>
      <w:r>
        <w:rPr>
          <w:rStyle w:val="CharSectno"/>
        </w:rPr>
        <w:lastRenderedPageBreak/>
        <w:t>20</w:t>
      </w:r>
      <w:r>
        <w:t>.</w:t>
      </w:r>
      <w:r>
        <w:tab/>
        <w:t>Fees for Commission’s services</w:t>
      </w:r>
      <w:bookmarkEnd w:id="26"/>
    </w:p>
    <w:p>
      <w:pPr>
        <w:pStyle w:val="Subsection"/>
        <w:spacing w:before="140"/>
      </w:pPr>
      <w:r>
        <w:tab/>
        <w:t>(1)</w:t>
      </w:r>
      <w:r>
        <w:tab/>
        <w:t xml:space="preserve">The Minister may by notice published in the </w:t>
      </w:r>
      <w:r>
        <w:rPr>
          <w:i/>
        </w:rPr>
        <w:t xml:space="preserve">Gazette </w:t>
      </w:r>
      <w:r>
        <w:t xml:space="preserve">set fees to be charged in respect of anything done under this Act or the </w:t>
      </w:r>
      <w:r>
        <w:rPr>
          <w:i/>
        </w:rPr>
        <w:t>Swan Valley Planning Act 2020</w:t>
      </w:r>
      <w:r>
        <w:t xml:space="preserve">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Footnotesection"/>
      </w:pPr>
      <w:r>
        <w:tab/>
        <w:t>[Section 20 amended: No. 45 of 2020 s. 61.]</w:t>
      </w:r>
    </w:p>
    <w:p>
      <w:pPr>
        <w:pStyle w:val="Heading3"/>
      </w:pPr>
      <w:bookmarkStart w:id="27" w:name="_Toc155165850"/>
      <w:r>
        <w:rPr>
          <w:rStyle w:val="CharDivNo"/>
        </w:rPr>
        <w:t>Division 3</w:t>
      </w:r>
      <w:r>
        <w:t> — </w:t>
      </w:r>
      <w:r>
        <w:rPr>
          <w:rStyle w:val="CharDivText"/>
        </w:rPr>
        <w:t>Administration</w:t>
      </w:r>
      <w:bookmarkEnd w:id="27"/>
    </w:p>
    <w:p>
      <w:pPr>
        <w:pStyle w:val="Heading5"/>
      </w:pPr>
      <w:bookmarkStart w:id="28" w:name="_Toc155165851"/>
      <w:r>
        <w:rPr>
          <w:rStyle w:val="CharSectno"/>
        </w:rPr>
        <w:t>21</w:t>
      </w:r>
      <w:r>
        <w:t>.</w:t>
      </w:r>
      <w:r>
        <w:tab/>
        <w:t>Secretary</w:t>
      </w:r>
      <w:bookmarkEnd w:id="28"/>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29" w:name="_Toc155165852"/>
      <w:r>
        <w:rPr>
          <w:rStyle w:val="CharSectno"/>
        </w:rPr>
        <w:t>22</w:t>
      </w:r>
      <w:r>
        <w:t>.</w:t>
      </w:r>
      <w:r>
        <w:tab/>
        <w:t>Staff</w:t>
      </w:r>
      <w:bookmarkEnd w:id="29"/>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30" w:name="_Toc155165853"/>
      <w:r>
        <w:rPr>
          <w:rStyle w:val="CharSectno"/>
        </w:rPr>
        <w:t>23</w:t>
      </w:r>
      <w:r>
        <w:t>.</w:t>
      </w:r>
      <w:r>
        <w:tab/>
        <w:t>Use of staff and facilities of public authorities</w:t>
      </w:r>
      <w:bookmarkEnd w:id="30"/>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keepNext/>
      </w:pPr>
      <w:r>
        <w:lastRenderedPageBreak/>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31" w:name="_Toc155165854"/>
      <w:r>
        <w:rPr>
          <w:rStyle w:val="CharDivNo"/>
        </w:rPr>
        <w:t>Division 4</w:t>
      </w:r>
      <w:r>
        <w:t> — </w:t>
      </w:r>
      <w:r>
        <w:rPr>
          <w:rStyle w:val="CharDivText"/>
        </w:rPr>
        <w:t>Miscellaneous</w:t>
      </w:r>
      <w:bookmarkEnd w:id="31"/>
    </w:p>
    <w:p>
      <w:pPr>
        <w:pStyle w:val="Heading5"/>
      </w:pPr>
      <w:bookmarkStart w:id="32" w:name="_Toc155165855"/>
      <w:r>
        <w:rPr>
          <w:rStyle w:val="CharSectno"/>
        </w:rPr>
        <w:t>24</w:t>
      </w:r>
      <w:r>
        <w:t>.</w:t>
      </w:r>
      <w:r>
        <w:tab/>
        <w:t>Execution of documents</w:t>
      </w:r>
      <w:bookmarkEnd w:id="32"/>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lastRenderedPageBreak/>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33" w:name="_Toc155165856"/>
      <w:r>
        <w:rPr>
          <w:rStyle w:val="CharPartNo"/>
        </w:rPr>
        <w:lastRenderedPageBreak/>
        <w:t>Part 3</w:t>
      </w:r>
      <w:r>
        <w:rPr>
          <w:rStyle w:val="CharDivNo"/>
        </w:rPr>
        <w:t> </w:t>
      </w:r>
      <w:r>
        <w:t>—</w:t>
      </w:r>
      <w:r>
        <w:rPr>
          <w:rStyle w:val="CharDivText"/>
        </w:rPr>
        <w:t> </w:t>
      </w:r>
      <w:r>
        <w:rPr>
          <w:rStyle w:val="CharPartText"/>
        </w:rPr>
        <w:t>State planning policies</w:t>
      </w:r>
      <w:bookmarkEnd w:id="33"/>
    </w:p>
    <w:p>
      <w:pPr>
        <w:pStyle w:val="Heading5"/>
      </w:pPr>
      <w:bookmarkStart w:id="34" w:name="_Toc155165857"/>
      <w:r>
        <w:rPr>
          <w:rStyle w:val="CharSectno"/>
        </w:rPr>
        <w:t>25</w:t>
      </w:r>
      <w:r>
        <w:t>.</w:t>
      </w:r>
      <w:r>
        <w:tab/>
        <w:t>Statements of planning policy under repealed Act, effect of</w:t>
      </w:r>
      <w:bookmarkEnd w:id="34"/>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35" w:name="_Toc155165858"/>
      <w:r>
        <w:rPr>
          <w:rStyle w:val="CharSectno"/>
        </w:rPr>
        <w:t>26</w:t>
      </w:r>
      <w:r>
        <w:t>.</w:t>
      </w:r>
      <w:r>
        <w:tab/>
        <w:t>State planning policies, preparation and content of</w:t>
      </w:r>
      <w:bookmarkEnd w:id="35"/>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No. 28 of 2010 s. 8.] </w:t>
      </w:r>
    </w:p>
    <w:p>
      <w:pPr>
        <w:pStyle w:val="Heading5"/>
        <w:spacing w:before="180"/>
      </w:pPr>
      <w:bookmarkStart w:id="36" w:name="_Toc155165859"/>
      <w:r>
        <w:rPr>
          <w:rStyle w:val="CharSectno"/>
        </w:rPr>
        <w:lastRenderedPageBreak/>
        <w:t>27</w:t>
      </w:r>
      <w:r>
        <w:t>.</w:t>
      </w:r>
      <w:r>
        <w:tab/>
        <w:t>Matters to be considered when preparing State planning policy</w:t>
      </w:r>
      <w:bookmarkEnd w:id="36"/>
    </w:p>
    <w:p>
      <w:pPr>
        <w:pStyle w:val="Subsection"/>
        <w:keepNext/>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37" w:name="_Toc155165860"/>
      <w:r>
        <w:rPr>
          <w:rStyle w:val="CharSectno"/>
        </w:rPr>
        <w:t>28</w:t>
      </w:r>
      <w:r>
        <w:t>.</w:t>
      </w:r>
      <w:r>
        <w:tab/>
        <w:t>Consultation on and public notice of proposed State planning policy</w:t>
      </w:r>
      <w:bookmarkEnd w:id="37"/>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lastRenderedPageBreak/>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38" w:name="_Toc155165861"/>
      <w:r>
        <w:rPr>
          <w:rStyle w:val="CharSectno"/>
        </w:rPr>
        <w:lastRenderedPageBreak/>
        <w:t>29</w:t>
      </w:r>
      <w:r>
        <w:t>.</w:t>
      </w:r>
      <w:r>
        <w:tab/>
        <w:t>Approval of Governor</w:t>
      </w:r>
      <w:bookmarkEnd w:id="38"/>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39" w:name="_Toc155165862"/>
      <w:r>
        <w:rPr>
          <w:rStyle w:val="CharSectno"/>
        </w:rPr>
        <w:t>30</w:t>
      </w:r>
      <w:r>
        <w:t>.</w:t>
      </w:r>
      <w:r>
        <w:tab/>
        <w:t>Publicising approved State planning policy</w:t>
      </w:r>
      <w:bookmarkEnd w:id="39"/>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40" w:name="_Toc155165863"/>
      <w:r>
        <w:rPr>
          <w:rStyle w:val="CharSectno"/>
        </w:rPr>
        <w:t>31</w:t>
      </w:r>
      <w:r>
        <w:t>.</w:t>
      </w:r>
      <w:r>
        <w:tab/>
        <w:t>Amending or repealing State planning policy</w:t>
      </w:r>
      <w:bookmarkEnd w:id="40"/>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41" w:name="_Toc155165864"/>
      <w:r>
        <w:rPr>
          <w:rStyle w:val="CharSectno"/>
        </w:rPr>
        <w:lastRenderedPageBreak/>
        <w:t>32</w:t>
      </w:r>
      <w:r>
        <w:t>.</w:t>
      </w:r>
      <w:r>
        <w:tab/>
        <w:t>Environmental review</w:t>
      </w:r>
      <w:bookmarkEnd w:id="41"/>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42" w:name="_Toc155165865"/>
      <w:r>
        <w:rPr>
          <w:rStyle w:val="CharPartNo"/>
        </w:rPr>
        <w:lastRenderedPageBreak/>
        <w:t>Part 4</w:t>
      </w:r>
      <w:r>
        <w:t> — </w:t>
      </w:r>
      <w:r>
        <w:rPr>
          <w:rStyle w:val="CharPartText"/>
        </w:rPr>
        <w:t>Region planning schemes</w:t>
      </w:r>
      <w:bookmarkEnd w:id="42"/>
    </w:p>
    <w:p>
      <w:pPr>
        <w:pStyle w:val="Heading3"/>
        <w:spacing w:before="220"/>
      </w:pPr>
      <w:bookmarkStart w:id="43" w:name="_Toc155165866"/>
      <w:r>
        <w:rPr>
          <w:rStyle w:val="CharDivNo"/>
        </w:rPr>
        <w:t>Division 1</w:t>
      </w:r>
      <w:r>
        <w:t> — </w:t>
      </w:r>
      <w:r>
        <w:rPr>
          <w:rStyle w:val="CharDivText"/>
        </w:rPr>
        <w:t>Continuation and formulation of region planning schemes</w:t>
      </w:r>
      <w:bookmarkEnd w:id="43"/>
    </w:p>
    <w:p>
      <w:pPr>
        <w:pStyle w:val="Heading5"/>
        <w:spacing w:before="180"/>
      </w:pPr>
      <w:bookmarkStart w:id="44" w:name="_Toc155165867"/>
      <w:r>
        <w:rPr>
          <w:rStyle w:val="CharSectno"/>
        </w:rPr>
        <w:t>33</w:t>
      </w:r>
      <w:r>
        <w:t>.</w:t>
      </w:r>
      <w:r>
        <w:tab/>
        <w:t>Schemes under repealed Act, effect of</w:t>
      </w:r>
      <w:bookmarkEnd w:id="44"/>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45" w:name="_Toc155165868"/>
      <w:r>
        <w:rPr>
          <w:rStyle w:val="CharSectno"/>
        </w:rPr>
        <w:t>34</w:t>
      </w:r>
      <w:r>
        <w:t>.</w:t>
      </w:r>
      <w:r>
        <w:tab/>
        <w:t>Region planning schemes, preparation and content of</w:t>
      </w:r>
      <w:bookmarkEnd w:id="45"/>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spacing w:before="180"/>
      </w:pPr>
      <w:bookmarkStart w:id="46" w:name="_Toc155165869"/>
      <w:r>
        <w:rPr>
          <w:rStyle w:val="CharSectno"/>
        </w:rPr>
        <w:lastRenderedPageBreak/>
        <w:t>35</w:t>
      </w:r>
      <w:r>
        <w:t>.</w:t>
      </w:r>
      <w:r>
        <w:tab/>
        <w:t>Commission may resolve to prepare or amend region planning scheme</w:t>
      </w:r>
      <w:bookmarkEnd w:id="46"/>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47" w:name="_Toc155165870"/>
      <w:r>
        <w:rPr>
          <w:rStyle w:val="CharSectno"/>
        </w:rPr>
        <w:t>36</w:t>
      </w:r>
      <w:r>
        <w:t>.</w:t>
      </w:r>
      <w:r>
        <w:tab/>
        <w:t>Restrictions on making or amending region planning scheme for metropolitan region</w:t>
      </w:r>
      <w:bookmarkEnd w:id="47"/>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protection order made under the </w:t>
      </w:r>
      <w:r>
        <w:rPr>
          <w:i/>
        </w:rPr>
        <w:t>Heritage Act 2018</w:t>
      </w:r>
      <w:r>
        <w:t xml:space="preserve"> Part 4 Division 1, except in so far as may be ordered on </w:t>
      </w:r>
      <w:r>
        <w:lastRenderedPageBreak/>
        <w:t>an application or referral made under section 62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 or</w:t>
      </w:r>
    </w:p>
    <w:p>
      <w:pPr>
        <w:pStyle w:val="Indenta"/>
      </w:pPr>
      <w:r>
        <w:tab/>
        <w:t>(e)</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ind w:left="890" w:hanging="890"/>
      </w:pPr>
      <w:r>
        <w:tab/>
        <w:t xml:space="preserve">[Section 36 amended: No. 52 of 2006 s. 6; </w:t>
      </w:r>
      <w:r>
        <w:rPr>
          <w:spacing w:val="-4"/>
        </w:rPr>
        <w:t>No. 45 of 2011 s. 141</w:t>
      </w:r>
      <w:r>
        <w:t>(4); No. 22 of 2018 s. 186(3); No. 45 of 2020 s. 63.]</w:t>
      </w:r>
    </w:p>
    <w:p>
      <w:pPr>
        <w:pStyle w:val="Heading5"/>
        <w:spacing w:before="180"/>
      </w:pPr>
      <w:bookmarkStart w:id="48" w:name="_Toc155165871"/>
      <w:r>
        <w:rPr>
          <w:rStyle w:val="CharSectno"/>
        </w:rPr>
        <w:t>37</w:t>
      </w:r>
      <w:r>
        <w:t>.</w:t>
      </w:r>
      <w:r>
        <w:tab/>
        <w:t>Region planning scheme may be amended or repealed</w:t>
      </w:r>
      <w:bookmarkEnd w:id="48"/>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49" w:name="_Toc155165872"/>
      <w:r>
        <w:rPr>
          <w:rStyle w:val="CharDivNo"/>
        </w:rPr>
        <w:t>Division 2</w:t>
      </w:r>
      <w:r>
        <w:t> — </w:t>
      </w:r>
      <w:r>
        <w:rPr>
          <w:rStyle w:val="CharDivText"/>
        </w:rPr>
        <w:t>Relevant considerations in preparation or amendment of region planning scheme or amendment and requirement to advertise</w:t>
      </w:r>
      <w:bookmarkEnd w:id="49"/>
    </w:p>
    <w:p>
      <w:pPr>
        <w:pStyle w:val="Footnoteheading"/>
      </w:pPr>
      <w:r>
        <w:tab/>
        <w:t>[Heading inserted: No. 26 of 2020 s. 22.]</w:t>
      </w:r>
    </w:p>
    <w:p>
      <w:pPr>
        <w:pStyle w:val="Heading5"/>
      </w:pPr>
      <w:bookmarkStart w:id="50" w:name="_Toc155165873"/>
      <w:r>
        <w:rPr>
          <w:rStyle w:val="CharSectno"/>
        </w:rPr>
        <w:t>38</w:t>
      </w:r>
      <w:r>
        <w:t>.</w:t>
      </w:r>
      <w:r>
        <w:tab/>
        <w:t>Referral of proposed scheme or amendment to EPA</w:t>
      </w:r>
      <w:bookmarkEnd w:id="50"/>
    </w:p>
    <w:p>
      <w:pPr>
        <w:pStyle w:val="Subsection"/>
      </w:pPr>
      <w:r>
        <w:tab/>
        <w:t>(1)</w:t>
      </w:r>
      <w:r>
        <w:tab/>
        <w:t xml:space="preserve">As soon as practicable after preparing a proposed region planning scheme or a proposed amendment to a region planning </w:t>
      </w:r>
      <w:r>
        <w:lastRenderedPageBreak/>
        <w:t xml:space="preserve">scheme, the Commission must refer the proposed scheme or amendment to the EPA by giving to the EPA — </w:t>
      </w:r>
    </w:p>
    <w:p>
      <w:pPr>
        <w:pStyle w:val="Indenta"/>
      </w:pPr>
      <w:r>
        <w:tab/>
        <w:t>(a)</w:t>
      </w:r>
      <w:r>
        <w:tab/>
        <w:t>a copy of the proposed scheme or amendment; and</w:t>
      </w:r>
    </w:p>
    <w:p>
      <w:pPr>
        <w:pStyle w:val="Indenta"/>
      </w:pPr>
      <w:r>
        <w:tab/>
        <w:t>(b)</w:t>
      </w:r>
      <w:r>
        <w:tab/>
        <w:t>any other written information about the proposed scheme or amendment that is necessary to enable the EPA to comply with the EP Act section 48A in relation to the proposed scheme or amendment.</w:t>
      </w:r>
    </w:p>
    <w:p>
      <w:pPr>
        <w:pStyle w:val="Subsection"/>
      </w:pPr>
      <w:r>
        <w:tab/>
        <w:t>(2)</w:t>
      </w:r>
      <w:r>
        <w:tab/>
        <w:t>Subsection (1) applies to a proposed amendment to a region planning scheme whether or not the amendment constitutes a substantial alteration to the scheme.</w:t>
      </w:r>
    </w:p>
    <w:p>
      <w:pPr>
        <w:pStyle w:val="Subsection"/>
      </w:pPr>
      <w:r>
        <w:tab/>
        <w:t>(3)</w:t>
      </w:r>
      <w:r>
        <w:tab/>
        <w:t>Despite subsections (1) and (2), a proposed region planning scheme or amendment to a region planning scheme of a class prescribed by regulations under the EP Act section 48AAA(2) is not required to be referred to the EPA.</w:t>
      </w:r>
    </w:p>
    <w:p>
      <w:pPr>
        <w:pStyle w:val="Footnotesection"/>
      </w:pPr>
      <w:r>
        <w:tab/>
        <w:t>[Section 38 inserted: No. 26 of 2020 s. 23.]</w:t>
      </w:r>
    </w:p>
    <w:p>
      <w:pPr>
        <w:pStyle w:val="Heading5"/>
        <w:keepLines w:val="0"/>
        <w:spacing w:before="180"/>
      </w:pPr>
      <w:bookmarkStart w:id="51" w:name="_Toc155165874"/>
      <w:r>
        <w:rPr>
          <w:rStyle w:val="CharSectno"/>
        </w:rPr>
        <w:t>39</w:t>
      </w:r>
      <w:r>
        <w:t>.</w:t>
      </w:r>
      <w:r>
        <w:tab/>
        <w:t>Environmental review of proposed scheme or amendment</w:t>
      </w:r>
      <w:bookmarkEnd w:id="51"/>
    </w:p>
    <w:p>
      <w:pPr>
        <w:pStyle w:val="Subsection"/>
        <w:keepNext/>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referred to the EPA under section 38,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advertise the proposed region planning scheme or amendment under section 43 until — </w:t>
      </w:r>
    </w:p>
    <w:p>
      <w:pPr>
        <w:pStyle w:val="Indenta"/>
      </w:pPr>
      <w:r>
        <w:tab/>
        <w:t>(a)</w:t>
      </w:r>
      <w:r>
        <w:tab/>
        <w:t>the Commission has forwarded the environmental review to the EPA; and</w:t>
      </w:r>
    </w:p>
    <w:p>
      <w:pPr>
        <w:pStyle w:val="Indenta"/>
      </w:pPr>
      <w:r>
        <w:lastRenderedPageBreak/>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Footnotesection"/>
      </w:pPr>
      <w:r>
        <w:tab/>
        <w:t>[Section 39 amended: No. 26 of 2020 s. 24.]</w:t>
      </w:r>
    </w:p>
    <w:p>
      <w:pPr>
        <w:pStyle w:val="Ednotesection"/>
      </w:pPr>
      <w:r>
        <w:t>[</w:t>
      </w:r>
      <w:r>
        <w:rPr>
          <w:b/>
        </w:rPr>
        <w:t>40.</w:t>
      </w:r>
      <w:r>
        <w:tab/>
        <w:t>Deleted: No. 45 of 2020 s. 64.]</w:t>
      </w:r>
    </w:p>
    <w:p>
      <w:pPr>
        <w:pStyle w:val="Ednotedivision"/>
      </w:pPr>
      <w:r>
        <w:t>[Division 3 heading deleted: No. 26 of 2020 s. 26.]</w:t>
      </w:r>
    </w:p>
    <w:p>
      <w:pPr>
        <w:pStyle w:val="Ednotesection"/>
      </w:pPr>
      <w:r>
        <w:t>[</w:t>
      </w:r>
      <w:r>
        <w:rPr>
          <w:b/>
        </w:rPr>
        <w:t>41, 42.</w:t>
      </w:r>
      <w:r>
        <w:tab/>
        <w:t>Deleted: No. 26 of 2020 s. 27.]</w:t>
      </w:r>
    </w:p>
    <w:p>
      <w:pPr>
        <w:pStyle w:val="Heading5"/>
      </w:pPr>
      <w:bookmarkStart w:id="52" w:name="_Toc155165875"/>
      <w:r>
        <w:rPr>
          <w:rStyle w:val="CharSectno"/>
        </w:rPr>
        <w:t>43</w:t>
      </w:r>
      <w:r>
        <w:t>.</w:t>
      </w:r>
      <w:r>
        <w:tab/>
        <w:t>Advertising proposed scheme or amendment</w:t>
      </w:r>
      <w:bookmarkEnd w:id="52"/>
    </w:p>
    <w:p>
      <w:pPr>
        <w:pStyle w:val="Subsection"/>
      </w:pPr>
      <w:r>
        <w:tab/>
      </w:r>
      <w:r>
        <w:tab/>
        <w:t xml:space="preserve">After preparing a proposed region planning scheme or a proposed amendment to a region planning scheme, and complying with sections 38 and 39 (if applicable) in relation to </w:t>
      </w:r>
      <w:r>
        <w:lastRenderedPageBreak/>
        <w:t xml:space="preserve">the proposed scheme or amendment, the Commission must, in accordance with the regulations — </w:t>
      </w:r>
    </w:p>
    <w:p>
      <w:pPr>
        <w:pStyle w:val="Indenta"/>
      </w:pPr>
      <w:r>
        <w:tab/>
        <w:t>(a)</w:t>
      </w:r>
      <w:r>
        <w:tab/>
        <w:t>advertise the proposed scheme or amendment for public inspection; and</w:t>
      </w:r>
    </w:p>
    <w:p>
      <w:pPr>
        <w:pStyle w:val="Indenta"/>
      </w:pPr>
      <w:r>
        <w:tab/>
        <w:t>(b)</w:t>
      </w:r>
      <w:r>
        <w:tab/>
        <w:t>consider public submissions made on the proposed scheme or amendment.</w:t>
      </w:r>
    </w:p>
    <w:p>
      <w:pPr>
        <w:pStyle w:val="Footnotesection"/>
      </w:pPr>
      <w:r>
        <w:tab/>
        <w:t>[Section 43 inserted: No. 26 of 2020 s. 27.]</w:t>
      </w:r>
    </w:p>
    <w:p>
      <w:pPr>
        <w:pStyle w:val="Ednotesection"/>
      </w:pPr>
      <w:r>
        <w:t>[</w:t>
      </w:r>
      <w:r>
        <w:rPr>
          <w:b/>
        </w:rPr>
        <w:t>44.</w:t>
      </w:r>
      <w:r>
        <w:tab/>
        <w:t>Deleted: No. 26 of 2020 s. 27.]</w:t>
      </w:r>
    </w:p>
    <w:p>
      <w:pPr>
        <w:pStyle w:val="Heading5"/>
      </w:pPr>
      <w:bookmarkStart w:id="53" w:name="_Toc155165876"/>
      <w:r>
        <w:rPr>
          <w:rStyle w:val="CharSectno"/>
        </w:rPr>
        <w:t>45</w:t>
      </w:r>
      <w:r>
        <w:t>.</w:t>
      </w:r>
      <w:r>
        <w:tab/>
        <w:t>Commission’s duties if proposed scheme or amendment is to be assessed under EP Act</w:t>
      </w:r>
      <w:bookmarkEnd w:id="53"/>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a proposed scheme or proposed amendment referred to the EPA under section 38 should be assessed by the EPA under Part IV Division 3 of the EP Act, the Commission is to — </w:t>
      </w:r>
    </w:p>
    <w:p>
      <w:pPr>
        <w:pStyle w:val="Indenta"/>
      </w:pPr>
      <w:r>
        <w:tab/>
        <w:t>(a)</w:t>
      </w:r>
      <w:r>
        <w:tab/>
        <w:t xml:space="preserve">as soon as practicable, but in any event within 7 days after the expiry of the period during which the proposed scheme or proposed amendment is advertised under section 43, transmit to the EPA a copy of each submission — </w:t>
      </w:r>
    </w:p>
    <w:p>
      <w:pPr>
        <w:pStyle w:val="Indenti"/>
      </w:pPr>
      <w:r>
        <w:tab/>
        <w:t>(i)</w:t>
      </w:r>
      <w:r>
        <w:tab/>
        <w:t>made during that period; and</w:t>
      </w:r>
    </w:p>
    <w:p>
      <w:pPr>
        <w:pStyle w:val="Indenti"/>
      </w:pPr>
      <w:r>
        <w:tab/>
        <w:t>(ii)</w:t>
      </w:r>
      <w:r>
        <w:tab/>
        <w:t>relating wholly or in part to environmental issues raised by the proposed scheme or proposed amendment;</w:t>
      </w:r>
    </w:p>
    <w:p>
      <w:pPr>
        <w:pStyle w:val="Indenta"/>
      </w:pPr>
      <w:r>
        <w:tab/>
      </w:r>
      <w:r>
        <w:tab/>
        <w:t>and</w:t>
      </w:r>
    </w:p>
    <w:p>
      <w:pPr>
        <w:pStyle w:val="Indenta"/>
      </w:pPr>
      <w:r>
        <w:tab/>
        <w:t>(b)</w:t>
      </w:r>
      <w:r>
        <w:tab/>
        <w:t xml:space="preserve">within 42 days, or such longer period as the Minister allows, after the expiry of the period referred to in paragraph (a), inform the EPA of its views on and </w:t>
      </w:r>
      <w:r>
        <w:lastRenderedPageBreak/>
        <w:t>response to the environmental issues raised by the submissions referred to in paragraph (a) and received within that period.</w:t>
      </w:r>
    </w:p>
    <w:p>
      <w:pPr>
        <w:pStyle w:val="Footnotesection"/>
      </w:pPr>
      <w:r>
        <w:tab/>
        <w:t>[Section 45 amended: No. 26 of 2020 s. 28.]</w:t>
      </w:r>
    </w:p>
    <w:p>
      <w:pPr>
        <w:pStyle w:val="Ednotesection"/>
      </w:pPr>
      <w:r>
        <w:t>[</w:t>
      </w:r>
      <w:r>
        <w:rPr>
          <w:b/>
        </w:rPr>
        <w:t>46.</w:t>
      </w:r>
      <w:r>
        <w:tab/>
        <w:t>Deleted: No. 26 of 2020 s. 29.]</w:t>
      </w:r>
    </w:p>
    <w:p>
      <w:pPr>
        <w:pStyle w:val="Ednotesection"/>
      </w:pPr>
      <w:r>
        <w:t>[</w:t>
      </w:r>
      <w:r>
        <w:rPr>
          <w:b/>
        </w:rPr>
        <w:t>47.</w:t>
      </w:r>
      <w:r>
        <w:tab/>
        <w:t>Deleted: No. 45 of 2020 s. 65.]</w:t>
      </w:r>
    </w:p>
    <w:p>
      <w:pPr>
        <w:pStyle w:val="Heading3"/>
      </w:pPr>
      <w:bookmarkStart w:id="54" w:name="_Toc155165877"/>
      <w:r>
        <w:rPr>
          <w:rStyle w:val="CharDivNo"/>
        </w:rPr>
        <w:t>Division 3</w:t>
      </w:r>
      <w:r>
        <w:t xml:space="preserve"> — </w:t>
      </w:r>
      <w:r>
        <w:rPr>
          <w:rStyle w:val="CharDivText"/>
        </w:rPr>
        <w:t>Submission and approval of region planning schemes or amendment other than minor amendments</w:t>
      </w:r>
      <w:bookmarkEnd w:id="54"/>
    </w:p>
    <w:p>
      <w:pPr>
        <w:pStyle w:val="Footnoteheading"/>
      </w:pPr>
      <w:r>
        <w:tab/>
        <w:t>[Heading inserted: No. 26 of 2020 s. 31.]</w:t>
      </w:r>
    </w:p>
    <w:p>
      <w:pPr>
        <w:pStyle w:val="Heading5"/>
      </w:pPr>
      <w:bookmarkStart w:id="55" w:name="_Toc155165878"/>
      <w:r>
        <w:rPr>
          <w:rStyle w:val="CharSectno"/>
        </w:rPr>
        <w:t>47A</w:t>
      </w:r>
      <w:r>
        <w:t>.</w:t>
      </w:r>
      <w:r>
        <w:tab/>
        <w:t>Region planning scheme or non</w:t>
      </w:r>
      <w:r>
        <w:noBreakHyphen/>
        <w:t>minor amendment to be submitted and approved under this Division</w:t>
      </w:r>
      <w:bookmarkEnd w:id="55"/>
    </w:p>
    <w:p>
      <w:pPr>
        <w:pStyle w:val="Subsection"/>
      </w:pPr>
      <w:r>
        <w:tab/>
      </w:r>
      <w:r>
        <w:tab/>
        <w:t>A proposed region planning scheme, or a proposed amendment to a region planning scheme (other than a proposed amendment to be submitted and approved under Division 4), must be submitted and approved in accordance with this Division.</w:t>
      </w:r>
    </w:p>
    <w:p>
      <w:pPr>
        <w:pStyle w:val="Footnotesection"/>
      </w:pPr>
      <w:r>
        <w:tab/>
        <w:t>[Section 47A inserted: No. 26 of 2020 s. 32.]</w:t>
      </w:r>
    </w:p>
    <w:p>
      <w:pPr>
        <w:pStyle w:val="Heading5"/>
      </w:pPr>
      <w:bookmarkStart w:id="56" w:name="_Toc155165879"/>
      <w:r>
        <w:rPr>
          <w:rStyle w:val="CharSectno"/>
        </w:rPr>
        <w:t>48</w:t>
      </w:r>
      <w:r>
        <w:t>.</w:t>
      </w:r>
      <w:r>
        <w:tab/>
        <w:t>Proposed scheme or amendment and public submissions to be submitted to Minister</w:t>
      </w:r>
      <w:bookmarkEnd w:id="56"/>
    </w:p>
    <w:p>
      <w:pPr>
        <w:pStyle w:val="Subsection"/>
      </w:pPr>
      <w:r>
        <w:tab/>
      </w:r>
      <w:r>
        <w:tab/>
        <w:t xml:space="preserve">After complying with the applicable requirements of Division 2 in relation to a proposed region planning scheme or a proposed amendment to a region planning scheme, the Commission, unless the proposed scheme or amendment has been withdrawn under section 62A, is to submit to the Minister — </w:t>
      </w:r>
    </w:p>
    <w:p>
      <w:pPr>
        <w:pStyle w:val="Indenta"/>
      </w:pPr>
      <w:r>
        <w:tab/>
        <w:t>(a)</w:t>
      </w:r>
      <w:r>
        <w:tab/>
        <w:t>the proposed scheme or amendment, with the modifications, if any, the Commission thinks fit to make, including as a result of public submissions made under regulations made for the purposes of section 43; and</w:t>
      </w:r>
    </w:p>
    <w:p>
      <w:pPr>
        <w:pStyle w:val="Indenta"/>
      </w:pPr>
      <w:r>
        <w:tab/>
        <w:t>(b)</w:t>
      </w:r>
      <w:r>
        <w:tab/>
        <w:t>a copy of each of those submissions; and</w:t>
      </w:r>
    </w:p>
    <w:p>
      <w:pPr>
        <w:pStyle w:val="Indenta"/>
      </w:pPr>
      <w:r>
        <w:lastRenderedPageBreak/>
        <w:tab/>
        <w:t>(c)</w:t>
      </w:r>
      <w:r>
        <w:tab/>
        <w:t>a report by the Commission on those submissions.</w:t>
      </w:r>
    </w:p>
    <w:p>
      <w:pPr>
        <w:pStyle w:val="Footnotesection"/>
      </w:pPr>
      <w:r>
        <w:tab/>
        <w:t>[Section 48 inserted: No. 26 of 2020 s. 33.]</w:t>
      </w:r>
    </w:p>
    <w:p>
      <w:pPr>
        <w:pStyle w:val="Ednotesection"/>
      </w:pPr>
      <w:r>
        <w:t>[</w:t>
      </w:r>
      <w:r>
        <w:rPr>
          <w:b/>
        </w:rPr>
        <w:t>49.</w:t>
      </w:r>
      <w:r>
        <w:tab/>
        <w:t>Deleted: No. 26 of 2020 s. 33.]</w:t>
      </w:r>
    </w:p>
    <w:p>
      <w:pPr>
        <w:pStyle w:val="Heading5"/>
      </w:pPr>
      <w:bookmarkStart w:id="57" w:name="_Toc155165880"/>
      <w:r>
        <w:rPr>
          <w:rStyle w:val="CharSectno"/>
        </w:rPr>
        <w:t>50</w:t>
      </w:r>
      <w:r>
        <w:t>.</w:t>
      </w:r>
      <w:r>
        <w:tab/>
        <w:t>When Minister may submit proposed scheme or amendment for Governor’s approval</w:t>
      </w:r>
      <w:bookmarkEnd w:id="57"/>
    </w:p>
    <w:p>
      <w:pPr>
        <w:pStyle w:val="Subsection"/>
        <w:keepNext/>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58" w:name="_Toc155165881"/>
      <w:r>
        <w:rPr>
          <w:rStyle w:val="CharSectno"/>
        </w:rPr>
        <w:t>51</w:t>
      </w:r>
      <w:r>
        <w:t>.</w:t>
      </w:r>
      <w:r>
        <w:tab/>
        <w:t>Minister may direct proposed scheme or amendment to be republicised</w:t>
      </w:r>
      <w:bookmarkEnd w:id="58"/>
    </w:p>
    <w:p>
      <w:pPr>
        <w:pStyle w:val="Subsection"/>
      </w:pPr>
      <w:r>
        <w:tab/>
        <w:t>(1)</w:t>
      </w:r>
      <w:r>
        <w:tab/>
        <w:t xml:space="preserve">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advertise the scheme or amendment as so modified, or that </w:t>
      </w:r>
      <w:r>
        <w:lastRenderedPageBreak/>
        <w:t>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Footnotesection"/>
      </w:pPr>
      <w:r>
        <w:tab/>
        <w:t>[Section 51 amended: No. 26 of 2020 s. 34.]</w:t>
      </w:r>
    </w:p>
    <w:p>
      <w:pPr>
        <w:pStyle w:val="Heading5"/>
      </w:pPr>
      <w:bookmarkStart w:id="59" w:name="_Toc155165882"/>
      <w:r>
        <w:rPr>
          <w:rStyle w:val="CharSectno"/>
        </w:rPr>
        <w:t>52</w:t>
      </w:r>
      <w:r>
        <w:t>.</w:t>
      </w:r>
      <w:r>
        <w:tab/>
        <w:t>Modifications to proposed scheme or amendment, procedure on</w:t>
      </w:r>
      <w:bookmarkEnd w:id="59"/>
    </w:p>
    <w:p>
      <w:pPr>
        <w:pStyle w:val="Subsection"/>
        <w:keepNext/>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the regulations.</w:t>
      </w:r>
    </w:p>
    <w:p>
      <w:pPr>
        <w:pStyle w:val="Ednotesubsection"/>
      </w:pPr>
      <w:r>
        <w:tab/>
        <w:t>[(3)</w:t>
      </w:r>
      <w:r>
        <w:tab/>
        <w:t>deleted]</w:t>
      </w:r>
    </w:p>
    <w:p>
      <w:pPr>
        <w:pStyle w:val="Footnotesection"/>
      </w:pPr>
      <w:r>
        <w:tab/>
        <w:t>[Section 52 amended: No. 26 of 2020 s. 35.]</w:t>
      </w:r>
    </w:p>
    <w:p>
      <w:pPr>
        <w:pStyle w:val="Heading5"/>
        <w:spacing w:before="240"/>
      </w:pPr>
      <w:bookmarkStart w:id="60" w:name="_Toc155165883"/>
      <w:r>
        <w:rPr>
          <w:rStyle w:val="CharSectno"/>
        </w:rPr>
        <w:t>53</w:t>
      </w:r>
      <w:r>
        <w:t>.</w:t>
      </w:r>
      <w:r>
        <w:tab/>
        <w:t>Approval of Governor</w:t>
      </w:r>
      <w:bookmarkEnd w:id="60"/>
    </w:p>
    <w:p>
      <w:pPr>
        <w:pStyle w:val="Subsection"/>
      </w:pPr>
      <w:r>
        <w:tab/>
        <w:t>(1)</w:t>
      </w:r>
      <w:r>
        <w:tab/>
        <w:t>If the Minister has not withdrawn the scheme or amendment under section 62A,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Footnotesection"/>
      </w:pPr>
      <w:r>
        <w:tab/>
        <w:t>[Section 53 amended: No. 26 of 2020 s. 36.]</w:t>
      </w:r>
    </w:p>
    <w:p>
      <w:pPr>
        <w:pStyle w:val="Heading5"/>
      </w:pPr>
      <w:bookmarkStart w:id="61" w:name="_Toc155165884"/>
      <w:r>
        <w:rPr>
          <w:rStyle w:val="CharSectno"/>
        </w:rPr>
        <w:lastRenderedPageBreak/>
        <w:t>54</w:t>
      </w:r>
      <w:r>
        <w:t>.</w:t>
      </w:r>
      <w:r>
        <w:tab/>
        <w:t>Publicising approved scheme or amendment</w:t>
      </w:r>
      <w:bookmarkEnd w:id="61"/>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62" w:name="_Toc155165885"/>
      <w:r>
        <w:rPr>
          <w:rStyle w:val="CharSectno"/>
        </w:rPr>
        <w:t>55</w:t>
      </w:r>
      <w:r>
        <w:t>.</w:t>
      </w:r>
      <w:r>
        <w:tab/>
        <w:t>Revoking approval of scheme or amendment</w:t>
      </w:r>
      <w:bookmarkEnd w:id="62"/>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lastRenderedPageBreak/>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63" w:name="_Toc155165886"/>
      <w:r>
        <w:rPr>
          <w:rStyle w:val="CharSectno"/>
        </w:rPr>
        <w:t>56</w:t>
      </w:r>
      <w:r>
        <w:t>.</w:t>
      </w:r>
      <w:r>
        <w:tab/>
        <w:t>Parliament may disallow scheme or amendment</w:t>
      </w:r>
      <w:bookmarkEnd w:id="63"/>
    </w:p>
    <w:p>
      <w:pPr>
        <w:pStyle w:val="Subsection"/>
        <w:keepNext/>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64" w:name="_Toc155165887"/>
      <w:r>
        <w:rPr>
          <w:rStyle w:val="CharDivNo"/>
        </w:rPr>
        <w:lastRenderedPageBreak/>
        <w:t>Division 4</w:t>
      </w:r>
      <w:r>
        <w:t> — </w:t>
      </w:r>
      <w:r>
        <w:rPr>
          <w:rStyle w:val="CharDivText"/>
        </w:rPr>
        <w:t>Submission and approval of minor amendments to region planning schemes</w:t>
      </w:r>
      <w:bookmarkEnd w:id="64"/>
    </w:p>
    <w:p>
      <w:pPr>
        <w:pStyle w:val="Footnoteheading"/>
      </w:pPr>
      <w:r>
        <w:tab/>
        <w:t>[Heading inserted: No. 26 of 2020 s. 37.]</w:t>
      </w:r>
    </w:p>
    <w:p>
      <w:pPr>
        <w:pStyle w:val="Heading5"/>
      </w:pPr>
      <w:bookmarkStart w:id="65" w:name="_Toc155165888"/>
      <w:r>
        <w:rPr>
          <w:rStyle w:val="CharSectno"/>
        </w:rPr>
        <w:t>56A</w:t>
      </w:r>
      <w:r>
        <w:t>.</w:t>
      </w:r>
      <w:r>
        <w:tab/>
        <w:t>Term used: minor region planning scheme amendment</w:t>
      </w:r>
      <w:bookmarkEnd w:id="65"/>
    </w:p>
    <w:p>
      <w:pPr>
        <w:pStyle w:val="Subsection"/>
      </w:pPr>
      <w:r>
        <w:tab/>
      </w:r>
      <w:r>
        <w:tab/>
        <w:t xml:space="preserve">In this Division — </w:t>
      </w:r>
    </w:p>
    <w:p>
      <w:pPr>
        <w:pStyle w:val="Defstart"/>
      </w:pPr>
      <w:r>
        <w:tab/>
      </w:r>
      <w:r>
        <w:rPr>
          <w:rStyle w:val="CharDefText"/>
        </w:rPr>
        <w:t>minor region planning scheme amendment</w:t>
      </w:r>
      <w:r>
        <w:t xml:space="preserve"> means an amendment to a region planning scheme that does not, in the opinion of the Commission, constitute a substantial alteration to the region planning scheme.</w:t>
      </w:r>
    </w:p>
    <w:p>
      <w:pPr>
        <w:pStyle w:val="Footnotesection"/>
      </w:pPr>
      <w:r>
        <w:tab/>
        <w:t>[Section 56A inserted: No. 26 of 2020 s. 38.]</w:t>
      </w:r>
    </w:p>
    <w:p>
      <w:pPr>
        <w:pStyle w:val="Heading5"/>
      </w:pPr>
      <w:bookmarkStart w:id="66" w:name="_Toc155165889"/>
      <w:r>
        <w:rPr>
          <w:rStyle w:val="CharSectno"/>
        </w:rPr>
        <w:t>57</w:t>
      </w:r>
      <w:r>
        <w:t>.</w:t>
      </w:r>
      <w:r>
        <w:tab/>
        <w:t>Proposed minor amendment may be submitted and approved under this Division</w:t>
      </w:r>
      <w:bookmarkEnd w:id="66"/>
    </w:p>
    <w:p>
      <w:pPr>
        <w:pStyle w:val="Subsection"/>
      </w:pPr>
      <w:r>
        <w:tab/>
        <w:t>(1)</w:t>
      </w:r>
      <w:r>
        <w:tab/>
        <w:t xml:space="preserve">A proposed minor region planning scheme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Ednotesubsection"/>
        <w:keepNext/>
      </w:pPr>
      <w:r>
        <w:tab/>
        <w:t>[(2)</w:t>
      </w:r>
      <w:r>
        <w:tab/>
        <w:t>deleted]</w:t>
      </w:r>
    </w:p>
    <w:p>
      <w:pPr>
        <w:pStyle w:val="Footnotesection"/>
      </w:pPr>
      <w:r>
        <w:tab/>
        <w:t>[Section 57 amended: No. 45 of 2020 s. 68; No. 26 of 2020 s. 39.]</w:t>
      </w:r>
    </w:p>
    <w:p>
      <w:pPr>
        <w:pStyle w:val="Ednotesection"/>
      </w:pPr>
      <w:r>
        <w:t>[</w:t>
      </w:r>
      <w:r>
        <w:rPr>
          <w:b/>
        </w:rPr>
        <w:t>58-60.</w:t>
      </w:r>
      <w:r>
        <w:tab/>
        <w:t>Deleted: No. 26 of 2020 s. 40.]</w:t>
      </w:r>
    </w:p>
    <w:p>
      <w:pPr>
        <w:pStyle w:val="Heading5"/>
      </w:pPr>
      <w:bookmarkStart w:id="67" w:name="_Toc155165890"/>
      <w:r>
        <w:rPr>
          <w:rStyle w:val="CharSectno"/>
        </w:rPr>
        <w:t>61</w:t>
      </w:r>
      <w:r>
        <w:t>.</w:t>
      </w:r>
      <w:r>
        <w:tab/>
        <w:t>Minister not to approve proposed minor amendment in some cases</w:t>
      </w:r>
      <w:bookmarkEnd w:id="67"/>
    </w:p>
    <w:p>
      <w:pPr>
        <w:pStyle w:val="Subsection"/>
        <w:keepNext/>
      </w:pPr>
      <w:r>
        <w:tab/>
      </w:r>
      <w:r>
        <w:tab/>
        <w:t xml:space="preserve">The Minister is not to approve under section 62(1) a proposed minor region planning scheme amendment referred to the EPA under section 38 if the Minister has reached agreement with the </w:t>
      </w:r>
      <w:r>
        <w:lastRenderedPageBreak/>
        <w:t xml:space="preserve">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Footnotesection"/>
      </w:pPr>
      <w:r>
        <w:tab/>
        <w:t>[Section 61 amended: No. 26 of 2020 s. 41.]</w:t>
      </w:r>
    </w:p>
    <w:p>
      <w:pPr>
        <w:pStyle w:val="Heading5"/>
      </w:pPr>
      <w:bookmarkStart w:id="68" w:name="_Toc155165891"/>
      <w:r>
        <w:rPr>
          <w:rStyle w:val="CharSectno"/>
        </w:rPr>
        <w:t>62</w:t>
      </w:r>
      <w:r>
        <w:t>.</w:t>
      </w:r>
      <w:r>
        <w:tab/>
        <w:t>Minister may approve or decline to approve minor amendment</w:t>
      </w:r>
      <w:bookmarkEnd w:id="68"/>
    </w:p>
    <w:p>
      <w:pPr>
        <w:pStyle w:val="Subsection"/>
      </w:pPr>
      <w:r>
        <w:tab/>
        <w:t>(1A)</w:t>
      </w:r>
      <w:r>
        <w:tab/>
        <w:t xml:space="preserve">After complying with the applicable requirements of Division 2 in relation to a proposed minor region planning scheme amendment, the Commission must, unless the proposed amendment has been withdrawn under section 62A, submit to the Minister — </w:t>
      </w:r>
    </w:p>
    <w:p>
      <w:pPr>
        <w:pStyle w:val="Indenta"/>
      </w:pPr>
      <w:r>
        <w:tab/>
        <w:t>(a)</w:t>
      </w:r>
      <w:r>
        <w:tab/>
        <w:t>the proposed amendment; and</w:t>
      </w:r>
    </w:p>
    <w:p>
      <w:pPr>
        <w:pStyle w:val="Indenta"/>
      </w:pPr>
      <w:r>
        <w:tab/>
        <w:t>(b)</w:t>
      </w:r>
      <w:r>
        <w:tab/>
        <w:t>a report and recommendation on the proposed amendment.</w:t>
      </w:r>
    </w:p>
    <w:p>
      <w:pPr>
        <w:pStyle w:val="Subsection"/>
      </w:pPr>
      <w:r>
        <w:tab/>
        <w:t>(1)</w:t>
      </w:r>
      <w:r>
        <w:tab/>
        <w:t xml:space="preserve">The Minister may, if a proposed minor region planning scheme amendment is submitted under this section — </w:t>
      </w:r>
    </w:p>
    <w:p>
      <w:pPr>
        <w:pStyle w:val="Indenta"/>
      </w:pPr>
      <w:r>
        <w:tab/>
        <w:t>(a)</w:t>
      </w:r>
      <w:r>
        <w:tab/>
        <w:t>approve the amendment; or</w:t>
      </w:r>
    </w:p>
    <w:p>
      <w:pPr>
        <w:pStyle w:val="Indenta"/>
      </w:pPr>
      <w:r>
        <w:tab/>
        <w:t>(b)</w:t>
      </w:r>
      <w:r>
        <w:tab/>
        <w:t xml:space="preserve">require the Commission to modify the amendment in such manner as the Minister specifies before the </w:t>
      </w:r>
      <w:r>
        <w:lastRenderedPageBreak/>
        <w:t>amendment is resubmitted for the Minister’s approval under this subsection; or</w:t>
      </w:r>
    </w:p>
    <w:p>
      <w:pPr>
        <w:pStyle w:val="Indenta"/>
      </w:pPr>
      <w:r>
        <w:tab/>
        <w:t>(c)</w:t>
      </w:r>
      <w:r>
        <w:tab/>
        <w:t>refuse to approve the amendment.</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has effect on publication under subsection (2) as if it were enacted by this Act.</w:t>
      </w:r>
    </w:p>
    <w:p>
      <w:pPr>
        <w:pStyle w:val="Footnotesection"/>
      </w:pPr>
      <w:r>
        <w:tab/>
        <w:t>[Section 62 amended: No. 26 of 2020 s. 42.]</w:t>
      </w:r>
    </w:p>
    <w:p>
      <w:pPr>
        <w:pStyle w:val="Heading3"/>
      </w:pPr>
      <w:bookmarkStart w:id="69" w:name="_Toc155165892"/>
      <w:r>
        <w:rPr>
          <w:rStyle w:val="CharDivNo"/>
        </w:rPr>
        <w:t>Division 4A</w:t>
      </w:r>
      <w:r>
        <w:t> — </w:t>
      </w:r>
      <w:r>
        <w:rPr>
          <w:rStyle w:val="CharDivText"/>
        </w:rPr>
        <w:t>Withdrawal of region planning scheme or amendment</w:t>
      </w:r>
      <w:bookmarkEnd w:id="69"/>
    </w:p>
    <w:p>
      <w:pPr>
        <w:pStyle w:val="Footnoteheading"/>
      </w:pPr>
      <w:r>
        <w:tab/>
        <w:t>[Heading inserted: No. 26 of 2020 s. 43.]</w:t>
      </w:r>
    </w:p>
    <w:p>
      <w:pPr>
        <w:pStyle w:val="Heading5"/>
      </w:pPr>
      <w:bookmarkStart w:id="70" w:name="_Toc155165893"/>
      <w:r>
        <w:rPr>
          <w:rStyle w:val="CharSectno"/>
        </w:rPr>
        <w:t>62A</w:t>
      </w:r>
      <w:r>
        <w:t>.</w:t>
      </w:r>
      <w:r>
        <w:tab/>
        <w:t>Minister may withdraw or direct withdrawal of proposed scheme or amendment</w:t>
      </w:r>
      <w:bookmarkEnd w:id="70"/>
    </w:p>
    <w:p>
      <w:pPr>
        <w:pStyle w:val="Subsection"/>
      </w:pPr>
      <w:r>
        <w:tab/>
        <w:t>(1)</w:t>
      </w:r>
      <w:r>
        <w:tab/>
        <w:t>The Minister may, if the Minister considers it appropriate, withdraw, or direct the Commission to withdraw, a proposed region planning scheme or proposed amendment to a region planning scheme at any time before the proposed scheme or amendment is presented to the Governor under section 53(1) or submitted to the Minister under section 62.</w:t>
      </w:r>
    </w:p>
    <w:p>
      <w:pPr>
        <w:pStyle w:val="Subsection"/>
      </w:pPr>
      <w:r>
        <w:tab/>
        <w:t>(2)</w:t>
      </w:r>
      <w:r>
        <w:tab/>
        <w:t xml:space="preserve">The Minister must cause notice of the withdrawal of a proposed region planning scheme or amendment under subsection (1) to be published in the </w:t>
      </w:r>
      <w:r>
        <w:rPr>
          <w:i/>
        </w:rPr>
        <w:t>Gazette</w:t>
      </w:r>
      <w:r>
        <w:t>.</w:t>
      </w:r>
    </w:p>
    <w:p>
      <w:pPr>
        <w:pStyle w:val="Footnotesection"/>
      </w:pPr>
      <w:r>
        <w:tab/>
        <w:t>[Section 62A inserted: No. 26 of 2020 s. 43.]</w:t>
      </w:r>
    </w:p>
    <w:p>
      <w:pPr>
        <w:pStyle w:val="Heading3"/>
      </w:pPr>
      <w:bookmarkStart w:id="71" w:name="_Toc155165894"/>
      <w:r>
        <w:rPr>
          <w:rStyle w:val="CharDivNo"/>
        </w:rPr>
        <w:lastRenderedPageBreak/>
        <w:t>Division 5</w:t>
      </w:r>
      <w:r>
        <w:t> — </w:t>
      </w:r>
      <w:r>
        <w:rPr>
          <w:rStyle w:val="CharDivText"/>
        </w:rPr>
        <w:t>Consolidation of region planning scheme</w:t>
      </w:r>
      <w:bookmarkEnd w:id="71"/>
    </w:p>
    <w:p>
      <w:pPr>
        <w:pStyle w:val="Heading5"/>
      </w:pPr>
      <w:bookmarkStart w:id="72" w:name="_Toc155165895"/>
      <w:r>
        <w:rPr>
          <w:rStyle w:val="CharSectno"/>
        </w:rPr>
        <w:t>63</w:t>
      </w:r>
      <w:r>
        <w:t>.</w:t>
      </w:r>
      <w:r>
        <w:tab/>
        <w:t>Minister may direct consolidation</w:t>
      </w:r>
      <w:bookmarkEnd w:id="72"/>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73" w:name="_Toc155165896"/>
      <w:r>
        <w:rPr>
          <w:rStyle w:val="CharSectno"/>
        </w:rPr>
        <w:t>64</w:t>
      </w:r>
      <w:r>
        <w:t>.</w:t>
      </w:r>
      <w:r>
        <w:tab/>
        <w:t>Maps, plans, diagrams may be added or substituted</w:t>
      </w:r>
      <w:bookmarkEnd w:id="73"/>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Lines w:val="0"/>
      </w:pPr>
      <w:bookmarkStart w:id="74" w:name="_Toc155165897"/>
      <w:r>
        <w:rPr>
          <w:rStyle w:val="CharSectno"/>
        </w:rPr>
        <w:lastRenderedPageBreak/>
        <w:t>65</w:t>
      </w:r>
      <w:r>
        <w:t>.</w:t>
      </w:r>
      <w:r>
        <w:tab/>
        <w:t>Certification and delivery of consolidation</w:t>
      </w:r>
      <w:bookmarkEnd w:id="74"/>
    </w:p>
    <w:p>
      <w:pPr>
        <w:pStyle w:val="Subsection"/>
        <w:keepNext/>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75" w:name="_Toc155165898"/>
      <w:r>
        <w:rPr>
          <w:rStyle w:val="CharSectno"/>
        </w:rPr>
        <w:t>66</w:t>
      </w:r>
      <w:r>
        <w:t>.</w:t>
      </w:r>
      <w:r>
        <w:tab/>
        <w:t>Proof of consolidation</w:t>
      </w:r>
      <w:bookmarkEnd w:id="75"/>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76" w:name="_Toc155165899"/>
      <w:r>
        <w:rPr>
          <w:rStyle w:val="CharSectno"/>
        </w:rPr>
        <w:t>67</w:t>
      </w:r>
      <w:r>
        <w:t>.</w:t>
      </w:r>
      <w:r>
        <w:tab/>
        <w:t>Consolidation of portion of region planning scheme</w:t>
      </w:r>
      <w:bookmarkEnd w:id="76"/>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77" w:name="_Toc155165900"/>
      <w:r>
        <w:rPr>
          <w:rStyle w:val="CharPartNo"/>
        </w:rPr>
        <w:lastRenderedPageBreak/>
        <w:t>Part 5</w:t>
      </w:r>
      <w:r>
        <w:t> — </w:t>
      </w:r>
      <w:r>
        <w:rPr>
          <w:rStyle w:val="CharPartText"/>
        </w:rPr>
        <w:t>Local planning schemes</w:t>
      </w:r>
      <w:bookmarkEnd w:id="77"/>
    </w:p>
    <w:p>
      <w:pPr>
        <w:pStyle w:val="Heading3"/>
      </w:pPr>
      <w:bookmarkStart w:id="78" w:name="_Toc155165901"/>
      <w:r>
        <w:rPr>
          <w:rStyle w:val="CharDivNo"/>
        </w:rPr>
        <w:t>Division 1</w:t>
      </w:r>
      <w:r>
        <w:t> — </w:t>
      </w:r>
      <w:r>
        <w:rPr>
          <w:rStyle w:val="CharDivText"/>
        </w:rPr>
        <w:t>Continuation and formulation of local planning schemes</w:t>
      </w:r>
      <w:bookmarkEnd w:id="78"/>
    </w:p>
    <w:p>
      <w:pPr>
        <w:pStyle w:val="Heading5"/>
      </w:pPr>
      <w:bookmarkStart w:id="79" w:name="_Toc155165902"/>
      <w:r>
        <w:rPr>
          <w:rStyle w:val="CharSectno"/>
        </w:rPr>
        <w:t>68</w:t>
      </w:r>
      <w:r>
        <w:t>.</w:t>
      </w:r>
      <w:r>
        <w:tab/>
        <w:t>Town planning schemes under repealed Act, effect of</w:t>
      </w:r>
      <w:bookmarkEnd w:id="79"/>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No. 28 of 2010 s. 53.] </w:t>
      </w:r>
    </w:p>
    <w:p>
      <w:pPr>
        <w:pStyle w:val="Heading5"/>
      </w:pPr>
      <w:bookmarkStart w:id="80" w:name="_Toc155165903"/>
      <w:r>
        <w:rPr>
          <w:rStyle w:val="CharSectno"/>
        </w:rPr>
        <w:t>69</w:t>
      </w:r>
      <w:r>
        <w:t>.</w:t>
      </w:r>
      <w:r>
        <w:tab/>
        <w:t>General objects of schemes</w:t>
      </w:r>
      <w:bookmarkEnd w:id="80"/>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No. 28 of 2010 s. 54.] </w:t>
      </w:r>
    </w:p>
    <w:p>
      <w:pPr>
        <w:pStyle w:val="Heading5"/>
        <w:spacing w:before="180"/>
      </w:pPr>
      <w:bookmarkStart w:id="81" w:name="_Toc155165904"/>
      <w:r>
        <w:rPr>
          <w:rStyle w:val="CharSectno"/>
        </w:rPr>
        <w:lastRenderedPageBreak/>
        <w:t>70</w:t>
      </w:r>
      <w:r>
        <w:t>.</w:t>
      </w:r>
      <w:r>
        <w:tab/>
        <w:t>Scheme may be made for land outside scheme or be concurrent with another scheme</w:t>
      </w:r>
      <w:bookmarkEnd w:id="81"/>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82" w:name="_Toc155165905"/>
      <w:r>
        <w:rPr>
          <w:rStyle w:val="CharSectno"/>
        </w:rPr>
        <w:t>71</w:t>
      </w:r>
      <w:r>
        <w:t>.</w:t>
      </w:r>
      <w:r>
        <w:tab/>
        <w:t>Scheme not to apply to redevelopment area or Swan Valley</w:t>
      </w:r>
      <w:bookmarkEnd w:id="82"/>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 or</w:t>
      </w:r>
    </w:p>
    <w:p>
      <w:pPr>
        <w:pStyle w:val="Indenta"/>
      </w:pPr>
      <w:r>
        <w:tab/>
        <w:t>(c)</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pPr>
      <w:r>
        <w:tab/>
        <w:t>[Section 71 inserted: No. 45 of 2011 s. 141(5); amended: No. 45 of 2020 s. 69.]</w:t>
      </w:r>
    </w:p>
    <w:p>
      <w:pPr>
        <w:pStyle w:val="Heading5"/>
        <w:spacing w:before="240"/>
      </w:pPr>
      <w:bookmarkStart w:id="83" w:name="_Toc155165906"/>
      <w:r>
        <w:rPr>
          <w:rStyle w:val="CharSectno"/>
        </w:rPr>
        <w:lastRenderedPageBreak/>
        <w:t>72</w:t>
      </w:r>
      <w:r>
        <w:t>.</w:t>
      </w:r>
      <w:r>
        <w:tab/>
        <w:t>Local government may prepare or adopt scheme</w:t>
      </w:r>
      <w:bookmarkEnd w:id="83"/>
    </w:p>
    <w:p>
      <w:pPr>
        <w:pStyle w:val="Subsection"/>
        <w:keepNext/>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84" w:name="_Toc155165907"/>
      <w:r>
        <w:rPr>
          <w:rStyle w:val="CharSectno"/>
        </w:rPr>
        <w:t>73</w:t>
      </w:r>
      <w:r>
        <w:t>.</w:t>
      </w:r>
      <w:r>
        <w:tab/>
        <w:t>Contents of scheme</w:t>
      </w:r>
      <w:bookmarkEnd w:id="84"/>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keepNext/>
      </w:pPr>
      <w:r>
        <w:lastRenderedPageBreak/>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No. 28 of 2010 s. 55.] </w:t>
      </w:r>
    </w:p>
    <w:p>
      <w:pPr>
        <w:pStyle w:val="Heading5"/>
        <w:spacing w:before="180"/>
      </w:pPr>
      <w:bookmarkStart w:id="85" w:name="_Toc155165908"/>
      <w:r>
        <w:rPr>
          <w:rStyle w:val="CharSectno"/>
        </w:rPr>
        <w:t>74</w:t>
      </w:r>
      <w:r>
        <w:t>.</w:t>
      </w:r>
      <w:r>
        <w:tab/>
        <w:t>Repealing scheme</w:t>
      </w:r>
      <w:bookmarkEnd w:id="85"/>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86" w:name="_Toc155165909"/>
      <w:r>
        <w:rPr>
          <w:rStyle w:val="CharSectno"/>
        </w:rPr>
        <w:t>75</w:t>
      </w:r>
      <w:r>
        <w:t>.</w:t>
      </w:r>
      <w:r>
        <w:tab/>
        <w:t>Amending scheme</w:t>
      </w:r>
      <w:bookmarkEnd w:id="86"/>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87" w:name="_Toc155165910"/>
      <w:r>
        <w:rPr>
          <w:rStyle w:val="CharDivNo"/>
        </w:rPr>
        <w:lastRenderedPageBreak/>
        <w:t>Division 2</w:t>
      </w:r>
      <w:r>
        <w:t> — </w:t>
      </w:r>
      <w:r>
        <w:rPr>
          <w:rStyle w:val="CharDivText"/>
        </w:rPr>
        <w:t>Minister’s powers in relation to local planning schemes</w:t>
      </w:r>
      <w:bookmarkEnd w:id="87"/>
    </w:p>
    <w:p>
      <w:pPr>
        <w:pStyle w:val="Heading5"/>
        <w:spacing w:before="180"/>
      </w:pPr>
      <w:bookmarkStart w:id="88" w:name="_Toc155165911"/>
      <w:r>
        <w:rPr>
          <w:rStyle w:val="CharSectno"/>
        </w:rPr>
        <w:t>76</w:t>
      </w:r>
      <w:r>
        <w:t>.</w:t>
      </w:r>
      <w:r>
        <w:tab/>
        <w:t>Minister may order local government to prepare or adopt scheme or amendment</w:t>
      </w:r>
      <w:bookmarkEnd w:id="88"/>
    </w:p>
    <w:p>
      <w:pPr>
        <w:pStyle w:val="Subsection"/>
      </w:pPr>
      <w:r>
        <w:tab/>
        <w:t>(1A)</w:t>
      </w:r>
      <w:r>
        <w:tab/>
        <w:t xml:space="preserve">Subsection (1) applies if the Minister is satisfied on any representation that a local government — </w:t>
      </w:r>
    </w:p>
    <w:p>
      <w:pPr>
        <w:pStyle w:val="Indenta"/>
      </w:pPr>
      <w:r>
        <w:tab/>
        <w:t>(a)</w:t>
      </w:r>
      <w:r>
        <w:tab/>
        <w:t>has failed to prepare a local planning scheme, or an amendment to a local planning scheme, where one ought to be prepared; or</w:t>
      </w:r>
    </w:p>
    <w:p>
      <w:pPr>
        <w:pStyle w:val="Indenta"/>
      </w:pPr>
      <w:r>
        <w:tab/>
        <w:t>(b)</w:t>
      </w:r>
      <w:r>
        <w:tab/>
        <w:t>has failed to adopt a local planning scheme, or an amendment to a local planning scheme, where one ought to be adopted; or</w:t>
      </w:r>
    </w:p>
    <w:p>
      <w:pPr>
        <w:pStyle w:val="Indenta"/>
      </w:pPr>
      <w:r>
        <w:tab/>
        <w:t>(c)</w:t>
      </w:r>
      <w:r>
        <w:tab/>
        <w:t>has failed to take a requisite step for getting approval for a local planning scheme, or an amendment to a local planning scheme, that has been prepared or adopted by the local government where that step ought to be taken; or</w:t>
      </w:r>
    </w:p>
    <w:p>
      <w:pPr>
        <w:pStyle w:val="Indenta"/>
      </w:pPr>
      <w:r>
        <w:tab/>
        <w:t>(d)</w:t>
      </w:r>
      <w:r>
        <w:tab/>
        <w:t>without limiting paragraph (c), has failed to give effect to any decision of the Minister under section 87(2)(b).</w:t>
      </w:r>
    </w:p>
    <w:p>
      <w:pPr>
        <w:pStyle w:val="Subsection"/>
      </w:pPr>
      <w:r>
        <w:tab/>
        <w:t>(1)</w:t>
      </w:r>
      <w:r>
        <w:tab/>
        <w:t xml:space="preserve">The Minister may order the local government, within such time as is specified in the order, as the case requires — </w:t>
      </w:r>
    </w:p>
    <w:p>
      <w:pPr>
        <w:pStyle w:val="Indenta"/>
      </w:pPr>
      <w:r>
        <w:tab/>
        <w:t>(a)</w:t>
      </w:r>
      <w:r>
        <w:tab/>
        <w:t>to prepare and submit to the Minister a local planning scheme or an amendment to a local planning scheme; or</w:t>
      </w:r>
    </w:p>
    <w:p>
      <w:pPr>
        <w:pStyle w:val="Indenta"/>
      </w:pPr>
      <w:r>
        <w:tab/>
        <w:t>(b)</w:t>
      </w:r>
      <w:r>
        <w:tab/>
        <w:t>to adopt and submit to the Minister a local planning scheme or an amendment to a local planning scheme; or</w:t>
      </w:r>
    </w:p>
    <w:p>
      <w:pPr>
        <w:pStyle w:val="Indenta"/>
      </w:pPr>
      <w:r>
        <w:tab/>
        <w:t>(c)</w:t>
      </w:r>
      <w:r>
        <w:tab/>
        <w:t>to take the requisite step referred to in subsection (1A)(c); or</w:t>
      </w:r>
    </w:p>
    <w:p>
      <w:pPr>
        <w:pStyle w:val="Indenta"/>
      </w:pPr>
      <w:r>
        <w:tab/>
        <w:t>(d)</w:t>
      </w:r>
      <w:r>
        <w:tab/>
        <w:t>to give effect to the decision referred to in subsection (1A)(d).</w:t>
      </w:r>
    </w:p>
    <w:p>
      <w:pPr>
        <w:pStyle w:val="Subsection"/>
        <w:spacing w:before="120"/>
      </w:pPr>
      <w:r>
        <w:tab/>
        <w:t>(2)</w:t>
      </w:r>
      <w:r>
        <w:tab/>
        <w:t xml:space="preserve">If the representation under subsection (1A) is that a local government has failed to adopt a local planning scheme or an amendment to a local planning scheme, the Minister, in lieu of </w:t>
      </w:r>
      <w:r>
        <w:lastRenderedPageBreak/>
        <w:t>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No. 28 of 2010 s. 56(1)-(3); </w:t>
      </w:r>
      <w:r>
        <w:rPr>
          <w:spacing w:val="-4"/>
        </w:rPr>
        <w:t>No. 45 of 2011 s. 1</w:t>
      </w:r>
      <w:r>
        <w:t xml:space="preserve">41(6); No. 26 of 2020 s. 44.] </w:t>
      </w:r>
    </w:p>
    <w:p>
      <w:pPr>
        <w:pStyle w:val="Heading5"/>
      </w:pPr>
      <w:bookmarkStart w:id="89" w:name="_Toc155165912"/>
      <w:r>
        <w:rPr>
          <w:rStyle w:val="CharSectno"/>
        </w:rPr>
        <w:t>77A</w:t>
      </w:r>
      <w:r>
        <w:t>.</w:t>
      </w:r>
      <w:r>
        <w:tab/>
        <w:t>Minister may order local government to amend scheme to be consistent with State planning policy</w:t>
      </w:r>
      <w:bookmarkEnd w:id="89"/>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lastRenderedPageBreak/>
        <w:tab/>
        <w:t>(3)</w:t>
      </w:r>
      <w:r>
        <w:tab/>
        <w:t>The Minister must, as soon as is practicable after the order is given to the local government, cause a copy of the order to be laid before each House of Parliament or dealt with under section 268A.</w:t>
      </w:r>
    </w:p>
    <w:p>
      <w:pPr>
        <w:pStyle w:val="Subsection"/>
        <w:keepNext/>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No. 28 of 2010 s. 46.] </w:t>
      </w:r>
    </w:p>
    <w:p>
      <w:pPr>
        <w:pStyle w:val="Heading3"/>
        <w:spacing w:before="180"/>
      </w:pPr>
      <w:bookmarkStart w:id="90" w:name="_Toc155165913"/>
      <w:r>
        <w:rPr>
          <w:rStyle w:val="CharDivNo"/>
        </w:rPr>
        <w:t>Division 3</w:t>
      </w:r>
      <w:r>
        <w:t> — </w:t>
      </w:r>
      <w:r>
        <w:rPr>
          <w:rStyle w:val="CharDivText"/>
        </w:rPr>
        <w:t>Relevant considerations in preparation or amendment of local planning scheme</w:t>
      </w:r>
      <w:bookmarkEnd w:id="90"/>
    </w:p>
    <w:p>
      <w:pPr>
        <w:pStyle w:val="Heading5"/>
        <w:spacing w:before="180"/>
      </w:pPr>
      <w:bookmarkStart w:id="91" w:name="_Toc155165914"/>
      <w:r>
        <w:rPr>
          <w:rStyle w:val="CharSectno"/>
        </w:rPr>
        <w:t>77</w:t>
      </w:r>
      <w:r>
        <w:t>.</w:t>
      </w:r>
      <w:r>
        <w:tab/>
        <w:t>State planning policies, effect of on scheme</w:t>
      </w:r>
      <w:bookmarkEnd w:id="91"/>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 xml:space="preserve">the scheme is to have effect as if the State planning policy, as from time to time amended, or any subsequent </w:t>
      </w:r>
      <w:r>
        <w:lastRenderedPageBreak/>
        <w:t>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Modifications referred to in subsection (2)(b) prevail over any later amendment of the State planning policy, or subsequent policy referred to in subsection (2)(a), which is inconsistent with the modifications.</w:t>
      </w:r>
    </w:p>
    <w:p>
      <w:pPr>
        <w:pStyle w:val="Ednotesection"/>
      </w:pPr>
      <w:r>
        <w:t>[</w:t>
      </w:r>
      <w:r>
        <w:rPr>
          <w:b/>
        </w:rPr>
        <w:t>78.</w:t>
      </w:r>
      <w:r>
        <w:tab/>
        <w:t>Deleted: No. 45 of 2020 s. 70.]</w:t>
      </w:r>
    </w:p>
    <w:p>
      <w:pPr>
        <w:pStyle w:val="Heading5"/>
        <w:spacing w:before="180"/>
      </w:pPr>
      <w:bookmarkStart w:id="92" w:name="_Toc155165915"/>
      <w:r>
        <w:rPr>
          <w:rStyle w:val="CharSectno"/>
        </w:rPr>
        <w:t>79</w:t>
      </w:r>
      <w:r>
        <w:t>.</w:t>
      </w:r>
      <w:r>
        <w:tab/>
        <w:t>Heritage Council’s advice to be sought in some cases</w:t>
      </w:r>
      <w:bookmarkEnd w:id="92"/>
    </w:p>
    <w:p>
      <w:pPr>
        <w:pStyle w:val="Subsection"/>
        <w:spacing w:before="120"/>
      </w:pPr>
      <w:r>
        <w:tab/>
      </w:r>
      <w:r>
        <w:tab/>
        <w:t xml:space="preserve">If an entry in the register established and maintained under the </w:t>
      </w:r>
      <w:r>
        <w:rPr>
          <w:i/>
        </w:rPr>
        <w:t>Heritage Act 2018</w:t>
      </w:r>
      <w:r>
        <w:t xml:space="preserve"> section 35(1) or in any local heritage survey prepared under section 103(1) of that Act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Footnotesection"/>
        <w:ind w:left="890" w:hanging="890"/>
      </w:pPr>
      <w:r>
        <w:tab/>
        <w:t>[Section 79 amended: No. 22 of 2018 s. 186(4).]</w:t>
      </w:r>
    </w:p>
    <w:p>
      <w:pPr>
        <w:pStyle w:val="Heading5"/>
        <w:keepLines w:val="0"/>
        <w:spacing w:before="180"/>
      </w:pPr>
      <w:bookmarkStart w:id="93" w:name="_Toc155165916"/>
      <w:r>
        <w:rPr>
          <w:rStyle w:val="CharSectno"/>
        </w:rPr>
        <w:t>80</w:t>
      </w:r>
      <w:r>
        <w:t>.</w:t>
      </w:r>
      <w:r>
        <w:tab/>
        <w:t>Swan and Canning Rivers management programme, effect of</w:t>
      </w:r>
      <w:bookmarkEnd w:id="93"/>
    </w:p>
    <w:p>
      <w:pPr>
        <w:pStyle w:val="Subsection"/>
        <w:keepNext/>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w:t>
      </w:r>
      <w:r>
        <w:lastRenderedPageBreak/>
        <w:t>or amending a local planning scheme is to have due regard to that management programme.</w:t>
      </w:r>
    </w:p>
    <w:p>
      <w:pPr>
        <w:pStyle w:val="Footnotesection"/>
        <w:ind w:left="890" w:hanging="890"/>
      </w:pPr>
      <w:r>
        <w:tab/>
        <w:t>[Section 80 amended: No. 52 of 2006 s. 6.]</w:t>
      </w:r>
    </w:p>
    <w:p>
      <w:pPr>
        <w:pStyle w:val="Heading5"/>
      </w:pPr>
      <w:bookmarkStart w:id="94" w:name="_Toc155165917"/>
      <w:r>
        <w:rPr>
          <w:rStyle w:val="CharSectno"/>
        </w:rPr>
        <w:t>81</w:t>
      </w:r>
      <w:r>
        <w:t>.</w:t>
      </w:r>
      <w:r>
        <w:tab/>
        <w:t>Referral of proposed scheme or amendment to EPA</w:t>
      </w:r>
      <w:bookmarkEnd w:id="94"/>
    </w:p>
    <w:p>
      <w:pPr>
        <w:pStyle w:val="Subsection"/>
      </w:pPr>
      <w:r>
        <w:tab/>
        <w:t>(1)</w:t>
      </w:r>
      <w:r>
        <w:tab/>
        <w:t xml:space="preserve">As soon as practicable after preparing, or resolving to adopt, a proposed local planning scheme or a proposed amendment to a local planning scheme, a local government must refer the proposed scheme or amendment to the EPA by giving to the EPA — </w:t>
      </w:r>
    </w:p>
    <w:p>
      <w:pPr>
        <w:pStyle w:val="Indenta"/>
      </w:pPr>
      <w:r>
        <w:tab/>
        <w:t>(a)</w:t>
      </w:r>
      <w:r>
        <w:tab/>
        <w:t>a copy of the proposed scheme or amendment; and</w:t>
      </w:r>
    </w:p>
    <w:p>
      <w:pPr>
        <w:pStyle w:val="Indenta"/>
      </w:pPr>
      <w:r>
        <w:tab/>
        <w:t>(b)</w:t>
      </w:r>
      <w:r>
        <w:tab/>
        <w:t>any other written information about the proposed scheme or amendment that is necessary to enable the EPA to comply with the EP Act section 48A in relation to the proposed scheme or amendment.</w:t>
      </w:r>
    </w:p>
    <w:p>
      <w:pPr>
        <w:pStyle w:val="Subsection"/>
      </w:pPr>
      <w:r>
        <w:tab/>
        <w:t>(2)</w:t>
      </w:r>
      <w:r>
        <w:tab/>
        <w:t>Despite subsection (1), a proposed local planning scheme or amendment to a local planning scheme of a class prescribed by regulations under the EP Act section 48AAA(2) is not required to be referred to the EPA.</w:t>
      </w:r>
    </w:p>
    <w:p>
      <w:pPr>
        <w:pStyle w:val="Footnotesection"/>
      </w:pPr>
      <w:r>
        <w:tab/>
        <w:t>[Section 81 inserted: No. 26 of 2020 s. 45.]</w:t>
      </w:r>
    </w:p>
    <w:p>
      <w:pPr>
        <w:pStyle w:val="Heading5"/>
        <w:spacing w:before="180"/>
      </w:pPr>
      <w:bookmarkStart w:id="95" w:name="_Toc155165918"/>
      <w:r>
        <w:rPr>
          <w:rStyle w:val="CharSectno"/>
        </w:rPr>
        <w:t>82</w:t>
      </w:r>
      <w:r>
        <w:t>.</w:t>
      </w:r>
      <w:r>
        <w:tab/>
        <w:t>Environmental review, when required etc.</w:t>
      </w:r>
      <w:bookmarkEnd w:id="95"/>
    </w:p>
    <w:p>
      <w:pPr>
        <w:pStyle w:val="Subsection"/>
      </w:pPr>
      <w:r>
        <w:tab/>
        <w:t>(1)</w:t>
      </w:r>
      <w:r>
        <w:tab/>
        <w:t>When the EPA has acted under section 48C(1)(a) of the EP Act in relation to a proposed local planning scheme or a proposed amendment to a local planning scheme referred to the EPA under section 81,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keepNext/>
      </w:pPr>
      <w:r>
        <w:lastRenderedPageBreak/>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keepLines/>
      </w:pPr>
      <w:r>
        <w:lastRenderedPageBreak/>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Footnotesection"/>
      </w:pPr>
      <w:r>
        <w:tab/>
        <w:t>[Section 82 amended: No. 26 of 2020 s. 46.]</w:t>
      </w:r>
    </w:p>
    <w:p>
      <w:pPr>
        <w:pStyle w:val="Heading5"/>
        <w:spacing w:before="180"/>
      </w:pPr>
      <w:bookmarkStart w:id="96" w:name="_Toc155165919"/>
      <w:r>
        <w:rPr>
          <w:rStyle w:val="CharSectno"/>
        </w:rPr>
        <w:t>83</w:t>
      </w:r>
      <w:r>
        <w:t>.</w:t>
      </w:r>
      <w:r>
        <w:tab/>
        <w:t>Consultation requirements</w:t>
      </w:r>
      <w:bookmarkEnd w:id="96"/>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97" w:name="_Toc155165920"/>
      <w:r>
        <w:rPr>
          <w:rStyle w:val="CharDivNo"/>
        </w:rPr>
        <w:t>Division 4</w:t>
      </w:r>
      <w:r>
        <w:t> — </w:t>
      </w:r>
      <w:r>
        <w:rPr>
          <w:rStyle w:val="CharDivText"/>
        </w:rPr>
        <w:t>Advertisement and approval</w:t>
      </w:r>
      <w:bookmarkEnd w:id="97"/>
    </w:p>
    <w:p>
      <w:pPr>
        <w:pStyle w:val="Heading5"/>
      </w:pPr>
      <w:bookmarkStart w:id="98" w:name="_Toc155165921"/>
      <w:r>
        <w:rPr>
          <w:rStyle w:val="CharSectno"/>
        </w:rPr>
        <w:t>83A</w:t>
      </w:r>
      <w:r>
        <w:t>.</w:t>
      </w:r>
      <w:r>
        <w:tab/>
        <w:t>Proposed scheme or amendment to be submitted to Minister for approval to advertise</w:t>
      </w:r>
      <w:bookmarkEnd w:id="98"/>
    </w:p>
    <w:p>
      <w:pPr>
        <w:pStyle w:val="Subsection"/>
      </w:pPr>
      <w:r>
        <w:tab/>
        <w:t>(1)</w:t>
      </w:r>
      <w:r>
        <w:tab/>
        <w:t>After preparing, or resolving to adopt, a proposed local planning scheme or a proposed amendment to a local planning scheme, and complying with sections 81 and 82 (if applicable) in relation to the proposed scheme or amendment, a local government must submit the proposed scheme or amendment to the Minister.</w:t>
      </w:r>
    </w:p>
    <w:p>
      <w:pPr>
        <w:pStyle w:val="Subsection"/>
      </w:pPr>
      <w:r>
        <w:lastRenderedPageBreak/>
        <w:tab/>
        <w:t>(2)</w:t>
      </w:r>
      <w:r>
        <w:tab/>
        <w:t xml:space="preserve">The Minister may — </w:t>
      </w:r>
    </w:p>
    <w:p>
      <w:pPr>
        <w:pStyle w:val="Indenta"/>
      </w:pPr>
      <w:r>
        <w:tab/>
        <w:t>(a)</w:t>
      </w:r>
      <w:r>
        <w:tab/>
        <w:t>approve the proposed scheme or amendment for advertising under section 84; or</w:t>
      </w:r>
    </w:p>
    <w:p>
      <w:pPr>
        <w:pStyle w:val="Indenta"/>
      </w:pPr>
      <w:r>
        <w:tab/>
        <w:t>(b)</w:t>
      </w:r>
      <w:r>
        <w:tab/>
        <w:t>require the local government to modify the proposed scheme or amendment in such manner as the Minister specifies and to resubmit the proposed scheme or amendment to the Minister under subsection (1); or</w:t>
      </w:r>
    </w:p>
    <w:p>
      <w:pPr>
        <w:pStyle w:val="Indenta"/>
      </w:pPr>
      <w:r>
        <w:tab/>
        <w:t>(c)</w:t>
      </w:r>
      <w:r>
        <w:tab/>
        <w:t>refuse approval for the proposed scheme or amendment to be advertised under section 84.</w:t>
      </w:r>
    </w:p>
    <w:p>
      <w:pPr>
        <w:pStyle w:val="Subsection"/>
      </w:pPr>
      <w:r>
        <w:tab/>
        <w:t>(3)</w:t>
      </w:r>
      <w:r>
        <w:tab/>
        <w:t>A requirement under subsection (2)(b) may include a requirement that sections 81 and 82 (if applicable) be complied with again in relation to the modified scheme or amendment.</w:t>
      </w:r>
    </w:p>
    <w:p>
      <w:pPr>
        <w:pStyle w:val="Subsection"/>
      </w:pPr>
      <w:r>
        <w:tab/>
        <w:t>(4)</w:t>
      </w:r>
      <w:r>
        <w:tab/>
        <w:t>If approval is refused under subsection (2)(c), the local government cannot proceed with the proposed scheme or amendment.</w:t>
      </w:r>
    </w:p>
    <w:p>
      <w:pPr>
        <w:pStyle w:val="Footnotesection"/>
      </w:pPr>
      <w:r>
        <w:tab/>
        <w:t>[Section 83A inserted: No. 26 of 2020 s. 47.]</w:t>
      </w:r>
    </w:p>
    <w:p>
      <w:pPr>
        <w:pStyle w:val="Heading5"/>
      </w:pPr>
      <w:bookmarkStart w:id="99" w:name="_Toc155165922"/>
      <w:r>
        <w:rPr>
          <w:rStyle w:val="CharSectno"/>
        </w:rPr>
        <w:t>84</w:t>
      </w:r>
      <w:r>
        <w:t>.</w:t>
      </w:r>
      <w:r>
        <w:tab/>
        <w:t>Advertising proposed scheme or amendment</w:t>
      </w:r>
      <w:bookmarkEnd w:id="99"/>
    </w:p>
    <w:p>
      <w:pPr>
        <w:pStyle w:val="Subsection"/>
      </w:pPr>
      <w:r>
        <w:tab/>
      </w:r>
      <w:r>
        <w:tab/>
        <w:t xml:space="preserve">If under section 83A(2)(a) the Minister approves a proposed local planning scheme, or a proposed amendment to a local planning scheme, for advertising under this section, the local government must, in accordance with the regulations — </w:t>
      </w:r>
    </w:p>
    <w:p>
      <w:pPr>
        <w:pStyle w:val="Indenta"/>
      </w:pPr>
      <w:r>
        <w:tab/>
        <w:t>(a)</w:t>
      </w:r>
      <w:r>
        <w:tab/>
        <w:t>advertise the proposed scheme or amendment for public inspection; and</w:t>
      </w:r>
    </w:p>
    <w:p>
      <w:pPr>
        <w:pStyle w:val="Indenta"/>
      </w:pPr>
      <w:r>
        <w:tab/>
        <w:t>(b)</w:t>
      </w:r>
      <w:r>
        <w:tab/>
        <w:t>consider public submissions on the proposed scheme or amendment.</w:t>
      </w:r>
    </w:p>
    <w:p>
      <w:pPr>
        <w:pStyle w:val="Footnotesection"/>
      </w:pPr>
      <w:r>
        <w:tab/>
        <w:t>[Section 84 inserted: No. 26 of 2020 s. 47.]</w:t>
      </w:r>
    </w:p>
    <w:p>
      <w:pPr>
        <w:pStyle w:val="Heading5"/>
        <w:keepNext w:val="0"/>
        <w:keepLines w:val="0"/>
        <w:spacing w:before="180"/>
      </w:pPr>
      <w:bookmarkStart w:id="100" w:name="_Toc155165923"/>
      <w:r>
        <w:rPr>
          <w:rStyle w:val="CharSectno"/>
        </w:rPr>
        <w:t>85</w:t>
      </w:r>
      <w:r>
        <w:t>.</w:t>
      </w:r>
      <w:r>
        <w:tab/>
        <w:t>Local government’s duties if proposed scheme or amendment to be assessed under EP Act</w:t>
      </w:r>
      <w:bookmarkEnd w:id="100"/>
    </w:p>
    <w:p>
      <w:pPr>
        <w:pStyle w:val="Subsection"/>
        <w:widowControl w:val="0"/>
        <w:spacing w:before="120"/>
      </w:pPr>
      <w:r>
        <w:tab/>
        <w:t>(1)</w:t>
      </w:r>
      <w:r>
        <w:tab/>
        <w:t xml:space="preserve">When a local government has been informed under section 48A(1)(b)(i) of the EP Act that a proposed local planning scheme or amendment referred to the EPA under </w:t>
      </w:r>
      <w:r>
        <w:lastRenderedPageBreak/>
        <w:t xml:space="preserve">section 81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Footnotesection"/>
      </w:pPr>
      <w:r>
        <w:tab/>
        <w:t>[Section 85 amended: No. 26 of 2020 s. 48.]</w:t>
      </w:r>
    </w:p>
    <w:p>
      <w:pPr>
        <w:pStyle w:val="Heading5"/>
        <w:spacing w:before="160"/>
      </w:pPr>
      <w:bookmarkStart w:id="101" w:name="_Toc155165924"/>
      <w:r>
        <w:rPr>
          <w:rStyle w:val="CharSectno"/>
        </w:rPr>
        <w:t>86</w:t>
      </w:r>
      <w:r>
        <w:t>.</w:t>
      </w:r>
      <w:r>
        <w:tab/>
        <w:t>Minister not to approve proposed scheme or amendment in some cases</w:t>
      </w:r>
      <w:bookmarkEnd w:id="101"/>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lastRenderedPageBreak/>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102" w:name="_Toc155165925"/>
      <w:r>
        <w:rPr>
          <w:rStyle w:val="CharSectno"/>
        </w:rPr>
        <w:t>87</w:t>
      </w:r>
      <w:r>
        <w:t>.</w:t>
      </w:r>
      <w:r>
        <w:tab/>
        <w:t>Approving and publicising scheme or amendment</w:t>
      </w:r>
      <w:bookmarkEnd w:id="102"/>
    </w:p>
    <w:p>
      <w:pPr>
        <w:pStyle w:val="Subsection"/>
      </w:pPr>
      <w:r>
        <w:tab/>
        <w:t>(1)</w:t>
      </w:r>
      <w:r>
        <w:tab/>
        <w:t>Subject to section 83, after advertisement under section 84 and compliance with sections 85 and 86 (if applicable),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keepNext/>
      </w:pPr>
      <w:r>
        <w:lastRenderedPageBreak/>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No. 28 of 2010 s. 57; No. 26 of 2020 s. 49.] </w:t>
      </w:r>
    </w:p>
    <w:p>
      <w:pPr>
        <w:pStyle w:val="Heading3"/>
      </w:pPr>
      <w:bookmarkStart w:id="103" w:name="_Toc155165926"/>
      <w:r>
        <w:rPr>
          <w:rStyle w:val="CharDivNo"/>
        </w:rPr>
        <w:t>Division 5</w:t>
      </w:r>
      <w:r>
        <w:t> — </w:t>
      </w:r>
      <w:r>
        <w:rPr>
          <w:rStyle w:val="CharDivText"/>
        </w:rPr>
        <w:t>Review of local planning schemes</w:t>
      </w:r>
      <w:bookmarkEnd w:id="103"/>
    </w:p>
    <w:p>
      <w:pPr>
        <w:pStyle w:val="Heading5"/>
      </w:pPr>
      <w:bookmarkStart w:id="104" w:name="_Toc155165927"/>
      <w:r>
        <w:rPr>
          <w:rStyle w:val="CharSectno"/>
        </w:rPr>
        <w:t>88</w:t>
      </w:r>
      <w:r>
        <w:t>.</w:t>
      </w:r>
      <w:r>
        <w:tab/>
        <w:t>Consolidated scheme, when to be prepared</w:t>
      </w:r>
      <w:bookmarkEnd w:id="104"/>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lastRenderedPageBreak/>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105" w:name="_Toc155165928"/>
      <w:r>
        <w:rPr>
          <w:rStyle w:val="CharSectno"/>
        </w:rPr>
        <w:t>89</w:t>
      </w:r>
      <w:r>
        <w:t>.</w:t>
      </w:r>
      <w:r>
        <w:tab/>
        <w:t>Consolidated scheme, public submissions to be sought on</w:t>
      </w:r>
      <w:bookmarkEnd w:id="105"/>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06" w:name="_Toc155165929"/>
      <w:r>
        <w:rPr>
          <w:rStyle w:val="CharSectno"/>
        </w:rPr>
        <w:lastRenderedPageBreak/>
        <w:t>90</w:t>
      </w:r>
      <w:r>
        <w:t>.</w:t>
      </w:r>
      <w:r>
        <w:tab/>
        <w:t>Consolidated scheme, report on operation of required</w:t>
      </w:r>
      <w:bookmarkEnd w:id="106"/>
    </w:p>
    <w:p>
      <w:pPr>
        <w:pStyle w:val="Subsection"/>
      </w:pPr>
      <w:r>
        <w:tab/>
        <w:t>(1)</w:t>
      </w:r>
      <w:r>
        <w:tab/>
        <w:t>Not later than 6 months after preparing a consolidation of a local planning scheme, the local government is to make a report to the Minister on the operation of the scheme.</w:t>
      </w:r>
    </w:p>
    <w:p>
      <w:pPr>
        <w:pStyle w:val="Subsection"/>
        <w:keepNext/>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107" w:name="_Toc155165930"/>
      <w:r>
        <w:rPr>
          <w:rStyle w:val="CharSectno"/>
        </w:rPr>
        <w:t>91</w:t>
      </w:r>
      <w:r>
        <w:t>.</w:t>
      </w:r>
      <w:r>
        <w:tab/>
        <w:t>Procedure if s. 90 report does not recommend change to scheme</w:t>
      </w:r>
      <w:bookmarkEnd w:id="107"/>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w:t>
      </w:r>
      <w:r>
        <w:lastRenderedPageBreak/>
        <w:t>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108" w:name="_Toc155165931"/>
      <w:r>
        <w:rPr>
          <w:rStyle w:val="CharSectno"/>
        </w:rPr>
        <w:t>92</w:t>
      </w:r>
      <w:r>
        <w:t>.</w:t>
      </w:r>
      <w:r>
        <w:tab/>
        <w:t>Procedure if s. 90 report recommends change to scheme</w:t>
      </w:r>
      <w:bookmarkEnd w:id="108"/>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lastRenderedPageBreak/>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09" w:name="_Toc155165932"/>
      <w:r>
        <w:rPr>
          <w:rStyle w:val="CharSectno"/>
        </w:rPr>
        <w:t>93</w:t>
      </w:r>
      <w:r>
        <w:t>.</w:t>
      </w:r>
      <w:r>
        <w:tab/>
        <w:t>Consolidated scheme, effect of publication of</w:t>
      </w:r>
      <w:bookmarkEnd w:id="109"/>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10" w:name="_Toc155165933"/>
      <w:r>
        <w:rPr>
          <w:rStyle w:val="CharSectno"/>
        </w:rPr>
        <w:t>94</w:t>
      </w:r>
      <w:r>
        <w:t>.</w:t>
      </w:r>
      <w:r>
        <w:tab/>
        <w:t>Procedure if new scheme prepared following s. 90 report</w:t>
      </w:r>
      <w:bookmarkEnd w:id="110"/>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lastRenderedPageBreak/>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11" w:name="_Toc155165934"/>
      <w:r>
        <w:rPr>
          <w:rStyle w:val="CharSectno"/>
        </w:rPr>
        <w:t>95</w:t>
      </w:r>
      <w:r>
        <w:t>.</w:t>
      </w:r>
      <w:r>
        <w:tab/>
        <w:t>Procedure if scheme repealed following s. 90 report</w:t>
      </w:r>
      <w:bookmarkEnd w:id="111"/>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12" w:name="_Toc155165935"/>
      <w:r>
        <w:rPr>
          <w:rStyle w:val="CharSectno"/>
        </w:rPr>
        <w:t>96</w:t>
      </w:r>
      <w:r>
        <w:t>.</w:t>
      </w:r>
      <w:r>
        <w:tab/>
        <w:t>Consolidation of 2 or more schemes, when this Div. applies to</w:t>
      </w:r>
      <w:bookmarkEnd w:id="112"/>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113" w:name="_Toc155165936"/>
      <w:r>
        <w:rPr>
          <w:rStyle w:val="CharDivNo"/>
        </w:rPr>
        <w:lastRenderedPageBreak/>
        <w:t>Division 6</w:t>
      </w:r>
      <w:r>
        <w:t> — </w:t>
      </w:r>
      <w:r>
        <w:rPr>
          <w:rStyle w:val="CharDivText"/>
        </w:rPr>
        <w:t>Crown land</w:t>
      </w:r>
      <w:bookmarkEnd w:id="113"/>
    </w:p>
    <w:p>
      <w:pPr>
        <w:pStyle w:val="Heading5"/>
        <w:spacing w:before="180"/>
      </w:pPr>
      <w:bookmarkStart w:id="114" w:name="_Toc155165937"/>
      <w:r>
        <w:rPr>
          <w:rStyle w:val="CharSectno"/>
        </w:rPr>
        <w:t>97</w:t>
      </w:r>
      <w:r>
        <w:t>.</w:t>
      </w:r>
      <w:r>
        <w:tab/>
        <w:t>Schemes for Crown lands</w:t>
      </w:r>
      <w:bookmarkEnd w:id="114"/>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lastRenderedPageBreak/>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15" w:name="_Toc155165938"/>
      <w:r>
        <w:rPr>
          <w:rStyle w:val="CharPartNo"/>
        </w:rPr>
        <w:lastRenderedPageBreak/>
        <w:t>Part 6</w:t>
      </w:r>
      <w:r>
        <w:t> — </w:t>
      </w:r>
      <w:r>
        <w:rPr>
          <w:rStyle w:val="CharPartText"/>
        </w:rPr>
        <w:t>Interim development orders</w:t>
      </w:r>
      <w:bookmarkEnd w:id="115"/>
    </w:p>
    <w:p>
      <w:pPr>
        <w:pStyle w:val="Heading3"/>
      </w:pPr>
      <w:bookmarkStart w:id="116" w:name="_Toc155165939"/>
      <w:r>
        <w:rPr>
          <w:rStyle w:val="CharDivNo"/>
        </w:rPr>
        <w:t>Division 1</w:t>
      </w:r>
      <w:r>
        <w:t> — </w:t>
      </w:r>
      <w:r>
        <w:rPr>
          <w:rStyle w:val="CharDivText"/>
        </w:rPr>
        <w:t>Regional interim development orders</w:t>
      </w:r>
      <w:bookmarkEnd w:id="116"/>
    </w:p>
    <w:p>
      <w:pPr>
        <w:pStyle w:val="Heading5"/>
      </w:pPr>
      <w:bookmarkStart w:id="117" w:name="_Toc155165940"/>
      <w:r>
        <w:rPr>
          <w:rStyle w:val="CharSectno"/>
        </w:rPr>
        <w:t>98</w:t>
      </w:r>
      <w:r>
        <w:t>.</w:t>
      </w:r>
      <w:r>
        <w:tab/>
        <w:t>Making and purpose of order</w:t>
      </w:r>
      <w:bookmarkEnd w:id="117"/>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18" w:name="_Toc155165941"/>
      <w:r>
        <w:rPr>
          <w:rStyle w:val="CharSectno"/>
        </w:rPr>
        <w:lastRenderedPageBreak/>
        <w:t>99</w:t>
      </w:r>
      <w:r>
        <w:t>.</w:t>
      </w:r>
      <w:r>
        <w:tab/>
        <w:t>Contents of order</w:t>
      </w:r>
      <w:bookmarkEnd w:id="118"/>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spacing w:before="140"/>
      </w:pPr>
      <w:r>
        <w:lastRenderedPageBreak/>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19" w:name="_Toc155165942"/>
      <w:r>
        <w:rPr>
          <w:rStyle w:val="CharSectno"/>
        </w:rPr>
        <w:t>100</w:t>
      </w:r>
      <w:r>
        <w:t>.</w:t>
      </w:r>
      <w:r>
        <w:tab/>
        <w:t>Commission to consult local government on some development applications</w:t>
      </w:r>
      <w:bookmarkEnd w:id="119"/>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20" w:name="_Toc155165943"/>
      <w:r>
        <w:rPr>
          <w:rStyle w:val="CharSectno"/>
        </w:rPr>
        <w:t>101</w:t>
      </w:r>
      <w:r>
        <w:t>.</w:t>
      </w:r>
      <w:r>
        <w:tab/>
        <w:t>Restrictions on power to grant development approval</w:t>
      </w:r>
      <w:bookmarkEnd w:id="120"/>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21" w:name="_Toc155165944"/>
      <w:r>
        <w:rPr>
          <w:rStyle w:val="CharDivNo"/>
        </w:rPr>
        <w:t>Division 2</w:t>
      </w:r>
      <w:r>
        <w:t> — </w:t>
      </w:r>
      <w:r>
        <w:rPr>
          <w:rStyle w:val="CharDivText"/>
        </w:rPr>
        <w:t>Local interim development orders</w:t>
      </w:r>
      <w:bookmarkEnd w:id="121"/>
    </w:p>
    <w:p>
      <w:pPr>
        <w:pStyle w:val="Heading5"/>
      </w:pPr>
      <w:bookmarkStart w:id="122" w:name="_Toc155165945"/>
      <w:r>
        <w:rPr>
          <w:rStyle w:val="CharSectno"/>
        </w:rPr>
        <w:t>102</w:t>
      </w:r>
      <w:r>
        <w:t>.</w:t>
      </w:r>
      <w:r>
        <w:tab/>
        <w:t>Making and purpose of order</w:t>
      </w:r>
      <w:bookmarkEnd w:id="122"/>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 xml:space="preserve">If a local planning scheme is already in effect in a district or part of a district and it is proposed to make a further local planning </w:t>
      </w:r>
      <w:r>
        <w:lastRenderedPageBreak/>
        <w:t>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23" w:name="_Toc155165946"/>
      <w:r>
        <w:rPr>
          <w:rStyle w:val="CharSectno"/>
        </w:rPr>
        <w:t>103</w:t>
      </w:r>
      <w:r>
        <w:t>.</w:t>
      </w:r>
      <w:r>
        <w:tab/>
        <w:t>Contents of order</w:t>
      </w:r>
      <w:bookmarkEnd w:id="123"/>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Act 2018 </w:t>
      </w:r>
      <w:r>
        <w:t xml:space="preserve">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keepNext/>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w:t>
      </w:r>
      <w:r>
        <w:lastRenderedPageBreak/>
        <w:t xml:space="preserve">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Footnotesection"/>
        <w:ind w:left="890" w:hanging="890"/>
      </w:pPr>
      <w:r>
        <w:tab/>
        <w:t>[Section 103 amended: No. 22 of 2018 s. 186(5).]</w:t>
      </w:r>
    </w:p>
    <w:p>
      <w:pPr>
        <w:pStyle w:val="Heading3"/>
        <w:spacing w:before="280"/>
      </w:pPr>
      <w:bookmarkStart w:id="124" w:name="_Toc155165947"/>
      <w:r>
        <w:rPr>
          <w:rStyle w:val="CharDivNo"/>
        </w:rPr>
        <w:t>Division 3</w:t>
      </w:r>
      <w:r>
        <w:t> — </w:t>
      </w:r>
      <w:r>
        <w:rPr>
          <w:rStyle w:val="CharDivText"/>
        </w:rPr>
        <w:t>Provisions applying to regional and local interim development orders</w:t>
      </w:r>
      <w:bookmarkEnd w:id="124"/>
    </w:p>
    <w:p>
      <w:pPr>
        <w:pStyle w:val="Heading5"/>
      </w:pPr>
      <w:bookmarkStart w:id="125" w:name="_Toc155165948"/>
      <w:r>
        <w:rPr>
          <w:rStyle w:val="CharSectno"/>
        </w:rPr>
        <w:t>104</w:t>
      </w:r>
      <w:r>
        <w:t>.</w:t>
      </w:r>
      <w:r>
        <w:tab/>
        <w:t>Consultation requirements</w:t>
      </w:r>
      <w:bookmarkEnd w:id="125"/>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lastRenderedPageBreak/>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26" w:name="_Toc155165949"/>
      <w:r>
        <w:rPr>
          <w:rStyle w:val="CharSectno"/>
        </w:rPr>
        <w:t>105</w:t>
      </w:r>
      <w:r>
        <w:t>.</w:t>
      </w:r>
      <w:r>
        <w:tab/>
        <w:t>Publicising interim development order</w:t>
      </w:r>
      <w:bookmarkEnd w:id="126"/>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27" w:name="_Toc155165950"/>
      <w:r>
        <w:rPr>
          <w:rStyle w:val="CharSectno"/>
        </w:rPr>
        <w:lastRenderedPageBreak/>
        <w:t>106</w:t>
      </w:r>
      <w:r>
        <w:t>.</w:t>
      </w:r>
      <w:r>
        <w:tab/>
        <w:t>Administration of interim development order</w:t>
      </w:r>
      <w:bookmarkEnd w:id="127"/>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28" w:name="_Toc155165951"/>
      <w:r>
        <w:rPr>
          <w:rStyle w:val="CharSectno"/>
        </w:rPr>
        <w:t>107</w:t>
      </w:r>
      <w:r>
        <w:t>.</w:t>
      </w:r>
      <w:r>
        <w:tab/>
        <w:t>Effect and duration of interim development order</w:t>
      </w:r>
      <w:bookmarkEnd w:id="128"/>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w:t>
      </w:r>
      <w:r>
        <w:lastRenderedPageBreak/>
        <w:t>exceeding 12 months and may, if the Minister thinks fit, exercise that power of extension more than once.</w:t>
      </w:r>
    </w:p>
    <w:p>
      <w:pPr>
        <w:pStyle w:val="Heading5"/>
      </w:pPr>
      <w:bookmarkStart w:id="129" w:name="_Toc155165952"/>
      <w:r>
        <w:rPr>
          <w:rStyle w:val="CharSectno"/>
        </w:rPr>
        <w:t>108</w:t>
      </w:r>
      <w:r>
        <w:t>.</w:t>
      </w:r>
      <w:r>
        <w:tab/>
        <w:t>Existing lawful development not affected</w:t>
      </w:r>
      <w:bookmarkEnd w:id="129"/>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30" w:name="_Toc155165953"/>
      <w:r>
        <w:rPr>
          <w:rStyle w:val="CharSectno"/>
        </w:rPr>
        <w:t>109</w:t>
      </w:r>
      <w:r>
        <w:t>.</w:t>
      </w:r>
      <w:r>
        <w:tab/>
        <w:t>Amending interim development order</w:t>
      </w:r>
      <w:bookmarkEnd w:id="130"/>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31" w:name="_Toc155165954"/>
      <w:r>
        <w:rPr>
          <w:rStyle w:val="CharSectno"/>
        </w:rPr>
        <w:t>110</w:t>
      </w:r>
      <w:r>
        <w:t>.</w:t>
      </w:r>
      <w:r>
        <w:tab/>
        <w:t>Revoking interim development order</w:t>
      </w:r>
      <w:bookmarkEnd w:id="131"/>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lastRenderedPageBreak/>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32" w:name="_Toc155165955"/>
      <w:r>
        <w:rPr>
          <w:rStyle w:val="CharSectno"/>
        </w:rPr>
        <w:t>111</w:t>
      </w:r>
      <w:r>
        <w:t>.</w:t>
      </w:r>
      <w:r>
        <w:tab/>
        <w:t>Non</w:t>
      </w:r>
      <w:r>
        <w:noBreakHyphen/>
        <w:t>conforming development by local government or public authority, procedure for</w:t>
      </w:r>
      <w:bookmarkEnd w:id="132"/>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lastRenderedPageBreak/>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No. 8 of 2009 s. 100(2).]</w:t>
      </w:r>
    </w:p>
    <w:p>
      <w:pPr>
        <w:pStyle w:val="Heading2"/>
      </w:pPr>
      <w:bookmarkStart w:id="133" w:name="_Toc155165956"/>
      <w:r>
        <w:rPr>
          <w:rStyle w:val="CharPartNo"/>
        </w:rPr>
        <w:lastRenderedPageBreak/>
        <w:t>Part 7</w:t>
      </w:r>
      <w:r>
        <w:rPr>
          <w:rStyle w:val="CharDivNo"/>
        </w:rPr>
        <w:t> </w:t>
      </w:r>
      <w:r>
        <w:t>—</w:t>
      </w:r>
      <w:r>
        <w:rPr>
          <w:rStyle w:val="CharDivText"/>
        </w:rPr>
        <w:t> </w:t>
      </w:r>
      <w:r>
        <w:rPr>
          <w:rStyle w:val="CharPartText"/>
        </w:rPr>
        <w:t>Planning control areas</w:t>
      </w:r>
      <w:bookmarkEnd w:id="133"/>
    </w:p>
    <w:p>
      <w:pPr>
        <w:pStyle w:val="Heading5"/>
      </w:pPr>
      <w:bookmarkStart w:id="134" w:name="_Toc155165957"/>
      <w:r>
        <w:rPr>
          <w:rStyle w:val="CharSectno"/>
        </w:rPr>
        <w:t>112</w:t>
      </w:r>
      <w:r>
        <w:t>.</w:t>
      </w:r>
      <w:r>
        <w:tab/>
        <w:t>Declaration of planning control areas</w:t>
      </w:r>
      <w:bookmarkEnd w:id="134"/>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Ednotesubsection"/>
      </w:pPr>
      <w:r>
        <w:tab/>
        <w:t>[(3)</w:t>
      </w:r>
      <w:r>
        <w:tab/>
        <w:t>deleted]</w:t>
      </w:r>
    </w:p>
    <w:p>
      <w:pPr>
        <w:pStyle w:val="Subsection"/>
      </w:pPr>
      <w:r>
        <w:tab/>
        <w:t>(4)</w:t>
      </w:r>
      <w:r>
        <w:tab/>
        <w:t xml:space="preserve">This Part and the operation of any approval of development granted under this Part have effect subject to the </w:t>
      </w:r>
      <w:r>
        <w:rPr>
          <w:i/>
        </w:rPr>
        <w:t>Heritage Act 2018</w:t>
      </w:r>
      <w:r>
        <w:t xml:space="preserve"> Part 5 Division 2.</w:t>
      </w:r>
    </w:p>
    <w:p>
      <w:pPr>
        <w:pStyle w:val="Subsection"/>
        <w:keepNext/>
      </w:pPr>
      <w:r>
        <w:tab/>
        <w:t>(5)</w:t>
      </w:r>
      <w:r>
        <w:tab/>
        <w:t xml:space="preserve">Where any land is comprised within an area to which the Commission considers that this section should apply and is land to which the </w:t>
      </w:r>
      <w:r>
        <w:rPr>
          <w:i/>
        </w:rPr>
        <w:t xml:space="preserve">Heritage Act 2018 </w:t>
      </w:r>
      <w:r>
        <w:t xml:space="preserve">applies, the Commission is to satisfy the Minister before seeking approval to the declaration of that land as a planning control area that full disclosure has been made to, and consultations concluded with, the Heritage Council </w:t>
      </w:r>
      <w:r>
        <w:lastRenderedPageBreak/>
        <w:t>as to the likely effect of the declaration as regards places to which that Act applies.</w:t>
      </w:r>
    </w:p>
    <w:p>
      <w:pPr>
        <w:pStyle w:val="Footnotesection"/>
      </w:pPr>
      <w:r>
        <w:tab/>
        <w:t xml:space="preserve">[Section 112 amended: No. 52 of 2006 s. 6; No. 28 of 2010 s. 58; </w:t>
      </w:r>
      <w:r>
        <w:rPr>
          <w:spacing w:val="-4"/>
        </w:rPr>
        <w:t>No. 45 of 2011 s. 1</w:t>
      </w:r>
      <w:r>
        <w:t>41(7); No. 22 of 2018 s. 186(6) and (7); No. 45 of 2020 s. 71.]</w:t>
      </w:r>
    </w:p>
    <w:p>
      <w:pPr>
        <w:pStyle w:val="Heading5"/>
      </w:pPr>
      <w:bookmarkStart w:id="135" w:name="_Toc155165958"/>
      <w:r>
        <w:rPr>
          <w:rStyle w:val="CharSectno"/>
        </w:rPr>
        <w:t>113</w:t>
      </w:r>
      <w:r>
        <w:t>.</w:t>
      </w:r>
      <w:r>
        <w:tab/>
        <w:t>Amending or revoking s. 112 declaration</w:t>
      </w:r>
      <w:bookmarkEnd w:id="135"/>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36" w:name="_Toc155165959"/>
      <w:r>
        <w:rPr>
          <w:rStyle w:val="CharSectno"/>
        </w:rPr>
        <w:t>114</w:t>
      </w:r>
      <w:r>
        <w:t>.</w:t>
      </w:r>
      <w:r>
        <w:tab/>
        <w:t>Duration of s. 112 declaration</w:t>
      </w:r>
      <w:bookmarkEnd w:id="136"/>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37" w:name="_Toc155165960"/>
      <w:r>
        <w:rPr>
          <w:rStyle w:val="CharSectno"/>
        </w:rPr>
        <w:t>115</w:t>
      </w:r>
      <w:r>
        <w:t>.</w:t>
      </w:r>
      <w:r>
        <w:tab/>
        <w:t>Development in planning control area, applying for approval of</w:t>
      </w:r>
      <w:bookmarkEnd w:id="137"/>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38" w:name="_Toc155165961"/>
      <w:r>
        <w:rPr>
          <w:rStyle w:val="CharSectno"/>
        </w:rPr>
        <w:lastRenderedPageBreak/>
        <w:t>116</w:t>
      </w:r>
      <w:r>
        <w:t>.</w:t>
      </w:r>
      <w:r>
        <w:tab/>
        <w:t>Commission may approve or refuse s. 115 application</w:t>
      </w:r>
      <w:bookmarkEnd w:id="138"/>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No. 28 of 2010 s. 59.] </w:t>
      </w:r>
    </w:p>
    <w:p>
      <w:pPr>
        <w:pStyle w:val="Heading5"/>
        <w:spacing w:before="240"/>
      </w:pPr>
      <w:bookmarkStart w:id="139" w:name="_Toc155165962"/>
      <w:r>
        <w:rPr>
          <w:rStyle w:val="CharSectno"/>
        </w:rPr>
        <w:t>117</w:t>
      </w:r>
      <w:r>
        <w:t>.</w:t>
      </w:r>
      <w:r>
        <w:tab/>
        <w:t>Commission may revoke approval if development does not conform with it</w:t>
      </w:r>
      <w:bookmarkEnd w:id="139"/>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 xml:space="preserve">the development concerned is carried out in a manner which is not in conformity with that approval, or any </w:t>
      </w:r>
      <w:r>
        <w:lastRenderedPageBreak/>
        <w:t>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40" w:name="_Toc155165963"/>
      <w:r>
        <w:rPr>
          <w:rStyle w:val="CharSectno"/>
        </w:rPr>
        <w:t>118</w:t>
      </w:r>
      <w:r>
        <w:t>.</w:t>
      </w:r>
      <w:r>
        <w:tab/>
        <w:t>Existing lawful development not affected</w:t>
      </w:r>
      <w:bookmarkEnd w:id="140"/>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41" w:name="_Toc155165964"/>
      <w:r>
        <w:rPr>
          <w:rStyle w:val="CharPartNo"/>
        </w:rPr>
        <w:lastRenderedPageBreak/>
        <w:t>Part 8</w:t>
      </w:r>
      <w:r>
        <w:rPr>
          <w:b w:val="0"/>
        </w:rPr>
        <w:t> </w:t>
      </w:r>
      <w:r>
        <w:t>—</w:t>
      </w:r>
      <w:r>
        <w:rPr>
          <w:b w:val="0"/>
        </w:rPr>
        <w:t> </w:t>
      </w:r>
      <w:r>
        <w:rPr>
          <w:rStyle w:val="CharPartText"/>
        </w:rPr>
        <w:t>Improvement plans and schemes</w:t>
      </w:r>
      <w:bookmarkEnd w:id="141"/>
    </w:p>
    <w:p>
      <w:pPr>
        <w:pStyle w:val="Footnoteheading"/>
      </w:pPr>
      <w:r>
        <w:tab/>
        <w:t>[Heading inserted: No. 28 of 2010 s. 9.]</w:t>
      </w:r>
    </w:p>
    <w:p>
      <w:pPr>
        <w:pStyle w:val="Heading3"/>
      </w:pPr>
      <w:bookmarkStart w:id="142" w:name="_Toc155165965"/>
      <w:r>
        <w:rPr>
          <w:rStyle w:val="CharDivNo"/>
        </w:rPr>
        <w:t>Division 1</w:t>
      </w:r>
      <w:r>
        <w:t> — </w:t>
      </w:r>
      <w:r>
        <w:rPr>
          <w:rStyle w:val="CharDivText"/>
        </w:rPr>
        <w:t>Improvement plans</w:t>
      </w:r>
      <w:bookmarkEnd w:id="142"/>
    </w:p>
    <w:p>
      <w:pPr>
        <w:pStyle w:val="Footnoteheading"/>
      </w:pPr>
      <w:r>
        <w:tab/>
        <w:t>[Heading inserted: No. 28 of 2010 s. 9.]</w:t>
      </w:r>
    </w:p>
    <w:p>
      <w:pPr>
        <w:pStyle w:val="Heading5"/>
      </w:pPr>
      <w:bookmarkStart w:id="143" w:name="_Toc155165966"/>
      <w:r>
        <w:rPr>
          <w:rStyle w:val="CharSectno"/>
        </w:rPr>
        <w:t>119</w:t>
      </w:r>
      <w:r>
        <w:t>.</w:t>
      </w:r>
      <w:r>
        <w:tab/>
        <w:t>Preparing and making improvement plan</w:t>
      </w:r>
      <w:bookmarkEnd w:id="143"/>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(2A)</w:t>
      </w:r>
      <w:r>
        <w:tab/>
        <w:t>A recommendation under subsection (1) may relate to land in 1 or more districts.</w:t>
      </w:r>
    </w:p>
    <w:p>
      <w:pPr>
        <w:pStyle w:val="Subsection"/>
        <w:keepNext/>
      </w:pPr>
      <w:r>
        <w:lastRenderedPageBreak/>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 or</w:t>
      </w:r>
    </w:p>
    <w:p>
      <w:pPr>
        <w:pStyle w:val="Indenta"/>
      </w:pPr>
      <w:r>
        <w:tab/>
        <w:t>(d)</w:t>
      </w:r>
      <w:r>
        <w:tab/>
        <w:t>in the Swan Valley.</w:t>
      </w:r>
    </w:p>
    <w:p>
      <w:pPr>
        <w:pStyle w:val="Subsection"/>
      </w:pPr>
      <w:r>
        <w:tab/>
        <w:t>(3B)</w:t>
      </w:r>
      <w:r>
        <w:tab/>
        <w:t xml:space="preserve">Before making a recommendation under subsection (1) in relation to any land, the Commission must consult with — </w:t>
      </w:r>
    </w:p>
    <w:p>
      <w:pPr>
        <w:pStyle w:val="Indenta"/>
      </w:pPr>
      <w:r>
        <w:tab/>
        <w:t>(a)</w:t>
      </w:r>
      <w:r>
        <w:tab/>
        <w:t>the local government for the district in which the land is situated; or</w:t>
      </w:r>
    </w:p>
    <w:p>
      <w:pPr>
        <w:pStyle w:val="Indenta"/>
      </w:pPr>
      <w:r>
        <w:tab/>
        <w:t>(b)</w:t>
      </w:r>
      <w:r>
        <w:tab/>
        <w:t>if the land is situated in more than 1 district — each of the local governments for those districts.</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keepNext/>
      </w:pPr>
      <w:r>
        <w:lastRenderedPageBreak/>
        <w:tab/>
        <w:t>(5)</w:t>
      </w:r>
      <w:r>
        <w:tab/>
        <w:t>Section 195 applies in respect of the acquisition of land included in an improvement plan in force under this section.</w:t>
      </w:r>
    </w:p>
    <w:p>
      <w:pPr>
        <w:pStyle w:val="Footnotesection"/>
      </w:pPr>
      <w:r>
        <w:tab/>
        <w:t xml:space="preserve">[Section 119 amended: No. 28 of 2010 s. 10; </w:t>
      </w:r>
      <w:r>
        <w:rPr>
          <w:spacing w:val="-4"/>
        </w:rPr>
        <w:t>No. 45 of 2011 s. 1</w:t>
      </w:r>
      <w:r>
        <w:t xml:space="preserve">41(8); No. 26 of 2020 s. 97; No. 45 of 2020 s. 72.] </w:t>
      </w:r>
    </w:p>
    <w:p>
      <w:pPr>
        <w:pStyle w:val="Heading5"/>
        <w:spacing w:before="120"/>
      </w:pPr>
      <w:bookmarkStart w:id="144" w:name="_Toc155165967"/>
      <w:r>
        <w:rPr>
          <w:rStyle w:val="CharSectno"/>
        </w:rPr>
        <w:t>120</w:t>
      </w:r>
      <w:r>
        <w:t>.</w:t>
      </w:r>
      <w:r>
        <w:tab/>
        <w:t>Amending or revoking improvement plan</w:t>
      </w:r>
      <w:bookmarkEnd w:id="144"/>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145" w:name="_Toc155165968"/>
      <w:r>
        <w:rPr>
          <w:rStyle w:val="CharSectno"/>
        </w:rPr>
        <w:t>121</w:t>
      </w:r>
      <w:r>
        <w:t>.</w:t>
      </w:r>
      <w:r>
        <w:tab/>
        <w:t>Commission’s powers as to land under improvement plan</w:t>
      </w:r>
      <w:bookmarkEnd w:id="145"/>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keepNext/>
      </w:pPr>
      <w:r>
        <w:lastRenderedPageBreak/>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keepLines/>
      </w:pPr>
      <w:bookmarkStart w:id="146" w:name="_Toc155165969"/>
      <w:r>
        <w:rPr>
          <w:rStyle w:val="CharDivNo"/>
        </w:rPr>
        <w:lastRenderedPageBreak/>
        <w:t>Division 2</w:t>
      </w:r>
      <w:r>
        <w:t> — </w:t>
      </w:r>
      <w:r>
        <w:rPr>
          <w:rStyle w:val="CharDivText"/>
        </w:rPr>
        <w:t>Improvement schemes</w:t>
      </w:r>
      <w:bookmarkEnd w:id="146"/>
    </w:p>
    <w:p>
      <w:pPr>
        <w:pStyle w:val="Footnoteheading"/>
        <w:keepNext/>
        <w:keepLines/>
      </w:pPr>
      <w:r>
        <w:tab/>
        <w:t>[Heading inserted: No. 28 of 2010 s. 11.]</w:t>
      </w:r>
    </w:p>
    <w:p>
      <w:pPr>
        <w:pStyle w:val="Heading5"/>
        <w:spacing w:before="180"/>
      </w:pPr>
      <w:bookmarkStart w:id="147" w:name="_Toc155165970"/>
      <w:r>
        <w:rPr>
          <w:rStyle w:val="CharSectno"/>
        </w:rPr>
        <w:t>122A</w:t>
      </w:r>
      <w:r>
        <w:t>.</w:t>
      </w:r>
      <w:r>
        <w:tab/>
        <w:t>Content of improvement scheme</w:t>
      </w:r>
      <w:bookmarkEnd w:id="147"/>
    </w:p>
    <w:p>
      <w:pPr>
        <w:pStyle w:val="Subsection"/>
        <w:keepNext/>
        <w:keepLines/>
      </w:pPr>
      <w:r>
        <w:tab/>
        <w:t>(1)</w:t>
      </w:r>
      <w:r>
        <w:tab/>
        <w:t>Without limiting section 119, an improvement plan may authorise the making of an improvement scheme by the Commission in respect of some or all of the land to which the improvement plan applies.</w:t>
      </w:r>
    </w:p>
    <w:p>
      <w:pPr>
        <w:pStyle w:val="Subsection"/>
        <w:keepNext/>
        <w:keepLines/>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No. 28 of 2010 s. 11.] </w:t>
      </w:r>
    </w:p>
    <w:p>
      <w:pPr>
        <w:pStyle w:val="Heading5"/>
      </w:pPr>
      <w:bookmarkStart w:id="148" w:name="_Toc155165971"/>
      <w:r>
        <w:rPr>
          <w:rStyle w:val="CharSectno"/>
        </w:rPr>
        <w:t>122B</w:t>
      </w:r>
      <w:r>
        <w:t>.</w:t>
      </w:r>
      <w:r>
        <w:tab/>
        <w:t>Preparing, approving and reviewing improvement scheme</w:t>
      </w:r>
      <w:bookmarkEnd w:id="148"/>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Ednotesubsection"/>
      </w:pPr>
      <w:r>
        <w:tab/>
        <w:t>[(2)</w:t>
      </w:r>
      <w:r>
        <w:tab/>
        <w:t>deleted]</w:t>
      </w:r>
    </w:p>
    <w:p>
      <w:pPr>
        <w:pStyle w:val="Subsection"/>
      </w:pPr>
      <w:r>
        <w:lastRenderedPageBreak/>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lastRenderedPageBreak/>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No. 28 of 2010 s. 11; amended: No. 45 of 2020 s. 73.] </w:t>
      </w:r>
    </w:p>
    <w:p>
      <w:pPr>
        <w:pStyle w:val="Heading5"/>
      </w:pPr>
      <w:bookmarkStart w:id="149" w:name="_Toc155165972"/>
      <w:r>
        <w:rPr>
          <w:rStyle w:val="CharSectno"/>
        </w:rPr>
        <w:t>122C</w:t>
      </w:r>
      <w:r>
        <w:t>.</w:t>
      </w:r>
      <w:r>
        <w:tab/>
        <w:t>Existing lawful development not affected</w:t>
      </w:r>
      <w:bookmarkEnd w:id="149"/>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No. 28 of 2010 s. 11.] </w:t>
      </w:r>
    </w:p>
    <w:p>
      <w:pPr>
        <w:pStyle w:val="Heading5"/>
      </w:pPr>
      <w:bookmarkStart w:id="150" w:name="_Toc155165973"/>
      <w:r>
        <w:rPr>
          <w:rStyle w:val="CharSectno"/>
        </w:rPr>
        <w:t>122D</w:t>
      </w:r>
      <w:r>
        <w:t>.</w:t>
      </w:r>
      <w:r>
        <w:tab/>
        <w:t>Effect of improvement scheme on other planning schemes</w:t>
      </w:r>
      <w:bookmarkEnd w:id="150"/>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lastRenderedPageBreak/>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No. 28 of 2010 s. 11.] </w:t>
      </w:r>
    </w:p>
    <w:p>
      <w:pPr>
        <w:pStyle w:val="Heading5"/>
      </w:pPr>
      <w:bookmarkStart w:id="151" w:name="_Toc155165974"/>
      <w:r>
        <w:rPr>
          <w:rStyle w:val="CharSectno"/>
        </w:rPr>
        <w:t>122E</w:t>
      </w:r>
      <w:r>
        <w:t>.</w:t>
      </w:r>
      <w:r>
        <w:tab/>
        <w:t>Removal of land from improvement scheme area or repeal of improvement scheme, effect of</w:t>
      </w:r>
      <w:bookmarkEnd w:id="151"/>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keepNext/>
      </w:pPr>
      <w:r>
        <w:lastRenderedPageBreak/>
        <w:tab/>
        <w:t>(2)</w:t>
      </w:r>
      <w:r>
        <w:tab/>
        <w:t>If an improvement scheme is repealed, a planning scheme that, but for section 122D would apply to the improvement scheme area, applies to the area.</w:t>
      </w:r>
    </w:p>
    <w:p>
      <w:pPr>
        <w:pStyle w:val="Footnotesection"/>
      </w:pPr>
      <w:r>
        <w:tab/>
        <w:t xml:space="preserve">[Section 122E inserted: No. 28 of 2010 s. 11.] </w:t>
      </w:r>
    </w:p>
    <w:p>
      <w:pPr>
        <w:pStyle w:val="Heading5"/>
      </w:pPr>
      <w:bookmarkStart w:id="152" w:name="_Toc155165975"/>
      <w:r>
        <w:rPr>
          <w:rStyle w:val="CharSectno"/>
        </w:rPr>
        <w:t>122F</w:t>
      </w:r>
      <w:r>
        <w:t>.</w:t>
      </w:r>
      <w:r>
        <w:tab/>
        <w:t>Amended improvement scheme area, transitional provisions for</w:t>
      </w:r>
      <w:bookmarkEnd w:id="152"/>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No. 28 of 2010 s. 11.] </w:t>
      </w:r>
    </w:p>
    <w:p>
      <w:pPr>
        <w:pStyle w:val="Heading5"/>
        <w:spacing w:before="180"/>
      </w:pPr>
      <w:bookmarkStart w:id="153" w:name="_Toc155165976"/>
      <w:r>
        <w:rPr>
          <w:rStyle w:val="CharSectno"/>
        </w:rPr>
        <w:t>122G</w:t>
      </w:r>
      <w:r>
        <w:t>.</w:t>
      </w:r>
      <w:r>
        <w:tab/>
        <w:t>Applications for development pending when land removed or improvement scheme repealed</w:t>
      </w:r>
      <w:bookmarkEnd w:id="153"/>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 xml:space="preserve">This Act continues to apply, and the Commission must continue to perform its functions, in relation to the application for approval and any application for review as if the land had not </w:t>
      </w:r>
      <w:r>
        <w:lastRenderedPageBreak/>
        <w:t>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No. 28 of 2010 s. 11.] </w:t>
      </w:r>
    </w:p>
    <w:p>
      <w:pPr>
        <w:pStyle w:val="Heading5"/>
      </w:pPr>
      <w:bookmarkStart w:id="154" w:name="_Toc155165977"/>
      <w:r>
        <w:rPr>
          <w:rStyle w:val="CharSectno"/>
        </w:rPr>
        <w:t>122H</w:t>
      </w:r>
      <w:r>
        <w:t>.</w:t>
      </w:r>
      <w:r>
        <w:tab/>
        <w:t>Permanently closing street in improvement scheme area</w:t>
      </w:r>
      <w:bookmarkEnd w:id="154"/>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No. 28 of 2010 s. 11.] </w:t>
      </w:r>
    </w:p>
    <w:p>
      <w:pPr>
        <w:pStyle w:val="Heading5"/>
        <w:spacing w:before="180"/>
      </w:pPr>
      <w:bookmarkStart w:id="155" w:name="_Toc155165978"/>
      <w:r>
        <w:rPr>
          <w:rStyle w:val="CharSectno"/>
        </w:rPr>
        <w:t>122I</w:t>
      </w:r>
      <w:r>
        <w:t>.</w:t>
      </w:r>
      <w:r>
        <w:tab/>
        <w:t>Some planning schemes have no force while improvement scheme in force</w:t>
      </w:r>
      <w:bookmarkEnd w:id="155"/>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No. 28 of 2010 s. 11.] </w:t>
      </w:r>
    </w:p>
    <w:p>
      <w:pPr>
        <w:pStyle w:val="Heading5"/>
        <w:spacing w:before="180"/>
      </w:pPr>
      <w:bookmarkStart w:id="156" w:name="_Toc155165979"/>
      <w:r>
        <w:rPr>
          <w:rStyle w:val="CharSectno"/>
        </w:rPr>
        <w:lastRenderedPageBreak/>
        <w:t>122J</w:t>
      </w:r>
      <w:r>
        <w:t>.</w:t>
      </w:r>
      <w:r>
        <w:tab/>
        <w:t>Minister may amend local planning scheme to conform with improvement scheme</w:t>
      </w:r>
      <w:bookmarkEnd w:id="156"/>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No. 28 of 2010 s. 11.] </w:t>
      </w:r>
    </w:p>
    <w:p>
      <w:pPr>
        <w:pStyle w:val="Heading5"/>
      </w:pPr>
      <w:bookmarkStart w:id="157" w:name="_Toc155165980"/>
      <w:r>
        <w:rPr>
          <w:rStyle w:val="CharSectno"/>
        </w:rPr>
        <w:t>122K</w:t>
      </w:r>
      <w:r>
        <w:t>.</w:t>
      </w:r>
      <w:r>
        <w:tab/>
        <w:t>Region planning scheme may be amended to conform with improvement scheme</w:t>
      </w:r>
      <w:bookmarkEnd w:id="157"/>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No. 28 of 2010 s. 11.] </w:t>
      </w:r>
    </w:p>
    <w:p>
      <w:pPr>
        <w:pStyle w:val="Heading5"/>
      </w:pPr>
      <w:bookmarkStart w:id="158" w:name="_Toc155165981"/>
      <w:r>
        <w:rPr>
          <w:rStyle w:val="CharSectno"/>
        </w:rPr>
        <w:t>122L</w:t>
      </w:r>
      <w:r>
        <w:t>.</w:t>
      </w:r>
      <w:r>
        <w:tab/>
        <w:t>Minister has s. 211 and 212 powers for improvement scheme</w:t>
      </w:r>
      <w:bookmarkEnd w:id="158"/>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No. 28 of 2010 s. 11.] </w:t>
      </w:r>
    </w:p>
    <w:p>
      <w:pPr>
        <w:pStyle w:val="Heading5"/>
      </w:pPr>
      <w:bookmarkStart w:id="159" w:name="_Toc155165982"/>
      <w:r>
        <w:rPr>
          <w:rStyle w:val="CharSectno"/>
        </w:rPr>
        <w:lastRenderedPageBreak/>
        <w:t>122M</w:t>
      </w:r>
      <w:r>
        <w:t>.</w:t>
      </w:r>
      <w:r>
        <w:tab/>
        <w:t>Fees for planning matters under improvement scheme, Commission may impose</w:t>
      </w:r>
      <w:bookmarkEnd w:id="159"/>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No. 28 of 2010 s. 11.] </w:t>
      </w:r>
    </w:p>
    <w:p>
      <w:pPr>
        <w:pStyle w:val="Heading3"/>
      </w:pPr>
      <w:bookmarkStart w:id="160" w:name="_Toc155165983"/>
      <w:r>
        <w:rPr>
          <w:rStyle w:val="CharDivNo"/>
        </w:rPr>
        <w:t>Division 3</w:t>
      </w:r>
      <w:r>
        <w:t> — </w:t>
      </w:r>
      <w:r>
        <w:rPr>
          <w:rStyle w:val="CharDivText"/>
        </w:rPr>
        <w:t>General</w:t>
      </w:r>
      <w:bookmarkEnd w:id="160"/>
    </w:p>
    <w:p>
      <w:pPr>
        <w:pStyle w:val="Footnoteheading"/>
      </w:pPr>
      <w:r>
        <w:tab/>
        <w:t>[Heading inserted: No. 28 of 2010 s. 12.]</w:t>
      </w:r>
    </w:p>
    <w:p>
      <w:pPr>
        <w:pStyle w:val="Heading5"/>
      </w:pPr>
      <w:bookmarkStart w:id="161" w:name="_Toc155165984"/>
      <w:r>
        <w:rPr>
          <w:rStyle w:val="CharSectno"/>
        </w:rPr>
        <w:t>122</w:t>
      </w:r>
      <w:r>
        <w:t>.</w:t>
      </w:r>
      <w:r>
        <w:tab/>
        <w:t>This Part does not derogate from other powers</w:t>
      </w:r>
      <w:bookmarkEnd w:id="161"/>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No. 28 of 2010 s. 13.] </w:t>
      </w:r>
    </w:p>
    <w:p>
      <w:pPr>
        <w:pStyle w:val="Heading2"/>
      </w:pPr>
      <w:bookmarkStart w:id="162" w:name="_Toc155165985"/>
      <w:r>
        <w:rPr>
          <w:rStyle w:val="CharPartNo"/>
        </w:rPr>
        <w:lastRenderedPageBreak/>
        <w:t>Part 9</w:t>
      </w:r>
      <w:r>
        <w:rPr>
          <w:rStyle w:val="CharDivNo"/>
        </w:rPr>
        <w:t> </w:t>
      </w:r>
      <w:r>
        <w:t>—</w:t>
      </w:r>
      <w:r>
        <w:rPr>
          <w:rStyle w:val="CharDivText"/>
        </w:rPr>
        <w:t> </w:t>
      </w:r>
      <w:r>
        <w:rPr>
          <w:rStyle w:val="CharPartText"/>
        </w:rPr>
        <w:t>Relationship between planning schemes, planning control provisions and written laws</w:t>
      </w:r>
      <w:bookmarkEnd w:id="162"/>
    </w:p>
    <w:p>
      <w:pPr>
        <w:pStyle w:val="Footnoteheading"/>
      </w:pPr>
      <w:r>
        <w:tab/>
        <w:t>[Heading inserted: No. 28 of 2010 s. 14.]</w:t>
      </w:r>
    </w:p>
    <w:p>
      <w:pPr>
        <w:pStyle w:val="Heading5"/>
      </w:pPr>
      <w:bookmarkStart w:id="163" w:name="_Toc155165986"/>
      <w:r>
        <w:rPr>
          <w:rStyle w:val="CharSectno"/>
        </w:rPr>
        <w:t>123</w:t>
      </w:r>
      <w:r>
        <w:t>.</w:t>
      </w:r>
      <w:r>
        <w:tab/>
        <w:t>Local planning scheme or local law to be consistent with region planning scheme or Swan Valley Planning Scheme</w:t>
      </w:r>
      <w:bookmarkEnd w:id="163"/>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or the Swan Valley Planning Scheme are not to be made by a local government unless the provisions of the local laws are in accordance with and consistent with each relevant region planning scheme or (if relevant) the Swan Valley Planning Scheme.</w:t>
      </w:r>
    </w:p>
    <w:p>
      <w:pPr>
        <w:pStyle w:val="Footnotesection"/>
      </w:pPr>
      <w:r>
        <w:tab/>
        <w:t>[Section 123 amended: No. 45 of 2020 s. 74.]</w:t>
      </w:r>
    </w:p>
    <w:p>
      <w:pPr>
        <w:pStyle w:val="Heading5"/>
      </w:pPr>
      <w:bookmarkStart w:id="164" w:name="_Toc155165987"/>
      <w:r>
        <w:rPr>
          <w:rStyle w:val="CharSectno"/>
        </w:rPr>
        <w:t>124</w:t>
      </w:r>
      <w:r>
        <w:t>.</w:t>
      </w:r>
      <w:r>
        <w:tab/>
        <w:t>Effect of region planning scheme on local planning scheme</w:t>
      </w:r>
      <w:bookmarkEnd w:id="164"/>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keepNext/>
      </w:pPr>
      <w:r>
        <w:lastRenderedPageBreak/>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Footnotesection"/>
      </w:pPr>
      <w:r>
        <w:tab/>
        <w:t>[Section 124 amended: No. 26 of 2020 s. 50.]</w:t>
      </w:r>
    </w:p>
    <w:p>
      <w:pPr>
        <w:pStyle w:val="Heading5"/>
      </w:pPr>
      <w:bookmarkStart w:id="165" w:name="_Toc155165988"/>
      <w:r>
        <w:rPr>
          <w:rStyle w:val="CharSectno"/>
        </w:rPr>
        <w:lastRenderedPageBreak/>
        <w:t>125</w:t>
      </w:r>
      <w:r>
        <w:t>.</w:t>
      </w:r>
      <w:r>
        <w:tab/>
        <w:t>Minister may direct local government to amend local planning scheme to be consistent with region planning scheme etc.</w:t>
      </w:r>
      <w:bookmarkEnd w:id="165"/>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advertisement of the relevant region planning scheme or amendment under regulations made for the purposes of section 43.</w:t>
      </w:r>
    </w:p>
    <w:p>
      <w:pPr>
        <w:pStyle w:val="Footnotesection"/>
      </w:pPr>
      <w:r>
        <w:tab/>
        <w:t>[Section 125 amended: No. 26 of 2020 s. 51.]</w:t>
      </w:r>
    </w:p>
    <w:p>
      <w:pPr>
        <w:pStyle w:val="Heading5"/>
      </w:pPr>
      <w:bookmarkStart w:id="166" w:name="_Toc155165989"/>
      <w:r>
        <w:rPr>
          <w:rStyle w:val="CharSectno"/>
        </w:rPr>
        <w:t>126</w:t>
      </w:r>
      <w:r>
        <w:t>.</w:t>
      </w:r>
      <w:r>
        <w:tab/>
        <w:t>Local planning scheme, amendment of due to region planning scheme</w:t>
      </w:r>
      <w:bookmarkEnd w:id="166"/>
    </w:p>
    <w:p>
      <w:pPr>
        <w:pStyle w:val="Subsection"/>
      </w:pPr>
      <w:r>
        <w:tab/>
        <w:t>(1)</w:t>
      </w:r>
      <w:r>
        <w:tab/>
        <w:t xml:space="preserve">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w:t>
      </w:r>
      <w:r>
        <w:lastRenderedPageBreak/>
        <w:t>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No. 28 of 2010 s. 60.] </w:t>
      </w:r>
    </w:p>
    <w:p>
      <w:pPr>
        <w:pStyle w:val="Heading5"/>
      </w:pPr>
      <w:bookmarkStart w:id="167" w:name="_Toc155165990"/>
      <w:r>
        <w:rPr>
          <w:rStyle w:val="CharSectno"/>
        </w:rPr>
        <w:lastRenderedPageBreak/>
        <w:t>127</w:t>
      </w:r>
      <w:r>
        <w:t>.</w:t>
      </w:r>
      <w:r>
        <w:tab/>
        <w:t>Minister may direct local government to modify proposed scheme or amendment to be consistent with region planning scheme</w:t>
      </w:r>
      <w:bookmarkEnd w:id="167"/>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keepNext/>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No. 8 of 2009 s. 100(3).]</w:t>
      </w:r>
    </w:p>
    <w:p>
      <w:pPr>
        <w:pStyle w:val="Heading5"/>
      </w:pPr>
      <w:bookmarkStart w:id="168" w:name="_Toc155165991"/>
      <w:r>
        <w:rPr>
          <w:rStyle w:val="CharSectno"/>
        </w:rPr>
        <w:t>128</w:t>
      </w:r>
      <w:r>
        <w:t>.</w:t>
      </w:r>
      <w:r>
        <w:tab/>
        <w:t>Breach of s. 124(2), 125 or 127(2), Minister’s powers in case of</w:t>
      </w:r>
      <w:bookmarkEnd w:id="168"/>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keepNext/>
      </w:pPr>
      <w:r>
        <w:lastRenderedPageBreak/>
        <w:tab/>
        <w:t>(c)</w:t>
      </w:r>
      <w:r>
        <w:tab/>
        <w:t>not later than 60 days after the giving of the direction concerned, section 127(2),</w:t>
      </w:r>
    </w:p>
    <w:p>
      <w:pPr>
        <w:pStyle w:val="Subsection"/>
        <w:keepNext/>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keepLines/>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69" w:name="_Toc155165992"/>
      <w:r>
        <w:rPr>
          <w:rStyle w:val="CharSectno"/>
        </w:rPr>
        <w:lastRenderedPageBreak/>
        <w:t>129</w:t>
      </w:r>
      <w:r>
        <w:t>.</w:t>
      </w:r>
      <w:r>
        <w:tab/>
        <w:t>Inconsistency between interim development order and local planning scheme or local law, effect of</w:t>
      </w:r>
      <w:bookmarkEnd w:id="169"/>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No. 24 of 2011 s. 168(2).]</w:t>
      </w:r>
    </w:p>
    <w:p>
      <w:pPr>
        <w:pStyle w:val="Heading5"/>
      </w:pPr>
      <w:bookmarkStart w:id="170" w:name="_Toc155165993"/>
      <w:r>
        <w:rPr>
          <w:rStyle w:val="CharSectno"/>
        </w:rPr>
        <w:t>130</w:t>
      </w:r>
      <w:r>
        <w:t>.</w:t>
      </w:r>
      <w:r>
        <w:tab/>
        <w:t>Planning control area provisions (Part 7) prevail</w:t>
      </w:r>
      <w:bookmarkEnd w:id="170"/>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pPr>
      <w:r>
        <w:tab/>
        <w:t>(c)</w:t>
      </w:r>
      <w:r>
        <w:tab/>
        <w:t>any local planning scheme; and</w:t>
      </w:r>
    </w:p>
    <w:p>
      <w:pPr>
        <w:pStyle w:val="Indenta"/>
        <w:keepNext/>
      </w:pPr>
      <w:r>
        <w:lastRenderedPageBreak/>
        <w:tab/>
        <w:t>(d)</w:t>
      </w:r>
      <w:r>
        <w:tab/>
        <w:t>the Swan Valley Planning Scheme,</w:t>
      </w:r>
    </w:p>
    <w:p>
      <w:pPr>
        <w:pStyle w:val="Subsection"/>
        <w:keepNext/>
      </w:pPr>
      <w:r>
        <w:tab/>
      </w:r>
      <w:r>
        <w:tab/>
        <w:t>to the extent of any inconsistency with those provisions and schemes.</w:t>
      </w:r>
    </w:p>
    <w:p>
      <w:pPr>
        <w:pStyle w:val="Footnotesection"/>
      </w:pPr>
      <w:r>
        <w:tab/>
        <w:t>[Section 130 amended: No. 45 of 2020 s. 75.]</w:t>
      </w:r>
    </w:p>
    <w:p>
      <w:pPr>
        <w:pStyle w:val="Heading5"/>
        <w:spacing w:before="180"/>
      </w:pPr>
      <w:bookmarkStart w:id="171" w:name="_Toc155165994"/>
      <w:r>
        <w:rPr>
          <w:rStyle w:val="CharSectno"/>
        </w:rPr>
        <w:t>131</w:t>
      </w:r>
      <w:r>
        <w:t>.</w:t>
      </w:r>
      <w:r>
        <w:tab/>
      </w:r>
      <w:r>
        <w:rPr>
          <w:bCs/>
        </w:rPr>
        <w:t>Building standards etc. prevail</w:t>
      </w:r>
      <w:bookmarkEnd w:id="171"/>
    </w:p>
    <w:p>
      <w:pPr>
        <w:pStyle w:val="Subsection"/>
      </w:pPr>
      <w:r>
        <w:tab/>
        <w:t>(1)</w:t>
      </w:r>
      <w:r>
        <w:tab/>
        <w:t xml:space="preserve">If there is any inconsistency between a local planning scheme or the Swan Valley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Subsection"/>
      </w:pPr>
      <w:r>
        <w:tab/>
        <w:t>(3)</w:t>
      </w:r>
      <w:r>
        <w:tab/>
        <w:t xml:space="preserve">In the exercise of any power conferred on it by the Swan Valley Planning Scheme the Commission is obliged to have regard to any regulations made under the </w:t>
      </w:r>
      <w:r>
        <w:rPr>
          <w:i/>
        </w:rPr>
        <w:t>Building Act 2011</w:t>
      </w:r>
      <w:r>
        <w:t>.</w:t>
      </w:r>
    </w:p>
    <w:p>
      <w:pPr>
        <w:pStyle w:val="Footnotesection"/>
      </w:pPr>
      <w:r>
        <w:tab/>
        <w:t>[Section 131 amended: No. 24 of 2011 s. 168(3) and (4); No. 45 of 2020 s. 76.]</w:t>
      </w:r>
    </w:p>
    <w:p>
      <w:pPr>
        <w:pStyle w:val="Heading5"/>
      </w:pPr>
      <w:bookmarkStart w:id="172" w:name="_Toc155165995"/>
      <w:r>
        <w:rPr>
          <w:rStyle w:val="CharSectno"/>
        </w:rPr>
        <w:t>131A</w:t>
      </w:r>
      <w:r>
        <w:t>.</w:t>
      </w:r>
      <w:r>
        <w:tab/>
        <w:t>Relationship between Swan Valley Planning Scheme and other planning schemes or policies</w:t>
      </w:r>
      <w:bookmarkEnd w:id="172"/>
    </w:p>
    <w:p>
      <w:pPr>
        <w:pStyle w:val="Subsection"/>
      </w:pPr>
      <w:r>
        <w:tab/>
        <w:t>(1)</w:t>
      </w:r>
      <w:r>
        <w:tab/>
        <w:t xml:space="preserve">The Minister may, by notice published in the </w:t>
      </w:r>
      <w:r>
        <w:rPr>
          <w:i/>
        </w:rPr>
        <w:t>Gazette</w:t>
      </w:r>
      <w:r>
        <w:t xml:space="preserve">, make any amendments to a region planning scheme, local planning scheme or improvement scheme that are necessary as a result of the </w:t>
      </w:r>
      <w:r>
        <w:rPr>
          <w:i/>
        </w:rPr>
        <w:t xml:space="preserve">Swan Valley Planning Act 2020 </w:t>
      </w:r>
      <w:r>
        <w:t>section 9.</w:t>
      </w:r>
    </w:p>
    <w:p>
      <w:pPr>
        <w:pStyle w:val="Subsection"/>
      </w:pPr>
      <w:r>
        <w:tab/>
        <w:t>(2)</w:t>
      </w:r>
      <w:r>
        <w:tab/>
        <w:t xml:space="preserve">On and after the day on which the first Swan Valley Planning Scheme comes into operation under the </w:t>
      </w:r>
      <w:r>
        <w:rPr>
          <w:i/>
        </w:rPr>
        <w:t>Swan Valley Planning Act 2020</w:t>
      </w:r>
      <w:r>
        <w:t>, a State planning policy that applies to land in the Swan Valley has no effect to the extent that it is inconsistent with the Swan Valley Planning Scheme.</w:t>
      </w:r>
    </w:p>
    <w:p>
      <w:pPr>
        <w:pStyle w:val="Subsection"/>
      </w:pPr>
      <w:r>
        <w:tab/>
        <w:t>(3)</w:t>
      </w:r>
      <w:r>
        <w:tab/>
        <w:t xml:space="preserve">The Minister may, by notice published in the </w:t>
      </w:r>
      <w:r>
        <w:rPr>
          <w:i/>
        </w:rPr>
        <w:t>Gazette</w:t>
      </w:r>
      <w:r>
        <w:t xml:space="preserve">, amend a State planning policy so that the policy is consistent with the </w:t>
      </w:r>
      <w:r>
        <w:lastRenderedPageBreak/>
        <w:t>Swan Valley Planning Scheme in relation to land in the Swan Valley.</w:t>
      </w:r>
    </w:p>
    <w:p>
      <w:pPr>
        <w:pStyle w:val="Subsection"/>
      </w:pPr>
      <w:r>
        <w:tab/>
        <w:t>(4)</w:t>
      </w:r>
      <w:r>
        <w:tab/>
        <w:t xml:space="preserve">An amendment in a notice published under subsection (1) or (3) has effect, by force of this subsection and without further action under this Act, on the day on which it is published or a later day stated in the notice (which must not be earlier than the day on which the first Swan Valley Planning Scheme comes into operation under the </w:t>
      </w:r>
      <w:r>
        <w:rPr>
          <w:i/>
        </w:rPr>
        <w:t>Swan Valley Planning Act 2020</w:t>
      </w:r>
      <w:r>
        <w:t>).</w:t>
      </w:r>
    </w:p>
    <w:p>
      <w:pPr>
        <w:pStyle w:val="Footnotesection"/>
      </w:pPr>
      <w:r>
        <w:tab/>
        <w:t>[Section 131A inserted: No. 45 of 2020 s. 77.]</w:t>
      </w:r>
    </w:p>
    <w:p>
      <w:pPr>
        <w:pStyle w:val="Heading5"/>
        <w:spacing w:before="180"/>
      </w:pPr>
      <w:bookmarkStart w:id="173" w:name="_Toc155165996"/>
      <w:r>
        <w:rPr>
          <w:rStyle w:val="CharSectno"/>
        </w:rPr>
        <w:t>132</w:t>
      </w:r>
      <w:r>
        <w:t>.</w:t>
      </w:r>
      <w:r>
        <w:tab/>
        <w:t>Governor may modify or suspend law to enable planning scheme to have effect</w:t>
      </w:r>
      <w:bookmarkEnd w:id="173"/>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174" w:name="_Toc155165997"/>
      <w:r>
        <w:rPr>
          <w:rStyle w:val="CharPartNo"/>
        </w:rPr>
        <w:lastRenderedPageBreak/>
        <w:t>Part 10</w:t>
      </w:r>
      <w:r>
        <w:t> — </w:t>
      </w:r>
      <w:r>
        <w:rPr>
          <w:rStyle w:val="CharPartText"/>
        </w:rPr>
        <w:t>Subdivision and development control</w:t>
      </w:r>
      <w:bookmarkEnd w:id="174"/>
    </w:p>
    <w:p>
      <w:pPr>
        <w:pStyle w:val="Heading3"/>
      </w:pPr>
      <w:bookmarkStart w:id="175" w:name="_Toc155165998"/>
      <w:r>
        <w:rPr>
          <w:rStyle w:val="CharDivNo"/>
        </w:rPr>
        <w:t>Division 1</w:t>
      </w:r>
      <w:r>
        <w:t> — </w:t>
      </w:r>
      <w:r>
        <w:rPr>
          <w:rStyle w:val="CharDivText"/>
        </w:rPr>
        <w:t>Application</w:t>
      </w:r>
      <w:bookmarkEnd w:id="175"/>
    </w:p>
    <w:p>
      <w:pPr>
        <w:pStyle w:val="Heading5"/>
      </w:pPr>
      <w:bookmarkStart w:id="176" w:name="_Toc155165999"/>
      <w:r>
        <w:rPr>
          <w:rStyle w:val="CharSectno"/>
        </w:rPr>
        <w:t>133</w:t>
      </w:r>
      <w:r>
        <w:t>.</w:t>
      </w:r>
      <w:r>
        <w:tab/>
        <w:t>Application of Part to Crown land</w:t>
      </w:r>
      <w:bookmarkEnd w:id="176"/>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No. 28 of 2010 s. 61.] </w:t>
      </w:r>
    </w:p>
    <w:p>
      <w:pPr>
        <w:pStyle w:val="Heading5"/>
      </w:pPr>
      <w:bookmarkStart w:id="177" w:name="_Toc155166000"/>
      <w:r>
        <w:rPr>
          <w:rStyle w:val="CharSectno"/>
        </w:rPr>
        <w:t>134</w:t>
      </w:r>
      <w:r>
        <w:t>.</w:t>
      </w:r>
      <w:r>
        <w:tab/>
        <w:t>Relationship of Part to some other laws</w:t>
      </w:r>
      <w:bookmarkEnd w:id="177"/>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2</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Ednotesubsection"/>
        <w:keepNext/>
      </w:pPr>
      <w:r>
        <w:lastRenderedPageBreak/>
        <w:tab/>
        <w:t>[(3)</w:t>
      </w:r>
      <w:r>
        <w:noBreakHyphen/>
        <w:t>(8)</w:t>
      </w:r>
      <w:r>
        <w:tab/>
        <w:t>deleted]</w:t>
      </w:r>
    </w:p>
    <w:p>
      <w:pPr>
        <w:pStyle w:val="Footnotesection"/>
      </w:pPr>
      <w:r>
        <w:tab/>
        <w:t>[Section 134 amended: No. 7 of 2006 s. 20(3); No. 45 of 2020 s. 78.]</w:t>
      </w:r>
    </w:p>
    <w:p>
      <w:pPr>
        <w:pStyle w:val="Heading3"/>
      </w:pPr>
      <w:bookmarkStart w:id="178" w:name="_Toc155166001"/>
      <w:r>
        <w:rPr>
          <w:rStyle w:val="CharDivNo"/>
        </w:rPr>
        <w:t>Division 2</w:t>
      </w:r>
      <w:r>
        <w:t> — </w:t>
      </w:r>
      <w:r>
        <w:rPr>
          <w:rStyle w:val="CharDivText"/>
        </w:rPr>
        <w:t>Approval for subdivision and certain transactions</w:t>
      </w:r>
      <w:bookmarkEnd w:id="178"/>
    </w:p>
    <w:p>
      <w:pPr>
        <w:pStyle w:val="Heading5"/>
      </w:pPr>
      <w:bookmarkStart w:id="179" w:name="_Toc155166002"/>
      <w:r>
        <w:rPr>
          <w:rStyle w:val="CharSectno"/>
        </w:rPr>
        <w:t>135</w:t>
      </w:r>
      <w:r>
        <w:t>.</w:t>
      </w:r>
      <w:r>
        <w:tab/>
        <w:t>No subdivision etc. without approval</w:t>
      </w:r>
      <w:bookmarkEnd w:id="179"/>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180" w:name="_Toc155166003"/>
      <w:r>
        <w:rPr>
          <w:rStyle w:val="CharSectno"/>
        </w:rPr>
        <w:t>136</w:t>
      </w:r>
      <w:r>
        <w:t>.</w:t>
      </w:r>
      <w:r>
        <w:tab/>
        <w:t>Approval required for some dealings as to land not dealt with as lot or lots</w:t>
      </w:r>
      <w:bookmarkEnd w:id="180"/>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keepNext/>
      </w:pPr>
      <w:r>
        <w:lastRenderedPageBreak/>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(2A)</w:t>
      </w:r>
      <w:r>
        <w:tab/>
        <w:t>Subsection (1) applies to land comprised of common property or a lot in a community titles scheme and a reference in that subsection to a lot includes a reference to a lot in a community titles scheme.</w:t>
      </w:r>
    </w:p>
    <w:p>
      <w:pPr>
        <w:pStyle w:val="Subsection"/>
      </w:pPr>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p>
    <w:p>
      <w:pPr>
        <w:pStyle w:val="Subsection"/>
      </w:pPr>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p>
    <w:p>
      <w:pPr>
        <w:pStyle w:val="Subsection"/>
      </w:pPr>
      <w:r>
        <w:tab/>
        <w:t>(2D)</w:t>
      </w:r>
      <w:r>
        <w:tab/>
        <w:t>Subsection (1) applies to land comprised of common property or a lot in a strata titles scheme and a reference in that subsection to a lot includes a reference to a lot in a strata titles scheme.</w:t>
      </w:r>
    </w:p>
    <w:p>
      <w:pPr>
        <w:pStyle w:val="Subsection"/>
      </w:pPr>
      <w:r>
        <w:tab/>
        <w:t>(2E)</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strata titles scheme.</w:t>
      </w:r>
    </w:p>
    <w:p>
      <w:pPr>
        <w:pStyle w:val="Subsection"/>
      </w:pPr>
      <w:r>
        <w:tab/>
        <w:t>(2F)</w:t>
      </w:r>
      <w:r>
        <w:tab/>
        <w:t xml:space="preserve">Words in subsections (2D) and (2E) have the meanings given in the </w:t>
      </w:r>
      <w:r>
        <w:rPr>
          <w:i/>
        </w:rPr>
        <w:t>Strata Titles Act 1985</w:t>
      </w:r>
      <w:r>
        <w:t xml:space="preserve"> section 3(1) (and references to those words in sections 139 and 140 are to be read accordingly).</w:t>
      </w:r>
    </w:p>
    <w:p>
      <w:pPr>
        <w:pStyle w:val="Ednotesubsection"/>
      </w:pPr>
      <w:r>
        <w:tab/>
        <w:t>[(3A)</w:t>
      </w:r>
      <w:r>
        <w:tab/>
        <w:t>deleted]</w:t>
      </w:r>
    </w:p>
    <w:p>
      <w:pPr>
        <w:pStyle w:val="Subsection"/>
        <w:keepNext/>
        <w:spacing w:before="120"/>
      </w:pPr>
      <w:r>
        <w:lastRenderedPageBreak/>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 </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No. 28 of 2010 s. 62; No. 24 of 2011 s. 168(5); No. 30 of 2018 s. 162; No. 32 of 2018 s. 223.] </w:t>
      </w:r>
    </w:p>
    <w:p>
      <w:pPr>
        <w:pStyle w:val="Heading5"/>
      </w:pPr>
      <w:bookmarkStart w:id="181" w:name="_Toc155166004"/>
      <w:r>
        <w:rPr>
          <w:rStyle w:val="CharSectno"/>
        </w:rPr>
        <w:lastRenderedPageBreak/>
        <w:t>137</w:t>
      </w:r>
      <w:r>
        <w:t>.</w:t>
      </w:r>
      <w:r>
        <w:tab/>
        <w:t>Heritage land, subdivision etc. of</w:t>
      </w:r>
      <w:bookmarkEnd w:id="181"/>
    </w:p>
    <w:p>
      <w:pPr>
        <w:pStyle w:val="Subsection"/>
      </w:pPr>
      <w:r>
        <w:tab/>
        <w:t>(1)</w:t>
      </w:r>
      <w:r>
        <w:tab/>
        <w:t xml:space="preserve">This section applies to land included in a place of a kind mentioned in the </w:t>
      </w:r>
      <w:r>
        <w:rPr>
          <w:i/>
        </w:rPr>
        <w:t xml:space="preserve">Heritage Act 2018 </w:t>
      </w:r>
      <w:r>
        <w:t>section 72(1).</w:t>
      </w:r>
    </w:p>
    <w:p>
      <w:pPr>
        <w:pStyle w:val="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Subsection"/>
        <w:keepNext/>
      </w:pPr>
      <w:r>
        <w:tab/>
        <w:t>(3)</w:t>
      </w:r>
      <w:r>
        <w:tab/>
        <w:t xml:space="preserve">If the </w:t>
      </w:r>
      <w:r>
        <w:rPr>
          <w:i/>
        </w:rPr>
        <w:t>Heritage Act 2018</w:t>
      </w:r>
      <w:r>
        <w:t xml:space="preserve"> section 76(3) applies, the holder of an approval given by the Commission under section 135 or 136 in respect of land to which this section applies is not to give effect to that approval — </w:t>
      </w:r>
    </w:p>
    <w:p>
      <w:pPr>
        <w:pStyle w:val="Indenta"/>
      </w:pPr>
      <w:r>
        <w:tab/>
        <w:t>(a)</w:t>
      </w:r>
      <w:r>
        <w:tab/>
        <w:t xml:space="preserve">during such time as the operation of the approval is suspended the </w:t>
      </w:r>
      <w:r>
        <w:rPr>
          <w:i/>
        </w:rPr>
        <w:t>Heritage Act 2018</w:t>
      </w:r>
      <w:r>
        <w:t xml:space="preserve"> section 76(3); or</w:t>
      </w:r>
    </w:p>
    <w:p>
      <w:pPr>
        <w:pStyle w:val="Indenta"/>
      </w:pPr>
      <w:r>
        <w:tab/>
        <w:t>(b)</w:t>
      </w:r>
      <w:r>
        <w:tab/>
        <w:t xml:space="preserve">otherwise than in accordance with the </w:t>
      </w:r>
      <w:r>
        <w:rPr>
          <w:i/>
        </w:rPr>
        <w:t>Heritage Act 2018</w:t>
      </w:r>
      <w:r>
        <w:t xml:space="preserve"> section 76(6).</w:t>
      </w:r>
    </w:p>
    <w:p>
      <w:pPr>
        <w:pStyle w:val="Ednotesubsection"/>
      </w:pPr>
      <w:r>
        <w:tab/>
        <w:t>[(4)</w:t>
      </w:r>
      <w:r>
        <w:tab/>
        <w:t>deleted]</w:t>
      </w:r>
    </w:p>
    <w:p>
      <w:pPr>
        <w:pStyle w:val="Footnotesection"/>
      </w:pPr>
      <w:r>
        <w:tab/>
        <w:t>[Section 137 amended: No. 22 of 2018 s. 186(8)-(11).]</w:t>
      </w:r>
    </w:p>
    <w:p>
      <w:pPr>
        <w:pStyle w:val="Heading5"/>
      </w:pPr>
      <w:bookmarkStart w:id="182" w:name="_Toc155166005"/>
      <w:r>
        <w:rPr>
          <w:rStyle w:val="CharSectno"/>
        </w:rPr>
        <w:t>138</w:t>
      </w:r>
      <w:r>
        <w:t>.</w:t>
      </w:r>
      <w:r>
        <w:tab/>
        <w:t>Commission’s functions when approving subdivision etc.</w:t>
      </w:r>
      <w:bookmarkEnd w:id="182"/>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keepNext/>
        <w:spacing w:before="180"/>
      </w:pPr>
      <w:r>
        <w:lastRenderedPageBreak/>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83" w:name="_Toc155166006"/>
      <w:r>
        <w:rPr>
          <w:rStyle w:val="CharSectno"/>
        </w:rPr>
        <w:lastRenderedPageBreak/>
        <w:t>138A</w:t>
      </w:r>
      <w:r>
        <w:t>.</w:t>
      </w:r>
      <w:r>
        <w:tab/>
        <w:t>Commission’s functions when approving subdivision etc. in Swan Valley</w:t>
      </w:r>
      <w:bookmarkEnd w:id="183"/>
    </w:p>
    <w:p>
      <w:pPr>
        <w:pStyle w:val="Subsection"/>
      </w:pPr>
      <w:r>
        <w:tab/>
        <w:t>(1)</w:t>
      </w:r>
      <w:r>
        <w:tab/>
        <w:t xml:space="preserve">In this section — </w:t>
      </w:r>
    </w:p>
    <w:p>
      <w:pPr>
        <w:pStyle w:val="Defstart"/>
      </w:pPr>
      <w:r>
        <w:tab/>
      </w:r>
      <w:r>
        <w:rPr>
          <w:rStyle w:val="CharDefText"/>
        </w:rPr>
        <w:t>scheme start day</w:t>
      </w:r>
      <w:r>
        <w:t xml:space="preserve"> means the day on which the first Swan Valley Planning Scheme comes into operation under the </w:t>
      </w:r>
      <w:r>
        <w:rPr>
          <w:i/>
        </w:rPr>
        <w:t>Swan Valley Planning Act 2020</w:t>
      </w:r>
      <w:r>
        <w:t>.</w:t>
      </w:r>
    </w:p>
    <w:p>
      <w:pPr>
        <w:pStyle w:val="Subsection"/>
      </w:pPr>
      <w:r>
        <w:tab/>
        <w:t>(2)</w:t>
      </w:r>
      <w:r>
        <w:tab/>
        <w:t xml:space="preserve">On and after the scheme start day, section 138(2) to (4) do not apply in relation to the Commission giving an approval under section 135 or 136 relating to land in the Swan Valley (a </w:t>
      </w:r>
      <w:r>
        <w:rPr>
          <w:rStyle w:val="CharDefText"/>
        </w:rPr>
        <w:t>Swan Valley approval</w:t>
      </w:r>
      <w:r>
        <w:t>).</w:t>
      </w:r>
    </w:p>
    <w:p>
      <w:pPr>
        <w:pStyle w:val="Subsection"/>
      </w:pPr>
      <w:r>
        <w:tab/>
        <w:t>(3)</w:t>
      </w:r>
      <w:r>
        <w:tab/>
        <w:t xml:space="preserve">Subject to subsection (4), in giving a Swan Valley approval on or after the scheme start day, the Commission — </w:t>
      </w:r>
    </w:p>
    <w:p>
      <w:pPr>
        <w:pStyle w:val="Indenta"/>
      </w:pPr>
      <w:r>
        <w:tab/>
        <w:t>(a)</w:t>
      </w:r>
      <w:r>
        <w:tab/>
        <w:t>must have regard to the provisions of the Swan Valley Planning Scheme; and</w:t>
      </w:r>
    </w:p>
    <w:p>
      <w:pPr>
        <w:pStyle w:val="Indenta"/>
      </w:pPr>
      <w:r>
        <w:tab/>
        <w:t>(b)</w:t>
      </w:r>
      <w:r>
        <w:tab/>
        <w:t>must not give an approval that conflicts with the provisions of the Swan Valley Planning Scheme.</w:t>
      </w:r>
    </w:p>
    <w:p>
      <w:pPr>
        <w:pStyle w:val="Subsection"/>
      </w:pPr>
      <w:r>
        <w:tab/>
        <w:t>(4)</w:t>
      </w:r>
      <w:r>
        <w:tab/>
        <w:t>The Commission may give a Swan Valley approval that conflicts with the provisions of the Swan Valley Planning Scheme on or after the scheme start day if the approval is given in circumstances set out in the regulations.</w:t>
      </w:r>
    </w:p>
    <w:p>
      <w:pPr>
        <w:pStyle w:val="Footnotesection"/>
      </w:pPr>
      <w:r>
        <w:tab/>
        <w:t>[Section 138A inserted: No. 45 of 2020 s. 79.]</w:t>
      </w:r>
    </w:p>
    <w:p>
      <w:pPr>
        <w:pStyle w:val="Heading5"/>
      </w:pPr>
      <w:bookmarkStart w:id="184" w:name="_Toc155166007"/>
      <w:r>
        <w:rPr>
          <w:rStyle w:val="CharSectno"/>
        </w:rPr>
        <w:t>139</w:t>
      </w:r>
      <w:r>
        <w:t>.</w:t>
      </w:r>
      <w:r>
        <w:tab/>
        <w:t>Leases and licences that do not need approval under s. 136</w:t>
      </w:r>
      <w:bookmarkEnd w:id="184"/>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lastRenderedPageBreak/>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85" w:name="_Toc155166008"/>
      <w:r>
        <w:rPr>
          <w:rStyle w:val="CharSectno"/>
        </w:rPr>
        <w:t>140</w:t>
      </w:r>
      <w:r>
        <w:t>.</w:t>
      </w:r>
      <w:r>
        <w:tab/>
        <w:t>Saving of some agreements entered into without approval under s. 136</w:t>
      </w:r>
      <w:bookmarkEnd w:id="185"/>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w:t>
      </w:r>
      <w:r>
        <w:lastRenderedPageBreak/>
        <w:t xml:space="preserve">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86" w:name="_Toc155166009"/>
      <w:r>
        <w:rPr>
          <w:rStyle w:val="CharSectno"/>
        </w:rPr>
        <w:t>141</w:t>
      </w:r>
      <w:r>
        <w:t>.</w:t>
      </w:r>
      <w:r>
        <w:tab/>
        <w:t>Refund where land transaction cannot be completed</w:t>
      </w:r>
      <w:bookmarkEnd w:id="186"/>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lastRenderedPageBreak/>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87" w:name="_Toc155166010"/>
      <w:r>
        <w:rPr>
          <w:rStyle w:val="CharSectno"/>
        </w:rPr>
        <w:t>142</w:t>
      </w:r>
      <w:r>
        <w:t>.</w:t>
      </w:r>
      <w:r>
        <w:tab/>
        <w:t>Consultation requirements as to proposed subdivision</w:t>
      </w:r>
      <w:bookmarkEnd w:id="187"/>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w:t>
      </w:r>
      <w:r>
        <w:lastRenderedPageBreak/>
        <w:t xml:space="preserve">that it is to be taken to have no </w:t>
      </w:r>
      <w:r>
        <w:rPr>
          <w:rFonts w:ascii="Times" w:hAnsi="Times"/>
        </w:rPr>
        <w:t>obj</w:t>
      </w:r>
      <w:r>
        <w:t>ections or recommendations to make or advice to give.</w:t>
      </w:r>
    </w:p>
    <w:p>
      <w:pPr>
        <w:pStyle w:val="Heading5"/>
      </w:pPr>
      <w:bookmarkStart w:id="188" w:name="_Toc155166011"/>
      <w:r>
        <w:rPr>
          <w:rStyle w:val="CharSectno"/>
        </w:rPr>
        <w:t>143</w:t>
      </w:r>
      <w:r>
        <w:t>.</w:t>
      </w:r>
      <w:r>
        <w:tab/>
        <w:t>Commission’s duties when dealing with plan of subdivision</w:t>
      </w:r>
      <w:bookmarkEnd w:id="188"/>
    </w:p>
    <w:p>
      <w:pPr>
        <w:pStyle w:val="Subsection"/>
        <w:keepNext/>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89" w:name="_Toc155166012"/>
      <w:r>
        <w:rPr>
          <w:rStyle w:val="CharSectno"/>
        </w:rPr>
        <w:t>144</w:t>
      </w:r>
      <w:r>
        <w:t>.</w:t>
      </w:r>
      <w:r>
        <w:tab/>
        <w:t>Reconsidering refusal to approve plan of subdivision</w:t>
      </w:r>
      <w:bookmarkEnd w:id="189"/>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lastRenderedPageBreak/>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90" w:name="_Toc155166013"/>
      <w:r>
        <w:rPr>
          <w:rStyle w:val="CharSectno"/>
        </w:rPr>
        <w:t>145</w:t>
      </w:r>
      <w:r>
        <w:t>.</w:t>
      </w:r>
      <w:r>
        <w:tab/>
        <w:t>Diagram or plan of survey of approved plan of subdivision, approval of</w:t>
      </w:r>
      <w:bookmarkEnd w:id="190"/>
    </w:p>
    <w:p>
      <w:pPr>
        <w:pStyle w:val="Subsection"/>
        <w:keepNext/>
      </w:pPr>
      <w:r>
        <w:tab/>
        <w:t>(1)</w:t>
      </w:r>
      <w:r>
        <w:tab/>
        <w:t>A person to whom approval of a plan of subdivision has been given may, within the period that applies under section 145A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Ednotesubsection"/>
      </w:pPr>
      <w:r>
        <w:tab/>
        <w:t>[(2)</w:t>
      </w:r>
      <w:r>
        <w:tab/>
        <w:t>deleted]</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the Commission must endorse its approval on the diagram or plan of survey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 xml:space="preserve">if that approval was given subject to conditions — </w:t>
      </w:r>
    </w:p>
    <w:p>
      <w:pPr>
        <w:pStyle w:val="Indenti"/>
      </w:pPr>
      <w:r>
        <w:tab/>
        <w:t>(i)</w:t>
      </w:r>
      <w:r>
        <w:tab/>
        <w:t>the conditions (other than any conditions to which subparagraph (ii) applies) have been complied with; and</w:t>
      </w:r>
    </w:p>
    <w:p>
      <w:pPr>
        <w:pStyle w:val="Indenti"/>
      </w:pPr>
      <w:r>
        <w:lastRenderedPageBreak/>
        <w:tab/>
        <w:t>(ii)</w:t>
      </w:r>
      <w:r>
        <w:tab/>
        <w:t>any conditions that cannot be complied with until a certificate of title is created or registered will be complied with at that time.</w:t>
      </w:r>
    </w:p>
    <w:p>
      <w:pPr>
        <w:pStyle w:val="Subsection"/>
      </w:pPr>
      <w:r>
        <w:tab/>
        <w:t>(4A)</w:t>
      </w:r>
      <w:r>
        <w:tab/>
        <w:t>In the case of a diagram or plan of survey submitted in relation to a stage of subdivision, the conditions to which subsection (4)(b) applies are the conditions imposed on the approval in relation to that stage of subdivision or that, in the opinion of the Commission, are relevant to that stage of subdivision or the subdivision as a whole.</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Footnotesection"/>
      </w:pPr>
      <w:r>
        <w:tab/>
        <w:t>[Section 145 amended: No. 26 of 2020 s. 90.]</w:t>
      </w:r>
    </w:p>
    <w:p>
      <w:pPr>
        <w:pStyle w:val="Heading5"/>
      </w:pPr>
      <w:bookmarkStart w:id="191" w:name="_Toc155166014"/>
      <w:r>
        <w:rPr>
          <w:rStyle w:val="CharSectno"/>
        </w:rPr>
        <w:t>145A</w:t>
      </w:r>
      <w:r>
        <w:t>.</w:t>
      </w:r>
      <w:r>
        <w:tab/>
        <w:t>Period for submission of diagram or plan of survey for approval by Commission</w:t>
      </w:r>
      <w:bookmarkEnd w:id="191"/>
    </w:p>
    <w:p>
      <w:pPr>
        <w:pStyle w:val="Subsection"/>
      </w:pPr>
      <w:r>
        <w:tab/>
        <w:t>(1)</w:t>
      </w:r>
      <w:r>
        <w:tab/>
        <w:t xml:space="preserve">Subject to any extension granted under subsection (2), the period within which a person to whom approval of a plan of subdivision was given must submit, and request approval of, a </w:t>
      </w:r>
      <w:r>
        <w:lastRenderedPageBreak/>
        <w:t xml:space="preserve">diagram or plan of survey of the subdivision under section 145(1) is — </w:t>
      </w:r>
    </w:p>
    <w:p>
      <w:pPr>
        <w:pStyle w:val="Indenta"/>
      </w:pPr>
      <w:r>
        <w:tab/>
        <w:t>(a)</w:t>
      </w:r>
      <w:r>
        <w:tab/>
        <w:t>in relation to a plan of subdivision creating more than 5 lots — the period of 4 years beginning on the day on which the Commission approved the plan of subdivision; and</w:t>
      </w:r>
    </w:p>
    <w:p>
      <w:pPr>
        <w:pStyle w:val="Indenta"/>
      </w:pPr>
      <w:r>
        <w:tab/>
        <w:t>(b)</w:t>
      </w:r>
      <w:r>
        <w:tab/>
        <w:t>in any other case — the period of 3 years beginning on the day on which the Commission approved the plan of subdivision.</w:t>
      </w:r>
    </w:p>
    <w:p>
      <w:pPr>
        <w:pStyle w:val="Subsection"/>
      </w:pPr>
      <w:r>
        <w:tab/>
        <w:t>(2)</w:t>
      </w:r>
      <w:r>
        <w:tab/>
        <w:t>On the application of a person to whom approval of a plan of subdivision has been given, the Commission may, by written notice, grant an extension of 2 years to the period that would otherwise apply under subsection (1).</w:t>
      </w:r>
    </w:p>
    <w:p>
      <w:pPr>
        <w:pStyle w:val="Subsection"/>
      </w:pPr>
      <w:r>
        <w:tab/>
        <w:t>(3)</w:t>
      </w:r>
      <w:r>
        <w:tab/>
        <w:t>An application under subsection (2) must be made in the manner and form approved by the Commission.</w:t>
      </w:r>
    </w:p>
    <w:p>
      <w:pPr>
        <w:pStyle w:val="Subsection"/>
      </w:pPr>
      <w:r>
        <w:tab/>
        <w:t>(4)</w:t>
      </w:r>
      <w:r>
        <w:tab/>
        <w:t>The Commission must not grant an extension under subsection (2) unless the Commission is satisfied that —</w:t>
      </w:r>
    </w:p>
    <w:p>
      <w:pPr>
        <w:pStyle w:val="Indenta"/>
      </w:pPr>
      <w:r>
        <w:tab/>
        <w:t>(a)</w:t>
      </w:r>
      <w:r>
        <w:tab/>
        <w:t>the applicant has done everything that is reasonably practicable to enable the applicant to submit, and request approval of, the diagram or plan of survey in accordance with section 145(1) within the period that would otherwise apply under subsection (1); and</w:t>
      </w:r>
    </w:p>
    <w:p>
      <w:pPr>
        <w:pStyle w:val="Indenta"/>
      </w:pPr>
      <w:r>
        <w:tab/>
        <w:t>(b)</w:t>
      </w:r>
      <w:r>
        <w:tab/>
        <w:t>since the approval of the plan of subdivision was granted, there have been no significant changes to the requirements that apply under this Act to the area covered by the plan of subdivision.</w:t>
      </w:r>
    </w:p>
    <w:p>
      <w:pPr>
        <w:pStyle w:val="Subsection"/>
      </w:pPr>
      <w:r>
        <w:tab/>
        <w:t>(5)</w:t>
      </w:r>
      <w:r>
        <w:tab/>
        <w:t>The Commission must not grant more than 1 extension under this section in relation to a plan of subdivision.</w:t>
      </w:r>
    </w:p>
    <w:p>
      <w:pPr>
        <w:pStyle w:val="Subsection"/>
      </w:pPr>
      <w:r>
        <w:tab/>
        <w:t>(6)</w:t>
      </w:r>
      <w:r>
        <w:tab/>
        <w:t>The Commission must try to deal with an application under subsection (2) within the period of 30 days after the day on which the application is made or within such longer period after that day as may be agreed in writing between the Commission and the applicant.</w:t>
      </w:r>
    </w:p>
    <w:p>
      <w:pPr>
        <w:pStyle w:val="Subsection"/>
      </w:pPr>
      <w:r>
        <w:lastRenderedPageBreak/>
        <w:tab/>
        <w:t>(7)</w:t>
      </w:r>
      <w:r>
        <w:tab/>
        <w:t xml:space="preserve">If an extension is granted under subsection (2) after the expiry of the period that would otherwise have applied under subsection (1) (the </w:t>
      </w:r>
      <w:r>
        <w:rPr>
          <w:rStyle w:val="CharDefText"/>
        </w:rPr>
        <w:t>original period</w:t>
      </w:r>
      <w:r>
        <w:t>), the approval of the plan of subdivision is taken not to have ceased to have effect under section 145(7) at the end of the original period.</w:t>
      </w:r>
    </w:p>
    <w:p>
      <w:pPr>
        <w:pStyle w:val="Footnotesection"/>
      </w:pPr>
      <w:r>
        <w:tab/>
        <w:t>[Section 145A inserted: No. 26 of 2020 s. 91.]</w:t>
      </w:r>
    </w:p>
    <w:p>
      <w:pPr>
        <w:pStyle w:val="Heading5"/>
      </w:pPr>
      <w:bookmarkStart w:id="192" w:name="_Toc155166015"/>
      <w:r>
        <w:rPr>
          <w:rStyle w:val="CharSectno"/>
        </w:rPr>
        <w:t>146</w:t>
      </w:r>
      <w:r>
        <w:t>.</w:t>
      </w:r>
      <w:r>
        <w:tab/>
        <w:t>No certificate of title for subdivided land without approved diagram or plan of survey</w:t>
      </w:r>
      <w:bookmarkEnd w:id="192"/>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keepNext/>
        <w:spacing w:before="180"/>
      </w:pPr>
      <w:r>
        <w:lastRenderedPageBreak/>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No. 60 of 2006 s. 147(3).]</w:t>
      </w:r>
    </w:p>
    <w:p>
      <w:pPr>
        <w:pStyle w:val="Heading5"/>
        <w:spacing w:before="180"/>
      </w:pPr>
      <w:bookmarkStart w:id="193" w:name="_Toc155166016"/>
      <w:r>
        <w:rPr>
          <w:rStyle w:val="CharSectno"/>
        </w:rPr>
        <w:t>147</w:t>
      </w:r>
      <w:r>
        <w:t>.</w:t>
      </w:r>
      <w:r>
        <w:tab/>
        <w:t>No registration etc. of some land dealings without Commission’s approval</w:t>
      </w:r>
      <w:bookmarkEnd w:id="193"/>
    </w:p>
    <w:p>
      <w:pPr>
        <w:pStyle w:val="Subsection"/>
        <w:keepNext/>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lastRenderedPageBreak/>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94" w:name="_Toc155166017"/>
      <w:r>
        <w:rPr>
          <w:rStyle w:val="CharDivNo"/>
        </w:rPr>
        <w:t>Division 3</w:t>
      </w:r>
      <w:r>
        <w:t> — </w:t>
      </w:r>
      <w:r>
        <w:rPr>
          <w:rStyle w:val="CharDivText"/>
        </w:rPr>
        <w:t>Conditions of subdivision</w:t>
      </w:r>
      <w:bookmarkEnd w:id="194"/>
    </w:p>
    <w:p>
      <w:pPr>
        <w:pStyle w:val="Ednotesection"/>
      </w:pPr>
      <w:r>
        <w:t>[</w:t>
      </w:r>
      <w:r>
        <w:rPr>
          <w:b/>
        </w:rPr>
        <w:t>148</w:t>
      </w:r>
      <w:r>
        <w:t>.</w:t>
      </w:r>
      <w:r>
        <w:tab/>
        <w:t>Deleted: No. 30 of 2018 s. 163.]</w:t>
      </w:r>
    </w:p>
    <w:p>
      <w:pPr>
        <w:pStyle w:val="Ednotesection"/>
      </w:pPr>
      <w:r>
        <w:t>[</w:t>
      </w:r>
      <w:r>
        <w:rPr>
          <w:b/>
        </w:rPr>
        <w:t>149.</w:t>
      </w:r>
      <w:r>
        <w:tab/>
        <w:t>Has not come into operation.]</w:t>
      </w:r>
    </w:p>
    <w:p>
      <w:pPr>
        <w:pStyle w:val="Heading5"/>
      </w:pPr>
      <w:bookmarkStart w:id="195" w:name="_Toc155166018"/>
      <w:r>
        <w:rPr>
          <w:rStyle w:val="CharSectno"/>
        </w:rPr>
        <w:t>150</w:t>
      </w:r>
      <w:r>
        <w:t>.</w:t>
      </w:r>
      <w:r>
        <w:tab/>
        <w:t>Road access, conditions as to</w:t>
      </w:r>
      <w:bookmarkEnd w:id="195"/>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keepNext/>
      </w:pPr>
      <w:r>
        <w:tab/>
        <w:t>(b)</w:t>
      </w:r>
      <w:r>
        <w:tab/>
        <w:t xml:space="preserve">it is shown on the plan or diagram that access to and from any portion of land shown on the plan or diagram to and from a road abutting the portion of land is subject </w:t>
      </w:r>
      <w:r>
        <w:lastRenderedPageBreak/>
        <w:t>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No. 60 of 2006 s. 147(4); No. 30 of 2018 s. 164.]</w:t>
      </w:r>
    </w:p>
    <w:p>
      <w:pPr>
        <w:pStyle w:val="Heading5"/>
      </w:pPr>
      <w:bookmarkStart w:id="196" w:name="_Toc155166019"/>
      <w:r>
        <w:rPr>
          <w:rStyle w:val="CharSectno"/>
        </w:rPr>
        <w:t>151</w:t>
      </w:r>
      <w:r>
        <w:t>.</w:t>
      </w:r>
      <w:r>
        <w:tab/>
        <w:t>Reconsidering conditions</w:t>
      </w:r>
      <w:bookmarkEnd w:id="196"/>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97" w:name="_Toc155166020"/>
      <w:r>
        <w:rPr>
          <w:rStyle w:val="CharSectno"/>
        </w:rPr>
        <w:t>152</w:t>
      </w:r>
      <w:r>
        <w:t>.</w:t>
      </w:r>
      <w:r>
        <w:tab/>
        <w:t>Certain land to vest in Crown</w:t>
      </w:r>
      <w:bookmarkEnd w:id="197"/>
    </w:p>
    <w:p>
      <w:pPr>
        <w:pStyle w:val="Subsection"/>
      </w:pPr>
      <w:r>
        <w:tab/>
        <w:t>(1)</w:t>
      </w:r>
      <w:r>
        <w:tab/>
        <w:t xml:space="preserve">If the Commission has approved a subdivision of land subject to a condition that one or more portions of land shown on a </w:t>
      </w:r>
      <w:r>
        <w:lastRenderedPageBreak/>
        <w:t xml:space="preserve">diagram or plan of survey relating to the subdivision or a scheme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scheme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lastRenderedPageBreak/>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Footnotesection"/>
      </w:pPr>
      <w:r>
        <w:tab/>
        <w:t>[Section 152 amended: No. 30 of 2018 s. 165.]</w:t>
      </w:r>
    </w:p>
    <w:p>
      <w:pPr>
        <w:pStyle w:val="Heading5"/>
      </w:pPr>
      <w:bookmarkStart w:id="198" w:name="_Toc155166021"/>
      <w:r>
        <w:rPr>
          <w:rStyle w:val="CharSectno"/>
        </w:rPr>
        <w:t>153</w:t>
      </w:r>
      <w:r>
        <w:t>.</w:t>
      </w:r>
      <w:r>
        <w:tab/>
        <w:t>Setting aside land for open space or payment in lieu</w:t>
      </w:r>
      <w:bookmarkEnd w:id="198"/>
    </w:p>
    <w:p>
      <w:pPr>
        <w:pStyle w:val="Subsection"/>
      </w:pPr>
      <w:r>
        <w:tab/>
        <w:t>(1)</w:t>
      </w:r>
      <w:r>
        <w:tab/>
        <w:t xml:space="preserve">The Commission may under section 143(1)(c) impose either of the following conditions on the approval of a plan of subdivision of land — </w:t>
      </w:r>
    </w:p>
    <w:p>
      <w:pPr>
        <w:pStyle w:val="Indenta"/>
      </w:pPr>
      <w:r>
        <w:tab/>
        <w:t>(a)</w:t>
      </w:r>
      <w:r>
        <w:tab/>
        <w:t>a requirement that a specified portion of the land be set aside and vested in the Crown for parks, recreation grounds or open spaces generally;</w:t>
      </w:r>
    </w:p>
    <w:p>
      <w:pPr>
        <w:pStyle w:val="Indenta"/>
      </w:pPr>
      <w:r>
        <w:tab/>
        <w:t>(b)</w:t>
      </w:r>
      <w:r>
        <w:tab/>
        <w:t xml:space="preserve">a requirement that the owner of the land make a payment to the local government in whose district the land is situated of a sum that represents the value of a specified portion of the land in lieu of a requirement to set aside </w:t>
      </w:r>
      <w:r>
        <w:lastRenderedPageBreak/>
        <w:t>and vest in the Crown that portion of the land for parks, recreation grounds or open spaces generally.</w:t>
      </w:r>
    </w:p>
    <w:p>
      <w:pPr>
        <w:pStyle w:val="Subsection"/>
      </w:pPr>
      <w:r>
        <w:tab/>
        <w:t>(2)</w:t>
      </w:r>
      <w:r>
        <w:tab/>
        <w:t>The Commission must not impose a requirement referred to in subsection (1)(b) unless the local government in whose district the land is situated has been consulted.</w:t>
      </w:r>
    </w:p>
    <w:p>
      <w:pPr>
        <w:pStyle w:val="Subsection"/>
      </w:pPr>
      <w:r>
        <w:tab/>
        <w:t>(3)</w:t>
      </w:r>
      <w:r>
        <w:tab/>
        <w:t>The Commission must not impose a requirement referred to in subsection (1)(b) in respect of a plan of subdivision that creates fewer than 3 lots.</w:t>
      </w:r>
    </w:p>
    <w:p>
      <w:pPr>
        <w:pStyle w:val="Subsection"/>
      </w:pPr>
      <w:r>
        <w:tab/>
        <w:t>(4)</w:t>
      </w:r>
      <w:r>
        <w:tab/>
        <w:t>If the Commission has imposed a condition referred to in subsection (1)(a) on an approval of a plan of subdivision, the Commission may, with the agreement of the local government in whose district the land is situated, consent to the owner of the land making a payment to the local government of a sum that represents the value of a portion of the land in lieu of setting aside that portion.</w:t>
      </w:r>
    </w:p>
    <w:p>
      <w:pPr>
        <w:pStyle w:val="Subsection"/>
      </w:pPr>
      <w:r>
        <w:tab/>
        <w:t>(5)</w:t>
      </w:r>
      <w:r>
        <w:tab/>
        <w:t>This section does not limit any other condition that the Commission may impose under section 143(1)(c).</w:t>
      </w:r>
    </w:p>
    <w:p>
      <w:pPr>
        <w:pStyle w:val="Footnotesection"/>
      </w:pPr>
      <w:r>
        <w:tab/>
        <w:t>[Section 153 inserted: No. 26 of 2020 s. 85.]</w:t>
      </w:r>
    </w:p>
    <w:p>
      <w:pPr>
        <w:pStyle w:val="Heading5"/>
      </w:pPr>
      <w:bookmarkStart w:id="199" w:name="_Toc155166022"/>
      <w:r>
        <w:rPr>
          <w:rStyle w:val="CharSectno"/>
        </w:rPr>
        <w:t>154</w:t>
      </w:r>
      <w:r>
        <w:t>.</w:t>
      </w:r>
      <w:r>
        <w:tab/>
        <w:t>Money paid in lieu of open space, application of</w:t>
      </w:r>
      <w:bookmarkEnd w:id="199"/>
    </w:p>
    <w:p>
      <w:pPr>
        <w:pStyle w:val="Subsection"/>
        <w:spacing w:before="120"/>
      </w:pPr>
      <w:r>
        <w:tab/>
        <w:t>(1)</w:t>
      </w:r>
      <w:r>
        <w:tab/>
        <w:t xml:space="preserve">All money received by a local government under section 153 is to be paid into a separate reserve account established and maintained under the </w:t>
      </w:r>
      <w:r>
        <w:rPr>
          <w:i/>
        </w:rPr>
        <w:t>Local Government Act 1995</w:t>
      </w:r>
      <w:r>
        <w:t xml:space="preserve"> section 6.11 for the purposes set out in subsection (2)(a) to (d).</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lastRenderedPageBreak/>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Footnotesection"/>
      </w:pPr>
      <w:r>
        <w:tab/>
        <w:t>[Section 154 amended: No. 26 of 2020 s. 86.]</w:t>
      </w:r>
    </w:p>
    <w:p>
      <w:pPr>
        <w:pStyle w:val="Heading5"/>
        <w:spacing w:before="180"/>
      </w:pPr>
      <w:bookmarkStart w:id="200" w:name="_Toc155166023"/>
      <w:r>
        <w:rPr>
          <w:rStyle w:val="CharSectno"/>
        </w:rPr>
        <w:t>155</w:t>
      </w:r>
      <w:r>
        <w:t>.</w:t>
      </w:r>
      <w:r>
        <w:tab/>
        <w:t>Value of land for s. 153, how determined</w:t>
      </w:r>
      <w:bookmarkEnd w:id="200"/>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keepLines/>
        <w:spacing w:before="60"/>
      </w:pPr>
      <w:r>
        <w:tab/>
        <w:t>(a)</w:t>
      </w:r>
      <w:r>
        <w:tab/>
        <w:t xml:space="preserve">a licensed valuer as defined in the </w:t>
      </w:r>
      <w:r>
        <w:rPr>
          <w:i/>
        </w:rPr>
        <w:t>Land Valuers Licensing Act 1978</w:t>
      </w:r>
      <w:r>
        <w:t>; or</w:t>
      </w:r>
    </w:p>
    <w:p>
      <w:pPr>
        <w:pStyle w:val="Defpara"/>
        <w:keepNext/>
        <w:keepLines/>
        <w:spacing w:before="60"/>
      </w:pPr>
      <w:r>
        <w:tab/>
        <w:t>(b)</w:t>
      </w:r>
      <w:r>
        <w:tab/>
        <w:t>the Valuer</w:t>
      </w:r>
      <w:r>
        <w:noBreakHyphen/>
        <w:t>General,</w:t>
      </w:r>
    </w:p>
    <w:p>
      <w:pPr>
        <w:pStyle w:val="Defstart"/>
        <w:keepLines/>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lastRenderedPageBreak/>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keepNext/>
      </w:pPr>
      <w:r>
        <w:lastRenderedPageBreak/>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201" w:name="_Toc155166024"/>
      <w:r>
        <w:rPr>
          <w:rStyle w:val="CharSectno"/>
        </w:rPr>
        <w:t>156</w:t>
      </w:r>
      <w:r>
        <w:t>.</w:t>
      </w:r>
      <w:r>
        <w:tab/>
        <w:t>Valuation under s. 155, dispute as to</w:t>
      </w:r>
      <w:bookmarkEnd w:id="201"/>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No. 23 of 2012 s. 45.]</w:t>
      </w:r>
    </w:p>
    <w:p>
      <w:pPr>
        <w:pStyle w:val="Heading5"/>
      </w:pPr>
      <w:bookmarkStart w:id="202" w:name="_Toc155166025"/>
      <w:r>
        <w:rPr>
          <w:rStyle w:val="CharSectno"/>
        </w:rPr>
        <w:t>157</w:t>
      </w:r>
      <w:r>
        <w:t>.</w:t>
      </w:r>
      <w:r>
        <w:tab/>
        <w:t>When approval of subdivision deemed to be approval under planning scheme</w:t>
      </w:r>
      <w:bookmarkEnd w:id="202"/>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 xml:space="preserve">When approving a plan of subdivision the Commission may determine that the approval is not to be taken under subsection (1) to be approval by the responsible authority under </w:t>
      </w:r>
      <w:r>
        <w:lastRenderedPageBreak/>
        <w:t>the planning scheme of the carrying out of works specified in the determination, and the determination has effect accordingly.</w:t>
      </w:r>
    </w:p>
    <w:p>
      <w:pPr>
        <w:pStyle w:val="Heading3"/>
      </w:pPr>
      <w:bookmarkStart w:id="203" w:name="_Toc155166026"/>
      <w:r>
        <w:rPr>
          <w:rStyle w:val="CharDivNo"/>
        </w:rPr>
        <w:t>Division 4</w:t>
      </w:r>
      <w:r>
        <w:t> — </w:t>
      </w:r>
      <w:r>
        <w:rPr>
          <w:rStyle w:val="CharDivText"/>
        </w:rPr>
        <w:t>Subdivision costs</w:t>
      </w:r>
      <w:bookmarkEnd w:id="203"/>
    </w:p>
    <w:p>
      <w:pPr>
        <w:pStyle w:val="Heading5"/>
      </w:pPr>
      <w:bookmarkStart w:id="204" w:name="_Toc155166027"/>
      <w:r>
        <w:rPr>
          <w:rStyle w:val="CharSectno"/>
        </w:rPr>
        <w:t>158</w:t>
      </w:r>
      <w:r>
        <w:t>.</w:t>
      </w:r>
      <w:r>
        <w:tab/>
        <w:t>Expenses of construction etc. of roads etc.</w:t>
      </w:r>
      <w:bookmarkEnd w:id="204"/>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 xml:space="preserve">The local government may require the person to employ a consulting engineer and clerk of works to design and supervise </w:t>
      </w:r>
      <w:r>
        <w:lastRenderedPageBreak/>
        <w:t>the construction and drainage and that person, when required to do so by the local government, is to carry out the requirement.</w:t>
      </w:r>
    </w:p>
    <w:p>
      <w:pPr>
        <w:pStyle w:val="Heading5"/>
        <w:spacing w:before="240"/>
      </w:pPr>
      <w:bookmarkStart w:id="205" w:name="_Toc155166028"/>
      <w:r>
        <w:rPr>
          <w:rStyle w:val="CharSectno"/>
        </w:rPr>
        <w:t>159</w:t>
      </w:r>
      <w:r>
        <w:t>.</w:t>
      </w:r>
      <w:r>
        <w:tab/>
        <w:t>Subdivider may recover portion of road costs from later subdivider</w:t>
      </w:r>
      <w:bookmarkEnd w:id="205"/>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pPr>
      <w:r>
        <w:tab/>
        <w:t>(2)</w:t>
      </w:r>
      <w:r>
        <w:tab/>
        <w:t xml:space="preserve">In this section — </w:t>
      </w:r>
    </w:p>
    <w:p>
      <w:pPr>
        <w:pStyle w:val="Defstart"/>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w:t>
      </w:r>
      <w:r>
        <w:lastRenderedPageBreak/>
        <w:t>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206" w:name="_Toc155166029"/>
      <w:r>
        <w:rPr>
          <w:rStyle w:val="CharSectno"/>
        </w:rPr>
        <w:t>160</w:t>
      </w:r>
      <w:r>
        <w:t>.</w:t>
      </w:r>
      <w:r>
        <w:tab/>
        <w:t>Money payable under s. 159, recovery of</w:t>
      </w:r>
      <w:bookmarkEnd w:id="206"/>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207" w:name="_Toc155166030"/>
      <w:r>
        <w:rPr>
          <w:rStyle w:val="CharSectno"/>
        </w:rPr>
        <w:lastRenderedPageBreak/>
        <w:t>161</w:t>
      </w:r>
      <w:r>
        <w:t>.</w:t>
      </w:r>
      <w:r>
        <w:tab/>
        <w:t>When subdivision occurs</w:t>
      </w:r>
      <w:bookmarkEnd w:id="207"/>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208" w:name="_Toc155166031"/>
      <w:r>
        <w:rPr>
          <w:rStyle w:val="CharDivNo"/>
        </w:rPr>
        <w:t>Division 5</w:t>
      </w:r>
      <w:r>
        <w:t> — </w:t>
      </w:r>
      <w:r>
        <w:rPr>
          <w:rStyle w:val="CharDivText"/>
        </w:rPr>
        <w:t>Development controls</w:t>
      </w:r>
      <w:bookmarkEnd w:id="208"/>
    </w:p>
    <w:p>
      <w:pPr>
        <w:pStyle w:val="Heading5"/>
        <w:spacing w:before="180"/>
      </w:pPr>
      <w:bookmarkStart w:id="209" w:name="_Toc155166032"/>
      <w:r>
        <w:rPr>
          <w:rStyle w:val="CharSectno"/>
        </w:rPr>
        <w:t>162</w:t>
      </w:r>
      <w:r>
        <w:t>.</w:t>
      </w:r>
      <w:r>
        <w:tab/>
        <w:t>No development except with approval</w:t>
      </w:r>
      <w:bookmarkEnd w:id="209"/>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210" w:name="_Toc155166033"/>
      <w:r>
        <w:rPr>
          <w:rStyle w:val="CharSectno"/>
        </w:rPr>
        <w:t>163</w:t>
      </w:r>
      <w:r>
        <w:t>.</w:t>
      </w:r>
      <w:r>
        <w:tab/>
        <w:t>Application for development of heritage place</w:t>
      </w:r>
      <w:bookmarkEnd w:id="210"/>
    </w:p>
    <w:p>
      <w:pPr>
        <w:pStyle w:val="Subsection"/>
        <w:keepNext/>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Indenta"/>
      </w:pPr>
      <w:r>
        <w:tab/>
        <w:t>(a)</w:t>
      </w:r>
      <w:r>
        <w:tab/>
        <w:t>in the case of an application under a local planning scheme or local interim development order, to the responsible authority; and</w:t>
      </w:r>
    </w:p>
    <w:p>
      <w:pPr>
        <w:pStyle w:val="Indenta"/>
        <w:keepNext/>
      </w:pPr>
      <w:r>
        <w:tab/>
        <w:t>(b)</w:t>
      </w:r>
      <w:r>
        <w:tab/>
        <w:t>in any other case, to the Commission.</w:t>
      </w:r>
    </w:p>
    <w:p>
      <w:pPr>
        <w:pStyle w:val="Footnotesection"/>
      </w:pPr>
      <w:r>
        <w:tab/>
        <w:t>[Section 163 inserted: No. 22 of 2018 s. 186(12).]</w:t>
      </w:r>
    </w:p>
    <w:p>
      <w:pPr>
        <w:pStyle w:val="Heading5"/>
      </w:pPr>
      <w:bookmarkStart w:id="211" w:name="_Toc155166034"/>
      <w:r>
        <w:rPr>
          <w:rStyle w:val="CharSectno"/>
        </w:rPr>
        <w:lastRenderedPageBreak/>
        <w:t>164</w:t>
      </w:r>
      <w:r>
        <w:t>.</w:t>
      </w:r>
      <w:r>
        <w:tab/>
        <w:t>Development commenced or carried out, subsequent approval of</w:t>
      </w:r>
      <w:bookmarkEnd w:id="211"/>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212" w:name="_Toc155166035"/>
      <w:r>
        <w:rPr>
          <w:rStyle w:val="CharDivNo"/>
        </w:rPr>
        <w:t>Division 5A</w:t>
      </w:r>
      <w:r>
        <w:t> — </w:t>
      </w:r>
      <w:r>
        <w:rPr>
          <w:rStyle w:val="CharDivText"/>
        </w:rPr>
        <w:t>Integration of subdivision and development</w:t>
      </w:r>
      <w:bookmarkEnd w:id="212"/>
    </w:p>
    <w:p>
      <w:pPr>
        <w:pStyle w:val="Footnoteheading"/>
        <w:keepNext/>
      </w:pPr>
      <w:r>
        <w:tab/>
        <w:t>[Heading inserted: No. 30 of 2018 s. 166.]</w:t>
      </w:r>
    </w:p>
    <w:p>
      <w:pPr>
        <w:pStyle w:val="Heading5"/>
      </w:pPr>
      <w:bookmarkStart w:id="213" w:name="_Toc155166036"/>
      <w:r>
        <w:rPr>
          <w:rStyle w:val="CharSectno"/>
        </w:rPr>
        <w:t>164A</w:t>
      </w:r>
      <w:r>
        <w:t>.</w:t>
      </w:r>
      <w:r>
        <w:tab/>
        <w:t>Integration of subdivision and development</w:t>
      </w:r>
      <w:bookmarkEnd w:id="213"/>
    </w:p>
    <w:p>
      <w:pPr>
        <w:pStyle w:val="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pPr>
        <w:pStyle w:val="Indenta"/>
      </w:pPr>
      <w:r>
        <w:tab/>
        <w:t>(a)</w:t>
      </w:r>
      <w:r>
        <w:tab/>
        <w:t>due to the size of the lots and potential impact on the amenity of the locality; or</w:t>
      </w:r>
    </w:p>
    <w:p>
      <w:pPr>
        <w:pStyle w:val="Indenta"/>
      </w:pPr>
      <w:r>
        <w:lastRenderedPageBreak/>
        <w:tab/>
        <w:t>(b)</w:t>
      </w:r>
      <w:r>
        <w:tab/>
        <w:t>for other reasons associated with the achievement of orderly and proper planning, and the preservation of the amenity, of the locality.</w:t>
      </w:r>
    </w:p>
    <w:p>
      <w:pPr>
        <w:pStyle w:val="Subsection"/>
      </w:pPr>
      <w:r>
        <w:tab/>
        <w:t>(2)</w:t>
      </w:r>
      <w:r>
        <w:tab/>
        <w:t>The main purposes of integrating subdivision and development approvals are —</w:t>
      </w:r>
    </w:p>
    <w:p>
      <w:pPr>
        <w:pStyle w:val="Indenta"/>
      </w:pPr>
      <w:r>
        <w:tab/>
        <w:t>(a)</w:t>
      </w:r>
      <w:r>
        <w:tab/>
        <w:t>to facilitate a cohesive approach to planning and development in circumstances where subdivision and development should only be undertaken in conjunction with each other; and</w:t>
      </w:r>
    </w:p>
    <w:p>
      <w:pPr>
        <w:pStyle w:val="Indenta"/>
      </w:pPr>
      <w:r>
        <w:tab/>
        <w:t>(b)</w:t>
      </w:r>
      <w:r>
        <w:tab/>
        <w:t>to ensure that, in those circumstances, appropriate conditions for both the subdivision and development of land are determined as early as is practicable.</w:t>
      </w:r>
    </w:p>
    <w:p>
      <w:pPr>
        <w:pStyle w:val="Subsection"/>
      </w:pPr>
      <w:r>
        <w:tab/>
        <w:t>(3)</w:t>
      </w:r>
      <w:r>
        <w:tab/>
        <w:t>If this section applies —</w:t>
      </w:r>
    </w:p>
    <w:p>
      <w:pPr>
        <w:pStyle w:val="Indenta"/>
      </w:pPr>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p>
    <w:p>
      <w:pPr>
        <w:pStyle w:val="Indenta"/>
      </w:pPr>
      <w:r>
        <w:tab/>
        <w:t>(b)</w:t>
      </w:r>
      <w:r>
        <w:tab/>
        <w:t xml:space="preserve">the Commission may refuse to unconditionally endorse a diagram or plan of survey with a subdivision approval in order for the plan to be registered in the Register under the </w:t>
      </w:r>
      <w:r>
        <w:rPr>
          <w:i/>
          <w:iCs/>
        </w:rPr>
        <w:t>Transfer of Land Act 1893</w:t>
      </w:r>
      <w:r>
        <w:t xml:space="preserve"> unless satisfied that —</w:t>
      </w:r>
    </w:p>
    <w:p>
      <w:pPr>
        <w:pStyle w:val="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pPr>
        <w:pStyle w:val="Indenti"/>
      </w:pPr>
      <w:r>
        <w:tab/>
        <w:t>(ii)</w:t>
      </w:r>
      <w:r>
        <w:tab/>
        <w:t>the subdivision and development has been undertaken consistently with the relevant approvals, including their conditions; and</w:t>
      </w:r>
    </w:p>
    <w:p>
      <w:pPr>
        <w:pStyle w:val="Indenti"/>
      </w:pPr>
      <w:r>
        <w:lastRenderedPageBreak/>
        <w:tab/>
        <w:t>(iii)</w:t>
      </w:r>
      <w:r>
        <w:tab/>
        <w:t xml:space="preserve">the requirements of the </w:t>
      </w:r>
      <w:r>
        <w:rPr>
          <w:i/>
          <w:iCs/>
        </w:rPr>
        <w:t>Building Act 2011</w:t>
      </w:r>
      <w:r>
        <w:t xml:space="preserve"> have been complied with for the development.</w:t>
      </w:r>
    </w:p>
    <w:p>
      <w:pPr>
        <w:pStyle w:val="Subsection"/>
      </w:pPr>
      <w:r>
        <w:tab/>
        <w:t>(4)</w:t>
      </w:r>
      <w:r>
        <w:tab/>
        <w:t>Regulations may be made —</w:t>
      </w:r>
    </w:p>
    <w:p>
      <w:pPr>
        <w:pStyle w:val="Indenta"/>
      </w:pPr>
      <w:r>
        <w:tab/>
        <w:t>(a)</w:t>
      </w:r>
      <w:r>
        <w:tab/>
        <w:t>requiring the Commission or a responsible authority to inform each other and share information about an application for subdivision approval or development approval; or</w:t>
      </w:r>
    </w:p>
    <w:p>
      <w:pPr>
        <w:pStyle w:val="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pPr>
        <w:pStyle w:val="Indenta"/>
      </w:pPr>
      <w:r>
        <w:tab/>
        <w:t>(c)</w:t>
      </w:r>
      <w:r>
        <w:tab/>
        <w:t>establishing processes for the concurrent or separate consideration of subdivision and development approvals to which this section applies and for the imposition of conditions of approvals to which this section applies; or</w:t>
      </w:r>
    </w:p>
    <w:p>
      <w:pPr>
        <w:pStyle w:val="Indenta"/>
      </w:pPr>
      <w:r>
        <w:tab/>
        <w:t>(d)</w:t>
      </w:r>
      <w:r>
        <w:tab/>
        <w:t>otherwise facilitating the integration of subdivision and development approvals.</w:t>
      </w:r>
    </w:p>
    <w:p>
      <w:pPr>
        <w:pStyle w:val="Footnotesection"/>
      </w:pPr>
      <w:r>
        <w:tab/>
        <w:t>[Section 164A inserted: No. 30 of 2018 s. 166.]</w:t>
      </w:r>
    </w:p>
    <w:p>
      <w:pPr>
        <w:pStyle w:val="Heading3"/>
        <w:spacing w:before="300"/>
      </w:pPr>
      <w:bookmarkStart w:id="214" w:name="_Toc155166037"/>
      <w:r>
        <w:rPr>
          <w:rStyle w:val="CharDivNo"/>
        </w:rPr>
        <w:t>Division 6</w:t>
      </w:r>
      <w:r>
        <w:t> — </w:t>
      </w:r>
      <w:r>
        <w:rPr>
          <w:rStyle w:val="CharDivText"/>
        </w:rPr>
        <w:t>Miscellaneous</w:t>
      </w:r>
      <w:bookmarkEnd w:id="214"/>
    </w:p>
    <w:p>
      <w:pPr>
        <w:pStyle w:val="Heading5"/>
      </w:pPr>
      <w:bookmarkStart w:id="215" w:name="_Toc155166038"/>
      <w:r>
        <w:rPr>
          <w:rStyle w:val="CharSectno"/>
        </w:rPr>
        <w:t>165</w:t>
      </w:r>
      <w:r>
        <w:t>.</w:t>
      </w:r>
      <w:r>
        <w:tab/>
        <w:t>Hazard etc. affecting land, notating titles as to</w:t>
      </w:r>
      <w:bookmarkEnd w:id="215"/>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 xml:space="preserve">a strata titles scheme as defined in the </w:t>
      </w:r>
      <w:r>
        <w:rPr>
          <w:i/>
        </w:rPr>
        <w:t>Strata Titles Act 1985</w:t>
      </w:r>
      <w:r>
        <w:t xml:space="preserve"> section 3(1), registered, or lodged for registration, under that Act,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lastRenderedPageBreak/>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No. 60 of 2006 s. 147(5); No. 30 of 2018 s. 167.]</w:t>
      </w:r>
    </w:p>
    <w:p>
      <w:pPr>
        <w:pStyle w:val="Heading5"/>
        <w:spacing w:before="180"/>
      </w:pPr>
      <w:bookmarkStart w:id="216" w:name="_Toc155166039"/>
      <w:r>
        <w:rPr>
          <w:rStyle w:val="CharSectno"/>
        </w:rPr>
        <w:t>166</w:t>
      </w:r>
      <w:r>
        <w:t>.</w:t>
      </w:r>
      <w:r>
        <w:tab/>
        <w:t>Encroachment that leads to approved subdivision</w:t>
      </w:r>
      <w:bookmarkEnd w:id="216"/>
    </w:p>
    <w:p>
      <w:pPr>
        <w:pStyle w:val="Subsection"/>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217" w:name="_Toc155166040"/>
      <w:r>
        <w:rPr>
          <w:rStyle w:val="CharSectno"/>
        </w:rPr>
        <w:lastRenderedPageBreak/>
        <w:t>167</w:t>
      </w:r>
      <w:r>
        <w:t>.</w:t>
      </w:r>
      <w:r>
        <w:tab/>
        <w:t>Easement, creation of etc. on subdivision etc.</w:t>
      </w:r>
      <w:bookmarkEnd w:id="217"/>
    </w:p>
    <w:p>
      <w:pPr>
        <w:pStyle w:val="Subsection"/>
        <w:keepNext/>
        <w:spacing w:before="120"/>
      </w:pPr>
      <w:r>
        <w:tab/>
        <w:t>(1)</w:t>
      </w:r>
      <w:r>
        <w:tab/>
        <w:t xml:space="preserve">Where — </w:t>
      </w:r>
    </w:p>
    <w:p>
      <w:pPr>
        <w:pStyle w:val="Indenta"/>
        <w:spacing w:before="56"/>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lastRenderedPageBreak/>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lastRenderedPageBreak/>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No. 60 of 2006 s. 147(6); No. 25 of 2012 s. 222(3); No. 30 of 2018 s. 168.]</w:t>
      </w:r>
    </w:p>
    <w:p>
      <w:pPr>
        <w:pStyle w:val="Heading5"/>
      </w:pPr>
      <w:bookmarkStart w:id="218" w:name="_Toc155166041"/>
      <w:r>
        <w:rPr>
          <w:rStyle w:val="CharSectno"/>
        </w:rPr>
        <w:t>168</w:t>
      </w:r>
      <w:r>
        <w:t>.</w:t>
      </w:r>
      <w:r>
        <w:tab/>
        <w:t>Road, creation of etc. on subdivision etc.</w:t>
      </w:r>
      <w:bookmarkEnd w:id="218"/>
    </w:p>
    <w:p>
      <w:pPr>
        <w:pStyle w:val="Subsection"/>
      </w:pPr>
      <w:r>
        <w:tab/>
        <w:t>(1)</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 xml:space="preserve">Subject to the </w:t>
      </w:r>
      <w:r>
        <w:rPr>
          <w:i/>
        </w:rPr>
        <w:t>Main Roads Act 1930</w:t>
      </w:r>
      <w:r>
        <w:t xml:space="preserve"> and the </w:t>
      </w:r>
      <w:r>
        <w:rPr>
          <w:i/>
        </w:rPr>
        <w:t>Public Works Act 1902</w:t>
      </w:r>
      <w:r>
        <w:t>, the local government within the district of which the dedicated road is situated has the care, control and management of the road.</w:t>
      </w:r>
    </w:p>
    <w:p>
      <w:pPr>
        <w:pStyle w:val="Subsection"/>
      </w:pPr>
      <w:r>
        <w:tab/>
        <w:t>(3)</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lastRenderedPageBreak/>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is subsequently rounded off or truncated, the portion of land so excised forms part of the road and is dedicated to the public use.</w:t>
      </w:r>
    </w:p>
    <w:p>
      <w:pPr>
        <w:pStyle w:val="Subsection"/>
      </w:pPr>
      <w:r>
        <w:tab/>
        <w:t>(7)</w:t>
      </w:r>
      <w:r>
        <w:tab/>
        <w:t xml:space="preserve">Subject to the </w:t>
      </w:r>
      <w:r>
        <w:rPr>
          <w:i/>
        </w:rPr>
        <w:t>Main Roads Act 1930</w:t>
      </w:r>
      <w:r>
        <w:t xml:space="preserve"> and the </w:t>
      </w:r>
      <w:r>
        <w:rPr>
          <w:i/>
        </w:rPr>
        <w:t>Public Works Act 1902</w:t>
      </w:r>
      <w:r>
        <w:t>, the local government within the district of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scheme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(5) or (6) does not form part of a parcel comprised in a scheme plan that is registered under the </w:t>
      </w:r>
      <w:r>
        <w:rPr>
          <w:i/>
        </w:rPr>
        <w:t>Strata Titles Act 1985</w:t>
      </w:r>
      <w:r>
        <w:t>.</w:t>
      </w:r>
    </w:p>
    <w:p>
      <w:pPr>
        <w:pStyle w:val="Subsection"/>
      </w:pPr>
      <w:r>
        <w:tab/>
        <w:t>(10)</w:t>
      </w:r>
      <w:r>
        <w:tab/>
        <w:t xml:space="preserve">Land referred to in subsection (1), (3), (5) or (6) is subject to any existing encumbrance specified in a direction of the Minister responsible for the administration of the </w:t>
      </w:r>
      <w:r>
        <w:rPr>
          <w:i/>
        </w:rPr>
        <w:t xml:space="preserve">Land </w:t>
      </w:r>
      <w:r>
        <w:rPr>
          <w:i/>
        </w:rPr>
        <w:lastRenderedPageBreak/>
        <w:t>Administration Act 1997</w:t>
      </w:r>
      <w:r>
        <w:t xml:space="preserve">, or a person authorised in writing by that Minister for the purposes of this subsection, lodged with the Registrar of Titles — </w:t>
      </w:r>
    </w:p>
    <w:p>
      <w:pPr>
        <w:pStyle w:val="Indenta"/>
      </w:pPr>
      <w:r>
        <w:tab/>
        <w:t>(a)</w:t>
      </w:r>
      <w:r>
        <w:tab/>
        <w:t xml:space="preserve">in the case of a scheme plan lodged for registration under the </w:t>
      </w:r>
      <w:r>
        <w:rPr>
          <w:i/>
        </w:rPr>
        <w:t>Strata Titles Act 1985</w:t>
      </w:r>
      <w:r>
        <w:t> — at or before the time the Registrar of Titles registers the plan under that Act; or</w:t>
      </w:r>
    </w:p>
    <w:p>
      <w:pPr>
        <w:pStyle w:val="Indenta"/>
      </w:pPr>
      <w:r>
        <w:tab/>
        <w:t>(b)</w:t>
      </w:r>
      <w:r>
        <w:tab/>
        <w:t>in the case of a diagram or plan lodged with an application for a new certificate or certificates — at or before the time the new certificate, or if more than one, all the new certificates, for the land the subject of the diagram or plan have been registered; or</w:t>
      </w:r>
    </w:p>
    <w:p>
      <w:pPr>
        <w:pStyle w:val="Indenta"/>
      </w:pPr>
      <w:r>
        <w:tab/>
        <w:t>(c)</w:t>
      </w:r>
      <w:r>
        <w:tab/>
        <w:t>in the case of a plan lodged with an application for registration of a document giving effect to a rounding off or truncation — at or before the time of the registration of that document.</w:t>
      </w:r>
    </w:p>
    <w:p>
      <w:pPr>
        <w:pStyle w:val="Footnotesection"/>
        <w:ind w:left="890" w:hanging="890"/>
      </w:pPr>
      <w:r>
        <w:tab/>
        <w:t>[Section 168 amended: No. 60 of 2006 s. 147(7); No. 30 of 2018 s. 169; No. 4 of 2023 s. 144.]</w:t>
      </w:r>
    </w:p>
    <w:p>
      <w:pPr>
        <w:pStyle w:val="Heading5"/>
      </w:pPr>
      <w:bookmarkStart w:id="219" w:name="_Toc155166042"/>
      <w:r>
        <w:rPr>
          <w:rStyle w:val="CharSectno"/>
        </w:rPr>
        <w:t>169</w:t>
      </w:r>
      <w:r>
        <w:t>.</w:t>
      </w:r>
      <w:r>
        <w:tab/>
        <w:t>Roads and waterways, minimum standards of construction for</w:t>
      </w:r>
      <w:bookmarkEnd w:id="219"/>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lastRenderedPageBreak/>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220" w:name="_Toc155166043"/>
      <w:r>
        <w:rPr>
          <w:rStyle w:val="CharSectno"/>
        </w:rPr>
        <w:t>170</w:t>
      </w:r>
      <w:r>
        <w:t>.</w:t>
      </w:r>
      <w:r>
        <w:tab/>
        <w:t>Proposed road or waterway, drawings etc. of required</w:t>
      </w:r>
      <w:bookmarkEnd w:id="220"/>
    </w:p>
    <w:p>
      <w:pPr>
        <w:pStyle w:val="Subsection"/>
        <w:keepNext/>
      </w:pPr>
      <w:r>
        <w:tab/>
        <w:t>(1A)</w:t>
      </w:r>
      <w:r>
        <w:tab/>
        <w:t xml:space="preserve">In this section — </w:t>
      </w:r>
    </w:p>
    <w:p>
      <w:pPr>
        <w:pStyle w:val="Defstart"/>
        <w:keepNex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or the Swan Valley Planning Scheme — the Commission.</w:t>
      </w:r>
    </w:p>
    <w:p>
      <w:pPr>
        <w:pStyle w:val="Subsection"/>
        <w:keepNext/>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responsible authority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lastRenderedPageBreak/>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keepNext/>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keepNext/>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No. 28 of 2010 s. 15; No. 45 of 2020 s. 80.] </w:t>
      </w:r>
    </w:p>
    <w:p>
      <w:pPr>
        <w:pStyle w:val="Heading2"/>
      </w:pPr>
      <w:bookmarkStart w:id="221" w:name="_Toc155166044"/>
      <w:r>
        <w:rPr>
          <w:rStyle w:val="CharPartNo"/>
        </w:rPr>
        <w:lastRenderedPageBreak/>
        <w:t>Part 11A</w:t>
      </w:r>
      <w:r>
        <w:rPr>
          <w:b w:val="0"/>
        </w:rPr>
        <w:t> </w:t>
      </w:r>
      <w:r>
        <w:t>—</w:t>
      </w:r>
      <w:r>
        <w:rPr>
          <w:b w:val="0"/>
        </w:rPr>
        <w:t> </w:t>
      </w:r>
      <w:r>
        <w:rPr>
          <w:rStyle w:val="CharPartText"/>
        </w:rPr>
        <w:t>Development Assessment Panels and development control</w:t>
      </w:r>
      <w:bookmarkEnd w:id="221"/>
    </w:p>
    <w:p>
      <w:pPr>
        <w:pStyle w:val="Footnoteheading"/>
      </w:pPr>
      <w:r>
        <w:tab/>
        <w:t xml:space="preserve">[Heading inserted: No. 28 of 2010 s. 43.] </w:t>
      </w:r>
    </w:p>
    <w:p>
      <w:pPr>
        <w:pStyle w:val="Heading3"/>
      </w:pPr>
      <w:bookmarkStart w:id="222" w:name="_Toc155166045"/>
      <w:r>
        <w:rPr>
          <w:rStyle w:val="CharDivNo"/>
        </w:rPr>
        <w:t>Division 1</w:t>
      </w:r>
      <w:r>
        <w:t> — </w:t>
      </w:r>
      <w:r>
        <w:rPr>
          <w:rStyle w:val="CharDivText"/>
        </w:rPr>
        <w:t>Functions of DAPs</w:t>
      </w:r>
      <w:bookmarkEnd w:id="222"/>
    </w:p>
    <w:p>
      <w:pPr>
        <w:pStyle w:val="Footnoteheading"/>
      </w:pPr>
      <w:r>
        <w:tab/>
        <w:t xml:space="preserve">[Heading inserted: No. 28 of 2010 s. 43.] </w:t>
      </w:r>
    </w:p>
    <w:p>
      <w:pPr>
        <w:pStyle w:val="Heading5"/>
      </w:pPr>
      <w:bookmarkStart w:id="223" w:name="_Toc155166046"/>
      <w:r>
        <w:rPr>
          <w:rStyle w:val="CharSectno"/>
        </w:rPr>
        <w:t>171A</w:t>
      </w:r>
      <w:r>
        <w:t>.</w:t>
      </w:r>
      <w:r>
        <w:tab/>
        <w:t>Prescribed development applications, DAP to determine and regulations for</w:t>
      </w:r>
      <w:bookmarkEnd w:id="223"/>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lastRenderedPageBreak/>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keepNext/>
      </w:pPr>
      <w:r>
        <w:lastRenderedPageBreak/>
        <w:tab/>
        <w:t>(h)</w:t>
      </w:r>
      <w:r>
        <w:tab/>
        <w:t>providing for the review of a determination of a prescribed development application.</w:t>
      </w:r>
    </w:p>
    <w:p>
      <w:pPr>
        <w:pStyle w:val="Subsection"/>
      </w:pPr>
      <w:r>
        <w:tab/>
        <w:t>(2A)</w:t>
      </w:r>
      <w:r>
        <w:tab/>
        <w:t>A development application that relates to land in the Swan Valley cannot be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No. 28 of 2010 s. 43; amended: No. 45 of 2020 s. 81.] </w:t>
      </w:r>
    </w:p>
    <w:p>
      <w:pPr>
        <w:pStyle w:val="Heading5"/>
      </w:pPr>
      <w:bookmarkStart w:id="224" w:name="_Toc155166047"/>
      <w:r>
        <w:rPr>
          <w:rStyle w:val="CharSectno"/>
        </w:rPr>
        <w:t>171B</w:t>
      </w:r>
      <w:r>
        <w:t>.</w:t>
      </w:r>
      <w:r>
        <w:tab/>
        <w:t>DAP to carry out delegated functions</w:t>
      </w:r>
      <w:bookmarkEnd w:id="224"/>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No. 28 of 2010 s. 43.] </w:t>
      </w:r>
    </w:p>
    <w:p>
      <w:pPr>
        <w:pStyle w:val="Heading3"/>
      </w:pPr>
      <w:bookmarkStart w:id="225" w:name="_Toc155166048"/>
      <w:r>
        <w:rPr>
          <w:rStyle w:val="CharDivNo"/>
        </w:rPr>
        <w:lastRenderedPageBreak/>
        <w:t>Division 2</w:t>
      </w:r>
      <w:r>
        <w:t> — </w:t>
      </w:r>
      <w:r>
        <w:rPr>
          <w:rStyle w:val="CharDivText"/>
        </w:rPr>
        <w:t>Development Assessment Panels: establishment and administration</w:t>
      </w:r>
      <w:bookmarkEnd w:id="225"/>
    </w:p>
    <w:p>
      <w:pPr>
        <w:pStyle w:val="Footnoteheading"/>
        <w:keepNext/>
      </w:pPr>
      <w:r>
        <w:tab/>
        <w:t xml:space="preserve">[Heading inserted: No. 28 of 2010 s. 43.] </w:t>
      </w:r>
    </w:p>
    <w:p>
      <w:pPr>
        <w:pStyle w:val="Heading5"/>
        <w:spacing w:before="180"/>
      </w:pPr>
      <w:bookmarkStart w:id="226" w:name="_Toc155166049"/>
      <w:r>
        <w:rPr>
          <w:rStyle w:val="CharSectno"/>
        </w:rPr>
        <w:t>171C</w:t>
      </w:r>
      <w:r>
        <w:t>.</w:t>
      </w:r>
      <w:r>
        <w:tab/>
        <w:t>Establishment of DAPs</w:t>
      </w:r>
      <w:bookmarkEnd w:id="226"/>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No. 28 of 2010 s. 43.] </w:t>
      </w:r>
    </w:p>
    <w:p>
      <w:pPr>
        <w:pStyle w:val="Heading5"/>
      </w:pPr>
      <w:bookmarkStart w:id="227" w:name="_Toc155166050"/>
      <w:r>
        <w:rPr>
          <w:rStyle w:val="CharSectno"/>
        </w:rPr>
        <w:t>171D</w:t>
      </w:r>
      <w:r>
        <w:t>.</w:t>
      </w:r>
      <w:r>
        <w:tab/>
        <w:t>Constitution, procedure and conduct of DAPs</w:t>
      </w:r>
      <w:bookmarkEnd w:id="227"/>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keepNext/>
      </w:pPr>
      <w:r>
        <w:lastRenderedPageBreak/>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No. 28 of 2010 s. 43.] </w:t>
      </w:r>
    </w:p>
    <w:p>
      <w:pPr>
        <w:pStyle w:val="Heading5"/>
      </w:pPr>
      <w:bookmarkStart w:id="228" w:name="_Toc155166051"/>
      <w:r>
        <w:rPr>
          <w:rStyle w:val="CharSectno"/>
        </w:rPr>
        <w:t>171E</w:t>
      </w:r>
      <w:r>
        <w:t>.</w:t>
      </w:r>
      <w:r>
        <w:tab/>
        <w:t>Administration and costs of DAPs</w:t>
      </w:r>
      <w:bookmarkEnd w:id="228"/>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lastRenderedPageBreak/>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No. 28 of 2010 s. 43.] </w:t>
      </w:r>
    </w:p>
    <w:p>
      <w:pPr>
        <w:pStyle w:val="Heading5"/>
      </w:pPr>
      <w:bookmarkStart w:id="229" w:name="_Toc155166052"/>
      <w:r>
        <w:rPr>
          <w:rStyle w:val="CharSectno"/>
        </w:rPr>
        <w:t>171F</w:t>
      </w:r>
      <w:r>
        <w:t>.</w:t>
      </w:r>
      <w:r>
        <w:tab/>
        <w:t>Review of regulations</w:t>
      </w:r>
      <w:bookmarkEnd w:id="229"/>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No. 28 of 2010 s. 43.] </w:t>
      </w:r>
    </w:p>
    <w:p>
      <w:pPr>
        <w:pStyle w:val="Heading2"/>
      </w:pPr>
      <w:bookmarkStart w:id="230" w:name="_Toc155166053"/>
      <w:r>
        <w:rPr>
          <w:rStyle w:val="CharPartNo"/>
        </w:rPr>
        <w:lastRenderedPageBreak/>
        <w:t>Part 11</w:t>
      </w:r>
      <w:r>
        <w:t> — </w:t>
      </w:r>
      <w:r>
        <w:rPr>
          <w:rStyle w:val="CharPartText"/>
        </w:rPr>
        <w:t>Compensation and acquisition</w:t>
      </w:r>
      <w:bookmarkEnd w:id="230"/>
    </w:p>
    <w:p>
      <w:pPr>
        <w:pStyle w:val="Heading3"/>
      </w:pPr>
      <w:bookmarkStart w:id="231" w:name="_Toc155166054"/>
      <w:r>
        <w:rPr>
          <w:rStyle w:val="CharDivNo"/>
        </w:rPr>
        <w:t>Division 1</w:t>
      </w:r>
      <w:r>
        <w:t> — </w:t>
      </w:r>
      <w:r>
        <w:rPr>
          <w:rStyle w:val="CharDivText"/>
        </w:rPr>
        <w:t>General matters in relation to compensation</w:t>
      </w:r>
      <w:bookmarkEnd w:id="231"/>
    </w:p>
    <w:p>
      <w:pPr>
        <w:pStyle w:val="Heading5"/>
      </w:pPr>
      <w:bookmarkStart w:id="232" w:name="_Toc155166055"/>
      <w:r>
        <w:rPr>
          <w:rStyle w:val="CharSectno"/>
        </w:rPr>
        <w:t>171</w:t>
      </w:r>
      <w:r>
        <w:t>.</w:t>
      </w:r>
      <w:r>
        <w:tab/>
        <w:t>Entitlement to compensation, limits on</w:t>
      </w:r>
      <w:bookmarkEnd w:id="232"/>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233" w:name="_Toc155166056"/>
      <w:r>
        <w:rPr>
          <w:rStyle w:val="CharDivNo"/>
        </w:rPr>
        <w:t>Division 2</w:t>
      </w:r>
      <w:r>
        <w:t> — </w:t>
      </w:r>
      <w:r>
        <w:rPr>
          <w:rStyle w:val="CharDivText"/>
        </w:rPr>
        <w:t>Compensation where land injuriously affected by planning scheme</w:t>
      </w:r>
      <w:bookmarkEnd w:id="233"/>
    </w:p>
    <w:p>
      <w:pPr>
        <w:pStyle w:val="Heading5"/>
      </w:pPr>
      <w:bookmarkStart w:id="234" w:name="_Toc155166057"/>
      <w:r>
        <w:rPr>
          <w:rStyle w:val="CharSectno"/>
        </w:rPr>
        <w:t>172</w:t>
      </w:r>
      <w:r>
        <w:t>.</w:t>
      </w:r>
      <w:r>
        <w:tab/>
        <w:t>Terms used</w:t>
      </w:r>
      <w:bookmarkEnd w:id="234"/>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235" w:name="_Toc155166058"/>
      <w:r>
        <w:rPr>
          <w:rStyle w:val="CharSectno"/>
        </w:rPr>
        <w:lastRenderedPageBreak/>
        <w:t>173</w:t>
      </w:r>
      <w:r>
        <w:t>.</w:t>
      </w:r>
      <w:r>
        <w:tab/>
        <w:t>Injurious affection, compensation for</w:t>
      </w:r>
      <w:bookmarkEnd w:id="235"/>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236" w:name="_Toc155166059"/>
      <w:r>
        <w:rPr>
          <w:rStyle w:val="CharSectno"/>
        </w:rPr>
        <w:t>174</w:t>
      </w:r>
      <w:r>
        <w:t>.</w:t>
      </w:r>
      <w:r>
        <w:tab/>
        <w:t>When land is injuriously affected</w:t>
      </w:r>
      <w:bookmarkEnd w:id="236"/>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 xml:space="preserve">conforming use of the land, which, but for that prohibition, would not </w:t>
      </w:r>
      <w:r>
        <w:lastRenderedPageBreak/>
        <w:t>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lastRenderedPageBreak/>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237" w:name="_Toc155166060"/>
      <w:r>
        <w:rPr>
          <w:rStyle w:val="CharSectno"/>
        </w:rPr>
        <w:t>175</w:t>
      </w:r>
      <w:r>
        <w:t>.</w:t>
      </w:r>
      <w:r>
        <w:tab/>
        <w:t>No compensation if scheme’s provisions are, or could have been, in certain other laws</w:t>
      </w:r>
      <w:bookmarkEnd w:id="237"/>
    </w:p>
    <w:p>
      <w:pPr>
        <w:pStyle w:val="Subsection"/>
      </w:pPr>
      <w:r>
        <w:tab/>
        <w:t>(1)</w:t>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Subsection"/>
      </w:pPr>
      <w:r>
        <w:tab/>
        <w:t>(2)</w:t>
      </w:r>
      <w:r>
        <w:tab/>
        <w:t xml:space="preserve">When land is alleged to be injuriously affected by the making of the first Swan Valley Planning Scheme, no compensation is payable in respect of the injurious affection if or so far as the relevant provisions of the Swan Valley Planning Scheme were also contained in a relevant planning scheme (as defined in the </w:t>
      </w:r>
      <w:r>
        <w:rPr>
          <w:i/>
        </w:rPr>
        <w:t>Swan Valley Planning Act 2020</w:t>
      </w:r>
      <w:r>
        <w:t xml:space="preserve"> section 9) that applied to the Swan Valley before the scheme start day referred to in that section.</w:t>
      </w:r>
    </w:p>
    <w:p>
      <w:pPr>
        <w:pStyle w:val="Subsection"/>
      </w:pPr>
      <w:r>
        <w:tab/>
        <w:t>(3)</w:t>
      </w:r>
      <w:r>
        <w:tab/>
        <w:t>A reference in this section to provisions includes a reference to maps, plans and diagrams.</w:t>
      </w:r>
    </w:p>
    <w:p>
      <w:pPr>
        <w:pStyle w:val="Footnotesection"/>
      </w:pPr>
      <w:r>
        <w:tab/>
        <w:t>[Section 175 amended: No. 45 of 2020 s. 82.]</w:t>
      </w:r>
    </w:p>
    <w:p>
      <w:pPr>
        <w:pStyle w:val="Heading5"/>
      </w:pPr>
      <w:bookmarkStart w:id="238" w:name="_Toc155166061"/>
      <w:r>
        <w:rPr>
          <w:rStyle w:val="CharSectno"/>
        </w:rPr>
        <w:lastRenderedPageBreak/>
        <w:t>176</w:t>
      </w:r>
      <w:r>
        <w:t>.</w:t>
      </w:r>
      <w:r>
        <w:tab/>
        <w:t>Questions as to injurious affection etc., how determined</w:t>
      </w:r>
      <w:bookmarkEnd w:id="238"/>
    </w:p>
    <w:p>
      <w:pPr>
        <w:pStyle w:val="Subsection"/>
        <w:keepNext/>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No. 23 of 2012 s. 45.]</w:t>
      </w:r>
    </w:p>
    <w:p>
      <w:pPr>
        <w:pStyle w:val="Heading5"/>
        <w:keepLines w:val="0"/>
      </w:pPr>
      <w:bookmarkStart w:id="239" w:name="_Toc155166062"/>
      <w:r>
        <w:rPr>
          <w:rStyle w:val="CharSectno"/>
        </w:rPr>
        <w:t>177</w:t>
      </w:r>
      <w:r>
        <w:t>.</w:t>
      </w:r>
      <w:r>
        <w:tab/>
        <w:t>When compensation payable if land reserved</w:t>
      </w:r>
      <w:bookmarkEnd w:id="239"/>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keepNext/>
      </w:pPr>
      <w:r>
        <w:lastRenderedPageBreak/>
        <w:tab/>
        <w:t>(b)</w:t>
      </w:r>
      <w:r>
        <w:tab/>
        <w:t>under subsection (1)(b) to the person who was the owner of the land at the date of application referred to in subsection (1)(b),</w:t>
      </w:r>
    </w:p>
    <w:p>
      <w:pPr>
        <w:pStyle w:val="Subsection"/>
        <w:keepNext/>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240" w:name="_Toc155166063"/>
      <w:r>
        <w:rPr>
          <w:rStyle w:val="CharSectno"/>
        </w:rPr>
        <w:lastRenderedPageBreak/>
        <w:t>178</w:t>
      </w:r>
      <w:r>
        <w:t>.</w:t>
      </w:r>
      <w:r>
        <w:tab/>
        <w:t>Claim for compensation, time for making</w:t>
      </w:r>
      <w:bookmarkEnd w:id="240"/>
    </w:p>
    <w:p>
      <w:pPr>
        <w:pStyle w:val="Subsection"/>
      </w:pPr>
      <w:r>
        <w:tab/>
        <w:t>(1)</w:t>
      </w:r>
      <w:r>
        <w:tab/>
        <w:t xml:space="preserve">A claim for compensation for injurious affection to land by the making or amendment of a planning scheme is to be made — </w:t>
      </w:r>
    </w:p>
    <w:p>
      <w:pPr>
        <w:pStyle w:val="Indenta"/>
        <w:keepNext/>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241" w:name="_Toc155166064"/>
      <w:r>
        <w:rPr>
          <w:rStyle w:val="CharSectno"/>
        </w:rPr>
        <w:t>179</w:t>
      </w:r>
      <w:r>
        <w:t>.</w:t>
      </w:r>
      <w:r>
        <w:tab/>
        <w:t>Injurious affection due to land being reserved, amount of compensation for</w:t>
      </w:r>
      <w:bookmarkEnd w:id="241"/>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keepNext/>
      </w:pPr>
      <w:r>
        <w:lastRenderedPageBreak/>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242" w:name="_Toc155166065"/>
      <w:r>
        <w:rPr>
          <w:rStyle w:val="CharSectno"/>
        </w:rPr>
        <w:t>180</w:t>
      </w:r>
      <w:r>
        <w:t>.</w:t>
      </w:r>
      <w:r>
        <w:tab/>
        <w:t>Notating title to land after compensation paid</w:t>
      </w:r>
      <w:bookmarkEnd w:id="242"/>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243" w:name="_Toc155166066"/>
      <w:r>
        <w:rPr>
          <w:rStyle w:val="CharSectno"/>
        </w:rPr>
        <w:t>181</w:t>
      </w:r>
      <w:r>
        <w:t>.</w:t>
      </w:r>
      <w:r>
        <w:tab/>
        <w:t>Recovering paid compensation if reservation revoked or reduced</w:t>
      </w:r>
      <w:bookmarkEnd w:id="243"/>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 xml:space="preserve">as a result of the planning scheme being amended or revoked the reservation of the land for a public purpose </w:t>
      </w:r>
      <w:r>
        <w:lastRenderedPageBreak/>
        <w:t>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lastRenderedPageBreak/>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keepNext/>
              <w:tabs>
                <w:tab w:val="clear" w:pos="567"/>
                <w:tab w:val="left" w:pos="1157"/>
              </w:tabs>
            </w:pPr>
            <w:r>
              <w:rPr>
                <w:i/>
              </w:rPr>
              <w:t>Example</w:t>
            </w:r>
            <w:r>
              <w:t>:</w:t>
            </w:r>
            <w:r>
              <w:tab/>
              <w:t>Original compensation</w:t>
            </w:r>
            <w:r>
              <w:br/>
            </w:r>
            <w:r>
              <w:tab/>
              <w:t>proportion</w:t>
            </w:r>
          </w:p>
        </w:tc>
        <w:tc>
          <w:tcPr>
            <w:tcW w:w="1134" w:type="dxa"/>
          </w:tcPr>
          <w:p>
            <w:pPr>
              <w:pStyle w:val="TableNAm"/>
              <w:keepNext/>
            </w:pPr>
            <w:r>
              <w:br/>
              <w:t>25%</w:t>
            </w:r>
          </w:p>
        </w:tc>
      </w:tr>
      <w:tr>
        <w:trPr>
          <w:cantSplit/>
        </w:trPr>
        <w:tc>
          <w:tcPr>
            <w:tcW w:w="4252" w:type="dxa"/>
          </w:tcPr>
          <w:p>
            <w:pPr>
              <w:pStyle w:val="TableNAm"/>
              <w:keepNext/>
              <w:tabs>
                <w:tab w:val="clear" w:pos="567"/>
                <w:tab w:val="left" w:pos="1157"/>
              </w:tabs>
            </w:pPr>
            <w:r>
              <w:tab/>
              <w:t xml:space="preserve">      Less</w:t>
            </w:r>
          </w:p>
        </w:tc>
        <w:tc>
          <w:tcPr>
            <w:tcW w:w="1134" w:type="dxa"/>
          </w:tcPr>
          <w:p>
            <w:pPr>
              <w:pStyle w:val="TableNAm"/>
              <w:keepNext/>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lastRenderedPageBreak/>
              <w:tab/>
            </w:r>
            <w:r>
              <w:t>and (b) on previous</w:t>
            </w:r>
            <w:r>
              <w:br/>
            </w:r>
            <w:r>
              <w:rPr>
                <w:spacing w:val="-2"/>
              </w:rPr>
              <w:tab/>
            </w:r>
            <w:r>
              <w:t>reduction</w:t>
            </w:r>
          </w:p>
        </w:tc>
        <w:tc>
          <w:tcPr>
            <w:tcW w:w="1134" w:type="dxa"/>
          </w:tcPr>
          <w:p>
            <w:pPr>
              <w:pStyle w:val="TableNAm"/>
            </w:pPr>
            <w:r>
              <w:lastRenderedPageBreak/>
              <w:br/>
            </w:r>
            <w:r>
              <w:br/>
            </w:r>
            <w:r>
              <w:br/>
            </w:r>
            <w:r>
              <w:lastRenderedPageBreak/>
              <w:br/>
              <w:t>15%</w:t>
            </w:r>
          </w:p>
        </w:tc>
      </w:tr>
      <w:tr>
        <w:tc>
          <w:tcPr>
            <w:tcW w:w="4252" w:type="dxa"/>
          </w:tcPr>
          <w:p>
            <w:pPr>
              <w:pStyle w:val="TableNAm"/>
              <w:keepNext/>
              <w:keepLines/>
              <w:tabs>
                <w:tab w:val="clear" w:pos="567"/>
                <w:tab w:val="left" w:pos="1157"/>
              </w:tabs>
            </w:pPr>
            <w:r>
              <w:lastRenderedPageBreak/>
              <w:tab/>
              <w:t xml:space="preserve">      Less</w:t>
            </w:r>
          </w:p>
        </w:tc>
        <w:tc>
          <w:tcPr>
            <w:tcW w:w="1134" w:type="dxa"/>
          </w:tcPr>
          <w:p>
            <w:pPr>
              <w:pStyle w:val="TableNAm"/>
              <w:keepNext/>
              <w:keepLines/>
            </w:pPr>
          </w:p>
        </w:tc>
      </w:tr>
      <w:tr>
        <w:tc>
          <w:tcPr>
            <w:tcW w:w="4252" w:type="dxa"/>
          </w:tcPr>
          <w:p>
            <w:pPr>
              <w:pStyle w:val="TableNAm"/>
              <w:keepLines/>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keepLines/>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lastRenderedPageBreak/>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pPr>
      <w:r>
        <w:tab/>
        <w:t>(16A)</w:t>
      </w:r>
      <w:r>
        <w:tab/>
        <w:t xml:space="preserve">The reference in subsection (1)(b) to the planning scheme being amended or revoked includes, in relation to land in the Swan Valley for which compensation for injurious affection was paid before the scheme start day referred to in the </w:t>
      </w:r>
      <w:r>
        <w:rPr>
          <w:i/>
        </w:rPr>
        <w:t>Swan Valley Planning Act 2020</w:t>
      </w:r>
      <w:r>
        <w:t xml:space="preserve"> section 9 — </w:t>
      </w:r>
    </w:p>
    <w:p>
      <w:pPr>
        <w:pStyle w:val="Indenta"/>
      </w:pPr>
      <w:r>
        <w:tab/>
        <w:t>(a)</w:t>
      </w:r>
      <w:r>
        <w:tab/>
        <w:t xml:space="preserve">a reference to that planning scheme ceasing to apply, and the first Swan Valley Planning Scheme beginning to </w:t>
      </w:r>
      <w:r>
        <w:lastRenderedPageBreak/>
        <w:t xml:space="preserve">apply instead, under the </w:t>
      </w:r>
      <w:r>
        <w:rPr>
          <w:i/>
        </w:rPr>
        <w:t>Swan Valley Planning Act 2020</w:t>
      </w:r>
      <w:r>
        <w:t xml:space="preserve"> section 9; and</w:t>
      </w:r>
    </w:p>
    <w:p>
      <w:pPr>
        <w:pStyle w:val="Indenta"/>
      </w:pPr>
      <w:r>
        <w:tab/>
        <w:t>(b)</w:t>
      </w:r>
      <w:r>
        <w:tab/>
        <w:t>a reference to the making of a subsequent Swan Valley Planning Scheme or the amendment of the Swan Valley Planning Scheme.</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No. 28 of 2010 s. 63; No. 45 of 2020 s. 83.] </w:t>
      </w:r>
    </w:p>
    <w:p>
      <w:pPr>
        <w:pStyle w:val="Heading5"/>
      </w:pPr>
      <w:bookmarkStart w:id="244" w:name="_Toc155166067"/>
      <w:r>
        <w:rPr>
          <w:rStyle w:val="CharSectno"/>
        </w:rPr>
        <w:t>182</w:t>
      </w:r>
      <w:r>
        <w:t>.</w:t>
      </w:r>
      <w:r>
        <w:tab/>
        <w:t>Board of Valuers</w:t>
      </w:r>
      <w:bookmarkEnd w:id="244"/>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No. 30 of 2015 s. 226.]</w:t>
      </w:r>
    </w:p>
    <w:p>
      <w:pPr>
        <w:pStyle w:val="Heading5"/>
      </w:pPr>
      <w:bookmarkStart w:id="245" w:name="_Toc155166068"/>
      <w:r>
        <w:rPr>
          <w:rStyle w:val="CharSectno"/>
        </w:rPr>
        <w:lastRenderedPageBreak/>
        <w:t>183</w:t>
      </w:r>
      <w:r>
        <w:t>.</w:t>
      </w:r>
      <w:r>
        <w:tab/>
        <w:t>Valuations by Board</w:t>
      </w:r>
      <w:bookmarkEnd w:id="245"/>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246" w:name="_Toc155166069"/>
      <w:r>
        <w:rPr>
          <w:rStyle w:val="CharDivNo"/>
        </w:rPr>
        <w:lastRenderedPageBreak/>
        <w:t>Division 3</w:t>
      </w:r>
      <w:r>
        <w:t> — </w:t>
      </w:r>
      <w:r>
        <w:rPr>
          <w:rStyle w:val="CharDivText"/>
        </w:rPr>
        <w:t>Other compensation</w:t>
      </w:r>
      <w:bookmarkEnd w:id="246"/>
    </w:p>
    <w:p>
      <w:pPr>
        <w:pStyle w:val="Heading5"/>
      </w:pPr>
      <w:bookmarkStart w:id="247" w:name="_Toc155166070"/>
      <w:r>
        <w:rPr>
          <w:rStyle w:val="CharSectno"/>
        </w:rPr>
        <w:t>184</w:t>
      </w:r>
      <w:r>
        <w:t>.</w:t>
      </w:r>
      <w:r>
        <w:tab/>
        <w:t>Betterment; compensation for expenses rendered abortive by amendment or repeal of scheme</w:t>
      </w:r>
      <w:bookmarkEnd w:id="247"/>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No. 23 of 2012 s. 45.]</w:t>
      </w:r>
    </w:p>
    <w:p>
      <w:pPr>
        <w:pStyle w:val="Heading5"/>
        <w:spacing w:before="180"/>
      </w:pPr>
      <w:bookmarkStart w:id="248" w:name="_Toc155166071"/>
      <w:r>
        <w:rPr>
          <w:rStyle w:val="CharSectno"/>
        </w:rPr>
        <w:lastRenderedPageBreak/>
        <w:t>185</w:t>
      </w:r>
      <w:r>
        <w:t>.</w:t>
      </w:r>
      <w:r>
        <w:tab/>
        <w:t>Injurious affection due to interim development order</w:t>
      </w:r>
      <w:bookmarkEnd w:id="248"/>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w:t>
      </w:r>
      <w:r>
        <w:lastRenderedPageBreak/>
        <w:t xml:space="preserve">accordance with the </w:t>
      </w:r>
      <w:r>
        <w:rPr>
          <w:i/>
        </w:rPr>
        <w:t>Commercial Arbitration Act 2012</w:t>
      </w:r>
      <w:r>
        <w:t xml:space="preserve"> or by some other method agreed by the parties.</w:t>
      </w:r>
    </w:p>
    <w:p>
      <w:pPr>
        <w:pStyle w:val="Footnotesection"/>
      </w:pPr>
      <w:r>
        <w:tab/>
        <w:t>[Section 185 amended: No. 23 of 2012 s. 45.]</w:t>
      </w:r>
    </w:p>
    <w:p>
      <w:pPr>
        <w:pStyle w:val="Heading5"/>
        <w:spacing w:before="180"/>
      </w:pPr>
      <w:bookmarkStart w:id="249" w:name="_Toc155166072"/>
      <w:r>
        <w:rPr>
          <w:rStyle w:val="CharSectno"/>
        </w:rPr>
        <w:t>186</w:t>
      </w:r>
      <w:r>
        <w:t>.</w:t>
      </w:r>
      <w:r>
        <w:tab/>
        <w:t>Injurious affection due to planning control area</w:t>
      </w:r>
      <w:bookmarkEnd w:id="249"/>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keepNext/>
        <w:keepLines/>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250" w:name="_Toc155166073"/>
      <w:r>
        <w:rPr>
          <w:rStyle w:val="CharDivNo"/>
        </w:rPr>
        <w:t>Division 4</w:t>
      </w:r>
      <w:r>
        <w:t> — </w:t>
      </w:r>
      <w:r>
        <w:rPr>
          <w:rStyle w:val="CharDivText"/>
        </w:rPr>
        <w:t>Purchase or compulsory acquisition</w:t>
      </w:r>
      <w:bookmarkEnd w:id="250"/>
    </w:p>
    <w:p>
      <w:pPr>
        <w:pStyle w:val="Heading5"/>
        <w:spacing w:before="180"/>
      </w:pPr>
      <w:bookmarkStart w:id="251" w:name="_Toc155166074"/>
      <w:r>
        <w:rPr>
          <w:rStyle w:val="CharSectno"/>
        </w:rPr>
        <w:t>187</w:t>
      </w:r>
      <w:r>
        <w:t>.</w:t>
      </w:r>
      <w:r>
        <w:tab/>
        <w:t>Acquiring land in lieu of paying compensation</w:t>
      </w:r>
      <w:bookmarkEnd w:id="251"/>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 xml:space="preserve">Where the responsible authority elects to acquire the land as provided in subsections (1) and (2), if the responsible authority and the owner of the land are unable to agree as to the price to </w:t>
      </w:r>
      <w:r>
        <w:lastRenderedPageBreak/>
        <w:t>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No. 8 of 2009 s. 100(4).]</w:t>
      </w:r>
    </w:p>
    <w:p>
      <w:pPr>
        <w:pStyle w:val="Heading5"/>
      </w:pPr>
      <w:bookmarkStart w:id="252" w:name="_Toc155166075"/>
      <w:r>
        <w:rPr>
          <w:rStyle w:val="CharSectno"/>
        </w:rPr>
        <w:t>188</w:t>
      </w:r>
      <w:r>
        <w:t>.</w:t>
      </w:r>
      <w:r>
        <w:tab/>
        <w:t>Land to be acquired under s. 187, valuing</w:t>
      </w:r>
      <w:bookmarkEnd w:id="252"/>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keepNext/>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lastRenderedPageBreak/>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No. 23 of 2012 s. 45.]</w:t>
      </w:r>
    </w:p>
    <w:p>
      <w:pPr>
        <w:pStyle w:val="Heading5"/>
      </w:pPr>
      <w:bookmarkStart w:id="253" w:name="_Toc155166076"/>
      <w:r>
        <w:rPr>
          <w:rStyle w:val="CharSectno"/>
        </w:rPr>
        <w:t>189</w:t>
      </w:r>
      <w:r>
        <w:t>.</w:t>
      </w:r>
      <w:r>
        <w:tab/>
        <w:t>Land in proposed region planning scheme, Commission may purchase</w:t>
      </w:r>
      <w:bookmarkEnd w:id="253"/>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254" w:name="_Toc155166077"/>
      <w:r>
        <w:rPr>
          <w:rStyle w:val="CharSectno"/>
        </w:rPr>
        <w:t>190</w:t>
      </w:r>
      <w:r>
        <w:t>.</w:t>
      </w:r>
      <w:r>
        <w:tab/>
        <w:t>Responsible authority may purchase land for planning scheme</w:t>
      </w:r>
      <w:bookmarkEnd w:id="254"/>
    </w:p>
    <w:p>
      <w:pPr>
        <w:pStyle w:val="Subsection"/>
      </w:pPr>
      <w:r>
        <w:tab/>
        <w:t>(1)</w:t>
      </w:r>
      <w:r>
        <w:tab/>
        <w:t>The responsible authority may, for the purpose of a planning scheme, in the name and on behalf of such responsible authority, purchase any land comprised in the planning scheme from any person who may be willing to sell the same.</w:t>
      </w:r>
    </w:p>
    <w:p>
      <w:pPr>
        <w:pStyle w:val="Subsection"/>
      </w:pPr>
      <w:r>
        <w:lastRenderedPageBreak/>
        <w:tab/>
        <w:t>(2)</w:t>
      </w:r>
      <w:r>
        <w:tab/>
        <w:t xml:space="preserve">If the land to be purchased under subsection (1) (the </w:t>
      </w:r>
      <w:r>
        <w:rPr>
          <w:rStyle w:val="CharDefText"/>
        </w:rPr>
        <w:t>relevant land</w:t>
      </w:r>
      <w:r>
        <w:t>) forms only part of a lot, the responsible authority may also purchase under subsection (1) the rest of the lot, or any part of the rest of the lot, for purposes related to the purchase of the relevant land.</w:t>
      </w:r>
    </w:p>
    <w:p>
      <w:pPr>
        <w:pStyle w:val="Subsection"/>
      </w:pPr>
      <w:r>
        <w:tab/>
        <w:t>(3)</w:t>
      </w:r>
      <w:r>
        <w:tab/>
        <w:t>Subsection (2) applies whether or not the rest of the lot, or the part of the rest of the lot, is comprised in the planning scheme and whether or not its purchase is for the purpose of the scheme.</w:t>
      </w:r>
    </w:p>
    <w:p>
      <w:pPr>
        <w:pStyle w:val="Footnotesection"/>
      </w:pPr>
      <w:r>
        <w:tab/>
        <w:t>[Section 190 amended: No. 26 of 2020 s. 15.]</w:t>
      </w:r>
    </w:p>
    <w:p>
      <w:pPr>
        <w:pStyle w:val="Heading5"/>
      </w:pPr>
      <w:bookmarkStart w:id="255" w:name="_Toc155166078"/>
      <w:r>
        <w:rPr>
          <w:rStyle w:val="CharSectno"/>
        </w:rPr>
        <w:t>191</w:t>
      </w:r>
      <w:r>
        <w:t>.</w:t>
      </w:r>
      <w:r>
        <w:tab/>
        <w:t>Compulsory acquisition of land in scheme area</w:t>
      </w:r>
      <w:bookmarkEnd w:id="255"/>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 as if the land were required for a public work (as defined in the </w:t>
      </w:r>
      <w:r>
        <w:rPr>
          <w:i/>
        </w:rPr>
        <w:t>Public Works Act 1902</w:t>
      </w:r>
      <w:r>
        <w:t xml:space="preserve"> section 2).</w:t>
      </w:r>
    </w:p>
    <w:p>
      <w:pPr>
        <w:pStyle w:val="Subsection"/>
      </w:pPr>
      <w:r>
        <w:tab/>
        <w:t>(1A)</w:t>
      </w:r>
      <w:r>
        <w:tab/>
        <w:t xml:space="preserve">If the land to be taken under subsection (1) (the </w:t>
      </w:r>
      <w:r>
        <w:rPr>
          <w:rStyle w:val="CharDefText"/>
        </w:rPr>
        <w:t>relevant land</w:t>
      </w:r>
      <w:r>
        <w:t>) forms only part of a lot, the responsible authority may also take under subsection (1) the rest of the lot, or any part of the rest of the lot, for purposes related to the taking of the relevant land.</w:t>
      </w:r>
    </w:p>
    <w:p>
      <w:pPr>
        <w:pStyle w:val="Subsection"/>
      </w:pPr>
      <w:r>
        <w:tab/>
        <w:t>(1B)</w:t>
      </w:r>
      <w:r>
        <w:tab/>
        <w:t>Subsection (1A) applies whether or not the rest of the lot, or the part of the rest of the lot, is comprised in the planning scheme and whether or not the taking of the rest of the lot, or the part of the rest of the lot, is for the purpose of the scheme.</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lastRenderedPageBreak/>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Footnotesection"/>
      </w:pPr>
      <w:r>
        <w:tab/>
        <w:t>[Section 191 amended: No. 26 of 2020 s. 16; No. 4 of 2023 s. 145.]</w:t>
      </w:r>
    </w:p>
    <w:p>
      <w:pPr>
        <w:pStyle w:val="Heading5"/>
      </w:pPr>
      <w:bookmarkStart w:id="256" w:name="_Toc155166079"/>
      <w:r>
        <w:rPr>
          <w:rStyle w:val="CharSectno"/>
        </w:rPr>
        <w:t>192</w:t>
      </w:r>
      <w:r>
        <w:t>.</w:t>
      </w:r>
      <w:r>
        <w:tab/>
        <w:t>Land etc. to be acquired under s. 191, valuing</w:t>
      </w:r>
      <w:bookmarkEnd w:id="256"/>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keepNext/>
        <w:spacing w:before="120"/>
      </w:pPr>
      <w:r>
        <w:lastRenderedPageBreak/>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keepNext/>
        <w:keepLines/>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257" w:name="_Toc155166080"/>
      <w:r>
        <w:rPr>
          <w:rStyle w:val="CharSectno"/>
        </w:rPr>
        <w:t>193</w:t>
      </w:r>
      <w:r>
        <w:t>.</w:t>
      </w:r>
      <w:r>
        <w:tab/>
        <w:t>Responsible authority’s powers as to acquired land</w:t>
      </w:r>
      <w:bookmarkEnd w:id="257"/>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258" w:name="_Toc155166081"/>
      <w:r>
        <w:rPr>
          <w:rStyle w:val="CharSectno"/>
        </w:rPr>
        <w:t>194</w:t>
      </w:r>
      <w:r>
        <w:t>.</w:t>
      </w:r>
      <w:r>
        <w:tab/>
        <w:t>Responsible authority may grant easement over acquired land</w:t>
      </w:r>
      <w:bookmarkEnd w:id="258"/>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259" w:name="_Toc155166082"/>
      <w:r>
        <w:rPr>
          <w:rStyle w:val="CharSectno"/>
        </w:rPr>
        <w:lastRenderedPageBreak/>
        <w:t>195</w:t>
      </w:r>
      <w:r>
        <w:t>.</w:t>
      </w:r>
      <w:r>
        <w:tab/>
        <w:t>Commission’s powers to acquire land in improvement plan</w:t>
      </w:r>
      <w:bookmarkEnd w:id="259"/>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 xml:space="preserve">Land Administration Act 1997 </w:t>
      </w:r>
      <w:r>
        <w:t xml:space="preserve">as if the land were required for a public work (as defined in the </w:t>
      </w:r>
      <w:r>
        <w:rPr>
          <w:i/>
        </w:rPr>
        <w:t>Public Works Act 1902</w:t>
      </w:r>
      <w:r>
        <w:t xml:space="preserve"> section 2), subject to subsection (3).</w:t>
      </w:r>
    </w:p>
    <w:p>
      <w:pPr>
        <w:pStyle w:val="Subsection"/>
      </w:pPr>
      <w:r>
        <w:tab/>
        <w:t>(3)</w:t>
      </w:r>
      <w:r>
        <w:tab/>
        <w:t>Sections 191(3) and 192 apply with any necessary modifications to the taking of land under subsection (2) as they apply to the taking of land under section 191.</w:t>
      </w:r>
    </w:p>
    <w:p>
      <w:pPr>
        <w:pStyle w:val="Subsection"/>
      </w:pPr>
      <w:r>
        <w:tab/>
        <w:t>(3A)</w:t>
      </w:r>
      <w:r>
        <w:tab/>
        <w:t>For the purposes of subsection (3), in section 192(1)(a), the reference to the relevant planning scheme is to be read as a reference to the improvement plan.</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No. 28 of 2010 s. 16; No. 26 of 2020 s. 17; No. 4 of 2023 s. 146.] </w:t>
      </w:r>
    </w:p>
    <w:p>
      <w:pPr>
        <w:pStyle w:val="Heading5"/>
      </w:pPr>
      <w:bookmarkStart w:id="260" w:name="_Toc155166083"/>
      <w:r>
        <w:rPr>
          <w:rStyle w:val="CharSectno"/>
        </w:rPr>
        <w:t>196</w:t>
      </w:r>
      <w:r>
        <w:t>.</w:t>
      </w:r>
      <w:r>
        <w:tab/>
        <w:t>Commission may sell etc. acquired land</w:t>
      </w:r>
      <w:bookmarkEnd w:id="260"/>
    </w:p>
    <w:p>
      <w:pPr>
        <w:pStyle w:val="Subsection"/>
        <w:keepNext/>
        <w:keepLines/>
      </w:pPr>
      <w:r>
        <w:tab/>
        <w:t>(1)</w:t>
      </w:r>
      <w:r>
        <w:tab/>
        <w:t xml:space="preserve">The Commission is to hold for the purposes of the relevant region planning scheme, Swan Valley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Swan Valley Planning Scheme or improvement plan; or</w:t>
      </w:r>
    </w:p>
    <w:p>
      <w:pPr>
        <w:pStyle w:val="Indenta"/>
      </w:pPr>
      <w:r>
        <w:tab/>
        <w:t>(b)</w:t>
      </w:r>
      <w:r>
        <w:tab/>
        <w:t>if that land is no longer required by the Commission.</w:t>
      </w:r>
    </w:p>
    <w:p>
      <w:pPr>
        <w:pStyle w:val="Subsection"/>
      </w:pPr>
      <w:r>
        <w:lastRenderedPageBreak/>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Swan Valley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Subsection"/>
      </w:pPr>
      <w:r>
        <w:tab/>
        <w:t>(4)</w:t>
      </w:r>
      <w:r>
        <w:tab/>
        <w:t>In relation to a part of a lot purchased or taken by the Commission in accordance with section 190(2) or 191(1A), in subsection (1), the reference to the purposes of the relevant region planning scheme or the Swan Valley Planning Scheme is a reference to the purposes for which the part of the lot was purchased or taken.</w:t>
      </w:r>
    </w:p>
    <w:p>
      <w:pPr>
        <w:pStyle w:val="Footnotesection"/>
      </w:pPr>
      <w:r>
        <w:tab/>
        <w:t xml:space="preserve">[Section 196 amended: No. 28 of 2010 s. 17; No. 26 of 2020 s. 18; No. 45 of 2020 s. 84.] </w:t>
      </w:r>
    </w:p>
    <w:p>
      <w:pPr>
        <w:pStyle w:val="Heading5"/>
      </w:pPr>
      <w:bookmarkStart w:id="261" w:name="_Toc155166084"/>
      <w:r>
        <w:rPr>
          <w:rStyle w:val="CharSectno"/>
        </w:rPr>
        <w:t>197</w:t>
      </w:r>
      <w:r>
        <w:t>.</w:t>
      </w:r>
      <w:r>
        <w:tab/>
        <w:t>Declaring land for public work to be instead held etc. for region planning scheme or improvement plan</w:t>
      </w:r>
      <w:bookmarkEnd w:id="261"/>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Swan Valley Planning Scheme or an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Swan Valley Planning Scheme or improvement plan.</w:t>
      </w:r>
    </w:p>
    <w:p>
      <w:pPr>
        <w:pStyle w:val="Subsection"/>
      </w:pPr>
      <w:r>
        <w:lastRenderedPageBreak/>
        <w:tab/>
        <w:t>(2)</w:t>
      </w:r>
      <w:r>
        <w:tab/>
        <w:t>From the date of the publication of the notice the land described in the notice, by force of this section, vests in the Commission for the purposes of the region planning scheme, Swan Valley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No. 28 of 2010 s. 18; No. 45 of 2020 s. 85.] </w:t>
      </w:r>
    </w:p>
    <w:p>
      <w:pPr>
        <w:pStyle w:val="Heading5"/>
      </w:pPr>
      <w:bookmarkStart w:id="262" w:name="_Toc155166085"/>
      <w:r>
        <w:rPr>
          <w:rStyle w:val="CharSectno"/>
        </w:rPr>
        <w:t>197A</w:t>
      </w:r>
      <w:r>
        <w:t>.</w:t>
      </w:r>
      <w:r>
        <w:tab/>
        <w:t>Planning control areas</w:t>
      </w:r>
      <w:bookmarkEnd w:id="262"/>
    </w:p>
    <w:p>
      <w:pPr>
        <w:pStyle w:val="Subsection"/>
      </w:pPr>
      <w:r>
        <w:tab/>
        <w:t>(1)</w:t>
      </w:r>
      <w:r>
        <w:tab/>
        <w:t>In section 187(1), the reference to the provisions of section 174(1) includes those provisions as applied by section 186(2).</w:t>
      </w:r>
    </w:p>
    <w:p>
      <w:pPr>
        <w:pStyle w:val="Subsection"/>
        <w:keepNext/>
      </w:pPr>
      <w:r>
        <w:tab/>
        <w:t>(2)</w:t>
      </w:r>
      <w:r>
        <w:tab/>
        <w:t xml:space="preserve">The Commission may purchase any of the following land — </w:t>
      </w:r>
    </w:p>
    <w:p>
      <w:pPr>
        <w:pStyle w:val="Indenta"/>
      </w:pPr>
      <w:r>
        <w:tab/>
        <w:t>(a)</w:t>
      </w:r>
      <w:r>
        <w:tab/>
        <w:t>land within a proposed planning control area;</w:t>
      </w:r>
    </w:p>
    <w:p>
      <w:pPr>
        <w:pStyle w:val="Indenta"/>
      </w:pPr>
      <w:r>
        <w:tab/>
        <w:t>(b)</w:t>
      </w:r>
      <w:r>
        <w:tab/>
        <w:t>land that would be brought within a planning control area as a result of a proposed change to the area;</w:t>
      </w:r>
    </w:p>
    <w:p>
      <w:pPr>
        <w:pStyle w:val="Indenta"/>
      </w:pPr>
      <w:r>
        <w:tab/>
        <w:t>(c)</w:t>
      </w:r>
      <w:r>
        <w:tab/>
        <w:t>land within a planning control area.</w:t>
      </w:r>
    </w:p>
    <w:p>
      <w:pPr>
        <w:pStyle w:val="Subsection"/>
      </w:pPr>
      <w:r>
        <w:lastRenderedPageBreak/>
        <w:tab/>
        <w:t>(3)</w:t>
      </w:r>
      <w:r>
        <w:tab/>
        <w:t xml:space="preserve">The Commission may compulsorily take any land within a planning control area under and subject to the </w:t>
      </w:r>
      <w:r>
        <w:rPr>
          <w:i/>
        </w:rPr>
        <w:t xml:space="preserve">Land Administration Act 1997 </w:t>
      </w:r>
      <w:r>
        <w:t xml:space="preserve">Part 9 as if the land were required for a public work (as defined in the </w:t>
      </w:r>
      <w:r>
        <w:rPr>
          <w:i/>
        </w:rPr>
        <w:t>Public Works Act 1902</w:t>
      </w:r>
      <w:r>
        <w:t xml:space="preserve"> section 2).</w:t>
      </w:r>
    </w:p>
    <w:p>
      <w:pPr>
        <w:pStyle w:val="Subsection"/>
      </w:pPr>
      <w:r>
        <w:tab/>
        <w:t>(4)</w:t>
      </w:r>
      <w:r>
        <w:tab/>
        <w:t>Sections 191(3) and 192 apply with any necessary modifications to the taking of land under subsection (3) as they apply to the taking of land under section 191.</w:t>
      </w:r>
    </w:p>
    <w:p>
      <w:pPr>
        <w:pStyle w:val="Subsection"/>
      </w:pPr>
      <w:r>
        <w:tab/>
        <w:t>(5)</w:t>
      </w:r>
      <w:r>
        <w:tab/>
        <w:t>For the purposes of subsection (4), in section 192(1)(a), the reference to the relevant planning scheme is to be read as a reference to the declaration of the planning control area under section 112.</w:t>
      </w:r>
    </w:p>
    <w:p>
      <w:pPr>
        <w:pStyle w:val="Subsection"/>
      </w:pPr>
      <w:r>
        <w:tab/>
        <w:t>(6)</w:t>
      </w:r>
      <w:r>
        <w:tab/>
        <w:t xml:space="preserve">The Commission — </w:t>
      </w:r>
    </w:p>
    <w:p>
      <w:pPr>
        <w:pStyle w:val="Indenta"/>
      </w:pPr>
      <w:r>
        <w:tab/>
        <w:t>(a)</w:t>
      </w:r>
      <w:r>
        <w:tab/>
        <w:t>must hold any land acquired by the Commission under this section for the purpose, or for any 1 or more of the purposes, for which the land is required as referred to in section 112(1); and</w:t>
      </w:r>
    </w:p>
    <w:p>
      <w:pPr>
        <w:pStyle w:val="Indenta"/>
      </w:pPr>
      <w:r>
        <w:tab/>
        <w:t>(b)</w:t>
      </w:r>
      <w:r>
        <w:tab/>
        <w:t xml:space="preserve">may dispose of or alienate the land — </w:t>
      </w:r>
    </w:p>
    <w:p>
      <w:pPr>
        <w:pStyle w:val="Indenti"/>
      </w:pPr>
      <w:r>
        <w:tab/>
        <w:t>(i)</w:t>
      </w:r>
      <w:r>
        <w:tab/>
        <w:t>for that purpose or 1 or more of those purposes; or</w:t>
      </w:r>
    </w:p>
    <w:p>
      <w:pPr>
        <w:pStyle w:val="Indenti"/>
      </w:pPr>
      <w:r>
        <w:tab/>
        <w:t>(ii)</w:t>
      </w:r>
      <w:r>
        <w:tab/>
        <w:t>if the land is no longer required for that purpose or any of those purposes.</w:t>
      </w:r>
    </w:p>
    <w:p>
      <w:pPr>
        <w:pStyle w:val="Subsection"/>
      </w:pPr>
      <w:r>
        <w:tab/>
        <w:t>(7)</w:t>
      </w:r>
      <w:r>
        <w:tab/>
        <w:t>Land acquired under subsection (3) can be disposed of or alienated under subsection (6)(b)(ii) only with the Governor’s consent.</w:t>
      </w:r>
    </w:p>
    <w:p>
      <w:pPr>
        <w:pStyle w:val="Subsection"/>
      </w:pPr>
      <w:r>
        <w:tab/>
        <w:t>(8)</w:t>
      </w:r>
      <w:r>
        <w:tab/>
        <w:t>Section 196(3) applies to the power to dispose of or alienate land conferred by subsection (6)(b) as it applies to a power conferred by section 196.</w:t>
      </w:r>
    </w:p>
    <w:p>
      <w:pPr>
        <w:pStyle w:val="Subsection"/>
        <w:keepNext/>
      </w:pPr>
      <w:r>
        <w:tab/>
        <w:t>(9)</w:t>
      </w:r>
      <w:r>
        <w:tab/>
        <w:t xml:space="preserve">In section 197, references to the purposes of a region planning scheme include the purposes, or any 1 or more of the purposes, </w:t>
      </w:r>
      <w:r>
        <w:lastRenderedPageBreak/>
        <w:t>for which land within a planning control area is required as referred to in section 112(1).</w:t>
      </w:r>
    </w:p>
    <w:p>
      <w:pPr>
        <w:pStyle w:val="Footnotesection"/>
      </w:pPr>
      <w:r>
        <w:tab/>
        <w:t>[Section 197A inserted: No. 26 of 2020 s. 19; amended: No. 4 of 2023 s. 147.]</w:t>
      </w:r>
    </w:p>
    <w:p>
      <w:pPr>
        <w:pStyle w:val="Heading2"/>
      </w:pPr>
      <w:bookmarkStart w:id="263" w:name="_Toc155166086"/>
      <w:r>
        <w:rPr>
          <w:rStyle w:val="CharPartNo"/>
        </w:rPr>
        <w:lastRenderedPageBreak/>
        <w:t>Part 12</w:t>
      </w:r>
      <w:r>
        <w:t> — </w:t>
      </w:r>
      <w:r>
        <w:rPr>
          <w:rStyle w:val="CharPartText"/>
        </w:rPr>
        <w:t>Financial provisions</w:t>
      </w:r>
      <w:bookmarkEnd w:id="263"/>
    </w:p>
    <w:p>
      <w:pPr>
        <w:pStyle w:val="Heading3"/>
      </w:pPr>
      <w:bookmarkStart w:id="264" w:name="_Toc155166087"/>
      <w:r>
        <w:rPr>
          <w:rStyle w:val="CharDivNo"/>
        </w:rPr>
        <w:t>Division 1</w:t>
      </w:r>
      <w:r>
        <w:t> — </w:t>
      </w:r>
      <w:r>
        <w:rPr>
          <w:rStyle w:val="CharDivText"/>
        </w:rPr>
        <w:t>Metropolitan Region Improvement Fund</w:t>
      </w:r>
      <w:bookmarkEnd w:id="264"/>
    </w:p>
    <w:p>
      <w:pPr>
        <w:pStyle w:val="Heading5"/>
        <w:spacing w:before="240"/>
      </w:pPr>
      <w:bookmarkStart w:id="265" w:name="_Toc155166088"/>
      <w:r>
        <w:rPr>
          <w:rStyle w:val="CharSectno"/>
        </w:rPr>
        <w:t>198</w:t>
      </w:r>
      <w:r>
        <w:t>.</w:t>
      </w:r>
      <w:r>
        <w:tab/>
        <w:t>Metropolitan Region Improvement Account</w:t>
      </w:r>
      <w:bookmarkEnd w:id="265"/>
    </w:p>
    <w:p>
      <w:pPr>
        <w:pStyle w:val="Subsection"/>
        <w:spacing w:before="180"/>
      </w:pPr>
      <w:r>
        <w:tab/>
        <w:t>(1)</w:t>
      </w:r>
      <w:r>
        <w:tab/>
        <w:t xml:space="preserve">For the purposes of reviewing, amending, carrying out and giving effect to the Metropolitan Region Scheme, the Swan Valley Planning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No. 77 of 2006 Sch. 1 cl. 127(3) and (5); No. 28 of 2010 s. 19; No. 45 of 2020 s. 86.]</w:t>
      </w:r>
    </w:p>
    <w:p>
      <w:pPr>
        <w:pStyle w:val="Heading5"/>
        <w:spacing w:before="240"/>
      </w:pPr>
      <w:bookmarkStart w:id="266" w:name="_Toc155166089"/>
      <w:r>
        <w:rPr>
          <w:rStyle w:val="CharSectno"/>
        </w:rPr>
        <w:lastRenderedPageBreak/>
        <w:t>199</w:t>
      </w:r>
      <w:r>
        <w:t>.</w:t>
      </w:r>
      <w:r>
        <w:tab/>
        <w:t>MRI Account, application of</w:t>
      </w:r>
      <w:bookmarkEnd w:id="266"/>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the Swan Valley Planning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the Swan Valley Planning Scheme, a regional interim development order in respect of land in the metropolitan region or a metropolitan improvement scheme or the establishment and maintenance of any works in connection with the Metropolitan Region Scheme, Swan Valley Planning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Swan Valley Planning Scheme or metropolitan improvement scheme; or</w:t>
      </w:r>
    </w:p>
    <w:p>
      <w:pPr>
        <w:pStyle w:val="Indenti"/>
        <w:spacing w:before="60"/>
      </w:pPr>
      <w:r>
        <w:tab/>
        <w:t>(iii)</w:t>
      </w:r>
      <w:r>
        <w:tab/>
        <w:t xml:space="preserve">the carrying out of any works, including the provision of facilities, incidental to such development, maintenance and management or </w:t>
      </w:r>
      <w:r>
        <w:lastRenderedPageBreak/>
        <w:t>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t xml:space="preserve">, the </w:t>
      </w:r>
      <w:r>
        <w:rPr>
          <w:i/>
        </w:rPr>
        <w:t>Hope Valley</w:t>
      </w:r>
      <w:r>
        <w:rPr>
          <w:i/>
        </w:rPr>
        <w:noBreakHyphen/>
        <w:t>Wattleup Redevelopment Act 2000</w:t>
      </w:r>
      <w:r>
        <w:t xml:space="preserve"> or the </w:t>
      </w:r>
      <w:r>
        <w:rPr>
          <w:i/>
        </w:rPr>
        <w:t>Swan Valley Planning Act 2020</w:t>
      </w:r>
      <w:r>
        <w:t>.</w:t>
      </w:r>
    </w:p>
    <w:p>
      <w:pPr>
        <w:pStyle w:val="Footnotesection"/>
      </w:pPr>
      <w:r>
        <w:tab/>
        <w:t xml:space="preserve">[Section 199 amended: No. 77 of 2006 Sch. 1 cl. 127(5); No. 28 of 2010 s. 20; </w:t>
      </w:r>
      <w:r>
        <w:rPr>
          <w:spacing w:val="-4"/>
        </w:rPr>
        <w:t>No. 45 of 2011 s. 1</w:t>
      </w:r>
      <w:r>
        <w:t xml:space="preserve">41(9); No. 45 of 2020 s. 87.] </w:t>
      </w:r>
    </w:p>
    <w:p>
      <w:pPr>
        <w:pStyle w:val="Heading3"/>
      </w:pPr>
      <w:bookmarkStart w:id="267" w:name="_Toc155166090"/>
      <w:r>
        <w:rPr>
          <w:rStyle w:val="CharDivNo"/>
        </w:rPr>
        <w:t>Division 2</w:t>
      </w:r>
      <w:r>
        <w:t> — </w:t>
      </w:r>
      <w:r>
        <w:rPr>
          <w:rStyle w:val="CharDivText"/>
        </w:rPr>
        <w:t>Metropolitan Region Improvement Tax</w:t>
      </w:r>
      <w:bookmarkEnd w:id="267"/>
    </w:p>
    <w:p>
      <w:pPr>
        <w:pStyle w:val="Heading5"/>
      </w:pPr>
      <w:bookmarkStart w:id="268" w:name="_Toc155166091"/>
      <w:r>
        <w:rPr>
          <w:rStyle w:val="CharSectno"/>
        </w:rPr>
        <w:t>200</w:t>
      </w:r>
      <w:r>
        <w:t>.</w:t>
      </w:r>
      <w:r>
        <w:tab/>
        <w:t>Owners’ liability to pay tax</w:t>
      </w:r>
      <w:bookmarkEnd w:id="268"/>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lastRenderedPageBreak/>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269" w:name="_Toc155166092"/>
      <w:r>
        <w:rPr>
          <w:rStyle w:val="CharSectno"/>
        </w:rPr>
        <w:t>201</w:t>
      </w:r>
      <w:r>
        <w:t>.</w:t>
      </w:r>
      <w:r>
        <w:rPr>
          <w:vertAlign w:val="superscript"/>
        </w:rPr>
        <w:t> 1MC</w:t>
      </w:r>
      <w:r>
        <w:tab/>
        <w:t>Tax collections, how to be dealt with</w:t>
      </w:r>
      <w:bookmarkEnd w:id="269"/>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No. 77 of 2006 s. 4 and Sch. 1 cl. 127(4).]</w:t>
      </w:r>
    </w:p>
    <w:p>
      <w:pPr>
        <w:pStyle w:val="Ednotesection"/>
      </w:pPr>
      <w:r>
        <w:t>[</w:t>
      </w:r>
      <w:r>
        <w:rPr>
          <w:b/>
          <w:bCs/>
        </w:rPr>
        <w:t xml:space="preserve">201. </w:t>
      </w:r>
      <w:r>
        <w:rPr>
          <w:vertAlign w:val="superscript"/>
        </w:rPr>
        <w:t>1MC</w:t>
      </w:r>
      <w:r>
        <w:tab/>
        <w:t>Modification, to replace section 201, to have effect under the Commonwealth Places (Mirror Taxes) Act 1998 (Commonwealth) s. 8, see Commonwealth Places (Mirror Taxes) (Modification of Applied Laws (WA)) Notice 2007 cl. 25 and endnote 1MC.]</w:t>
      </w:r>
    </w:p>
    <w:p>
      <w:pPr>
        <w:pStyle w:val="Ednotesection"/>
      </w:pPr>
      <w:r>
        <w:t>[</w:t>
      </w:r>
      <w:r>
        <w:rPr>
          <w:b/>
          <w:bCs/>
        </w:rPr>
        <w:t xml:space="preserve">201A. </w:t>
      </w:r>
      <w:r>
        <w:rPr>
          <w:vertAlign w:val="superscript"/>
        </w:rPr>
        <w:t>1M</w:t>
      </w:r>
      <w:r>
        <w:tab/>
        <w:t>Modification, to insert section 201A, to have effect under the Commonwealth Places (Mirror Taxes Administration) Act 1999 s. 7, see Commonwealth Places (Mirror Taxes Administration) Regulations 2007 r. 24 and endnote 1M.]</w:t>
      </w:r>
    </w:p>
    <w:p>
      <w:pPr>
        <w:pStyle w:val="Heading3"/>
      </w:pPr>
      <w:bookmarkStart w:id="270" w:name="_Toc155166093"/>
      <w:r>
        <w:rPr>
          <w:rStyle w:val="CharDivNo"/>
        </w:rPr>
        <w:t>Division 3</w:t>
      </w:r>
      <w:r>
        <w:t> — </w:t>
      </w:r>
      <w:r>
        <w:rPr>
          <w:rStyle w:val="CharDivText"/>
        </w:rPr>
        <w:t>Financial provisions relating to the Commission</w:t>
      </w:r>
      <w:bookmarkEnd w:id="270"/>
    </w:p>
    <w:p>
      <w:pPr>
        <w:pStyle w:val="Heading5"/>
      </w:pPr>
      <w:bookmarkStart w:id="271" w:name="_Toc155166094"/>
      <w:r>
        <w:rPr>
          <w:rStyle w:val="CharSectno"/>
        </w:rPr>
        <w:t>202</w:t>
      </w:r>
      <w:r>
        <w:t>.</w:t>
      </w:r>
      <w:r>
        <w:tab/>
        <w:t>Saving</w:t>
      </w:r>
      <w:bookmarkEnd w:id="271"/>
    </w:p>
    <w:p>
      <w:pPr>
        <w:pStyle w:val="Subsection"/>
      </w:pPr>
      <w:r>
        <w:tab/>
      </w:r>
      <w:r>
        <w:tab/>
        <w:t>Nothing in this Division is to be read as derogating from Division 1 and this Division has effect subject to that Division.</w:t>
      </w:r>
    </w:p>
    <w:p>
      <w:pPr>
        <w:pStyle w:val="Heading5"/>
      </w:pPr>
      <w:bookmarkStart w:id="272" w:name="_Toc155166095"/>
      <w:r>
        <w:rPr>
          <w:rStyle w:val="CharSectno"/>
        </w:rPr>
        <w:lastRenderedPageBreak/>
        <w:t>203</w:t>
      </w:r>
      <w:r>
        <w:t>.</w:t>
      </w:r>
      <w:r>
        <w:tab/>
        <w:t>Funds of Commission</w:t>
      </w:r>
      <w:bookmarkEnd w:id="272"/>
    </w:p>
    <w:p>
      <w:pPr>
        <w:pStyle w:val="Subsection"/>
        <w:keepNext/>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No. 77 of 2006 Sch. 1 cl. 127(6).]</w:t>
      </w:r>
    </w:p>
    <w:p>
      <w:pPr>
        <w:pStyle w:val="Heading5"/>
      </w:pPr>
      <w:bookmarkStart w:id="273" w:name="_Toc155166096"/>
      <w:r>
        <w:rPr>
          <w:rStyle w:val="CharSectno"/>
        </w:rPr>
        <w:t>204</w:t>
      </w:r>
      <w:r>
        <w:t>.</w:t>
      </w:r>
      <w:r>
        <w:tab/>
        <w:t>Minister’s approval needed for some contracts and expenditure</w:t>
      </w:r>
      <w:bookmarkEnd w:id="273"/>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274" w:name="_Toc155166097"/>
      <w:r>
        <w:rPr>
          <w:rStyle w:val="CharSectno"/>
        </w:rPr>
        <w:t>205</w:t>
      </w:r>
      <w:r>
        <w:t>.</w:t>
      </w:r>
      <w:r>
        <w:tab/>
        <w:t>Borrowing powers</w:t>
      </w:r>
      <w:bookmarkEnd w:id="274"/>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keepLines/>
      </w:pPr>
      <w:r>
        <w:lastRenderedPageBreak/>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275" w:name="_Toc155166098"/>
      <w:r>
        <w:rPr>
          <w:rStyle w:val="CharSectno"/>
        </w:rPr>
        <w:t>206</w:t>
      </w:r>
      <w:r>
        <w:t>.</w:t>
      </w:r>
      <w:r>
        <w:tab/>
        <w:t>Borrowing from Treasurer</w:t>
      </w:r>
      <w:bookmarkEnd w:id="275"/>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276" w:name="_Toc155166099"/>
      <w:r>
        <w:rPr>
          <w:rStyle w:val="CharSectno"/>
        </w:rPr>
        <w:t>207</w:t>
      </w:r>
      <w:r>
        <w:t>.</w:t>
      </w:r>
      <w:r>
        <w:tab/>
        <w:t>Guarantees by Treasurer</w:t>
      </w:r>
      <w:bookmarkEnd w:id="276"/>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lastRenderedPageBreak/>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No. 77 of 2006 s. 4.]</w:t>
      </w:r>
    </w:p>
    <w:p>
      <w:pPr>
        <w:pStyle w:val="Heading5"/>
        <w:rPr>
          <w:i/>
        </w:rPr>
      </w:pPr>
      <w:bookmarkStart w:id="277" w:name="_Toc155166100"/>
      <w:r>
        <w:rPr>
          <w:rStyle w:val="CharSectno"/>
        </w:rPr>
        <w:t>208</w:t>
      </w:r>
      <w:r>
        <w:t>.</w:t>
      </w:r>
      <w:r>
        <w:tab/>
      </w:r>
      <w:r>
        <w:rPr>
          <w:i/>
        </w:rPr>
        <w:t>Financial Management Act 2006</w:t>
      </w:r>
      <w:r>
        <w:t xml:space="preserve"> and </w:t>
      </w:r>
      <w:r>
        <w:rPr>
          <w:i/>
        </w:rPr>
        <w:t>Auditor General Act 2006</w:t>
      </w:r>
      <w:r>
        <w:t>, application of</w:t>
      </w:r>
      <w:bookmarkEnd w:id="277"/>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No. 77 of 2006 Sch. 1 cl. 127(7).]</w:t>
      </w:r>
    </w:p>
    <w:p>
      <w:pPr>
        <w:pStyle w:val="Heading5"/>
      </w:pPr>
      <w:bookmarkStart w:id="278" w:name="_Toc155166101"/>
      <w:r>
        <w:rPr>
          <w:rStyle w:val="CharSectno"/>
        </w:rPr>
        <w:t>209</w:t>
      </w:r>
      <w:r>
        <w:t>.</w:t>
      </w:r>
      <w:r>
        <w:tab/>
        <w:t>Commission’s land not subject to rates etc.</w:t>
      </w:r>
      <w:bookmarkEnd w:id="278"/>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279" w:name="_Toc155166102"/>
      <w:r>
        <w:rPr>
          <w:rStyle w:val="CharDivNo"/>
        </w:rPr>
        <w:t>Division 4</w:t>
      </w:r>
      <w:r>
        <w:t> — </w:t>
      </w:r>
      <w:r>
        <w:rPr>
          <w:rStyle w:val="CharDivText"/>
        </w:rPr>
        <w:t>Financial provisions relating to local governments</w:t>
      </w:r>
      <w:bookmarkEnd w:id="279"/>
    </w:p>
    <w:p>
      <w:pPr>
        <w:pStyle w:val="Heading5"/>
      </w:pPr>
      <w:bookmarkStart w:id="280" w:name="_Toc155166103"/>
      <w:r>
        <w:rPr>
          <w:rStyle w:val="CharSectno"/>
        </w:rPr>
        <w:t>210</w:t>
      </w:r>
      <w:r>
        <w:t>.</w:t>
      </w:r>
      <w:r>
        <w:tab/>
        <w:t>Apportioning expenses between local governments</w:t>
      </w:r>
      <w:bookmarkEnd w:id="280"/>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lastRenderedPageBreak/>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281" w:name="_Toc155166104"/>
      <w:r>
        <w:rPr>
          <w:rStyle w:val="CharPartNo"/>
        </w:rPr>
        <w:lastRenderedPageBreak/>
        <w:t>Part 13</w:t>
      </w:r>
      <w:r>
        <w:t> — </w:t>
      </w:r>
      <w:r>
        <w:rPr>
          <w:rStyle w:val="CharPartText"/>
        </w:rPr>
        <w:t>Enforcement and legal proceedings</w:t>
      </w:r>
      <w:bookmarkEnd w:id="281"/>
    </w:p>
    <w:p>
      <w:pPr>
        <w:pStyle w:val="Heading3"/>
      </w:pPr>
      <w:bookmarkStart w:id="282" w:name="_Toc155166105"/>
      <w:r>
        <w:rPr>
          <w:rStyle w:val="CharDivNo"/>
        </w:rPr>
        <w:t>Division 1</w:t>
      </w:r>
      <w:r>
        <w:t> — </w:t>
      </w:r>
      <w:r>
        <w:rPr>
          <w:rStyle w:val="CharDivText"/>
        </w:rPr>
        <w:t>Enforcement</w:t>
      </w:r>
      <w:bookmarkEnd w:id="282"/>
    </w:p>
    <w:p>
      <w:pPr>
        <w:pStyle w:val="Heading5"/>
      </w:pPr>
      <w:bookmarkStart w:id="283" w:name="_Toc155166106"/>
      <w:r>
        <w:rPr>
          <w:rStyle w:val="CharSectno"/>
        </w:rPr>
        <w:t>211</w:t>
      </w:r>
      <w:r>
        <w:t>.</w:t>
      </w:r>
      <w:r>
        <w:tab/>
        <w:t>Person aggrieved by local government’s omission may go to Minister; Minister’s powers</w:t>
      </w:r>
      <w:bookmarkEnd w:id="283"/>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lastRenderedPageBreak/>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284" w:name="_Toc155166107"/>
      <w:r>
        <w:rPr>
          <w:rStyle w:val="CharSectno"/>
        </w:rPr>
        <w:t>212</w:t>
      </w:r>
      <w:r>
        <w:t>.</w:t>
      </w:r>
      <w:r>
        <w:tab/>
        <w:t>Breach of order etc. by local government, Minister’s powers as to</w:t>
      </w:r>
      <w:bookmarkEnd w:id="284"/>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this Act,</w:t>
      </w:r>
    </w:p>
    <w:p>
      <w:pPr>
        <w:pStyle w:val="Subsection"/>
      </w:pPr>
      <w:r>
        <w:tab/>
      </w:r>
      <w:r>
        <w:tab/>
        <w:t>the Minister may serve written notice on the local government under this section.</w:t>
      </w:r>
    </w:p>
    <w:p>
      <w:pPr>
        <w:pStyle w:val="Subsection"/>
        <w:keepNext/>
      </w:pPr>
      <w:r>
        <w:lastRenderedPageBreak/>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spacing w:before="180"/>
      </w:pPr>
      <w:r>
        <w:tab/>
        <w:t>(7)</w:t>
      </w:r>
      <w:r>
        <w:tab/>
        <w:t xml:space="preserve">All costs, charges and expenses incurred by the Minister in the exercise of any powers conferred by subsection (3) may be </w:t>
      </w:r>
      <w:r>
        <w:lastRenderedPageBreak/>
        <w:t>recovered from the local government as a debt due to the Crown or may be deducted from any moneys payable by the Crown to the local government.</w:t>
      </w:r>
    </w:p>
    <w:p>
      <w:pPr>
        <w:pStyle w:val="Subsection"/>
      </w:pPr>
      <w:r>
        <w:tab/>
        <w:t>(8)</w:t>
      </w:r>
      <w:r>
        <w:tab/>
        <w:t xml:space="preserve">The Minister must, as soon as is practicable after a notice is served on a local government under subsection (1) — </w:t>
      </w:r>
    </w:p>
    <w:p>
      <w:pPr>
        <w:pStyle w:val="Indenta"/>
      </w:pPr>
      <w:r>
        <w:tab/>
        <w:t>(a)</w:t>
      </w:r>
      <w:r>
        <w:tab/>
        <w:t>give a copy of the notice to the Commission; and</w:t>
      </w:r>
    </w:p>
    <w:p>
      <w:pPr>
        <w:pStyle w:val="Indenta"/>
      </w:pPr>
      <w:r>
        <w:tab/>
        <w:t>(b)</w:t>
      </w:r>
      <w:r>
        <w:tab/>
        <w:t xml:space="preserve">cause to be laid before each House of Parliament or dealt with under section 268A — </w:t>
      </w:r>
    </w:p>
    <w:p>
      <w:pPr>
        <w:pStyle w:val="Indenti"/>
      </w:pPr>
      <w:r>
        <w:tab/>
        <w:t>(i)</w:t>
      </w:r>
      <w:r>
        <w:tab/>
        <w:t>a copy of the notice; and</w:t>
      </w:r>
    </w:p>
    <w:p>
      <w:pPr>
        <w:pStyle w:val="Indenti"/>
      </w:pPr>
      <w:r>
        <w:tab/>
        <w:t>(ii)</w:t>
      </w:r>
      <w:r>
        <w:tab/>
        <w:t>a copy of the reasons for giving the notice.</w:t>
      </w:r>
    </w:p>
    <w:p>
      <w:pPr>
        <w:pStyle w:val="Footnotesection"/>
      </w:pPr>
      <w:r>
        <w:tab/>
        <w:t xml:space="preserve">[Section 212 amended: No. 28 of 2010 s. 47; No. 26 of 2020 s. 101.] </w:t>
      </w:r>
    </w:p>
    <w:p>
      <w:pPr>
        <w:pStyle w:val="Heading5"/>
        <w:spacing w:before="240"/>
      </w:pPr>
      <w:bookmarkStart w:id="285" w:name="_Toc155166108"/>
      <w:r>
        <w:rPr>
          <w:rStyle w:val="CharSectno"/>
        </w:rPr>
        <w:t>213</w:t>
      </w:r>
      <w:r>
        <w:t>.</w:t>
      </w:r>
      <w:r>
        <w:tab/>
        <w:t>Minister’s action under s. 212, effect of</w:t>
      </w:r>
      <w:bookmarkEnd w:id="285"/>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keepNext/>
        <w:spacing w:before="180"/>
      </w:pPr>
      <w:r>
        <w:tab/>
        <w:t>(2)</w:t>
      </w:r>
      <w:r>
        <w:tab/>
        <w:t xml:space="preserve">A reference in this or any other Act to — </w:t>
      </w:r>
    </w:p>
    <w:p>
      <w:pPr>
        <w:pStyle w:val="Indenta"/>
      </w:pPr>
      <w:r>
        <w:tab/>
        <w:t>(a)</w:t>
      </w:r>
      <w:r>
        <w:tab/>
        <w:t xml:space="preserve">an amendment to a local planning scheme is to be read and construed as including a reference to an amendment </w:t>
      </w:r>
      <w:r>
        <w:lastRenderedPageBreak/>
        <w:t>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286" w:name="_Toc155166109"/>
      <w:r>
        <w:rPr>
          <w:rStyle w:val="CharSectno"/>
        </w:rPr>
        <w:t>214</w:t>
      </w:r>
      <w:r>
        <w:t>.</w:t>
      </w:r>
      <w:r>
        <w:tab/>
        <w:t>Illegal development, responsible authority’s powers as to</w:t>
      </w:r>
      <w:bookmarkEnd w:id="286"/>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lastRenderedPageBreak/>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keepNext/>
      </w:pPr>
      <w:r>
        <w:lastRenderedPageBreak/>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287" w:name="_Toc155166110"/>
      <w:r>
        <w:rPr>
          <w:rStyle w:val="CharSectno"/>
        </w:rPr>
        <w:t>215</w:t>
      </w:r>
      <w:r>
        <w:t>.</w:t>
      </w:r>
      <w:r>
        <w:tab/>
        <w:t>Illegal development, responsible authority’s powers to remove etc.</w:t>
      </w:r>
      <w:bookmarkEnd w:id="287"/>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keepLines/>
      </w:pPr>
      <w:r>
        <w:lastRenderedPageBreak/>
        <w:tab/>
        <w:t>(2)</w:t>
      </w:r>
      <w:r>
        <w:tab/>
        <w:t>Any expenses incurred by a responsible authority under subsection (1) may be recovered from the person to whom the direction was given as a debt due in a court of competent jurisdiction.</w:t>
      </w:r>
    </w:p>
    <w:p>
      <w:pPr>
        <w:pStyle w:val="Heading5"/>
      </w:pPr>
      <w:bookmarkStart w:id="288" w:name="_Toc155166111"/>
      <w:r>
        <w:rPr>
          <w:rStyle w:val="CharSectno"/>
        </w:rPr>
        <w:t>216</w:t>
      </w:r>
      <w:r>
        <w:t>.</w:t>
      </w:r>
      <w:r>
        <w:tab/>
        <w:t>Breach of Act etc. or development approval, injunctions as to</w:t>
      </w:r>
      <w:bookmarkEnd w:id="288"/>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keepNext/>
      </w:pPr>
      <w:r>
        <w:tab/>
        <w:t>(i)</w:t>
      </w:r>
      <w:r>
        <w:tab/>
        <w:t xml:space="preserve">in the case where the development is commenced but not carried out, restraining the continuation </w:t>
      </w:r>
      <w:r>
        <w:lastRenderedPageBreak/>
        <w:t>or completion of the development or any use of the development; or</w:t>
      </w:r>
    </w:p>
    <w:p>
      <w:pPr>
        <w:pStyle w:val="Indenti"/>
        <w:keepNext/>
      </w:pPr>
      <w:r>
        <w:tab/>
        <w:t>(ii)</w:t>
      </w:r>
      <w:r>
        <w:tab/>
        <w:t>in the case where the development is completed, restraining the use of the development,</w:t>
      </w:r>
    </w:p>
    <w:p>
      <w:pPr>
        <w:pStyle w:val="Indenta"/>
      </w:pPr>
      <w:r>
        <w:tab/>
      </w:r>
      <w:r>
        <w:tab/>
        <w:t>until the condition is complied with.</w:t>
      </w:r>
    </w:p>
    <w:p>
      <w:pPr>
        <w:pStyle w:val="Subsection"/>
        <w:keepNext/>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289" w:name="_Toc155166112"/>
      <w:r>
        <w:rPr>
          <w:rStyle w:val="CharSectno"/>
        </w:rPr>
        <w:t>217</w:t>
      </w:r>
      <w:r>
        <w:t>.</w:t>
      </w:r>
      <w:r>
        <w:tab/>
        <w:t>Environmental conditions, Minister’s powers to enforce</w:t>
      </w:r>
      <w:bookmarkEnd w:id="289"/>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keepLines/>
      </w:pPr>
      <w:r>
        <w:lastRenderedPageBreak/>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Subsection"/>
      </w:pPr>
      <w:r>
        <w:tab/>
        <w:t>(6)</w:t>
      </w:r>
      <w:r>
        <w:tab/>
        <w:t xml:space="preserve">If the assessed scheme to which this section applies is the Swan Valley Planning Scheme or an amendment to that scheme, a reference in this section to the Minister is to be read as a reference to the Minister responsible for the administration of the </w:t>
      </w:r>
      <w:r>
        <w:rPr>
          <w:i/>
        </w:rPr>
        <w:t>Swan Valley Planning Act 2020</w:t>
      </w:r>
      <w:r>
        <w:t>.</w:t>
      </w:r>
    </w:p>
    <w:p>
      <w:pPr>
        <w:pStyle w:val="Footnotesection"/>
      </w:pPr>
      <w:r>
        <w:tab/>
        <w:t>[Section 217 amended: No. 45 of 2020 s. 88.]</w:t>
      </w:r>
    </w:p>
    <w:p>
      <w:pPr>
        <w:pStyle w:val="Heading3"/>
      </w:pPr>
      <w:bookmarkStart w:id="290" w:name="_Toc155166113"/>
      <w:r>
        <w:rPr>
          <w:rStyle w:val="CharDivNo"/>
        </w:rPr>
        <w:lastRenderedPageBreak/>
        <w:t>Division 2</w:t>
      </w:r>
      <w:r>
        <w:t> — </w:t>
      </w:r>
      <w:r>
        <w:rPr>
          <w:rStyle w:val="CharDivText"/>
        </w:rPr>
        <w:t>Offences</w:t>
      </w:r>
      <w:bookmarkEnd w:id="290"/>
    </w:p>
    <w:p>
      <w:pPr>
        <w:pStyle w:val="Heading5"/>
      </w:pPr>
      <w:bookmarkStart w:id="291" w:name="_Toc155166114"/>
      <w:r>
        <w:rPr>
          <w:rStyle w:val="CharSectno"/>
        </w:rPr>
        <w:t>218</w:t>
      </w:r>
      <w:r>
        <w:t>.</w:t>
      </w:r>
      <w:r>
        <w:tab/>
        <w:t>Planning scheme or condition on development, contravening etc.</w:t>
      </w:r>
      <w:bookmarkEnd w:id="291"/>
    </w:p>
    <w:p>
      <w:pPr>
        <w:pStyle w:val="Subsection"/>
        <w:keepNext/>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an improvement scheme or the Swan Valley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No. 28 of 2010 s. 21; No. 45 of 2020 s. 89.] </w:t>
      </w:r>
    </w:p>
    <w:p>
      <w:pPr>
        <w:pStyle w:val="Heading5"/>
      </w:pPr>
      <w:bookmarkStart w:id="292" w:name="_Toc155166115"/>
      <w:r>
        <w:rPr>
          <w:rStyle w:val="CharSectno"/>
        </w:rPr>
        <w:t>219</w:t>
      </w:r>
      <w:r>
        <w:t>.</w:t>
      </w:r>
      <w:r>
        <w:tab/>
        <w:t>Unauthorised subdivision works</w:t>
      </w:r>
      <w:bookmarkEnd w:id="292"/>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lastRenderedPageBreak/>
        <w:tab/>
        <w:t>(2)</w:t>
      </w:r>
      <w:r>
        <w:tab/>
        <w:t>It is a defence to a charge of an offence under subsection (1) to show that the person has development approval or other lawful authority to commence, continue or carry out the works.</w:t>
      </w:r>
    </w:p>
    <w:p>
      <w:pPr>
        <w:pStyle w:val="Heading5"/>
      </w:pPr>
      <w:bookmarkStart w:id="293" w:name="_Toc155166116"/>
      <w:r>
        <w:rPr>
          <w:rStyle w:val="CharSectno"/>
        </w:rPr>
        <w:t>220</w:t>
      </w:r>
      <w:r>
        <w:t>.</w:t>
      </w:r>
      <w:r>
        <w:tab/>
        <w:t>Planning control area, unauthorised development in</w:t>
      </w:r>
      <w:bookmarkEnd w:id="293"/>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294" w:name="_Toc155166117"/>
      <w:r>
        <w:rPr>
          <w:rStyle w:val="CharSectno"/>
        </w:rPr>
        <w:t>221</w:t>
      </w:r>
      <w:r>
        <w:t>.</w:t>
      </w:r>
      <w:r>
        <w:tab/>
        <w:t>Interim development order, contravening</w:t>
      </w:r>
      <w:bookmarkEnd w:id="294"/>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295" w:name="_Toc155166118"/>
      <w:r>
        <w:rPr>
          <w:rStyle w:val="CharSectno"/>
        </w:rPr>
        <w:t>222</w:t>
      </w:r>
      <w:r>
        <w:t>.</w:t>
      </w:r>
      <w:r>
        <w:tab/>
        <w:t>Heritage place, unauthorised development in</w:t>
      </w:r>
      <w:bookmarkEnd w:id="295"/>
    </w:p>
    <w:p>
      <w:pPr>
        <w:pStyle w:val="Subsection"/>
        <w:keepNext/>
      </w:pPr>
      <w:r>
        <w:tab/>
      </w:r>
      <w:r>
        <w:tab/>
        <w:t xml:space="preserve">A person who commences, continues or carries out any development, or causes or permits any development to be </w:t>
      </w:r>
      <w:r>
        <w:lastRenderedPageBreak/>
        <w:t xml:space="preserve">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296" w:name="_Toc155166119"/>
      <w:r>
        <w:rPr>
          <w:rStyle w:val="CharSectno"/>
        </w:rPr>
        <w:t>223</w:t>
      </w:r>
      <w:r>
        <w:t>.</w:t>
      </w:r>
      <w:r>
        <w:tab/>
        <w:t>General penalty</w:t>
      </w:r>
      <w:bookmarkEnd w:id="296"/>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No. 4 of 2011 s. 10.]</w:t>
      </w:r>
    </w:p>
    <w:p>
      <w:pPr>
        <w:pStyle w:val="Heading5"/>
      </w:pPr>
      <w:bookmarkStart w:id="297" w:name="_Toc155166120"/>
      <w:r>
        <w:rPr>
          <w:rStyle w:val="CharSectno"/>
        </w:rPr>
        <w:t>224</w:t>
      </w:r>
      <w:r>
        <w:t>.</w:t>
      </w:r>
      <w:r>
        <w:tab/>
        <w:t>Other enforcement provisions not affected</w:t>
      </w:r>
      <w:bookmarkEnd w:id="297"/>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298" w:name="_Toc155166121"/>
      <w:r>
        <w:rPr>
          <w:rStyle w:val="CharSectno"/>
        </w:rPr>
        <w:t>225</w:t>
      </w:r>
      <w:r>
        <w:t>.</w:t>
      </w:r>
      <w:r>
        <w:tab/>
        <w:t>Onus of proof in vehicle offence may be shifted</w:t>
      </w:r>
      <w:bookmarkEnd w:id="298"/>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 xml:space="preserve">Where a vehicle offence is alleged to have been committed and the identity of the person committing the alleged offence is not known and cannot immediately be ascertained an officer of the relevant responsible authority who is a designated person under </w:t>
      </w:r>
      <w:r>
        <w:lastRenderedPageBreak/>
        <w:t>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No. 8 of 2009 s. 100(5).]</w:t>
      </w:r>
    </w:p>
    <w:p>
      <w:pPr>
        <w:pStyle w:val="Heading3"/>
      </w:pPr>
      <w:bookmarkStart w:id="299" w:name="_Toc155166122"/>
      <w:r>
        <w:rPr>
          <w:rStyle w:val="CharDivNo"/>
        </w:rPr>
        <w:lastRenderedPageBreak/>
        <w:t>Division 3</w:t>
      </w:r>
      <w:r>
        <w:t> — </w:t>
      </w:r>
      <w:r>
        <w:rPr>
          <w:rStyle w:val="CharDivText"/>
        </w:rPr>
        <w:t>Infringement notices</w:t>
      </w:r>
      <w:bookmarkEnd w:id="299"/>
    </w:p>
    <w:p>
      <w:pPr>
        <w:pStyle w:val="Heading5"/>
      </w:pPr>
      <w:bookmarkStart w:id="300" w:name="_Toc155166123"/>
      <w:r>
        <w:rPr>
          <w:rStyle w:val="CharSectno"/>
        </w:rPr>
        <w:t>226</w:t>
      </w:r>
      <w:r>
        <w:t>.</w:t>
      </w:r>
      <w:r>
        <w:tab/>
        <w:t>Terms used</w:t>
      </w:r>
      <w:bookmarkEnd w:id="300"/>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301" w:name="_Toc155166124"/>
      <w:r>
        <w:rPr>
          <w:rStyle w:val="CharSectno"/>
        </w:rPr>
        <w:t>227</w:t>
      </w:r>
      <w:r>
        <w:t>.</w:t>
      </w:r>
      <w:r>
        <w:tab/>
        <w:t>Prescribed offences</w:t>
      </w:r>
      <w:bookmarkEnd w:id="301"/>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302" w:name="_Toc155166125"/>
      <w:r>
        <w:rPr>
          <w:rStyle w:val="CharSectno"/>
        </w:rPr>
        <w:t>228</w:t>
      </w:r>
      <w:r>
        <w:t>.</w:t>
      </w:r>
      <w:r>
        <w:tab/>
        <w:t>Giving of infringement notice</w:t>
      </w:r>
      <w:bookmarkEnd w:id="302"/>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303" w:name="_Toc155166126"/>
      <w:r>
        <w:rPr>
          <w:rStyle w:val="CharSectno"/>
        </w:rPr>
        <w:lastRenderedPageBreak/>
        <w:t>229</w:t>
      </w:r>
      <w:r>
        <w:t>.</w:t>
      </w:r>
      <w:r>
        <w:tab/>
        <w:t>Content of infringement notice</w:t>
      </w:r>
      <w:bookmarkEnd w:id="303"/>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304" w:name="_Toc155166127"/>
      <w:r>
        <w:rPr>
          <w:rStyle w:val="CharSectno"/>
        </w:rPr>
        <w:t>230</w:t>
      </w:r>
      <w:r>
        <w:t>.</w:t>
      </w:r>
      <w:r>
        <w:tab/>
        <w:t>Extending time to pay modified penalty</w:t>
      </w:r>
      <w:bookmarkEnd w:id="304"/>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305" w:name="_Toc155166128"/>
      <w:r>
        <w:rPr>
          <w:rStyle w:val="CharSectno"/>
        </w:rPr>
        <w:t>231</w:t>
      </w:r>
      <w:r>
        <w:t>.</w:t>
      </w:r>
      <w:r>
        <w:tab/>
        <w:t>Withdrawal of infringement notice</w:t>
      </w:r>
      <w:bookmarkEnd w:id="305"/>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306" w:name="_Toc155166129"/>
      <w:r>
        <w:rPr>
          <w:rStyle w:val="CharSectno"/>
        </w:rPr>
        <w:lastRenderedPageBreak/>
        <w:t>232</w:t>
      </w:r>
      <w:r>
        <w:t>.</w:t>
      </w:r>
      <w:r>
        <w:tab/>
        <w:t>Benefit of paying modified penalty</w:t>
      </w:r>
      <w:bookmarkEnd w:id="30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307" w:name="_Toc155166130"/>
      <w:r>
        <w:rPr>
          <w:rStyle w:val="CharSectno"/>
        </w:rPr>
        <w:t>233</w:t>
      </w:r>
      <w:r>
        <w:t>.</w:t>
      </w:r>
      <w:r>
        <w:tab/>
        <w:t>Paid modified penalty, application of</w:t>
      </w:r>
      <w:bookmarkEnd w:id="307"/>
    </w:p>
    <w:p>
      <w:pPr>
        <w:pStyle w:val="Subsection"/>
      </w:pPr>
      <w:r>
        <w:tab/>
      </w:r>
      <w:r>
        <w:tab/>
        <w:t>An amount paid as a modified penalty is, subject to section 231(2), to be dealt with as if it were a penalty imposed by a court as a penalty for an offence.</w:t>
      </w:r>
    </w:p>
    <w:p>
      <w:pPr>
        <w:pStyle w:val="Heading5"/>
      </w:pPr>
      <w:bookmarkStart w:id="308" w:name="_Toc155166131"/>
      <w:r>
        <w:rPr>
          <w:rStyle w:val="CharSectno"/>
        </w:rPr>
        <w:t>234</w:t>
      </w:r>
      <w:r>
        <w:t>.</w:t>
      </w:r>
      <w:r>
        <w:tab/>
        <w:t>Designated persons, appointment of</w:t>
      </w:r>
      <w:bookmarkEnd w:id="308"/>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80"/>
      </w:pPr>
      <w:bookmarkStart w:id="309" w:name="_Toc155166132"/>
      <w:r>
        <w:rPr>
          <w:rStyle w:val="CharSectno"/>
        </w:rPr>
        <w:t>235</w:t>
      </w:r>
      <w:r>
        <w:t>.</w:t>
      </w:r>
      <w:r>
        <w:tab/>
        <w:t>Notice placing onus on vehicle owner</w:t>
      </w:r>
      <w:bookmarkEnd w:id="309"/>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lastRenderedPageBreak/>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310" w:name="_Toc155166133"/>
      <w:r>
        <w:rPr>
          <w:rStyle w:val="CharPartNo"/>
        </w:rPr>
        <w:lastRenderedPageBreak/>
        <w:t>Part 14</w:t>
      </w:r>
      <w:r>
        <w:t> — </w:t>
      </w:r>
      <w:r>
        <w:rPr>
          <w:rStyle w:val="CharPartText"/>
        </w:rPr>
        <w:t>Applications for review</w:t>
      </w:r>
      <w:bookmarkEnd w:id="310"/>
    </w:p>
    <w:p>
      <w:pPr>
        <w:pStyle w:val="Heading3"/>
      </w:pPr>
      <w:bookmarkStart w:id="311" w:name="_Toc155166134"/>
      <w:r>
        <w:rPr>
          <w:rStyle w:val="CharDivNo"/>
        </w:rPr>
        <w:t>Division 1</w:t>
      </w:r>
      <w:r>
        <w:t> — </w:t>
      </w:r>
      <w:r>
        <w:rPr>
          <w:rStyle w:val="CharDivText"/>
        </w:rPr>
        <w:t>Making and determination of applications for review</w:t>
      </w:r>
      <w:bookmarkEnd w:id="311"/>
    </w:p>
    <w:p>
      <w:pPr>
        <w:pStyle w:val="Heading5"/>
      </w:pPr>
      <w:bookmarkStart w:id="312" w:name="_Toc155166135"/>
      <w:r>
        <w:rPr>
          <w:rStyle w:val="CharSectno"/>
        </w:rPr>
        <w:t>236</w:t>
      </w:r>
      <w:r>
        <w:t>.</w:t>
      </w:r>
      <w:r>
        <w:tab/>
        <w:t>When this Part applies</w:t>
      </w:r>
      <w:bookmarkEnd w:id="312"/>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313" w:name="_Toc155166136"/>
      <w:r>
        <w:rPr>
          <w:rStyle w:val="CharSectno"/>
        </w:rPr>
        <w:lastRenderedPageBreak/>
        <w:t>237</w:t>
      </w:r>
      <w:r>
        <w:t>.</w:t>
      </w:r>
      <w:r>
        <w:tab/>
        <w:t>Terms used</w:t>
      </w:r>
      <w:bookmarkEnd w:id="313"/>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No. 5 of 2008 s. 84.]</w:t>
      </w:r>
    </w:p>
    <w:p>
      <w:pPr>
        <w:pStyle w:val="Heading5"/>
      </w:pPr>
      <w:bookmarkStart w:id="314" w:name="_Toc155166137"/>
      <w:r>
        <w:rPr>
          <w:rStyle w:val="CharSectno"/>
        </w:rPr>
        <w:t>237A</w:t>
      </w:r>
      <w:r>
        <w:t>.</w:t>
      </w:r>
      <w:r>
        <w:tab/>
        <w:t>How SAT to be constituted</w:t>
      </w:r>
      <w:bookmarkEnd w:id="314"/>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lastRenderedPageBreak/>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No. 5 of 2008 s. 85.]</w:t>
      </w:r>
    </w:p>
    <w:p>
      <w:pPr>
        <w:pStyle w:val="Heading5"/>
      </w:pPr>
      <w:bookmarkStart w:id="315" w:name="_Toc155166138"/>
      <w:r>
        <w:rPr>
          <w:rStyle w:val="CharSectno"/>
        </w:rPr>
        <w:t>238</w:t>
      </w:r>
      <w:r>
        <w:t>.</w:t>
      </w:r>
      <w:r>
        <w:tab/>
        <w:t>SAT members, qualifications of</w:t>
      </w:r>
      <w:bookmarkEnd w:id="315"/>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No. 5 of 2008 s. 86.]</w:t>
      </w:r>
    </w:p>
    <w:p>
      <w:pPr>
        <w:pStyle w:val="Heading5"/>
      </w:pPr>
      <w:bookmarkStart w:id="316" w:name="_Toc155166139"/>
      <w:r>
        <w:rPr>
          <w:rStyle w:val="CharSectno"/>
        </w:rPr>
        <w:t>239</w:t>
      </w:r>
      <w:r>
        <w:t>.</w:t>
      </w:r>
      <w:r>
        <w:tab/>
        <w:t>Legal representation, some applicants may elect there will be none</w:t>
      </w:r>
      <w:bookmarkEnd w:id="316"/>
    </w:p>
    <w:p>
      <w:pPr>
        <w:pStyle w:val="Subsection"/>
      </w:pPr>
      <w:r>
        <w:tab/>
        <w:t>(1)</w:t>
      </w:r>
      <w:r>
        <w:tab/>
        <w:t xml:space="preserve">In the case of an application described in section 237A(2) the applicant may, at the time the application is made, elect that no </w:t>
      </w:r>
      <w:r>
        <w:lastRenderedPageBreak/>
        <w:t>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No. 5 of 2008 s. 87.]</w:t>
      </w:r>
    </w:p>
    <w:p>
      <w:pPr>
        <w:pStyle w:val="Heading5"/>
      </w:pPr>
      <w:bookmarkStart w:id="317" w:name="_Toc155166140"/>
      <w:r>
        <w:rPr>
          <w:rStyle w:val="CharSectno"/>
        </w:rPr>
        <w:t>240</w:t>
      </w:r>
      <w:r>
        <w:t>.</w:t>
      </w:r>
      <w:r>
        <w:tab/>
        <w:t>SAT to invite Minister for the Environment to make submission before determining certain applications</w:t>
      </w:r>
      <w:bookmarkEnd w:id="317"/>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318" w:name="_Toc155166141"/>
      <w:r>
        <w:rPr>
          <w:rStyle w:val="CharSectno"/>
        </w:rPr>
        <w:t>241</w:t>
      </w:r>
      <w:r>
        <w:t>.</w:t>
      </w:r>
      <w:r>
        <w:tab/>
        <w:t>SAT to have regard to certain matters</w:t>
      </w:r>
      <w:bookmarkEnd w:id="318"/>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 and</w:t>
      </w:r>
    </w:p>
    <w:p>
      <w:pPr>
        <w:pStyle w:val="Indenta"/>
      </w:pPr>
      <w:r>
        <w:lastRenderedPageBreak/>
        <w:tab/>
        <w:t>(c)</w:t>
      </w:r>
      <w:r>
        <w:tab/>
        <w:t xml:space="preserve">in the case of an application that relates to the Swan Valley Planning Scheme — the objects set out in the </w:t>
      </w:r>
      <w:r>
        <w:rPr>
          <w:i/>
        </w:rPr>
        <w:t>Swan Valley Planning Act 2020</w:t>
      </w:r>
      <w:r>
        <w:t xml:space="preserve"> section 5.</w:t>
      </w:r>
    </w:p>
    <w:p>
      <w:pPr>
        <w:pStyle w:val="Subsection"/>
      </w:pPr>
      <w:r>
        <w:tab/>
        <w:t>(2)</w:t>
      </w:r>
      <w:r>
        <w:tab/>
        <w:t xml:space="preserve">In the case of an application that relates to land to which the </w:t>
      </w:r>
      <w:r>
        <w:rPr>
          <w:i/>
        </w:rPr>
        <w:t xml:space="preserve">Heritage Act 2018 </w:t>
      </w:r>
      <w:r>
        <w:t xml:space="preserve">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Act 2018</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No. 52 of 2006 s. 6; No. 22 of 2018 s. 186(13); No. 45 of 2020 s. 90.]</w:t>
      </w:r>
    </w:p>
    <w:p>
      <w:pPr>
        <w:pStyle w:val="Heading5"/>
      </w:pPr>
      <w:bookmarkStart w:id="319" w:name="_Toc155166142"/>
      <w:r>
        <w:rPr>
          <w:rStyle w:val="CharSectno"/>
        </w:rPr>
        <w:t>242</w:t>
      </w:r>
      <w:r>
        <w:t>.</w:t>
      </w:r>
      <w:r>
        <w:tab/>
        <w:t>Persons who are not parties, submissions from</w:t>
      </w:r>
      <w:bookmarkEnd w:id="319"/>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320" w:name="_Toc155166143"/>
      <w:r>
        <w:rPr>
          <w:rStyle w:val="CharSectno"/>
        </w:rPr>
        <w:lastRenderedPageBreak/>
        <w:t>243</w:t>
      </w:r>
      <w:r>
        <w:t>.</w:t>
      </w:r>
      <w:r>
        <w:tab/>
        <w:t>Exclusion of powers to join parties</w:t>
      </w:r>
      <w:bookmarkEnd w:id="320"/>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321" w:name="_Toc155166144"/>
      <w:r>
        <w:rPr>
          <w:rStyle w:val="CharSectno"/>
        </w:rPr>
        <w:t>244</w:t>
      </w:r>
      <w:r>
        <w:t>.</w:t>
      </w:r>
      <w:r>
        <w:tab/>
        <w:t>SAT review of some SAT decisions</w:t>
      </w:r>
      <w:bookmarkEnd w:id="321"/>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keepNext/>
      </w:pPr>
      <w:r>
        <w:lastRenderedPageBreak/>
        <w:tab/>
        <w:t>(b)</w:t>
      </w:r>
      <w:r>
        <w:tab/>
        <w:t>on the application of a party is not to be made later than one month after the application is made.</w:t>
      </w:r>
    </w:p>
    <w:p>
      <w:pPr>
        <w:pStyle w:val="Footnotesection"/>
      </w:pPr>
      <w:r>
        <w:tab/>
        <w:t>[Section 244 amended: No. 5 of 2008 s. 88.]</w:t>
      </w:r>
    </w:p>
    <w:p>
      <w:pPr>
        <w:pStyle w:val="Heading5"/>
        <w:spacing w:before="180"/>
      </w:pPr>
      <w:bookmarkStart w:id="322" w:name="_Toc155166145"/>
      <w:r>
        <w:rPr>
          <w:rStyle w:val="CharSectno"/>
        </w:rPr>
        <w:t>245</w:t>
      </w:r>
      <w:r>
        <w:t>.</w:t>
      </w:r>
      <w:r>
        <w:tab/>
        <w:t>Submissions by Minister to SAT</w:t>
      </w:r>
      <w:bookmarkEnd w:id="322"/>
    </w:p>
    <w:p>
      <w:pPr>
        <w:pStyle w:val="Subsection"/>
        <w:keepNext/>
        <w:keepLines/>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 xml:space="preserve">Swan and Canning Rivers </w:t>
      </w:r>
      <w:r>
        <w:rPr>
          <w:i/>
          <w:iCs/>
        </w:rPr>
        <w:lastRenderedPageBreak/>
        <w:t>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included in a place of a kind mentioned in the </w:t>
      </w:r>
      <w:r>
        <w:rPr>
          <w:i/>
        </w:rPr>
        <w:t xml:space="preserve">Heritage Act 2018 </w:t>
      </w:r>
      <w:r>
        <w:t xml:space="preserve">section 72(1), </w:t>
      </w:r>
      <w:r>
        <w:rPr>
          <w:rStyle w:val="CharDefText"/>
        </w:rPr>
        <w:t>Minister</w:t>
      </w:r>
      <w:r>
        <w:t xml:space="preserve"> includes the Minister to whom the administration of that Act is committed.</w:t>
      </w:r>
    </w:p>
    <w:p>
      <w:pPr>
        <w:pStyle w:val="Footnotesection"/>
      </w:pPr>
      <w:r>
        <w:tab/>
        <w:t>[Section 245 amended: No. 52 of 2006 s. 6; No. 22 of 2018 s. 186(14).]</w:t>
      </w:r>
    </w:p>
    <w:p>
      <w:pPr>
        <w:pStyle w:val="Heading5"/>
      </w:pPr>
      <w:bookmarkStart w:id="323" w:name="_Toc155166146"/>
      <w:r>
        <w:rPr>
          <w:rStyle w:val="CharSectno"/>
        </w:rPr>
        <w:t>246</w:t>
      </w:r>
      <w:r>
        <w:t>.</w:t>
      </w:r>
      <w:r>
        <w:tab/>
        <w:t>Minister may call in application to SAT for review</w:t>
      </w:r>
      <w:bookmarkEnd w:id="323"/>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Act 2018</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w:t>
      </w:r>
      <w:r>
        <w:lastRenderedPageBreak/>
        <w:t>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No. 28 of 2010 s. 48; No. 22 of 2018 s. 186(15).] </w:t>
      </w:r>
    </w:p>
    <w:p>
      <w:pPr>
        <w:pStyle w:val="Heading5"/>
      </w:pPr>
      <w:bookmarkStart w:id="324" w:name="_Toc155166147"/>
      <w:r>
        <w:rPr>
          <w:rStyle w:val="CharSectno"/>
        </w:rPr>
        <w:t>247</w:t>
      </w:r>
      <w:r>
        <w:t>.</w:t>
      </w:r>
      <w:r>
        <w:tab/>
        <w:t>Determination of application by Minister</w:t>
      </w:r>
      <w:bookmarkEnd w:id="324"/>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lastRenderedPageBreak/>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No. 28 of 2010 s. 49.]</w:t>
      </w:r>
    </w:p>
    <w:p>
      <w:pPr>
        <w:pStyle w:val="Heading3"/>
        <w:spacing w:before="180"/>
      </w:pPr>
      <w:bookmarkStart w:id="325" w:name="_Toc155166148"/>
      <w:r>
        <w:rPr>
          <w:rStyle w:val="CharDivNo"/>
        </w:rPr>
        <w:t>Division 2</w:t>
      </w:r>
      <w:r>
        <w:t> — </w:t>
      </w:r>
      <w:r>
        <w:rPr>
          <w:rStyle w:val="CharDivText"/>
        </w:rPr>
        <w:t>Decisions which may be reviewed</w:t>
      </w:r>
      <w:bookmarkEnd w:id="325"/>
    </w:p>
    <w:p>
      <w:pPr>
        <w:pStyle w:val="Heading5"/>
        <w:spacing w:before="180"/>
      </w:pPr>
      <w:bookmarkStart w:id="326" w:name="_Toc155166149"/>
      <w:r>
        <w:rPr>
          <w:rStyle w:val="CharSectno"/>
        </w:rPr>
        <w:t>249</w:t>
      </w:r>
      <w:r>
        <w:t>.</w:t>
      </w:r>
      <w:r>
        <w:tab/>
        <w:t>Decision as to development under interim development order</w:t>
      </w:r>
      <w:bookmarkEnd w:id="326"/>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the </w:t>
      </w:r>
      <w:r>
        <w:rPr>
          <w:i/>
        </w:rPr>
        <w:t>Heritage Act 2018</w:t>
      </w:r>
      <w:r>
        <w:t xml:space="preserve"> Part 4 or Part 11 Division 4.</w:t>
      </w:r>
    </w:p>
    <w:p>
      <w:pPr>
        <w:pStyle w:val="Subsection"/>
        <w:spacing w:before="120"/>
      </w:pPr>
      <w:r>
        <w:tab/>
        <w:t>(3)</w:t>
      </w:r>
      <w:r>
        <w:tab/>
        <w:t xml:space="preserve">The Commission is to be taken to have refused an application for approval to carry out development under a regional interim development order, and a local government is to be taken to have refused an application for approval to carry out </w:t>
      </w:r>
      <w:r>
        <w:lastRenderedPageBreak/>
        <w:t>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Footnotesection"/>
        <w:ind w:left="890" w:hanging="890"/>
      </w:pPr>
      <w:r>
        <w:tab/>
        <w:t xml:space="preserve">[Section 249 amended: No. 22 of 2018 s. 186(16).] </w:t>
      </w:r>
    </w:p>
    <w:p>
      <w:pPr>
        <w:pStyle w:val="Heading5"/>
      </w:pPr>
      <w:bookmarkStart w:id="327" w:name="_Toc155166150"/>
      <w:r>
        <w:rPr>
          <w:rStyle w:val="CharSectno"/>
        </w:rPr>
        <w:t>250</w:t>
      </w:r>
      <w:r>
        <w:t>.</w:t>
      </w:r>
      <w:r>
        <w:tab/>
        <w:t>Decision as to development in planning control area</w:t>
      </w:r>
      <w:bookmarkEnd w:id="327"/>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Ednotesubsection"/>
      </w:pPr>
      <w:r>
        <w:tab/>
        <w:t>[(2)</w:t>
      </w:r>
      <w:r>
        <w:tab/>
        <w:t>deleted]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Footnotesection"/>
        <w:ind w:left="890" w:hanging="890"/>
      </w:pPr>
      <w:r>
        <w:tab/>
        <w:t xml:space="preserve">[Section 250 amended: No. 22 of 2018 s. 186(17).] </w:t>
      </w:r>
    </w:p>
    <w:p>
      <w:pPr>
        <w:pStyle w:val="Heading5"/>
      </w:pPr>
      <w:bookmarkStart w:id="328" w:name="_Toc155166151"/>
      <w:r>
        <w:rPr>
          <w:rStyle w:val="CharSectno"/>
        </w:rPr>
        <w:t>251</w:t>
      </w:r>
      <w:r>
        <w:t>.</w:t>
      </w:r>
      <w:r>
        <w:tab/>
        <w:t>Some decisions made under Part 10</w:t>
      </w:r>
      <w:bookmarkEnd w:id="328"/>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lastRenderedPageBreak/>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Subsection"/>
      </w:pPr>
      <w:r>
        <w:tab/>
        <w:t>(6)</w:t>
      </w:r>
      <w:r>
        <w:tab/>
        <w:t>An applicant for an extension under section 145A(2) who is aggrieved by the Commission’s decision to refuse to grant the extension may apply to the State Administrative Tribunal for a review, in accordance with this Part, of the decision of the Commission.</w:t>
      </w:r>
    </w:p>
    <w:p>
      <w:pPr>
        <w:pStyle w:val="Footnotesection"/>
      </w:pPr>
      <w:r>
        <w:tab/>
        <w:t>[Section 251 amended: No. 26 of 2020 s. 92.]</w:t>
      </w:r>
    </w:p>
    <w:p>
      <w:pPr>
        <w:pStyle w:val="Heading5"/>
      </w:pPr>
      <w:bookmarkStart w:id="329" w:name="_Toc155166152"/>
      <w:r>
        <w:rPr>
          <w:rStyle w:val="CharSectno"/>
        </w:rPr>
        <w:t>252</w:t>
      </w:r>
      <w:r>
        <w:t>.</w:t>
      </w:r>
      <w:r>
        <w:tab/>
        <w:t>Decision made in exercise of discretionary power under planning scheme</w:t>
      </w:r>
      <w:bookmarkEnd w:id="329"/>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lastRenderedPageBreak/>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an improvement scheme or the Swan Valley Planning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No. 28 of 2010 s. 22; No. 45 of 2020 s. 91.] </w:t>
      </w:r>
    </w:p>
    <w:p>
      <w:pPr>
        <w:pStyle w:val="Heading5"/>
      </w:pPr>
      <w:bookmarkStart w:id="330" w:name="_Toc155166153"/>
      <w:r>
        <w:rPr>
          <w:rStyle w:val="CharSectno"/>
        </w:rPr>
        <w:t>253</w:t>
      </w:r>
      <w:r>
        <w:t>.</w:t>
      </w:r>
      <w:r>
        <w:tab/>
        <w:t>Failure of responsible authority to make decision within decision period</w:t>
      </w:r>
      <w:bookmarkEnd w:id="330"/>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 xml:space="preserve">in the case of an application for approval of a plan of subdivision, the period of 90 days specified in section 143(2) or any longer period after that day as may </w:t>
      </w:r>
      <w:r>
        <w:lastRenderedPageBreak/>
        <w:t>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(ba)</w:t>
      </w:r>
      <w:r>
        <w:tab/>
        <w:t>in the case of an application under section 145A(2), the period of 30 days specified in section 145A(6) or any longer period as may be agreed between the Commission and the applicant under section 145A(6);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under section 145A(2) or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 xml:space="preserve">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w:t>
      </w:r>
      <w:r>
        <w:lastRenderedPageBreak/>
        <w:t>the condition, as the case requires, on the day on which the notice of default was given to the responsible authority.</w:t>
      </w:r>
    </w:p>
    <w:p>
      <w:pPr>
        <w:pStyle w:val="Footnotesection"/>
      </w:pPr>
      <w:r>
        <w:tab/>
        <w:t>[Section 253 amended: No. 26 of 2020 s. 93.]</w:t>
      </w:r>
    </w:p>
    <w:p>
      <w:pPr>
        <w:pStyle w:val="Heading3"/>
      </w:pPr>
      <w:bookmarkStart w:id="331" w:name="_Toc155166154"/>
      <w:r>
        <w:rPr>
          <w:rStyle w:val="CharDivNo"/>
        </w:rPr>
        <w:t>Division 3</w:t>
      </w:r>
      <w:r>
        <w:t> — </w:t>
      </w:r>
      <w:r>
        <w:rPr>
          <w:rStyle w:val="CharDivText"/>
        </w:rPr>
        <w:t>Other applications for review</w:t>
      </w:r>
      <w:bookmarkEnd w:id="331"/>
    </w:p>
    <w:p>
      <w:pPr>
        <w:pStyle w:val="Heading5"/>
      </w:pPr>
      <w:bookmarkStart w:id="332" w:name="_Toc155166155"/>
      <w:r>
        <w:rPr>
          <w:rStyle w:val="CharSectno"/>
        </w:rPr>
        <w:t>254</w:t>
      </w:r>
      <w:r>
        <w:t>.</w:t>
      </w:r>
      <w:r>
        <w:tab/>
        <w:t>Decision made under EP Act s. 48I</w:t>
      </w:r>
      <w:bookmarkEnd w:id="332"/>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333" w:name="_Toc155166156"/>
      <w:r>
        <w:rPr>
          <w:rStyle w:val="CharSectno"/>
        </w:rPr>
        <w:t>255</w:t>
      </w:r>
      <w:r>
        <w:t>.</w:t>
      </w:r>
      <w:r>
        <w:tab/>
        <w:t>Direction given under s. 214</w:t>
      </w:r>
      <w:bookmarkEnd w:id="333"/>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334" w:name="_Toc155166157"/>
      <w:r>
        <w:rPr>
          <w:rStyle w:val="CharPartNo"/>
        </w:rPr>
        <w:lastRenderedPageBreak/>
        <w:t>Part 15</w:t>
      </w:r>
      <w:r>
        <w:rPr>
          <w:rStyle w:val="CharDivNo"/>
        </w:rPr>
        <w:t> </w:t>
      </w:r>
      <w:r>
        <w:t>—</w:t>
      </w:r>
      <w:r>
        <w:rPr>
          <w:rStyle w:val="CharDivText"/>
        </w:rPr>
        <w:t> </w:t>
      </w:r>
      <w:r>
        <w:rPr>
          <w:rStyle w:val="CharPartText"/>
        </w:rPr>
        <w:t>Subsidiary legislation</w:t>
      </w:r>
      <w:bookmarkEnd w:id="334"/>
    </w:p>
    <w:p>
      <w:pPr>
        <w:pStyle w:val="Ednotedivision"/>
      </w:pPr>
      <w:r>
        <w:t>[Heading deleted: No. 26 of 2020 s. 73.]</w:t>
      </w:r>
    </w:p>
    <w:p>
      <w:pPr>
        <w:pStyle w:val="Heading5"/>
      </w:pPr>
      <w:bookmarkStart w:id="335" w:name="_Toc155166158"/>
      <w:r>
        <w:rPr>
          <w:rStyle w:val="CharSectno"/>
        </w:rPr>
        <w:t>256</w:t>
      </w:r>
      <w:r>
        <w:t>.</w:t>
      </w:r>
      <w:r>
        <w:tab/>
        <w:t>Regulations for content of local planning schemes</w:t>
      </w:r>
      <w:bookmarkEnd w:id="335"/>
    </w:p>
    <w:p>
      <w:pPr>
        <w:pStyle w:val="Subsection"/>
      </w:pPr>
      <w:r>
        <w:tab/>
        <w:t>(1)</w:t>
      </w:r>
      <w:r>
        <w:tab/>
        <w:t xml:space="preserve">The Governor may, on the recommendation of the Minister,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a recommendation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lastRenderedPageBreak/>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No. 28 of 2010 s. 64; amended: No. 26 of 2020 s. 74.] </w:t>
      </w:r>
    </w:p>
    <w:p>
      <w:pPr>
        <w:pStyle w:val="Heading5"/>
      </w:pPr>
      <w:bookmarkStart w:id="336" w:name="_Toc155166159"/>
      <w:r>
        <w:rPr>
          <w:rStyle w:val="CharSectno"/>
        </w:rPr>
        <w:t>257A</w:t>
      </w:r>
      <w:r>
        <w:t>.</w:t>
      </w:r>
      <w:r>
        <w:tab/>
        <w:t>Model provisions, effect of</w:t>
      </w:r>
      <w:bookmarkEnd w:id="336"/>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No. 28 of 2010 s. 64.] </w:t>
      </w:r>
    </w:p>
    <w:p>
      <w:pPr>
        <w:pStyle w:val="Heading5"/>
      </w:pPr>
      <w:bookmarkStart w:id="337" w:name="_Toc155166160"/>
      <w:r>
        <w:rPr>
          <w:rStyle w:val="CharSectno"/>
        </w:rPr>
        <w:lastRenderedPageBreak/>
        <w:t>257B</w:t>
      </w:r>
      <w:r>
        <w:t>.</w:t>
      </w:r>
      <w:r>
        <w:tab/>
        <w:t>Deemed provisions, effect of</w:t>
      </w:r>
      <w:bookmarkEnd w:id="337"/>
    </w:p>
    <w:p>
      <w:pPr>
        <w:pStyle w:val="Subsection"/>
        <w:keepNext/>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No. 28 of 2010 s. 64.] </w:t>
      </w:r>
    </w:p>
    <w:p>
      <w:pPr>
        <w:pStyle w:val="Ednotesection"/>
      </w:pPr>
      <w:r>
        <w:t>[</w:t>
      </w:r>
      <w:r>
        <w:rPr>
          <w:b/>
          <w:bCs/>
        </w:rPr>
        <w:t>257.</w:t>
      </w:r>
      <w:r>
        <w:tab/>
        <w:t>Deleted: No. 28 of 2010 s. 65.]</w:t>
      </w:r>
    </w:p>
    <w:p>
      <w:pPr>
        <w:pStyle w:val="Heading5"/>
      </w:pPr>
      <w:bookmarkStart w:id="338" w:name="_Toc155166161"/>
      <w:r>
        <w:rPr>
          <w:rStyle w:val="CharSectno"/>
        </w:rPr>
        <w:t>258</w:t>
      </w:r>
      <w:r>
        <w:t>.</w:t>
      </w:r>
      <w:r>
        <w:tab/>
        <w:t>Regulations for procedure and costs for local planning schemes</w:t>
      </w:r>
      <w:bookmarkEnd w:id="338"/>
    </w:p>
    <w:p>
      <w:pPr>
        <w:pStyle w:val="Subsection"/>
      </w:pPr>
      <w:r>
        <w:tab/>
        <w:t>(1)</w:t>
      </w:r>
      <w:r>
        <w:tab/>
        <w:t xml:space="preserve">The Governor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lastRenderedPageBreak/>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No. 28 of 2010 s. 66; No. 26 of 2020 s. 75.] </w:t>
      </w:r>
    </w:p>
    <w:p>
      <w:pPr>
        <w:pStyle w:val="Heading5"/>
      </w:pPr>
      <w:bookmarkStart w:id="339" w:name="_Toc155166162"/>
      <w:r>
        <w:rPr>
          <w:rStyle w:val="CharSectno"/>
        </w:rPr>
        <w:lastRenderedPageBreak/>
        <w:t>258A</w:t>
      </w:r>
      <w:r>
        <w:t>.</w:t>
      </w:r>
      <w:r>
        <w:tab/>
        <w:t>Regulations as to procedure and costs for region planning schemes</w:t>
      </w:r>
      <w:bookmarkEnd w:id="339"/>
    </w:p>
    <w:p>
      <w:pPr>
        <w:pStyle w:val="Subsection"/>
      </w:pPr>
      <w:r>
        <w:tab/>
        <w:t>(1)</w:t>
      </w:r>
      <w:r>
        <w:tab/>
        <w:t xml:space="preserve">The Governor may make regulations for regulating the procedure to be observed — </w:t>
      </w:r>
    </w:p>
    <w:p>
      <w:pPr>
        <w:pStyle w:val="Indenta"/>
      </w:pPr>
      <w:r>
        <w:tab/>
        <w:t>(a)</w:t>
      </w:r>
      <w:r>
        <w:tab/>
        <w:t>with respect to the preparation of a region planning scheme; and</w:t>
      </w:r>
    </w:p>
    <w:p>
      <w:pPr>
        <w:pStyle w:val="Indenta"/>
      </w:pPr>
      <w:r>
        <w:tab/>
        <w:t>(b)</w:t>
      </w:r>
      <w:r>
        <w:tab/>
        <w:t>with respect to obtaining the approval of the Governor to a region planning scheme so prepared; and</w:t>
      </w:r>
    </w:p>
    <w:p>
      <w:pPr>
        <w:pStyle w:val="Indenta"/>
      </w:pPr>
      <w:r>
        <w:tab/>
        <w:t>(c)</w:t>
      </w:r>
      <w:r>
        <w:tab/>
        <w:t>with respect to the review, amendment or repeal of a region planning scheme; and</w:t>
      </w:r>
    </w:p>
    <w:p>
      <w:pPr>
        <w:pStyle w:val="Indenta"/>
      </w:pPr>
      <w:r>
        <w:tab/>
        <w:t>(d)</w:t>
      </w:r>
      <w:r>
        <w:tab/>
        <w:t>with respect to any inquiries, reports, notices, or other matters required in connection with the preparation or approval of a region planning scheme, or preliminary to the preparation or approval of the scheme.</w:t>
      </w:r>
    </w:p>
    <w:p>
      <w:pPr>
        <w:pStyle w:val="Subsection"/>
      </w:pPr>
      <w:r>
        <w:tab/>
        <w:t>(2)</w:t>
      </w:r>
      <w:r>
        <w:tab/>
        <w:t>Section 258(2) and (3) apply to regulations made under subsection (1) as if a region planning scheme were a local planning scheme.</w:t>
      </w:r>
    </w:p>
    <w:p>
      <w:pPr>
        <w:pStyle w:val="Footnotesection"/>
      </w:pPr>
      <w:r>
        <w:tab/>
        <w:t>[Section 258A inserted: No. 26 of 2020 s. 52.]</w:t>
      </w:r>
    </w:p>
    <w:p>
      <w:pPr>
        <w:pStyle w:val="Heading5"/>
      </w:pPr>
      <w:bookmarkStart w:id="340" w:name="_Toc155166163"/>
      <w:r>
        <w:rPr>
          <w:rStyle w:val="CharSectno"/>
        </w:rPr>
        <w:t>259</w:t>
      </w:r>
      <w:r>
        <w:t>.</w:t>
      </w:r>
      <w:r>
        <w:tab/>
        <w:t>Regulations for environmental review expenses</w:t>
      </w:r>
      <w:bookmarkEnd w:id="340"/>
    </w:p>
    <w:p>
      <w:pPr>
        <w:pStyle w:val="Subsection"/>
      </w:pPr>
      <w:r>
        <w:tab/>
      </w:r>
      <w:r>
        <w:tab/>
        <w:t>The Governor may make regulations with respect to the persons from whom, and the means by which, a responsible authority may recover expenses incurred by it in undertaking an environmental review required by the EP Act under section 48C(1)(a) of the EP Act.</w:t>
      </w:r>
    </w:p>
    <w:p>
      <w:pPr>
        <w:pStyle w:val="Footnotesection"/>
      </w:pPr>
      <w:r>
        <w:tab/>
        <w:t>[Section 259 amended: No. 26 of 2020 s. 76.]</w:t>
      </w:r>
    </w:p>
    <w:p>
      <w:pPr>
        <w:pStyle w:val="Ednotesection"/>
      </w:pPr>
      <w:r>
        <w:t>[</w:t>
      </w:r>
      <w:r>
        <w:rPr>
          <w:b/>
        </w:rPr>
        <w:t>260.</w:t>
      </w:r>
      <w:r>
        <w:tab/>
        <w:t>Deleted: No. 26 of 2020 s. 77.]</w:t>
      </w:r>
    </w:p>
    <w:p>
      <w:pPr>
        <w:pStyle w:val="Ednotedivision"/>
      </w:pPr>
      <w:r>
        <w:t>[Heading deleted: No. 26 of 2020 s. 78.]</w:t>
      </w:r>
    </w:p>
    <w:p>
      <w:pPr>
        <w:pStyle w:val="Heading5"/>
      </w:pPr>
      <w:bookmarkStart w:id="341" w:name="_Toc155166164"/>
      <w:r>
        <w:rPr>
          <w:rStyle w:val="CharSectno"/>
        </w:rPr>
        <w:lastRenderedPageBreak/>
        <w:t>261</w:t>
      </w:r>
      <w:r>
        <w:t>.</w:t>
      </w:r>
      <w:r>
        <w:tab/>
        <w:t>Local government fees for planning matters etc., regulations as to</w:t>
      </w:r>
      <w:bookmarkEnd w:id="341"/>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keepNext/>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lastRenderedPageBreak/>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342" w:name="_Toc155166165"/>
      <w:r>
        <w:rPr>
          <w:rStyle w:val="CharSectno"/>
        </w:rPr>
        <w:t>262</w:t>
      </w:r>
      <w:r>
        <w:t>.</w:t>
      </w:r>
      <w:r>
        <w:tab/>
        <w:t>Uniform general local laws</w:t>
      </w:r>
      <w:bookmarkEnd w:id="342"/>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keepNext/>
      </w:pPr>
      <w:r>
        <w:lastRenderedPageBreak/>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3</w:t>
      </w:r>
      <w:r>
        <w:t>.</w:t>
      </w:r>
    </w:p>
    <w:p>
      <w:pPr>
        <w:pStyle w:val="Subsection"/>
      </w:pPr>
      <w:r>
        <w:tab/>
        <w:t>(4)</w:t>
      </w:r>
      <w:r>
        <w:tab/>
        <w:t>If a by</w:t>
      </w:r>
      <w:r>
        <w:noBreakHyphen/>
        <w:t xml:space="preserve">law made under section 248 of the </w:t>
      </w:r>
      <w:r>
        <w:rPr>
          <w:i/>
        </w:rPr>
        <w:t>Local Government Act 1960</w:t>
      </w:r>
      <w:r>
        <w:rPr>
          <w:vertAlign w:val="superscript"/>
        </w:rPr>
        <w:t> 3</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3</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No. 28 of 2010 s. 23; </w:t>
      </w:r>
      <w:r>
        <w:rPr>
          <w:spacing w:val="-4"/>
        </w:rPr>
        <w:t>No. 45 of 2011 s. 1</w:t>
      </w:r>
      <w:r>
        <w:t xml:space="preserve">41(10).] </w:t>
      </w:r>
    </w:p>
    <w:p>
      <w:pPr>
        <w:pStyle w:val="Heading5"/>
      </w:pPr>
      <w:bookmarkStart w:id="343" w:name="_Toc155166166"/>
      <w:r>
        <w:rPr>
          <w:rStyle w:val="CharSectno"/>
        </w:rPr>
        <w:t>263</w:t>
      </w:r>
      <w:r>
        <w:t>.</w:t>
      </w:r>
      <w:r>
        <w:tab/>
        <w:t>Regulations: general</w:t>
      </w:r>
      <w:bookmarkEnd w:id="34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lastRenderedPageBreak/>
        <w:tab/>
        <w:t>(2)</w:t>
      </w:r>
      <w:r>
        <w:tab/>
        <w:t xml:space="preserve">Without limiting any other provision of this Act, regulations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region planning schemes or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sections 256 to 259, the regulation made under sections 256 to 259 prevails.</w:t>
      </w:r>
    </w:p>
    <w:p>
      <w:pPr>
        <w:pStyle w:val="Subsection"/>
        <w:keepNext/>
      </w:pPr>
      <w:r>
        <w:lastRenderedPageBreak/>
        <w:tab/>
        <w:t>(5)</w:t>
      </w:r>
      <w:r>
        <w:tab/>
        <w:t>If a regulation is inconsistent with a rule, the regulation prevails to the extent of the inconsistency.</w:t>
      </w:r>
    </w:p>
    <w:p>
      <w:pPr>
        <w:pStyle w:val="Footnotesection"/>
      </w:pPr>
      <w:r>
        <w:tab/>
        <w:t xml:space="preserve">[Section 263 amended: No. 28 of 2010 s. 67; No. 26 of 2020 s. 79; No. 26 of 2020 s. 53.] </w:t>
      </w:r>
    </w:p>
    <w:p>
      <w:pPr>
        <w:pStyle w:val="Ednotedivision"/>
      </w:pPr>
      <w:r>
        <w:t>[Heading deleted: No. 26 of 2020 s. 80.]</w:t>
      </w:r>
    </w:p>
    <w:p>
      <w:pPr>
        <w:pStyle w:val="Heading5"/>
      </w:pPr>
      <w:bookmarkStart w:id="344" w:name="_Toc155166167"/>
      <w:r>
        <w:rPr>
          <w:rStyle w:val="CharSectno"/>
        </w:rPr>
        <w:t>264</w:t>
      </w:r>
      <w:r>
        <w:t>.</w:t>
      </w:r>
      <w:r>
        <w:tab/>
        <w:t>Regulations may adopt codes and other texts</w:t>
      </w:r>
      <w:bookmarkEnd w:id="344"/>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345" w:name="_Toc155166168"/>
      <w:r>
        <w:rPr>
          <w:rStyle w:val="CharPartNo"/>
        </w:rPr>
        <w:lastRenderedPageBreak/>
        <w:t>Part 16</w:t>
      </w:r>
      <w:r>
        <w:rPr>
          <w:rStyle w:val="CharDivNo"/>
        </w:rPr>
        <w:t> </w:t>
      </w:r>
      <w:r>
        <w:t>—</w:t>
      </w:r>
      <w:r>
        <w:rPr>
          <w:rStyle w:val="CharDivText"/>
        </w:rPr>
        <w:t> </w:t>
      </w:r>
      <w:r>
        <w:rPr>
          <w:rStyle w:val="CharPartText"/>
        </w:rPr>
        <w:t>Miscellaneous</w:t>
      </w:r>
      <w:bookmarkEnd w:id="345"/>
    </w:p>
    <w:p>
      <w:pPr>
        <w:pStyle w:val="Heading5"/>
      </w:pPr>
      <w:bookmarkStart w:id="346" w:name="_Toc155166169"/>
      <w:r>
        <w:rPr>
          <w:rStyle w:val="CharSectno"/>
        </w:rPr>
        <w:t>265</w:t>
      </w:r>
      <w:r>
        <w:t>.</w:t>
      </w:r>
      <w:r>
        <w:tab/>
        <w:t>Delegation by Minister</w:t>
      </w:r>
      <w:bookmarkEnd w:id="346"/>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347" w:name="_Toc155166170"/>
      <w:r>
        <w:rPr>
          <w:rStyle w:val="CharSectno"/>
        </w:rPr>
        <w:t>266</w:t>
      </w:r>
      <w:r>
        <w:t>.</w:t>
      </w:r>
      <w:r>
        <w:tab/>
        <w:t xml:space="preserve">Duties and liabilities of persons performing functions under this Act or </w:t>
      </w:r>
      <w:r>
        <w:rPr>
          <w:i/>
        </w:rPr>
        <w:t>Swan Valley Planning Act 2020</w:t>
      </w:r>
      <w:bookmarkEnd w:id="347"/>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 or the </w:t>
      </w:r>
      <w:r>
        <w:rPr>
          <w:i/>
        </w:rPr>
        <w:t>Swan Valley Planning Act 2020</w:t>
      </w:r>
      <w:r>
        <w:t>;</w:t>
      </w:r>
    </w:p>
    <w:p>
      <w:pPr>
        <w:pStyle w:val="Defstart"/>
      </w:pPr>
      <w:r>
        <w:tab/>
      </w:r>
      <w:r>
        <w:rPr>
          <w:rStyle w:val="CharDefText"/>
        </w:rPr>
        <w:t>meeting</w:t>
      </w:r>
      <w:r>
        <w:t xml:space="preserve"> means a meeting held in connection with the carrying out of this Act or the </w:t>
      </w:r>
      <w:r>
        <w:rPr>
          <w:i/>
        </w:rPr>
        <w:t>Swan Valley Planning Act 2020</w:t>
      </w:r>
      <w:r>
        <w: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 xml:space="preserve">a member of a committee established under Schedule 2 or the </w:t>
      </w:r>
      <w:r>
        <w:rPr>
          <w:i/>
        </w:rPr>
        <w:t>Swan Valley Planning Act 2020</w:t>
      </w:r>
      <w:r>
        <w:t xml:space="preserve"> section 33;</w:t>
      </w:r>
    </w:p>
    <w:p>
      <w:pPr>
        <w:pStyle w:val="Defpara"/>
      </w:pPr>
      <w:r>
        <w:tab/>
        <w:t>(d)</w:t>
      </w:r>
      <w:r>
        <w:tab/>
        <w:t>a member of a public authority;</w:t>
      </w:r>
    </w:p>
    <w:p>
      <w:pPr>
        <w:pStyle w:val="Defpara"/>
      </w:pPr>
      <w:r>
        <w:lastRenderedPageBreak/>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 xml:space="preserve">in connection with the carrying out of this Act or the </w:t>
      </w:r>
      <w:r>
        <w:rPr>
          <w:i/>
        </w:rPr>
        <w:t>Swan Valley Planning Act 2020</w:t>
      </w:r>
      <w:r>
        <w:t xml:space="preserve"> or under a legal duty; or</w:t>
      </w:r>
    </w:p>
    <w:p>
      <w:pPr>
        <w:pStyle w:val="Indenta"/>
      </w:pPr>
      <w:r>
        <w:tab/>
        <w:t>(b)</w:t>
      </w:r>
      <w:r>
        <w:tab/>
        <w:t xml:space="preserve">for the purposes of any proceedings arising out of this Act or the </w:t>
      </w:r>
      <w:r>
        <w:rPr>
          <w:i/>
        </w:rPr>
        <w:t>Swan Valley Planning Act 2020</w:t>
      </w:r>
      <w:r>
        <w:t xml:space="preserve"> or any report of such proceedings.</w:t>
      </w:r>
    </w:p>
    <w:p>
      <w:pPr>
        <w:pStyle w:val="Penstart"/>
      </w:pPr>
      <w:r>
        <w:tab/>
        <w:t>Penalty: $5 000.</w:t>
      </w:r>
    </w:p>
    <w:p>
      <w:pPr>
        <w:pStyle w:val="Subsection"/>
      </w:pPr>
      <w:r>
        <w:tab/>
        <w:t>(6)</w:t>
      </w:r>
      <w:r>
        <w:tab/>
        <w:t xml:space="preserve">A member is not to make improper use of information acquired by virtue of the performance of any function to gain, directly or </w:t>
      </w:r>
      <w:r>
        <w:lastRenderedPageBreak/>
        <w:t>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No. 28 of 2010 s. 44; No. 45 of 2020 s. 92.] </w:t>
      </w:r>
    </w:p>
    <w:p>
      <w:pPr>
        <w:pStyle w:val="Heading5"/>
      </w:pPr>
      <w:bookmarkStart w:id="348" w:name="_Toc155166171"/>
      <w:r>
        <w:rPr>
          <w:rStyle w:val="CharSectno"/>
        </w:rPr>
        <w:t>267A</w:t>
      </w:r>
      <w:r>
        <w:t>.</w:t>
      </w:r>
      <w:r>
        <w:tab/>
        <w:t>Crown and State land, who may sign documents as to</w:t>
      </w:r>
      <w:bookmarkEnd w:id="348"/>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No. 8 of 2010 s. 25.]</w:t>
      </w:r>
    </w:p>
    <w:p>
      <w:pPr>
        <w:pStyle w:val="Heading5"/>
      </w:pPr>
      <w:bookmarkStart w:id="349" w:name="_Toc155166172"/>
      <w:r>
        <w:rPr>
          <w:rStyle w:val="CharSectno"/>
        </w:rPr>
        <w:lastRenderedPageBreak/>
        <w:t>267B</w:t>
      </w:r>
      <w:r>
        <w:t>.</w:t>
      </w:r>
      <w:r>
        <w:tab/>
        <w:t>Electronic planning maps</w:t>
      </w:r>
      <w:bookmarkEnd w:id="349"/>
    </w:p>
    <w:p>
      <w:pPr>
        <w:pStyle w:val="Subsection"/>
      </w:pPr>
      <w:r>
        <w:tab/>
        <w:t>(1)</w:t>
      </w:r>
      <w:r>
        <w:tab/>
        <w:t xml:space="preserve">In this section — </w:t>
      </w:r>
    </w:p>
    <w:p>
      <w:pPr>
        <w:pStyle w:val="Defstart"/>
      </w:pPr>
      <w:r>
        <w:tab/>
      </w:r>
      <w:r>
        <w:rPr>
          <w:rStyle w:val="CharDefText"/>
        </w:rPr>
        <w:t>minor modification</w:t>
      </w:r>
      <w:r>
        <w:t xml:space="preserve">, in relation to spatial data, means — </w:t>
      </w:r>
    </w:p>
    <w:p>
      <w:pPr>
        <w:pStyle w:val="Defpara"/>
      </w:pPr>
      <w:r>
        <w:tab/>
        <w:t>(a)</w:t>
      </w:r>
      <w:r>
        <w:tab/>
        <w:t>for cadastral data produced by the Authority — a minor modification to that data made by the Authority to reflect updated survey information; or</w:t>
      </w:r>
    </w:p>
    <w:p>
      <w:pPr>
        <w:pStyle w:val="Defpara"/>
      </w:pPr>
      <w:r>
        <w:tab/>
        <w:t>(b)</w:t>
      </w:r>
      <w:r>
        <w:tab/>
        <w:t>for other spatial data produced by the Commission — the replacement of that data with cadastral data produced by the Authority to reflect updated survey information, where the effect of that replacement is minor;</w:t>
      </w:r>
    </w:p>
    <w:p>
      <w:pPr>
        <w:pStyle w:val="Defstart"/>
      </w:pPr>
      <w:r>
        <w:rPr>
          <w:b/>
        </w:rP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 or</w:t>
      </w:r>
    </w:p>
    <w:p>
      <w:pPr>
        <w:pStyle w:val="Defpara"/>
      </w:pPr>
      <w:r>
        <w:tab/>
        <w:t>(c)</w:t>
      </w:r>
      <w:r>
        <w:tab/>
        <w:t>a declaration under section 112 in relation to a planning control area;</w:t>
      </w:r>
    </w:p>
    <w:p>
      <w:pPr>
        <w:pStyle w:val="Defstart"/>
      </w:pPr>
      <w:r>
        <w:rPr>
          <w:b/>
        </w:rPr>
        <w:tab/>
      </w:r>
      <w:r>
        <w:rPr>
          <w:rStyle w:val="CharDefText"/>
        </w:rPr>
        <w:t>planning markings</w:t>
      </w:r>
      <w:r>
        <w:t>, in relation to a map, means the markings on the map that indicate different zones, reserves or other areas or boundaries relevant to planning requirements;</w:t>
      </w:r>
    </w:p>
    <w:p>
      <w:pPr>
        <w:pStyle w:val="Defstart"/>
      </w:pPr>
      <w:r>
        <w:tab/>
      </w:r>
      <w:r>
        <w:rPr>
          <w:rStyle w:val="CharDefText"/>
        </w:rPr>
        <w:t>spatial data</w:t>
      </w:r>
      <w:r>
        <w:t xml:space="preserve"> means cadastral data produced by the Authority or other spatial data produced by the Commission.</w:t>
      </w:r>
    </w:p>
    <w:p>
      <w:pPr>
        <w:pStyle w:val="Subsection"/>
      </w:pPr>
      <w:r>
        <w:tab/>
        <w:t>(2)</w:t>
      </w:r>
      <w:r>
        <w:tab/>
        <w:t xml:space="preserve">A map (the </w:t>
      </w:r>
      <w:r>
        <w:rPr>
          <w:rStyle w:val="CharDefText"/>
        </w:rPr>
        <w:t>original map</w:t>
      </w:r>
      <w:r>
        <w:t xml:space="preserve">) that forms part of a planning instrument may be prepared by the Commission as an electronic map (the </w:t>
      </w:r>
      <w:r>
        <w:rPr>
          <w:rStyle w:val="CharDefText"/>
        </w:rPr>
        <w:t>electronic planning map</w:t>
      </w:r>
      <w:r>
        <w:t>) in a format approved by the Commission.</w:t>
      </w:r>
    </w:p>
    <w:p>
      <w:pPr>
        <w:pStyle w:val="Subsection"/>
      </w:pPr>
      <w:r>
        <w:tab/>
        <w:t>(3)</w:t>
      </w:r>
      <w:r>
        <w:tab/>
        <w:t xml:space="preserve">The electronic planning map must — </w:t>
      </w:r>
    </w:p>
    <w:p>
      <w:pPr>
        <w:pStyle w:val="Indenta"/>
      </w:pPr>
      <w:r>
        <w:tab/>
        <w:t>(a)</w:t>
      </w:r>
      <w:r>
        <w:tab/>
        <w:t>replicate the planning markings on the original map in a form defined by reference to spatial data; and</w:t>
      </w:r>
    </w:p>
    <w:p>
      <w:pPr>
        <w:pStyle w:val="Indenta"/>
      </w:pPr>
      <w:r>
        <w:tab/>
        <w:t>(b)</w:t>
      </w:r>
      <w:r>
        <w:tab/>
        <w:t xml:space="preserve">include — </w:t>
      </w:r>
    </w:p>
    <w:p>
      <w:pPr>
        <w:pStyle w:val="Indenti"/>
      </w:pPr>
      <w:r>
        <w:tab/>
        <w:t>(i)</w:t>
      </w:r>
      <w:r>
        <w:tab/>
        <w:t>any key or other information on the original map that is associated with the planning markings and is necessary to interpret the map; and</w:t>
      </w:r>
    </w:p>
    <w:p>
      <w:pPr>
        <w:pStyle w:val="Indenti"/>
      </w:pPr>
      <w:r>
        <w:lastRenderedPageBreak/>
        <w:tab/>
        <w:t>(ii)</w:t>
      </w:r>
      <w:r>
        <w:tab/>
        <w:t>any other information required by the Commission.</w:t>
      </w:r>
    </w:p>
    <w:p>
      <w:pPr>
        <w:pStyle w:val="Subsection"/>
      </w:pPr>
      <w:r>
        <w:tab/>
        <w:t>(4)</w:t>
      </w:r>
      <w:r>
        <w:tab/>
        <w:t>The electronic planning map is not required to replicate the original map except to the extent required by subsection (3).</w:t>
      </w:r>
    </w:p>
    <w:p>
      <w:pPr>
        <w:pStyle w:val="Subsection"/>
      </w:pPr>
      <w:r>
        <w:tab/>
        <w:t>(5)</w:t>
      </w:r>
      <w:r>
        <w:tab/>
        <w:t xml:space="preserve">For the purposes of subsection (3)(a), the planning markings on the electronic planning map are taken to replicate the planning marks on the original map even if — </w:t>
      </w:r>
    </w:p>
    <w:p>
      <w:pPr>
        <w:pStyle w:val="Indenta"/>
      </w:pPr>
      <w:r>
        <w:tab/>
        <w:t>(a)</w:t>
      </w:r>
      <w:r>
        <w:tab/>
        <w:t>1 or more minor modifications to the spatial data by reference to which the planning markings are defined have occurred since the electronic planning map was first prepared; and</w:t>
      </w:r>
    </w:p>
    <w:p>
      <w:pPr>
        <w:pStyle w:val="Indenta"/>
      </w:pPr>
      <w:r>
        <w:tab/>
        <w:t>(b)</w:t>
      </w:r>
      <w:r>
        <w:tab/>
        <w:t>the planning markings on the electronic planning map are defined by reference to the spatial data as modified by those modifications.</w:t>
      </w:r>
    </w:p>
    <w:p>
      <w:pPr>
        <w:pStyle w:val="Subsection"/>
      </w:pPr>
      <w:r>
        <w:tab/>
        <w:t>(6)</w:t>
      </w:r>
      <w:r>
        <w:tab/>
        <w:t>The Commission must make the electronic planning map available for public inspection on its website.</w:t>
      </w:r>
    </w:p>
    <w:p>
      <w:pPr>
        <w:pStyle w:val="Subsection"/>
      </w:pPr>
      <w:r>
        <w:tab/>
        <w:t>(7)</w:t>
      </w:r>
      <w:r>
        <w:tab/>
        <w:t>An electronic planning map that is prepared and made available in accordance with this section is taken to be the original map for the purposes of the planning instrument, this Act and any other written law.</w:t>
      </w:r>
    </w:p>
    <w:p>
      <w:pPr>
        <w:pStyle w:val="Footnotesection"/>
      </w:pPr>
      <w:r>
        <w:tab/>
        <w:t>[Section 267B inserted: No. 26 of 2020 s. 99.]</w:t>
      </w:r>
    </w:p>
    <w:p>
      <w:pPr>
        <w:pStyle w:val="Heading5"/>
      </w:pPr>
      <w:bookmarkStart w:id="350" w:name="_Toc155166173"/>
      <w:r>
        <w:rPr>
          <w:rStyle w:val="CharSectno"/>
        </w:rPr>
        <w:t>267C</w:t>
      </w:r>
      <w:r>
        <w:t>.</w:t>
      </w:r>
      <w:r>
        <w:tab/>
        <w:t>Certified copies of electronic planning maps</w:t>
      </w:r>
      <w:bookmarkEnd w:id="350"/>
    </w:p>
    <w:p>
      <w:pPr>
        <w:pStyle w:val="Subsection"/>
      </w:pPr>
      <w:r>
        <w:tab/>
      </w:r>
      <w:r>
        <w:tab/>
        <w:t>In any proceedings, a copy certified by the Commission of an electronic planning map prepared under section 267B, or part of such a map, is evidence of the contents of the electronic planning map or part of the map.</w:t>
      </w:r>
    </w:p>
    <w:p>
      <w:pPr>
        <w:pStyle w:val="Footnotesection"/>
      </w:pPr>
      <w:r>
        <w:tab/>
        <w:t>[Section 267C inserted: No. 26 of 2020 s. 99.]</w:t>
      </w:r>
    </w:p>
    <w:p>
      <w:pPr>
        <w:pStyle w:val="Heading5"/>
      </w:pPr>
      <w:bookmarkStart w:id="351" w:name="_Toc155166174"/>
      <w:r>
        <w:rPr>
          <w:rStyle w:val="CharSectno"/>
        </w:rPr>
        <w:lastRenderedPageBreak/>
        <w:t>267</w:t>
      </w:r>
      <w:r>
        <w:t>.</w:t>
      </w:r>
      <w:r>
        <w:tab/>
        <w:t>Protection from personal liability</w:t>
      </w:r>
      <w:bookmarkEnd w:id="351"/>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No. 8 of 2010 s. 26.]</w:t>
      </w:r>
    </w:p>
    <w:p>
      <w:pPr>
        <w:pStyle w:val="Heading5"/>
      </w:pPr>
      <w:bookmarkStart w:id="352" w:name="_Toc155166175"/>
      <w:r>
        <w:rPr>
          <w:rStyle w:val="CharSectno"/>
        </w:rPr>
        <w:t>268A</w:t>
      </w:r>
      <w:r>
        <w:t>.</w:t>
      </w:r>
      <w:r>
        <w:tab/>
        <w:t>Laying documents before House of Parliament that is not sitting</w:t>
      </w:r>
      <w:bookmarkEnd w:id="352"/>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lastRenderedPageBreak/>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No. 28 of 2010 s. 50; amended: </w:t>
      </w:r>
      <w:r>
        <w:rPr>
          <w:spacing w:val="-4"/>
        </w:rPr>
        <w:t>No. 45 of 2011 s. 1</w:t>
      </w:r>
      <w:r>
        <w:t xml:space="preserve">41(11).] </w:t>
      </w:r>
    </w:p>
    <w:p>
      <w:pPr>
        <w:pStyle w:val="Heading5"/>
      </w:pPr>
      <w:bookmarkStart w:id="353" w:name="_Toc155166176"/>
      <w:r>
        <w:rPr>
          <w:rStyle w:val="CharSectno"/>
        </w:rPr>
        <w:t>268</w:t>
      </w:r>
      <w:r>
        <w:t>.</w:t>
      </w:r>
      <w:r>
        <w:tab/>
        <w:t>Review of Act</w:t>
      </w:r>
      <w:bookmarkEnd w:id="353"/>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Heading2"/>
      </w:pPr>
      <w:bookmarkStart w:id="354" w:name="_Toc155166177"/>
      <w:r>
        <w:rPr>
          <w:rStyle w:val="CharPartNo"/>
        </w:rPr>
        <w:lastRenderedPageBreak/>
        <w:t>Part 17</w:t>
      </w:r>
      <w:r>
        <w:t> — </w:t>
      </w:r>
      <w:r>
        <w:rPr>
          <w:rStyle w:val="CharPartText"/>
        </w:rPr>
        <w:t>Special provisions for COVID</w:t>
      </w:r>
      <w:r>
        <w:rPr>
          <w:rStyle w:val="CharPartText"/>
        </w:rPr>
        <w:noBreakHyphen/>
        <w:t>19 pandemic relating to development applications</w:t>
      </w:r>
      <w:bookmarkEnd w:id="354"/>
    </w:p>
    <w:p>
      <w:pPr>
        <w:pStyle w:val="Footnoteheading"/>
      </w:pPr>
      <w:r>
        <w:tab/>
        <w:t>[Heading inserted: No. 26 of 2020 s. 4.]</w:t>
      </w:r>
    </w:p>
    <w:p>
      <w:pPr>
        <w:pStyle w:val="Heading3"/>
      </w:pPr>
      <w:bookmarkStart w:id="355" w:name="_Toc155166178"/>
      <w:r>
        <w:rPr>
          <w:rStyle w:val="CharDivNo"/>
        </w:rPr>
        <w:t>Division 1</w:t>
      </w:r>
      <w:r>
        <w:t> — </w:t>
      </w:r>
      <w:r>
        <w:rPr>
          <w:rStyle w:val="CharDivText"/>
        </w:rPr>
        <w:t>Preliminary</w:t>
      </w:r>
      <w:bookmarkEnd w:id="355"/>
    </w:p>
    <w:p>
      <w:pPr>
        <w:pStyle w:val="Footnoteheading"/>
      </w:pPr>
      <w:r>
        <w:tab/>
        <w:t>[Heading inserted: No. 26 of 2020 s. 4.]</w:t>
      </w:r>
    </w:p>
    <w:p>
      <w:pPr>
        <w:pStyle w:val="Heading5"/>
      </w:pPr>
      <w:bookmarkStart w:id="356" w:name="_Toc155166179"/>
      <w:r>
        <w:rPr>
          <w:rStyle w:val="CharSectno"/>
        </w:rPr>
        <w:t>269</w:t>
      </w:r>
      <w:r>
        <w:t>.</w:t>
      </w:r>
      <w:r>
        <w:tab/>
        <w:t>Terms used</w:t>
      </w:r>
      <w:bookmarkEnd w:id="356"/>
    </w:p>
    <w:p>
      <w:pPr>
        <w:pStyle w:val="Subsection"/>
      </w:pPr>
      <w:r>
        <w:tab/>
        <w:t>(1)</w:t>
      </w:r>
      <w:r>
        <w:tab/>
        <w:t xml:space="preserve">In this Part — </w:t>
      </w:r>
    </w:p>
    <w:p>
      <w:pPr>
        <w:pStyle w:val="Defstart"/>
      </w:pPr>
      <w:r>
        <w:tab/>
      </w:r>
      <w:r>
        <w:rPr>
          <w:rStyle w:val="CharDefText"/>
        </w:rPr>
        <w:t>applicable legal instrument</w:t>
      </w:r>
      <w:r>
        <w:t>, in relation to a development application, means a legal instrument under which the application could, apart from this Part, be determined;</w:t>
      </w:r>
    </w:p>
    <w:p>
      <w:pPr>
        <w:pStyle w:val="Defstart"/>
      </w:pPr>
      <w:r>
        <w:tab/>
      </w:r>
      <w:r>
        <w:rPr>
          <w:rStyle w:val="CharDefText"/>
        </w:rPr>
        <w:t>development</w:t>
      </w:r>
      <w:r>
        <w:t xml:space="preserve">, in relation to a development application that is an application for approval under the </w:t>
      </w:r>
      <w:r>
        <w:rPr>
          <w:i/>
        </w:rPr>
        <w:t>Swan and Canning Rivers Management Act 2006</w:t>
      </w:r>
      <w:r>
        <w:t xml:space="preserve"> section 72(1) or (4) or to a determination of such an application, has the meaning given in section 3(1) of that Act;</w:t>
      </w:r>
    </w:p>
    <w:p>
      <w:pPr>
        <w:pStyle w:val="Defstart"/>
      </w:pPr>
      <w:r>
        <w:tab/>
      </w:r>
      <w:r>
        <w:rPr>
          <w:rStyle w:val="CharDefText"/>
        </w:rPr>
        <w:t>development application</w:t>
      </w:r>
      <w:r>
        <w:t xml:space="preserve"> — </w:t>
      </w:r>
    </w:p>
    <w:p>
      <w:pPr>
        <w:pStyle w:val="Defpara"/>
      </w:pPr>
      <w:r>
        <w:tab/>
        <w:t>(a)</w:t>
      </w:r>
      <w:r>
        <w:tab/>
        <w:t>means a development application as defined in section 4(1); and</w:t>
      </w:r>
    </w:p>
    <w:p>
      <w:pPr>
        <w:pStyle w:val="Defpara"/>
      </w:pPr>
      <w:r>
        <w:tab/>
        <w:t>(b)</w:t>
      </w:r>
      <w:r>
        <w:tab/>
        <w:t>includes (to avoid doubt) a development application as defined in section 4(1) that is to be determined, or could be determined, by a Development Assessment Panel; and</w:t>
      </w:r>
    </w:p>
    <w:p>
      <w:pPr>
        <w:pStyle w:val="Defpara"/>
      </w:pPr>
      <w:r>
        <w:tab/>
        <w:t>(c)</w:t>
      </w:r>
      <w:r>
        <w:tab/>
        <w:t>includes an application under Part 7 for approval of development in a planning control area; and</w:t>
      </w:r>
    </w:p>
    <w:p>
      <w:pPr>
        <w:pStyle w:val="Defpara"/>
      </w:pPr>
      <w:r>
        <w:tab/>
        <w:t>(d)</w:t>
      </w:r>
      <w:r>
        <w:tab/>
        <w:t xml:space="preserve">includes an application for approval under the </w:t>
      </w:r>
      <w:r>
        <w:rPr>
          <w:i/>
        </w:rPr>
        <w:t>Swan and Canning Rivers Management Act 2006</w:t>
      </w:r>
      <w:r>
        <w:t xml:space="preserve"> section 72(1) or (4);</w:t>
      </w:r>
    </w:p>
    <w:p>
      <w:pPr>
        <w:pStyle w:val="Defstart"/>
      </w:pPr>
      <w:r>
        <w:tab/>
      </w:r>
      <w:r>
        <w:rPr>
          <w:rStyle w:val="CharDefText"/>
        </w:rPr>
        <w:t>extended recovery period</w:t>
      </w:r>
      <w:r>
        <w:t xml:space="preserve"> means the period that — </w:t>
      </w:r>
    </w:p>
    <w:p>
      <w:pPr>
        <w:pStyle w:val="Defpara"/>
      </w:pPr>
      <w:r>
        <w:tab/>
        <w:t>(a)</w:t>
      </w:r>
      <w:r>
        <w:tab/>
        <w:t xml:space="preserve">begins when the </w:t>
      </w:r>
      <w:r>
        <w:rPr>
          <w:i/>
        </w:rPr>
        <w:t>Planning and Development Amendment Act 2022</w:t>
      </w:r>
      <w:r>
        <w:t xml:space="preserve"> section 4 comes into operation; and</w:t>
      </w:r>
    </w:p>
    <w:p>
      <w:pPr>
        <w:pStyle w:val="Defpara"/>
      </w:pPr>
      <w:r>
        <w:lastRenderedPageBreak/>
        <w:tab/>
        <w:t>(b)</w:t>
      </w:r>
      <w:r>
        <w:tab/>
        <w:t>ends immediately before 5 pm on 29 December 2023;</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keepNext/>
      </w:pPr>
      <w:r>
        <w:tab/>
      </w:r>
      <w:r>
        <w:rPr>
          <w:rStyle w:val="CharDefText"/>
        </w:rPr>
        <w:t>legal instrument</w:t>
      </w:r>
      <w:r>
        <w:t xml:space="preserve"> means any of the following — </w:t>
      </w:r>
    </w:p>
    <w:p>
      <w:pPr>
        <w:pStyle w:val="Defpara"/>
      </w:pPr>
      <w:r>
        <w:tab/>
        <w:t>(a)</w:t>
      </w:r>
      <w:r>
        <w:tab/>
        <w:t>this Act, other than this Part, any Part 17 regulations and any orders under section 284;</w:t>
      </w:r>
    </w:p>
    <w:p>
      <w:pPr>
        <w:pStyle w:val="Defpara"/>
      </w:pPr>
      <w:r>
        <w:tab/>
        <w:t>(b)</w:t>
      </w:r>
      <w:r>
        <w:tab/>
        <w:t xml:space="preserve">any of the following enactments — </w:t>
      </w:r>
    </w:p>
    <w:p>
      <w:pPr>
        <w:pStyle w:val="Defsubpara"/>
      </w:pPr>
      <w:r>
        <w:tab/>
        <w:t>(i)</w:t>
      </w:r>
      <w:r>
        <w:tab/>
        <w:t xml:space="preserve">the </w:t>
      </w:r>
      <w:r>
        <w:rPr>
          <w:i/>
        </w:rPr>
        <w:t>Contaminated Sites Act 2003</w:t>
      </w:r>
      <w:r>
        <w:t>;</w:t>
      </w:r>
    </w:p>
    <w:p>
      <w:pPr>
        <w:pStyle w:val="Defsubpara"/>
      </w:pPr>
      <w:r>
        <w:tab/>
        <w:t>(ii)</w:t>
      </w:r>
      <w:r>
        <w:tab/>
        <w:t xml:space="preserve">the </w:t>
      </w:r>
      <w:r>
        <w:rPr>
          <w:i/>
        </w:rPr>
        <w:t>Heritage Act 2018</w:t>
      </w:r>
      <w:r>
        <w:t>;</w:t>
      </w:r>
    </w:p>
    <w:p>
      <w:pPr>
        <w:pStyle w:val="Defsubpara"/>
      </w:pPr>
      <w:r>
        <w:tab/>
        <w:t>(iii)</w:t>
      </w:r>
      <w:r>
        <w:tab/>
        <w:t xml:space="preserve">the </w:t>
      </w:r>
      <w:r>
        <w:rPr>
          <w:i/>
        </w:rPr>
        <w:t>Swan and Canning Rivers Management Act 2006</w:t>
      </w:r>
      <w:r>
        <w:t>;</w:t>
      </w:r>
    </w:p>
    <w:p>
      <w:pPr>
        <w:pStyle w:val="Defsubpara"/>
      </w:pPr>
      <w:r>
        <w:tab/>
        <w:t>(iv)</w:t>
      </w:r>
      <w:r>
        <w:tab/>
        <w:t xml:space="preserve">the </w:t>
      </w:r>
      <w:r>
        <w:rPr>
          <w:i/>
        </w:rPr>
        <w:t>Swan Valley Planning Act 2020</w:t>
      </w:r>
      <w:r>
        <w:t>;</w:t>
      </w:r>
    </w:p>
    <w:p>
      <w:pPr>
        <w:pStyle w:val="Defsubpara"/>
      </w:pPr>
      <w:r>
        <w:tab/>
        <w:t>(v)</w:t>
      </w:r>
      <w:r>
        <w:tab/>
        <w:t xml:space="preserve">the </w:t>
      </w:r>
      <w:r>
        <w:rPr>
          <w:i/>
        </w:rPr>
        <w:t>Local Government Act 1995</w:t>
      </w:r>
      <w:r>
        <w:t>;</w:t>
      </w:r>
    </w:p>
    <w:p>
      <w:pPr>
        <w:pStyle w:val="Defpara"/>
      </w:pPr>
      <w:r>
        <w:tab/>
        <w:t>(c)</w:t>
      </w:r>
      <w:r>
        <w:tab/>
        <w:t xml:space="preserve">any enactment, other than the following — </w:t>
      </w:r>
    </w:p>
    <w:p>
      <w:pPr>
        <w:pStyle w:val="Defsubpara"/>
      </w:pPr>
      <w:r>
        <w:tab/>
        <w:t>(i)</w:t>
      </w:r>
      <w:r>
        <w:tab/>
        <w:t>this Act;</w:t>
      </w:r>
    </w:p>
    <w:p>
      <w:pPr>
        <w:pStyle w:val="Defsubpara"/>
      </w:pPr>
      <w:r>
        <w:tab/>
        <w:t>(ii)</w:t>
      </w:r>
      <w:r>
        <w:tab/>
        <w:t>an enactment covered by paragraph (b);</w:t>
      </w:r>
    </w:p>
    <w:p>
      <w:pPr>
        <w:pStyle w:val="Defsubpara"/>
      </w:pPr>
      <w:r>
        <w:tab/>
        <w:t>(iii)</w:t>
      </w:r>
      <w:r>
        <w:tab/>
        <w:t>the EP Act;</w:t>
      </w:r>
    </w:p>
    <w:p>
      <w:pPr>
        <w:pStyle w:val="Defpara"/>
      </w:pPr>
      <w:r>
        <w:tab/>
        <w:t>(d)</w:t>
      </w:r>
      <w:r>
        <w:tab/>
        <w:t>a planning scheme or an interim development order;</w:t>
      </w:r>
    </w:p>
    <w:p>
      <w:pPr>
        <w:pStyle w:val="Defpara"/>
      </w:pPr>
      <w:r>
        <w:tab/>
        <w:t>(e)</w:t>
      </w:r>
      <w:r>
        <w:tab/>
        <w:t>any other scheme, code, policy, plan, local law, by</w:t>
      </w:r>
      <w:r>
        <w:noBreakHyphen/>
        <w:t>law, rule, condition, notice or other instrument made under any enactment covered by paragraph (a), (b) or (c);</w:t>
      </w:r>
    </w:p>
    <w:p>
      <w:pPr>
        <w:pStyle w:val="Defstart"/>
      </w:pPr>
      <w:r>
        <w:tab/>
      </w:r>
      <w:r>
        <w:rPr>
          <w:rStyle w:val="CharDefText"/>
        </w:rPr>
        <w:t>mining</w:t>
      </w:r>
      <w:r>
        <w:t xml:space="preserve"> has the meaning given in the </w:t>
      </w:r>
      <w:r>
        <w:rPr>
          <w:i/>
        </w:rPr>
        <w:t>Mining Act 1978</w:t>
      </w:r>
      <w:r>
        <w:t xml:space="preserve"> section 8(1);</w:t>
      </w:r>
    </w:p>
    <w:p>
      <w:pPr>
        <w:pStyle w:val="Defstart"/>
      </w:pPr>
      <w:r>
        <w:tab/>
      </w:r>
      <w:r>
        <w:rPr>
          <w:rStyle w:val="CharDefText"/>
        </w:rPr>
        <w:t>normal decision</w:t>
      </w:r>
      <w:r>
        <w:rPr>
          <w:rStyle w:val="CharDefText"/>
        </w:rPr>
        <w:noBreakHyphen/>
        <w:t>maker</w:t>
      </w:r>
      <w:r>
        <w:t>, in relation to a development application, means a person or body who could, apart from this Part, determine the application under an applicable legal instrument;</w:t>
      </w:r>
    </w:p>
    <w:p>
      <w:pPr>
        <w:pStyle w:val="Defstart"/>
      </w:pPr>
      <w:r>
        <w:tab/>
      </w:r>
      <w:r>
        <w:rPr>
          <w:rStyle w:val="CharDefText"/>
        </w:rPr>
        <w:t>Part 17 regulations</w:t>
      </w:r>
      <w:r>
        <w:t xml:space="preserve"> means regulations under section 286(1);</w:t>
      </w:r>
    </w:p>
    <w:p>
      <w:pPr>
        <w:pStyle w:val="Defstart"/>
      </w:pPr>
      <w:r>
        <w:tab/>
      </w:r>
      <w:r>
        <w:rPr>
          <w:rStyle w:val="CharDefText"/>
        </w:rPr>
        <w:t>recovery period</w:t>
      </w:r>
      <w:r>
        <w:t xml:space="preserve"> means the period of 18 months beginning on the day on which the </w:t>
      </w:r>
      <w:r>
        <w:rPr>
          <w:i/>
        </w:rPr>
        <w:t xml:space="preserve">Planning and Development Amendment Act 2020 </w:t>
      </w:r>
      <w:r>
        <w:t>section 4 comes into operation;</w:t>
      </w:r>
    </w:p>
    <w:p>
      <w:pPr>
        <w:pStyle w:val="Defstart"/>
        <w:keepNext/>
      </w:pPr>
      <w:r>
        <w:lastRenderedPageBreak/>
        <w:tab/>
      </w:r>
      <w:r>
        <w:rPr>
          <w:rStyle w:val="CharDefText"/>
        </w:rPr>
        <w:t>significant development</w:t>
      </w:r>
      <w:r>
        <w:t xml:space="preserve">, subject to subsections (2) and (3), means — </w:t>
      </w:r>
    </w:p>
    <w:p>
      <w:pPr>
        <w:pStyle w:val="Defpara"/>
        <w:keepNext/>
      </w:pPr>
      <w:r>
        <w:tab/>
        <w:t>(a)</w:t>
      </w:r>
      <w:r>
        <w:tab/>
        <w:t xml:space="preserve">development that has an estimated cost of — </w:t>
      </w:r>
    </w:p>
    <w:p>
      <w:pPr>
        <w:pStyle w:val="Defsubpara"/>
      </w:pPr>
      <w:r>
        <w:tab/>
        <w:t>(i)</w:t>
      </w:r>
      <w:r>
        <w:tab/>
        <w:t>in the case of a development that is wholly or partly in the metropolitan region — $20 million or more;</w:t>
      </w:r>
    </w:p>
    <w:p>
      <w:pPr>
        <w:pStyle w:val="Defsubpara"/>
      </w:pPr>
      <w:r>
        <w:tab/>
      </w:r>
      <w:r>
        <w:tab/>
        <w:t>or</w:t>
      </w:r>
    </w:p>
    <w:p>
      <w:pPr>
        <w:pStyle w:val="Defsubpara"/>
      </w:pPr>
      <w:r>
        <w:tab/>
        <w:t>(ii)</w:t>
      </w:r>
      <w:r>
        <w:tab/>
        <w:t>in any other case — $5 million or more;</w:t>
      </w:r>
    </w:p>
    <w:p>
      <w:pPr>
        <w:pStyle w:val="Defpara"/>
      </w:pPr>
      <w:r>
        <w:tab/>
      </w:r>
      <w:r>
        <w:tab/>
        <w:t>or</w:t>
      </w:r>
    </w:p>
    <w:p>
      <w:pPr>
        <w:pStyle w:val="Defpara"/>
      </w:pPr>
      <w:r>
        <w:tab/>
        <w:t>(b)</w:t>
      </w:r>
      <w:r>
        <w:tab/>
        <w:t>development that is of a class or kind prescribed by Part 17 regulations for the purposes of this paragraph;</w:t>
      </w:r>
    </w:p>
    <w:p>
      <w:pPr>
        <w:pStyle w:val="Defstart"/>
      </w:pPr>
      <w:r>
        <w:tab/>
      </w:r>
      <w:r>
        <w:rPr>
          <w:rStyle w:val="CharDefText"/>
        </w:rPr>
        <w:t>substantially commenced</w:t>
      </w:r>
      <w:r>
        <w:t xml:space="preserve">, subject to subsection (4), has the meaning given in the </w:t>
      </w:r>
      <w:r>
        <w:rPr>
          <w:i/>
        </w:rPr>
        <w:t>Planning and Development (Local Planning Schemes) Regulations 2015</w:t>
      </w:r>
      <w:r>
        <w:t xml:space="preserve"> Schedule 2 clause 1 as in force at the beginning of the recovery period;</w:t>
      </w:r>
    </w:p>
    <w:p>
      <w:pPr>
        <w:pStyle w:val="Defstart"/>
      </w:pPr>
      <w:r>
        <w:tab/>
      </w:r>
      <w:r>
        <w:rPr>
          <w:rStyle w:val="CharDefText"/>
        </w:rPr>
        <w:t>warehouse</w:t>
      </w:r>
      <w:r>
        <w:t xml:space="preserve"> means a building or outdoor facility, or a part of a building or outdoor facility, used for 1 or both of the following — </w:t>
      </w:r>
    </w:p>
    <w:p>
      <w:pPr>
        <w:pStyle w:val="Defpara"/>
      </w:pPr>
      <w:r>
        <w:tab/>
        <w:t>(a)</w:t>
      </w:r>
      <w:r>
        <w:tab/>
        <w:t>the storage of goods, equipment, plant or materials;</w:t>
      </w:r>
    </w:p>
    <w:p>
      <w:pPr>
        <w:pStyle w:val="Defpara"/>
      </w:pPr>
      <w:r>
        <w:tab/>
        <w:t>(b)</w:t>
      </w:r>
      <w:r>
        <w:tab/>
        <w:t>the display or sale by wholesale of goods.</w:t>
      </w:r>
    </w:p>
    <w:p>
      <w:pPr>
        <w:pStyle w:val="Subsection"/>
      </w:pPr>
      <w:r>
        <w:tab/>
        <w:t>(2)</w:t>
      </w:r>
      <w:r>
        <w:tab/>
        <w:t xml:space="preserve">Development that is of a class or kind prescribed by Part 17 regulations for the purposes of this subsection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(3)</w:t>
      </w:r>
      <w:r>
        <w:tab/>
        <w:t xml:space="preserve">Development of a warehouse — </w:t>
      </w:r>
    </w:p>
    <w:p>
      <w:pPr>
        <w:pStyle w:val="Indenta"/>
      </w:pPr>
      <w:r>
        <w:tab/>
        <w:t>(a)</w:t>
      </w:r>
      <w:r>
        <w:tab/>
        <w:t>is not to be regarded as significant development or as being part of any significant development; and</w:t>
      </w:r>
    </w:p>
    <w:p>
      <w:pPr>
        <w:pStyle w:val="Indenta"/>
      </w:pPr>
      <w:r>
        <w:lastRenderedPageBreak/>
        <w:tab/>
        <w:t>(b)</w:t>
      </w:r>
      <w:r>
        <w:tab/>
        <w:t>is not to be taken into account in determining whether any larger development of which the development forms part is significant development.</w:t>
      </w:r>
    </w:p>
    <w:p>
      <w:pPr>
        <w:pStyle w:val="Subsection"/>
      </w:pPr>
      <w:r>
        <w:tab/>
        <w:t>(4)</w:t>
      </w:r>
      <w:r>
        <w:tab/>
        <w:t xml:space="preserve">For the purposes of the definition of </w:t>
      </w:r>
      <w:r>
        <w:rPr>
          <w:b/>
          <w:i/>
        </w:rPr>
        <w:t>substantially commenced</w:t>
      </w:r>
      <w:r>
        <w:t xml:space="preserve"> in subsection (1), the definition of that term in the </w:t>
      </w:r>
      <w:r>
        <w:rPr>
          <w:i/>
        </w:rPr>
        <w:t xml:space="preserve">Planning and Development (Local Planning Schemes) Regulations 2015 </w:t>
      </w:r>
      <w:r>
        <w:t>Schedule 2 clause 1 applies as if the reference to a development approved under a planning scheme or under an interim development order were a reference to a development approved by the Commission under section 274.</w:t>
      </w:r>
    </w:p>
    <w:p>
      <w:pPr>
        <w:pStyle w:val="Footnotesection"/>
      </w:pPr>
      <w:r>
        <w:tab/>
        <w:t>[Section 269 inserted: No. 26 of 2020 s. 4; amended: No. 45 of 2020 s. 93; No. 17 of 2022 s. 4.]</w:t>
      </w:r>
    </w:p>
    <w:p>
      <w:pPr>
        <w:pStyle w:val="Heading5"/>
      </w:pPr>
      <w:bookmarkStart w:id="357" w:name="_Toc155166180"/>
      <w:r>
        <w:rPr>
          <w:rStyle w:val="CharSectno"/>
        </w:rPr>
        <w:t>270</w:t>
      </w:r>
      <w:r>
        <w:t>.</w:t>
      </w:r>
      <w:r>
        <w:tab/>
        <w:t>Effect of Part</w:t>
      </w:r>
      <w:bookmarkEnd w:id="357"/>
    </w:p>
    <w:p>
      <w:pPr>
        <w:pStyle w:val="Subsection"/>
      </w:pPr>
      <w:r>
        <w:tab/>
        <w:t>(1)</w:t>
      </w:r>
      <w:r>
        <w:tab/>
        <w:t>This Part has effect despite any legal instrument.</w:t>
      </w:r>
    </w:p>
    <w:p>
      <w:pPr>
        <w:pStyle w:val="Subsection"/>
      </w:pPr>
      <w:r>
        <w:tab/>
        <w:t>(2)</w:t>
      </w:r>
      <w:r>
        <w:tab/>
        <w:t xml:space="preserve">However, this Part does not apply in relation to any of the following — </w:t>
      </w:r>
    </w:p>
    <w:p>
      <w:pPr>
        <w:pStyle w:val="Indenta"/>
      </w:pPr>
      <w:r>
        <w:tab/>
        <w:t>(a)</w:t>
      </w:r>
      <w:r>
        <w:tab/>
        <w:t xml:space="preserve">land to which an approved redevelopment scheme under the </w:t>
      </w:r>
      <w:r>
        <w:rPr>
          <w:i/>
        </w:rPr>
        <w:t>Metropolitan Redevelopment Authority Act 2011</w:t>
      </w:r>
      <w:r>
        <w:t xml:space="preserve"> applies;</w:t>
      </w:r>
    </w:p>
    <w:p>
      <w:pPr>
        <w:pStyle w:val="Indenta"/>
      </w:pPr>
      <w:r>
        <w:tab/>
        <w:t>(b)</w:t>
      </w:r>
      <w:r>
        <w:tab/>
        <w:t xml:space="preserve">land in the redevelopment area as defined in the </w:t>
      </w:r>
      <w:r>
        <w:rPr>
          <w:i/>
        </w:rPr>
        <w:t>Hope Valley</w:t>
      </w:r>
      <w:r>
        <w:rPr>
          <w:i/>
        </w:rPr>
        <w:noBreakHyphen/>
        <w:t>Wattleup Redevelopment Act 2000</w:t>
      </w:r>
      <w:r>
        <w:t>;</w:t>
      </w:r>
    </w:p>
    <w:p>
      <w:pPr>
        <w:pStyle w:val="Indenta"/>
      </w:pPr>
      <w:r>
        <w:tab/>
        <w:t>(c)</w:t>
      </w:r>
      <w:r>
        <w:tab/>
        <w:t>land to which a Government agreement applies;</w:t>
      </w:r>
    </w:p>
    <w:p>
      <w:pPr>
        <w:pStyle w:val="Indenta"/>
      </w:pPr>
      <w:r>
        <w:tab/>
        <w:t>(d)</w:t>
      </w:r>
      <w:r>
        <w:tab/>
        <w:t xml:space="preserve">mining, or proposed mining, that is, or would be, authorised under the </w:t>
      </w:r>
      <w:r>
        <w:rPr>
          <w:i/>
        </w:rPr>
        <w:t>Mining Act 1978</w:t>
      </w:r>
      <w:r>
        <w:t>.</w:t>
      </w:r>
    </w:p>
    <w:p>
      <w:pPr>
        <w:pStyle w:val="Subsection"/>
      </w:pPr>
      <w:r>
        <w:tab/>
        <w:t>(3)</w:t>
      </w:r>
      <w:r>
        <w:tab/>
        <w:t>To avoid doubt, this Part is subject to section 5 of the EP Act.</w:t>
      </w:r>
    </w:p>
    <w:p>
      <w:pPr>
        <w:pStyle w:val="Footnotesection"/>
      </w:pPr>
      <w:r>
        <w:tab/>
        <w:t>[Section 270 inserted: No. 26 of 2020 s. 4.]</w:t>
      </w:r>
    </w:p>
    <w:p>
      <w:pPr>
        <w:pStyle w:val="Heading3"/>
      </w:pPr>
      <w:bookmarkStart w:id="358" w:name="_Toc155166181"/>
      <w:r>
        <w:rPr>
          <w:rStyle w:val="CharDivNo"/>
        </w:rPr>
        <w:lastRenderedPageBreak/>
        <w:t>Division 2</w:t>
      </w:r>
      <w:r>
        <w:t> — </w:t>
      </w:r>
      <w:r>
        <w:rPr>
          <w:rStyle w:val="CharDivText"/>
        </w:rPr>
        <w:t>Commission to determine certain development applications</w:t>
      </w:r>
      <w:bookmarkEnd w:id="358"/>
    </w:p>
    <w:p>
      <w:pPr>
        <w:pStyle w:val="Footnoteheading"/>
        <w:keepNext/>
      </w:pPr>
      <w:r>
        <w:tab/>
        <w:t>[Heading inserted: No. 26 of 2020 s. 4.]</w:t>
      </w:r>
    </w:p>
    <w:p>
      <w:pPr>
        <w:pStyle w:val="Heading4"/>
      </w:pPr>
      <w:bookmarkStart w:id="359" w:name="_Toc155166182"/>
      <w:r>
        <w:rPr>
          <w:rStyle w:val="CharSDivNo"/>
        </w:rPr>
        <w:t>Subdivision 1</w:t>
      </w:r>
      <w:r>
        <w:t> — </w:t>
      </w:r>
      <w:r>
        <w:rPr>
          <w:rStyle w:val="CharSDivText"/>
        </w:rPr>
        <w:t>Applications and referrals</w:t>
      </w:r>
      <w:bookmarkEnd w:id="359"/>
    </w:p>
    <w:p>
      <w:pPr>
        <w:pStyle w:val="Footnoteheading"/>
        <w:keepNext/>
      </w:pPr>
      <w:r>
        <w:tab/>
        <w:t>[Heading inserted: No. 26 of 2020 s. 4.]</w:t>
      </w:r>
    </w:p>
    <w:p>
      <w:pPr>
        <w:pStyle w:val="Heading5"/>
      </w:pPr>
      <w:bookmarkStart w:id="360" w:name="_Toc155166183"/>
      <w:r>
        <w:rPr>
          <w:rStyle w:val="CharSectno"/>
        </w:rPr>
        <w:t>271</w:t>
      </w:r>
      <w:r>
        <w:t>.</w:t>
      </w:r>
      <w:r>
        <w:tab/>
        <w:t>Development applications that may be made directly to Commission during recovery period or extended recovery period</w:t>
      </w:r>
      <w:bookmarkEnd w:id="360"/>
    </w:p>
    <w:p>
      <w:pPr>
        <w:pStyle w:val="Subsection"/>
        <w:keepNext/>
      </w:pPr>
      <w:r>
        <w:tab/>
        <w:t>(1)</w:t>
      </w:r>
      <w:r>
        <w:tab/>
        <w:t>During the recovery period, a person may make a development application to the Commission for determination under section 274 if the application is for approval of significant development.</w:t>
      </w:r>
    </w:p>
    <w:p>
      <w:pPr>
        <w:pStyle w:val="Subsection"/>
      </w:pPr>
      <w:r>
        <w:tab/>
        <w:t>(2)</w:t>
      </w:r>
      <w:r>
        <w:tab/>
        <w:t>During the extended recovery period, a person may make a development application to the Commission for determination under section 274 if the application is for approval of significant development.</w:t>
      </w:r>
    </w:p>
    <w:p>
      <w:pPr>
        <w:pStyle w:val="Footnotesection"/>
      </w:pPr>
      <w:r>
        <w:tab/>
        <w:t>[Section 271 inserted: No. 26 of 2020 s. 4; amended: No. 17 of 2022 s. 5.]</w:t>
      </w:r>
    </w:p>
    <w:p>
      <w:pPr>
        <w:pStyle w:val="Heading5"/>
      </w:pPr>
      <w:bookmarkStart w:id="361" w:name="_Toc155166184"/>
      <w:r>
        <w:rPr>
          <w:rStyle w:val="CharSectno"/>
        </w:rPr>
        <w:t>272</w:t>
      </w:r>
      <w:r>
        <w:t>.</w:t>
      </w:r>
      <w:r>
        <w:tab/>
        <w:t>Development applications that may be referred to Commission by Premier during recovery period or extended recovery period</w:t>
      </w:r>
      <w:bookmarkEnd w:id="361"/>
    </w:p>
    <w:p>
      <w:pPr>
        <w:pStyle w:val="Subsection"/>
      </w:pPr>
      <w:r>
        <w:tab/>
        <w:t>(1)</w:t>
      </w:r>
      <w:r>
        <w:tab/>
        <w:t>During the recovery period, the prospective applicant in relation to a development application that has not yet been made may notify the Minister that they want the application to be determined under section 274.</w:t>
      </w:r>
    </w:p>
    <w:p>
      <w:pPr>
        <w:pStyle w:val="Subsection"/>
      </w:pPr>
      <w:r>
        <w:tab/>
        <w:t>(2)</w:t>
      </w:r>
      <w:r>
        <w:tab/>
        <w:t xml:space="preserve">Subsection (3) applies if the Minister — </w:t>
      </w:r>
    </w:p>
    <w:p>
      <w:pPr>
        <w:pStyle w:val="Indenta"/>
      </w:pPr>
      <w:r>
        <w:tab/>
        <w:t>(a)</w:t>
      </w:r>
      <w:r>
        <w:tab/>
        <w:t>is notified under subsection (1); and</w:t>
      </w:r>
    </w:p>
    <w:p>
      <w:pPr>
        <w:pStyle w:val="Indenta"/>
      </w:pPr>
      <w:r>
        <w:tab/>
        <w:t>(b)</w:t>
      </w:r>
      <w:r>
        <w:tab/>
        <w:t xml:space="preserve">considers that the development application raises issues of such State or regional importance that it would be </w:t>
      </w:r>
      <w:r>
        <w:lastRenderedPageBreak/>
        <w:t>appropriate for the application to be determined under section 274.</w:t>
      </w:r>
    </w:p>
    <w:p>
      <w:pPr>
        <w:pStyle w:val="Subsection"/>
      </w:pPr>
      <w:r>
        <w:tab/>
        <w:t>(3)</w:t>
      </w:r>
      <w:r>
        <w:tab/>
        <w:t>During the recovery period, the Premier, on the Minister’s recommendation, may refer the development application to the Commission for determination under section 274.</w:t>
      </w:r>
    </w:p>
    <w:p>
      <w:pPr>
        <w:pStyle w:val="Subsection"/>
      </w:pPr>
      <w:r>
        <w:tab/>
        <w:t>(3A)</w:t>
      </w:r>
      <w:r>
        <w:tab/>
        <w:t>During the extended recovery period, the prospective applicant in relation to a development application that has not yet been made may notify the Minister that they want the application to be determined under section 274.</w:t>
      </w:r>
    </w:p>
    <w:p>
      <w:pPr>
        <w:pStyle w:val="Subsection"/>
      </w:pPr>
      <w:r>
        <w:tab/>
        <w:t>(3B)</w:t>
      </w:r>
      <w:r>
        <w:tab/>
        <w:t xml:space="preserve">Subsection (3C) applies if the Minister — </w:t>
      </w:r>
    </w:p>
    <w:p>
      <w:pPr>
        <w:pStyle w:val="Indenta"/>
      </w:pPr>
      <w:r>
        <w:tab/>
        <w:t>(a)</w:t>
      </w:r>
      <w:r>
        <w:tab/>
        <w:t>is notified under subsection (3A); and</w:t>
      </w:r>
    </w:p>
    <w:p>
      <w:pPr>
        <w:pStyle w:val="Indenta"/>
      </w:pPr>
      <w:r>
        <w:tab/>
        <w:t>(b)</w:t>
      </w:r>
      <w:r>
        <w:tab/>
        <w:t>considers that the development application raises issues of such State or regional importance that it would be appropriate for the application to be determined under section 274.</w:t>
      </w:r>
    </w:p>
    <w:p>
      <w:pPr>
        <w:pStyle w:val="Subsection"/>
      </w:pPr>
      <w:r>
        <w:tab/>
        <w:t>(3C)</w:t>
      </w:r>
      <w:r>
        <w:tab/>
        <w:t>During the extended recovery period, the Premier, on the Minister’s recommendation, may refer the development application to the Commission for determination under section 274.</w:t>
      </w:r>
    </w:p>
    <w:p>
      <w:pPr>
        <w:pStyle w:val="Subsection"/>
        <w:keepNext/>
      </w:pPr>
      <w:r>
        <w:tab/>
        <w:t>(4)</w:t>
      </w:r>
      <w:r>
        <w:tab/>
        <w:t xml:space="preserve">Subsection (5) applies if — </w:t>
      </w:r>
    </w:p>
    <w:p>
      <w:pPr>
        <w:pStyle w:val="Indenta"/>
      </w:pPr>
      <w:r>
        <w:tab/>
        <w:t>(a)</w:t>
      </w:r>
      <w:r>
        <w:tab/>
        <w:t>before or during the extended recovery period, a person makes a development application (otherwise than to the Commission under section 271); and</w:t>
      </w:r>
    </w:p>
    <w:p>
      <w:pPr>
        <w:pStyle w:val="Indenta"/>
      </w:pPr>
      <w:r>
        <w:tab/>
        <w:t>(b)</w:t>
      </w:r>
      <w:r>
        <w:tab/>
        <w:t>the Minister considers that the development application raises issues of such State or regional importance that it would be appropriate for the application to be determined under section 274.</w:t>
      </w:r>
    </w:p>
    <w:p>
      <w:pPr>
        <w:pStyle w:val="Subsection"/>
      </w:pPr>
      <w:r>
        <w:tab/>
        <w:t>(5)</w:t>
      </w:r>
      <w:r>
        <w:tab/>
        <w:t xml:space="preserve">During the extended recovery period, the Premier, on the Minister’s recommendation, may — </w:t>
      </w:r>
    </w:p>
    <w:p>
      <w:pPr>
        <w:pStyle w:val="Indenta"/>
      </w:pPr>
      <w:r>
        <w:tab/>
        <w:t>(a)</w:t>
      </w:r>
      <w:r>
        <w:tab/>
        <w:t>direct any person or body who is dealing with the development application to refer the application to the Commission for determination under section 274; or</w:t>
      </w:r>
    </w:p>
    <w:p>
      <w:pPr>
        <w:pStyle w:val="Indenta"/>
      </w:pPr>
      <w:r>
        <w:lastRenderedPageBreak/>
        <w:tab/>
        <w:t>(b)</w:t>
      </w:r>
      <w:r>
        <w:tab/>
        <w:t>if the Commission is dealing with the development application — direct the Commission to determine the application under section 274.</w:t>
      </w:r>
    </w:p>
    <w:p>
      <w:pPr>
        <w:pStyle w:val="Subsection"/>
      </w:pPr>
      <w:r>
        <w:tab/>
        <w:t>(6)</w:t>
      </w:r>
      <w:r>
        <w:tab/>
        <w:t>However, the Premier cannot give a direction under subsection (5) if the development application has already been determined, or been taken to be determined, by a normal decision</w:t>
      </w:r>
      <w:r>
        <w:noBreakHyphen/>
        <w:t>maker (whether or not the determination is to be reviewed by the State Administrative Tribunal or otherwise challenged).</w:t>
      </w:r>
    </w:p>
    <w:p>
      <w:pPr>
        <w:pStyle w:val="Subsection"/>
      </w:pPr>
      <w:r>
        <w:tab/>
        <w:t>(7)</w:t>
      </w:r>
      <w:r>
        <w:tab/>
        <w:t xml:space="preserve">The Premier, within 14 days after the day on which a direction is given under subsection (5),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tab/>
        <w:t>(8)</w:t>
      </w:r>
      <w:r>
        <w:tab/>
        <w:t>Section 268A applies as if references in that section to the Minister were to the Premier.</w:t>
      </w:r>
    </w:p>
    <w:p>
      <w:pPr>
        <w:pStyle w:val="Footnotesection"/>
      </w:pPr>
      <w:r>
        <w:tab/>
        <w:t>[Section 272 inserted: No. 26 of 2020 s. 4; amended: No. 17 of 2022 s. 6.]</w:t>
      </w:r>
    </w:p>
    <w:p>
      <w:pPr>
        <w:pStyle w:val="Heading5"/>
      </w:pPr>
      <w:bookmarkStart w:id="362" w:name="_Toc155166185"/>
      <w:r>
        <w:rPr>
          <w:rStyle w:val="CharSectno"/>
        </w:rPr>
        <w:t>273</w:t>
      </w:r>
      <w:r>
        <w:t>.</w:t>
      </w:r>
      <w:r>
        <w:tab/>
        <w:t>Supplementary provisions for applications and referrals</w:t>
      </w:r>
      <w:bookmarkEnd w:id="362"/>
    </w:p>
    <w:p>
      <w:pPr>
        <w:pStyle w:val="Subsection"/>
      </w:pPr>
      <w:r>
        <w:tab/>
        <w:t>(1)</w:t>
      </w:r>
      <w:r>
        <w:tab/>
        <w:t>A development application that is made under section 271 must be made in the manner and form required by the Commission and, without limitation, include any documents or information required by the Commission.</w:t>
      </w:r>
    </w:p>
    <w:p>
      <w:pPr>
        <w:pStyle w:val="Subsection"/>
      </w:pPr>
      <w:r>
        <w:tab/>
        <w:t>(2)</w:t>
      </w:r>
      <w:r>
        <w:tab/>
        <w:t>A notification under section 272(1) or (3A) must be made in the manner and form required by the Minister and, without limitation, include any documents or information required by the Minister.</w:t>
      </w:r>
    </w:p>
    <w:p>
      <w:pPr>
        <w:pStyle w:val="Subsection"/>
      </w:pPr>
      <w:r>
        <w:tab/>
        <w:t>(3)</w:t>
      </w:r>
      <w:r>
        <w:tab/>
        <w:t xml:space="preserve">A person or body who is given a direction under section 272(5) to refer a development application to the Commission — </w:t>
      </w:r>
    </w:p>
    <w:p>
      <w:pPr>
        <w:pStyle w:val="Indenta"/>
      </w:pPr>
      <w:r>
        <w:tab/>
        <w:t>(a)</w:t>
      </w:r>
      <w:r>
        <w:tab/>
        <w:t>must refer the development application within the period specified in the direction; and</w:t>
      </w:r>
    </w:p>
    <w:p>
      <w:pPr>
        <w:pStyle w:val="Indenta"/>
      </w:pPr>
      <w:r>
        <w:lastRenderedPageBreak/>
        <w:tab/>
        <w:t>(b)</w:t>
      </w:r>
      <w:r>
        <w:tab/>
        <w:t>in referring the development application, must provide the Commission with the application and any documents or information that accompanied the application.</w:t>
      </w:r>
    </w:p>
    <w:p>
      <w:pPr>
        <w:pStyle w:val="Subsection"/>
      </w:pPr>
      <w:r>
        <w:tab/>
        <w:t>(4)</w:t>
      </w:r>
      <w:r>
        <w:tab/>
        <w:t xml:space="preserve">Without limiting section 270(1), in imposing requirements under subsection (1) or (2), the Commission or Minister is not bound or restricted by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Footnotesection"/>
      </w:pPr>
      <w:r>
        <w:tab/>
        <w:t>[Section 273 inserted: No. 26 of 2020 s. 4; amended: No. 17 of 2022 s. 7.]</w:t>
      </w:r>
    </w:p>
    <w:p>
      <w:pPr>
        <w:pStyle w:val="Heading4"/>
      </w:pPr>
      <w:bookmarkStart w:id="363" w:name="_Toc155166186"/>
      <w:r>
        <w:rPr>
          <w:rStyle w:val="CharSDivNo"/>
        </w:rPr>
        <w:t>Subdivision 2</w:t>
      </w:r>
      <w:r>
        <w:t> — </w:t>
      </w:r>
      <w:r>
        <w:rPr>
          <w:rStyle w:val="CharSDivText"/>
        </w:rPr>
        <w:t>Determinations</w:t>
      </w:r>
      <w:bookmarkEnd w:id="363"/>
    </w:p>
    <w:p>
      <w:pPr>
        <w:pStyle w:val="Footnoteheading"/>
      </w:pPr>
      <w:r>
        <w:tab/>
        <w:t>[Heading inserted: No. 26 of 2020 s. 4.]</w:t>
      </w:r>
    </w:p>
    <w:p>
      <w:pPr>
        <w:pStyle w:val="Heading5"/>
      </w:pPr>
      <w:bookmarkStart w:id="364" w:name="_Toc155166187"/>
      <w:r>
        <w:rPr>
          <w:rStyle w:val="CharSectno"/>
        </w:rPr>
        <w:t>274</w:t>
      </w:r>
      <w:r>
        <w:t>.</w:t>
      </w:r>
      <w:r>
        <w:tab/>
        <w:t>Determination of development applications by Commission</w:t>
      </w:r>
      <w:bookmarkEnd w:id="364"/>
    </w:p>
    <w:p>
      <w:pPr>
        <w:pStyle w:val="Subsection"/>
      </w:pPr>
      <w:r>
        <w:tab/>
        <w:t>(1)</w:t>
      </w:r>
      <w:r>
        <w:tab/>
        <w:t xml:space="preserve">A development application must be determined under this section (and not any applicable legal instrument) if — </w:t>
      </w:r>
    </w:p>
    <w:p>
      <w:pPr>
        <w:pStyle w:val="Indenta"/>
      </w:pPr>
      <w:r>
        <w:tab/>
        <w:t>(a)</w:t>
      </w:r>
      <w:r>
        <w:tab/>
        <w:t>the development application is made or referred to the Commission under section 271 or 272(3), (3C) or (5); or</w:t>
      </w:r>
    </w:p>
    <w:p>
      <w:pPr>
        <w:pStyle w:val="Indenta"/>
      </w:pPr>
      <w:r>
        <w:tab/>
        <w:t>(b)</w:t>
      </w:r>
      <w:r>
        <w:tab/>
        <w:t>the Commission is directed under section 272(5) to determine the development application under this section.</w:t>
      </w:r>
    </w:p>
    <w:p>
      <w:pPr>
        <w:pStyle w:val="Subsection"/>
      </w:pPr>
      <w:r>
        <w:tab/>
        <w:t>(2)</w:t>
      </w:r>
      <w:r>
        <w:tab/>
        <w:t xml:space="preserve">The Commission must consider the development application and determine it by — </w:t>
      </w:r>
    </w:p>
    <w:p>
      <w:pPr>
        <w:pStyle w:val="Indenta"/>
      </w:pPr>
      <w:r>
        <w:tab/>
        <w:t>(a)</w:t>
      </w:r>
      <w:r>
        <w:tab/>
        <w:t>granting approval for the development without conditions; or</w:t>
      </w:r>
    </w:p>
    <w:p>
      <w:pPr>
        <w:pStyle w:val="Indenta"/>
      </w:pPr>
      <w:r>
        <w:tab/>
        <w:t>(b)</w:t>
      </w:r>
      <w:r>
        <w:tab/>
        <w:t>granting approval for the development with conditions; or</w:t>
      </w:r>
    </w:p>
    <w:p>
      <w:pPr>
        <w:pStyle w:val="Indenta"/>
      </w:pPr>
      <w:r>
        <w:lastRenderedPageBreak/>
        <w:tab/>
        <w:t>(c)</w:t>
      </w:r>
      <w:r>
        <w:tab/>
        <w:t>refusing approval for the development.</w:t>
      </w:r>
    </w:p>
    <w:p>
      <w:pPr>
        <w:pStyle w:val="Subsection"/>
      </w:pPr>
      <w:r>
        <w:tab/>
        <w:t>(3)</w:t>
      </w:r>
      <w:r>
        <w:tab/>
        <w:t>The Commission must determine the development application as soon as is reasonably practicable but, subject to that, does not have to determine the application before the end of the recovery period or the extended recovery period.</w:t>
      </w:r>
    </w:p>
    <w:p>
      <w:pPr>
        <w:pStyle w:val="Subsection"/>
      </w:pPr>
      <w:r>
        <w:tab/>
        <w:t>(4)</w:t>
      </w:r>
      <w:r>
        <w:tab/>
        <w:t xml:space="preserve">For the purposes of subsection (2)(a) and (b) — </w:t>
      </w:r>
    </w:p>
    <w:p>
      <w:pPr>
        <w:pStyle w:val="Indenta"/>
      </w:pPr>
      <w:r>
        <w:tab/>
        <w:t>(a)</w:t>
      </w:r>
      <w:r>
        <w:tab/>
        <w:t xml:space="preserve">approval can be granted — </w:t>
      </w:r>
    </w:p>
    <w:p>
      <w:pPr>
        <w:pStyle w:val="Indenti"/>
      </w:pPr>
      <w:r>
        <w:tab/>
        <w:t>(i)</w:t>
      </w:r>
      <w:r>
        <w:tab/>
        <w:t>for the development for which approval is sought; or</w:t>
      </w:r>
    </w:p>
    <w:p>
      <w:pPr>
        <w:pStyle w:val="Indenti"/>
      </w:pPr>
      <w:r>
        <w:tab/>
        <w:t>(ii)</w:t>
      </w:r>
      <w:r>
        <w:tab/>
        <w:t>for that development, except for a part or aspect of that development specified in the approval; or</w:t>
      </w:r>
    </w:p>
    <w:p>
      <w:pPr>
        <w:pStyle w:val="Indenti"/>
      </w:pPr>
      <w:r>
        <w:tab/>
        <w:t>(iii)</w:t>
      </w:r>
      <w:r>
        <w:tab/>
        <w:t>for a part or aspect of that development specified in the approval;</w:t>
      </w:r>
    </w:p>
    <w:p>
      <w:pPr>
        <w:pStyle w:val="Indenta"/>
      </w:pPr>
      <w:r>
        <w:tab/>
      </w:r>
      <w:r>
        <w:tab/>
        <w:t>but</w:t>
      </w:r>
    </w:p>
    <w:p>
      <w:pPr>
        <w:pStyle w:val="Indenta"/>
      </w:pPr>
      <w:r>
        <w:tab/>
        <w:t>(b)</w:t>
      </w:r>
      <w:r>
        <w:tab/>
        <w:t xml:space="preserve">approval cannot be granted as referred to in paragraph (a)(ii) or (iii) — </w:t>
      </w:r>
    </w:p>
    <w:p>
      <w:pPr>
        <w:pStyle w:val="Indenti"/>
      </w:pPr>
      <w:r>
        <w:tab/>
        <w:t>(i)</w:t>
      </w:r>
      <w:r>
        <w:tab/>
        <w:t>in the case of a development application made under section 271 — for development that is not significant development; or</w:t>
      </w:r>
    </w:p>
    <w:p>
      <w:pPr>
        <w:pStyle w:val="Indenti"/>
      </w:pPr>
      <w:r>
        <w:tab/>
        <w:t>(ii)</w:t>
      </w:r>
      <w:r>
        <w:tab/>
        <w:t>in any other case — for development that is substantially different from the development for which approval is sought.</w:t>
      </w:r>
    </w:p>
    <w:p>
      <w:pPr>
        <w:pStyle w:val="Subsection"/>
      </w:pPr>
      <w:r>
        <w:tab/>
        <w:t>(5)</w:t>
      </w:r>
      <w:r>
        <w:tab/>
        <w:t xml:space="preserve">For the purposes of subsection (2)(b), the Commission may impose any conditions that the Commission considers appropriate, including (without limitation) the following — </w:t>
      </w:r>
    </w:p>
    <w:p>
      <w:pPr>
        <w:pStyle w:val="Indenta"/>
      </w:pPr>
      <w:r>
        <w:tab/>
        <w:t>(a)</w:t>
      </w:r>
      <w:r>
        <w:tab/>
        <w:t>a condition limiting the time period for which approval is granted;</w:t>
      </w:r>
    </w:p>
    <w:p>
      <w:pPr>
        <w:pStyle w:val="Indenta"/>
      </w:pPr>
      <w:r>
        <w:tab/>
        <w:t>(b)</w:t>
      </w:r>
      <w:r>
        <w:tab/>
        <w:t>a condition requiring further details of the development specified in the approval to be, before the development is commenced, submitted to, and approved by, the Commission.</w:t>
      </w:r>
    </w:p>
    <w:p>
      <w:pPr>
        <w:pStyle w:val="Subsection"/>
      </w:pPr>
      <w:r>
        <w:lastRenderedPageBreak/>
        <w:tab/>
        <w:t>(6)</w:t>
      </w:r>
      <w:r>
        <w:tab/>
        <w:t>The Commission can impose a condition of the kind referred to in subsection (5)(b) only if the Commission considers that the further details to be approved would not substantially change the approved development.</w:t>
      </w:r>
    </w:p>
    <w:p>
      <w:pPr>
        <w:pStyle w:val="Subsection"/>
      </w:pPr>
      <w:r>
        <w:tab/>
        <w:t>(7)</w:t>
      </w:r>
      <w:r>
        <w:tab/>
        <w:t xml:space="preserve">When the Commission determines the development application, the Commission must — </w:t>
      </w:r>
    </w:p>
    <w:p>
      <w:pPr>
        <w:pStyle w:val="Indenta"/>
      </w:pPr>
      <w:r>
        <w:tab/>
        <w:t>(a)</w:t>
      </w:r>
      <w:r>
        <w:tab/>
        <w:t>give the applicant written notice of the determination, including the Commission’s reasons for the determination; and</w:t>
      </w:r>
    </w:p>
    <w:p>
      <w:pPr>
        <w:pStyle w:val="Indenta"/>
      </w:pPr>
      <w:r>
        <w:tab/>
        <w:t>(b)</w:t>
      </w:r>
      <w:r>
        <w:tab/>
        <w:t>make copies of the determination and reasons publicly available on a website maintained by, or on behalf of, the Commission.</w:t>
      </w:r>
    </w:p>
    <w:p>
      <w:pPr>
        <w:pStyle w:val="Footnotesection"/>
      </w:pPr>
      <w:r>
        <w:tab/>
        <w:t>[Section 274 inserted: No. 26 of 2020 s. 4; amended: No. 17 of 2022 s. 8.]</w:t>
      </w:r>
    </w:p>
    <w:p>
      <w:pPr>
        <w:pStyle w:val="Heading5"/>
      </w:pPr>
      <w:bookmarkStart w:id="365" w:name="_Toc155166188"/>
      <w:r>
        <w:rPr>
          <w:rStyle w:val="CharSectno"/>
        </w:rPr>
        <w:t>275</w:t>
      </w:r>
      <w:r>
        <w:t>.</w:t>
      </w:r>
      <w:r>
        <w:tab/>
        <w:t>Application of legal instruments and matters to which Commission must have due regard</w:t>
      </w:r>
      <w:bookmarkEnd w:id="365"/>
    </w:p>
    <w:p>
      <w:pPr>
        <w:pStyle w:val="Subsection"/>
      </w:pPr>
      <w:r>
        <w:tab/>
        <w:t>(1)</w:t>
      </w:r>
      <w:r>
        <w:tab/>
        <w:t>This section applies if the Commission is required to consider and determine a development application under section 274.</w:t>
      </w:r>
    </w:p>
    <w:p>
      <w:pPr>
        <w:pStyle w:val="Subsection"/>
      </w:pPr>
      <w:r>
        <w:tab/>
        <w:t>(2)</w:t>
      </w:r>
      <w:r>
        <w:tab/>
        <w:t xml:space="preserve">Subsections (3) and (4) apply in relation to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Subsection"/>
      </w:pPr>
      <w:r>
        <w:tab/>
        <w:t>(3)</w:t>
      </w:r>
      <w:r>
        <w:tab/>
        <w:t xml:space="preserve">Without limiting section 270(1), for the purposes of the Commission’s consideration and determination of the development application — </w:t>
      </w:r>
    </w:p>
    <w:p>
      <w:pPr>
        <w:pStyle w:val="Indenta"/>
      </w:pPr>
      <w:r>
        <w:tab/>
        <w:t>(a)</w:t>
      </w:r>
      <w:r>
        <w:tab/>
        <w:t>the legal instrument does not apply; and</w:t>
      </w:r>
    </w:p>
    <w:p>
      <w:pPr>
        <w:pStyle w:val="Indenta"/>
      </w:pPr>
      <w:r>
        <w:tab/>
        <w:t>(b)</w:t>
      </w:r>
      <w:r>
        <w:tab/>
        <w:t>the Commission is not otherwise bound or restricted by the legal instrument.</w:t>
      </w:r>
    </w:p>
    <w:p>
      <w:pPr>
        <w:pStyle w:val="Subsection"/>
        <w:keepNext/>
      </w:pPr>
      <w:r>
        <w:lastRenderedPageBreak/>
        <w:tab/>
        <w:t>(4)</w:t>
      </w:r>
      <w:r>
        <w:tab/>
        <w:t xml:space="preserve">However, in considering and determining the development application, the Commission may do any of the following — </w:t>
      </w:r>
    </w:p>
    <w:p>
      <w:pPr>
        <w:pStyle w:val="Indenta"/>
      </w:pPr>
      <w:r>
        <w:tab/>
        <w:t>(a)</w:t>
      </w:r>
      <w:r>
        <w:tab/>
        <w:t>anything that a normal decision</w:t>
      </w:r>
      <w:r>
        <w:noBreakHyphen/>
        <w:t>maker, or any other person or body dealing with the development application, could, apart from this Part, have done under the legal instrument;</w:t>
      </w:r>
    </w:p>
    <w:p>
      <w:pPr>
        <w:pStyle w:val="Indenta"/>
      </w:pPr>
      <w:r>
        <w:tab/>
        <w:t>(b)</w:t>
      </w:r>
      <w:r>
        <w:tab/>
        <w:t>request any person or body to perform (in whole or in part and with or without modifications) any functions that the person or body would, apart from this Part, have had in relation to the development application under the legal instrument;</w:t>
      </w:r>
    </w:p>
    <w:p>
      <w:pPr>
        <w:pStyle w:val="Indenta"/>
      </w:pPr>
      <w:r>
        <w:tab/>
        <w:t>(c)</w:t>
      </w:r>
      <w:r>
        <w:tab/>
        <w:t>otherwise involve, or consult, a person or body referred to in paragraph (b);</w:t>
      </w:r>
    </w:p>
    <w:p>
      <w:pPr>
        <w:pStyle w:val="Indenta"/>
      </w:pPr>
      <w:r>
        <w:tab/>
        <w:t>(d)</w:t>
      </w:r>
      <w:r>
        <w:tab/>
        <w:t>otherwise apply (with or without modifications), or have regard to, the legal instrument.</w:t>
      </w:r>
    </w:p>
    <w:p>
      <w:pPr>
        <w:pStyle w:val="Subsection"/>
      </w:pPr>
      <w:r>
        <w:tab/>
        <w:t>(5)</w:t>
      </w:r>
      <w:r>
        <w:tab/>
        <w:t xml:space="preserve">Without limiting subsection (3), the Commission — </w:t>
      </w:r>
    </w:p>
    <w:p>
      <w:pPr>
        <w:pStyle w:val="Indenta"/>
      </w:pPr>
      <w:r>
        <w:tab/>
        <w:t>(a)</w:t>
      </w:r>
      <w:r>
        <w:tab/>
        <w:t>in considering and determining the development application, is not limited to planning considerations and may have regard to any other matter affecting the public interest; and</w:t>
      </w:r>
    </w:p>
    <w:p>
      <w:pPr>
        <w:pStyle w:val="Indenta"/>
      </w:pPr>
      <w:r>
        <w:tab/>
        <w:t>(b)</w:t>
      </w:r>
      <w:r>
        <w:tab/>
        <w:t xml:space="preserve">may grant approval for development even if — </w:t>
      </w:r>
    </w:p>
    <w:p>
      <w:pPr>
        <w:pStyle w:val="Indenti"/>
      </w:pPr>
      <w:r>
        <w:tab/>
        <w:t>(i)</w:t>
      </w:r>
      <w:r>
        <w:tab/>
        <w:t>there has been a contravention by any person or body of a legal instrument referred to in subsection (2); or</w:t>
      </w:r>
    </w:p>
    <w:p>
      <w:pPr>
        <w:pStyle w:val="Indenti"/>
      </w:pPr>
      <w:r>
        <w:tab/>
        <w:t>(ii)</w:t>
      </w:r>
      <w:r>
        <w:tab/>
        <w:t>there would, apart from this Part, have been such a contravention.</w:t>
      </w:r>
    </w:p>
    <w:p>
      <w:pPr>
        <w:pStyle w:val="Subsection"/>
      </w:pPr>
      <w:r>
        <w:tab/>
        <w:t>(6)</w:t>
      </w:r>
      <w:r>
        <w:tab/>
        <w:t xml:space="preserve">In considering and determining the development application, the Commission must have due regard to — </w:t>
      </w:r>
    </w:p>
    <w:p>
      <w:pPr>
        <w:pStyle w:val="Indenta"/>
      </w:pPr>
      <w:r>
        <w:tab/>
        <w:t>(a)</w:t>
      </w:r>
      <w:r>
        <w:tab/>
        <w:t>the purpose and intent of any planning scheme that has effect in the locality to which the development application relates; and</w:t>
      </w:r>
    </w:p>
    <w:p>
      <w:pPr>
        <w:pStyle w:val="Indenta"/>
      </w:pPr>
      <w:r>
        <w:tab/>
        <w:t>(b)</w:t>
      </w:r>
      <w:r>
        <w:tab/>
        <w:t>the need to ensure the orderly and proper planning, and the preservation of amenity, of that locality; and</w:t>
      </w:r>
    </w:p>
    <w:p>
      <w:pPr>
        <w:pStyle w:val="Indenta"/>
      </w:pPr>
      <w:r>
        <w:lastRenderedPageBreak/>
        <w:tab/>
        <w:t>(c)</w:t>
      </w:r>
      <w:r>
        <w:tab/>
        <w:t>the need to facilitate development in response to the economic effects of the COVID</w:t>
      </w:r>
      <w:r>
        <w:noBreakHyphen/>
        <w:t>19 pandemic; and</w:t>
      </w:r>
    </w:p>
    <w:p>
      <w:pPr>
        <w:pStyle w:val="Indenta"/>
      </w:pPr>
      <w:r>
        <w:tab/>
        <w:t>(d)</w:t>
      </w:r>
      <w:r>
        <w:tab/>
        <w:t>any relevant State planning policies and any other relevant policies of the Commission.</w:t>
      </w:r>
    </w:p>
    <w:p>
      <w:pPr>
        <w:pStyle w:val="Footnotesection"/>
      </w:pPr>
      <w:r>
        <w:tab/>
        <w:t>[Section 275 inserted: No. 26 of 2020 s. 4.]</w:t>
      </w:r>
    </w:p>
    <w:p>
      <w:pPr>
        <w:pStyle w:val="Heading5"/>
      </w:pPr>
      <w:bookmarkStart w:id="366" w:name="_Toc155166189"/>
      <w:r>
        <w:rPr>
          <w:rStyle w:val="CharSectno"/>
        </w:rPr>
        <w:t>276</w:t>
      </w:r>
      <w:r>
        <w:t>.</w:t>
      </w:r>
      <w:r>
        <w:tab/>
        <w:t>Consultation, submissions and other input</w:t>
      </w:r>
      <w:bookmarkEnd w:id="366"/>
    </w:p>
    <w:p>
      <w:pPr>
        <w:pStyle w:val="Subsection"/>
      </w:pPr>
      <w:r>
        <w:tab/>
        <w:t>(1)</w:t>
      </w:r>
      <w:r>
        <w:tab/>
        <w:t>This section applies for the purposes of the Commission’s consideration of a development application under section 274 (but does not limit what the Commission may or must do under section 275).</w:t>
      </w:r>
    </w:p>
    <w:p>
      <w:pPr>
        <w:pStyle w:val="Subsection"/>
      </w:pPr>
      <w:r>
        <w:tab/>
        <w:t>(2)</w:t>
      </w:r>
      <w:r>
        <w:tab/>
        <w:t xml:space="preserve">The Commission must — </w:t>
      </w:r>
    </w:p>
    <w:p>
      <w:pPr>
        <w:pStyle w:val="Indenta"/>
      </w:pPr>
      <w:r>
        <w:tab/>
        <w:t>(a)</w:t>
      </w:r>
      <w:r>
        <w:tab/>
        <w:t>consult the Minister; and</w:t>
      </w:r>
    </w:p>
    <w:p>
      <w:pPr>
        <w:pStyle w:val="Indenta"/>
      </w:pPr>
      <w:r>
        <w:tab/>
        <w:t>(b)</w:t>
      </w:r>
      <w:r>
        <w:tab/>
        <w:t>if required by the Minister — give the Minister a reasonable opportunity to make submissions to the Commission; and</w:t>
      </w:r>
    </w:p>
    <w:p>
      <w:pPr>
        <w:pStyle w:val="Indenta"/>
      </w:pPr>
      <w:r>
        <w:tab/>
        <w:t>(c)</w:t>
      </w:r>
      <w:r>
        <w:tab/>
        <w:t>have due regard to any submissions made by the Minister.</w:t>
      </w:r>
    </w:p>
    <w:p>
      <w:pPr>
        <w:pStyle w:val="Subsection"/>
      </w:pPr>
      <w:r>
        <w:tab/>
        <w:t>(3)</w:t>
      </w:r>
      <w:r>
        <w:tab/>
        <w:t xml:space="preserve">The Commission must — </w:t>
      </w:r>
    </w:p>
    <w:p>
      <w:pPr>
        <w:pStyle w:val="Indenta"/>
      </w:pPr>
      <w:r>
        <w:tab/>
        <w:t>(a)</w:t>
      </w:r>
      <w:r>
        <w:tab/>
        <w:t xml:space="preserve">consult the CEO (as defined in the </w:t>
      </w:r>
      <w:r>
        <w:rPr>
          <w:i/>
        </w:rPr>
        <w:t>Contaminated Sites Act 2003</w:t>
      </w:r>
      <w:r>
        <w:t xml:space="preserve"> section 3(1)) if the development is of land referred to in section 58(1)(a)(i) of that Act in respect of which a memorial is registered under section 58 of that Act; and</w:t>
      </w:r>
    </w:p>
    <w:p>
      <w:pPr>
        <w:pStyle w:val="Indenta"/>
        <w:keepNext/>
      </w:pPr>
      <w:r>
        <w:tab/>
        <w:t>(b)</w:t>
      </w:r>
      <w:r>
        <w:tab/>
        <w:t xml:space="preserve">consult the Heritage Council if the development would, or would be likely to, affect any of the following — </w:t>
      </w:r>
    </w:p>
    <w:p>
      <w:pPr>
        <w:pStyle w:val="Indenti"/>
      </w:pPr>
      <w:r>
        <w:tab/>
        <w:t>(i)</w:t>
      </w:r>
      <w:r>
        <w:tab/>
        <w:t xml:space="preserve">a place that is a registered place under the </w:t>
      </w:r>
      <w:r>
        <w:rPr>
          <w:i/>
        </w:rPr>
        <w:t>Heritage Act 2018</w:t>
      </w:r>
      <w:r>
        <w:t>;</w:t>
      </w:r>
    </w:p>
    <w:p>
      <w:pPr>
        <w:pStyle w:val="Indenti"/>
      </w:pPr>
      <w:r>
        <w:tab/>
        <w:t>(ii)</w:t>
      </w:r>
      <w:r>
        <w:tab/>
        <w:t xml:space="preserve">a place that is the subject of a protection order under the </w:t>
      </w:r>
      <w:r>
        <w:rPr>
          <w:i/>
        </w:rPr>
        <w:t>Heritage Act 2018</w:t>
      </w:r>
      <w:r>
        <w:t xml:space="preserve"> Part 4 Division 1;</w:t>
      </w:r>
    </w:p>
    <w:p>
      <w:pPr>
        <w:pStyle w:val="Indenti"/>
      </w:pPr>
      <w:r>
        <w:lastRenderedPageBreak/>
        <w:tab/>
        <w:t>(iii)</w:t>
      </w:r>
      <w:r>
        <w:tab/>
        <w:t xml:space="preserve">a place that is the subject of a heritage agreement made by the Heritage Council under the </w:t>
      </w:r>
      <w:r>
        <w:rPr>
          <w:i/>
        </w:rPr>
        <w:t>Heritage Act 2018</w:t>
      </w:r>
      <w:r>
        <w:t xml:space="preserve"> Part 7;</w:t>
      </w:r>
    </w:p>
    <w:p>
      <w:pPr>
        <w:pStyle w:val="Indenta"/>
      </w:pPr>
      <w:r>
        <w:tab/>
      </w:r>
      <w:r>
        <w:tab/>
        <w:t>and</w:t>
      </w:r>
    </w:p>
    <w:p>
      <w:pPr>
        <w:pStyle w:val="Indenta"/>
      </w:pPr>
      <w:r>
        <w:tab/>
        <w:t>(c)</w:t>
      </w:r>
      <w:r>
        <w:tab/>
        <w:t xml:space="preserve">consult the Swan River Trust if the development — </w:t>
      </w:r>
    </w:p>
    <w:p>
      <w:pPr>
        <w:pStyle w:val="Indenti"/>
      </w:pPr>
      <w:r>
        <w:tab/>
        <w:t>(i)</w:t>
      </w:r>
      <w:r>
        <w:tab/>
        <w:t xml:space="preserve">is of land that is wholly or partly in the development control area as defined in the </w:t>
      </w:r>
      <w:r>
        <w:rPr>
          <w:i/>
        </w:rPr>
        <w:t>Swan and Canning Rivers Management Act 2006</w:t>
      </w:r>
      <w:r>
        <w:t>; or</w:t>
      </w:r>
    </w:p>
    <w:p>
      <w:pPr>
        <w:pStyle w:val="Indenti"/>
      </w:pPr>
      <w:r>
        <w:tab/>
        <w:t>(ii)</w:t>
      </w:r>
      <w:r>
        <w:tab/>
        <w:t>is of land that abuts that development control area; or</w:t>
      </w:r>
    </w:p>
    <w:p>
      <w:pPr>
        <w:pStyle w:val="Indenti"/>
      </w:pPr>
      <w:r>
        <w:tab/>
        <w:t>(iii)</w:t>
      </w:r>
      <w:r>
        <w:tab/>
        <w:t>would, or would be likely to, affect any waters in that development control area;</w:t>
      </w:r>
    </w:p>
    <w:p>
      <w:pPr>
        <w:pStyle w:val="Indenta"/>
      </w:pPr>
      <w:r>
        <w:tab/>
      </w:r>
      <w:r>
        <w:tab/>
        <w:t>and</w:t>
      </w:r>
    </w:p>
    <w:p>
      <w:pPr>
        <w:pStyle w:val="Indenta"/>
      </w:pPr>
      <w:r>
        <w:tab/>
        <w:t>(d)</w:t>
      </w:r>
      <w:r>
        <w:tab/>
        <w:t>have due regard to any submission made, or advice given, to the Commission in the course of a consultation under paragraph (a), (b) or (c).</w:t>
      </w:r>
    </w:p>
    <w:p>
      <w:pPr>
        <w:pStyle w:val="Subsection"/>
      </w:pPr>
      <w:r>
        <w:tab/>
        <w:t>(4)</w:t>
      </w:r>
      <w:r>
        <w:tab/>
        <w:t xml:space="preserve">The Commission must — </w:t>
      </w:r>
    </w:p>
    <w:p>
      <w:pPr>
        <w:pStyle w:val="Indenta"/>
      </w:pPr>
      <w:r>
        <w:tab/>
        <w:t>(a)</w:t>
      </w:r>
      <w:r>
        <w:tab/>
        <w:t>give any local government to whose district the development application relates an opportunity to make submissions to the Commission within a period specified by the Commission; and</w:t>
      </w:r>
    </w:p>
    <w:p>
      <w:pPr>
        <w:pStyle w:val="Indenta"/>
      </w:pPr>
      <w:r>
        <w:tab/>
        <w:t>(b)</w:t>
      </w:r>
      <w:r>
        <w:tab/>
        <w:t>have due regard to any submissions made by the local government within that period.</w:t>
      </w:r>
    </w:p>
    <w:p>
      <w:pPr>
        <w:pStyle w:val="Subsection"/>
        <w:keepNext/>
      </w:pPr>
      <w:r>
        <w:tab/>
        <w:t>(5)</w:t>
      </w:r>
      <w:r>
        <w:tab/>
        <w:t xml:space="preserve">The Commission may require the applicant to do any of the following within a period specified by the Commission — </w:t>
      </w:r>
    </w:p>
    <w:p>
      <w:pPr>
        <w:pStyle w:val="Indenta"/>
      </w:pPr>
      <w:r>
        <w:tab/>
        <w:t>(a)</w:t>
      </w:r>
      <w:r>
        <w:tab/>
        <w:t>provide the Commission with any document or information;</w:t>
      </w:r>
    </w:p>
    <w:p>
      <w:pPr>
        <w:pStyle w:val="Indenta"/>
      </w:pPr>
      <w:r>
        <w:tab/>
        <w:t>(b)</w:t>
      </w:r>
      <w:r>
        <w:tab/>
        <w:t>do anything else that the Commission considers appropriate.</w:t>
      </w:r>
    </w:p>
    <w:p>
      <w:pPr>
        <w:pStyle w:val="Subsection"/>
        <w:keepNext/>
      </w:pPr>
      <w:r>
        <w:lastRenderedPageBreak/>
        <w:tab/>
        <w:t>(6)</w:t>
      </w:r>
      <w:r>
        <w:tab/>
        <w:t xml:space="preserve">The Commission must — </w:t>
      </w:r>
    </w:p>
    <w:p>
      <w:pPr>
        <w:pStyle w:val="Indenta"/>
      </w:pPr>
      <w:r>
        <w:tab/>
        <w:t>(a)</w:t>
      </w:r>
      <w:r>
        <w:tab/>
        <w:t>consult any person or body not referred to in subsections (2) to (5) whom the Commission considers it appropriate to consult; and</w:t>
      </w:r>
    </w:p>
    <w:p>
      <w:pPr>
        <w:pStyle w:val="Indenta"/>
      </w:pPr>
      <w:r>
        <w:tab/>
        <w:t>(b)</w:t>
      </w:r>
      <w:r>
        <w:tab/>
        <w:t>in the manner the Commission considers appropriate, advertise the development application, inviting submissions from members of the public generally or from a class or group of members of the public that the Commission considers appropriate; and</w:t>
      </w:r>
    </w:p>
    <w:p>
      <w:pPr>
        <w:pStyle w:val="Indenta"/>
      </w:pPr>
      <w:r>
        <w:tab/>
        <w:t>(c)</w:t>
      </w:r>
      <w:r>
        <w:tab/>
        <w:t>have due regard to any submissions made by members of the public in response to the invitation under paragraph (b).</w:t>
      </w:r>
    </w:p>
    <w:p>
      <w:pPr>
        <w:pStyle w:val="Subsection"/>
      </w:pPr>
      <w:r>
        <w:tab/>
        <w:t>(7)</w:t>
      </w:r>
      <w:r>
        <w:tab/>
        <w:t>The Commission may do anything else that is not covered by subsections (2) to (6) and that the Commission considers it appropriate to do in order to obtain a document, information, an opinion or any other contribution from any person or body.</w:t>
      </w:r>
    </w:p>
    <w:p>
      <w:pPr>
        <w:pStyle w:val="Subsection"/>
      </w:pPr>
      <w:r>
        <w:tab/>
        <w:t>(8)</w:t>
      </w:r>
      <w:r>
        <w:tab/>
        <w:t xml:space="preserve">If the Commission does anything under subsection (6)(a) or (b) or (7), the Commission must, as it considers appropriate, set a limit on the time within which, as the case requires — </w:t>
      </w:r>
    </w:p>
    <w:p>
      <w:pPr>
        <w:pStyle w:val="Indenta"/>
      </w:pPr>
      <w:r>
        <w:tab/>
        <w:t>(a)</w:t>
      </w:r>
      <w:r>
        <w:tab/>
        <w:t>a person or body who is being consulted by the Commission may respond to the Commission on any matter; or</w:t>
      </w:r>
    </w:p>
    <w:p>
      <w:pPr>
        <w:pStyle w:val="Indenta"/>
      </w:pPr>
      <w:r>
        <w:tab/>
        <w:t>(b)</w:t>
      </w:r>
      <w:r>
        <w:tab/>
        <w:t>members of the public may make submissions; or</w:t>
      </w:r>
    </w:p>
    <w:p>
      <w:pPr>
        <w:pStyle w:val="Indenta"/>
      </w:pPr>
      <w:r>
        <w:tab/>
        <w:t>(c)</w:t>
      </w:r>
      <w:r>
        <w:tab/>
        <w:t>a person or body may provide any document, information, opinion or other contribution.</w:t>
      </w:r>
    </w:p>
    <w:p>
      <w:pPr>
        <w:pStyle w:val="Footnotesection"/>
      </w:pPr>
      <w:r>
        <w:tab/>
        <w:t>[Section 276 inserted: No. 26 of 2020 s. 4.]</w:t>
      </w:r>
    </w:p>
    <w:p>
      <w:pPr>
        <w:pStyle w:val="Heading5"/>
      </w:pPr>
      <w:bookmarkStart w:id="367" w:name="_Toc155166190"/>
      <w:r>
        <w:rPr>
          <w:rStyle w:val="CharSectno"/>
        </w:rPr>
        <w:t>277</w:t>
      </w:r>
      <w:r>
        <w:t>.</w:t>
      </w:r>
      <w:r>
        <w:tab/>
        <w:t>Effect of Commission determination under s. 274</w:t>
      </w:r>
      <w:bookmarkEnd w:id="367"/>
    </w:p>
    <w:p>
      <w:pPr>
        <w:pStyle w:val="Subsection"/>
      </w:pPr>
      <w:r>
        <w:tab/>
        <w:t>(1)</w:t>
      </w:r>
      <w:r>
        <w:tab/>
        <w:t>This section applies if the Commission determines a development application under section 274.</w:t>
      </w:r>
    </w:p>
    <w:p>
      <w:pPr>
        <w:pStyle w:val="Subsection"/>
      </w:pPr>
      <w:r>
        <w:lastRenderedPageBreak/>
        <w:tab/>
        <w:t>(2)</w:t>
      </w:r>
      <w:r>
        <w:tab/>
        <w:t>The Commission’s determination has effect, and is valid, for all purposes as if it had been made by a normal decision</w:t>
      </w:r>
      <w:r>
        <w:noBreakHyphen/>
        <w:t>maker under an applicable legal instrument.</w:t>
      </w:r>
    </w:p>
    <w:p>
      <w:pPr>
        <w:pStyle w:val="PermNoteHeading"/>
      </w:pPr>
      <w:r>
        <w:tab/>
        <w:t>Example for this subsection:</w:t>
      </w:r>
    </w:p>
    <w:p>
      <w:pPr>
        <w:pStyle w:val="PermNoteText"/>
      </w:pPr>
      <w:r>
        <w:tab/>
        <w:t>1.</w:t>
      </w:r>
      <w:r>
        <w:tab/>
        <w:t>If the development application would, apart from this Part, have been determined by a local government for the purposes of a local planning scheme, the Commission’s determination has the same effect for the purposes of the local planning scheme as if the determination had been made by the local government.</w:t>
      </w:r>
    </w:p>
    <w:p>
      <w:pPr>
        <w:pStyle w:val="PermNoteText"/>
      </w:pPr>
      <w:r>
        <w:tab/>
        <w:t>2.</w:t>
      </w:r>
      <w:r>
        <w:tab/>
        <w:t xml:space="preserve">Accordingly, if the determination is to grant approval for development — </w:t>
      </w:r>
    </w:p>
    <w:p>
      <w:pPr>
        <w:pStyle w:val="PermNotePara"/>
      </w:pPr>
      <w:r>
        <w:tab/>
        <w:t>(a)</w:t>
      </w:r>
      <w:r>
        <w:tab/>
        <w:t>the development may be commenced and carried out as if the approval had been granted by the local government; and</w:t>
      </w:r>
    </w:p>
    <w:p>
      <w:pPr>
        <w:pStyle w:val="PermNotePara"/>
      </w:pPr>
      <w:r>
        <w:tab/>
        <w:t>(b)</w:t>
      </w:r>
      <w:r>
        <w:tab/>
        <w:t>any conditions imposed by the Commission on the approval must be complied with as if they were conditions imposed on the approval by the local government; and</w:t>
      </w:r>
    </w:p>
    <w:p>
      <w:pPr>
        <w:pStyle w:val="PermNotePara"/>
      </w:pPr>
      <w:r>
        <w:tab/>
        <w:t>(c)</w:t>
      </w:r>
      <w:r>
        <w:tab/>
        <w:t>section 218(c) applies in relation to a failure to comply with any of those conditions.</w:t>
      </w:r>
    </w:p>
    <w:p>
      <w:pPr>
        <w:pStyle w:val="Subsection"/>
      </w:pPr>
      <w:r>
        <w:tab/>
        <w:t>(3)</w:t>
      </w:r>
      <w:r>
        <w:tab/>
        <w:t>Subsection (2) applies even if the Commission’s determination could not have been made by a normal decision</w:t>
      </w:r>
      <w:r>
        <w:noBreakHyphen/>
        <w:t>maker under an applicable legal instrument.</w:t>
      </w:r>
    </w:p>
    <w:p>
      <w:pPr>
        <w:pStyle w:val="Subsection"/>
      </w:pPr>
      <w:r>
        <w:tab/>
        <w:t>(4)</w:t>
      </w:r>
      <w:r>
        <w:tab/>
        <w:t>Without limiting subsections (2) and (3), a decision, or other act or omission, of a person or body is not unlawful or invalid just because the Commission’s determination could not have been made by a normal decision</w:t>
      </w:r>
      <w:r>
        <w:noBreakHyphen/>
        <w:t>maker under an applicable legal instrument.</w:t>
      </w:r>
    </w:p>
    <w:p>
      <w:pPr>
        <w:pStyle w:val="Subsection"/>
      </w:pPr>
      <w:r>
        <w:tab/>
        <w:t>(5)</w:t>
      </w:r>
      <w:r>
        <w:tab/>
        <w:t>Subsections (2) to (4) are subject to sections 278 and 279 and Divisions 3 and 4.</w:t>
      </w:r>
    </w:p>
    <w:p>
      <w:pPr>
        <w:pStyle w:val="Subsection"/>
        <w:keepNext/>
      </w:pPr>
      <w:r>
        <w:tab/>
        <w:t>(6)</w:t>
      </w:r>
      <w:r>
        <w:tab/>
        <w:t>Subject to Division 3, if the Commission’s determination is to grant approval for development, the determination does not affect the operation of any legal instrument that requires the obtaining, in relation to the development, of any other type of approval, consent, licence, permit, registration or other authority (however described).</w:t>
      </w:r>
    </w:p>
    <w:p>
      <w:pPr>
        <w:pStyle w:val="PermNoteHeading"/>
      </w:pPr>
      <w:r>
        <w:tab/>
        <w:t>Examples for this subsection:</w:t>
      </w:r>
    </w:p>
    <w:p>
      <w:pPr>
        <w:pStyle w:val="PermNoteText"/>
      </w:pPr>
      <w:r>
        <w:tab/>
        <w:t>1.</w:t>
      </w:r>
      <w:r>
        <w:tab/>
        <w:t xml:space="preserve">A consent under the </w:t>
      </w:r>
      <w:r>
        <w:rPr>
          <w:i/>
        </w:rPr>
        <w:t>Aboriginal Heritage Act 1972</w:t>
      </w:r>
      <w:r>
        <w:t xml:space="preserve"> section 18.</w:t>
      </w:r>
    </w:p>
    <w:p>
      <w:pPr>
        <w:pStyle w:val="PermNoteText"/>
      </w:pPr>
      <w:r>
        <w:lastRenderedPageBreak/>
        <w:tab/>
        <w:t>2.</w:t>
      </w:r>
      <w:r>
        <w:tab/>
        <w:t xml:space="preserve">A building permit or demolition permit under the </w:t>
      </w:r>
      <w:r>
        <w:rPr>
          <w:i/>
        </w:rPr>
        <w:t>Building Act 2011</w:t>
      </w:r>
      <w:r>
        <w:t>.</w:t>
      </w:r>
    </w:p>
    <w:p>
      <w:pPr>
        <w:pStyle w:val="PermNoteText"/>
      </w:pPr>
      <w:r>
        <w:tab/>
        <w:t>3.</w:t>
      </w:r>
      <w:r>
        <w:tab/>
        <w:t xml:space="preserve">A licence under the </w:t>
      </w:r>
      <w:r>
        <w:rPr>
          <w:i/>
        </w:rPr>
        <w:t>Liquor Control Act 1988</w:t>
      </w:r>
      <w:r>
        <w:t>.</w:t>
      </w:r>
    </w:p>
    <w:p>
      <w:pPr>
        <w:pStyle w:val="Subsection"/>
        <w:keepNext/>
      </w:pPr>
      <w:r>
        <w:tab/>
        <w:t>(7)</w:t>
      </w:r>
      <w:r>
        <w:tab/>
        <w:t>If the Commission’s determination is to grant approval for development, references in subsections (2) to (6) to the Commission’s determination are to the determination as amended from time to time under section 279 or by an order under section 284.</w:t>
      </w:r>
    </w:p>
    <w:p>
      <w:pPr>
        <w:pStyle w:val="Footnotesection"/>
      </w:pPr>
      <w:r>
        <w:tab/>
        <w:t>[Section 277 inserted: No. 26 of 2020 s. 4; amended: No. 27 of 2021 s. 350(2); No. 23 of 2023 s. 31.]</w:t>
      </w:r>
    </w:p>
    <w:p>
      <w:pPr>
        <w:pStyle w:val="Heading5"/>
      </w:pPr>
      <w:bookmarkStart w:id="368" w:name="_Toc155166191"/>
      <w:r>
        <w:rPr>
          <w:rStyle w:val="CharSectno"/>
        </w:rPr>
        <w:t>278</w:t>
      </w:r>
      <w:r>
        <w:t>.</w:t>
      </w:r>
      <w:r>
        <w:tab/>
        <w:t>Substantial commencement of development approved by Commission under s. 274</w:t>
      </w:r>
      <w:bookmarkEnd w:id="368"/>
    </w:p>
    <w:p>
      <w:pPr>
        <w:pStyle w:val="Subsection"/>
      </w:pPr>
      <w:r>
        <w:tab/>
        <w:t>(1)</w:t>
      </w:r>
      <w:r>
        <w:tab/>
        <w:t>This section applies if the Commission grants approval for development under section 274.</w:t>
      </w:r>
    </w:p>
    <w:p>
      <w:pPr>
        <w:pStyle w:val="Subsection"/>
      </w:pPr>
      <w:r>
        <w:tab/>
        <w:t>(2)</w:t>
      </w:r>
      <w:r>
        <w:tab/>
        <w:t xml:space="preserve">The development must be substantially commenced — </w:t>
      </w:r>
    </w:p>
    <w:p>
      <w:pPr>
        <w:pStyle w:val="Indenta"/>
      </w:pPr>
      <w:r>
        <w:tab/>
        <w:t>(a)</w:t>
      </w:r>
      <w:r>
        <w:tab/>
        <w:t>within the period specified in the approval for the purposes of this subsection; or</w:t>
      </w:r>
    </w:p>
    <w:p>
      <w:pPr>
        <w:pStyle w:val="Indenta"/>
      </w:pPr>
      <w:r>
        <w:tab/>
        <w:t>(b)</w:t>
      </w:r>
      <w:r>
        <w:tab/>
        <w:t>if no period is specified in the approval — within the period of 24 months beginning on the day on which the approval is granted.</w:t>
      </w:r>
    </w:p>
    <w:p>
      <w:pPr>
        <w:pStyle w:val="Subsection"/>
      </w:pPr>
      <w:r>
        <w:tab/>
        <w:t>(3)</w:t>
      </w:r>
      <w:r>
        <w:tab/>
        <w:t>The approval lapses if the development is not substantially commenced within the period referred to in subsection (2).</w:t>
      </w:r>
    </w:p>
    <w:p>
      <w:pPr>
        <w:pStyle w:val="PermNoteHeading"/>
      </w:pPr>
      <w:r>
        <w:tab/>
        <w:t>Note for this subsection:</w:t>
      </w:r>
    </w:p>
    <w:p>
      <w:pPr>
        <w:pStyle w:val="PermNoteText"/>
      </w:pPr>
      <w:r>
        <w:tab/>
      </w:r>
      <w:r>
        <w:tab/>
        <w:t>The period referred to in subsection (2) can be extended by an amendment to the approval made under section 279 or made by an order under section 284 — see, in particular, subsections (4) and (5) and sections 279(2)(aa) and (6A) and 284(2)(aa).</w:t>
      </w:r>
    </w:p>
    <w:p>
      <w:pPr>
        <w:pStyle w:val="Subsection"/>
      </w:pPr>
      <w:r>
        <w:tab/>
        <w:t>(4)</w:t>
      </w:r>
      <w:r>
        <w:tab/>
        <w:t>The application referred to in section 279(6A) can be made or determined even if the approval has lapsed under subsection (3) and, if the application is granted after the approval has lapsed, the approval comes back into effect accordingly when the application is granted.</w:t>
      </w:r>
    </w:p>
    <w:p>
      <w:pPr>
        <w:pStyle w:val="Subsection"/>
        <w:keepNext/>
      </w:pPr>
      <w:r>
        <w:lastRenderedPageBreak/>
        <w:tab/>
        <w:t>(5)</w:t>
      </w:r>
      <w:r>
        <w:tab/>
        <w:t>An order under section 284 may make an amendment of the kind referred to in section 284(2)(aa) even if the approval has lapsed under subsection (3), in which event the approval comes back into effect accordingly when the amendment is made.</w:t>
      </w:r>
    </w:p>
    <w:p>
      <w:pPr>
        <w:pStyle w:val="Footnotesection"/>
      </w:pPr>
      <w:r>
        <w:tab/>
        <w:t>[Section 278 inserted: No. 26 of 2020 s. 4; amended: No. 17 of 2022 s. 9.]</w:t>
      </w:r>
    </w:p>
    <w:p>
      <w:pPr>
        <w:pStyle w:val="Heading5"/>
      </w:pPr>
      <w:bookmarkStart w:id="369" w:name="_Toc155166192"/>
      <w:r>
        <w:rPr>
          <w:rStyle w:val="CharSectno"/>
        </w:rPr>
        <w:t>279</w:t>
      </w:r>
      <w:r>
        <w:t>.</w:t>
      </w:r>
      <w:r>
        <w:tab/>
        <w:t>Amendment or cancellation of approval granted by Commission under s. 274</w:t>
      </w:r>
      <w:bookmarkEnd w:id="369"/>
    </w:p>
    <w:p>
      <w:pPr>
        <w:pStyle w:val="Subsection"/>
      </w:pPr>
      <w:r>
        <w:tab/>
        <w:t>(1)</w:t>
      </w:r>
      <w:r>
        <w:tab/>
        <w:t>This section applies if the Commission grants approval for development under section 274 in respect of any land.</w:t>
      </w:r>
    </w:p>
    <w:p>
      <w:pPr>
        <w:pStyle w:val="Subsection"/>
      </w:pPr>
      <w:r>
        <w:tab/>
        <w:t>(2)</w:t>
      </w:r>
      <w:r>
        <w:tab/>
        <w:t xml:space="preserve">An owner of the land, or a person who is of a class or kind prescribed by Part 17 regulations for the purposes of this subsection, may apply to the Commission for the Commission — </w:t>
      </w:r>
    </w:p>
    <w:p>
      <w:pPr>
        <w:pStyle w:val="Indenta"/>
      </w:pPr>
      <w:r>
        <w:tab/>
        <w:t>(aa)</w:t>
      </w:r>
      <w:r>
        <w:tab/>
        <w:t xml:space="preserve">for the purposes of section 278(2), to amend the approval — </w:t>
      </w:r>
    </w:p>
    <w:p>
      <w:pPr>
        <w:pStyle w:val="Indenti"/>
      </w:pPr>
      <w:r>
        <w:tab/>
        <w:t>(i)</w:t>
      </w:r>
      <w:r>
        <w:tab/>
        <w:t>to extend the period specified in the approval; or</w:t>
      </w:r>
    </w:p>
    <w:p>
      <w:pPr>
        <w:pStyle w:val="Indenti"/>
      </w:pPr>
      <w:r>
        <w:tab/>
        <w:t>(ii)</w:t>
      </w:r>
      <w:r>
        <w:tab/>
        <w:t>if no period is specified in the approval — to specify a period that is longer than the period of 24 months referred to in section 278(2)(b);</w:t>
      </w:r>
    </w:p>
    <w:p>
      <w:pPr>
        <w:pStyle w:val="Indenta"/>
      </w:pPr>
      <w:r>
        <w:tab/>
      </w:r>
      <w:r>
        <w:tab/>
        <w:t>or</w:t>
      </w:r>
    </w:p>
    <w:p>
      <w:pPr>
        <w:pStyle w:val="Indenta"/>
      </w:pPr>
      <w:r>
        <w:tab/>
        <w:t>(a)</w:t>
      </w:r>
      <w:r>
        <w:tab/>
        <w:t>to amend or remove any of the conditions imposed on the approval; or</w:t>
      </w:r>
    </w:p>
    <w:p>
      <w:pPr>
        <w:pStyle w:val="Indenta"/>
      </w:pPr>
      <w:r>
        <w:tab/>
        <w:t>(b)</w:t>
      </w:r>
      <w:r>
        <w:tab/>
        <w:t>to amend any part or aspect of the approved development; or</w:t>
      </w:r>
    </w:p>
    <w:p>
      <w:pPr>
        <w:pStyle w:val="Indenta"/>
      </w:pPr>
      <w:r>
        <w:tab/>
        <w:t>(c)</w:t>
      </w:r>
      <w:r>
        <w:tab/>
        <w:t>to amend the approval in any other way; or</w:t>
      </w:r>
    </w:p>
    <w:p>
      <w:pPr>
        <w:pStyle w:val="Indenta"/>
      </w:pPr>
      <w:r>
        <w:tab/>
        <w:t>(d)</w:t>
      </w:r>
      <w:r>
        <w:tab/>
        <w:t>to cancel the approval.</w:t>
      </w:r>
    </w:p>
    <w:p>
      <w:pPr>
        <w:pStyle w:val="Subsection"/>
      </w:pPr>
      <w:r>
        <w:tab/>
        <w:t>(3)</w:t>
      </w:r>
      <w:r>
        <w:tab/>
        <w:t xml:space="preserve">An amendment of the kind referred to in subsection (2)(b) — </w:t>
      </w:r>
    </w:p>
    <w:p>
      <w:pPr>
        <w:pStyle w:val="Indenta"/>
      </w:pPr>
      <w:r>
        <w:tab/>
        <w:t>(a)</w:t>
      </w:r>
      <w:r>
        <w:tab/>
        <w:t>cannot substantially change the approved development; and</w:t>
      </w:r>
    </w:p>
    <w:p>
      <w:pPr>
        <w:pStyle w:val="Indenta"/>
      </w:pPr>
      <w:r>
        <w:lastRenderedPageBreak/>
        <w:tab/>
        <w:t>(b)</w:t>
      </w:r>
      <w:r>
        <w:tab/>
        <w:t>in the case of approval granted on a development application made under section 271 — cannot result in the approved development no longer being significant development.</w:t>
      </w:r>
    </w:p>
    <w:p>
      <w:pPr>
        <w:pStyle w:val="Ednotesubsection"/>
        <w:keepNext/>
      </w:pPr>
      <w:r>
        <w:tab/>
        <w:t>[(4)</w:t>
      </w:r>
      <w:r>
        <w:tab/>
        <w:t>deleted]</w:t>
      </w:r>
    </w:p>
    <w:p>
      <w:pPr>
        <w:pStyle w:val="Subsection"/>
        <w:keepNext/>
      </w:pPr>
      <w:r>
        <w:tab/>
        <w:t>(5)</w:t>
      </w:r>
      <w:r>
        <w:tab/>
        <w:t xml:space="preserve">The Commission must consider an application made under subsection (2) and determine it by — </w:t>
      </w:r>
    </w:p>
    <w:p>
      <w:pPr>
        <w:pStyle w:val="Indenta"/>
      </w:pPr>
      <w:r>
        <w:tab/>
        <w:t>(a)</w:t>
      </w:r>
      <w:r>
        <w:tab/>
        <w:t>granting it (with or without conditions); or</w:t>
      </w:r>
    </w:p>
    <w:p>
      <w:pPr>
        <w:pStyle w:val="Indenta"/>
      </w:pPr>
      <w:r>
        <w:tab/>
        <w:t>(b)</w:t>
      </w:r>
      <w:r>
        <w:tab/>
        <w:t>refusing it.</w:t>
      </w:r>
    </w:p>
    <w:p>
      <w:pPr>
        <w:pStyle w:val="Subsection"/>
      </w:pPr>
      <w:r>
        <w:tab/>
        <w:t>(6)</w:t>
      </w:r>
      <w:r>
        <w:tab/>
        <w:t>Sections 273(1), 274(3) and (5) to (7), 275 and 276 apply with any necessary modifications to an application made under subsection (2) as they apply to a development application made under section 271.</w:t>
      </w:r>
    </w:p>
    <w:p>
      <w:pPr>
        <w:pStyle w:val="Subsection"/>
      </w:pPr>
      <w:r>
        <w:tab/>
        <w:t>(6A)</w:t>
      </w:r>
      <w:r>
        <w:tab/>
        <w:t>No more than 1 application can be made under subsection (2) for an amendment of the kind referred to in subsection (2)(aa) and, accordingly, the Commission can make an amendment of that kind only once under this section.</w:t>
      </w:r>
    </w:p>
    <w:p>
      <w:pPr>
        <w:pStyle w:val="Subsection"/>
      </w:pPr>
      <w:r>
        <w:tab/>
        <w:t>(7)</w:t>
      </w:r>
      <w:r>
        <w:tab/>
        <w:t xml:space="preserve">Subject to Division 4, no person or body, apart from the Commission acting under this section, can do any of the following in relation to the approval referred to in subsection (1) — </w:t>
      </w:r>
    </w:p>
    <w:p>
      <w:pPr>
        <w:pStyle w:val="Indenta"/>
      </w:pPr>
      <w:r>
        <w:tab/>
        <w:t>(aa)</w:t>
      </w:r>
      <w:r>
        <w:tab/>
        <w:t>make an amendment of the kind referred to in subsection (2)(aa);</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keepNext/>
      </w:pPr>
      <w:r>
        <w:tab/>
        <w:t>(8)</w:t>
      </w:r>
      <w:r>
        <w:tab/>
        <w:t xml:space="preserve">In subsections (2) and (7), references to the conditions imposed on the approval, the approved development or the approval are </w:t>
      </w:r>
      <w:r>
        <w:lastRenderedPageBreak/>
        <w:t>to the conditions, development or approval as amended from time to time under this section or by an order under section 284.</w:t>
      </w:r>
    </w:p>
    <w:p>
      <w:pPr>
        <w:pStyle w:val="Footnotesection"/>
      </w:pPr>
      <w:r>
        <w:tab/>
        <w:t>[Section 279 inserted: No. 26 of 2020 s. 4; amended: No. 17 of 2022 s. 10.]</w:t>
      </w:r>
    </w:p>
    <w:p>
      <w:pPr>
        <w:pStyle w:val="Heading3"/>
      </w:pPr>
      <w:bookmarkStart w:id="370" w:name="_Toc155166193"/>
      <w:r>
        <w:rPr>
          <w:rStyle w:val="CharDivNo"/>
        </w:rPr>
        <w:t>Division 3</w:t>
      </w:r>
      <w:r>
        <w:t> — </w:t>
      </w:r>
      <w:r>
        <w:rPr>
          <w:rStyle w:val="CharDivText"/>
        </w:rPr>
        <w:t>Avoiding conflicts with approvals granted by Commission under section 274</w:t>
      </w:r>
      <w:bookmarkEnd w:id="370"/>
    </w:p>
    <w:p>
      <w:pPr>
        <w:pStyle w:val="Footnoteheading"/>
        <w:keepNext/>
      </w:pPr>
      <w:r>
        <w:tab/>
        <w:t>[Heading inserted: No. 26 of 2020 s. 4.]</w:t>
      </w:r>
    </w:p>
    <w:p>
      <w:pPr>
        <w:pStyle w:val="Heading5"/>
      </w:pPr>
      <w:bookmarkStart w:id="371" w:name="_Toc155166194"/>
      <w:r>
        <w:rPr>
          <w:rStyle w:val="CharSectno"/>
        </w:rPr>
        <w:t>280</w:t>
      </w:r>
      <w:r>
        <w:t>.</w:t>
      </w:r>
      <w:r>
        <w:tab/>
        <w:t>General provisions for Division</w:t>
      </w:r>
      <w:bookmarkEnd w:id="371"/>
    </w:p>
    <w:p>
      <w:pPr>
        <w:pStyle w:val="Subsection"/>
      </w:pPr>
      <w:r>
        <w:tab/>
        <w:t>(1)</w:t>
      </w:r>
      <w:r>
        <w:tab/>
        <w:t xml:space="preserve">For the purposes of this Division, the performance of a function </w:t>
      </w:r>
      <w:r>
        <w:rPr>
          <w:rStyle w:val="CharDefText"/>
        </w:rPr>
        <w:t>conflicts</w:t>
      </w:r>
      <w:r>
        <w:t xml:space="preserve"> with an approval for development granted by the Commission under section 274 if the performance of the function, or the way in which the function is performed — </w:t>
      </w:r>
    </w:p>
    <w:p>
      <w:pPr>
        <w:pStyle w:val="Indenta"/>
      </w:pPr>
      <w:r>
        <w:tab/>
        <w:t>(a)</w:t>
      </w:r>
      <w:r>
        <w:tab/>
        <w:t>prevents the approved development from proceeding in accordance with the approval; or</w:t>
      </w:r>
    </w:p>
    <w:p>
      <w:pPr>
        <w:pStyle w:val="Indenta"/>
      </w:pPr>
      <w:r>
        <w:tab/>
        <w:t>(b)</w:t>
      </w:r>
      <w:r>
        <w:tab/>
        <w:t>prevents any of the conditions imposed on the approval from being complied with; or</w:t>
      </w:r>
    </w:p>
    <w:p>
      <w:pPr>
        <w:pStyle w:val="Indenta"/>
      </w:pPr>
      <w:r>
        <w:tab/>
        <w:t>(c)</w:t>
      </w:r>
      <w:r>
        <w:tab/>
        <w:t>otherwise substantially undermines, or substantially conflicts with, the approval.</w:t>
      </w:r>
    </w:p>
    <w:p>
      <w:pPr>
        <w:pStyle w:val="PermNoteHeading"/>
      </w:pPr>
      <w:r>
        <w:tab/>
        <w:t>Examples for this subsection:</w:t>
      </w:r>
    </w:p>
    <w:p>
      <w:pPr>
        <w:pStyle w:val="PermNoteText"/>
      </w:pPr>
      <w:r>
        <w:tab/>
        <w:t>1.</w:t>
      </w:r>
      <w:r>
        <w:tab/>
        <w:t>An authority refuses to grant a permit under another Act that is necessary for the approved development to proceed in accordance with the Commission’s approval.</w:t>
      </w:r>
    </w:p>
    <w:p>
      <w:pPr>
        <w:pStyle w:val="PermNoteText"/>
      </w:pPr>
      <w:r>
        <w:tab/>
        <w:t>2.</w:t>
      </w:r>
      <w:r>
        <w:tab/>
        <w:t>An authority grants a permit under another Act that is necessary for the approved development to proceed in accordance with the Commission’s approval but the permit is granted subject to conditions that prevent the approved development from proceeding in accordance with the Commission’s approval.</w:t>
      </w:r>
    </w:p>
    <w:p>
      <w:pPr>
        <w:pStyle w:val="Subsection"/>
      </w:pPr>
      <w:r>
        <w:tab/>
        <w:t>(1A)</w:t>
      </w:r>
      <w:r>
        <w:tab/>
        <w:t>In subsection (1)(a) to (c), references to the approved development, the conditions imposed on the approval or the approval are to the development, conditions or approval as amended from time to time under section 279 or by an order under section 284.</w:t>
      </w:r>
    </w:p>
    <w:p>
      <w:pPr>
        <w:pStyle w:val="Subsection"/>
        <w:keepNext/>
      </w:pPr>
      <w:r>
        <w:lastRenderedPageBreak/>
        <w:tab/>
        <w:t>(2)</w:t>
      </w:r>
      <w:r>
        <w:tab/>
        <w:t xml:space="preserve">In this Division, references to performing a function include references to the following — </w:t>
      </w:r>
    </w:p>
    <w:p>
      <w:pPr>
        <w:pStyle w:val="Indenta"/>
      </w:pPr>
      <w:r>
        <w:tab/>
        <w:t>(a)</w:t>
      </w:r>
      <w:r>
        <w:tab/>
        <w:t>refusing or failing to perform a function or otherwise not performing a function;</w:t>
      </w:r>
    </w:p>
    <w:p>
      <w:pPr>
        <w:pStyle w:val="Indenta"/>
      </w:pPr>
      <w:r>
        <w:tab/>
        <w:t>(b)</w:t>
      </w:r>
      <w:r>
        <w:tab/>
        <w:t>being taken to perform a function;</w:t>
      </w:r>
    </w:p>
    <w:p>
      <w:pPr>
        <w:pStyle w:val="Indenta"/>
      </w:pPr>
      <w:r>
        <w:tab/>
        <w:t>(c)</w:t>
      </w:r>
      <w:r>
        <w:tab/>
        <w:t>being taken to refuse or fail to perform a function or otherwise not to perform a function.</w:t>
      </w:r>
    </w:p>
    <w:p>
      <w:pPr>
        <w:pStyle w:val="Subsection"/>
      </w:pPr>
      <w:r>
        <w:tab/>
        <w:t>(3)</w:t>
      </w:r>
      <w:r>
        <w:tab/>
        <w:t>A notification or application to the Minister under section 281 or 282 must be made in the manner and form required by the Minister and, without limitation, include any documents or information required by the Minister.</w:t>
      </w:r>
    </w:p>
    <w:p>
      <w:pPr>
        <w:pStyle w:val="Subsection"/>
      </w:pPr>
      <w:r>
        <w:tab/>
        <w:t>(4)</w:t>
      </w:r>
      <w:r>
        <w:tab/>
        <w:t>The Minister can give a direction under section 281 or 282 only with the agreement of the Premier.</w:t>
      </w:r>
    </w:p>
    <w:p>
      <w:pPr>
        <w:pStyle w:val="Subsection"/>
      </w:pPr>
      <w:r>
        <w:tab/>
        <w:t>(5)</w:t>
      </w:r>
      <w:r>
        <w:tab/>
        <w:t xml:space="preserve">The performance of a function by a person or body (the </w:t>
      </w:r>
      <w:r>
        <w:rPr>
          <w:rStyle w:val="CharDefText"/>
        </w:rPr>
        <w:t>decision</w:t>
      </w:r>
      <w:r>
        <w:rPr>
          <w:rStyle w:val="CharDefText"/>
        </w:rPr>
        <w:noBreakHyphen/>
        <w:t>maker</w:t>
      </w:r>
      <w:r>
        <w:t>) in compliance with a direction given to the decision</w:t>
      </w:r>
      <w:r>
        <w:noBreakHyphen/>
        <w:t>maker under section 281 or 282 has effect, and is valid, for all purposes.</w:t>
      </w:r>
    </w:p>
    <w:p>
      <w:pPr>
        <w:pStyle w:val="Subsection"/>
      </w:pPr>
      <w:r>
        <w:tab/>
        <w:t>(6)</w:t>
      </w:r>
      <w:r>
        <w:tab/>
        <w:t>Subsection (5) applies even if, apart from this Division, the decision</w:t>
      </w:r>
      <w:r>
        <w:noBreakHyphen/>
        <w:t>maker could not have performed the function as required by the direction.</w:t>
      </w:r>
    </w:p>
    <w:p>
      <w:pPr>
        <w:pStyle w:val="Subsection"/>
      </w:pPr>
      <w:r>
        <w:tab/>
        <w:t>(7)</w:t>
      </w:r>
      <w:r>
        <w:tab/>
        <w:t>Without limiting subsections (5) and (6), a decision, or other act or omission, of a person or body is not unlawful or invalid just because the decision</w:t>
      </w:r>
      <w:r>
        <w:noBreakHyphen/>
        <w:t>maker could not, apart from this Division, have performed the function as required by the direction.</w:t>
      </w:r>
    </w:p>
    <w:p>
      <w:pPr>
        <w:pStyle w:val="Subsection"/>
        <w:keepNext/>
      </w:pPr>
      <w:r>
        <w:tab/>
        <w:t>(8)</w:t>
      </w:r>
      <w:r>
        <w:tab/>
        <w:t>This Division does not apply to the performance, or proposed performance, of a function under section 279 or Division 4.</w:t>
      </w:r>
    </w:p>
    <w:p>
      <w:pPr>
        <w:pStyle w:val="Footnotesection"/>
      </w:pPr>
      <w:r>
        <w:tab/>
        <w:t>[Section 280 inserted: No. 26 of 2020 s. 4; amended: No. 17 of 2022 s. 11.]</w:t>
      </w:r>
    </w:p>
    <w:p>
      <w:pPr>
        <w:pStyle w:val="Heading5"/>
      </w:pPr>
      <w:bookmarkStart w:id="372" w:name="_Toc155166195"/>
      <w:r>
        <w:rPr>
          <w:rStyle w:val="CharSectno"/>
        </w:rPr>
        <w:lastRenderedPageBreak/>
        <w:t>281</w:t>
      </w:r>
      <w:r>
        <w:t>.</w:t>
      </w:r>
      <w:r>
        <w:tab/>
        <w:t>Decision</w:t>
      </w:r>
      <w:r>
        <w:noBreakHyphen/>
        <w:t>maker proposing to perform function in conflict with approval</w:t>
      </w:r>
      <w:bookmarkEnd w:id="372"/>
    </w:p>
    <w:p>
      <w:pPr>
        <w:pStyle w:val="Subsection"/>
        <w:keepNext/>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proposes to perform a function under a legal instrument; and</w:t>
      </w:r>
    </w:p>
    <w:p>
      <w:pPr>
        <w:pStyle w:val="Indenta"/>
      </w:pPr>
      <w:r>
        <w:tab/>
        <w:t>(c)</w:t>
      </w:r>
      <w:r>
        <w:tab/>
        <w:t>the performance of the function as proposed would conflict with the approval.</w:t>
      </w:r>
    </w:p>
    <w:p>
      <w:pPr>
        <w:pStyle w:val="Subsection"/>
      </w:pPr>
      <w:r>
        <w:tab/>
        <w:t>(2)</w:t>
      </w:r>
      <w:r>
        <w:tab/>
        <w:t>The decision</w:t>
      </w:r>
      <w:r>
        <w:noBreakHyphen/>
        <w:t xml:space="preserve">maker must not perform the function as proposed unless — </w:t>
      </w:r>
    </w:p>
    <w:p>
      <w:pPr>
        <w:pStyle w:val="Indenta"/>
      </w:pPr>
      <w:r>
        <w:tab/>
        <w:t>(a)</w:t>
      </w:r>
      <w:r>
        <w:tab/>
        <w:t>the decision</w:t>
      </w:r>
      <w:r>
        <w:noBreakHyphen/>
        <w:t>maker has notified the Minister of the proposed performance of the function and the conflict; and</w:t>
      </w:r>
    </w:p>
    <w:p>
      <w:pPr>
        <w:pStyle w:val="Indenta"/>
      </w:pPr>
      <w:r>
        <w:tab/>
        <w:t>(b)</w:t>
      </w:r>
      <w:r>
        <w:tab/>
        <w:t xml:space="preserve">either — </w:t>
      </w:r>
    </w:p>
    <w:p>
      <w:pPr>
        <w:pStyle w:val="Indenti"/>
      </w:pPr>
      <w:r>
        <w:tab/>
        <w:t>(i)</w:t>
      </w:r>
      <w:r>
        <w:tab/>
        <w:t>the decision</w:t>
      </w:r>
      <w:r>
        <w:noBreakHyphen/>
        <w:t>maker performs the function in compliance with a direction given to the decision</w:t>
      </w:r>
      <w:r>
        <w:noBreakHyphen/>
        <w:t>maker under this section; or</w:t>
      </w:r>
    </w:p>
    <w:p>
      <w:pPr>
        <w:pStyle w:val="Indenti"/>
      </w:pPr>
      <w:r>
        <w:tab/>
        <w:t>(ii)</w:t>
      </w:r>
      <w:r>
        <w:tab/>
        <w:t>the Minister has notified the decision</w:t>
      </w:r>
      <w:r>
        <w:noBreakHyphen/>
        <w:t>maker under subsection (8).</w:t>
      </w:r>
    </w:p>
    <w:p>
      <w:pPr>
        <w:pStyle w:val="Subsection"/>
      </w:pPr>
      <w:r>
        <w:tab/>
        <w:t>(3)</w:t>
      </w:r>
      <w:r>
        <w:tab/>
        <w:t xml:space="preserve">If the Minister is notified under subsection (2)(a),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keepNext/>
      </w:pPr>
      <w:r>
        <w:lastRenderedPageBreak/>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not perform the function as proposed;</w:t>
      </w:r>
    </w:p>
    <w:p>
      <w:pPr>
        <w:pStyle w:val="Indenta"/>
      </w:pPr>
      <w:r>
        <w:tab/>
        <w:t>(b)</w:t>
      </w:r>
      <w:r>
        <w:tab/>
        <w:t>perform the function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tab/>
        <w:t>(8)</w:t>
      </w:r>
      <w:r>
        <w:tab/>
        <w:t>If the Minister decides not to give a direction under this section, the Minister must notify the decision</w:t>
      </w:r>
      <w:r>
        <w:noBreakHyphen/>
        <w:t>maker of the Minister’s decision.</w:t>
      </w:r>
    </w:p>
    <w:p>
      <w:pPr>
        <w:pStyle w:val="Footnotesection"/>
      </w:pPr>
      <w:r>
        <w:tab/>
        <w:t>[Section 281 inserted: No. 26 of 2020 s. 4.]</w:t>
      </w:r>
    </w:p>
    <w:p>
      <w:pPr>
        <w:pStyle w:val="Heading5"/>
      </w:pPr>
      <w:bookmarkStart w:id="373" w:name="_Toc155166196"/>
      <w:r>
        <w:rPr>
          <w:rStyle w:val="CharSectno"/>
        </w:rPr>
        <w:lastRenderedPageBreak/>
        <w:t>282</w:t>
      </w:r>
      <w:r>
        <w:t>.</w:t>
      </w:r>
      <w:r>
        <w:tab/>
        <w:t>Owner of land or other prescribed person may apply for direction if performance of function conflicts with approval</w:t>
      </w:r>
      <w:bookmarkEnd w:id="373"/>
    </w:p>
    <w:p>
      <w:pPr>
        <w:pStyle w:val="Subsection"/>
        <w:keepNext/>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performs a function under a legal instrument; and</w:t>
      </w:r>
    </w:p>
    <w:p>
      <w:pPr>
        <w:pStyle w:val="Indenta"/>
      </w:pPr>
      <w:r>
        <w:tab/>
        <w:t>(c)</w:t>
      </w:r>
      <w:r>
        <w:tab/>
        <w:t>the performance of the function has not been the subject of a notification or direction under section 281; and</w:t>
      </w:r>
    </w:p>
    <w:p>
      <w:pPr>
        <w:pStyle w:val="Indenta"/>
      </w:pPr>
      <w:r>
        <w:tab/>
        <w:t>(d)</w:t>
      </w:r>
      <w:r>
        <w:tab/>
        <w:t xml:space="preserve">the performance of the function conflicts with the approval. </w:t>
      </w:r>
    </w:p>
    <w:p>
      <w:pPr>
        <w:pStyle w:val="Subsection"/>
      </w:pPr>
      <w:r>
        <w:tab/>
        <w:t>(2)</w:t>
      </w:r>
      <w:r>
        <w:tab/>
        <w:t>An owner of land in respect of which the approval is granted, or a person who is of a class or kind prescribed by Part 17 regulations for the purposes of this subsection, may apply to the Minister for a direction under this section to resolve the conflict.</w:t>
      </w:r>
    </w:p>
    <w:p>
      <w:pPr>
        <w:pStyle w:val="Subsection"/>
      </w:pPr>
      <w:r>
        <w:tab/>
        <w:t>(3)</w:t>
      </w:r>
      <w:r>
        <w:tab/>
        <w:t xml:space="preserve">If an application is made under subsection (2),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cancel the performance of the function;</w:t>
      </w:r>
    </w:p>
    <w:p>
      <w:pPr>
        <w:pStyle w:val="Indenta"/>
      </w:pPr>
      <w:r>
        <w:tab/>
        <w:t>(b)</w:t>
      </w:r>
      <w:r>
        <w:tab/>
        <w:t>perform the function again but in accordance with the direction;</w:t>
      </w:r>
    </w:p>
    <w:p>
      <w:pPr>
        <w:pStyle w:val="Indenta"/>
      </w:pPr>
      <w:r>
        <w:lastRenderedPageBreak/>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Footnotesection"/>
      </w:pPr>
      <w:r>
        <w:tab/>
        <w:t>[Section 282 inserted: No. 26 of 2020 s. 4.]</w:t>
      </w:r>
    </w:p>
    <w:p>
      <w:pPr>
        <w:pStyle w:val="Heading3"/>
      </w:pPr>
      <w:bookmarkStart w:id="374" w:name="_Toc155166197"/>
      <w:r>
        <w:rPr>
          <w:rStyle w:val="CharDivNo"/>
        </w:rPr>
        <w:t>Division 4</w:t>
      </w:r>
      <w:r>
        <w:t> — </w:t>
      </w:r>
      <w:r>
        <w:rPr>
          <w:rStyle w:val="CharDivText"/>
        </w:rPr>
        <w:t>Oversight of Commission</w:t>
      </w:r>
      <w:bookmarkEnd w:id="374"/>
    </w:p>
    <w:p>
      <w:pPr>
        <w:pStyle w:val="Footnoteheading"/>
        <w:keepNext/>
      </w:pPr>
      <w:r>
        <w:tab/>
        <w:t>[Heading inserted: No. 26 of 2020 s. 4.]</w:t>
      </w:r>
    </w:p>
    <w:p>
      <w:pPr>
        <w:pStyle w:val="Heading5"/>
      </w:pPr>
      <w:bookmarkStart w:id="375" w:name="_Toc155166198"/>
      <w:r>
        <w:rPr>
          <w:rStyle w:val="CharSectno"/>
        </w:rPr>
        <w:t>283</w:t>
      </w:r>
      <w:r>
        <w:t>.</w:t>
      </w:r>
      <w:r>
        <w:tab/>
        <w:t>State Administrative Tribunal</w:t>
      </w:r>
      <w:bookmarkEnd w:id="375"/>
    </w:p>
    <w:p>
      <w:pPr>
        <w:pStyle w:val="Subsection"/>
      </w:pPr>
      <w:r>
        <w:tab/>
        <w:t>(1)</w:t>
      </w:r>
      <w:r>
        <w:tab/>
        <w:t>This section applies if the Commission determines a development application under section 274 or an application under section 279.</w:t>
      </w:r>
    </w:p>
    <w:p>
      <w:pPr>
        <w:pStyle w:val="Subsection"/>
      </w:pPr>
      <w:r>
        <w:lastRenderedPageBreak/>
        <w:tab/>
        <w:t>(2)</w:t>
      </w:r>
      <w:r>
        <w:tab/>
        <w:t xml:space="preserve">The applicant may apply to the State Administrative Tribunal (the </w:t>
      </w:r>
      <w:r>
        <w:rPr>
          <w:rStyle w:val="CharDefText"/>
        </w:rPr>
        <w:t>Tribunal</w:t>
      </w:r>
      <w:r>
        <w:t>) for a review of the Commission’s decision to make the determination.</w:t>
      </w:r>
    </w:p>
    <w:p>
      <w:pPr>
        <w:pStyle w:val="Subsection"/>
      </w:pPr>
      <w:r>
        <w:tab/>
        <w:t>(3)</w:t>
      </w:r>
      <w:r>
        <w:tab/>
        <w:t xml:space="preserve">For the purposes of the Tribunal’s jurisdiction under this section, the member, or at least 1 of the members, who constitute the Tribunal must be a judicial member (as defined in the </w:t>
      </w:r>
      <w:r>
        <w:rPr>
          <w:i/>
        </w:rPr>
        <w:t>State Administrative Tribunal Act 2004</w:t>
      </w:r>
      <w:r>
        <w:t xml:space="preserve"> section 3(1)).</w:t>
      </w:r>
    </w:p>
    <w:p>
      <w:pPr>
        <w:pStyle w:val="Subsection"/>
      </w:pPr>
      <w:r>
        <w:tab/>
        <w:t>(4)</w:t>
      </w:r>
      <w:r>
        <w:tab/>
        <w:t>For a review under this section, the Commission is the decision</w:t>
      </w:r>
      <w:r>
        <w:noBreakHyphen/>
        <w:t xml:space="preserve">maker for the purposes of the </w:t>
      </w:r>
      <w:r>
        <w:rPr>
          <w:i/>
        </w:rPr>
        <w:t>State Administrative Tribunal Act 2004</w:t>
      </w:r>
      <w:r>
        <w:t>.</w:t>
      </w:r>
    </w:p>
    <w:p>
      <w:pPr>
        <w:pStyle w:val="Subsection"/>
      </w:pPr>
      <w:r>
        <w:tab/>
        <w:t>(5)</w:t>
      </w:r>
      <w:r>
        <w:tab/>
        <w:t>In conducting a review under this section, the Tribunal must give the Minister a reasonable opportunity to make submissions to the Tribunal on any matter relating to the review.</w:t>
      </w:r>
    </w:p>
    <w:p>
      <w:pPr>
        <w:pStyle w:val="Subsection"/>
      </w:pPr>
      <w:r>
        <w:tab/>
        <w:t>(6)</w:t>
      </w:r>
      <w:r>
        <w:tab/>
        <w:t>Sections 242 and 243 apply to a review under this section as they apply to a review in accordance with Part 14.</w:t>
      </w:r>
    </w:p>
    <w:p>
      <w:pPr>
        <w:pStyle w:val="Subsection"/>
        <w:keepNext/>
      </w:pPr>
      <w:r>
        <w:tab/>
        <w:t>(7)</w:t>
      </w:r>
      <w:r>
        <w:tab/>
        <w:t>Except as set out in this section, the Tribunal has no jurisdiction in relation to anything done under this Part or any Part 17 regulations, including (without limitation) anything done in compliance with a direction under section 281 or 282.</w:t>
      </w:r>
    </w:p>
    <w:p>
      <w:pPr>
        <w:pStyle w:val="Footnotesection"/>
      </w:pPr>
      <w:r>
        <w:tab/>
        <w:t>[Section 283 inserted: No. 26 of 2020 s. 4.]</w:t>
      </w:r>
    </w:p>
    <w:p>
      <w:pPr>
        <w:pStyle w:val="Heading5"/>
      </w:pPr>
      <w:bookmarkStart w:id="376" w:name="_Toc155166199"/>
      <w:r>
        <w:rPr>
          <w:rStyle w:val="CharSectno"/>
        </w:rPr>
        <w:t>284</w:t>
      </w:r>
      <w:r>
        <w:t>.</w:t>
      </w:r>
      <w:r>
        <w:tab/>
        <w:t>Governor may amend or cancel approval granted by Commission under s. 274</w:t>
      </w:r>
      <w:bookmarkEnd w:id="376"/>
    </w:p>
    <w:p>
      <w:pPr>
        <w:pStyle w:val="Subsection"/>
      </w:pPr>
      <w:r>
        <w:tab/>
        <w:t>(1)</w:t>
      </w:r>
      <w:r>
        <w:tab/>
        <w:t>This section applies if the Commission grants approval for development under section 274.</w:t>
      </w:r>
    </w:p>
    <w:p>
      <w:pPr>
        <w:pStyle w:val="Subsection"/>
      </w:pPr>
      <w:r>
        <w:tab/>
        <w:t>(2)</w:t>
      </w:r>
      <w:r>
        <w:tab/>
        <w:t xml:space="preserve">The Governor may, by order, do any of the following — </w:t>
      </w:r>
    </w:p>
    <w:p>
      <w:pPr>
        <w:pStyle w:val="Indenta"/>
      </w:pPr>
      <w:r>
        <w:tab/>
        <w:t>(aa)</w:t>
      </w:r>
      <w:r>
        <w:tab/>
        <w:t xml:space="preserve">for the purposes of section 278(2), amend the approval — </w:t>
      </w:r>
    </w:p>
    <w:p>
      <w:pPr>
        <w:pStyle w:val="Indenti"/>
      </w:pPr>
      <w:r>
        <w:tab/>
        <w:t>(i)</w:t>
      </w:r>
      <w:r>
        <w:tab/>
        <w:t>to extend the period specified in the approval; or</w:t>
      </w:r>
    </w:p>
    <w:p>
      <w:pPr>
        <w:pStyle w:val="Indenti"/>
      </w:pPr>
      <w:r>
        <w:lastRenderedPageBreak/>
        <w:tab/>
        <w:t>(ii)</w:t>
      </w:r>
      <w:r>
        <w:tab/>
        <w:t>if no period is specified in the approval — to specify a period that is longer than the period of 24 months referred to in section 278(2)(b);</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keepNext/>
      </w:pPr>
      <w:r>
        <w:tab/>
        <w:t>(3)</w:t>
      </w:r>
      <w:r>
        <w:tab/>
        <w:t xml:space="preserve">An amendment of the kind referred to in subsection (2)(c)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Subsection"/>
      </w:pPr>
      <w:r>
        <w:tab/>
        <w:t>(4)</w:t>
      </w:r>
      <w:r>
        <w:tab/>
        <w:t>In subsection (2), references to the conditions imposed on the approval, the approved development or the approval are to the conditions, development or approval as amended from time to time under section 279 or by an order under this section.</w:t>
      </w:r>
    </w:p>
    <w:p>
      <w:pPr>
        <w:pStyle w:val="Subsection"/>
      </w:pPr>
      <w:r>
        <w:tab/>
        <w:t>(5)</w:t>
      </w:r>
      <w:r>
        <w:tab/>
        <w:t>An order under this section may include directions for giving effect to the order.</w:t>
      </w:r>
    </w:p>
    <w:p>
      <w:pPr>
        <w:pStyle w:val="Subsection"/>
      </w:pPr>
      <w:r>
        <w:tab/>
        <w:t>(6)</w:t>
      </w:r>
      <w:r>
        <w:tab/>
        <w:t>The Commission cannot do anything under section 279 that would override, or otherwise be inconsistent with, the provisions of an order under this section.</w:t>
      </w:r>
    </w:p>
    <w:p>
      <w:pPr>
        <w:pStyle w:val="Subsection"/>
      </w:pPr>
      <w:r>
        <w:tab/>
        <w:t>(7)</w:t>
      </w:r>
      <w:r>
        <w:tab/>
        <w:t xml:space="preserve">An order under this section is subsidiary legislation for the purposes of the </w:t>
      </w:r>
      <w:r>
        <w:rPr>
          <w:i/>
        </w:rPr>
        <w:t>Interpretation Act 1984</w:t>
      </w:r>
      <w:r>
        <w:t>.</w:t>
      </w:r>
    </w:p>
    <w:p>
      <w:pPr>
        <w:pStyle w:val="Subsection"/>
      </w:pPr>
      <w:r>
        <w:tab/>
        <w:t>(8)</w:t>
      </w:r>
      <w:r>
        <w:tab/>
        <w:t xml:space="preserve">The </w:t>
      </w:r>
      <w:r>
        <w:rPr>
          <w:i/>
        </w:rPr>
        <w:t>Interpretation Act 1984</w:t>
      </w:r>
      <w:r>
        <w:t xml:space="preserve"> section 42 applies to an order under this section as if it were a regulation.</w:t>
      </w:r>
    </w:p>
    <w:p>
      <w:pPr>
        <w:pStyle w:val="Footnotesection"/>
      </w:pPr>
      <w:r>
        <w:tab/>
        <w:t>[Section 284 inserted: No. 26 of 2020 s. 4; amended: No. 17 of 2022 s. 12.]</w:t>
      </w:r>
    </w:p>
    <w:p>
      <w:pPr>
        <w:pStyle w:val="Heading3"/>
      </w:pPr>
      <w:bookmarkStart w:id="377" w:name="_Toc155166200"/>
      <w:r>
        <w:rPr>
          <w:rStyle w:val="CharDivNo"/>
        </w:rPr>
        <w:lastRenderedPageBreak/>
        <w:t>Division 5</w:t>
      </w:r>
      <w:r>
        <w:t> — </w:t>
      </w:r>
      <w:r>
        <w:rPr>
          <w:rStyle w:val="CharDivText"/>
        </w:rPr>
        <w:t>Final matters</w:t>
      </w:r>
      <w:bookmarkEnd w:id="377"/>
    </w:p>
    <w:p>
      <w:pPr>
        <w:pStyle w:val="Footnoteheading"/>
        <w:keepNext/>
      </w:pPr>
      <w:r>
        <w:tab/>
        <w:t>[Heading inserted: No. 26 of 2020 s. 4.]</w:t>
      </w:r>
    </w:p>
    <w:p>
      <w:pPr>
        <w:pStyle w:val="Heading5"/>
      </w:pPr>
      <w:bookmarkStart w:id="378" w:name="_Toc155166201"/>
      <w:r>
        <w:rPr>
          <w:rStyle w:val="CharSectno"/>
        </w:rPr>
        <w:t>285</w:t>
      </w:r>
      <w:r>
        <w:t>.</w:t>
      </w:r>
      <w:r>
        <w:tab/>
        <w:t>Fees</w:t>
      </w:r>
      <w:bookmarkEnd w:id="378"/>
    </w:p>
    <w:p>
      <w:pPr>
        <w:pStyle w:val="Subsection"/>
        <w:keepNext/>
      </w:pPr>
      <w:r>
        <w:tab/>
        <w:t>(1)</w:t>
      </w:r>
      <w:r>
        <w:tab/>
        <w:t xml:space="preserve">The Minister may, by notice published in the </w:t>
      </w:r>
      <w:r>
        <w:rPr>
          <w:i/>
        </w:rPr>
        <w:t>Gazette</w:t>
      </w:r>
      <w:r>
        <w:t xml:space="preserve"> — </w:t>
      </w:r>
    </w:p>
    <w:p>
      <w:pPr>
        <w:pStyle w:val="Indenta"/>
      </w:pPr>
      <w:r>
        <w:tab/>
        <w:t>(a)</w:t>
      </w:r>
      <w:r>
        <w:tab/>
        <w:t>set fees to be charged in respect of any matter under, or relating to, this Part or any Part 17 regulations; and</w:t>
      </w:r>
    </w:p>
    <w:p>
      <w:pPr>
        <w:pStyle w:val="Indenta"/>
      </w:pPr>
      <w:r>
        <w:tab/>
        <w:t>(b)</w:t>
      </w:r>
      <w:r>
        <w:tab/>
        <w:t>make provision for determining the persons by whom the fees are payable.</w:t>
      </w:r>
    </w:p>
    <w:p>
      <w:pPr>
        <w:pStyle w:val="Subsection"/>
      </w:pPr>
      <w:r>
        <w:tab/>
        <w:t>(2)</w:t>
      </w:r>
      <w:r>
        <w:tab/>
        <w:t>Despite section 274(3), the Commission is not required to consider or determine a development application, or to do any other thing under this Part or Part 17 regulations, unless any fee relating to the application or other thing has been paid.</w:t>
      </w:r>
    </w:p>
    <w:p>
      <w:pPr>
        <w:pStyle w:val="Subsection"/>
        <w:keepNext/>
      </w:pPr>
      <w:r>
        <w:tab/>
        <w:t>(3)</w:t>
      </w:r>
      <w:r>
        <w:tab/>
        <w:t>Section 20 does not apply in relation to this Part.</w:t>
      </w:r>
    </w:p>
    <w:p>
      <w:pPr>
        <w:pStyle w:val="Footnotesection"/>
      </w:pPr>
      <w:r>
        <w:tab/>
        <w:t>[Section 285 inserted: No. 26 of 2020 s. 4.]</w:t>
      </w:r>
    </w:p>
    <w:p>
      <w:pPr>
        <w:pStyle w:val="Heading5"/>
      </w:pPr>
      <w:bookmarkStart w:id="379" w:name="_Toc155166202"/>
      <w:r>
        <w:rPr>
          <w:rStyle w:val="CharSectno"/>
        </w:rPr>
        <w:t>286</w:t>
      </w:r>
      <w:r>
        <w:t>.</w:t>
      </w:r>
      <w:r>
        <w:tab/>
        <w:t>Regulations</w:t>
      </w:r>
      <w:bookmarkEnd w:id="379"/>
    </w:p>
    <w:p>
      <w:pPr>
        <w:pStyle w:val="Subsection"/>
      </w:pPr>
      <w:r>
        <w:tab/>
        <w:t>(1)</w:t>
      </w:r>
      <w:r>
        <w:tab/>
        <w:t>The Governor may make regulations prescribing all matters that are required or permitted by this Part to be prescribed or are necessary or convenient to be prescribed for giving effect to the purposes of this Part.</w:t>
      </w:r>
    </w:p>
    <w:p>
      <w:pPr>
        <w:pStyle w:val="Subsection"/>
      </w:pPr>
      <w:r>
        <w:tab/>
        <w:t>(2)</w:t>
      </w:r>
      <w:r>
        <w:tab/>
        <w:t xml:space="preserve">Without limiting subsection (1), Part 17 regulations may prescribe powers, duties, procedures or any other matters for the purposes of, or in relation to — </w:t>
      </w:r>
    </w:p>
    <w:p>
      <w:pPr>
        <w:pStyle w:val="Indenta"/>
      </w:pPr>
      <w:r>
        <w:tab/>
        <w:t>(a)</w:t>
      </w:r>
      <w:r>
        <w:tab/>
        <w:t>applications, notifications, referrals or directions under this Part; or</w:t>
      </w:r>
    </w:p>
    <w:p>
      <w:pPr>
        <w:pStyle w:val="Indenta"/>
      </w:pPr>
      <w:r>
        <w:tab/>
        <w:t>(b)</w:t>
      </w:r>
      <w:r>
        <w:tab/>
        <w:t>the consideration or determination of applications or notifications under this Part.</w:t>
      </w:r>
    </w:p>
    <w:p>
      <w:pPr>
        <w:pStyle w:val="Footnotesection"/>
      </w:pPr>
      <w:r>
        <w:tab/>
        <w:t>[Section 286 inserted: No. 26 of 2020 s. 4.]</w:t>
      </w:r>
    </w:p>
    <w:p>
      <w:pPr>
        <w:pStyle w:val="Heading2"/>
      </w:pPr>
      <w:bookmarkStart w:id="380" w:name="_Toc155166203"/>
      <w:r>
        <w:rPr>
          <w:rStyle w:val="CharPartNo"/>
        </w:rPr>
        <w:lastRenderedPageBreak/>
        <w:t>Part 18</w:t>
      </w:r>
      <w:r>
        <w:rPr>
          <w:rStyle w:val="CharDivNo"/>
        </w:rPr>
        <w:t> </w:t>
      </w:r>
      <w:r>
        <w:t>—</w:t>
      </w:r>
      <w:r>
        <w:rPr>
          <w:rStyle w:val="CharDivText"/>
        </w:rPr>
        <w:t> </w:t>
      </w:r>
      <w:r>
        <w:rPr>
          <w:rStyle w:val="CharPartText"/>
        </w:rPr>
        <w:t>Extension of time for endorsement of diagram or plan of survey due to COVID</w:t>
      </w:r>
      <w:r>
        <w:rPr>
          <w:rStyle w:val="CharPartText"/>
        </w:rPr>
        <w:noBreakHyphen/>
        <w:t>19 pandemic</w:t>
      </w:r>
      <w:bookmarkEnd w:id="380"/>
    </w:p>
    <w:p>
      <w:pPr>
        <w:pStyle w:val="Footnoteheading"/>
      </w:pPr>
      <w:r>
        <w:tab/>
        <w:t>[Heading inserted: No. 26 of 2020 s. 4.]</w:t>
      </w:r>
    </w:p>
    <w:p>
      <w:pPr>
        <w:pStyle w:val="Heading5"/>
      </w:pPr>
      <w:bookmarkStart w:id="381" w:name="_Toc155166204"/>
      <w:r>
        <w:rPr>
          <w:rStyle w:val="CharSectno"/>
        </w:rPr>
        <w:t>287</w:t>
      </w:r>
      <w:r>
        <w:t>.</w:t>
      </w:r>
      <w:r>
        <w:tab/>
        <w:t>Term used: COVID</w:t>
      </w:r>
      <w:r>
        <w:noBreakHyphen/>
        <w:t>19 emergency start date</w:t>
      </w:r>
      <w:bookmarkEnd w:id="381"/>
    </w:p>
    <w:p>
      <w:pPr>
        <w:pStyle w:val="Subsection"/>
      </w:pPr>
      <w:r>
        <w:tab/>
      </w:r>
      <w:r>
        <w:tab/>
        <w:t xml:space="preserve">In this Part — </w:t>
      </w:r>
    </w:p>
    <w:p>
      <w:pPr>
        <w:pStyle w:val="Defstart"/>
      </w:pPr>
      <w:r>
        <w:tab/>
      </w:r>
      <w:r>
        <w:rPr>
          <w:rStyle w:val="CharDefText"/>
        </w:rPr>
        <w:t>COVID</w:t>
      </w:r>
      <w:r>
        <w:rPr>
          <w:rStyle w:val="CharDefText"/>
        </w:rPr>
        <w:noBreakHyphen/>
        <w:t>19 emergency start date</w:t>
      </w:r>
      <w:r>
        <w:t xml:space="preserve"> means 16 March 2020, being the day on which the state of emergency declaration under the </w:t>
      </w:r>
      <w:r>
        <w:rPr>
          <w:i/>
        </w:rPr>
        <w:t>Emergency Management Act 2005</w:t>
      </w:r>
      <w:r>
        <w:t xml:space="preserve"> section 56 in relation to the COVID</w:t>
      </w:r>
      <w:r>
        <w:noBreakHyphen/>
        <w:t>19 pandemic came into effect.</w:t>
      </w:r>
    </w:p>
    <w:p>
      <w:pPr>
        <w:pStyle w:val="Footnotesection"/>
      </w:pPr>
      <w:r>
        <w:tab/>
        <w:t>[Section 287 inserted: No. 26 of 2020 s. 4.]</w:t>
      </w:r>
    </w:p>
    <w:p>
      <w:pPr>
        <w:pStyle w:val="Heading5"/>
      </w:pPr>
      <w:bookmarkStart w:id="382" w:name="_Toc155166205"/>
      <w:r>
        <w:rPr>
          <w:rStyle w:val="CharSectno"/>
        </w:rPr>
        <w:t>288</w:t>
      </w:r>
      <w:r>
        <w:t>.</w:t>
      </w:r>
      <w:r>
        <w:tab/>
        <w:t>Extension of time for endorsement of diagram or plan of survey of approved subdivision</w:t>
      </w:r>
      <w:bookmarkEnd w:id="382"/>
    </w:p>
    <w:p>
      <w:pPr>
        <w:pStyle w:val="Subsection"/>
      </w:pPr>
      <w:r>
        <w:tab/>
        <w:t>(1)</w:t>
      </w:r>
      <w:r>
        <w:tab/>
        <w:t xml:space="preserve">This section applies to — </w:t>
      </w:r>
    </w:p>
    <w:p>
      <w:pPr>
        <w:pStyle w:val="Indenta"/>
      </w:pPr>
      <w:r>
        <w:tab/>
        <w:t>(a)</w:t>
      </w:r>
      <w:r>
        <w:tab/>
        <w:t>a plan of subdivision approved by the Commission under section 143(1)(a) or (c) before the COVID</w:t>
      </w:r>
      <w:r>
        <w:noBreakHyphen/>
        <w:t xml:space="preserve">19 emergency start date if, immediately before that date — </w:t>
      </w:r>
    </w:p>
    <w:p>
      <w:pPr>
        <w:pStyle w:val="Indenti"/>
      </w:pPr>
      <w:r>
        <w:tab/>
        <w:t>(i)</w:t>
      </w:r>
      <w:r>
        <w:tab/>
        <w:t>the Commission had not endorsed its approval on the diagram or plan of survey of the subdivision under section 145(4); and</w:t>
      </w:r>
    </w:p>
    <w:p>
      <w:pPr>
        <w:pStyle w:val="Indenti"/>
      </w:pPr>
      <w:r>
        <w:tab/>
        <w:t>(ii)</w:t>
      </w:r>
      <w:r>
        <w:tab/>
        <w:t>the approval of the plan of subdivision had not ceased to have effect under section 145(7);</w:t>
      </w:r>
    </w:p>
    <w:p>
      <w:pPr>
        <w:pStyle w:val="Indenta"/>
      </w:pPr>
      <w:r>
        <w:tab/>
      </w:r>
      <w:r>
        <w:tab/>
        <w:t>or</w:t>
      </w:r>
    </w:p>
    <w:p>
      <w:pPr>
        <w:pStyle w:val="Indenta"/>
      </w:pPr>
      <w:r>
        <w:tab/>
        <w:t>(b)</w:t>
      </w:r>
      <w:r>
        <w:tab/>
        <w:t>a plan of subdivision approved by the Commission under section 143(1)(a) or (c) on or after the COVID</w:t>
      </w:r>
      <w:r>
        <w:noBreakHyphen/>
        <w:t>19 emergency start date if the application for the Commission’s approval of the plan of subdivision was made before that date.</w:t>
      </w:r>
    </w:p>
    <w:p>
      <w:pPr>
        <w:pStyle w:val="Subsection"/>
      </w:pPr>
      <w:r>
        <w:tab/>
        <w:t>(2)</w:t>
      </w:r>
      <w:r>
        <w:tab/>
        <w:t xml:space="preserve">Despite any provision of Part 10 Division 2, the period within which the person to whom the approval of the plan of subdivision was given under section 143(1)(a) or (c) must </w:t>
      </w:r>
      <w:r>
        <w:lastRenderedPageBreak/>
        <w:t xml:space="preserve">submit, and request approval of, a diagram or plan of survey of the subdivision under section 145(1) is, and is taken always to have been — </w:t>
      </w:r>
    </w:p>
    <w:p>
      <w:pPr>
        <w:pStyle w:val="Indenta"/>
      </w:pPr>
      <w:r>
        <w:tab/>
        <w:t>(a)</w:t>
      </w:r>
      <w:r>
        <w:tab/>
        <w:t>in relation to a plan of subdivision creating more than 5 lots — the period of 6 years beginning on the day on which the Commission approved the plan of subdivision; and</w:t>
      </w:r>
    </w:p>
    <w:p>
      <w:pPr>
        <w:pStyle w:val="Indenta"/>
      </w:pPr>
      <w:r>
        <w:tab/>
        <w:t>(b)</w:t>
      </w:r>
      <w:r>
        <w:tab/>
        <w:t>in any other case — the period of 5 years beginning on the day on which the Commission approved the plan of subdivision.</w:t>
      </w:r>
    </w:p>
    <w:p>
      <w:pPr>
        <w:pStyle w:val="Subsection"/>
      </w:pPr>
      <w:r>
        <w:tab/>
        <w:t>(3)</w:t>
      </w:r>
      <w:r>
        <w:tab/>
        <w:t xml:space="preserve">The Commission cannot, after the coming into operation of the </w:t>
      </w:r>
      <w:r>
        <w:rPr>
          <w:i/>
        </w:rPr>
        <w:t xml:space="preserve">Planning and Development Amendment Act 2020 </w:t>
      </w:r>
      <w:r>
        <w:t>Part 12 Division 1, grant an extension under section 145A in relation to the plan of subdivision.</w:t>
      </w:r>
    </w:p>
    <w:p>
      <w:pPr>
        <w:pStyle w:val="Footnotesection"/>
        <w:rPr>
          <w:rStyle w:val="CharDivText"/>
        </w:rPr>
      </w:pPr>
      <w:r>
        <w:tab/>
        <w:t>[Section 288 inserted: No. 26 of 2020 s. 4.]</w:t>
      </w:r>
    </w:p>
    <w:p>
      <w:pPr>
        <w:pStyle w:val="Heading2"/>
      </w:pPr>
      <w:bookmarkStart w:id="383" w:name="_Toc155166206"/>
      <w:r>
        <w:rPr>
          <w:rStyle w:val="CharPartNo"/>
        </w:rPr>
        <w:lastRenderedPageBreak/>
        <w:t>Part 19</w:t>
      </w:r>
      <w:r>
        <w:t> — </w:t>
      </w:r>
      <w:r>
        <w:rPr>
          <w:rStyle w:val="CharPartText"/>
        </w:rPr>
        <w:t>Transitional provisions</w:t>
      </w:r>
      <w:bookmarkEnd w:id="383"/>
    </w:p>
    <w:p>
      <w:pPr>
        <w:pStyle w:val="Footnoteheading"/>
      </w:pPr>
      <w:r>
        <w:tab/>
        <w:t>[Heading inserted: No. 26 of 2020 s. 105; amended: No. 17 of 2022 s. 13.]</w:t>
      </w:r>
    </w:p>
    <w:p>
      <w:pPr>
        <w:pStyle w:val="Heading3"/>
      </w:pPr>
      <w:bookmarkStart w:id="384" w:name="_Toc155166207"/>
      <w:r>
        <w:rPr>
          <w:rStyle w:val="CharDivNo"/>
        </w:rPr>
        <w:t>Division 1</w:t>
      </w:r>
      <w:r>
        <w:t> — </w:t>
      </w:r>
      <w:r>
        <w:rPr>
          <w:rStyle w:val="CharDivText"/>
        </w:rPr>
        <w:t xml:space="preserve">Provisions for </w:t>
      </w:r>
      <w:r>
        <w:rPr>
          <w:rStyle w:val="CharDivText"/>
          <w:i/>
        </w:rPr>
        <w:t>Planning and Development Amendment Act 2020</w:t>
      </w:r>
      <w:bookmarkEnd w:id="384"/>
    </w:p>
    <w:p>
      <w:pPr>
        <w:pStyle w:val="Footnoteheading"/>
      </w:pPr>
      <w:r>
        <w:tab/>
        <w:t>[Heading inserted: No. 17 of 2022 s. 14.]</w:t>
      </w:r>
    </w:p>
    <w:p>
      <w:pPr>
        <w:pStyle w:val="Heading5"/>
      </w:pPr>
      <w:bookmarkStart w:id="385" w:name="_Toc155166208"/>
      <w:r>
        <w:rPr>
          <w:rStyle w:val="CharSectno"/>
        </w:rPr>
        <w:t>289</w:t>
      </w:r>
      <w:r>
        <w:t>.</w:t>
      </w:r>
      <w:r>
        <w:tab/>
        <w:t>LDAP or JDAP continues as district DAP</w:t>
      </w:r>
      <w:bookmarkEnd w:id="38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3 comes into operation;</w:t>
      </w:r>
    </w:p>
    <w:p>
      <w:pPr>
        <w:pStyle w:val="Defstart"/>
      </w:pPr>
      <w:r>
        <w:tab/>
      </w:r>
      <w:r>
        <w:rPr>
          <w:rStyle w:val="CharDefText"/>
        </w:rPr>
        <w:t>JDAP</w:t>
      </w:r>
      <w:r>
        <w:t xml:space="preserve"> has the meaning given in section 4(1) as in force immediately before commencement day;</w:t>
      </w:r>
    </w:p>
    <w:p>
      <w:pPr>
        <w:pStyle w:val="Defstart"/>
      </w:pPr>
      <w:r>
        <w:tab/>
      </w:r>
      <w:r>
        <w:rPr>
          <w:rStyle w:val="CharDefText"/>
        </w:rPr>
        <w:t>LDAP</w:t>
      </w:r>
      <w:r>
        <w:t xml:space="preserve"> has the meaning given in section 4(1) as in force immediately before commencement day.</w:t>
      </w:r>
    </w:p>
    <w:p>
      <w:pPr>
        <w:pStyle w:val="Subsection"/>
      </w:pPr>
      <w:r>
        <w:tab/>
        <w:t>(2)</w:t>
      </w:r>
      <w:r>
        <w:tab/>
        <w:t>If, immediately before commencement day, there is an LDAP for a district, the LDAP is taken, on and after commencement day, to be a district DAP established under section 171C(1)(a) for the district.</w:t>
      </w:r>
    </w:p>
    <w:p>
      <w:pPr>
        <w:pStyle w:val="Subsection"/>
      </w:pPr>
      <w:r>
        <w:tab/>
        <w:t>(3)</w:t>
      </w:r>
      <w:r>
        <w:tab/>
        <w:t>If, immediately before commencement day, there is a JDAP for 2 or more districts, the JDAP is taken, on and after commencement day, to be a district DAP established under section 171C(1)(a) for those districts.</w:t>
      </w:r>
    </w:p>
    <w:p>
      <w:pPr>
        <w:pStyle w:val="Subsection"/>
      </w:pPr>
      <w:r>
        <w:tab/>
        <w:t>(4)</w:t>
      </w:r>
      <w:r>
        <w:tab/>
        <w:t>An order establishing an LDAP or a JDAP to which subsection (2) or (3) applies continues to have effect on and after commencement day as if it were an order establishing a district DAP under section 171C(1)(a) and may be amended or revoked accordingly.</w:t>
      </w:r>
    </w:p>
    <w:p>
      <w:pPr>
        <w:pStyle w:val="Footnotesection"/>
      </w:pPr>
      <w:r>
        <w:tab/>
        <w:t>[Section 289 inserted: No. 26 of 2020 s. 105.]</w:t>
      </w:r>
    </w:p>
    <w:p>
      <w:pPr>
        <w:pStyle w:val="Heading5"/>
      </w:pPr>
      <w:bookmarkStart w:id="386" w:name="_Toc155166209"/>
      <w:r>
        <w:rPr>
          <w:rStyle w:val="CharSectno"/>
        </w:rPr>
        <w:lastRenderedPageBreak/>
        <w:t>290</w:t>
      </w:r>
      <w:r>
        <w:t>.</w:t>
      </w:r>
      <w:r>
        <w:tab/>
        <w:t>Preparation and approval of planning schemes where process commenced before commencement day</w:t>
      </w:r>
      <w:bookmarkEnd w:id="386"/>
    </w:p>
    <w:p>
      <w:pPr>
        <w:pStyle w:val="Subsection"/>
      </w:pPr>
      <w:r>
        <w:tab/>
        <w:t>(1)</w:t>
      </w:r>
      <w:r>
        <w:tab/>
        <w:t xml:space="preserve">In this section — </w:t>
      </w:r>
    </w:p>
    <w:p>
      <w:pPr>
        <w:pStyle w:val="Defstart"/>
      </w:pPr>
      <w:r>
        <w:tab/>
      </w:r>
      <w:r>
        <w:rPr>
          <w:rStyle w:val="CharDefText"/>
        </w:rPr>
        <w:t>amended Act</w:t>
      </w:r>
      <w:r>
        <w:t xml:space="preserve"> means this Act as amended by the </w:t>
      </w:r>
      <w:r>
        <w:rPr>
          <w:i/>
        </w:rPr>
        <w:t>Planning and Development Amendment Act 2020</w:t>
      </w:r>
      <w:r>
        <w:t xml:space="preserve"> Part 6 Division 1;</w:t>
      </w:r>
    </w:p>
    <w:p>
      <w:pPr>
        <w:pStyle w:val="Defstart"/>
      </w:pPr>
      <w:r>
        <w:tab/>
      </w:r>
      <w:r>
        <w:rPr>
          <w:rStyle w:val="CharDefText"/>
        </w:rPr>
        <w:t>commencement day</w:t>
      </w:r>
      <w:r>
        <w:t xml:space="preserve"> means the day on which the </w:t>
      </w:r>
      <w:r>
        <w:rPr>
          <w:i/>
        </w:rPr>
        <w:t>Planning and Development Amendment Act 2020</w:t>
      </w:r>
      <w:r>
        <w:t xml:space="preserve"> Part 6 Division 1 comes into operation;</w:t>
      </w:r>
    </w:p>
    <w:p>
      <w:pPr>
        <w:pStyle w:val="Defstart"/>
      </w:pPr>
      <w:r>
        <w:tab/>
      </w:r>
      <w:r>
        <w:rPr>
          <w:rStyle w:val="CharDefText"/>
        </w:rPr>
        <w:t>former Act</w:t>
      </w:r>
      <w:r>
        <w:t xml:space="preserve"> means this Act as in force immediately before commencement day;</w:t>
      </w:r>
    </w:p>
    <w:p>
      <w:pPr>
        <w:pStyle w:val="Defstart"/>
      </w:pPr>
      <w:r>
        <w:tab/>
      </w:r>
      <w:r>
        <w:rPr>
          <w:rStyle w:val="CharDefText"/>
        </w:rPr>
        <w:t>preparation and approval process</w:t>
      </w:r>
      <w:r>
        <w:t xml:space="preserve">, in relation to a planning scheme or amendment to a planning scheme — </w:t>
      </w:r>
    </w:p>
    <w:p>
      <w:pPr>
        <w:pStyle w:val="Defpara"/>
      </w:pPr>
      <w:r>
        <w:tab/>
        <w:t>(a)</w:t>
      </w:r>
      <w:r>
        <w:tab/>
        <w:t>means the process for the preparation or adoption, submission and approval of the scheme or amendment; and</w:t>
      </w:r>
    </w:p>
    <w:p>
      <w:pPr>
        <w:pStyle w:val="Defpara"/>
      </w:pPr>
      <w:r>
        <w:tab/>
        <w:t>(b)</w:t>
      </w:r>
      <w:r>
        <w:tab/>
        <w:t>includes, without limitation, any consultation, referral, advertisement, hearings, reports and consideration of submissions that occur as part of that process.</w:t>
      </w:r>
    </w:p>
    <w:p>
      <w:pPr>
        <w:pStyle w:val="Subsection"/>
      </w:pPr>
      <w:r>
        <w:tab/>
        <w:t>(2)</w:t>
      </w:r>
      <w:r>
        <w:tab/>
        <w:t xml:space="preserve">The regulations may make provision for how the preparation and approval process for a planning scheme or an amendment to a planning scheme is to be completed if — </w:t>
      </w:r>
    </w:p>
    <w:p>
      <w:pPr>
        <w:pStyle w:val="Indenta"/>
      </w:pPr>
      <w:r>
        <w:tab/>
        <w:t>(a)</w:t>
      </w:r>
      <w:r>
        <w:tab/>
        <w:t>1 or more steps in the preparation and approval process for the scheme or amendment are taken before commencement day under the former Act; but</w:t>
      </w:r>
    </w:p>
    <w:p>
      <w:pPr>
        <w:pStyle w:val="Indenta"/>
      </w:pPr>
      <w:r>
        <w:tab/>
        <w:t>(b)</w:t>
      </w:r>
      <w:r>
        <w:tab/>
        <w:t>the scheme or amendment is not approved under the former Act before commencement day.</w:t>
      </w:r>
    </w:p>
    <w:p>
      <w:pPr>
        <w:pStyle w:val="Subsection"/>
      </w:pPr>
      <w:r>
        <w:tab/>
        <w:t>(3)</w:t>
      </w:r>
      <w:r>
        <w:tab/>
        <w:t>Without limiting subsection (2), the regulations may provide that any requirement of the preparation and approval process under the amended Act is taken to be satisfied in relation to a planning scheme or amendment referred to in that subsection in circumstances prescribed by the regulations.</w:t>
      </w:r>
    </w:p>
    <w:p>
      <w:pPr>
        <w:pStyle w:val="Footnotesection"/>
      </w:pPr>
      <w:r>
        <w:tab/>
        <w:t>[Section 290 inserted: No. 26 of 2020 s. 105.]</w:t>
      </w:r>
    </w:p>
    <w:p>
      <w:pPr>
        <w:pStyle w:val="Heading5"/>
      </w:pPr>
      <w:bookmarkStart w:id="387" w:name="_Toc155166210"/>
      <w:r>
        <w:rPr>
          <w:rStyle w:val="CharSectno"/>
        </w:rPr>
        <w:lastRenderedPageBreak/>
        <w:t>291</w:t>
      </w:r>
      <w:r>
        <w:t>.</w:t>
      </w:r>
      <w:r>
        <w:tab/>
        <w:t>R</w:t>
      </w:r>
      <w:r>
        <w:noBreakHyphen/>
        <w:t>Codes taken to be planning codes</w:t>
      </w:r>
      <w:bookmarkEnd w:id="387"/>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section 65 comes into operation;</w:t>
      </w:r>
    </w:p>
    <w:p>
      <w:pPr>
        <w:pStyle w:val="Defstart"/>
      </w:pPr>
      <w:r>
        <w:tab/>
      </w:r>
      <w:r>
        <w:rPr>
          <w:rStyle w:val="CharDefText"/>
        </w:rPr>
        <w:t>R</w:t>
      </w:r>
      <w:r>
        <w:rPr>
          <w:rStyle w:val="CharDefText"/>
        </w:rPr>
        <w:noBreakHyphen/>
        <w:t>Codes</w:t>
      </w:r>
      <w:r>
        <w:t xml:space="preserve"> means the Residential Design Codes prepared as a State planning policy under section 26(1), as in force immediately before commencement day.</w:t>
      </w:r>
    </w:p>
    <w:p>
      <w:pPr>
        <w:pStyle w:val="Subsection"/>
      </w:pPr>
      <w:r>
        <w:tab/>
        <w:t>(2)</w:t>
      </w:r>
      <w:r>
        <w:tab/>
        <w:t>On and after commencement day, the R</w:t>
      </w:r>
      <w:r>
        <w:noBreakHyphen/>
        <w:t>Codes are taken to be planning codes.</w:t>
      </w:r>
    </w:p>
    <w:p>
      <w:pPr>
        <w:pStyle w:val="Subsection"/>
      </w:pPr>
      <w:r>
        <w:tab/>
        <w:t>(3)</w:t>
      </w:r>
      <w:r>
        <w:tab/>
        <w:t>Subsection (2) does not prevent the R</w:t>
      </w:r>
      <w:r>
        <w:noBreakHyphen/>
        <w:t>Codes from being amended or repealed under Part 3A.</w:t>
      </w:r>
    </w:p>
    <w:p>
      <w:pPr>
        <w:pStyle w:val="Subsection"/>
      </w:pPr>
      <w:r>
        <w:tab/>
        <w:t>(4)</w:t>
      </w:r>
      <w:r>
        <w:tab/>
        <w:t>A provision included before commencement day in a local planning scheme under section 77(1)(b), or an improvement scheme under section 77(1)(b) as it applies under section 122B(1), in relation to the R</w:t>
      </w:r>
      <w:r>
        <w:noBreakHyphen/>
        <w:t>Codes as State planning policies continues to apply on and after commencement day in relation to the R</w:t>
      </w:r>
      <w:r>
        <w:noBreakHyphen/>
        <w:t>Codes as planning codes.</w:t>
      </w:r>
    </w:p>
    <w:p>
      <w:pPr>
        <w:pStyle w:val="Footnotesection"/>
      </w:pPr>
      <w:r>
        <w:tab/>
        <w:t>[Section 291 inserted: No. 26 of 2020 s. 105.]</w:t>
      </w:r>
    </w:p>
    <w:p>
      <w:pPr>
        <w:pStyle w:val="Heading5"/>
      </w:pPr>
      <w:bookmarkStart w:id="388" w:name="_Toc155166211"/>
      <w:r>
        <w:rPr>
          <w:rStyle w:val="CharSectno"/>
        </w:rPr>
        <w:t>292</w:t>
      </w:r>
      <w:r>
        <w:t>.</w:t>
      </w:r>
      <w:r>
        <w:tab/>
        <w:t>Regulations made by Minister continue in force</w:t>
      </w:r>
      <w:bookmarkEnd w:id="38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8 comes into operation.</w:t>
      </w:r>
    </w:p>
    <w:p>
      <w:pPr>
        <w:pStyle w:val="Subsection"/>
      </w:pPr>
      <w:r>
        <w:tab/>
        <w:t>(2)</w:t>
      </w:r>
      <w:r>
        <w:tab/>
        <w:t>Regulations made by the Minister under section 256 before commencement day continue to have effect on and after commencement day as if they were made by the Governor under section 256 and may be amended or repealed accordingly.</w:t>
      </w:r>
    </w:p>
    <w:p>
      <w:pPr>
        <w:pStyle w:val="Subsection"/>
      </w:pPr>
      <w:r>
        <w:tab/>
        <w:t>(3)</w:t>
      </w:r>
      <w:r>
        <w:tab/>
        <w:t xml:space="preserve">Regulations made by the Minister under section 258 before commencement day continue to have effect on and after </w:t>
      </w:r>
      <w:r>
        <w:lastRenderedPageBreak/>
        <w:t>commencement day as if they were made by the Governor under section 258 and may be amended or repealed accordingly.</w:t>
      </w:r>
    </w:p>
    <w:p>
      <w:pPr>
        <w:pStyle w:val="Subsection"/>
      </w:pPr>
      <w:r>
        <w:tab/>
        <w:t>(4)</w:t>
      </w:r>
      <w:r>
        <w:tab/>
        <w:t>Regulations made by the Minister under section 259 before commencement day continue to have effect on and after commencement day as if they were made by the Governor under section 259 and may be amended or repealed accordingly.</w:t>
      </w:r>
    </w:p>
    <w:p>
      <w:pPr>
        <w:pStyle w:val="Footnotesection"/>
      </w:pPr>
      <w:r>
        <w:tab/>
        <w:t>[Section 292 inserted: No. 26 of 2020 s. 105.]</w:t>
      </w:r>
    </w:p>
    <w:p>
      <w:pPr>
        <w:pStyle w:val="Heading5"/>
      </w:pPr>
      <w:bookmarkStart w:id="389" w:name="_Toc155166212"/>
      <w:r>
        <w:rPr>
          <w:rStyle w:val="CharSectno"/>
        </w:rPr>
        <w:t>293</w:t>
      </w:r>
      <w:r>
        <w:t>.</w:t>
      </w:r>
      <w:r>
        <w:tab/>
        <w:t>Electronic planning maps prepared before commencement day</w:t>
      </w:r>
      <w:bookmarkEnd w:id="38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Part 14 comes into operation.</w:t>
      </w:r>
    </w:p>
    <w:p>
      <w:pPr>
        <w:pStyle w:val="Subsection"/>
      </w:pPr>
      <w:r>
        <w:tab/>
        <w:t>(2)</w:t>
      </w:r>
      <w:r>
        <w:tab/>
        <w:t>This section applies if, before commencement day, a map that forms part of a planning instrument (as defined in section 267B(1)) has been prepared as an electronic map.</w:t>
      </w:r>
    </w:p>
    <w:p>
      <w:pPr>
        <w:pStyle w:val="Subsection"/>
      </w:pPr>
      <w:r>
        <w:tab/>
        <w:t>(3)</w:t>
      </w:r>
      <w:r>
        <w:tab/>
        <w:t>The Commission may, in writing, approve the electronic map if the Commission is satisfied that it substantially complies with the requirements for electronic planning maps under section 267B(3) to (5).</w:t>
      </w:r>
    </w:p>
    <w:p>
      <w:pPr>
        <w:pStyle w:val="Subsection"/>
      </w:pPr>
      <w:r>
        <w:tab/>
        <w:t>(4)</w:t>
      </w:r>
      <w:r>
        <w:tab/>
        <w:t>On and after commencement day, a map approved under subsection (3) is taken to be an electronic planning map prepared in accordance with section 267B.</w:t>
      </w:r>
    </w:p>
    <w:p>
      <w:pPr>
        <w:pStyle w:val="Subsection"/>
      </w:pPr>
      <w:r>
        <w:tab/>
        <w:t>(5)</w:t>
      </w:r>
      <w:r>
        <w:tab/>
        <w:t>A reference in subsection (2) or (3) to a subsection of section 267B is, before commencement day, a reference to that subsection as it will be in force on commencement day.</w:t>
      </w:r>
    </w:p>
    <w:p>
      <w:pPr>
        <w:pStyle w:val="Footnotesection"/>
      </w:pPr>
      <w:r>
        <w:tab/>
        <w:t>[Section 293 inserted: No. 26 of 2020 s. 105.]</w:t>
      </w:r>
    </w:p>
    <w:p>
      <w:pPr>
        <w:pStyle w:val="Heading5"/>
      </w:pPr>
      <w:bookmarkStart w:id="390" w:name="_Toc155166213"/>
      <w:r>
        <w:rPr>
          <w:rStyle w:val="CharSectno"/>
        </w:rPr>
        <w:t>294</w:t>
      </w:r>
      <w:r>
        <w:t>.</w:t>
      </w:r>
      <w:r>
        <w:tab/>
        <w:t>Transitional regulations</w:t>
      </w:r>
      <w:bookmarkEnd w:id="390"/>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lastRenderedPageBreak/>
        <w:tab/>
      </w:r>
      <w:r>
        <w:fldChar w:fldCharType="begin"/>
      </w:r>
      <w:r>
        <w:instrText xml:space="preserve"> LISTNUM DefinitionNumbers \l1 </w:instrText>
      </w:r>
      <w:r>
        <w:fldChar w:fldCharType="end">
          <w:numberingChange w:id="391" w:author="Jessica Caddy" w:date="2020-09-10T11:18:00Z" w:original=""/>
        </w:fldChar>
      </w:r>
      <w:r>
        <w:rPr>
          <w:rStyle w:val="CharDefText"/>
        </w:rPr>
        <w:t>transitional matter</w:t>
      </w:r>
      <w:r>
        <w:t xml:space="preserve"> — </w:t>
      </w:r>
    </w:p>
    <w:p>
      <w:pPr>
        <w:pStyle w:val="Defpara"/>
      </w:pPr>
      <w:r>
        <w:tab/>
        <w:t>(a)</w:t>
      </w:r>
      <w:r>
        <w:tab/>
        <w:t xml:space="preserve">means a matter or issue of a transitional nature that arises as a result of any of the amendments to this Act made by the </w:t>
      </w:r>
      <w:r>
        <w:rPr>
          <w:i/>
        </w:rPr>
        <w:t>Planning and Development Amendment Act 2020</w:t>
      </w:r>
      <w:r>
        <w:t>; and</w:t>
      </w:r>
    </w:p>
    <w:p>
      <w:pPr>
        <w:pStyle w:val="Defpara"/>
      </w:pPr>
      <w:r>
        <w:tab/>
        <w:t>(b)</w:t>
      </w:r>
      <w:r>
        <w:tab/>
        <w:t>includes a saving or application matter.</w:t>
      </w:r>
    </w:p>
    <w:p>
      <w:pPr>
        <w:pStyle w:val="Subsection"/>
      </w:pPr>
      <w:r>
        <w:tab/>
        <w:t>(2)</w:t>
      </w:r>
      <w:r>
        <w:tab/>
        <w:t>If there is not sufficient provision in this Act for dealing with a transitional matter, regulations may prescribe all matters that are required, or are necessary or convenient, to be prescribed for dealing with the matter.</w:t>
      </w:r>
    </w:p>
    <w:p>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Planning and Development Amendment Act 2020</w:t>
      </w:r>
      <w:r>
        <w:t xml:space="preserve"> Part 17 comes into operation, the regulations have effect according to their terms.</w:t>
      </w:r>
    </w:p>
    <w:p>
      <w:pPr>
        <w:pStyle w:val="Subsection"/>
      </w:pPr>
      <w:r>
        <w:tab/>
        <w:t>(4)</w:t>
      </w:r>
      <w:r>
        <w:tab/>
        <w:t xml:space="preserve">If regulations made under subsection (2) contain a provision of a kind described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294 inserted: No. 26 of 2020 s. 105.]</w:t>
      </w:r>
    </w:p>
    <w:p>
      <w:pPr>
        <w:pStyle w:val="Heading3"/>
      </w:pPr>
      <w:bookmarkStart w:id="392" w:name="_Toc155166214"/>
      <w:r>
        <w:rPr>
          <w:rStyle w:val="CharDivNo"/>
        </w:rPr>
        <w:lastRenderedPageBreak/>
        <w:t>Division 2</w:t>
      </w:r>
      <w:r>
        <w:t> — </w:t>
      </w:r>
      <w:r>
        <w:rPr>
          <w:rStyle w:val="CharDivText"/>
        </w:rPr>
        <w:t xml:space="preserve">Provisions for </w:t>
      </w:r>
      <w:r>
        <w:rPr>
          <w:rStyle w:val="CharDivText"/>
          <w:i/>
        </w:rPr>
        <w:t>Planning and Development Amendment Act 2022</w:t>
      </w:r>
      <w:bookmarkEnd w:id="392"/>
    </w:p>
    <w:p>
      <w:pPr>
        <w:pStyle w:val="Footnoteheading"/>
        <w:keepNext/>
      </w:pPr>
      <w:r>
        <w:tab/>
        <w:t>[Heading inserted: No. 17 of 2022 s. 15.]</w:t>
      </w:r>
    </w:p>
    <w:p>
      <w:pPr>
        <w:pStyle w:val="Heading5"/>
      </w:pPr>
      <w:bookmarkStart w:id="393" w:name="_Toc155166215"/>
      <w:r>
        <w:rPr>
          <w:rStyle w:val="CharSectno"/>
        </w:rPr>
        <w:t>295</w:t>
      </w:r>
      <w:r>
        <w:t>.</w:t>
      </w:r>
      <w:r>
        <w:tab/>
        <w:t>Amendments to development approvals</w:t>
      </w:r>
      <w:bookmarkEnd w:id="393"/>
    </w:p>
    <w:p>
      <w:pPr>
        <w:pStyle w:val="Subsection"/>
      </w:pPr>
      <w:r>
        <w:tab/>
      </w:r>
      <w:r>
        <w:tab/>
        <w:t xml:space="preserve">The amendments made by the </w:t>
      </w:r>
      <w:r>
        <w:rPr>
          <w:i/>
        </w:rPr>
        <w:t>Planning and Development Amendment Act 2022</w:t>
      </w:r>
      <w:r>
        <w:t xml:space="preserve"> sections 9 to 12 apply to an approval for development whether granted by the Commission before, on or after the day on which those sections come into operation.</w:t>
      </w:r>
    </w:p>
    <w:p>
      <w:pPr>
        <w:pStyle w:val="Footnotesection"/>
      </w:pPr>
      <w:r>
        <w:tab/>
        <w:t>[Section 295 inserted: No. 17 of 2022 s. 15.]</w:t>
      </w:r>
    </w:p>
    <w:p>
      <w:pPr>
        <w:pStyle w:val="Heading5"/>
      </w:pPr>
      <w:bookmarkStart w:id="394" w:name="_Toc155166216"/>
      <w:r>
        <w:rPr>
          <w:rStyle w:val="CharSectno"/>
        </w:rPr>
        <w:t>296</w:t>
      </w:r>
      <w:r>
        <w:t>.</w:t>
      </w:r>
      <w:r>
        <w:tab/>
        <w:t>Fees</w:t>
      </w:r>
      <w:bookmarkEnd w:id="394"/>
    </w:p>
    <w:p>
      <w:pPr>
        <w:pStyle w:val="Subsection"/>
      </w:pPr>
      <w:r>
        <w:tab/>
        <w:t>(1)</w:t>
      </w:r>
      <w:r>
        <w:tab/>
        <w:t xml:space="preserve">The development applications (as defined in section 269(1)) to which the </w:t>
      </w:r>
      <w:r>
        <w:rPr>
          <w:i/>
        </w:rPr>
        <w:t>Planning and Development (Part 17 Fees) Notice 2020</w:t>
      </w:r>
      <w:r>
        <w:t xml:space="preserve"> clause 4(1)(a) and (2) apply (subject to clause 4(5)) include a development application (as defined in section 269(1)) to be determined by the Commission under section 274 as a result of an amendment made to Part 17 by the </w:t>
      </w:r>
      <w:r>
        <w:rPr>
          <w:i/>
        </w:rPr>
        <w:t>Planning and Development Amendment Act 2022</w:t>
      </w:r>
      <w:r>
        <w:t>.</w:t>
      </w:r>
    </w:p>
    <w:p>
      <w:pPr>
        <w:pStyle w:val="Subsection"/>
      </w:pPr>
      <w:r>
        <w:tab/>
        <w:t>(2)</w:t>
      </w:r>
      <w:r>
        <w:tab/>
        <w:t xml:space="preserve">The applications made under section 279(2) to which the </w:t>
      </w:r>
      <w:r>
        <w:rPr>
          <w:i/>
        </w:rPr>
        <w:t>Planning and Development (Part 17 Fees) Notice 2020</w:t>
      </w:r>
      <w:r>
        <w:t xml:space="preserve"> clause 4(1)(b) applies include an application made under section 279(2) for an amendment of the kind referred to in section 279(2)(aa) as inserted by the </w:t>
      </w:r>
      <w:r>
        <w:rPr>
          <w:i/>
        </w:rPr>
        <w:t>Planning and Development Amendment Act 2022</w:t>
      </w:r>
      <w:r>
        <w:t>.</w:t>
      </w:r>
    </w:p>
    <w:p>
      <w:pPr>
        <w:pStyle w:val="Subsection"/>
      </w:pPr>
      <w:r>
        <w:tab/>
        <w:t>(3)</w:t>
      </w:r>
      <w:r>
        <w:tab/>
        <w:t xml:space="preserve">This section does not limit or otherwise affect the Minister’s power to amend, repeal or replace the </w:t>
      </w:r>
      <w:r>
        <w:rPr>
          <w:i/>
        </w:rPr>
        <w:t xml:space="preserve">Planning and Development (Part 17 Fees) Notice 2020 </w:t>
      </w:r>
      <w:r>
        <w:t>by a further notice published under section 285.</w:t>
      </w:r>
    </w:p>
    <w:p>
      <w:pPr>
        <w:pStyle w:val="Footnotesection"/>
      </w:pPr>
      <w:r>
        <w:tab/>
        <w:t>[Section 296 inserted: No. 17 of 2022 s. 15.]</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395" w:name="_Toc155166217"/>
      <w:r>
        <w:rPr>
          <w:rStyle w:val="CharSchNo"/>
        </w:rPr>
        <w:lastRenderedPageBreak/>
        <w:t>Schedule 1</w:t>
      </w:r>
      <w:r>
        <w:rPr>
          <w:rStyle w:val="CharSDivNo"/>
        </w:rPr>
        <w:t> </w:t>
      </w:r>
      <w:r>
        <w:t>—</w:t>
      </w:r>
      <w:r>
        <w:rPr>
          <w:rStyle w:val="CharSDivText"/>
        </w:rPr>
        <w:t> </w:t>
      </w:r>
      <w:r>
        <w:rPr>
          <w:rStyle w:val="CharSchText"/>
        </w:rPr>
        <w:t>Constitution and proceedings of the Board</w:t>
      </w:r>
      <w:bookmarkEnd w:id="395"/>
    </w:p>
    <w:p>
      <w:pPr>
        <w:pStyle w:val="yShoulderClause"/>
      </w:pPr>
      <w:r>
        <w:t>[s. 12]</w:t>
      </w:r>
    </w:p>
    <w:p>
      <w:pPr>
        <w:pStyle w:val="yHeading5"/>
        <w:outlineLvl w:val="9"/>
      </w:pPr>
      <w:bookmarkStart w:id="396" w:name="_Toc155166218"/>
      <w:r>
        <w:rPr>
          <w:rStyle w:val="CharSClsNo"/>
        </w:rPr>
        <w:t>1</w:t>
      </w:r>
      <w:r>
        <w:t>.</w:t>
      </w:r>
      <w:r>
        <w:tab/>
        <w:t>Term used: appointed member</w:t>
      </w:r>
      <w:bookmarkEnd w:id="396"/>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397" w:name="_Toc155166219"/>
      <w:r>
        <w:rPr>
          <w:rStyle w:val="CharSClsNo"/>
        </w:rPr>
        <w:t>2</w:t>
      </w:r>
      <w:r>
        <w:t>.</w:t>
      </w:r>
      <w:r>
        <w:tab/>
        <w:t>Term of office</w:t>
      </w:r>
      <w:bookmarkEnd w:id="397"/>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398" w:name="_Toc155166220"/>
      <w:r>
        <w:rPr>
          <w:rStyle w:val="CharSClsNo"/>
        </w:rPr>
        <w:t>3</w:t>
      </w:r>
      <w:r>
        <w:t>.</w:t>
      </w:r>
      <w:r>
        <w:tab/>
        <w:t>Appointments to be part-time unless stated otherwise</w:t>
      </w:r>
      <w:bookmarkEnd w:id="398"/>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399" w:name="_Toc155166221"/>
      <w:r>
        <w:rPr>
          <w:rStyle w:val="CharSClsNo"/>
        </w:rPr>
        <w:t>4</w:t>
      </w:r>
      <w:r>
        <w:t>.</w:t>
      </w:r>
      <w:r>
        <w:tab/>
        <w:t>Vacancies in and removal from office</w:t>
      </w:r>
      <w:bookmarkEnd w:id="399"/>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 xml:space="preserve">in the case of a member appointed under section 10(1)(b)(i) or (ii) who holds office on the council of a local government </w:t>
      </w:r>
      <w:r>
        <w:lastRenderedPageBreak/>
        <w:t>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400" w:name="_Toc155166222"/>
      <w:r>
        <w:rPr>
          <w:rStyle w:val="CharSClsNo"/>
        </w:rPr>
        <w:t>5</w:t>
      </w:r>
      <w:r>
        <w:t>.</w:t>
      </w:r>
      <w:r>
        <w:tab/>
        <w:t>Leave of absence</w:t>
      </w:r>
      <w:bookmarkEnd w:id="400"/>
    </w:p>
    <w:p>
      <w:pPr>
        <w:pStyle w:val="ySubsection"/>
      </w:pPr>
      <w:r>
        <w:tab/>
      </w:r>
      <w:r>
        <w:tab/>
        <w:t>The Minister may grant leave of absence to a member on such terms and conditions as the Minister thinks fit.</w:t>
      </w:r>
    </w:p>
    <w:p>
      <w:pPr>
        <w:pStyle w:val="yHeading5"/>
        <w:spacing w:before="180"/>
        <w:outlineLvl w:val="9"/>
      </w:pPr>
      <w:bookmarkStart w:id="401" w:name="_Toc155166223"/>
      <w:r>
        <w:rPr>
          <w:rStyle w:val="CharSClsNo"/>
        </w:rPr>
        <w:t>6</w:t>
      </w:r>
      <w:r>
        <w:t>.</w:t>
      </w:r>
      <w:r>
        <w:tab/>
        <w:t>Deputy chairperson</w:t>
      </w:r>
      <w:bookmarkEnd w:id="401"/>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lastRenderedPageBreak/>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402" w:name="_Toc155166224"/>
      <w:r>
        <w:rPr>
          <w:rStyle w:val="CharSClsNo"/>
        </w:rPr>
        <w:t>7</w:t>
      </w:r>
      <w:r>
        <w:t>.</w:t>
      </w:r>
      <w:r>
        <w:tab/>
        <w:t>Deputy members</w:t>
      </w:r>
      <w:bookmarkEnd w:id="402"/>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403" w:name="_Toc155166225"/>
      <w:r>
        <w:rPr>
          <w:rStyle w:val="CharSClsNo"/>
        </w:rPr>
        <w:t>8</w:t>
      </w:r>
      <w:r>
        <w:t>.</w:t>
      </w:r>
      <w:r>
        <w:tab/>
        <w:t>Meetings</w:t>
      </w:r>
      <w:bookmarkEnd w:id="403"/>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lastRenderedPageBreak/>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404" w:name="_Toc155166226"/>
      <w:r>
        <w:rPr>
          <w:rStyle w:val="CharSClsNo"/>
        </w:rPr>
        <w:t>9</w:t>
      </w:r>
      <w:r>
        <w:t>.</w:t>
      </w:r>
      <w:r>
        <w:tab/>
        <w:t>Resolution without meeting</w:t>
      </w:r>
      <w:bookmarkEnd w:id="404"/>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405" w:name="_Toc155166227"/>
      <w:r>
        <w:rPr>
          <w:rStyle w:val="CharSClsNo"/>
        </w:rPr>
        <w:t>10</w:t>
      </w:r>
      <w:r>
        <w:t>.</w:t>
      </w:r>
      <w:r>
        <w:tab/>
        <w:t>Telephone or similar meetings</w:t>
      </w:r>
      <w:bookmarkEnd w:id="405"/>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406" w:name="_Toc155166228"/>
      <w:r>
        <w:rPr>
          <w:rStyle w:val="CharSClsNo"/>
        </w:rPr>
        <w:t>11</w:t>
      </w:r>
      <w:r>
        <w:t>.</w:t>
      </w:r>
      <w:r>
        <w:tab/>
        <w:t>Minutes of meetings</w:t>
      </w:r>
      <w:bookmarkEnd w:id="406"/>
    </w:p>
    <w:p>
      <w:pPr>
        <w:pStyle w:val="ySubsection"/>
      </w:pPr>
      <w:r>
        <w:tab/>
      </w:r>
      <w:r>
        <w:tab/>
        <w:t>The board is to cause accurate records to be kept of the proceedings at its meetings.</w:t>
      </w:r>
    </w:p>
    <w:p>
      <w:pPr>
        <w:pStyle w:val="yHeading5"/>
        <w:outlineLvl w:val="9"/>
      </w:pPr>
      <w:bookmarkStart w:id="407" w:name="_Toc155166229"/>
      <w:r>
        <w:rPr>
          <w:rStyle w:val="CharSClsNo"/>
        </w:rPr>
        <w:t>12</w:t>
      </w:r>
      <w:r>
        <w:t>.</w:t>
      </w:r>
      <w:r>
        <w:tab/>
        <w:t>Procedures</w:t>
      </w:r>
      <w:bookmarkEnd w:id="407"/>
    </w:p>
    <w:p>
      <w:pPr>
        <w:pStyle w:val="ySubsection"/>
      </w:pPr>
      <w:r>
        <w:tab/>
      </w:r>
      <w:r>
        <w:tab/>
        <w:t>Subject to this Act, the board is to determine its own procedures.</w:t>
      </w:r>
    </w:p>
    <w:p>
      <w:pPr>
        <w:pStyle w:val="yScheduleHeading"/>
      </w:pPr>
      <w:bookmarkStart w:id="408" w:name="_Toc155166230"/>
      <w:r>
        <w:rPr>
          <w:rStyle w:val="CharSchNo"/>
        </w:rPr>
        <w:lastRenderedPageBreak/>
        <w:t>Schedule 2</w:t>
      </w:r>
      <w:r>
        <w:rPr>
          <w:rStyle w:val="CharSDivNo"/>
        </w:rPr>
        <w:t> </w:t>
      </w:r>
      <w:r>
        <w:t>—</w:t>
      </w:r>
      <w:r>
        <w:rPr>
          <w:rStyle w:val="CharSDivText"/>
        </w:rPr>
        <w:t> </w:t>
      </w:r>
      <w:r>
        <w:rPr>
          <w:rStyle w:val="CharSchText"/>
        </w:rPr>
        <w:t>Committees</w:t>
      </w:r>
      <w:bookmarkEnd w:id="408"/>
    </w:p>
    <w:p>
      <w:pPr>
        <w:pStyle w:val="yShoulderClause"/>
      </w:pPr>
      <w:r>
        <w:t>[s. 19]</w:t>
      </w:r>
    </w:p>
    <w:p>
      <w:pPr>
        <w:pStyle w:val="yHeading5"/>
        <w:outlineLvl w:val="9"/>
      </w:pPr>
      <w:bookmarkStart w:id="409" w:name="_Toc155166231"/>
      <w:r>
        <w:rPr>
          <w:rStyle w:val="CharSClsNo"/>
        </w:rPr>
        <w:t>1</w:t>
      </w:r>
      <w:r>
        <w:t>.</w:t>
      </w:r>
      <w:r>
        <w:tab/>
        <w:t>Committees, general provisions as to</w:t>
      </w:r>
      <w:bookmarkEnd w:id="409"/>
    </w:p>
    <w:p>
      <w:pPr>
        <w:pStyle w:val="ySubsection"/>
      </w:pPr>
      <w:r>
        <w:tab/>
        <w:t>(1)</w:t>
      </w:r>
      <w:r>
        <w:tab/>
        <w:t xml:space="preserve">In addition to the committees established under clauses 3 to 9 and the </w:t>
      </w:r>
      <w:r>
        <w:rPr>
          <w:i/>
        </w:rPr>
        <w:t>Swan Valley Planning Act 2020</w:t>
      </w:r>
      <w:r>
        <w:t xml:space="preserve"> section 33, the Commission may from time to time establish other committees.</w:t>
      </w:r>
    </w:p>
    <w:p>
      <w:pPr>
        <w:pStyle w:val="ySubsection"/>
      </w:pPr>
      <w:r>
        <w:tab/>
        <w:t>(2)</w:t>
      </w:r>
      <w:r>
        <w:tab/>
        <w:t xml:space="preserve">Subject to this Schedule and the </w:t>
      </w:r>
      <w:r>
        <w:rPr>
          <w:i/>
        </w:rPr>
        <w:t>Swan Valley Planning Act 2020</w:t>
      </w:r>
      <w:r>
        <w:t xml:space="preserv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 xml:space="preserve">The Commission may give directions to a committee with respect to the performance of its functions, either generally or with respect to a </w:t>
      </w:r>
      <w:r>
        <w:lastRenderedPageBreak/>
        <w:t>particular matter, and the committee is to give effect to those directions.</w:t>
      </w:r>
    </w:p>
    <w:p>
      <w:pPr>
        <w:pStyle w:val="ySubsection"/>
      </w:pPr>
      <w:r>
        <w:tab/>
        <w:t>(6)</w:t>
      </w:r>
      <w:r>
        <w:tab/>
        <w:t xml:space="preserve">Subject to the directions of the Commission and to the terms of any delegation under section 16 or the </w:t>
      </w:r>
      <w:r>
        <w:rPr>
          <w:i/>
        </w:rPr>
        <w:t>Swan Valley Planning Act 2020</w:t>
      </w:r>
      <w:r>
        <w:t xml:space="preserve"> section 34, a committee may determine its own procedures.</w:t>
      </w:r>
    </w:p>
    <w:p>
      <w:pPr>
        <w:pStyle w:val="yFootnotesection"/>
      </w:pPr>
      <w:r>
        <w:tab/>
        <w:t>[Clause 1 amended: No. 45 of 2020 s. 94.]</w:t>
      </w:r>
    </w:p>
    <w:p>
      <w:pPr>
        <w:pStyle w:val="yHeading5"/>
        <w:outlineLvl w:val="9"/>
      </w:pPr>
      <w:bookmarkStart w:id="410" w:name="_Toc155166232"/>
      <w:r>
        <w:rPr>
          <w:rStyle w:val="CharSClsNo"/>
        </w:rPr>
        <w:t>2</w:t>
      </w:r>
      <w:r>
        <w:t>.</w:t>
      </w:r>
      <w:r>
        <w:tab/>
        <w:t>Deputy members for local government representatives</w:t>
      </w:r>
      <w:bookmarkEnd w:id="410"/>
    </w:p>
    <w:p>
      <w:pPr>
        <w:pStyle w:val="ySubsection"/>
      </w:pPr>
      <w:r>
        <w:tab/>
        <w:t>(1)</w:t>
      </w:r>
      <w:r>
        <w:tab/>
        <w:t xml:space="preserve">The Commission, with the approval of the Minister, may appoint a person to be a deputy of a member of a committee appointed under clause 4(2)(f), 5(2)(f), 6(2)(j), 7(2)(h) or (i) or 8(2)(d) or under the </w:t>
      </w:r>
      <w:r>
        <w:rPr>
          <w:i/>
        </w:rPr>
        <w:t>Swan Valley Planning Act 2020</w:t>
      </w:r>
      <w:r>
        <w:t xml:space="preserve"> section 33(2)(c).</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Footnotesection"/>
      </w:pPr>
      <w:r>
        <w:tab/>
        <w:t>[Clause 2 amended: No. 45 of 2020 s. 95.]</w:t>
      </w:r>
    </w:p>
    <w:p>
      <w:pPr>
        <w:pStyle w:val="yHeading5"/>
        <w:outlineLvl w:val="9"/>
      </w:pPr>
      <w:bookmarkStart w:id="411" w:name="_Toc155166233"/>
      <w:r>
        <w:rPr>
          <w:rStyle w:val="CharSClsNo"/>
        </w:rPr>
        <w:t>3</w:t>
      </w:r>
      <w:r>
        <w:t>.</w:t>
      </w:r>
      <w:r>
        <w:tab/>
        <w:t>Executive, Finance and Property Committee</w:t>
      </w:r>
      <w:bookmarkEnd w:id="411"/>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lastRenderedPageBreak/>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412" w:name="_Toc155166234"/>
      <w:r>
        <w:rPr>
          <w:rStyle w:val="CharSClsNo"/>
        </w:rPr>
        <w:t>4</w:t>
      </w:r>
      <w:r>
        <w:t>.</w:t>
      </w:r>
      <w:r>
        <w:tab/>
        <w:t>Statutory Planning Committee</w:t>
      </w:r>
      <w:bookmarkEnd w:id="412"/>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lastRenderedPageBreak/>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w:t>
      </w:r>
      <w:r>
        <w:rPr>
          <w:szCs w:val="22"/>
        </w:rPr>
        <w:t xml:space="preserve">Part 3 </w:t>
      </w:r>
      <w:r>
        <w:t xml:space="preserve">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w:t>
      </w:r>
      <w:r>
        <w:rPr>
          <w:szCs w:val="22"/>
        </w:rPr>
        <w:t>Part 3</w:t>
      </w:r>
      <w:r>
        <w:t xml:space="preserve">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Footnotesection"/>
      </w:pPr>
      <w:r>
        <w:tab/>
        <w:t>[Clause 4 amended: No. 30 of 2018 s. 170.]</w:t>
      </w:r>
    </w:p>
    <w:p>
      <w:pPr>
        <w:pStyle w:val="yHeading5"/>
        <w:outlineLvl w:val="9"/>
      </w:pPr>
      <w:bookmarkStart w:id="413" w:name="_Toc155166235"/>
      <w:r>
        <w:rPr>
          <w:rStyle w:val="CharSClsNo"/>
        </w:rPr>
        <w:t>5</w:t>
      </w:r>
      <w:r>
        <w:t>.</w:t>
      </w:r>
      <w:r>
        <w:tab/>
        <w:t>Sustainable Transport Committee</w:t>
      </w:r>
      <w:bookmarkEnd w:id="413"/>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lastRenderedPageBreak/>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Ednotesection"/>
        <w:rPr>
          <w:b/>
        </w:rPr>
      </w:pPr>
      <w:r>
        <w:t>[</w:t>
      </w:r>
      <w:r>
        <w:rPr>
          <w:b/>
        </w:rPr>
        <w:t>6.</w:t>
      </w:r>
      <w:r>
        <w:tab/>
        <w:t>Deleted by No. 13 of 2019 s. 76(2).]</w:t>
      </w:r>
    </w:p>
    <w:p>
      <w:pPr>
        <w:pStyle w:val="yHeading5"/>
        <w:outlineLvl w:val="9"/>
      </w:pPr>
      <w:bookmarkStart w:id="414" w:name="_Toc155166236"/>
      <w:r>
        <w:rPr>
          <w:rStyle w:val="CharSClsNo"/>
        </w:rPr>
        <w:t>7</w:t>
      </w:r>
      <w:r>
        <w:t>.</w:t>
      </w:r>
      <w:r>
        <w:tab/>
        <w:t>Coastal Planning and Coordination Council</w:t>
      </w:r>
      <w:bookmarkEnd w:id="414"/>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lastRenderedPageBreak/>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lastRenderedPageBreak/>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No. 8 of 2009 s. 100(6).]</w:t>
      </w:r>
    </w:p>
    <w:p>
      <w:pPr>
        <w:pStyle w:val="yHeading5"/>
        <w:outlineLvl w:val="9"/>
      </w:pPr>
      <w:bookmarkStart w:id="415" w:name="_Toc155166237"/>
      <w:r>
        <w:rPr>
          <w:rStyle w:val="CharSClsNo"/>
        </w:rPr>
        <w:t>8</w:t>
      </w:r>
      <w:r>
        <w:t>.</w:t>
      </w:r>
      <w:r>
        <w:tab/>
        <w:t>Regional planning committees</w:t>
      </w:r>
      <w:bookmarkEnd w:id="415"/>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 xml:space="preserve">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w:t>
      </w:r>
      <w:r>
        <w:lastRenderedPageBreak/>
        <w:t>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416" w:name="_Toc155166238"/>
      <w:r>
        <w:rPr>
          <w:rStyle w:val="CharSClsNo"/>
        </w:rPr>
        <w:t>9</w:t>
      </w:r>
      <w:r>
        <w:t>.</w:t>
      </w:r>
      <w:r>
        <w:tab/>
        <w:t>District planning committees</w:t>
      </w:r>
      <w:bookmarkEnd w:id="416"/>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lastRenderedPageBreak/>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418" w:name="_Toc155166239"/>
      <w:r>
        <w:rPr>
          <w:rStyle w:val="CharSchNo"/>
        </w:rPr>
        <w:lastRenderedPageBreak/>
        <w:t>Schedule 3</w:t>
      </w:r>
      <w:r>
        <w:rPr>
          <w:rStyle w:val="CharSDivNo"/>
        </w:rPr>
        <w:t> </w:t>
      </w:r>
      <w:r>
        <w:t>—</w:t>
      </w:r>
      <w:r>
        <w:rPr>
          <w:rStyle w:val="CharSDivText"/>
        </w:rPr>
        <w:t> </w:t>
      </w:r>
      <w:r>
        <w:rPr>
          <w:rStyle w:val="CharSchText"/>
        </w:rPr>
        <w:t>Metropolitan region</w:t>
      </w:r>
      <w:bookmarkEnd w:id="418"/>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4</w:t>
      </w:r>
      <w:r>
        <w:t xml:space="preserve"> Diagram 2909, being a south</w:t>
      </w:r>
      <w:r>
        <w:noBreakHyphen/>
        <w:t xml:space="preserve">eastern corner of the local government district of Rockingham; thence generally westerly along the boundaries of the local government district of Rockingham to the </w:t>
      </w:r>
      <w:r>
        <w:lastRenderedPageBreak/>
        <w:t>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No. 60 of 2006 s. 147(8).]</w:t>
      </w:r>
    </w:p>
    <w:p>
      <w:pPr>
        <w:pStyle w:val="yScheduleHeading"/>
      </w:pPr>
      <w:bookmarkStart w:id="419" w:name="_Toc155166240"/>
      <w:r>
        <w:rPr>
          <w:rStyle w:val="CharSchNo"/>
        </w:rPr>
        <w:lastRenderedPageBreak/>
        <w:t>Schedule 4</w:t>
      </w:r>
      <w:r>
        <w:rPr>
          <w:rStyle w:val="CharSDivNo"/>
        </w:rPr>
        <w:t> </w:t>
      </w:r>
      <w:r>
        <w:t>—</w:t>
      </w:r>
      <w:r>
        <w:rPr>
          <w:rStyle w:val="CharSDivText"/>
        </w:rPr>
        <w:t> </w:t>
      </w:r>
      <w:r>
        <w:rPr>
          <w:rStyle w:val="CharSchText"/>
        </w:rPr>
        <w:t>Other regions</w:t>
      </w:r>
      <w:bookmarkEnd w:id="419"/>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420" w:name="_Toc155166241"/>
      <w:r>
        <w:rPr>
          <w:rStyle w:val="CharSClsNo"/>
        </w:rPr>
        <w:t>1</w:t>
      </w:r>
      <w:r>
        <w:t>.</w:t>
      </w:r>
      <w:r>
        <w:tab/>
        <w:t>Gascoyne Region</w:t>
      </w:r>
      <w:bookmarkEnd w:id="420"/>
    </w:p>
    <w:p>
      <w:pPr>
        <w:pStyle w:val="ySubsection"/>
      </w:pPr>
      <w:r>
        <w:rPr>
          <w:b/>
        </w:rPr>
        <w:tab/>
      </w:r>
      <w:r>
        <w:rPr>
          <w:b/>
        </w:rPr>
        <w:tab/>
      </w:r>
      <w:r>
        <w:t>The districts of Carnarvon, Exmouth, Shark Bay and Upper Gascoyne.</w:t>
      </w:r>
    </w:p>
    <w:p>
      <w:pPr>
        <w:pStyle w:val="yHeading5"/>
        <w:outlineLvl w:val="9"/>
      </w:pPr>
      <w:bookmarkStart w:id="421" w:name="_Toc155166242"/>
      <w:r>
        <w:rPr>
          <w:rStyle w:val="CharSClsNo"/>
        </w:rPr>
        <w:t>2</w:t>
      </w:r>
      <w:r>
        <w:t>.</w:t>
      </w:r>
      <w:r>
        <w:rPr>
          <w:b w:val="0"/>
        </w:rPr>
        <w:tab/>
      </w:r>
      <w:r>
        <w:t>Goldfields</w:t>
      </w:r>
      <w:r>
        <w:noBreakHyphen/>
        <w:t>Esperance Region</w:t>
      </w:r>
      <w:bookmarkEnd w:id="421"/>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422" w:name="_Toc155166243"/>
      <w:r>
        <w:rPr>
          <w:rStyle w:val="CharSClsNo"/>
        </w:rPr>
        <w:t>3</w:t>
      </w:r>
      <w:r>
        <w:t>.</w:t>
      </w:r>
      <w:r>
        <w:tab/>
        <w:t>Great Southern Region</w:t>
      </w:r>
      <w:bookmarkEnd w:id="422"/>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423" w:name="_Toc155166244"/>
      <w:r>
        <w:rPr>
          <w:rStyle w:val="CharSClsNo"/>
        </w:rPr>
        <w:t>4</w:t>
      </w:r>
      <w:r>
        <w:t>.</w:t>
      </w:r>
      <w:r>
        <w:tab/>
        <w:t>Kimberley Region</w:t>
      </w:r>
      <w:bookmarkEnd w:id="423"/>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424" w:name="_Toc155166245"/>
      <w:r>
        <w:rPr>
          <w:rStyle w:val="CharSClsNo"/>
        </w:rPr>
        <w:t>5</w:t>
      </w:r>
      <w:r>
        <w:t>.</w:t>
      </w:r>
      <w:r>
        <w:tab/>
        <w:t>Mid West Region</w:t>
      </w:r>
      <w:bookmarkEnd w:id="424"/>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425" w:name="_Toc155166246"/>
      <w:r>
        <w:rPr>
          <w:rStyle w:val="CharSClsNo"/>
        </w:rPr>
        <w:t>6</w:t>
      </w:r>
      <w:r>
        <w:t>.</w:t>
      </w:r>
      <w:r>
        <w:tab/>
        <w:t>Peel Region</w:t>
      </w:r>
      <w:bookmarkEnd w:id="425"/>
    </w:p>
    <w:p>
      <w:pPr>
        <w:pStyle w:val="ySubsection"/>
      </w:pPr>
      <w:r>
        <w:rPr>
          <w:b/>
        </w:rPr>
        <w:tab/>
      </w:r>
      <w:r>
        <w:rPr>
          <w:b/>
        </w:rPr>
        <w:tab/>
      </w:r>
      <w:r>
        <w:t>The districts of Mandurah, Boddington, Murray and Waroona.</w:t>
      </w:r>
    </w:p>
    <w:p>
      <w:pPr>
        <w:pStyle w:val="yHeading5"/>
        <w:outlineLvl w:val="9"/>
      </w:pPr>
      <w:bookmarkStart w:id="426" w:name="_Toc155166247"/>
      <w:r>
        <w:rPr>
          <w:rStyle w:val="CharSClsNo"/>
        </w:rPr>
        <w:t>7</w:t>
      </w:r>
      <w:r>
        <w:t>.</w:t>
      </w:r>
      <w:r>
        <w:tab/>
        <w:t>Pilbara Region</w:t>
      </w:r>
      <w:bookmarkEnd w:id="426"/>
    </w:p>
    <w:p>
      <w:pPr>
        <w:pStyle w:val="ySubsection"/>
      </w:pPr>
      <w:r>
        <w:tab/>
      </w:r>
      <w:r>
        <w:tab/>
        <w:t>The districts of Port Hedland, Ashburton, East Pilbara and Roebourne</w:t>
      </w:r>
      <w:r>
        <w:rPr>
          <w:vertAlign w:val="superscript"/>
        </w:rPr>
        <w:t> 5</w:t>
      </w:r>
      <w:r>
        <w:t>.</w:t>
      </w:r>
    </w:p>
    <w:p>
      <w:pPr>
        <w:pStyle w:val="yHeading5"/>
        <w:outlineLvl w:val="9"/>
      </w:pPr>
      <w:bookmarkStart w:id="427" w:name="_Toc155166248"/>
      <w:r>
        <w:rPr>
          <w:rStyle w:val="CharSClsNo"/>
        </w:rPr>
        <w:lastRenderedPageBreak/>
        <w:t>8</w:t>
      </w:r>
      <w:r>
        <w:t>.</w:t>
      </w:r>
      <w:r>
        <w:tab/>
        <w:t>South West Region</w:t>
      </w:r>
      <w:bookmarkEnd w:id="427"/>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428" w:name="_Toc155166249"/>
      <w:r>
        <w:rPr>
          <w:rStyle w:val="CharSClsNo"/>
        </w:rPr>
        <w:t>9</w:t>
      </w:r>
      <w:r>
        <w:t>.</w:t>
      </w:r>
      <w:r>
        <w:tab/>
        <w:t>Wheatbelt Region</w:t>
      </w:r>
      <w:bookmarkEnd w:id="428"/>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429" w:name="_Toc155166250"/>
      <w:r>
        <w:rPr>
          <w:rStyle w:val="CharSchNo"/>
        </w:rPr>
        <w:lastRenderedPageBreak/>
        <w:t>Schedule 5</w:t>
      </w:r>
      <w:r>
        <w:rPr>
          <w:rStyle w:val="CharSDivNo"/>
        </w:rPr>
        <w:t> </w:t>
      </w:r>
      <w:r>
        <w:t>—</w:t>
      </w:r>
      <w:r>
        <w:rPr>
          <w:rStyle w:val="CharSDivText"/>
        </w:rPr>
        <w:t> </w:t>
      </w:r>
      <w:r>
        <w:rPr>
          <w:rStyle w:val="CharSchText"/>
        </w:rPr>
        <w:t>Local governments — metropolitan region</w:t>
      </w:r>
      <w:bookmarkEnd w:id="429"/>
    </w:p>
    <w:p>
      <w:pPr>
        <w:pStyle w:val="yShoulderClause"/>
      </w:pPr>
      <w:r>
        <w:t>[Sch. 2, cl. 9(1)(b)]</w:t>
      </w:r>
    </w:p>
    <w:p>
      <w:pPr>
        <w:pStyle w:val="yHeading5"/>
        <w:outlineLvl w:val="9"/>
      </w:pPr>
      <w:bookmarkStart w:id="430" w:name="_Toc155166251"/>
      <w:r>
        <w:rPr>
          <w:rStyle w:val="CharSClsNo"/>
        </w:rPr>
        <w:t>1</w:t>
      </w:r>
      <w:r>
        <w:t>.</w:t>
      </w:r>
      <w:r>
        <w:tab/>
        <w:t>SOUTH</w:t>
      </w:r>
      <w:r>
        <w:noBreakHyphen/>
        <w:t>WEST GROUP</w:t>
      </w:r>
      <w:bookmarkEnd w:id="430"/>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431" w:name="_Toc155166252"/>
      <w:r>
        <w:rPr>
          <w:rStyle w:val="CharSClsNo"/>
        </w:rPr>
        <w:t>2</w:t>
      </w:r>
      <w:r>
        <w:t>.</w:t>
      </w:r>
      <w:r>
        <w:tab/>
        <w:t>WESTERN SUBURBS GROUP</w:t>
      </w:r>
      <w:bookmarkEnd w:id="431"/>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432" w:name="_Toc155166253"/>
      <w:r>
        <w:rPr>
          <w:rStyle w:val="CharSClsNo"/>
        </w:rPr>
        <w:t>3</w:t>
      </w:r>
      <w:r>
        <w:t>.</w:t>
      </w:r>
      <w:r>
        <w:tab/>
        <w:t>NORTH</w:t>
      </w:r>
      <w:r>
        <w:noBreakHyphen/>
        <w:t>WEST GROUP</w:t>
      </w:r>
      <w:bookmarkEnd w:id="432"/>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r>
        <w:rPr>
          <w:vertAlign w:val="superscript"/>
        </w:rPr>
        <w:t> 6</w:t>
      </w:r>
    </w:p>
    <w:p>
      <w:pPr>
        <w:pStyle w:val="ySubsection"/>
        <w:tabs>
          <w:tab w:val="clear" w:pos="879"/>
          <w:tab w:val="left" w:pos="2268"/>
        </w:tabs>
      </w:pPr>
      <w:r>
        <w:tab/>
      </w:r>
      <w:r>
        <w:tab/>
        <w:t>City of Joondalup</w:t>
      </w:r>
    </w:p>
    <w:p>
      <w:pPr>
        <w:pStyle w:val="yHeading5"/>
        <w:outlineLvl w:val="9"/>
      </w:pPr>
      <w:bookmarkStart w:id="433" w:name="_Toc155166254"/>
      <w:r>
        <w:rPr>
          <w:rStyle w:val="CharSClsNo"/>
        </w:rPr>
        <w:lastRenderedPageBreak/>
        <w:t>4</w:t>
      </w:r>
      <w:r>
        <w:t>.</w:t>
      </w:r>
      <w:r>
        <w:tab/>
        <w:t>SOUTH</w:t>
      </w:r>
      <w:r>
        <w:noBreakHyphen/>
        <w:t>EAST GROUP</w:t>
      </w:r>
      <w:bookmarkEnd w:id="433"/>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434" w:name="_Toc155166255"/>
      <w:r>
        <w:rPr>
          <w:rStyle w:val="CharSClsNo"/>
        </w:rPr>
        <w:t>5</w:t>
      </w:r>
      <w:r>
        <w:t>.</w:t>
      </w:r>
      <w:r>
        <w:tab/>
        <w:t>EASTERN GROUP</w:t>
      </w:r>
      <w:bookmarkEnd w:id="434"/>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pPr>
      <w:bookmarkStart w:id="435" w:name="_Toc155166256"/>
      <w:r>
        <w:rPr>
          <w:rStyle w:val="CharSchNo"/>
        </w:rPr>
        <w:lastRenderedPageBreak/>
        <w:t>Schedule 6</w:t>
      </w:r>
      <w:r>
        <w:rPr>
          <w:rStyle w:val="CharSDivNo"/>
        </w:rPr>
        <w:t> </w:t>
      </w:r>
      <w:r>
        <w:t>—</w:t>
      </w:r>
      <w:r>
        <w:rPr>
          <w:rStyle w:val="CharSDivText"/>
        </w:rPr>
        <w:t> </w:t>
      </w:r>
      <w:r>
        <w:rPr>
          <w:rStyle w:val="CharSchText"/>
        </w:rPr>
        <w:t>Planning control areas: purposes for which land may be required</w:t>
      </w:r>
      <w:bookmarkEnd w:id="435"/>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important regional roads and other roads that are necessary because of highways or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r>
        <w:trPr>
          <w:cantSplit/>
          <w:trHeight w:val="20"/>
        </w:trPr>
        <w:tc>
          <w:tcPr>
            <w:tcW w:w="993" w:type="dxa"/>
          </w:tcPr>
          <w:p>
            <w:pPr>
              <w:pStyle w:val="yTableNAm"/>
            </w:pPr>
            <w:r>
              <w:t>20.</w:t>
            </w:r>
          </w:p>
        </w:tc>
        <w:tc>
          <w:tcPr>
            <w:tcW w:w="4800" w:type="dxa"/>
          </w:tcPr>
          <w:p>
            <w:pPr>
              <w:pStyle w:val="yTableNAm"/>
            </w:pPr>
            <w:r>
              <w:t>Public transport</w:t>
            </w:r>
          </w:p>
        </w:tc>
      </w:tr>
    </w:tbl>
    <w:p>
      <w:pPr>
        <w:pStyle w:val="yFootnotesection"/>
        <w:rPr>
          <w:rStyle w:val="CharSchNo"/>
          <w:b/>
          <w:snapToGrid/>
        </w:rPr>
      </w:pPr>
      <w:r>
        <w:rPr>
          <w:rStyle w:val="CharSchNo"/>
        </w:rPr>
        <w:tab/>
        <w:t>[Schedule 6 amended: No. 26 of 2020 s. 103.]</w:t>
      </w:r>
    </w:p>
    <w:p>
      <w:pPr>
        <w:pStyle w:val="yFootnotesection"/>
        <w:rPr>
          <w:rStyle w:val="CharSchNo"/>
          <w:b/>
        </w:rPr>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yScheduleHeading"/>
      </w:pPr>
      <w:bookmarkStart w:id="436" w:name="_Toc155166257"/>
      <w:r>
        <w:rPr>
          <w:rStyle w:val="CharSchNo"/>
        </w:rPr>
        <w:lastRenderedPageBreak/>
        <w:t>Schedule 7</w:t>
      </w:r>
      <w:r>
        <w:rPr>
          <w:rStyle w:val="CharSDivNo"/>
        </w:rPr>
        <w:t> </w:t>
      </w:r>
      <w:r>
        <w:t>—</w:t>
      </w:r>
      <w:r>
        <w:rPr>
          <w:rStyle w:val="CharSDivText"/>
        </w:rPr>
        <w:t> </w:t>
      </w:r>
      <w:r>
        <w:rPr>
          <w:rStyle w:val="CharSchText"/>
        </w:rPr>
        <w:t>Matters which may be dealt with by planning scheme</w:t>
      </w:r>
      <w:bookmarkEnd w:id="436"/>
    </w:p>
    <w:p>
      <w:pPr>
        <w:pStyle w:val="yShoulderClause"/>
      </w:pPr>
      <w:r>
        <w:t>[s. 69, 256(1)]</w:t>
      </w:r>
    </w:p>
    <w:p>
      <w:pPr>
        <w:pStyle w:val="yHeading5"/>
        <w:outlineLvl w:val="9"/>
      </w:pPr>
      <w:bookmarkStart w:id="437" w:name="_Toc155166258"/>
      <w:r>
        <w:rPr>
          <w:rStyle w:val="CharSClsNo"/>
        </w:rPr>
        <w:t>1</w:t>
      </w:r>
      <w:r>
        <w:t>.</w:t>
      </w:r>
      <w:r>
        <w:tab/>
        <w:t>Generality preserved</w:t>
      </w:r>
      <w:bookmarkEnd w:id="437"/>
    </w:p>
    <w:p>
      <w:pPr>
        <w:pStyle w:val="ySubsection"/>
      </w:pPr>
      <w:r>
        <w:tab/>
      </w:r>
      <w:r>
        <w:tab/>
        <w:t>The mention of a particular matter in this Schedule does not prejudice or affect the generality of any other matter.</w:t>
      </w:r>
    </w:p>
    <w:p>
      <w:pPr>
        <w:pStyle w:val="yHeading5"/>
        <w:outlineLvl w:val="9"/>
      </w:pPr>
      <w:bookmarkStart w:id="438" w:name="_Toc155166259"/>
      <w:r>
        <w:rPr>
          <w:rStyle w:val="CharSClsNo"/>
        </w:rPr>
        <w:t>2</w:t>
      </w:r>
      <w:r>
        <w:t>.</w:t>
      </w:r>
      <w:r>
        <w:tab/>
        <w:t>Subdivision</w:t>
      </w:r>
      <w:bookmarkEnd w:id="438"/>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439" w:name="_Toc155166260"/>
      <w:r>
        <w:rPr>
          <w:rStyle w:val="CharSClsNo"/>
        </w:rPr>
        <w:t>3</w:t>
      </w:r>
      <w:r>
        <w:t>.</w:t>
      </w:r>
      <w:r>
        <w:tab/>
        <w:t>Reconstruction</w:t>
      </w:r>
      <w:bookmarkEnd w:id="439"/>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440" w:name="_Toc155166261"/>
      <w:r>
        <w:rPr>
          <w:rStyle w:val="CharSClsNo"/>
        </w:rPr>
        <w:t>4</w:t>
      </w:r>
      <w:r>
        <w:t>.</w:t>
      </w:r>
      <w:r>
        <w:tab/>
        <w:t>Preservation and conservation</w:t>
      </w:r>
      <w:bookmarkEnd w:id="440"/>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441" w:name="_Toc155166262"/>
      <w:r>
        <w:rPr>
          <w:rStyle w:val="CharSClsNo"/>
        </w:rPr>
        <w:lastRenderedPageBreak/>
        <w:t>5</w:t>
      </w:r>
      <w:r>
        <w:t>.</w:t>
      </w:r>
      <w:r>
        <w:tab/>
        <w:t>Roads, public works, community infrastructure, reservation of land, provision of facilities</w:t>
      </w:r>
      <w:bookmarkEnd w:id="441"/>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(2A)</w:t>
      </w:r>
      <w:r>
        <w:tab/>
        <w:t>Community infrastructure, including community centres, libraries, schools and other educational facilities, child care centres (including outside school hours care services) and sporting facilities.</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Subsection"/>
      </w:pPr>
      <w:r>
        <w:tab/>
        <w:t>(5)</w:t>
      </w:r>
      <w:r>
        <w:tab/>
        <w:t>The designation of classes or kinds of development as public work.</w:t>
      </w:r>
    </w:p>
    <w:p>
      <w:pPr>
        <w:pStyle w:val="yFootnotesection"/>
      </w:pPr>
      <w:r>
        <w:tab/>
        <w:t>[Clause 5 amended: No. 26 of 2020 s. 13 and 88(1).]</w:t>
      </w:r>
    </w:p>
    <w:p>
      <w:pPr>
        <w:pStyle w:val="yHeading5"/>
        <w:outlineLvl w:val="9"/>
      </w:pPr>
      <w:bookmarkStart w:id="442" w:name="_Toc155166263"/>
      <w:r>
        <w:rPr>
          <w:rStyle w:val="CharSClsNo"/>
        </w:rPr>
        <w:t>6</w:t>
      </w:r>
      <w:r>
        <w:t>.</w:t>
      </w:r>
      <w:r>
        <w:tab/>
        <w:t>Zoning</w:t>
      </w:r>
      <w:bookmarkEnd w:id="442"/>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443" w:name="_Toc155166264"/>
      <w:r>
        <w:rPr>
          <w:rStyle w:val="CharSClsNo"/>
        </w:rPr>
        <w:t>7</w:t>
      </w:r>
      <w:r>
        <w:t>.</w:t>
      </w:r>
      <w:r>
        <w:tab/>
        <w:t>Controls for land management</w:t>
      </w:r>
      <w:bookmarkEnd w:id="443"/>
    </w:p>
    <w:p>
      <w:pPr>
        <w:pStyle w:val="ySubsection"/>
        <w:spacing w:before="120"/>
      </w:pPr>
      <w:r>
        <w:tab/>
      </w:r>
      <w:r>
        <w:tab/>
        <w:t>Controls for land or site management for matters to which this Act relates.</w:t>
      </w:r>
    </w:p>
    <w:p>
      <w:pPr>
        <w:pStyle w:val="yHeading5"/>
        <w:outlineLvl w:val="9"/>
      </w:pPr>
      <w:bookmarkStart w:id="444" w:name="_Toc155166265"/>
      <w:r>
        <w:rPr>
          <w:rStyle w:val="CharSClsNo"/>
        </w:rPr>
        <w:t>8</w:t>
      </w:r>
      <w:r>
        <w:t>.</w:t>
      </w:r>
      <w:r>
        <w:tab/>
        <w:t>Development standards</w:t>
      </w:r>
      <w:bookmarkEnd w:id="444"/>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lastRenderedPageBreak/>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445" w:name="_Toc155166266"/>
      <w:r>
        <w:rPr>
          <w:rStyle w:val="CharSClsNo"/>
        </w:rPr>
        <w:t>9</w:t>
      </w:r>
      <w:r>
        <w:t>.</w:t>
      </w:r>
      <w:r>
        <w:tab/>
        <w:t>Development controls</w:t>
      </w:r>
      <w:bookmarkEnd w:id="445"/>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446" w:name="_Toc155166267"/>
      <w:r>
        <w:rPr>
          <w:rStyle w:val="CharSClsNo"/>
        </w:rPr>
        <w:t>10</w:t>
      </w:r>
      <w:r>
        <w:t>.</w:t>
      </w:r>
      <w:r>
        <w:tab/>
        <w:t>Acquisition and purchase of land</w:t>
      </w:r>
      <w:bookmarkEnd w:id="446"/>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447" w:name="_Toc155166268"/>
      <w:r>
        <w:rPr>
          <w:rStyle w:val="CharSClsNo"/>
        </w:rPr>
        <w:t>11</w:t>
      </w:r>
      <w:r>
        <w:t>.</w:t>
      </w:r>
      <w:r>
        <w:tab/>
        <w:t>Powers</w:t>
      </w:r>
      <w:bookmarkEnd w:id="447"/>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Subsection"/>
      </w:pPr>
      <w:r>
        <w:tab/>
        <w:t>(5)</w:t>
      </w:r>
      <w:r>
        <w:tab/>
        <w:t>The financial management of any expenses recovered as referred to in subclause (4).</w:t>
      </w:r>
    </w:p>
    <w:p>
      <w:pPr>
        <w:pStyle w:val="yFootnotesection"/>
      </w:pPr>
      <w:r>
        <w:tab/>
        <w:t>[Clause 11 amended: No. 26 of 2020 s. 88(2).]</w:t>
      </w:r>
    </w:p>
    <w:p>
      <w:pPr>
        <w:pStyle w:val="yHeading5"/>
        <w:spacing w:before="200"/>
        <w:outlineLvl w:val="9"/>
      </w:pPr>
      <w:bookmarkStart w:id="448" w:name="_Toc155166269"/>
      <w:r>
        <w:rPr>
          <w:rStyle w:val="CharSClsNo"/>
        </w:rPr>
        <w:t>12</w:t>
      </w:r>
      <w:r>
        <w:t>.</w:t>
      </w:r>
      <w:r>
        <w:tab/>
        <w:t>Agreements and cooperation</w:t>
      </w:r>
      <w:bookmarkEnd w:id="448"/>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lastRenderedPageBreak/>
        <w:tab/>
        <w:t>(3)</w:t>
      </w:r>
      <w:r>
        <w:tab/>
        <w:t>Agreements and cooperation between owners of land.</w:t>
      </w:r>
    </w:p>
    <w:p>
      <w:pPr>
        <w:pStyle w:val="yHeading5"/>
        <w:spacing w:before="200"/>
        <w:outlineLvl w:val="9"/>
      </w:pPr>
      <w:bookmarkStart w:id="449" w:name="_Toc155166270"/>
      <w:r>
        <w:rPr>
          <w:rStyle w:val="CharSClsNo"/>
        </w:rPr>
        <w:t>13</w:t>
      </w:r>
      <w:r>
        <w:t>.</w:t>
      </w:r>
      <w:r>
        <w:tab/>
        <w:t>Carrying out scheme</w:t>
      </w:r>
      <w:bookmarkEnd w:id="449"/>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No. 28 of 2010 s. 68.]</w:t>
      </w:r>
    </w:p>
    <w:p>
      <w:pPr>
        <w:pStyle w:val="yHeading5"/>
        <w:outlineLvl w:val="9"/>
      </w:pPr>
      <w:bookmarkStart w:id="450" w:name="_Toc155166271"/>
      <w:r>
        <w:rPr>
          <w:rStyle w:val="CharSClsNo"/>
        </w:rPr>
        <w:t>14</w:t>
      </w:r>
      <w:r>
        <w:t>.</w:t>
      </w:r>
      <w:r>
        <w:tab/>
        <w:t>Review by SAT</w:t>
      </w:r>
      <w:bookmarkEnd w:id="450"/>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451" w:name="_Toc155166272"/>
      <w:r>
        <w:rPr>
          <w:rStyle w:val="CharSClsNo"/>
        </w:rPr>
        <w:t>15</w:t>
      </w:r>
      <w:r>
        <w:t>.</w:t>
      </w:r>
      <w:r>
        <w:tab/>
        <w:t>Policies and ancillary matters</w:t>
      </w:r>
      <w:bookmarkEnd w:id="451"/>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452" w:name="_Toc155166273"/>
      <w:r>
        <w:rPr>
          <w:rStyle w:val="CharSchNo"/>
        </w:rPr>
        <w:lastRenderedPageBreak/>
        <w:t>Schedule 8</w:t>
      </w:r>
      <w:r>
        <w:rPr>
          <w:rStyle w:val="CharSDivNo"/>
        </w:rPr>
        <w:t> </w:t>
      </w:r>
      <w:r>
        <w:t>—</w:t>
      </w:r>
      <w:r>
        <w:rPr>
          <w:rStyle w:val="CharSDivText"/>
        </w:rPr>
        <w:t> </w:t>
      </w:r>
      <w:r>
        <w:rPr>
          <w:rStyle w:val="CharSchText"/>
        </w:rPr>
        <w:t>Matters for which local laws may be made by Governor</w:t>
      </w:r>
      <w:bookmarkEnd w:id="452"/>
    </w:p>
    <w:p>
      <w:pPr>
        <w:pStyle w:val="yShoulderClause"/>
        <w:spacing w:before="60"/>
      </w:pPr>
      <w:r>
        <w:t>[s. 262(1)]</w:t>
      </w:r>
    </w:p>
    <w:p>
      <w:pPr>
        <w:pStyle w:val="yHeading5"/>
        <w:outlineLvl w:val="9"/>
      </w:pPr>
      <w:bookmarkStart w:id="453" w:name="_Toc155166274"/>
      <w:r>
        <w:rPr>
          <w:rStyle w:val="CharSClsNo"/>
        </w:rPr>
        <w:t>1</w:t>
      </w:r>
      <w:r>
        <w:t>.</w:t>
      </w:r>
      <w:r>
        <w:tab/>
        <w:t>Purchase and reservation of land</w:t>
      </w:r>
      <w:bookmarkEnd w:id="453"/>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454" w:name="_Toc155166275"/>
      <w:r>
        <w:rPr>
          <w:rStyle w:val="CharSClsNo"/>
        </w:rPr>
        <w:t>2</w:t>
      </w:r>
      <w:r>
        <w:t>.</w:t>
      </w:r>
      <w:r>
        <w:tab/>
        <w:t>Limiting and regulating building</w:t>
      </w:r>
      <w:bookmarkEnd w:id="454"/>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455" w:name="_Toc155166276"/>
      <w:r>
        <w:rPr>
          <w:rStyle w:val="CharSClsNo"/>
        </w:rPr>
        <w:t>3</w:t>
      </w:r>
      <w:r>
        <w:t>.</w:t>
      </w:r>
      <w:r>
        <w:tab/>
        <w:t>Classification and zoning</w:t>
      </w:r>
      <w:bookmarkEnd w:id="455"/>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456" w:name="_Toc155166277"/>
      <w:r>
        <w:rPr>
          <w:rStyle w:val="CharSClsNo"/>
        </w:rPr>
        <w:lastRenderedPageBreak/>
        <w:t>4</w:t>
      </w:r>
      <w:r>
        <w:t>.</w:t>
      </w:r>
      <w:r>
        <w:tab/>
        <w:t>Prohibiting unauthorised uses</w:t>
      </w:r>
      <w:bookmarkEnd w:id="456"/>
    </w:p>
    <w:p>
      <w:pPr>
        <w:pStyle w:val="ySubsection"/>
      </w:pPr>
      <w:r>
        <w:tab/>
      </w:r>
      <w:r>
        <w:tab/>
        <w:t>Prohibiting any district or part of it from being used for any purpose other than that for which it has been classified.</w:t>
      </w:r>
    </w:p>
    <w:p>
      <w:pPr>
        <w:pStyle w:val="yHeading5"/>
        <w:outlineLvl w:val="9"/>
      </w:pPr>
      <w:bookmarkStart w:id="457" w:name="_Toc155166278"/>
      <w:r>
        <w:rPr>
          <w:rStyle w:val="CharSClsNo"/>
        </w:rPr>
        <w:t>5</w:t>
      </w:r>
      <w:r>
        <w:t>.</w:t>
      </w:r>
      <w:r>
        <w:tab/>
        <w:t>Prescribing characteristics of buildings</w:t>
      </w:r>
      <w:bookmarkEnd w:id="457"/>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458" w:name="_Toc155166279"/>
      <w:r>
        <w:rPr>
          <w:rStyle w:val="CharSClsNo"/>
        </w:rPr>
        <w:t>6</w:t>
      </w:r>
      <w:r>
        <w:t>.</w:t>
      </w:r>
      <w:r>
        <w:tab/>
        <w:t>Prohibiting trade etc. or erection or use of building</w:t>
      </w:r>
      <w:bookmarkEnd w:id="458"/>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459" w:name="_Toc155166280"/>
      <w:r>
        <w:rPr>
          <w:rStyle w:val="CharSClsNo"/>
        </w:rPr>
        <w:t>7</w:t>
      </w:r>
      <w:r>
        <w:t>.</w:t>
      </w:r>
      <w:r>
        <w:tab/>
        <w:t>Requirements of new subdivisions</w:t>
      </w:r>
      <w:bookmarkEnd w:id="459"/>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460" w:name="_Toc155166281"/>
      <w:r>
        <w:rPr>
          <w:rStyle w:val="CharSClsNo"/>
        </w:rPr>
        <w:lastRenderedPageBreak/>
        <w:t>8</w:t>
      </w:r>
      <w:r>
        <w:t>.</w:t>
      </w:r>
      <w:r>
        <w:tab/>
        <w:t>Building lines</w:t>
      </w:r>
      <w:bookmarkEnd w:id="460"/>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461" w:name="_Toc155166282"/>
      <w:r>
        <w:rPr>
          <w:rStyle w:val="CharSClsNo"/>
        </w:rPr>
        <w:t>9</w:t>
      </w:r>
      <w:r>
        <w:t>.</w:t>
      </w:r>
      <w:r>
        <w:tab/>
        <w:t>Open space etc.</w:t>
      </w:r>
      <w:bookmarkEnd w:id="461"/>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462" w:name="_Toc155166283"/>
      <w:r>
        <w:rPr>
          <w:rStyle w:val="CharSClsNo"/>
        </w:rPr>
        <w:t>10</w:t>
      </w:r>
      <w:r>
        <w:t>.</w:t>
      </w:r>
      <w:r>
        <w:tab/>
        <w:t>Heights of walls etc. at road corners</w:t>
      </w:r>
      <w:bookmarkEnd w:id="462"/>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463" w:name="_Toc155166284"/>
      <w:r>
        <w:rPr>
          <w:rStyle w:val="CharSClsNo"/>
        </w:rPr>
        <w:t>11</w:t>
      </w:r>
      <w:r>
        <w:t>.</w:t>
      </w:r>
      <w:r>
        <w:tab/>
        <w:t>Implementing of local laws</w:t>
      </w:r>
      <w:bookmarkEnd w:id="463"/>
    </w:p>
    <w:p>
      <w:pPr>
        <w:pStyle w:val="ySubsection"/>
      </w:pPr>
      <w:r>
        <w:tab/>
      </w:r>
      <w:r>
        <w:tab/>
        <w:t>Providing for the authority or authorities responsible for carrying the local laws into effect and enforcing their observance.</w:t>
      </w:r>
    </w:p>
    <w:p>
      <w:pPr>
        <w:pStyle w:val="yScheduleHeading"/>
      </w:pPr>
      <w:bookmarkStart w:id="464" w:name="_Toc155166285"/>
      <w:r>
        <w:rPr>
          <w:rStyle w:val="CharSchNo"/>
        </w:rPr>
        <w:lastRenderedPageBreak/>
        <w:t>Schedule 9</w:t>
      </w:r>
      <w:r>
        <w:rPr>
          <w:rStyle w:val="CharSDivNo"/>
        </w:rPr>
        <w:t> </w:t>
      </w:r>
      <w:r>
        <w:t>—</w:t>
      </w:r>
      <w:r>
        <w:rPr>
          <w:rStyle w:val="CharSDivText"/>
        </w:rPr>
        <w:t> </w:t>
      </w:r>
      <w:r>
        <w:rPr>
          <w:rStyle w:val="CharSchText"/>
        </w:rPr>
        <w:t>Board of Valuers</w:t>
      </w:r>
      <w:bookmarkEnd w:id="464"/>
    </w:p>
    <w:p>
      <w:pPr>
        <w:pStyle w:val="yShoulderClause"/>
      </w:pPr>
      <w:r>
        <w:t>[s. 182(5)]</w:t>
      </w:r>
    </w:p>
    <w:p>
      <w:pPr>
        <w:pStyle w:val="yHeading5"/>
        <w:outlineLvl w:val="9"/>
      </w:pPr>
      <w:bookmarkStart w:id="465" w:name="_Toc155166286"/>
      <w:r>
        <w:rPr>
          <w:rStyle w:val="CharSClsNo"/>
        </w:rPr>
        <w:t>1</w:t>
      </w:r>
      <w:r>
        <w:t>.</w:t>
      </w:r>
      <w:r>
        <w:tab/>
        <w:t>Term used: Board</w:t>
      </w:r>
      <w:bookmarkEnd w:id="465"/>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466" w:name="_Toc155166287"/>
      <w:r>
        <w:rPr>
          <w:rStyle w:val="CharSClsNo"/>
        </w:rPr>
        <w:t>2</w:t>
      </w:r>
      <w:r>
        <w:t>.</w:t>
      </w:r>
      <w:r>
        <w:tab/>
        <w:t>Term of office</w:t>
      </w:r>
      <w:bookmarkEnd w:id="466"/>
    </w:p>
    <w:p>
      <w:pPr>
        <w:pStyle w:val="ySubsection"/>
      </w:pPr>
      <w:r>
        <w:tab/>
      </w:r>
      <w:r>
        <w:tab/>
        <w:t>Subject to clause 4 a member of the Board holds office for a term of 2 years and is eligible for reappointment.</w:t>
      </w:r>
    </w:p>
    <w:p>
      <w:pPr>
        <w:pStyle w:val="yHeading5"/>
        <w:outlineLvl w:val="9"/>
      </w:pPr>
      <w:bookmarkStart w:id="467" w:name="_Toc155166288"/>
      <w:r>
        <w:rPr>
          <w:rStyle w:val="CharSClsNo"/>
        </w:rPr>
        <w:t>3</w:t>
      </w:r>
      <w:r>
        <w:t>.</w:t>
      </w:r>
      <w:r>
        <w:tab/>
        <w:t>Constitution of Board</w:t>
      </w:r>
      <w:bookmarkEnd w:id="467"/>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468" w:name="_Toc155166289"/>
      <w:r>
        <w:rPr>
          <w:rStyle w:val="CharSClsNo"/>
        </w:rPr>
        <w:t>4</w:t>
      </w:r>
      <w:r>
        <w:t>.</w:t>
      </w:r>
      <w:r>
        <w:tab/>
        <w:t>Resignation or removal from office</w:t>
      </w:r>
      <w:bookmarkEnd w:id="468"/>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469" w:name="_Toc155166290"/>
      <w:r>
        <w:rPr>
          <w:rStyle w:val="CharSClsNo"/>
        </w:rPr>
        <w:t>5</w:t>
      </w:r>
      <w:r>
        <w:t>.</w:t>
      </w:r>
      <w:r>
        <w:tab/>
        <w:t>Remuneration of members</w:t>
      </w:r>
      <w:bookmarkEnd w:id="469"/>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lastRenderedPageBreak/>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7" w:h="16840" w:code="9"/>
          <w:pgMar w:top="2376" w:right="2405" w:bottom="3542" w:left="2405" w:header="706" w:footer="3544" w:gutter="0"/>
          <w:cols w:space="720"/>
          <w:noEndnote/>
          <w:docGrid w:linePitch="326"/>
        </w:sectPr>
      </w:pPr>
    </w:p>
    <w:p>
      <w:pPr>
        <w:pStyle w:val="nHeading2"/>
      </w:pPr>
      <w:bookmarkStart w:id="470" w:name="_Toc155166291"/>
      <w:r>
        <w:lastRenderedPageBreak/>
        <w:t>Notes</w:t>
      </w:r>
      <w:bookmarkEnd w:id="470"/>
    </w:p>
    <w:p>
      <w:pPr>
        <w:pStyle w:val="nStatement"/>
      </w:pPr>
      <w:r>
        <w:t xml:space="preserve">This is a compilation of the </w:t>
      </w:r>
      <w:r>
        <w:rPr>
          <w:i/>
          <w:noProof/>
        </w:rPr>
        <w:t>Planning and Development Act 2005</w:t>
      </w:r>
      <w:r>
        <w:t xml:space="preserve"> and includes amendments made by other written laws</w:t>
      </w:r>
      <w:r>
        <w:rPr>
          <w:snapToGrid w:val="0"/>
          <w:vertAlign w:val="superscript"/>
        </w:rPr>
        <w:t> 7, 8, 9</w:t>
      </w:r>
      <w:r>
        <w:t>. For provisions that have come into operation, and for information about any reprints, see the compilation table. For provisions that have not yet come into operation see the uncommenced provisions table.</w:t>
      </w:r>
    </w:p>
    <w:p>
      <w:pPr>
        <w:pStyle w:val="nHeading3"/>
      </w:pPr>
      <w:bookmarkStart w:id="471" w:name="_Toc155166292"/>
      <w:r>
        <w:t>Compilation table</w:t>
      </w:r>
      <w:bookmarkEnd w:id="471"/>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noProof/>
                <w:snapToGrid w:val="0"/>
              </w:rPr>
              <w:t>Planning and Development Act 2005</w:t>
            </w:r>
          </w:p>
        </w:tc>
        <w:tc>
          <w:tcPr>
            <w:tcW w:w="993" w:type="dxa"/>
            <w:tcBorders>
              <w:top w:val="single" w:sz="8" w:space="0" w:color="auto"/>
            </w:tcBorders>
          </w:tcPr>
          <w:p>
            <w:pPr>
              <w:pStyle w:val="nTable"/>
              <w:spacing w:after="40"/>
            </w:pPr>
            <w:r>
              <w:t>37 of 2005</w:t>
            </w:r>
          </w:p>
        </w:tc>
        <w:tc>
          <w:tcPr>
            <w:tcW w:w="1135" w:type="dxa"/>
            <w:tcBorders>
              <w:top w:val="single" w:sz="8" w:space="0" w:color="auto"/>
            </w:tcBorders>
          </w:tcPr>
          <w:p>
            <w:pPr>
              <w:pStyle w:val="nTable"/>
              <w:spacing w:after="40"/>
            </w:pPr>
            <w:r>
              <w:t>12 Dec 2005</w:t>
            </w:r>
          </w:p>
        </w:tc>
        <w:tc>
          <w:tcPr>
            <w:tcW w:w="2551" w:type="dxa"/>
            <w:tcBorders>
              <w:top w:val="single" w:sz="8" w:space="0" w:color="auto"/>
            </w:tcBorders>
          </w:tcPr>
          <w:p>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tc>
          <w:tcPr>
            <w:tcW w:w="2410" w:type="dxa"/>
          </w:tcPr>
          <w:p>
            <w:pPr>
              <w:pStyle w:val="nTable"/>
              <w:spacing w:after="40"/>
              <w:rPr>
                <w:i/>
                <w:noProof/>
                <w:snapToGrid w:val="0"/>
              </w:rPr>
            </w:pPr>
            <w:r>
              <w:rPr>
                <w:i/>
                <w:noProof/>
                <w:snapToGrid w:val="0"/>
              </w:rPr>
              <w:t xml:space="preserve">Swan Valley Planning Legislation Amendment Act 2006 </w:t>
            </w:r>
            <w:r>
              <w:rPr>
                <w:noProof/>
                <w:snapToGrid w:val="0"/>
              </w:rPr>
              <w:t>s. 20(3)</w:t>
            </w:r>
          </w:p>
        </w:tc>
        <w:tc>
          <w:tcPr>
            <w:tcW w:w="993" w:type="dxa"/>
          </w:tcPr>
          <w:p>
            <w:pPr>
              <w:pStyle w:val="nTable"/>
              <w:spacing w:after="40"/>
            </w:pPr>
            <w:r>
              <w:t>7 of 2006</w:t>
            </w:r>
          </w:p>
        </w:tc>
        <w:tc>
          <w:tcPr>
            <w:tcW w:w="1135" w:type="dxa"/>
          </w:tcPr>
          <w:p>
            <w:pPr>
              <w:pStyle w:val="nTable"/>
              <w:spacing w:after="40"/>
            </w:pPr>
            <w:r>
              <w:t>19 Apr 2006</w:t>
            </w:r>
          </w:p>
        </w:tc>
        <w:tc>
          <w:tcPr>
            <w:tcW w:w="2551" w:type="dxa"/>
          </w:tcPr>
          <w:p>
            <w:pPr>
              <w:pStyle w:val="nTable"/>
              <w:spacing w:after="40"/>
            </w:pPr>
            <w:r>
              <w:t xml:space="preserve">18 Jun 2006 (see s. 2 and </w:t>
            </w:r>
            <w:r>
              <w:rPr>
                <w:i/>
              </w:rPr>
              <w:t>Gazette</w:t>
            </w:r>
            <w:r>
              <w:t xml:space="preserve"> 16 Jun 2006 p. 2109)</w:t>
            </w:r>
          </w:p>
        </w:tc>
      </w:tr>
      <w:tr>
        <w:trPr>
          <w:cantSplit/>
        </w:trPr>
        <w:tc>
          <w:tcPr>
            <w:tcW w:w="2410"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993"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c>
          <w:tcPr>
            <w:tcW w:w="2410" w:type="dxa"/>
          </w:tcPr>
          <w:p>
            <w:pPr>
              <w:pStyle w:val="nTable"/>
              <w:spacing w:after="40"/>
              <w:rPr>
                <w:i/>
                <w:noProof/>
                <w:snapToGrid w:val="0"/>
              </w:rPr>
            </w:pPr>
            <w:r>
              <w:rPr>
                <w:i/>
                <w:snapToGrid w:val="0"/>
              </w:rPr>
              <w:t>Land Information Authority Act 2006</w:t>
            </w:r>
            <w:r>
              <w:rPr>
                <w:snapToGrid w:val="0"/>
              </w:rPr>
              <w:t xml:space="preserve"> s. 147</w:t>
            </w:r>
          </w:p>
        </w:tc>
        <w:tc>
          <w:tcPr>
            <w:tcW w:w="993"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c>
          <w:tcPr>
            <w:tcW w:w="2410" w:type="dxa"/>
          </w:tcPr>
          <w:p>
            <w:pPr>
              <w:pStyle w:val="nTable"/>
              <w:spacing w:after="40"/>
              <w:rPr>
                <w:i/>
                <w:snapToGrid w:val="0"/>
              </w:rPr>
            </w:pPr>
            <w:r>
              <w:rPr>
                <w:i/>
                <w:snapToGrid w:val="0"/>
              </w:rPr>
              <w:t xml:space="preserve">Financial Legislation Amendment and Repeal Act 2006 </w:t>
            </w:r>
            <w:r>
              <w:rPr>
                <w:snapToGrid w:val="0"/>
              </w:rPr>
              <w:t>s. 4 and Sch. 1 cl. 127</w:t>
            </w:r>
          </w:p>
        </w:tc>
        <w:tc>
          <w:tcPr>
            <w:tcW w:w="993"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 149, 150 and Pt. 13 Div. 3)</w:t>
            </w:r>
          </w:p>
        </w:tc>
      </w:tr>
      <w:tr>
        <w:tc>
          <w:tcPr>
            <w:tcW w:w="2410" w:type="dxa"/>
          </w:tcPr>
          <w:p>
            <w:pPr>
              <w:pStyle w:val="nTable"/>
              <w:spacing w:after="40"/>
              <w:rPr>
                <w:i/>
                <w:noProof/>
                <w:snapToGrid w:val="0"/>
              </w:rPr>
            </w:pPr>
            <w:r>
              <w:rPr>
                <w:i/>
                <w:noProof/>
                <w:snapToGrid w:val="0"/>
              </w:rPr>
              <w:t>Acts Amendment (Justice) Act 2008</w:t>
            </w:r>
            <w:r>
              <w:rPr>
                <w:iCs/>
                <w:noProof/>
                <w:snapToGrid w:val="0"/>
              </w:rPr>
              <w:t xml:space="preserve"> Pt. 18</w:t>
            </w:r>
          </w:p>
        </w:tc>
        <w:tc>
          <w:tcPr>
            <w:tcW w:w="993" w:type="dxa"/>
          </w:tcPr>
          <w:p>
            <w:pPr>
              <w:pStyle w:val="nTable"/>
              <w:spacing w:after="40"/>
            </w:pPr>
            <w:r>
              <w:t>5 of 2008</w:t>
            </w:r>
          </w:p>
        </w:tc>
        <w:tc>
          <w:tcPr>
            <w:tcW w:w="1135"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c>
          <w:tcPr>
            <w:tcW w:w="2410" w:type="dxa"/>
          </w:tcPr>
          <w:p>
            <w:pPr>
              <w:pStyle w:val="nTable"/>
              <w:spacing w:after="40"/>
              <w:rPr>
                <w:i/>
                <w:noProof/>
                <w:snapToGrid w:val="0"/>
              </w:rPr>
            </w:pPr>
            <w:r>
              <w:rPr>
                <w:i/>
                <w:iCs/>
                <w:snapToGrid w:val="0"/>
              </w:rPr>
              <w:t>Legal Profession Act 2008</w:t>
            </w:r>
            <w:r>
              <w:rPr>
                <w:snapToGrid w:val="0"/>
              </w:rPr>
              <w:t xml:space="preserve"> s. 690</w:t>
            </w:r>
          </w:p>
        </w:tc>
        <w:tc>
          <w:tcPr>
            <w:tcW w:w="993"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410" w:type="dxa"/>
          </w:tcPr>
          <w:p>
            <w:pPr>
              <w:pStyle w:val="nTable"/>
              <w:spacing w:after="40"/>
              <w:ind w:right="113"/>
              <w:rPr>
                <w:iCs/>
              </w:rPr>
            </w:pPr>
            <w:r>
              <w:rPr>
                <w:i/>
              </w:rPr>
              <w:t>Statutes (Repeals and Miscellaneous Amendments) Act 2009</w:t>
            </w:r>
            <w:r>
              <w:rPr>
                <w:iCs/>
              </w:rPr>
              <w:t xml:space="preserve"> s. 100</w:t>
            </w:r>
          </w:p>
        </w:tc>
        <w:tc>
          <w:tcPr>
            <w:tcW w:w="993" w:type="dxa"/>
          </w:tcPr>
          <w:p>
            <w:pPr>
              <w:pStyle w:val="nTable"/>
              <w:spacing w:after="40"/>
            </w:pPr>
            <w:r>
              <w:t>8 of 2009</w:t>
            </w:r>
          </w:p>
        </w:tc>
        <w:tc>
          <w:tcPr>
            <w:tcW w:w="1135" w:type="dxa"/>
          </w:tcPr>
          <w:p>
            <w:pPr>
              <w:pStyle w:val="nTable"/>
              <w:spacing w:after="40"/>
            </w:pPr>
            <w:r>
              <w:t>21 May 2009</w:t>
            </w:r>
          </w:p>
        </w:tc>
        <w:tc>
          <w:tcPr>
            <w:tcW w:w="2551" w:type="dxa"/>
          </w:tcPr>
          <w:p>
            <w:pPr>
              <w:pStyle w:val="nTable"/>
              <w:spacing w:after="40"/>
            </w:pPr>
            <w:r>
              <w:t>22 May 2009 (see s. 2(b))</w:t>
            </w:r>
          </w:p>
        </w:tc>
      </w:tr>
      <w:tr>
        <w:trPr>
          <w:cantSplit/>
        </w:trPr>
        <w:tc>
          <w:tcPr>
            <w:tcW w:w="2410" w:type="dxa"/>
          </w:tcPr>
          <w:p>
            <w:pPr>
              <w:pStyle w:val="nTable"/>
              <w:spacing w:after="40"/>
              <w:ind w:right="113"/>
              <w:rPr>
                <w:i/>
              </w:rPr>
            </w:pPr>
            <w:r>
              <w:rPr>
                <w:i/>
                <w:noProof/>
                <w:snapToGrid w:val="0"/>
              </w:rPr>
              <w:lastRenderedPageBreak/>
              <w:t>Approvals and Related Reforms (No. 3) (Crown Land) Act 2010</w:t>
            </w:r>
            <w:r>
              <w:rPr>
                <w:iCs/>
                <w:noProof/>
                <w:snapToGrid w:val="0"/>
              </w:rPr>
              <w:t xml:space="preserve"> Pt. 8</w:t>
            </w:r>
          </w:p>
        </w:tc>
        <w:tc>
          <w:tcPr>
            <w:tcW w:w="993" w:type="dxa"/>
          </w:tcPr>
          <w:p>
            <w:pPr>
              <w:pStyle w:val="nTable"/>
              <w:spacing w:after="40"/>
            </w:pPr>
            <w:r>
              <w:t>8 of 2010</w:t>
            </w:r>
          </w:p>
        </w:tc>
        <w:tc>
          <w:tcPr>
            <w:tcW w:w="1135"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410" w:type="dxa"/>
          </w:tcPr>
          <w:p>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10</w:t>
            </w:r>
          </w:p>
        </w:tc>
        <w:tc>
          <w:tcPr>
            <w:tcW w:w="993" w:type="dxa"/>
          </w:tcPr>
          <w:p>
            <w:pPr>
              <w:pStyle w:val="nTable"/>
              <w:spacing w:after="40"/>
            </w:pPr>
            <w:r>
              <w:rPr>
                <w:snapToGrid w:val="0"/>
              </w:rPr>
              <w:t>28 of 2010 (as amended by No. 45 of 2011 s. 135)</w:t>
            </w:r>
          </w:p>
        </w:tc>
        <w:tc>
          <w:tcPr>
            <w:tcW w:w="1135" w:type="dxa"/>
          </w:tcPr>
          <w:p>
            <w:pPr>
              <w:pStyle w:val="nTable"/>
              <w:spacing w:after="40"/>
            </w:pPr>
            <w:r>
              <w:rPr>
                <w:snapToGrid w:val="0"/>
              </w:rPr>
              <w:t>19 Aug 2010</w:t>
            </w:r>
          </w:p>
        </w:tc>
        <w:tc>
          <w:tcPr>
            <w:tcW w:w="2551" w:type="dxa"/>
          </w:tcPr>
          <w:p>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trPr>
          <w:cantSplit/>
        </w:trPr>
        <w:tc>
          <w:tcPr>
            <w:tcW w:w="2410"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trPr>
          <w:cantSplit/>
        </w:trPr>
        <w:tc>
          <w:tcPr>
            <w:tcW w:w="2410" w:type="dxa"/>
          </w:tcPr>
          <w:p>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993" w:type="dxa"/>
          </w:tcPr>
          <w:p>
            <w:pPr>
              <w:pStyle w:val="nTable"/>
              <w:spacing w:after="40"/>
              <w:rPr>
                <w:snapToGrid w:val="0"/>
              </w:rPr>
            </w:pPr>
            <w:r>
              <w:rPr>
                <w:snapToGrid w:val="0"/>
              </w:rPr>
              <w:t>4 of 2011</w:t>
            </w:r>
          </w:p>
        </w:tc>
        <w:tc>
          <w:tcPr>
            <w:tcW w:w="1135" w:type="dxa"/>
          </w:tcPr>
          <w:p>
            <w:pPr>
              <w:pStyle w:val="nTable"/>
              <w:spacing w:after="40"/>
              <w:rPr>
                <w:snapToGrid w:val="0"/>
              </w:rPr>
            </w:pPr>
            <w:r>
              <w:rPr>
                <w:snapToGrid w:val="0"/>
              </w:rPr>
              <w:t>2 Mar 2011</w:t>
            </w:r>
          </w:p>
        </w:tc>
        <w:tc>
          <w:tcPr>
            <w:tcW w:w="2551" w:type="dxa"/>
          </w:tcPr>
          <w:p>
            <w:pPr>
              <w:pStyle w:val="nTable"/>
              <w:spacing w:after="40"/>
            </w:pPr>
            <w:r>
              <w:t>3 Mar 2011 (see s. 2(b))</w:t>
            </w:r>
          </w:p>
        </w:tc>
      </w:tr>
      <w:tr>
        <w:trPr>
          <w:cantSplit/>
        </w:trPr>
        <w:tc>
          <w:tcPr>
            <w:tcW w:w="2410" w:type="dxa"/>
          </w:tcPr>
          <w:p>
            <w:pPr>
              <w:pStyle w:val="nTable"/>
              <w:spacing w:after="40"/>
              <w:ind w:right="113"/>
              <w:rPr>
                <w:i/>
                <w:iCs/>
                <w:snapToGrid w:val="0"/>
              </w:rPr>
            </w:pPr>
            <w:r>
              <w:rPr>
                <w:i/>
                <w:snapToGrid w:val="0"/>
              </w:rPr>
              <w:t>Building Act 2011</w:t>
            </w:r>
            <w:r>
              <w:rPr>
                <w:snapToGrid w:val="0"/>
              </w:rPr>
              <w:t xml:space="preserve"> s. 168</w:t>
            </w:r>
          </w:p>
        </w:tc>
        <w:tc>
          <w:tcPr>
            <w:tcW w:w="993"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410" w:type="dxa"/>
            <w:shd w:val="clear" w:color="auto" w:fill="auto"/>
          </w:tcPr>
          <w:p>
            <w:pPr>
              <w:pStyle w:val="nTable"/>
              <w:spacing w:after="40"/>
              <w:ind w:right="113"/>
              <w:rPr>
                <w:i/>
                <w:iCs/>
                <w:snapToGrid w:val="0"/>
                <w:vertAlign w:val="superscript"/>
              </w:rPr>
            </w:pPr>
            <w:r>
              <w:rPr>
                <w:i/>
                <w:iCs/>
                <w:snapToGrid w:val="0"/>
              </w:rPr>
              <w:t xml:space="preserve">Metropolitan Redevelopment Authority Act 2011 </w:t>
            </w:r>
            <w:r>
              <w:rPr>
                <w:iCs/>
                <w:snapToGrid w:val="0"/>
              </w:rPr>
              <w:t>s. 141</w:t>
            </w:r>
          </w:p>
        </w:tc>
        <w:tc>
          <w:tcPr>
            <w:tcW w:w="993" w:type="dxa"/>
            <w:shd w:val="clear" w:color="auto" w:fill="auto"/>
          </w:tcPr>
          <w:p>
            <w:pPr>
              <w:pStyle w:val="nTable"/>
              <w:spacing w:after="40"/>
              <w:rPr>
                <w:snapToGrid w:val="0"/>
              </w:rPr>
            </w:pPr>
            <w:r>
              <w:rPr>
                <w:snapToGrid w:val="0"/>
              </w:rPr>
              <w:t>45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410" w:type="dxa"/>
            <w:shd w:val="clear" w:color="auto" w:fill="auto"/>
          </w:tcPr>
          <w:p>
            <w:pPr>
              <w:pStyle w:val="nTable"/>
              <w:spacing w:after="40"/>
              <w:ind w:right="113"/>
              <w:rPr>
                <w:i/>
                <w:iCs/>
                <w:snapToGrid w:val="0"/>
              </w:rPr>
            </w:pPr>
            <w:r>
              <w:rPr>
                <w:i/>
                <w:noProof/>
                <w:snapToGrid w:val="0"/>
              </w:rPr>
              <w:t xml:space="preserve">Road Traffic Legislation Amendment Act 2012 </w:t>
            </w:r>
            <w:r>
              <w:rPr>
                <w:noProof/>
                <w:snapToGrid w:val="0"/>
              </w:rPr>
              <w:t>Pt. 4 Div. 41</w:t>
            </w:r>
          </w:p>
        </w:tc>
        <w:tc>
          <w:tcPr>
            <w:tcW w:w="993"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410" w:type="dxa"/>
            <w:shd w:val="clear" w:color="auto" w:fill="auto"/>
          </w:tcPr>
          <w:p>
            <w:pPr>
              <w:pStyle w:val="nTable"/>
              <w:spacing w:after="40"/>
              <w:ind w:right="113"/>
              <w:rPr>
                <w:i/>
                <w:iCs/>
                <w:snapToGrid w:val="0"/>
              </w:rPr>
            </w:pPr>
            <w:r>
              <w:rPr>
                <w:i/>
                <w:snapToGrid w:val="0"/>
              </w:rPr>
              <w:t>Commercial Arbitration Act 2012</w:t>
            </w:r>
            <w:r>
              <w:rPr>
                <w:snapToGrid w:val="0"/>
              </w:rPr>
              <w:t xml:space="preserve"> s. 45 it. 16</w:t>
            </w:r>
          </w:p>
        </w:tc>
        <w:tc>
          <w:tcPr>
            <w:tcW w:w="993" w:type="dxa"/>
            <w:shd w:val="clear" w:color="auto" w:fill="auto"/>
          </w:tcPr>
          <w:p>
            <w:pPr>
              <w:pStyle w:val="nTable"/>
              <w:spacing w:after="40"/>
              <w:rPr>
                <w:snapToGrid w:val="0"/>
              </w:rPr>
            </w:pPr>
            <w:r>
              <w:rPr>
                <w:snapToGrid w:val="0"/>
              </w:rPr>
              <w:t>23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rPr>
                <w:snapToGrid w:val="0"/>
              </w:rPr>
              <w:t xml:space="preserve"> 6 Aug 2013 p. 3677)</w:t>
            </w:r>
          </w:p>
        </w:tc>
      </w:tr>
      <w:tr>
        <w:trPr>
          <w:cantSplit/>
        </w:trPr>
        <w:tc>
          <w:tcPr>
            <w:tcW w:w="2410" w:type="dxa"/>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222</w:t>
            </w:r>
          </w:p>
        </w:tc>
        <w:tc>
          <w:tcPr>
            <w:tcW w:w="993" w:type="dxa"/>
            <w:shd w:val="clear" w:color="auto" w:fill="auto"/>
          </w:tcPr>
          <w:p>
            <w:pPr>
              <w:pStyle w:val="nTable"/>
              <w:spacing w:after="40"/>
              <w:rPr>
                <w:snapToGrid w:val="0"/>
              </w:rPr>
            </w:pPr>
            <w:r>
              <w:rPr>
                <w:snapToGrid w:val="0"/>
              </w:rPr>
              <w:t>25 of 2012</w:t>
            </w:r>
          </w:p>
        </w:tc>
        <w:tc>
          <w:tcPr>
            <w:tcW w:w="1135"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shd w:val="clear" w:color="auto" w:fill="auto"/>
          </w:tcPr>
          <w:p>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rPr>
                <w:snapToGrid w:val="0"/>
              </w:rPr>
              <w:t>)</w:t>
            </w:r>
          </w:p>
        </w:tc>
      </w:tr>
      <w:tr>
        <w:trPr>
          <w:cantSplit/>
        </w:trPr>
        <w:tc>
          <w:tcPr>
            <w:tcW w:w="2410" w:type="dxa"/>
            <w:shd w:val="clear" w:color="auto" w:fill="auto"/>
          </w:tcPr>
          <w:p>
            <w:pPr>
              <w:pStyle w:val="nTable"/>
              <w:spacing w:after="40"/>
              <w:ind w:right="113"/>
              <w:rPr>
                <w:i/>
                <w:iCs/>
                <w:snapToGrid w:val="0"/>
              </w:rPr>
            </w:pPr>
            <w:r>
              <w:rPr>
                <w:i/>
                <w:noProof/>
                <w:snapToGrid w:val="0"/>
              </w:rPr>
              <w:t>Associations Incorporation Act 2015</w:t>
            </w:r>
            <w:r>
              <w:rPr>
                <w:noProof/>
                <w:snapToGrid w:val="0"/>
              </w:rPr>
              <w:t xml:space="preserve"> s. 226</w:t>
            </w:r>
          </w:p>
        </w:tc>
        <w:tc>
          <w:tcPr>
            <w:tcW w:w="993" w:type="dxa"/>
            <w:shd w:val="clear" w:color="auto" w:fill="auto"/>
          </w:tcPr>
          <w:p>
            <w:pPr>
              <w:pStyle w:val="nTable"/>
              <w:spacing w:after="40"/>
              <w:rPr>
                <w:snapToGrid w:val="0"/>
              </w:rPr>
            </w:pPr>
            <w:r>
              <w:t>30 of 2015</w:t>
            </w:r>
          </w:p>
        </w:tc>
        <w:tc>
          <w:tcPr>
            <w:tcW w:w="1135" w:type="dxa"/>
            <w:shd w:val="clear" w:color="auto" w:fill="auto"/>
          </w:tcPr>
          <w:p>
            <w:pPr>
              <w:pStyle w:val="nTable"/>
              <w:spacing w:after="40"/>
              <w:rPr>
                <w:snapToGrid w:val="0"/>
              </w:rPr>
            </w:pPr>
            <w:r>
              <w:t>2 Nov 2015</w:t>
            </w:r>
          </w:p>
        </w:tc>
        <w:tc>
          <w:tcPr>
            <w:tcW w:w="2551" w:type="dxa"/>
            <w:shd w:val="clear" w:color="auto" w:fill="auto"/>
          </w:tcPr>
          <w:p>
            <w:pPr>
              <w:pStyle w:val="nTable"/>
              <w:spacing w:after="40"/>
            </w:pPr>
            <w:r>
              <w:rPr>
                <w:snapToGrid w:val="0"/>
              </w:rPr>
              <w:t xml:space="preserve">1 Jul 2016 (see s. 2(b) and </w:t>
            </w:r>
            <w:r>
              <w:rPr>
                <w:i/>
                <w:snapToGrid w:val="0"/>
              </w:rPr>
              <w:t>Gazette</w:t>
            </w:r>
            <w:r>
              <w:rPr>
                <w:snapToGrid w:val="0"/>
              </w:rPr>
              <w:t xml:space="preserve"> 24 Jun 2016 p. 2291-2)</w:t>
            </w:r>
          </w:p>
        </w:tc>
      </w:tr>
      <w:tr>
        <w:trPr>
          <w:cantSplit/>
        </w:trPr>
        <w:tc>
          <w:tcPr>
            <w:tcW w:w="7089" w:type="dxa"/>
            <w:gridSpan w:val="4"/>
            <w:shd w:val="clear" w:color="auto" w:fill="auto"/>
          </w:tcPr>
          <w:p>
            <w:pPr>
              <w:pStyle w:val="nTable"/>
              <w:keepNext/>
              <w:spacing w:after="40"/>
              <w:rPr>
                <w:b/>
                <w:bCs/>
                <w:snapToGrid w:val="0"/>
              </w:rPr>
            </w:pPr>
            <w:r>
              <w:rPr>
                <w:b/>
                <w:bCs/>
                <w:snapToGrid w:val="0"/>
              </w:rPr>
              <w:lastRenderedPageBreak/>
              <w:t xml:space="preserve">Reprint 4: The </w:t>
            </w:r>
            <w:r>
              <w:rPr>
                <w:b/>
                <w:bCs/>
                <w:i/>
                <w:noProof/>
                <w:snapToGrid w:val="0"/>
              </w:rPr>
              <w:t>Planning and Development Act 2005</w:t>
            </w:r>
            <w:r>
              <w:rPr>
                <w:b/>
                <w:bCs/>
                <w:snapToGrid w:val="0"/>
              </w:rPr>
              <w:t xml:space="preserve"> as at 1 Apr 2016 </w:t>
            </w:r>
            <w:r>
              <w:rPr>
                <w:bCs/>
                <w:snapToGrid w:val="0"/>
              </w:rPr>
              <w:t xml:space="preserve">(includes amendments listed above except those in the </w:t>
            </w:r>
            <w:r>
              <w:rPr>
                <w:bCs/>
                <w:i/>
                <w:snapToGrid w:val="0"/>
              </w:rPr>
              <w:t>Associations Incorporation Act 2015</w:t>
            </w:r>
            <w:r>
              <w:rPr>
                <w:bCs/>
                <w:snapToGrid w:val="0"/>
              </w:rPr>
              <w:t>)</w:t>
            </w:r>
          </w:p>
        </w:tc>
      </w:tr>
      <w:tr>
        <w:trPr>
          <w:cantSplit/>
        </w:trPr>
        <w:tc>
          <w:tcPr>
            <w:tcW w:w="2410" w:type="dxa"/>
            <w:shd w:val="clear" w:color="auto" w:fill="auto"/>
          </w:tcPr>
          <w:p>
            <w:pPr>
              <w:pStyle w:val="nTable"/>
              <w:spacing w:after="40"/>
              <w:ind w:right="113"/>
              <w:rPr>
                <w:i/>
                <w:iCs/>
                <w:snapToGrid w:val="0"/>
              </w:rPr>
            </w:pPr>
            <w:r>
              <w:rPr>
                <w:i/>
              </w:rPr>
              <w:t xml:space="preserve">Heritage Act 2018 </w:t>
            </w:r>
            <w:r>
              <w:t>s. 186</w:t>
            </w:r>
          </w:p>
        </w:tc>
        <w:tc>
          <w:tcPr>
            <w:tcW w:w="993" w:type="dxa"/>
            <w:shd w:val="clear" w:color="auto" w:fill="auto"/>
          </w:tcPr>
          <w:p>
            <w:pPr>
              <w:pStyle w:val="nTable"/>
              <w:spacing w:after="40"/>
              <w:rPr>
                <w:snapToGrid w:val="0"/>
              </w:rPr>
            </w:pPr>
            <w:r>
              <w:t>22 of 2018</w:t>
            </w:r>
          </w:p>
        </w:tc>
        <w:tc>
          <w:tcPr>
            <w:tcW w:w="1135" w:type="dxa"/>
            <w:shd w:val="clear" w:color="auto" w:fill="auto"/>
          </w:tcPr>
          <w:p>
            <w:pPr>
              <w:pStyle w:val="nTable"/>
              <w:spacing w:after="40"/>
              <w:rPr>
                <w:snapToGrid w:val="0"/>
              </w:rPr>
            </w:pPr>
            <w:r>
              <w:t>18 Sep 2018</w:t>
            </w:r>
          </w:p>
        </w:tc>
        <w:tc>
          <w:tcPr>
            <w:tcW w:w="2551" w:type="dxa"/>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cantSplit/>
        </w:trPr>
        <w:tc>
          <w:tcPr>
            <w:tcW w:w="2410" w:type="dxa"/>
            <w:shd w:val="clear" w:color="auto" w:fill="auto"/>
          </w:tcPr>
          <w:p>
            <w:pPr>
              <w:pStyle w:val="nTable"/>
              <w:spacing w:after="40"/>
              <w:ind w:right="113"/>
              <w:rPr>
                <w:i/>
              </w:rPr>
            </w:pPr>
            <w:r>
              <w:rPr>
                <w:i/>
              </w:rPr>
              <w:t>Infrastructure Western Australia Act 2019</w:t>
            </w:r>
            <w:r>
              <w:t xml:space="preserve"> s. 76</w:t>
            </w:r>
          </w:p>
        </w:tc>
        <w:tc>
          <w:tcPr>
            <w:tcW w:w="993" w:type="dxa"/>
            <w:shd w:val="clear" w:color="auto" w:fill="auto"/>
          </w:tcPr>
          <w:p>
            <w:pPr>
              <w:pStyle w:val="nTable"/>
              <w:spacing w:after="40"/>
            </w:pPr>
            <w:r>
              <w:t>13 of 2019</w:t>
            </w:r>
          </w:p>
        </w:tc>
        <w:tc>
          <w:tcPr>
            <w:tcW w:w="1135" w:type="dxa"/>
            <w:shd w:val="clear" w:color="auto" w:fill="auto"/>
          </w:tcPr>
          <w:p>
            <w:pPr>
              <w:pStyle w:val="nTable"/>
              <w:spacing w:after="40"/>
            </w:pPr>
            <w:r>
              <w:t>24 Jun 2019</w:t>
            </w:r>
          </w:p>
        </w:tc>
        <w:tc>
          <w:tcPr>
            <w:tcW w:w="2551" w:type="dxa"/>
            <w:shd w:val="clear" w:color="auto" w:fill="auto"/>
          </w:tcPr>
          <w:p>
            <w:pPr>
              <w:pStyle w:val="nTable"/>
              <w:spacing w:after="40"/>
              <w:rPr>
                <w:snapToGrid w:val="0"/>
              </w:rPr>
            </w:pPr>
            <w:r>
              <w:rPr>
                <w:snapToGrid w:val="0"/>
              </w:rPr>
              <w:t>24 Jul 2019 (see s. 2(c))</w:t>
            </w:r>
          </w:p>
        </w:tc>
      </w:tr>
      <w:tr>
        <w:trPr>
          <w:cantSplit/>
        </w:trPr>
        <w:tc>
          <w:tcPr>
            <w:tcW w:w="2410" w:type="dxa"/>
            <w:shd w:val="clear" w:color="auto" w:fill="auto"/>
          </w:tcPr>
          <w:p>
            <w:pPr>
              <w:pStyle w:val="nTable"/>
              <w:spacing w:after="40"/>
              <w:ind w:right="113"/>
              <w:rPr>
                <w:i/>
              </w:rPr>
            </w:pPr>
            <w:r>
              <w:rPr>
                <w:i/>
              </w:rPr>
              <w:t>Strata Titles Amendment Act 2018</w:t>
            </w:r>
            <w:r>
              <w:t xml:space="preserve"> Pt. 3 Div. 14</w:t>
            </w:r>
          </w:p>
        </w:tc>
        <w:tc>
          <w:tcPr>
            <w:tcW w:w="993" w:type="dxa"/>
            <w:shd w:val="clear" w:color="auto" w:fill="auto"/>
          </w:tcPr>
          <w:p>
            <w:pPr>
              <w:pStyle w:val="nTable"/>
              <w:spacing w:after="40"/>
            </w:pPr>
            <w:r>
              <w:t>30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rPr>
          <w:cantSplit/>
        </w:trPr>
        <w:tc>
          <w:tcPr>
            <w:tcW w:w="2410" w:type="dxa"/>
            <w:shd w:val="clear" w:color="auto" w:fill="auto"/>
          </w:tcPr>
          <w:p>
            <w:pPr>
              <w:pStyle w:val="nTable"/>
              <w:spacing w:after="40"/>
              <w:ind w:right="113"/>
              <w:rPr>
                <w:i/>
              </w:rPr>
            </w:pPr>
            <w:r>
              <w:rPr>
                <w:i/>
              </w:rPr>
              <w:t>Community Titles Act 2018</w:t>
            </w:r>
            <w:r>
              <w:t xml:space="preserve"> Pt. 14 Div. 14 (other than s. 224</w:t>
            </w:r>
            <w:r>
              <w:noBreakHyphen/>
              <w:t>226)</w:t>
            </w:r>
          </w:p>
        </w:tc>
        <w:tc>
          <w:tcPr>
            <w:tcW w:w="993" w:type="dxa"/>
            <w:shd w:val="clear" w:color="auto" w:fill="auto"/>
          </w:tcPr>
          <w:p>
            <w:pPr>
              <w:pStyle w:val="nTable"/>
              <w:spacing w:after="40"/>
            </w:pPr>
            <w:r>
              <w:t>32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t>30 Jun 2021 (see s. 2(b) and SL 2021/69 cl. 2)</w:t>
            </w:r>
          </w:p>
        </w:tc>
      </w:tr>
      <w:tr>
        <w:trPr>
          <w:cantSplit/>
        </w:trPr>
        <w:tc>
          <w:tcPr>
            <w:tcW w:w="2410" w:type="dxa"/>
            <w:shd w:val="clear" w:color="auto" w:fill="auto"/>
          </w:tcPr>
          <w:p>
            <w:pPr>
              <w:pStyle w:val="nTable"/>
              <w:spacing w:after="40"/>
              <w:ind w:right="113"/>
            </w:pPr>
            <w:r>
              <w:rPr>
                <w:i/>
              </w:rPr>
              <w:t>Planning and Development Amendment Act 2020</w:t>
            </w:r>
            <w:r>
              <w:t xml:space="preserve"> Pt. 2, 4 and 5, Pt. 6 Div. 1, Pt. 8, 10 and 11, Pt. 12 Div. 1 and Pt. 13-17</w:t>
            </w:r>
          </w:p>
        </w:tc>
        <w:tc>
          <w:tcPr>
            <w:tcW w:w="993" w:type="dxa"/>
            <w:shd w:val="clear" w:color="auto" w:fill="auto"/>
          </w:tcPr>
          <w:p>
            <w:pPr>
              <w:pStyle w:val="nTable"/>
              <w:spacing w:after="40"/>
            </w:pPr>
            <w:r>
              <w:t>26 of 2020</w:t>
            </w:r>
          </w:p>
        </w:tc>
        <w:tc>
          <w:tcPr>
            <w:tcW w:w="1135" w:type="dxa"/>
            <w:shd w:val="clear" w:color="auto" w:fill="auto"/>
          </w:tcPr>
          <w:p>
            <w:pPr>
              <w:pStyle w:val="nTable"/>
              <w:spacing w:after="40"/>
            </w:pPr>
            <w:r>
              <w:t>7 Jul 2020</w:t>
            </w:r>
          </w:p>
        </w:tc>
        <w:tc>
          <w:tcPr>
            <w:tcW w:w="2551" w:type="dxa"/>
            <w:shd w:val="clear" w:color="auto" w:fill="auto"/>
          </w:tcPr>
          <w:p>
            <w:pPr>
              <w:pStyle w:val="nTable"/>
              <w:spacing w:after="40"/>
              <w:rPr>
                <w:snapToGrid w:val="0"/>
              </w:rPr>
            </w:pPr>
            <w:r>
              <w:rPr>
                <w:snapToGrid w:val="0"/>
              </w:rPr>
              <w:t>Pt. 2 and 17: 8 Jul 2020 (see s. 2(1)(c));</w:t>
            </w:r>
            <w:r>
              <w:rPr>
                <w:snapToGrid w:val="0"/>
              </w:rPr>
              <w:br/>
              <w:t>Pt. 4, 5, 8, 10, 11, 13, 15 and 16: 12 Sep 2020 (see s. 2(1)(b) and SL 2020/155 cl. 2);</w:t>
            </w:r>
            <w:r>
              <w:rPr>
                <w:snapToGrid w:val="0"/>
              </w:rPr>
              <w:br/>
              <w:t>Pt. 6 Div. 1, Pt. 12 Div. 1 and Pt. 14: 1 Aug 2023 (</w:t>
            </w:r>
            <w:r>
              <w:t>see s. 2(1)(b) and SL 2023/107 cl. 2)</w:t>
            </w:r>
          </w:p>
        </w:tc>
      </w:tr>
      <w:tr>
        <w:trPr>
          <w:cantSplit/>
        </w:trPr>
        <w:tc>
          <w:tcPr>
            <w:tcW w:w="2410" w:type="dxa"/>
            <w:shd w:val="clear" w:color="auto" w:fill="auto"/>
          </w:tcPr>
          <w:p>
            <w:pPr>
              <w:pStyle w:val="nTable"/>
              <w:spacing w:after="40"/>
              <w:ind w:right="113"/>
              <w:rPr>
                <w:i/>
              </w:rPr>
            </w:pPr>
            <w:r>
              <w:rPr>
                <w:i/>
                <w:snapToGrid w:val="0"/>
              </w:rPr>
              <w:t>Swan Valley Planning Act 2020</w:t>
            </w:r>
            <w:r>
              <w:rPr>
                <w:snapToGrid w:val="0"/>
              </w:rPr>
              <w:t xml:space="preserve"> Pt. 9 (other than s. 62)</w:t>
            </w:r>
          </w:p>
        </w:tc>
        <w:tc>
          <w:tcPr>
            <w:tcW w:w="993" w:type="dxa"/>
            <w:shd w:val="clear" w:color="auto" w:fill="auto"/>
          </w:tcPr>
          <w:p>
            <w:pPr>
              <w:pStyle w:val="nTable"/>
              <w:spacing w:after="40"/>
            </w:pPr>
            <w:r>
              <w:t>45 of 2020</w:t>
            </w:r>
          </w:p>
        </w:tc>
        <w:tc>
          <w:tcPr>
            <w:tcW w:w="1135" w:type="dxa"/>
            <w:shd w:val="clear" w:color="auto" w:fill="auto"/>
          </w:tcPr>
          <w:p>
            <w:pPr>
              <w:pStyle w:val="nTable"/>
              <w:spacing w:after="40"/>
            </w:pPr>
            <w:r>
              <w:t>9 Dec 2020</w:t>
            </w:r>
          </w:p>
        </w:tc>
        <w:tc>
          <w:tcPr>
            <w:tcW w:w="2551" w:type="dxa"/>
            <w:shd w:val="clear" w:color="auto" w:fill="auto"/>
          </w:tcPr>
          <w:p>
            <w:pPr>
              <w:pStyle w:val="nTable"/>
              <w:spacing w:after="40"/>
              <w:rPr>
                <w:snapToGrid w:val="0"/>
              </w:rPr>
            </w:pPr>
            <w:r>
              <w:rPr>
                <w:snapToGrid w:val="0"/>
              </w:rPr>
              <w:t>1 Aug 2021 (see s. 2(1)(d)(i) and (e) and SL 2021/124 cl. 2)</w:t>
            </w:r>
          </w:p>
        </w:tc>
      </w:tr>
      <w:tr>
        <w:trPr>
          <w:cantSplit/>
        </w:trPr>
        <w:tc>
          <w:tcPr>
            <w:tcW w:w="2410" w:type="dxa"/>
            <w:shd w:val="clear" w:color="auto" w:fill="auto"/>
          </w:tcPr>
          <w:p>
            <w:pPr>
              <w:pStyle w:val="nTable"/>
              <w:spacing w:after="40"/>
              <w:ind w:right="113"/>
              <w:rPr>
                <w:i/>
                <w:snapToGrid w:val="0"/>
              </w:rPr>
            </w:pPr>
            <w:r>
              <w:rPr>
                <w:i/>
              </w:rPr>
              <w:t>Aboriginal Cultural Heritage Act 2021</w:t>
            </w:r>
            <w:r>
              <w:t xml:space="preserve"> s. 350</w:t>
            </w:r>
          </w:p>
        </w:tc>
        <w:tc>
          <w:tcPr>
            <w:tcW w:w="993" w:type="dxa"/>
            <w:shd w:val="clear" w:color="auto" w:fill="auto"/>
          </w:tcPr>
          <w:p>
            <w:pPr>
              <w:pStyle w:val="nTable"/>
              <w:spacing w:after="40"/>
            </w:pPr>
            <w:r>
              <w:t>27 of 2021</w:t>
            </w:r>
          </w:p>
        </w:tc>
        <w:tc>
          <w:tcPr>
            <w:tcW w:w="1135" w:type="dxa"/>
            <w:shd w:val="clear" w:color="auto" w:fill="auto"/>
          </w:tcPr>
          <w:p>
            <w:pPr>
              <w:pStyle w:val="nTable"/>
              <w:spacing w:after="40"/>
            </w:pPr>
            <w:r>
              <w:t>22 Dec 2021</w:t>
            </w:r>
          </w:p>
        </w:tc>
        <w:tc>
          <w:tcPr>
            <w:tcW w:w="2551" w:type="dxa"/>
            <w:shd w:val="clear" w:color="auto" w:fill="auto"/>
          </w:tcPr>
          <w:p>
            <w:pPr>
              <w:pStyle w:val="nTable"/>
              <w:spacing w:after="40"/>
              <w:rPr>
                <w:snapToGrid w:val="0"/>
              </w:rPr>
            </w:pPr>
            <w:r>
              <w:t>1 Jul 2023 (see s. 2(e) and SL 2023/40 cl. 2(b))</w:t>
            </w:r>
          </w:p>
        </w:tc>
      </w:tr>
      <w:tr>
        <w:trPr>
          <w:cantSplit/>
        </w:trPr>
        <w:tc>
          <w:tcPr>
            <w:tcW w:w="2410" w:type="dxa"/>
            <w:shd w:val="clear" w:color="auto" w:fill="auto"/>
          </w:tcPr>
          <w:p>
            <w:pPr>
              <w:pStyle w:val="nTable"/>
              <w:spacing w:after="40"/>
              <w:ind w:right="113"/>
              <w:rPr>
                <w:i/>
              </w:rPr>
            </w:pPr>
            <w:r>
              <w:rPr>
                <w:i/>
              </w:rPr>
              <w:t>Legal Profession Uniform Law Application Act 2022</w:t>
            </w:r>
            <w:r>
              <w:t xml:space="preserve"> s. 424</w:t>
            </w:r>
          </w:p>
        </w:tc>
        <w:tc>
          <w:tcPr>
            <w:tcW w:w="993" w:type="dxa"/>
            <w:shd w:val="clear" w:color="auto" w:fill="auto"/>
          </w:tcPr>
          <w:p>
            <w:pPr>
              <w:pStyle w:val="nTable"/>
              <w:spacing w:after="40"/>
            </w:pPr>
            <w:r>
              <w:t>9 of 2022</w:t>
            </w:r>
          </w:p>
        </w:tc>
        <w:tc>
          <w:tcPr>
            <w:tcW w:w="1135" w:type="dxa"/>
            <w:shd w:val="clear" w:color="auto" w:fill="auto"/>
          </w:tcPr>
          <w:p>
            <w:pPr>
              <w:pStyle w:val="nTable"/>
              <w:spacing w:after="40"/>
            </w:pPr>
            <w:r>
              <w:t>14 Apr 2022</w:t>
            </w:r>
          </w:p>
        </w:tc>
        <w:tc>
          <w:tcPr>
            <w:tcW w:w="2551" w:type="dxa"/>
            <w:shd w:val="clear" w:color="auto" w:fill="auto"/>
          </w:tcPr>
          <w:p>
            <w:pPr>
              <w:pStyle w:val="nTable"/>
              <w:spacing w:after="40"/>
              <w:rPr>
                <w:snapToGrid w:val="0"/>
              </w:rPr>
            </w:pPr>
            <w:r>
              <w:rPr>
                <w:snapToGrid w:val="0"/>
              </w:rPr>
              <w:t>1 Jul 2022 (see s. 2(c) and SL 2022/113 cl. 2)</w:t>
            </w:r>
          </w:p>
        </w:tc>
      </w:tr>
      <w:tr>
        <w:trPr>
          <w:cantSplit/>
        </w:trPr>
        <w:tc>
          <w:tcPr>
            <w:tcW w:w="2410" w:type="dxa"/>
            <w:shd w:val="clear" w:color="auto" w:fill="auto"/>
          </w:tcPr>
          <w:p>
            <w:pPr>
              <w:pStyle w:val="nTable"/>
              <w:spacing w:after="40"/>
              <w:ind w:right="113"/>
              <w:rPr>
                <w:i/>
                <w:snapToGrid w:val="0"/>
              </w:rPr>
            </w:pPr>
            <w:r>
              <w:rPr>
                <w:i/>
              </w:rPr>
              <w:t>Planning and Development Amendment Act 2022</w:t>
            </w:r>
          </w:p>
        </w:tc>
        <w:tc>
          <w:tcPr>
            <w:tcW w:w="993" w:type="dxa"/>
            <w:shd w:val="clear" w:color="auto" w:fill="auto"/>
          </w:tcPr>
          <w:p>
            <w:pPr>
              <w:pStyle w:val="nTable"/>
              <w:spacing w:after="40"/>
            </w:pPr>
            <w:r>
              <w:t>17 of 2022</w:t>
            </w:r>
          </w:p>
        </w:tc>
        <w:tc>
          <w:tcPr>
            <w:tcW w:w="1135" w:type="dxa"/>
            <w:shd w:val="clear" w:color="auto" w:fill="auto"/>
          </w:tcPr>
          <w:p>
            <w:pPr>
              <w:pStyle w:val="nTable"/>
              <w:spacing w:after="40"/>
            </w:pPr>
            <w:r>
              <w:t>24 Jun 2022</w:t>
            </w:r>
          </w:p>
        </w:tc>
        <w:tc>
          <w:tcPr>
            <w:tcW w:w="2551" w:type="dxa"/>
            <w:shd w:val="clear" w:color="auto" w:fill="auto"/>
          </w:tcPr>
          <w:p>
            <w:pPr>
              <w:pStyle w:val="nTable"/>
              <w:spacing w:after="40"/>
              <w:rPr>
                <w:snapToGrid w:val="0"/>
              </w:rPr>
            </w:pPr>
            <w:r>
              <w:rPr>
                <w:snapToGrid w:val="0"/>
              </w:rPr>
              <w:t>s. 1 and 2: 24 Jun 2022 (see s. 2(a));</w:t>
            </w:r>
            <w:r>
              <w:rPr>
                <w:snapToGrid w:val="0"/>
              </w:rPr>
              <w:br/>
              <w:t>Act other than s. 1 and 2: 25 Jun 2022 (see s. 2(b))</w:t>
            </w:r>
          </w:p>
        </w:tc>
      </w:tr>
      <w:tr>
        <w:trPr>
          <w:cantSplit/>
        </w:trPr>
        <w:tc>
          <w:tcPr>
            <w:tcW w:w="2410" w:type="dxa"/>
            <w:shd w:val="clear" w:color="auto" w:fill="auto"/>
          </w:tcPr>
          <w:p>
            <w:pPr>
              <w:pStyle w:val="nTable"/>
              <w:spacing w:after="40"/>
              <w:ind w:right="113"/>
              <w:rPr>
                <w:i/>
              </w:rPr>
            </w:pPr>
            <w:r>
              <w:rPr>
                <w:i/>
              </w:rPr>
              <w:t>Land and Public Works Legislation Amendment Act 2023</w:t>
            </w:r>
            <w:r>
              <w:t xml:space="preserve"> Pt. 4 Div. 11</w:t>
            </w:r>
          </w:p>
        </w:tc>
        <w:tc>
          <w:tcPr>
            <w:tcW w:w="993" w:type="dxa"/>
            <w:shd w:val="clear" w:color="auto" w:fill="auto"/>
          </w:tcPr>
          <w:p>
            <w:pPr>
              <w:pStyle w:val="nTable"/>
              <w:spacing w:after="40"/>
            </w:pPr>
            <w:r>
              <w:t>4 of 2023</w:t>
            </w:r>
          </w:p>
        </w:tc>
        <w:tc>
          <w:tcPr>
            <w:tcW w:w="1135" w:type="dxa"/>
            <w:shd w:val="clear" w:color="auto" w:fill="auto"/>
          </w:tcPr>
          <w:p>
            <w:pPr>
              <w:pStyle w:val="nTable"/>
              <w:spacing w:after="40"/>
            </w:pPr>
            <w:r>
              <w:t>24 Mar 2023</w:t>
            </w:r>
          </w:p>
        </w:tc>
        <w:tc>
          <w:tcPr>
            <w:tcW w:w="2551" w:type="dxa"/>
            <w:shd w:val="clear" w:color="auto" w:fill="auto"/>
          </w:tcPr>
          <w:p>
            <w:pPr>
              <w:pStyle w:val="nTable"/>
              <w:spacing w:after="40"/>
              <w:rPr>
                <w:snapToGrid w:val="0"/>
              </w:rPr>
            </w:pPr>
            <w:r>
              <w:t>10 Aug 2023 (see s. 2(b) and SL 2023/132 cl. 2)</w:t>
            </w:r>
          </w:p>
        </w:tc>
      </w:tr>
      <w:tr>
        <w:trPr>
          <w:cantSplit/>
        </w:trPr>
        <w:tc>
          <w:tcPr>
            <w:tcW w:w="2410" w:type="dxa"/>
            <w:tcBorders>
              <w:bottom w:val="single" w:sz="4" w:space="0" w:color="auto"/>
            </w:tcBorders>
            <w:shd w:val="clear" w:color="auto" w:fill="auto"/>
          </w:tcPr>
          <w:p>
            <w:pPr>
              <w:pStyle w:val="nTable"/>
              <w:spacing w:after="40"/>
              <w:ind w:right="113"/>
              <w:rPr>
                <w:i/>
              </w:rPr>
            </w:pPr>
            <w:r>
              <w:rPr>
                <w:i/>
                <w:snapToGrid w:val="0"/>
              </w:rPr>
              <w:t>Aboriginal Heritage Legislation Amendment and Repeal Act 2023</w:t>
            </w:r>
            <w:r>
              <w:rPr>
                <w:iCs/>
                <w:snapToGrid w:val="0"/>
              </w:rPr>
              <w:t xml:space="preserve"> s. 31</w:t>
            </w:r>
          </w:p>
        </w:tc>
        <w:tc>
          <w:tcPr>
            <w:tcW w:w="993" w:type="dxa"/>
            <w:tcBorders>
              <w:bottom w:val="single" w:sz="4" w:space="0" w:color="auto"/>
            </w:tcBorders>
            <w:shd w:val="clear" w:color="auto" w:fill="auto"/>
          </w:tcPr>
          <w:p>
            <w:pPr>
              <w:pStyle w:val="nTable"/>
              <w:spacing w:after="40"/>
            </w:pPr>
            <w:r>
              <w:t>23 of 2023</w:t>
            </w:r>
          </w:p>
        </w:tc>
        <w:tc>
          <w:tcPr>
            <w:tcW w:w="1135" w:type="dxa"/>
            <w:tcBorders>
              <w:bottom w:val="single" w:sz="4" w:space="0" w:color="auto"/>
            </w:tcBorders>
            <w:shd w:val="clear" w:color="auto" w:fill="auto"/>
          </w:tcPr>
          <w:p>
            <w:pPr>
              <w:pStyle w:val="nTable"/>
              <w:spacing w:after="40"/>
            </w:pPr>
            <w:r>
              <w:t>24 Oct 2023</w:t>
            </w:r>
          </w:p>
        </w:tc>
        <w:tc>
          <w:tcPr>
            <w:tcW w:w="2551" w:type="dxa"/>
            <w:tcBorders>
              <w:bottom w:val="single" w:sz="4" w:space="0" w:color="auto"/>
            </w:tcBorders>
            <w:shd w:val="clear" w:color="auto" w:fill="auto"/>
          </w:tcPr>
          <w:p>
            <w:pPr>
              <w:pStyle w:val="nTable"/>
              <w:spacing w:after="40"/>
            </w:pPr>
            <w:r>
              <w:rPr>
                <w:snapToGrid w:val="0"/>
              </w:rPr>
              <w:t>15 Nov 2023 (see s. 2(d) and SL 2023/161 cl. 2)</w:t>
            </w:r>
          </w:p>
        </w:tc>
      </w:tr>
    </w:tbl>
    <w:p>
      <w:pPr>
        <w:pStyle w:val="nHeading3"/>
      </w:pPr>
      <w:bookmarkStart w:id="472" w:name="_Toc155166293"/>
      <w:r>
        <w:lastRenderedPageBreak/>
        <w:t>Uncommenced provisions table</w:t>
      </w:r>
      <w:bookmarkEnd w:id="472"/>
    </w:p>
    <w:p>
      <w:pPr>
        <w:pStyle w:val="nStatement"/>
        <w:keepNext/>
        <w:spacing w:after="240"/>
      </w:pPr>
      <w:r>
        <w:t xml:space="preserve">To view the text of the uncommenced provisions see </w:t>
      </w:r>
      <w:r>
        <w:rPr>
          <w:i/>
        </w:rPr>
        <w:t>Acts as passed</w:t>
      </w:r>
      <w:r>
        <w:t xml:space="preserve"> on the WA Legislation website.</w:t>
      </w:r>
    </w:p>
    <w:tbl>
      <w:tblPr>
        <w:tblW w:w="7075" w:type="dxa"/>
        <w:tblInd w:w="56" w:type="dxa"/>
        <w:tblLayout w:type="fixed"/>
        <w:tblCellMar>
          <w:left w:w="56" w:type="dxa"/>
          <w:right w:w="56" w:type="dxa"/>
        </w:tblCellMar>
        <w:tblLook w:val="0000" w:firstRow="0" w:lastRow="0" w:firstColumn="0" w:lastColumn="0" w:noHBand="0" w:noVBand="0"/>
      </w:tblPr>
      <w:tblGrid>
        <w:gridCol w:w="2280"/>
        <w:gridCol w:w="8"/>
        <w:gridCol w:w="1115"/>
        <w:gridCol w:w="1175"/>
        <w:gridCol w:w="2497"/>
      </w:tblGrid>
      <w:tr>
        <w:trPr>
          <w:tblHeader/>
        </w:trPr>
        <w:tc>
          <w:tcPr>
            <w:tcW w:w="2288"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15" w:type="dxa"/>
            <w:tcBorders>
              <w:top w:val="single" w:sz="8" w:space="0" w:color="auto"/>
              <w:bottom w:val="single" w:sz="8" w:space="0" w:color="auto"/>
            </w:tcBorders>
            <w:shd w:val="clear" w:color="auto" w:fill="auto"/>
          </w:tcPr>
          <w:p>
            <w:pPr>
              <w:pStyle w:val="nTable"/>
              <w:spacing w:after="40"/>
              <w:ind w:right="61"/>
              <w:rPr>
                <w:b/>
                <w:snapToGrid w:val="0"/>
              </w:rPr>
            </w:pPr>
            <w:r>
              <w:rPr>
                <w:b/>
                <w:snapToGrid w:val="0"/>
              </w:rPr>
              <w:t>Number and year</w:t>
            </w:r>
          </w:p>
        </w:tc>
        <w:tc>
          <w:tcPr>
            <w:tcW w:w="1175"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49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88" w:type="dxa"/>
            <w:gridSpan w:val="2"/>
            <w:tcBorders>
              <w:top w:val="single" w:sz="4" w:space="0" w:color="auto"/>
            </w:tcBorders>
          </w:tcPr>
          <w:p>
            <w:pPr>
              <w:pStyle w:val="nTable"/>
              <w:spacing w:after="40"/>
              <w:rPr>
                <w:i/>
                <w:noProof/>
                <w:snapToGrid w:val="0"/>
              </w:rPr>
            </w:pPr>
            <w:r>
              <w:rPr>
                <w:i/>
                <w:noProof/>
                <w:snapToGrid w:val="0"/>
              </w:rPr>
              <w:t>Planning and Development Act 2005</w:t>
            </w:r>
            <w:r>
              <w:rPr>
                <w:noProof/>
                <w:snapToGrid w:val="0"/>
              </w:rPr>
              <w:t xml:space="preserve"> s. 149</w:t>
            </w:r>
          </w:p>
        </w:tc>
        <w:tc>
          <w:tcPr>
            <w:tcW w:w="1115" w:type="dxa"/>
            <w:tcBorders>
              <w:top w:val="single" w:sz="4" w:space="0" w:color="auto"/>
            </w:tcBorders>
          </w:tcPr>
          <w:p>
            <w:pPr>
              <w:pStyle w:val="nTable"/>
              <w:spacing w:after="40"/>
              <w:ind w:right="61"/>
            </w:pPr>
            <w:r>
              <w:t>37 of 2005</w:t>
            </w:r>
          </w:p>
        </w:tc>
        <w:tc>
          <w:tcPr>
            <w:tcW w:w="1175" w:type="dxa"/>
            <w:tcBorders>
              <w:top w:val="single" w:sz="4" w:space="0" w:color="auto"/>
            </w:tcBorders>
          </w:tcPr>
          <w:p>
            <w:pPr>
              <w:pStyle w:val="nTable"/>
              <w:spacing w:after="40"/>
            </w:pPr>
            <w:r>
              <w:t>12 Dec 2005</w:t>
            </w:r>
          </w:p>
        </w:tc>
        <w:tc>
          <w:tcPr>
            <w:tcW w:w="2497" w:type="dxa"/>
            <w:tcBorders>
              <w:top w:val="single" w:sz="4" w:space="0" w:color="auto"/>
            </w:tcBorders>
          </w:tcPr>
          <w:p>
            <w:pPr>
              <w:pStyle w:val="nTable"/>
              <w:keepNext/>
              <w:keepLines/>
              <w:spacing w:after="40"/>
            </w:pPr>
            <w:r>
              <w:t>To be proclaimed (see s. 2)</w:t>
            </w:r>
          </w:p>
        </w:tc>
      </w:tr>
      <w:tr>
        <w:tc>
          <w:tcPr>
            <w:tcW w:w="2288" w:type="dxa"/>
            <w:gridSpan w:val="2"/>
          </w:tcPr>
          <w:p>
            <w:pPr>
              <w:pStyle w:val="nTable"/>
              <w:spacing w:after="40"/>
              <w:rPr>
                <w:i/>
                <w:noProof/>
                <w:snapToGrid w:val="0"/>
              </w:rPr>
            </w:pPr>
            <w:r>
              <w:rPr>
                <w:i/>
                <w:snapToGrid w:val="0"/>
              </w:rPr>
              <w:t>Aquatic Resources Management Act 2016</w:t>
            </w:r>
            <w:r>
              <w:rPr>
                <w:snapToGrid w:val="0"/>
              </w:rPr>
              <w:t xml:space="preserve"> s. 377</w:t>
            </w:r>
          </w:p>
        </w:tc>
        <w:tc>
          <w:tcPr>
            <w:tcW w:w="1115" w:type="dxa"/>
          </w:tcPr>
          <w:p>
            <w:pPr>
              <w:pStyle w:val="nTable"/>
              <w:spacing w:after="40"/>
              <w:ind w:right="61"/>
            </w:pPr>
            <w:r>
              <w:t>53 of 2016</w:t>
            </w:r>
          </w:p>
        </w:tc>
        <w:tc>
          <w:tcPr>
            <w:tcW w:w="1175" w:type="dxa"/>
          </w:tcPr>
          <w:p>
            <w:pPr>
              <w:pStyle w:val="nTable"/>
              <w:spacing w:after="40"/>
            </w:pPr>
            <w:r>
              <w:t>29 Nov 2016</w:t>
            </w:r>
          </w:p>
        </w:tc>
        <w:tc>
          <w:tcPr>
            <w:tcW w:w="2497" w:type="dxa"/>
          </w:tcPr>
          <w:p>
            <w:pPr>
              <w:pStyle w:val="nTable"/>
              <w:keepNext/>
              <w:keepLines/>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pPr>
            <w:r>
              <w:rPr>
                <w:i/>
              </w:rPr>
              <w:t>Community Titles Act 2018</w:t>
            </w:r>
            <w:r>
              <w:t xml:space="preserve"> s. 224</w:t>
            </w:r>
            <w:r>
              <w:noBreakHyphen/>
              <w:t>226</w:t>
            </w:r>
          </w:p>
        </w:tc>
        <w:tc>
          <w:tcPr>
            <w:tcW w:w="1123" w:type="dxa"/>
            <w:gridSpan w:val="2"/>
            <w:tcBorders>
              <w:top w:val="nil"/>
              <w:bottom w:val="nil"/>
            </w:tcBorders>
          </w:tcPr>
          <w:p>
            <w:pPr>
              <w:pStyle w:val="nTable"/>
              <w:spacing w:after="40"/>
              <w:ind w:right="61"/>
            </w:pPr>
            <w:r>
              <w:t>32 of 2018</w:t>
            </w:r>
          </w:p>
        </w:tc>
        <w:tc>
          <w:tcPr>
            <w:tcW w:w="1175" w:type="dxa"/>
            <w:tcBorders>
              <w:top w:val="nil"/>
              <w:bottom w:val="nil"/>
            </w:tcBorders>
          </w:tcPr>
          <w:p>
            <w:pPr>
              <w:pStyle w:val="nTable"/>
              <w:spacing w:after="40"/>
            </w:pPr>
            <w:r>
              <w:t>19 Nov 2018</w:t>
            </w:r>
          </w:p>
        </w:tc>
        <w:tc>
          <w:tcPr>
            <w:tcW w:w="2497"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rPr>
              <w:t>Planning and Development Amendment Act 2020</w:t>
            </w:r>
            <w:r>
              <w:t xml:space="preserve"> Pt. 3, Pt. 7 Div. 1 and Pt. 9</w:t>
            </w:r>
          </w:p>
        </w:tc>
        <w:tc>
          <w:tcPr>
            <w:tcW w:w="1123" w:type="dxa"/>
            <w:gridSpan w:val="2"/>
            <w:tcBorders>
              <w:top w:val="nil"/>
              <w:bottom w:val="nil"/>
            </w:tcBorders>
          </w:tcPr>
          <w:p>
            <w:pPr>
              <w:pStyle w:val="nTable"/>
              <w:spacing w:after="40"/>
              <w:ind w:right="61"/>
            </w:pPr>
            <w:r>
              <w:t>26 of 2020 (as amended by Act No. 45 of 2020</w:t>
            </w:r>
            <w:r>
              <w:rPr>
                <w:snapToGrid w:val="0"/>
              </w:rPr>
              <w:t xml:space="preserve"> Pt. 10 Div. 10)</w:t>
            </w:r>
          </w:p>
        </w:tc>
        <w:tc>
          <w:tcPr>
            <w:tcW w:w="1175" w:type="dxa"/>
            <w:tcBorders>
              <w:top w:val="nil"/>
              <w:bottom w:val="nil"/>
            </w:tcBorders>
          </w:tcPr>
          <w:p>
            <w:pPr>
              <w:pStyle w:val="nTable"/>
              <w:spacing w:after="40"/>
            </w:pPr>
            <w:r>
              <w:t>7 Jul 2020</w:t>
            </w:r>
          </w:p>
        </w:tc>
        <w:tc>
          <w:tcPr>
            <w:tcW w:w="2497" w:type="dxa"/>
            <w:tcBorders>
              <w:top w:val="nil"/>
              <w:bottom w:val="nil"/>
            </w:tcBorders>
          </w:tcPr>
          <w:p>
            <w:pPr>
              <w:pStyle w:val="nTable"/>
              <w:spacing w:after="40"/>
            </w:pPr>
            <w:r>
              <w:rPr>
                <w:snapToGrid w:val="0"/>
              </w:rPr>
              <w:t>To be proclaimed (see s. 2(1)(b))</w:t>
            </w:r>
          </w:p>
        </w:tc>
      </w:tr>
      <w:tr>
        <w:tblPrEx>
          <w:tblBorders>
            <w:top w:val="single" w:sz="8" w:space="0" w:color="auto"/>
            <w:bottom w:val="single" w:sz="8" w:space="0" w:color="auto"/>
            <w:insideH w:val="single" w:sz="8" w:space="0" w:color="auto"/>
          </w:tblBorders>
        </w:tblPrEx>
        <w:tc>
          <w:tcPr>
            <w:tcW w:w="2280" w:type="dxa"/>
            <w:tcBorders>
              <w:top w:val="nil"/>
              <w:bottom w:val="single" w:sz="4" w:space="0" w:color="auto"/>
            </w:tcBorders>
          </w:tcPr>
          <w:p>
            <w:pPr>
              <w:pStyle w:val="nTable"/>
              <w:spacing w:after="40"/>
              <w:rPr>
                <w:i/>
              </w:rPr>
            </w:pPr>
            <w:r>
              <w:rPr>
                <w:i/>
                <w:snapToGrid w:val="0"/>
              </w:rPr>
              <w:t>Swan Valley Planning Act 2020</w:t>
            </w:r>
            <w:r>
              <w:rPr>
                <w:snapToGrid w:val="0"/>
              </w:rPr>
              <w:t xml:space="preserve"> s. 62</w:t>
            </w:r>
          </w:p>
        </w:tc>
        <w:tc>
          <w:tcPr>
            <w:tcW w:w="1123" w:type="dxa"/>
            <w:gridSpan w:val="2"/>
            <w:tcBorders>
              <w:top w:val="nil"/>
              <w:bottom w:val="single" w:sz="4" w:space="0" w:color="auto"/>
            </w:tcBorders>
          </w:tcPr>
          <w:p>
            <w:pPr>
              <w:pStyle w:val="nTable"/>
              <w:spacing w:after="40"/>
              <w:ind w:right="61"/>
            </w:pPr>
            <w:r>
              <w:t>45 of 2020</w:t>
            </w:r>
          </w:p>
        </w:tc>
        <w:tc>
          <w:tcPr>
            <w:tcW w:w="1175" w:type="dxa"/>
            <w:tcBorders>
              <w:top w:val="nil"/>
              <w:bottom w:val="single" w:sz="4" w:space="0" w:color="auto"/>
            </w:tcBorders>
          </w:tcPr>
          <w:p>
            <w:pPr>
              <w:pStyle w:val="nTable"/>
              <w:spacing w:after="40"/>
            </w:pPr>
            <w:r>
              <w:t>9 Dec 2020</w:t>
            </w:r>
          </w:p>
        </w:tc>
        <w:tc>
          <w:tcPr>
            <w:tcW w:w="2497" w:type="dxa"/>
            <w:tcBorders>
              <w:top w:val="nil"/>
              <w:bottom w:val="single" w:sz="4" w:space="0" w:color="auto"/>
            </w:tcBorders>
          </w:tcPr>
          <w:p>
            <w:pPr>
              <w:pStyle w:val="nTable"/>
              <w:spacing w:after="40"/>
              <w:rPr>
                <w:snapToGrid w:val="0"/>
              </w:rPr>
            </w:pPr>
            <w:r>
              <w:rPr>
                <w:snapToGrid w:val="0"/>
              </w:rPr>
              <w:t>Immediately</w:t>
            </w:r>
            <w:r>
              <w:t xml:space="preserve"> after the </w:t>
            </w:r>
            <w:r>
              <w:rPr>
                <w:i/>
              </w:rPr>
              <w:t>Planning and Development Amendment Act 2020</w:t>
            </w:r>
            <w:r>
              <w:t xml:space="preserve"> s. 65 comes into operation</w:t>
            </w:r>
            <w:r>
              <w:rPr>
                <w:snapToGrid w:val="0"/>
              </w:rPr>
              <w:t xml:space="preserve"> (</w:t>
            </w:r>
            <w:r>
              <w:t>see s. 2(1)(b)(ii))</w:t>
            </w:r>
          </w:p>
        </w:tc>
      </w:tr>
    </w:tbl>
    <w:p>
      <w:pPr>
        <w:pStyle w:val="nHeading3"/>
      </w:pPr>
      <w:bookmarkStart w:id="473" w:name="_Toc155166294"/>
      <w:r>
        <w:t>Other notes</w:t>
      </w:r>
      <w:bookmarkEnd w:id="473"/>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4 Div. 2</w:t>
      </w:r>
      <w:r>
        <w:t xml:space="preserve">. </w:t>
      </w:r>
    </w:p>
    <w:p>
      <w:pPr>
        <w:pStyle w:val="nNote"/>
        <w:keepNext/>
        <w:keepLines/>
      </w:pPr>
      <w:r>
        <w:tab/>
        <w:t>If a modification is to:</w:t>
      </w:r>
    </w:p>
    <w:p>
      <w:pPr>
        <w:pStyle w:val="nNote"/>
        <w:keepNext/>
        <w:keepLines/>
        <w:numPr>
          <w:ilvl w:val="0"/>
          <w:numId w:val="12"/>
        </w:numPr>
        <w:spacing w:before="0"/>
        <w:ind w:left="714" w:hanging="357"/>
      </w:pPr>
      <w:r>
        <w:t>replace or insert a numbered provision, the new provision is identified by the superscript 1M appearing after the provision number;</w:t>
      </w:r>
    </w:p>
    <w:p>
      <w:pPr>
        <w:pStyle w:val="nNote"/>
        <w:numPr>
          <w:ilvl w:val="0"/>
          <w:numId w:val="12"/>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4 Div. 2</w:t>
      </w:r>
      <w:r>
        <w:t xml:space="preserve">. </w:t>
      </w:r>
    </w:p>
    <w:p>
      <w:pPr>
        <w:pStyle w:val="nNote"/>
        <w:keepNext/>
      </w:pPr>
      <w:r>
        <w:lastRenderedPageBreak/>
        <w:tab/>
        <w:t>If a modification is to:</w:t>
      </w:r>
    </w:p>
    <w:p>
      <w:pPr>
        <w:pStyle w:val="nNote"/>
        <w:keepNext/>
        <w:keepLines/>
        <w:numPr>
          <w:ilvl w:val="0"/>
          <w:numId w:val="12"/>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2"/>
        </w:numPr>
        <w:spacing w:before="0"/>
        <w:ind w:left="714" w:hanging="357"/>
      </w:pPr>
      <w:r>
        <w:t>amend a numbered provision, the amended provision is identified by the superscript 1MC appearing after the provision number.</w:t>
      </w:r>
    </w:p>
    <w:p>
      <w:pPr>
        <w:pStyle w:val="nNote"/>
        <w:spacing w:before="160"/>
        <w:rPr>
          <w:snapToGrid w:val="0"/>
        </w:rPr>
      </w:pPr>
      <w:r>
        <w:rPr>
          <w:snapToGrid w:val="0"/>
          <w:vertAlign w:val="superscript"/>
        </w:rPr>
        <w:t>1</w:t>
      </w:r>
      <w:r>
        <w:rPr>
          <w:snapToGrid w:val="0"/>
        </w:rPr>
        <w:tab/>
        <w:t xml:space="preserve">Repealed by the </w:t>
      </w:r>
      <w:r>
        <w:rPr>
          <w:i/>
          <w:iCs/>
          <w:snapToGrid w:val="0"/>
        </w:rPr>
        <w:t>Land Administration Act 1997.</w:t>
      </w:r>
      <w:r>
        <w:rPr>
          <w:snapToGrid w:val="0"/>
        </w:rPr>
        <w:t xml:space="preserve"> </w:t>
      </w:r>
    </w:p>
    <w:p>
      <w:pPr>
        <w:pStyle w:val="nNote"/>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Mining Act 1978.</w:t>
      </w:r>
    </w:p>
    <w:p>
      <w:pPr>
        <w:pStyle w:val="nNote"/>
        <w:rPr>
          <w:snapToGrid w:val="0"/>
        </w:rPr>
      </w:pPr>
      <w:r>
        <w:rPr>
          <w:snapToGrid w:val="0"/>
          <w:vertAlign w:val="superscript"/>
        </w:rPr>
        <w:t>3</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Note"/>
      </w:pPr>
      <w:r>
        <w:rPr>
          <w:vertAlign w:val="superscript"/>
        </w:rPr>
        <w:t>4</w:t>
      </w:r>
      <w:r>
        <w:tab/>
        <w:t xml:space="preserve">Lands Titles Office diagrams are now being held by the Western Australian Land Information Authority (see the </w:t>
      </w:r>
      <w:r>
        <w:rPr>
          <w:i/>
        </w:rPr>
        <w:t>Land Information Authority Act 2006</w:t>
      </w:r>
      <w:r>
        <w:t xml:space="preserve"> s. 100).</w:t>
      </w:r>
    </w:p>
    <w:p>
      <w:pPr>
        <w:pStyle w:val="nNote"/>
        <w:rPr>
          <w:snapToGrid w:val="0"/>
        </w:rPr>
      </w:pPr>
      <w:r>
        <w:rPr>
          <w:snapToGrid w:val="0"/>
          <w:vertAlign w:val="superscript"/>
        </w:rPr>
        <w:t>5</w:t>
      </w:r>
      <w:r>
        <w:rPr>
          <w:snapToGrid w:val="0"/>
        </w:rPr>
        <w:tab/>
        <w:t xml:space="preserve">Now district of </w:t>
      </w:r>
      <w:r>
        <w:t>Karratha.</w:t>
      </w:r>
    </w:p>
    <w:p>
      <w:pPr>
        <w:pStyle w:val="nNote"/>
        <w:rPr>
          <w:vertAlign w:val="superscript"/>
        </w:rPr>
      </w:pPr>
      <w:r>
        <w:rPr>
          <w:vertAlign w:val="superscript"/>
        </w:rPr>
        <w:t>6</w:t>
      </w:r>
      <w:r>
        <w:tab/>
        <w:t>Now City of Vincent.</w:t>
      </w:r>
    </w:p>
    <w:p>
      <w:pPr>
        <w:pStyle w:val="nNote"/>
        <w:keepNext/>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keepNext/>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lastRenderedPageBreak/>
        <w:t>Part 3 — 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lastRenderedPageBreak/>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lastRenderedPageBreak/>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keepNext w:val="0"/>
      </w:pPr>
      <w:r>
        <w:rPr>
          <w:rStyle w:val="CharSectno"/>
        </w:rPr>
        <w:t>23</w:t>
      </w:r>
      <w:r>
        <w:t>.</w:t>
      </w:r>
      <w:r>
        <w:tab/>
        <w:t>Committees</w:t>
      </w:r>
    </w:p>
    <w:p>
      <w:pPr>
        <w:pStyle w:val="nzSubsection"/>
        <w:keepLines/>
      </w:pPr>
      <w:r>
        <w:tab/>
        <w:t>(1)</w:t>
      </w:r>
      <w:r>
        <w:tab/>
        <w:t xml:space="preserve">In this section — </w:t>
      </w:r>
    </w:p>
    <w:p>
      <w:pPr>
        <w:pStyle w:val="nzDefstart"/>
      </w:pPr>
      <w:r>
        <w:lastRenderedPageBreak/>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lastRenderedPageBreak/>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lastRenderedPageBreak/>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lastRenderedPageBreak/>
        <w:t>Part 4</w:t>
      </w:r>
      <w:r>
        <w:rPr>
          <w:rStyle w:val="CharDivNo"/>
        </w:rPr>
        <w:t> </w:t>
      </w:r>
      <w:r>
        <w:t>—</w:t>
      </w:r>
      <w:r>
        <w:rPr>
          <w:rStyle w:val="CharDivText"/>
        </w:rPr>
        <w:t> </w:t>
      </w:r>
      <w: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Note"/>
      </w:pPr>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Note"/>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Note"/>
        <w:keepNext/>
        <w:rPr>
          <w:noProof/>
          <w:snapToGrid w:val="0"/>
        </w:rPr>
      </w:pPr>
      <w:r>
        <w:rPr>
          <w:vertAlign w:val="superscript"/>
        </w:rPr>
        <w:t>10</w:t>
      </w:r>
      <w:r>
        <w:tab/>
        <w:t xml:space="preserve">The </w:t>
      </w:r>
      <w:r>
        <w:rPr>
          <w:i/>
          <w:iCs/>
        </w:rPr>
        <w:t>Approvals and Related Reforms (No. 4) (Planning) Act 2010</w:t>
      </w:r>
      <w:r>
        <w:rPr>
          <w:noProof/>
          <w:snapToGrid w:val="0"/>
        </w:rPr>
        <w:t xml:space="preserve"> s. 56(4) is a transitional provision that is of no further effect.</w:t>
      </w:r>
    </w:p>
    <w:p/>
    <w:p>
      <w:pPr>
        <w:sectPr>
          <w:headerReference w:type="even" r:id="rId32"/>
          <w:headerReference w:type="default" r:id="rId33"/>
          <w:pgSz w:w="11907" w:h="16840" w:code="9"/>
          <w:pgMar w:top="2376" w:right="2405" w:bottom="3542" w:left="2405" w:header="706" w:footer="3544" w:gutter="0"/>
          <w:cols w:space="720"/>
          <w:noEndnote/>
          <w:docGrid w:linePitch="326"/>
        </w:sectPr>
      </w:pPr>
    </w:p>
    <w:p>
      <w:pPr>
        <w:pStyle w:val="nHeading2"/>
        <w:rPr>
          <w:sz w:val="28"/>
        </w:rPr>
      </w:pPr>
      <w:bookmarkStart w:id="475" w:name="_Toc155166295"/>
      <w:r>
        <w:rPr>
          <w:sz w:val="28"/>
        </w:rPr>
        <w:lastRenderedPageBreak/>
        <w:t>Defined terms</w:t>
      </w:r>
      <w:bookmarkEnd w:id="4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4(1)</w:t>
      </w:r>
    </w:p>
    <w:p>
      <w:pPr>
        <w:pStyle w:val="DefinedTerms"/>
      </w:pPr>
      <w:r>
        <w:t>affected local government</w:t>
      </w:r>
      <w:r>
        <w:tab/>
        <w:t>122B(3B)</w:t>
      </w:r>
    </w:p>
    <w:p>
      <w:pPr>
        <w:pStyle w:val="DefinedTerms"/>
      </w:pPr>
      <w:r>
        <w:t>alleged offender</w:t>
      </w:r>
      <w:r>
        <w:tab/>
        <w:t>226</w:t>
      </w:r>
    </w:p>
    <w:p>
      <w:pPr>
        <w:pStyle w:val="DefinedTerms"/>
      </w:pPr>
      <w:r>
        <w:t>amended Act</w:t>
      </w:r>
      <w:r>
        <w:tab/>
        <w:t>290(1)</w:t>
      </w:r>
    </w:p>
    <w:p>
      <w:pPr>
        <w:pStyle w:val="DefinedTerms"/>
      </w:pPr>
      <w:r>
        <w:t>amendment day</w:t>
      </w:r>
      <w:r>
        <w:tab/>
        <w:t>122B(7)</w:t>
      </w:r>
    </w:p>
    <w:p>
      <w:pPr>
        <w:pStyle w:val="DefinedTerms"/>
      </w:pPr>
      <w:r>
        <w:t>applicable legal instrument</w:t>
      </w:r>
      <w:r>
        <w:tab/>
        <w:t>269(1)</w:t>
      </w:r>
    </w:p>
    <w:p>
      <w:pPr>
        <w:pStyle w:val="DefinedTerms"/>
      </w:pPr>
      <w:r>
        <w:t>applicant</w:t>
      </w:r>
      <w:r>
        <w:tab/>
        <w:t>253(1)</w:t>
      </w:r>
    </w:p>
    <w:p>
      <w:pPr>
        <w:pStyle w:val="DefinedTerms"/>
      </w:pPr>
      <w:r>
        <w:t>appointed member</w:t>
      </w:r>
      <w:r>
        <w:tab/>
        <w:t>Sch. 1 cl. 1</w:t>
      </w:r>
    </w:p>
    <w:p>
      <w:pPr>
        <w:pStyle w:val="DefinedTerms"/>
      </w:pPr>
      <w:r>
        <w:t>artificial waterway</w:t>
      </w:r>
      <w:r>
        <w:tab/>
        <w:t>4(1)</w:t>
      </w:r>
    </w:p>
    <w:p>
      <w:pPr>
        <w:pStyle w:val="DefinedTerms"/>
      </w:pPr>
      <w:r>
        <w:t>assessed scheme</w:t>
      </w:r>
      <w:r>
        <w:tab/>
        <w:t>217(1)</w:t>
      </w:r>
    </w:p>
    <w:p>
      <w:pPr>
        <w:pStyle w:val="DefinedTerms"/>
      </w:pPr>
      <w:r>
        <w:t>associate member</w:t>
      </w:r>
      <w:r>
        <w:tab/>
        <w:t>4(1)</w:t>
      </w:r>
    </w:p>
    <w:p>
      <w:pPr>
        <w:pStyle w:val="DefinedTerms"/>
      </w:pPr>
      <w:r>
        <w:t>Authority</w:t>
      </w:r>
      <w:r>
        <w:tab/>
        <w:t>4(1)</w:t>
      </w:r>
    </w:p>
    <w:p>
      <w:pPr>
        <w:pStyle w:val="DefinedTerms"/>
      </w:pPr>
      <w:r>
        <w:t>board</w:t>
      </w:r>
      <w:r>
        <w:tab/>
        <w:t>4(1)</w:t>
      </w:r>
    </w:p>
    <w:p>
      <w:pPr>
        <w:pStyle w:val="DefinedTerms"/>
      </w:pPr>
      <w:r>
        <w:t>Board</w:t>
      </w:r>
      <w:r>
        <w:tab/>
        <w:t>172, Sch. 9 cl. 1</w:t>
      </w:r>
    </w:p>
    <w:p>
      <w:pPr>
        <w:pStyle w:val="DefinedTerms"/>
      </w:pPr>
      <w:r>
        <w:t>building line</w:t>
      </w:r>
      <w:r>
        <w:tab/>
        <w:t>Sch. 8 cl. 8(2)</w:t>
      </w:r>
    </w:p>
    <w:p>
      <w:pPr>
        <w:pStyle w:val="DefinedTerms"/>
      </w:pPr>
      <w:r>
        <w:t>business arrangement</w:t>
      </w:r>
      <w:r>
        <w:tab/>
        <w:t>15(5)</w:t>
      </w:r>
    </w:p>
    <w:p>
      <w:pPr>
        <w:pStyle w:val="DefinedTerms"/>
      </w:pPr>
      <w:r>
        <w:t>chairperson</w:t>
      </w:r>
      <w:r>
        <w:tab/>
        <w:t>4(1)</w:t>
      </w:r>
    </w:p>
    <w:p>
      <w:pPr>
        <w:pStyle w:val="DefinedTerms"/>
      </w:pPr>
      <w:r>
        <w:t>chief executive officer</w:t>
      </w:r>
      <w:r>
        <w:tab/>
        <w:t>4(1)</w:t>
      </w:r>
    </w:p>
    <w:p>
      <w:pPr>
        <w:pStyle w:val="DefinedTerms"/>
      </w:pPr>
      <w:r>
        <w:t>commencement day</w:t>
      </w:r>
      <w:r>
        <w:tab/>
        <w:t>289(1), 290(1), 291(1), 292(1), 293(1)</w:t>
      </w:r>
    </w:p>
    <w:p>
      <w:pPr>
        <w:pStyle w:val="DefinedTerms"/>
      </w:pPr>
      <w:r>
        <w:t>Commission</w:t>
      </w:r>
      <w:r>
        <w:tab/>
        <w:t>4(1)</w:t>
      </w:r>
    </w:p>
    <w:p>
      <w:pPr>
        <w:pStyle w:val="DefinedTerms"/>
      </w:pPr>
      <w:r>
        <w:t>conflicts</w:t>
      </w:r>
      <w:r>
        <w:tab/>
        <w:t>280(1)</w:t>
      </w:r>
    </w:p>
    <w:p>
      <w:pPr>
        <w:pStyle w:val="DefinedTerms"/>
      </w:pPr>
      <w:r>
        <w:t>cost of providing a road</w:t>
      </w:r>
      <w:r>
        <w:tab/>
        <w:t>159(3)</w:t>
      </w:r>
    </w:p>
    <w:p>
      <w:pPr>
        <w:pStyle w:val="DefinedTerms"/>
      </w:pPr>
      <w:r>
        <w:t>COVID-19 emergency start date</w:t>
      </w:r>
      <w:r>
        <w:tab/>
        <w:t>287</w:t>
      </w:r>
    </w:p>
    <w:p>
      <w:pPr>
        <w:pStyle w:val="DefinedTerms"/>
      </w:pPr>
      <w:r>
        <w:t>CPI</w:t>
      </w:r>
      <w:r>
        <w:tab/>
        <w:t>159(2)</w:t>
      </w:r>
    </w:p>
    <w:p>
      <w:pPr>
        <w:pStyle w:val="DefinedTerms"/>
      </w:pPr>
      <w:r>
        <w:t>Crown land</w:t>
      </w:r>
      <w:r>
        <w:tab/>
        <w:t>4(1)</w:t>
      </w:r>
    </w:p>
    <w:p>
      <w:pPr>
        <w:pStyle w:val="DefinedTerms"/>
      </w:pPr>
      <w:r>
        <w:t>DAP</w:t>
      </w:r>
      <w:r>
        <w:tab/>
        <w:t>4(1)</w:t>
      </w:r>
    </w:p>
    <w:p>
      <w:pPr>
        <w:pStyle w:val="DefinedTerms"/>
      </w:pPr>
      <w:r>
        <w:t>decision-maker</w:t>
      </w:r>
      <w:r>
        <w:tab/>
        <w:t>280(5), 281(1), 282(1)</w:t>
      </w:r>
    </w:p>
    <w:p>
      <w:pPr>
        <w:pStyle w:val="DefinedTerms"/>
      </w:pPr>
      <w:r>
        <w:t>decision period</w:t>
      </w:r>
      <w:r>
        <w:tab/>
        <w:t>253(1)</w:t>
      </w:r>
    </w:p>
    <w:p>
      <w:pPr>
        <w:pStyle w:val="DefinedTerms"/>
      </w:pPr>
      <w:r>
        <w:t>deemed provision</w:t>
      </w:r>
      <w:r>
        <w:tab/>
        <w:t>257B(1)</w:t>
      </w:r>
    </w:p>
    <w:p>
      <w:pPr>
        <w:pStyle w:val="DefinedTerms"/>
      </w:pPr>
      <w:r>
        <w:t>deputy member</w:t>
      </w:r>
      <w:r>
        <w:tab/>
        <w:t>4(1)</w:t>
      </w:r>
    </w:p>
    <w:p>
      <w:pPr>
        <w:pStyle w:val="DefinedTerms"/>
      </w:pPr>
      <w:r>
        <w:t>designated person</w:t>
      </w:r>
      <w:r>
        <w:tab/>
        <w:t>226</w:t>
      </w:r>
    </w:p>
    <w:p>
      <w:pPr>
        <w:pStyle w:val="DefinedTerms"/>
      </w:pPr>
      <w:r>
        <w:t>development</w:t>
      </w:r>
      <w:r>
        <w:tab/>
        <w:t>4(1), 269(1)</w:t>
      </w:r>
    </w:p>
    <w:p>
      <w:pPr>
        <w:pStyle w:val="DefinedTerms"/>
      </w:pPr>
      <w:r>
        <w:t>development application</w:t>
      </w:r>
      <w:r>
        <w:tab/>
        <w:t>4(1), 269(1)</w:t>
      </w:r>
    </w:p>
    <w:p>
      <w:pPr>
        <w:pStyle w:val="DefinedTerms"/>
      </w:pPr>
      <w:r>
        <w:t>Development Assessment Panel</w:t>
      </w:r>
      <w:r>
        <w:tab/>
        <w:t>4(1)</w:t>
      </w:r>
    </w:p>
    <w:p>
      <w:pPr>
        <w:pStyle w:val="DefinedTerms"/>
      </w:pPr>
      <w:r>
        <w:t>district</w:t>
      </w:r>
      <w:r>
        <w:tab/>
        <w:t>4(1)</w:t>
      </w:r>
    </w:p>
    <w:p>
      <w:pPr>
        <w:pStyle w:val="DefinedTerms"/>
      </w:pPr>
      <w:r>
        <w:t>district planning committee</w:t>
      </w:r>
      <w:r>
        <w:tab/>
        <w:t>4</w:t>
      </w:r>
    </w:p>
    <w:p>
      <w:pPr>
        <w:pStyle w:val="DefinedTerms"/>
      </w:pPr>
      <w:r>
        <w:t>document</w:t>
      </w:r>
      <w:r>
        <w:tab/>
        <w:t>18(4)</w:t>
      </w:r>
    </w:p>
    <w:p>
      <w:pPr>
        <w:pStyle w:val="DefinedTerms"/>
      </w:pPr>
      <w:r>
        <w:t>electronic planning map</w:t>
      </w:r>
      <w:r>
        <w:tab/>
        <w:t>267B(2)</w:t>
      </w:r>
    </w:p>
    <w:p>
      <w:pPr>
        <w:pStyle w:val="DefinedTerms"/>
      </w:pPr>
      <w:r>
        <w:t>environmental condition</w:t>
      </w:r>
      <w:r>
        <w:tab/>
        <w:t>4(1), 217(1)</w:t>
      </w:r>
    </w:p>
    <w:p>
      <w:pPr>
        <w:pStyle w:val="DefinedTerms"/>
      </w:pPr>
      <w:r>
        <w:lastRenderedPageBreak/>
        <w:t>environmental harm</w:t>
      </w:r>
      <w:r>
        <w:tab/>
        <w:t>217(1)</w:t>
      </w:r>
    </w:p>
    <w:p>
      <w:pPr>
        <w:pStyle w:val="DefinedTerms"/>
      </w:pPr>
      <w:r>
        <w:t>EPA</w:t>
      </w:r>
      <w:r>
        <w:tab/>
        <w:t>4(1)</w:t>
      </w:r>
    </w:p>
    <w:p>
      <w:pPr>
        <w:pStyle w:val="DefinedTerms"/>
      </w:pPr>
      <w:r>
        <w:t>EP Act</w:t>
      </w:r>
      <w:r>
        <w:tab/>
        <w:t>4(1)</w:t>
      </w:r>
    </w:p>
    <w:p>
      <w:pPr>
        <w:pStyle w:val="DefinedTerms"/>
      </w:pPr>
      <w:r>
        <w:t>extended recovery period</w:t>
      </w:r>
      <w:r>
        <w:tab/>
        <w:t>269(1)</w:t>
      </w:r>
    </w:p>
    <w:p>
      <w:pPr>
        <w:pStyle w:val="DefinedTerms"/>
      </w:pPr>
      <w:r>
        <w:t>fee</w:t>
      </w:r>
      <w:r>
        <w:tab/>
        <w:t>261(1)</w:t>
      </w:r>
    </w:p>
    <w:p>
      <w:pPr>
        <w:pStyle w:val="DefinedTerms"/>
      </w:pPr>
      <w:r>
        <w:t>first owner</w:t>
      </w:r>
      <w:r>
        <w:tab/>
        <w:t>154(2)</w:t>
      </w:r>
    </w:p>
    <w:p>
      <w:pPr>
        <w:pStyle w:val="DefinedTerms"/>
      </w:pPr>
      <w:r>
        <w:t>former Act</w:t>
      </w:r>
      <w:r>
        <w:tab/>
        <w:t>290(1)</w:t>
      </w:r>
    </w:p>
    <w:p>
      <w:pPr>
        <w:pStyle w:val="DefinedTerms"/>
      </w:pPr>
      <w:r>
        <w:t>function</w:t>
      </w:r>
      <w:r>
        <w:tab/>
        <w:t>266(1)</w:t>
      </w:r>
    </w:p>
    <w:p>
      <w:pPr>
        <w:pStyle w:val="DefinedTerms"/>
      </w:pPr>
      <w:r>
        <w:t>Government agreement</w:t>
      </w:r>
      <w:r>
        <w:tab/>
        <w:t>269(1)</w:t>
      </w:r>
    </w:p>
    <w:p>
      <w:pPr>
        <w:pStyle w:val="DefinedTerms"/>
      </w:pPr>
      <w:r>
        <w:t>Heritage Council</w:t>
      </w:r>
      <w:r>
        <w:tab/>
        <w:t>4(1)</w:t>
      </w:r>
    </w:p>
    <w:p>
      <w:pPr>
        <w:pStyle w:val="DefinedTerms"/>
      </w:pPr>
      <w:r>
        <w:t>improvement plan</w:t>
      </w:r>
      <w:r>
        <w:tab/>
        <w:t>4(1)</w:t>
      </w:r>
    </w:p>
    <w:p>
      <w:pPr>
        <w:pStyle w:val="DefinedTerms"/>
      </w:pPr>
      <w:r>
        <w:t>improvement scheme</w:t>
      </w:r>
      <w:r>
        <w:tab/>
        <w:t>4(1)</w:t>
      </w:r>
    </w:p>
    <w:p>
      <w:pPr>
        <w:pStyle w:val="DefinedTerms"/>
      </w:pPr>
      <w:r>
        <w:t>improvement scheme area</w:t>
      </w:r>
      <w:r>
        <w:tab/>
        <w:t>4(1), 122A(2)</w:t>
      </w:r>
    </w:p>
    <w:p>
      <w:pPr>
        <w:pStyle w:val="DefinedTerms"/>
      </w:pPr>
      <w:r>
        <w:t>information</w:t>
      </w:r>
      <w:r>
        <w:tab/>
        <w:t>18(4)</w:t>
      </w:r>
    </w:p>
    <w:p>
      <w:pPr>
        <w:pStyle w:val="DefinedTerms"/>
      </w:pPr>
      <w:r>
        <w:t>instructions</w:t>
      </w:r>
      <w:r>
        <w:tab/>
        <w:t>39(1)</w:t>
      </w:r>
    </w:p>
    <w:p>
      <w:pPr>
        <w:pStyle w:val="DefinedTerms"/>
      </w:pPr>
      <w:r>
        <w:t>interim development order</w:t>
      </w:r>
      <w:r>
        <w:tab/>
        <w:t>4(1)</w:t>
      </w:r>
    </w:p>
    <w:p>
      <w:pPr>
        <w:pStyle w:val="DefinedTerms"/>
      </w:pPr>
      <w:r>
        <w:t>issue</w:t>
      </w:r>
      <w:r>
        <w:tab/>
        <w:t>261(1)</w:t>
      </w:r>
    </w:p>
    <w:p>
      <w:pPr>
        <w:pStyle w:val="DefinedTerms"/>
      </w:pPr>
      <w:r>
        <w:t>JDAP</w:t>
      </w:r>
      <w:r>
        <w:tab/>
        <w:t>4(1), 289(1)</w:t>
      </w:r>
    </w:p>
    <w:p>
      <w:pPr>
        <w:pStyle w:val="DefinedTerms"/>
      </w:pPr>
      <w:r>
        <w:t>judicial member</w:t>
      </w:r>
      <w:r>
        <w:tab/>
        <w:t>237</w:t>
      </w:r>
    </w:p>
    <w:p>
      <w:pPr>
        <w:pStyle w:val="DefinedTerms"/>
      </w:pPr>
      <w:r>
        <w:t>land</w:t>
      </w:r>
      <w:r>
        <w:tab/>
        <w:t>4(1), 136(3)</w:t>
      </w:r>
    </w:p>
    <w:p>
      <w:pPr>
        <w:pStyle w:val="DefinedTerms"/>
      </w:pPr>
      <w:r>
        <w:t>later subdivider</w:t>
      </w:r>
      <w:r>
        <w:tab/>
        <w:t>159(1)</w:t>
      </w:r>
    </w:p>
    <w:p>
      <w:pPr>
        <w:pStyle w:val="DefinedTerms"/>
      </w:pPr>
      <w:r>
        <w:t>LDAP</w:t>
      </w:r>
      <w:r>
        <w:tab/>
        <w:t>4(1), 289(1)</w:t>
      </w:r>
    </w:p>
    <w:p>
      <w:pPr>
        <w:pStyle w:val="DefinedTerms"/>
      </w:pPr>
      <w:r>
        <w:t>legal instrument</w:t>
      </w:r>
      <w:r>
        <w:tab/>
        <w:t>269(1)</w:t>
      </w:r>
    </w:p>
    <w:p>
      <w:pPr>
        <w:pStyle w:val="DefinedTerms"/>
      </w:pPr>
      <w:r>
        <w:t>licence</w:t>
      </w:r>
      <w:r>
        <w:tab/>
        <w:t>261(1)</w:t>
      </w:r>
    </w:p>
    <w:p>
      <w:pPr>
        <w:pStyle w:val="DefinedTerms"/>
      </w:pPr>
      <w:r>
        <w:t>licence to use or occupy</w:t>
      </w:r>
      <w:r>
        <w:tab/>
        <w:t>136(3)</w:t>
      </w:r>
    </w:p>
    <w:p>
      <w:pPr>
        <w:pStyle w:val="DefinedTerms"/>
      </w:pPr>
      <w:r>
        <w:t>licensed valuer</w:t>
      </w:r>
      <w:r>
        <w:tab/>
        <w:t>155(1)</w:t>
      </w:r>
    </w:p>
    <w:p>
      <w:pPr>
        <w:pStyle w:val="DefinedTerms"/>
      </w:pPr>
      <w:r>
        <w:t>local interim development order</w:t>
      </w:r>
      <w:r>
        <w:tab/>
        <w:t>4(1)</w:t>
      </w:r>
    </w:p>
    <w:p>
      <w:pPr>
        <w:pStyle w:val="DefinedTerms"/>
      </w:pPr>
      <w:r>
        <w:t>local order area</w:t>
      </w:r>
      <w:r>
        <w:tab/>
        <w:t>4(1)</w:t>
      </w:r>
    </w:p>
    <w:p>
      <w:pPr>
        <w:pStyle w:val="DefinedTerms"/>
      </w:pPr>
      <w:r>
        <w:t>local planning scheme</w:t>
      </w:r>
      <w:r>
        <w:tab/>
        <w:t>4(1)</w:t>
      </w:r>
    </w:p>
    <w:p>
      <w:pPr>
        <w:pStyle w:val="DefinedTerms"/>
      </w:pPr>
      <w:r>
        <w:t>lot</w:t>
      </w:r>
      <w:r>
        <w:tab/>
        <w:t>4(1)</w:t>
      </w:r>
    </w:p>
    <w:p>
      <w:pPr>
        <w:pStyle w:val="DefinedTerms"/>
      </w:pPr>
      <w:r>
        <w:t>market value of land</w:t>
      </w:r>
      <w:r>
        <w:tab/>
        <w:t>155(1), 159(2)</w:t>
      </w:r>
    </w:p>
    <w:p>
      <w:pPr>
        <w:pStyle w:val="DefinedTerms"/>
      </w:pPr>
      <w:r>
        <w:t>meeting</w:t>
      </w:r>
      <w:r>
        <w:tab/>
        <w:t>266(1)</w:t>
      </w:r>
    </w:p>
    <w:p>
      <w:pPr>
        <w:pStyle w:val="DefinedTerms"/>
      </w:pPr>
      <w:r>
        <w:t>member</w:t>
      </w:r>
      <w:r>
        <w:tab/>
        <w:t>4(1), 266(1)</w:t>
      </w:r>
    </w:p>
    <w:p>
      <w:pPr>
        <w:pStyle w:val="DefinedTerms"/>
      </w:pPr>
      <w:r>
        <w:t>metropolitan improvement scheme</w:t>
      </w:r>
      <w:r>
        <w:tab/>
        <w:t>199(1A)</w:t>
      </w:r>
    </w:p>
    <w:p>
      <w:pPr>
        <w:pStyle w:val="DefinedTerms"/>
      </w:pPr>
      <w:r>
        <w:t>metropolitan region</w:t>
      </w:r>
      <w:r>
        <w:tab/>
        <w:t>4(1)</w:t>
      </w:r>
    </w:p>
    <w:p>
      <w:pPr>
        <w:pStyle w:val="DefinedTerms"/>
      </w:pPr>
      <w:r>
        <w:t>Metropolitan Region Scheme</w:t>
      </w:r>
      <w:r>
        <w:tab/>
        <w:t>4(1)</w:t>
      </w:r>
    </w:p>
    <w:p>
      <w:pPr>
        <w:pStyle w:val="DefinedTerms"/>
      </w:pPr>
      <w:r>
        <w:t>mining</w:t>
      </w:r>
      <w:r>
        <w:tab/>
        <w:t>269(1)</w:t>
      </w:r>
    </w:p>
    <w:p>
      <w:pPr>
        <w:pStyle w:val="DefinedTerms"/>
      </w:pPr>
      <w:r>
        <w:t>Minister</w:t>
      </w:r>
      <w:r>
        <w:tab/>
        <w:t>245(5)</w:t>
      </w:r>
    </w:p>
    <w:p>
      <w:pPr>
        <w:pStyle w:val="DefinedTerms"/>
      </w:pPr>
      <w:r>
        <w:t>Minister for Lands</w:t>
      </w:r>
      <w:r>
        <w:tab/>
        <w:t>267A(1)</w:t>
      </w:r>
    </w:p>
    <w:p>
      <w:pPr>
        <w:pStyle w:val="DefinedTerms"/>
      </w:pPr>
      <w:r>
        <w:t>Minister for the Environment</w:t>
      </w:r>
      <w:r>
        <w:tab/>
        <w:t>4(1)</w:t>
      </w:r>
    </w:p>
    <w:p>
      <w:pPr>
        <w:pStyle w:val="DefinedTerms"/>
      </w:pPr>
      <w:r>
        <w:t>minor modification</w:t>
      </w:r>
      <w:r>
        <w:tab/>
        <w:t>267B(1)</w:t>
      </w:r>
    </w:p>
    <w:p>
      <w:pPr>
        <w:pStyle w:val="DefinedTerms"/>
      </w:pPr>
      <w:r>
        <w:t>minor region planning scheme amendment</w:t>
      </w:r>
      <w:r>
        <w:tab/>
        <w:t>56A</w:t>
      </w:r>
    </w:p>
    <w:p>
      <w:pPr>
        <w:pStyle w:val="DefinedTerms"/>
      </w:pPr>
      <w:r>
        <w:t>model provision</w:t>
      </w:r>
      <w:r>
        <w:tab/>
        <w:t>257A(1)</w:t>
      </w:r>
    </w:p>
    <w:p>
      <w:pPr>
        <w:pStyle w:val="DefinedTerms"/>
      </w:pPr>
      <w:r>
        <w:t>MRI Account</w:t>
      </w:r>
      <w:r>
        <w:tab/>
        <w:t>4(1)</w:t>
      </w:r>
    </w:p>
    <w:p>
      <w:pPr>
        <w:pStyle w:val="DefinedTerms"/>
      </w:pPr>
      <w:r>
        <w:lastRenderedPageBreak/>
        <w:t>non-conforming use</w:t>
      </w:r>
      <w:r>
        <w:tab/>
        <w:t>172</w:t>
      </w:r>
    </w:p>
    <w:p>
      <w:pPr>
        <w:pStyle w:val="DefinedTerms"/>
      </w:pPr>
      <w:r>
        <w:t>normal decision-maker</w:t>
      </w:r>
      <w:r>
        <w:tab/>
        <w:t>269(1)</w:t>
      </w:r>
    </w:p>
    <w:p>
      <w:pPr>
        <w:pStyle w:val="DefinedTerms"/>
      </w:pPr>
      <w:r>
        <w:t>officer of the Commission</w:t>
      </w:r>
      <w:r>
        <w:tab/>
        <w:t>4(1)</w:t>
      </w:r>
    </w:p>
    <w:p>
      <w:pPr>
        <w:pStyle w:val="DefinedTerms"/>
      </w:pPr>
      <w:r>
        <w:t>original compensation</w:t>
      </w:r>
      <w:r>
        <w:tab/>
        <w:t>181</w:t>
      </w:r>
    </w:p>
    <w:p>
      <w:pPr>
        <w:pStyle w:val="DefinedTerms"/>
      </w:pPr>
      <w:r>
        <w:t>original map</w:t>
      </w:r>
      <w:r>
        <w:tab/>
        <w:t>267B(2)</w:t>
      </w:r>
    </w:p>
    <w:p>
      <w:pPr>
        <w:pStyle w:val="DefinedTerms"/>
      </w:pPr>
      <w:r>
        <w:t>original period</w:t>
      </w:r>
      <w:r>
        <w:tab/>
        <w:t>145A(7)</w:t>
      </w:r>
    </w:p>
    <w:p>
      <w:pPr>
        <w:pStyle w:val="DefinedTerms"/>
      </w:pPr>
      <w:r>
        <w:t>original subdivider</w:t>
      </w:r>
      <w:r>
        <w:tab/>
        <w:t>159(1)</w:t>
      </w:r>
    </w:p>
    <w:p>
      <w:pPr>
        <w:pStyle w:val="DefinedTerms"/>
      </w:pPr>
      <w:r>
        <w:t>other local government</w:t>
      </w:r>
      <w:r>
        <w:tab/>
        <w:t>210(1)</w:t>
      </w:r>
    </w:p>
    <w:p>
      <w:pPr>
        <w:pStyle w:val="DefinedTerms"/>
      </w:pPr>
      <w:r>
        <w:t>Part 17 regulations</w:t>
      </w:r>
      <w:r>
        <w:tab/>
        <w:t>269(1)</w:t>
      </w:r>
    </w:p>
    <w:p>
      <w:pPr>
        <w:pStyle w:val="DefinedTerms"/>
      </w:pPr>
      <w:r>
        <w:t>participate</w:t>
      </w:r>
      <w:r>
        <w:tab/>
        <w:t>15(5)</w:t>
      </w:r>
    </w:p>
    <w:p>
      <w:pPr>
        <w:pStyle w:val="DefinedTerms"/>
      </w:pPr>
      <w:r>
        <w:t>party</w:t>
      </w:r>
      <w:r>
        <w:tab/>
        <w:t>237</w:t>
      </w:r>
    </w:p>
    <w:p>
      <w:pPr>
        <w:pStyle w:val="DefinedTerms"/>
      </w:pPr>
      <w:r>
        <w:t>planning control area</w:t>
      </w:r>
      <w:r>
        <w:tab/>
        <w:t>4(1)</w:t>
      </w:r>
    </w:p>
    <w:p>
      <w:pPr>
        <w:pStyle w:val="DefinedTerms"/>
      </w:pPr>
      <w:r>
        <w:t>planning instrument</w:t>
      </w:r>
      <w:r>
        <w:tab/>
        <w:t>171A(1), 267B(1)</w:t>
      </w:r>
    </w:p>
    <w:p>
      <w:pPr>
        <w:pStyle w:val="DefinedTerms"/>
      </w:pPr>
      <w:r>
        <w:t>planning markings</w:t>
      </w:r>
      <w:r>
        <w:tab/>
        <w:t>267B(1)</w:t>
      </w:r>
    </w:p>
    <w:p>
      <w:pPr>
        <w:pStyle w:val="DefinedTerms"/>
      </w:pPr>
      <w:r>
        <w:t>planning matter</w:t>
      </w:r>
      <w:r>
        <w:tab/>
        <w:t>261(1)</w:t>
      </w:r>
    </w:p>
    <w:p>
      <w:pPr>
        <w:pStyle w:val="DefinedTerms"/>
      </w:pPr>
      <w:r>
        <w:t>planning scheme</w:t>
      </w:r>
      <w:r>
        <w:tab/>
        <w:t>4(1), 236(1)</w:t>
      </w:r>
    </w:p>
    <w:p>
      <w:pPr>
        <w:pStyle w:val="DefinedTerms"/>
      </w:pPr>
      <w:r>
        <w:t>pollution</w:t>
      </w:r>
      <w:r>
        <w:tab/>
        <w:t>217(1)</w:t>
      </w:r>
    </w:p>
    <w:p>
      <w:pPr>
        <w:pStyle w:val="DefinedTerms"/>
      </w:pPr>
      <w:r>
        <w:t>preparation and approval process</w:t>
      </w:r>
      <w:r>
        <w:tab/>
        <w:t>290(1)</w:t>
      </w:r>
    </w:p>
    <w:p>
      <w:pPr>
        <w:pStyle w:val="DefinedTerms"/>
      </w:pPr>
      <w:r>
        <w:t>prescribed development application</w:t>
      </w:r>
      <w:r>
        <w:tab/>
        <w:t>171A(1)</w:t>
      </w:r>
    </w:p>
    <w:p>
      <w:pPr>
        <w:pStyle w:val="DefinedTerms"/>
      </w:pPr>
      <w:r>
        <w:t>prescribed offence</w:t>
      </w:r>
      <w:r>
        <w:tab/>
        <w:t>226</w:t>
      </w:r>
    </w:p>
    <w:p>
      <w:pPr>
        <w:pStyle w:val="DefinedTerms"/>
      </w:pPr>
      <w:r>
        <w:t>President</w:t>
      </w:r>
      <w:r>
        <w:tab/>
        <w:t>237</w:t>
      </w:r>
    </w:p>
    <w:p>
      <w:pPr>
        <w:pStyle w:val="DefinedTerms"/>
      </w:pPr>
      <w:r>
        <w:t>proposed amendment</w:t>
      </w:r>
      <w:r>
        <w:tab/>
        <w:t>45(1)</w:t>
      </w:r>
    </w:p>
    <w:p>
      <w:pPr>
        <w:pStyle w:val="DefinedTerms"/>
      </w:pPr>
      <w:r>
        <w:t>public authority</w:t>
      </w:r>
      <w:r>
        <w:tab/>
        <w:t>4(1)</w:t>
      </w:r>
    </w:p>
    <w:p>
      <w:pPr>
        <w:pStyle w:val="DefinedTerms"/>
      </w:pPr>
      <w:r>
        <w:t>public purpose</w:t>
      </w:r>
      <w:r>
        <w:tab/>
        <w:t>172</w:t>
      </w:r>
    </w:p>
    <w:p>
      <w:pPr>
        <w:pStyle w:val="DefinedTerms"/>
      </w:pPr>
      <w:r>
        <w:t>public work</w:t>
      </w:r>
      <w:r>
        <w:tab/>
        <w:t>4(1)</w:t>
      </w:r>
    </w:p>
    <w:p>
      <w:pPr>
        <w:pStyle w:val="DefinedTerms"/>
      </w:pPr>
      <w:r>
        <w:t>R-Codes</w:t>
      </w:r>
      <w:r>
        <w:tab/>
        <w:t>291(1)</w:t>
      </w:r>
    </w:p>
    <w:p>
      <w:pPr>
        <w:pStyle w:val="DefinedTerms"/>
      </w:pPr>
      <w:r>
        <w:t>recovery period</w:t>
      </w:r>
      <w:r>
        <w:tab/>
        <w:t>269(1)</w:t>
      </w:r>
    </w:p>
    <w:p>
      <w:pPr>
        <w:pStyle w:val="DefinedTerms"/>
      </w:pPr>
      <w:r>
        <w:t>refund</w:t>
      </w:r>
      <w:r>
        <w:tab/>
        <w:t>181(1)</w:t>
      </w:r>
    </w:p>
    <w:p>
      <w:pPr>
        <w:pStyle w:val="DefinedTerms"/>
      </w:pPr>
      <w:r>
        <w:t>region</w:t>
      </w:r>
      <w:r>
        <w:tab/>
        <w:t>4(1)</w:t>
      </w:r>
    </w:p>
    <w:p>
      <w:pPr>
        <w:pStyle w:val="DefinedTerms"/>
      </w:pPr>
      <w:r>
        <w:t>regional interim development order</w:t>
      </w:r>
      <w:r>
        <w:tab/>
        <w:t>4(1)</w:t>
      </w:r>
    </w:p>
    <w:p>
      <w:pPr>
        <w:pStyle w:val="DefinedTerms"/>
      </w:pPr>
      <w:r>
        <w:t>regional matter</w:t>
      </w:r>
      <w:r>
        <w:tab/>
        <w:t>11(1)</w:t>
      </w:r>
    </w:p>
    <w:p>
      <w:pPr>
        <w:pStyle w:val="DefinedTerms"/>
      </w:pPr>
      <w:r>
        <w:t>Regional Minister</w:t>
      </w:r>
      <w:r>
        <w:tab/>
        <w:t>4(1)</w:t>
      </w:r>
    </w:p>
    <w:p>
      <w:pPr>
        <w:pStyle w:val="DefinedTerms"/>
      </w:pPr>
      <w:r>
        <w:t>regional order area</w:t>
      </w:r>
      <w:r>
        <w:tab/>
        <w:t>4(1)</w:t>
      </w:r>
    </w:p>
    <w:p>
      <w:pPr>
        <w:pStyle w:val="DefinedTerms"/>
      </w:pPr>
      <w:r>
        <w:t>region planning scheme</w:t>
      </w:r>
      <w:r>
        <w:tab/>
        <w:t>4(1)</w:t>
      </w:r>
    </w:p>
    <w:p>
      <w:pPr>
        <w:pStyle w:val="DefinedTerms"/>
      </w:pPr>
      <w:r>
        <w:t>register</w:t>
      </w:r>
      <w:r>
        <w:tab/>
        <w:t>181(17), 197(6)</w:t>
      </w:r>
    </w:p>
    <w:p>
      <w:pPr>
        <w:pStyle w:val="DefinedTerms"/>
      </w:pPr>
      <w:r>
        <w:t>Registrar</w:t>
      </w:r>
      <w:r>
        <w:tab/>
        <w:t>181(17), 197(6)</w:t>
      </w:r>
    </w:p>
    <w:p>
      <w:pPr>
        <w:pStyle w:val="DefinedTerms"/>
      </w:pPr>
      <w:r>
        <w:t>relevant land</w:t>
      </w:r>
      <w:r>
        <w:tab/>
        <w:t>190(2), 191(1A)</w:t>
      </w:r>
    </w:p>
    <w:p>
      <w:pPr>
        <w:pStyle w:val="DefinedTerms"/>
      </w:pPr>
      <w:r>
        <w:t>removed land</w:t>
      </w:r>
      <w:r>
        <w:tab/>
        <w:t>122E(1), 122G(1)</w:t>
      </w:r>
    </w:p>
    <w:p>
      <w:pPr>
        <w:pStyle w:val="DefinedTerms"/>
      </w:pPr>
      <w:r>
        <w:t>repeal day</w:t>
      </w:r>
      <w:r>
        <w:tab/>
        <w:t>122B(7)</w:t>
      </w:r>
    </w:p>
    <w:p>
      <w:pPr>
        <w:pStyle w:val="DefinedTerms"/>
      </w:pPr>
      <w:r>
        <w:t>responsible authority</w:t>
      </w:r>
      <w:r>
        <w:tab/>
        <w:t>4(1), 170(1A)</w:t>
      </w:r>
    </w:p>
    <w:p>
      <w:pPr>
        <w:pStyle w:val="DefinedTerms"/>
      </w:pPr>
      <w:r>
        <w:t>road</w:t>
      </w:r>
      <w:r>
        <w:tab/>
        <w:t>4(1), 135(3), 159(2), Sch. 8 cl. 7(2), cl. 8(2)</w:t>
      </w:r>
    </w:p>
    <w:p>
      <w:pPr>
        <w:pStyle w:val="DefinedTerms"/>
      </w:pPr>
      <w:r>
        <w:t>scheme start day</w:t>
      </w:r>
      <w:r>
        <w:tab/>
        <w:t>138A(1)</w:t>
      </w:r>
    </w:p>
    <w:p>
      <w:pPr>
        <w:pStyle w:val="DefinedTerms"/>
      </w:pPr>
      <w:r>
        <w:t>second owner</w:t>
      </w:r>
      <w:r>
        <w:tab/>
        <w:t>154(2)</w:t>
      </w:r>
    </w:p>
    <w:p>
      <w:pPr>
        <w:pStyle w:val="DefinedTerms"/>
      </w:pPr>
      <w:r>
        <w:t>significant development</w:t>
      </w:r>
      <w:r>
        <w:tab/>
        <w:t>269(1)</w:t>
      </w:r>
    </w:p>
    <w:p>
      <w:pPr>
        <w:pStyle w:val="DefinedTerms"/>
      </w:pPr>
      <w:r>
        <w:lastRenderedPageBreak/>
        <w:t>spatial data</w:t>
      </w:r>
      <w:r>
        <w:tab/>
        <w:t>267B(1)</w:t>
      </w:r>
    </w:p>
    <w:p>
      <w:pPr>
        <w:pStyle w:val="DefinedTerms"/>
      </w:pPr>
      <w:r>
        <w:t>specified</w:t>
      </w:r>
      <w:r>
        <w:tab/>
        <w:t>99(3), 102(3), 294(1)</w:t>
      </w:r>
    </w:p>
    <w:p>
      <w:pPr>
        <w:pStyle w:val="DefinedTerms"/>
      </w:pPr>
      <w:r>
        <w:t>start day</w:t>
      </w:r>
      <w:r>
        <w:tab/>
        <w:t>122D(1)</w:t>
      </w:r>
    </w:p>
    <w:p>
      <w:pPr>
        <w:pStyle w:val="DefinedTerms"/>
      </w:pPr>
      <w:r>
        <w:t>State planning policy</w:t>
      </w:r>
      <w:r>
        <w:tab/>
        <w:t>4(1)</w:t>
      </w:r>
    </w:p>
    <w:p>
      <w:pPr>
        <w:pStyle w:val="DefinedTerms"/>
      </w:pPr>
      <w:r>
        <w:t>subdivision</w:t>
      </w:r>
      <w:r>
        <w:tab/>
        <w:t>4(1)</w:t>
      </w:r>
    </w:p>
    <w:p>
      <w:pPr>
        <w:pStyle w:val="DefinedTerms"/>
      </w:pPr>
      <w:r>
        <w:t>substantially commenced</w:t>
      </w:r>
      <w:r>
        <w:tab/>
        <w:t>269(1)</w:t>
      </w:r>
    </w:p>
    <w:p>
      <w:pPr>
        <w:pStyle w:val="DefinedTerms"/>
      </w:pPr>
      <w:r>
        <w:t>Swan Valley</w:t>
      </w:r>
      <w:r>
        <w:tab/>
        <w:t>4(1)</w:t>
      </w:r>
    </w:p>
    <w:p>
      <w:pPr>
        <w:pStyle w:val="DefinedTerms"/>
      </w:pPr>
      <w:r>
        <w:t>Swan Valley approval</w:t>
      </w:r>
      <w:r>
        <w:tab/>
        <w:t>138A(2)</w:t>
      </w:r>
    </w:p>
    <w:p>
      <w:pPr>
        <w:pStyle w:val="DefinedTerms"/>
      </w:pPr>
      <w:r>
        <w:t>Swan Valley Planning Scheme</w:t>
      </w:r>
      <w:r>
        <w:tab/>
        <w:t>4(1)</w:t>
      </w:r>
    </w:p>
    <w:p>
      <w:pPr>
        <w:pStyle w:val="DefinedTerms"/>
      </w:pPr>
      <w:r>
        <w:t>title application</w:t>
      </w:r>
      <w:r>
        <w:tab/>
        <w:t>146(2)</w:t>
      </w:r>
    </w:p>
    <w:p>
      <w:pPr>
        <w:pStyle w:val="DefinedTerms"/>
      </w:pPr>
      <w:r>
        <w:t>transitional matter</w:t>
      </w:r>
      <w:r>
        <w:tab/>
        <w:t>294(1)</w:t>
      </w:r>
    </w:p>
    <w:p>
      <w:pPr>
        <w:pStyle w:val="DefinedTerms"/>
      </w:pPr>
      <w:r>
        <w:t>Tribunal</w:t>
      </w:r>
      <w:r>
        <w:tab/>
        <w:t>283(2)</w:t>
      </w:r>
    </w:p>
    <w:p>
      <w:pPr>
        <w:pStyle w:val="DefinedTerms"/>
      </w:pPr>
      <w:r>
        <w:t>Tribunal member</w:t>
      </w:r>
      <w:r>
        <w:tab/>
        <w:t>237</w:t>
      </w:r>
    </w:p>
    <w:p>
      <w:pPr>
        <w:pStyle w:val="DefinedTerms"/>
      </w:pPr>
      <w:r>
        <w:t>utility services</w:t>
      </w:r>
      <w:r>
        <w:tab/>
        <w:t>4(1)</w:t>
      </w:r>
    </w:p>
    <w:p>
      <w:pPr>
        <w:pStyle w:val="DefinedTerms"/>
      </w:pPr>
      <w:r>
        <w:t>vehicle offence</w:t>
      </w:r>
      <w:r>
        <w:tab/>
        <w:t>225(1)</w:t>
      </w:r>
    </w:p>
    <w:p>
      <w:pPr>
        <w:pStyle w:val="DefinedTerms"/>
      </w:pPr>
      <w:r>
        <w:t>WALGA</w:t>
      </w:r>
      <w:r>
        <w:tab/>
        <w:t>4(1)</w:t>
      </w:r>
    </w:p>
    <w:p>
      <w:pPr>
        <w:pStyle w:val="DefinedTerms"/>
      </w:pPr>
      <w:r>
        <w:t>warehouse</w:t>
      </w:r>
      <w:r>
        <w:tab/>
        <w:t>268(1)</w:t>
      </w:r>
    </w:p>
    <w:p/>
    <w:p>
      <w:pPr>
        <w:sectPr>
          <w:headerReference w:type="even" r:id="rId34"/>
          <w:headerReference w:type="default" r:id="rId35"/>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5F9238D"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1EF06D65" w14:textId="41AAF61A" w:rsidR="00D8612A" w:rsidRDefault="00D8612A">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8A189C5" w14:textId="77777777" w:rsidR="00D8612A" w:rsidRDefault="00D8612A">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82F0862" w14:textId="2E590B94" w:rsidR="00D8612A" w:rsidRDefault="00D8612A">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F616BD1" w14:textId="77777777" w:rsidR="00D8612A" w:rsidRDefault="00D8612A">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04-x0-01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04-x0-01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04-x0-01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cccv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04-x0-01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cccvii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04-x0-01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cccv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04-x0-01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Determinations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17" w:name="Schedule"/>
    <w:bookmarkEnd w:id="4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74" w:name="Compilation"/>
    <w:bookmarkEnd w:id="474"/>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76" w:name="DefinedTerms"/>
    <w:bookmarkEnd w:id="476"/>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7" w:name="Coversheet"/>
    <w:bookmarkEnd w:id="47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DEB9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44CF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6060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142E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646D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Caddy">
    <w15:presenceInfo w15:providerId="None" w15:userId="Jessica Cad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6624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4213"/>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 w:name="WAFER_20181121094724" w:val="RemoveTocBookmarks,RemoveUnusedBookmarks,RemoveLanguageTags,UsedStyles,ResetPageSize"/>
    <w:docVar w:name="WAFER_20181121094724_GUID" w:val="3b2b60bb-32b5-4c1c-8318-e97a9f8e2139"/>
    <w:docVar w:name="WAFER_20190625155738" w:val="RemoveTocBookmarks,RemoveUnusedBookmarks,RemoveLanguageTags,ResetPageSize,RunningHeaders,UpdateStyles,UsedStyles"/>
    <w:docVar w:name="WAFER_20190625155738_GUID" w:val="5687c5bb-e829-4bd5-b304-2a28e23eb346"/>
    <w:docVar w:name="WAFER_20190719105036" w:val="RemoveTocBookmarks,RemoveUnusedBookmarks,RemoveLanguageTags,ResetPageSize,RunningHeaders,UpdateStyles,UsedStyles"/>
    <w:docVar w:name="WAFER_20190719105036_GUID" w:val="09373936-d282-46c4-81e1-b3099e8c9754"/>
    <w:docVar w:name="WAFER_202002131344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432_GUID" w:val="e6590b15-0728-4cdf-9d8e-b252e9cc780e"/>
    <w:docVar w:name="WAFER_20200220102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2048_GUID" w:val="a367a77b-e449-4409-8eb0-a6d49b01a451"/>
    <w:docVar w:name="WAFER_20200702163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2163954_GUID" w:val="71b7b4cd-42a2-401a-8764-4c7ed8722a71"/>
    <w:docVar w:name="WAFER_20200910111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0111109_GUID" w:val="b83d2bac-9b88-4ed5-a32a-99a6700f0b2c"/>
    <w:docVar w:name="WAFER_20201209153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3959_GUID" w:val="09479a96-a2c2-4824-83ae-d2912a9e3047"/>
    <w:docVar w:name="WAFER_202106151216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615_GUID" w:val="cc8feb00-dae6-4a4d-933c-f2ad9c51a79d"/>
    <w:docVar w:name="WAFER_2021062313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1639_GUID" w:val="15e24027-847d-48d4-84cf-3f14d81305f4"/>
    <w:docVar w:name="WAFER_20210715105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05822_GUID" w:val="e9c8926c-2764-4153-86a5-6015d7a3cfa2"/>
    <w:docVar w:name="WAFER_202107271007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00711_GUID" w:val="168b0b78-7295-4f0b-8441-b6b3baf7afb7"/>
    <w:docVar w:name="WAFER_202112211122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2217_GUID" w:val="a3c1a7a2-b7b0-4a57-adc2-c3102ca19788"/>
    <w:docVar w:name="WAFER_202204110932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3221_GUID" w:val="f0f82db6-4f45-40aa-8687-5930b3caffbc"/>
    <w:docVar w:name="WAFER_202206211638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1163823_GUID" w:val="fa1ff6cd-758a-4345-bfa3-1c8c039bcbbc"/>
    <w:docVar w:name="WAFER_202303241249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24949_GUID" w:val="17a12993-cee3-4bf0-a715-a9c1f0ee89b5"/>
    <w:docVar w:name="WAFER_202305151041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03_GUID" w:val="abe64ba3-d618-49a9-a8fa-82694eca1c4f"/>
    <w:docVar w:name="WAFER_202306271129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2931_GUID" w:val="92c9bbdf-f0d9-4214-a85f-2d6fcd7aa97d"/>
    <w:docVar w:name="WAFER_202307101108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10110849_GUID" w:val="10cb850b-8345-4165-89ac-7e240b7eb60b"/>
    <w:docVar w:name="WAFER_202307281129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728112916_GUID" w:val="090efaa5-b16c-4681-8875-fbd569b6095b"/>
    <w:docVar w:name="WAFER_202308091442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9144249_GUID" w:val="da5bc0be-7d14-4fb2-8fe6-b3564f551234"/>
    <w:docVar w:name="WAFER_202310191058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9105857_GUID" w:val="ff44f9b8-a674-452e-bca8-bbe5ba58a05d"/>
    <w:docVar w:name="WAFER_202310310951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95143_GUID" w:val="4af70c09-2631-4999-b9b6-d66e651790a8"/>
    <w:docVar w:name="WAFER_202311091401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40118_GUID" w:val="4d8d84e2-4b73-4f8f-9dde-25f793c7556f"/>
    <w:docVar w:name="WAFER_202312271342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4213_GUID" w:val="9c3b24b9-fc0a-4987-9bd2-d46e3409e1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41"/>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33275">
      <w:bodyDiv w:val="1"/>
      <w:marLeft w:val="0"/>
      <w:marRight w:val="0"/>
      <w:marTop w:val="0"/>
      <w:marBottom w:val="0"/>
      <w:divBdr>
        <w:top w:val="none" w:sz="0" w:space="0" w:color="auto"/>
        <w:left w:val="none" w:sz="0" w:space="0" w:color="auto"/>
        <w:bottom w:val="none" w:sz="0" w:space="0" w:color="auto"/>
        <w:right w:val="none" w:sz="0" w:space="0" w:color="auto"/>
      </w:divBdr>
    </w:div>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359205629">
      <w:bodyDiv w:val="1"/>
      <w:marLeft w:val="0"/>
      <w:marRight w:val="0"/>
      <w:marTop w:val="0"/>
      <w:marBottom w:val="0"/>
      <w:divBdr>
        <w:top w:val="none" w:sz="0" w:space="0" w:color="auto"/>
        <w:left w:val="none" w:sz="0" w:space="0" w:color="auto"/>
        <w:bottom w:val="none" w:sz="0" w:space="0" w:color="auto"/>
        <w:right w:val="none" w:sz="0" w:space="0" w:color="auto"/>
      </w:divBdr>
    </w:div>
    <w:div w:id="513345162">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591089027">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022783332">
      <w:bodyDiv w:val="1"/>
      <w:marLeft w:val="0"/>
      <w:marRight w:val="0"/>
      <w:marTop w:val="0"/>
      <w:marBottom w:val="0"/>
      <w:divBdr>
        <w:top w:val="none" w:sz="0" w:space="0" w:color="auto"/>
        <w:left w:val="none" w:sz="0" w:space="0" w:color="auto"/>
        <w:bottom w:val="none" w:sz="0" w:space="0" w:color="auto"/>
        <w:right w:val="none" w:sz="0" w:space="0" w:color="auto"/>
      </w:divBdr>
    </w:div>
    <w:div w:id="1184635754">
      <w:bodyDiv w:val="1"/>
      <w:marLeft w:val="0"/>
      <w:marRight w:val="0"/>
      <w:marTop w:val="0"/>
      <w:marBottom w:val="0"/>
      <w:divBdr>
        <w:top w:val="none" w:sz="0" w:space="0" w:color="auto"/>
        <w:left w:val="none" w:sz="0" w:space="0" w:color="auto"/>
        <w:bottom w:val="none" w:sz="0" w:space="0" w:color="auto"/>
        <w:right w:val="none" w:sz="0" w:space="0" w:color="auto"/>
      </w:divBdr>
    </w:div>
    <w:div w:id="1404837920">
      <w:bodyDiv w:val="1"/>
      <w:marLeft w:val="0"/>
      <w:marRight w:val="0"/>
      <w:marTop w:val="0"/>
      <w:marBottom w:val="0"/>
      <w:divBdr>
        <w:top w:val="none" w:sz="0" w:space="0" w:color="auto"/>
        <w:left w:val="none" w:sz="0" w:space="0" w:color="auto"/>
        <w:bottom w:val="none" w:sz="0" w:space="0" w:color="auto"/>
        <w:right w:val="none" w:sz="0" w:space="0" w:color="auto"/>
      </w:divBdr>
    </w:div>
    <w:div w:id="1464736008">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 w:id="2003847646">
      <w:bodyDiv w:val="1"/>
      <w:marLeft w:val="0"/>
      <w:marRight w:val="0"/>
      <w:marTop w:val="0"/>
      <w:marBottom w:val="0"/>
      <w:divBdr>
        <w:top w:val="none" w:sz="0" w:space="0" w:color="auto"/>
        <w:left w:val="none" w:sz="0" w:space="0" w:color="auto"/>
        <w:bottom w:val="none" w:sz="0" w:space="0" w:color="auto"/>
        <w:right w:val="none" w:sz="0" w:space="0" w:color="auto"/>
      </w:divBdr>
    </w:div>
    <w:div w:id="21360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B1CEC-E0ED-45E6-861F-F41EB5082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81771</Words>
  <Characters>401496</Characters>
  <Application>Microsoft Office Word</Application>
  <DocSecurity>0</DocSecurity>
  <Lines>10565</Lines>
  <Paragraphs>5491</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477776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2005 - 04-x0-01</dc:title>
  <dc:subject/>
  <dc:creator/>
  <cp:keywords/>
  <dc:description/>
  <cp:lastModifiedBy>Master Repository Process</cp:lastModifiedBy>
  <cp:revision>4</cp:revision>
  <cp:lastPrinted>2023-03-24T07:31:00Z</cp:lastPrinted>
  <dcterms:created xsi:type="dcterms:W3CDTF">2024-01-03T01:16:00Z</dcterms:created>
  <dcterms:modified xsi:type="dcterms:W3CDTF">2024-01-03T01:17:00Z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AsAtDate">
    <vt:lpwstr>15 Nov 2023</vt:lpwstr>
  </property>
  <property fmtid="{D5CDD505-2E9C-101B-9397-08002B2CF9AE}" pid="8" name="Suffix">
    <vt:lpwstr>04-x0-01</vt:lpwstr>
  </property>
  <property fmtid="{D5CDD505-2E9C-101B-9397-08002B2CF9AE}" pid="9" name="Official">
    <vt:lpwstr/>
  </property>
  <property fmtid="{D5CDD505-2E9C-101B-9397-08002B2CF9AE}" pid="10" name="CommencementDate">
    <vt:lpwstr>20231115</vt:lpwstr>
  </property>
  <property fmtid="{D5CDD505-2E9C-101B-9397-08002B2CF9AE}" pid="11" name="CommencementAsAt">
    <vt:filetime>2023-11-14T16:00:00Z</vt:filetime>
  </property>
  <property fmtid="{D5CDD505-2E9C-101B-9397-08002B2CF9AE}" pid="12" name="CommencementYear">
    <vt:lpwstr>2023</vt:lpwstr>
  </property>
</Properties>
</file>