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_Toc155101161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_Toc155101162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_Toc155101164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_Toc155101165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_Toc155101166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_Toc155101167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_Toc155101168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_Toc155101169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_Toc155101170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_Toc155101171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_Toc155101172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_Toc155101173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_Toc155101174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_Toc155101175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_Toc155101176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registered Aboriginal sites by Noongar people</w:t>
      </w:r>
      <w:r>
        <w:tab/>
      </w:r>
      <w:r>
        <w:fldChar w:fldCharType="begin"/>
      </w:r>
      <w:r>
        <w:instrText xml:space="preserve"> PAGEREF _Toc155101177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_Toc155101179 \h </w:instrText>
      </w:r>
      <w:r>
        <w:fldChar w:fldCharType="separate"/>
      </w:r>
      <w:r>
        <w:t>17</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_Toc155101180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_Toc155101181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_Toc155101182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_Toc155101183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_Toc155101185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_Toc155101189 \h </w:instrText>
      </w:r>
      <w:r>
        <w:fldChar w:fldCharType="separate"/>
      </w:r>
      <w:r>
        <w:t>37</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_Toc155101190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155101160"/>
      <w:r>
        <w:rPr>
          <w:rStyle w:val="CharPartText"/>
        </w:rPr>
        <w:t>Preliminary and definitions</w:t>
      </w:r>
      <w:bookmarkEnd w:id="3"/>
    </w:p>
    <w:p>
      <w:pPr>
        <w:pStyle w:val="Heading5"/>
        <w:spacing w:before="120"/>
        <w:rPr>
          <w:snapToGrid w:val="0"/>
        </w:rPr>
      </w:pPr>
      <w:bookmarkStart w:id="4" w:name="_Toc155101161"/>
      <w:r>
        <w:rPr>
          <w:rStyle w:val="CharSectno"/>
        </w:rPr>
        <w:t>1.0</w:t>
      </w:r>
      <w:r>
        <w:rPr>
          <w:snapToGrid w:val="0"/>
        </w:rPr>
        <w:tab/>
        <w:t>Citation</w:t>
      </w:r>
      <w:bookmarkEnd w:id="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5" w:name="_Toc155101162"/>
      <w:r>
        <w:rPr>
          <w:rStyle w:val="CharSectno"/>
        </w:rPr>
        <w:t>1.1</w:t>
      </w:r>
      <w:r>
        <w:rPr>
          <w:snapToGrid w:val="0"/>
        </w:rPr>
        <w:tab/>
        <w:t>Terms used</w:t>
      </w:r>
      <w:bookmarkEnd w:id="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keepNext/>
      </w:pPr>
      <w:r>
        <w:rPr>
          <w:b/>
        </w:rPr>
        <w:lastRenderedPageBreak/>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keepNext/>
      </w:pPr>
      <w:r>
        <w:lastRenderedPageBreak/>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keepNext/>
      </w:pPr>
      <w:r>
        <w:lastRenderedPageBreak/>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 SL 2023/54 bl. 4; SL 2023/176 bl. 4.]</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6" w:name="_Toc155101163"/>
      <w:r>
        <w:rPr>
          <w:rStyle w:val="CharPartNo"/>
        </w:rPr>
        <w:lastRenderedPageBreak/>
        <w:t xml:space="preserve">4.0 </w:t>
      </w:r>
      <w:r>
        <w:rPr>
          <w:rStyle w:val="CharPartText"/>
        </w:rPr>
        <w:t>Protection of catchment areas and water reserves</w:t>
      </w:r>
      <w:bookmarkEnd w:id="6"/>
    </w:p>
    <w:p>
      <w:pPr>
        <w:pStyle w:val="Heading5"/>
        <w:rPr>
          <w:snapToGrid w:val="0"/>
        </w:rPr>
      </w:pPr>
      <w:bookmarkStart w:id="7" w:name="_Toc155101164"/>
      <w:r>
        <w:rPr>
          <w:rStyle w:val="CharSectno"/>
        </w:rPr>
        <w:t>4.1</w:t>
      </w:r>
      <w:r>
        <w:rPr>
          <w:snapToGrid w:val="0"/>
        </w:rPr>
        <w:tab/>
        <w:t>Object of this Part</w:t>
      </w:r>
      <w:bookmarkEnd w:id="7"/>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8" w:name="_Toc155101165"/>
      <w:r>
        <w:rPr>
          <w:rStyle w:val="CharSectno"/>
        </w:rPr>
        <w:t>4.2</w:t>
      </w:r>
      <w:r>
        <w:rPr>
          <w:snapToGrid w:val="0"/>
        </w:rPr>
        <w:tab/>
        <w:t>Application of this Part</w:t>
      </w:r>
      <w:bookmarkEnd w:id="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lastRenderedPageBreak/>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9" w:name="_Toc155101166"/>
      <w:r>
        <w:rPr>
          <w:rStyle w:val="CharSectno"/>
        </w:rPr>
        <w:t>4.3</w:t>
      </w:r>
      <w:r>
        <w:rPr>
          <w:snapToGrid w:val="0"/>
        </w:rPr>
        <w:tab/>
        <w:t>Catchment areas etc., protection of</w:t>
      </w:r>
      <w:bookmarkEnd w:id="9"/>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w:t>
      </w:r>
      <w:r>
        <w:rPr>
          <w:snapToGrid w:val="0"/>
        </w:rPr>
        <w:lastRenderedPageBreak/>
        <w:t xml:space="preserve">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0" w:name="_Toc155101167"/>
      <w:r>
        <w:rPr>
          <w:rStyle w:val="CharSectno"/>
        </w:rPr>
        <w:t>4.4</w:t>
      </w:r>
      <w:r>
        <w:rPr>
          <w:snapToGrid w:val="0"/>
        </w:rPr>
        <w:tab/>
        <w:t>Sewage, liquid waste and solid refuse</w:t>
      </w:r>
      <w:bookmarkEnd w:id="10"/>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lastRenderedPageBreak/>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1" w:name="_Toc155101168"/>
      <w:r>
        <w:rPr>
          <w:rStyle w:val="CharSectno"/>
        </w:rPr>
        <w:t>4.5</w:t>
      </w:r>
      <w:r>
        <w:rPr>
          <w:snapToGrid w:val="0"/>
        </w:rPr>
        <w:tab/>
        <w:t>Animals and birds</w:t>
      </w:r>
      <w:bookmarkEnd w:id="11"/>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lastRenderedPageBreak/>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12" w:name="_Toc155101169"/>
      <w:r>
        <w:rPr>
          <w:rStyle w:val="CharSectno"/>
        </w:rPr>
        <w:t>4.6</w:t>
      </w:r>
      <w:r>
        <w:rPr>
          <w:snapToGrid w:val="0"/>
        </w:rPr>
        <w:tab/>
        <w:t>Manure, fertilizers, chemicals, petrol etc.</w:t>
      </w:r>
      <w:bookmarkEnd w:id="12"/>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keepNext/>
      </w:pPr>
      <w:r>
        <w:lastRenderedPageBreak/>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13" w:name="_Toc155101170"/>
      <w:r>
        <w:rPr>
          <w:rStyle w:val="CharSectno"/>
        </w:rPr>
        <w:t>4.7</w:t>
      </w:r>
      <w:r>
        <w:rPr>
          <w:snapToGrid w:val="0"/>
        </w:rPr>
        <w:tab/>
        <w:t>Clearing, road construction, vehicles etc.</w:t>
      </w:r>
      <w:bookmarkEnd w:id="13"/>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14" w:name="_Toc155101171"/>
      <w:r>
        <w:rPr>
          <w:rStyle w:val="CharSectno"/>
        </w:rPr>
        <w:t>4.8</w:t>
      </w:r>
      <w:r>
        <w:rPr>
          <w:snapToGrid w:val="0"/>
        </w:rPr>
        <w:tab/>
        <w:t>Development, mining, offensive trades etc.</w:t>
      </w:r>
      <w:bookmarkEnd w:id="14"/>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lastRenderedPageBreak/>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15" w:name="_Toc155101172"/>
      <w:r>
        <w:rPr>
          <w:rStyle w:val="CharSectno"/>
        </w:rPr>
        <w:t>4.9</w:t>
      </w:r>
      <w:r>
        <w:rPr>
          <w:snapToGrid w:val="0"/>
        </w:rPr>
        <w:tab/>
        <w:t>Remedying damage etc., CEO’s powers for</w:t>
      </w:r>
      <w:bookmarkEnd w:id="15"/>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16" w:name="_Toc155101173"/>
      <w:r>
        <w:rPr>
          <w:rStyle w:val="CharSectno"/>
        </w:rPr>
        <w:t>4.10</w:t>
      </w:r>
      <w:r>
        <w:rPr>
          <w:snapToGrid w:val="0"/>
        </w:rPr>
        <w:tab/>
        <w:t>Signs; rangers’ powers</w:t>
      </w:r>
      <w:bookmarkEnd w:id="16"/>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lastRenderedPageBreak/>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17" w:name="_Toc155101174"/>
      <w:r>
        <w:rPr>
          <w:rStyle w:val="CharSectno"/>
        </w:rPr>
        <w:t>4.11</w:t>
      </w:r>
      <w:r>
        <w:tab/>
        <w:t>Designated camping sites for Noongar people</w:t>
      </w:r>
      <w:bookmarkEnd w:id="17"/>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lastRenderedPageBreak/>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18" w:name="_Toc155101175"/>
      <w:r>
        <w:rPr>
          <w:rStyle w:val="CharSectno"/>
        </w:rPr>
        <w:t>4.12</w:t>
      </w:r>
      <w:r>
        <w:tab/>
        <w:t>Customary hunting by Noongar people</w:t>
      </w:r>
      <w:bookmarkEnd w:id="18"/>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(g)</w:t>
      </w:r>
      <w:r>
        <w:tab/>
        <w:t>does not sell the invertebrate or egg.</w:t>
      </w:r>
    </w:p>
    <w:p>
      <w:pPr>
        <w:pStyle w:val="Subsection"/>
      </w:pPr>
      <w:r>
        <w:lastRenderedPageBreak/>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 amended: SL 2023/54 bl. 5; SL 2023/176 bl. 5.]</w:t>
      </w:r>
    </w:p>
    <w:p>
      <w:pPr>
        <w:pStyle w:val="Heading5"/>
      </w:pPr>
      <w:bookmarkStart w:id="19" w:name="_Toc155101176"/>
      <w:r>
        <w:rPr>
          <w:rStyle w:val="CharSectno"/>
        </w:rPr>
        <w:t>4.13</w:t>
      </w:r>
      <w:r>
        <w:tab/>
        <w:t>Noongar people lighting fires for customary purposes</w:t>
      </w:r>
      <w:bookmarkEnd w:id="19"/>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 amended: SL 2023/54 bl. 6; SL 2023/176 bl. 6.]</w:t>
      </w:r>
    </w:p>
    <w:p>
      <w:pPr>
        <w:pStyle w:val="Heading5"/>
      </w:pPr>
      <w:bookmarkStart w:id="20" w:name="_Toc155101177"/>
      <w:r>
        <w:rPr>
          <w:rStyle w:val="CharSectno"/>
        </w:rPr>
        <w:t>4.14</w:t>
      </w:r>
      <w:r>
        <w:tab/>
        <w:t>Entry to registered Aboriginal sites by Noongar people</w:t>
      </w:r>
      <w:bookmarkEnd w:id="20"/>
      <w:r>
        <w:t xml:space="preserve"> </w:t>
      </w:r>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lastRenderedPageBreak/>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 amended: SL 2023/54 bl. 7; SL 2023/176 bl. 7.]</w:t>
      </w:r>
    </w:p>
    <w:p>
      <w:pPr>
        <w:pStyle w:val="Heading2"/>
      </w:pPr>
      <w:bookmarkStart w:id="21" w:name="_Toc155101178"/>
      <w:r>
        <w:rPr>
          <w:rStyle w:val="CharPartNo"/>
        </w:rPr>
        <w:lastRenderedPageBreak/>
        <w:t>5.0</w:t>
      </w:r>
      <w:r>
        <w:t xml:space="preserve"> </w:t>
      </w:r>
      <w:r>
        <w:rPr>
          <w:rStyle w:val="CharPartText"/>
        </w:rPr>
        <w:t>Protection of public water supply areas and underground water pollution control areas</w:t>
      </w:r>
      <w:bookmarkEnd w:id="21"/>
    </w:p>
    <w:p>
      <w:pPr>
        <w:pStyle w:val="Heading5"/>
        <w:rPr>
          <w:snapToGrid w:val="0"/>
        </w:rPr>
      </w:pPr>
      <w:bookmarkStart w:id="22" w:name="_Toc155101179"/>
      <w:r>
        <w:rPr>
          <w:rStyle w:val="CharSectno"/>
        </w:rPr>
        <w:t>5.1</w:t>
      </w:r>
      <w:r>
        <w:rPr>
          <w:snapToGrid w:val="0"/>
        </w:rPr>
        <w:tab/>
        <w:t>Object of this Part; CEO may erect signs</w:t>
      </w:r>
      <w:bookmarkEnd w:id="22"/>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23" w:name="_Toc155101180"/>
      <w:r>
        <w:rPr>
          <w:rStyle w:val="CharSectno"/>
        </w:rPr>
        <w:t>5.3</w:t>
      </w:r>
      <w:r>
        <w:rPr>
          <w:snapToGrid w:val="0"/>
        </w:rPr>
        <w:tab/>
        <w:t>Causing flooding of wells etc.</w:t>
      </w:r>
      <w:bookmarkEnd w:id="2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24" w:name="_Toc155101181"/>
      <w:r>
        <w:rPr>
          <w:rStyle w:val="CharSectno"/>
        </w:rPr>
        <w:t>5.4</w:t>
      </w:r>
      <w:r>
        <w:rPr>
          <w:snapToGrid w:val="0"/>
        </w:rPr>
        <w:tab/>
        <w:t>Pollution areas, production wells etc., protection of</w:t>
      </w:r>
      <w:bookmarkEnd w:id="24"/>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 xml:space="preserve">A person shall not place any chemical or other substance that is capable of polluting underground water, down a well during the </w:t>
      </w:r>
      <w:r>
        <w:rPr>
          <w:snapToGrid w:val="0"/>
        </w:rPr>
        <w:lastRenderedPageBreak/>
        <w:t>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25" w:name="_Toc155101182"/>
      <w:r>
        <w:rPr>
          <w:rStyle w:val="CharSectno"/>
        </w:rPr>
        <w:t>5.5</w:t>
      </w:r>
      <w:r>
        <w:rPr>
          <w:snapToGrid w:val="0"/>
        </w:rPr>
        <w:tab/>
        <w:t>Pollution areas, development and storing petrol etc. in</w:t>
      </w:r>
      <w:bookmarkEnd w:id="25"/>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 xml:space="preserve">the process or processes of manufacture, packaging, storage, formulating, testing, or use of all raw materials and fuels, intermediate products and final products including waste </w:t>
      </w:r>
      <w:r>
        <w:rPr>
          <w:snapToGrid w:val="0"/>
        </w:rPr>
        <w:lastRenderedPageBreak/>
        <w:t>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lastRenderedPageBreak/>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lastRenderedPageBreak/>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lastRenderedPageBreak/>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26" w:name="_Toc155101183"/>
      <w:r>
        <w:rPr>
          <w:rStyle w:val="CharSectno"/>
        </w:rPr>
        <w:t>5.6</w:t>
      </w:r>
      <w:r>
        <w:rPr>
          <w:snapToGrid w:val="0"/>
        </w:rPr>
        <w:tab/>
        <w:t>Priority source protection areas, control of certain developments in</w:t>
      </w:r>
      <w:bookmarkEnd w:id="26"/>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lastRenderedPageBreak/>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lastRenderedPageBreak/>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lastRenderedPageBreak/>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lastRenderedPageBreak/>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lastRenderedPageBreak/>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lastRenderedPageBreak/>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lastRenderedPageBreak/>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lastRenderedPageBreak/>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r>
      <w:r>
        <w:lastRenderedPageBreak/>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27" w:name="_Toc155101184"/>
      <w:r>
        <w:rPr>
          <w:rStyle w:val="CharPartNo"/>
        </w:rPr>
        <w:lastRenderedPageBreak/>
        <w:t>31.0</w:t>
      </w:r>
      <w:r>
        <w:t xml:space="preserve"> </w:t>
      </w:r>
      <w:r>
        <w:rPr>
          <w:rStyle w:val="CharPartText"/>
        </w:rPr>
        <w:t>Offences and penalties</w:t>
      </w:r>
      <w:bookmarkEnd w:id="27"/>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28" w:name="_Toc155101185"/>
      <w:r>
        <w:rPr>
          <w:rStyle w:val="CharSectno"/>
        </w:rPr>
        <w:t>31.4</w:t>
      </w:r>
      <w:r>
        <w:rPr>
          <w:snapToGrid w:val="0"/>
        </w:rPr>
        <w:tab/>
        <w:t>Penalties</w:t>
      </w:r>
      <w:bookmarkEnd w:id="2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29" w:name="_Toc155101186"/>
      <w:r>
        <w:rPr>
          <w:rStyle w:val="CharSchNo"/>
        </w:rPr>
        <w:lastRenderedPageBreak/>
        <w:t>Schedule 1</w:t>
      </w:r>
      <w:r>
        <w:rPr>
          <w:rStyle w:val="CharSDivNo"/>
        </w:rPr>
        <w:t> </w:t>
      </w:r>
      <w:r>
        <w:t>—</w:t>
      </w:r>
      <w:r>
        <w:rPr>
          <w:rStyle w:val="CharSDivText"/>
        </w:rPr>
        <w:t> </w:t>
      </w:r>
      <w:r>
        <w:rPr>
          <w:rStyle w:val="CharSchText"/>
        </w:rPr>
        <w:t>Description of South West Settlement Area</w:t>
      </w:r>
      <w:bookmarkEnd w:id="29"/>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lastRenderedPageBreak/>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30" w:name="_Toc155101187"/>
      <w:r>
        <w:rPr>
          <w:rStyle w:val="CharSchNo"/>
        </w:rPr>
        <w:lastRenderedPageBreak/>
        <w:t>Schedule 2</w:t>
      </w:r>
      <w:r>
        <w:rPr>
          <w:rStyle w:val="CharSDivNo"/>
        </w:rPr>
        <w:t> </w:t>
      </w:r>
      <w:r>
        <w:t>—</w:t>
      </w:r>
      <w:r>
        <w:rPr>
          <w:rStyle w:val="CharSDivText"/>
        </w:rPr>
        <w:t> </w:t>
      </w:r>
      <w:r>
        <w:rPr>
          <w:rStyle w:val="CharSchText"/>
        </w:rPr>
        <w:t>Map of South West Settlement Area</w:t>
      </w:r>
      <w:bookmarkEnd w:id="30"/>
    </w:p>
    <w:p>
      <w:pPr>
        <w:pStyle w:val="yShoulderClause"/>
      </w:pPr>
      <w:r>
        <w:t>[bl. 1.1]</w:t>
      </w:r>
    </w:p>
    <w:p>
      <w:pPr>
        <w:pStyle w:val="yFootnoteheading"/>
        <w:spacing w:before="0"/>
      </w:pPr>
      <w:r>
        <w:tab/>
        <w:t>[Heading inserted: Gazette 7 Jun 2016 p. 1787.]</w:t>
      </w:r>
    </w:p>
    <w:p>
      <w:pPr>
        <w:pStyle w:val="ySubsection"/>
        <w:spacing w:before="60"/>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6552" cy="5423048"/>
                    </a:xfrm>
                    <a:prstGeom prst="rect">
                      <a:avLst/>
                    </a:prstGeom>
                  </pic:spPr>
                </pic:pic>
              </a:graphicData>
            </a:graphic>
          </wp:inline>
        </w:drawing>
      </w:r>
    </w:p>
    <w:p>
      <w:pPr>
        <w:pStyle w:val="yFootnotesection"/>
        <w:spacing w:before="60"/>
      </w:pPr>
      <w:r>
        <w:tab/>
        <w:t>[Schedule 2 inserted: Gazette 7 Jun 2016 p. 1787.]</w:t>
      </w:r>
    </w:p>
    <w:p>
      <w:pPr>
        <w:pStyle w:val="CentredBaseLine"/>
        <w:spacing w:before="60"/>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pacing w:before="60"/>
        <w:outlineLvl w:val="0"/>
        <w:sectPr>
          <w:headerReference w:type="even" r:id="rId28"/>
          <w:headerReference w:type="default" r:id="rId29"/>
          <w:pgSz w:w="11907" w:h="16840" w:code="9"/>
          <w:pgMar w:top="2381" w:right="2410" w:bottom="3544" w:left="2410" w:header="720" w:footer="3544" w:gutter="0"/>
          <w:cols w:space="720"/>
        </w:sectPr>
      </w:pPr>
    </w:p>
    <w:p>
      <w:pPr>
        <w:pStyle w:val="nHeading2"/>
      </w:pPr>
      <w:bookmarkStart w:id="32" w:name="_Toc155101188"/>
      <w:r>
        <w:lastRenderedPageBreak/>
        <w:t>Notes</w:t>
      </w:r>
      <w:bookmarkEnd w:id="32"/>
    </w:p>
    <w:p>
      <w:pPr>
        <w:pStyle w:val="nStatement"/>
      </w:pPr>
      <w:r>
        <w:t xml:space="preserve">This is a compilation of the </w:t>
      </w:r>
      <w:r>
        <w:rPr>
          <w:i/>
          <w:noProof/>
        </w:rPr>
        <w:t>Metropolitan Water Supply, Sewerage and Drainage By</w:t>
      </w:r>
      <w:r>
        <w:rPr>
          <w:i/>
          <w:noProof/>
        </w:rPr>
        <w:noBreakHyphen/>
        <w:t>laws 1981</w:t>
      </w:r>
      <w:r>
        <w:t xml:space="preserve"> and includes amendments made by other written laws. For provisions that have come into operation, and for information about any reprints, see the compilation table.</w:t>
      </w:r>
    </w:p>
    <w:p>
      <w:pPr>
        <w:pStyle w:val="nHeading3"/>
      </w:pPr>
      <w:bookmarkStart w:id="33" w:name="_Toc155101189"/>
      <w:r>
        <w:t>Compilation table</w:t>
      </w:r>
      <w:bookmarkEnd w:id="33"/>
    </w:p>
    <w:tbl>
      <w:tblPr>
        <w:tblW w:w="7097" w:type="dxa"/>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lastRenderedPageBreak/>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lastRenderedPageBreak/>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top w:val="nil"/>
              <w:bottom w:val="nil"/>
            </w:tcBorders>
            <w:shd w:val="clear" w:color="auto" w:fill="auto"/>
          </w:tcPr>
          <w:p>
            <w:pPr>
              <w:pStyle w:val="nTable"/>
              <w:spacing w:after="40"/>
              <w:ind w:right="113"/>
              <w:rPr>
                <w:bCs/>
              </w:rPr>
            </w:pPr>
            <w:r>
              <w:t>10 Jan 2017 p. 233-5</w:t>
            </w:r>
          </w:p>
        </w:tc>
        <w:tc>
          <w:tcPr>
            <w:tcW w:w="2689" w:type="dxa"/>
            <w:gridSpan w:val="2"/>
            <w:tcBorders>
              <w:top w:val="nil"/>
              <w:bottom w:val="nil"/>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Metropolitan Water Supply, Sewerage and Drainage Amendment By</w:t>
            </w:r>
            <w:r>
              <w:rPr>
                <w:i/>
              </w:rPr>
              <w:noBreakHyphen/>
              <w:t>laws 2023</w:t>
            </w:r>
            <w:r>
              <w:t xml:space="preserve"> </w:t>
            </w:r>
          </w:p>
        </w:tc>
        <w:tc>
          <w:tcPr>
            <w:tcW w:w="1276" w:type="dxa"/>
            <w:gridSpan w:val="2"/>
            <w:tcBorders>
              <w:top w:val="nil"/>
              <w:bottom w:val="nil"/>
            </w:tcBorders>
            <w:shd w:val="clear" w:color="auto" w:fill="auto"/>
          </w:tcPr>
          <w:p>
            <w:pPr>
              <w:pStyle w:val="nTable"/>
              <w:spacing w:after="40"/>
              <w:ind w:right="113"/>
            </w:pPr>
            <w:r>
              <w:t>SL 2023/54 19 May 2023</w:t>
            </w:r>
          </w:p>
        </w:tc>
        <w:tc>
          <w:tcPr>
            <w:tcW w:w="2689" w:type="dxa"/>
            <w:gridSpan w:val="2"/>
            <w:tcBorders>
              <w:top w:val="nil"/>
              <w:bottom w:val="nil"/>
            </w:tcBorders>
            <w:shd w:val="clear" w:color="auto" w:fill="auto"/>
          </w:tcPr>
          <w:p>
            <w:pPr>
              <w:pStyle w:val="nTable"/>
              <w:spacing w:after="40"/>
              <w:ind w:right="113"/>
            </w:pPr>
            <w:r>
              <w:rPr>
                <w:bCs/>
                <w:snapToGrid w:val="0"/>
              </w:rPr>
              <w:t xml:space="preserve">bl. 1 and 2: </w:t>
            </w:r>
            <w:r>
              <w:t>19 May 2023</w:t>
            </w:r>
            <w:r>
              <w:rPr>
                <w:bCs/>
                <w:snapToGrid w:val="0"/>
              </w:rPr>
              <w:t xml:space="preserve"> (see bl. 2(a));</w:t>
            </w:r>
            <w:r>
              <w:rPr>
                <w:bCs/>
                <w:snapToGrid w:val="0"/>
              </w:rPr>
              <w:br/>
              <w:t xml:space="preserve">By-laws other than bl. 1 and 2: </w:t>
            </w:r>
            <w:r>
              <w:t>1 Jul 2023 (see bl. 2(b))</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Metropolitan Water Supply, Sewerage and Drainage Amendment By</w:t>
            </w:r>
            <w:r>
              <w:rPr>
                <w:i/>
              </w:rPr>
              <w:noBreakHyphen/>
              <w:t>laws (No. 2) 2023</w:t>
            </w:r>
          </w:p>
        </w:tc>
        <w:tc>
          <w:tcPr>
            <w:tcW w:w="1276" w:type="dxa"/>
            <w:gridSpan w:val="2"/>
            <w:tcBorders>
              <w:bottom w:val="single" w:sz="4" w:space="0" w:color="auto"/>
            </w:tcBorders>
            <w:shd w:val="clear" w:color="auto" w:fill="auto"/>
          </w:tcPr>
          <w:p>
            <w:pPr>
              <w:pStyle w:val="nTable"/>
              <w:spacing w:after="40"/>
              <w:ind w:right="113"/>
            </w:pPr>
            <w:r>
              <w:t>SL 2023/176 1 Nov 2023</w:t>
            </w:r>
          </w:p>
        </w:tc>
        <w:tc>
          <w:tcPr>
            <w:tcW w:w="2689" w:type="dxa"/>
            <w:gridSpan w:val="2"/>
            <w:tcBorders>
              <w:bottom w:val="single" w:sz="4" w:space="0" w:color="auto"/>
            </w:tcBorders>
            <w:shd w:val="clear" w:color="auto" w:fill="auto"/>
          </w:tcPr>
          <w:p>
            <w:pPr>
              <w:pStyle w:val="nTable"/>
              <w:spacing w:after="40"/>
              <w:ind w:right="113"/>
              <w:rPr>
                <w:bCs/>
                <w:snapToGrid w:val="0"/>
              </w:rPr>
            </w:pPr>
            <w:r>
              <w:t>bl. 1 and 2: 1 Nov 2023 (see bl. 2(a));</w:t>
            </w:r>
            <w:r>
              <w:br/>
            </w:r>
            <w:r>
              <w:rPr>
                <w:bCs/>
                <w:snapToGrid w:val="0"/>
              </w:rPr>
              <w:t xml:space="preserve">By-laws other than bl. 1 and 2: </w:t>
            </w:r>
            <w:r>
              <w:t>15 Nov 2023 (see r. 2(b) and SL 2023/161 cl. 2)</w:t>
            </w:r>
          </w:p>
        </w:tc>
      </w:tr>
    </w:tbl>
    <w:p>
      <w:pPr>
        <w:pStyle w:val="nHeading3"/>
      </w:pPr>
      <w:bookmarkStart w:id="34" w:name="_Toc155101190"/>
      <w:r>
        <w:t>Other notes</w:t>
      </w:r>
      <w:bookmarkEnd w:id="34"/>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 xml:space="preserve">laws, in relation to a permit </w:t>
      </w:r>
      <w:r>
        <w:lastRenderedPageBreak/>
        <w:t>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0"/>
          <w:headerReference w:type="default" r:id="rId31"/>
          <w:pgSz w:w="11907" w:h="16840" w:code="9"/>
          <w:pgMar w:top="2376" w:right="2404" w:bottom="3544" w:left="2404" w:header="720" w:footer="3544" w:gutter="0"/>
          <w:cols w:space="720"/>
          <w:noEndnote/>
          <w:docGrid w:linePitch="326"/>
        </w:sectPr>
      </w:pPr>
    </w:p>
    <w:p>
      <w:pPr>
        <w:pStyle w:val="nHeading2"/>
        <w:rPr>
          <w:sz w:val="28"/>
        </w:rPr>
      </w:pPr>
      <w:bookmarkStart w:id="36" w:name="_Toc155101191"/>
      <w:r>
        <w:rPr>
          <w:sz w:val="28"/>
        </w:rPr>
        <w:lastRenderedPageBreak/>
        <w:t>Defined terms</w:t>
      </w:r>
      <w:bookmarkEnd w:id="3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1.1</w:t>
      </w:r>
    </w:p>
    <w:p>
      <w:pPr>
        <w:pStyle w:val="DefinedTerms"/>
      </w:pPr>
      <w:r>
        <w:t>Act</w:t>
      </w:r>
      <w:r>
        <w:tab/>
        <w:t>1.1</w:t>
      </w:r>
    </w:p>
    <w:p>
      <w:pPr>
        <w:pStyle w:val="DefinedTerms"/>
      </w:pPr>
      <w:r>
        <w:t>automotive business premises</w:t>
      </w:r>
      <w:r>
        <w:tab/>
        <w:t>5.65.6.1</w:t>
      </w:r>
    </w:p>
    <w:p>
      <w:pPr>
        <w:pStyle w:val="DefinedTerms"/>
      </w:pPr>
      <w:r>
        <w:t>bore</w:t>
      </w:r>
      <w:r>
        <w:tab/>
        <w:t>1.1</w:t>
      </w:r>
    </w:p>
    <w:p>
      <w:pPr>
        <w:pStyle w:val="DefinedTerms"/>
      </w:pPr>
      <w:r>
        <w:t>bulk liquid storage tank system</w:t>
      </w:r>
      <w:r>
        <w:tab/>
        <w:t>5.65.6.1</w:t>
      </w:r>
    </w:p>
    <w:p>
      <w:pPr>
        <w:pStyle w:val="DefinedTerms"/>
      </w:pPr>
      <w:r>
        <w:t>CALM Act land</w:t>
      </w:r>
      <w:r>
        <w:tab/>
        <w:t>4.114.11.1</w:t>
      </w:r>
    </w:p>
    <w:p>
      <w:pPr>
        <w:pStyle w:val="DefinedTerms"/>
      </w:pPr>
      <w:r>
        <w:t>CALM Act Minister</w:t>
      </w:r>
      <w:r>
        <w:tab/>
        <w:t>4.114.11.1</w:t>
      </w:r>
    </w:p>
    <w:p>
      <w:pPr>
        <w:pStyle w:val="DefinedTerms"/>
      </w:pPr>
      <w:r>
        <w:t>Corporation</w:t>
      </w:r>
      <w:r>
        <w:tab/>
        <w:t>1.1</w:t>
      </w:r>
    </w:p>
    <w:p>
      <w:pPr>
        <w:pStyle w:val="DefinedTerms"/>
      </w:pPr>
      <w:r>
        <w:t>Dangerous Goods Storage Regulations</w:t>
      </w:r>
      <w:r>
        <w:tab/>
        <w:t>1.1</w:t>
      </w:r>
    </w:p>
    <w:p>
      <w:pPr>
        <w:pStyle w:val="DefinedTerms"/>
      </w:pPr>
      <w:r>
        <w:t>designated camping site</w:t>
      </w:r>
      <w:r>
        <w:tab/>
        <w:t>1.1</w:t>
      </w:r>
    </w:p>
    <w:p>
      <w:pPr>
        <w:pStyle w:val="DefinedTerms"/>
      </w:pPr>
      <w:r>
        <w:t>diameter</w:t>
      </w:r>
      <w:r>
        <w:tab/>
        <w:t>1.1</w:t>
      </w:r>
    </w:p>
    <w:p>
      <w:pPr>
        <w:pStyle w:val="DefinedTerms"/>
      </w:pPr>
      <w:r>
        <w:t>domestic sewage</w:t>
      </w:r>
      <w:r>
        <w:tab/>
        <w:t>1.1</w:t>
      </w:r>
    </w:p>
    <w:p>
      <w:pPr>
        <w:pStyle w:val="DefinedTerms"/>
      </w:pPr>
      <w:r>
        <w:t>elevated storage tank system</w:t>
      </w:r>
      <w:r>
        <w:tab/>
        <w:t>5.65.6.1</w:t>
      </w:r>
    </w:p>
    <w:p>
      <w:pPr>
        <w:pStyle w:val="DefinedTerms"/>
      </w:pPr>
      <w:r>
        <w:t>establish</w:t>
      </w:r>
      <w:r>
        <w:tab/>
        <w:t>5.65.6.1</w:t>
      </w:r>
    </w:p>
    <w:p>
      <w:pPr>
        <w:pStyle w:val="DefinedTerms"/>
      </w:pPr>
      <w:r>
        <w:t>feeder</w:t>
      </w:r>
      <w:r>
        <w:tab/>
        <w:t>1.1</w:t>
      </w:r>
    </w:p>
    <w:p>
      <w:pPr>
        <w:pStyle w:val="DefinedTerms"/>
      </w:pPr>
      <w:r>
        <w:t>ground</w:t>
      </w:r>
      <w:r>
        <w:tab/>
        <w:t>1.1</w:t>
      </w:r>
    </w:p>
    <w:p>
      <w:pPr>
        <w:pStyle w:val="DefinedTerms"/>
      </w:pPr>
      <w:r>
        <w:t>ground storage tank system</w:t>
      </w:r>
      <w:r>
        <w:tab/>
        <w:t>5.65.6.1</w:t>
      </w:r>
    </w:p>
    <w:p>
      <w:pPr>
        <w:pStyle w:val="DefinedTerms"/>
      </w:pPr>
      <w:r>
        <w:t>hand-held tool</w:t>
      </w:r>
      <w:r>
        <w:tab/>
        <w:t>4.124.12.1</w:t>
      </w:r>
    </w:p>
    <w:p>
      <w:pPr>
        <w:pStyle w:val="DefinedTerms"/>
      </w:pPr>
      <w:r>
        <w:t>high-water mark</w:t>
      </w:r>
      <w:r>
        <w:tab/>
        <w:t>1.1</w:t>
      </w:r>
    </w:p>
    <w:p>
      <w:pPr>
        <w:pStyle w:val="DefinedTerms"/>
      </w:pPr>
      <w:r>
        <w:t>industrial waste</w:t>
      </w:r>
      <w:r>
        <w:tab/>
        <w:t>1.1</w:t>
      </w:r>
    </w:p>
    <w:p>
      <w:pPr>
        <w:pStyle w:val="DefinedTerms"/>
      </w:pPr>
      <w:r>
        <w:t>liquid waste</w:t>
      </w:r>
      <w:r>
        <w:tab/>
        <w:t>1.1</w:t>
      </w:r>
    </w:p>
    <w:p>
      <w:pPr>
        <w:pStyle w:val="DefinedTerms"/>
      </w:pPr>
      <w:r>
        <w:t>Noongar</w:t>
      </w:r>
      <w:r>
        <w:tab/>
        <w:t>1.1</w:t>
      </w:r>
    </w:p>
    <w:p>
      <w:pPr>
        <w:pStyle w:val="DefinedTerms"/>
      </w:pPr>
      <w:r>
        <w:t>observation well</w:t>
      </w:r>
      <w:r>
        <w:tab/>
        <w:t>1.1</w:t>
      </w:r>
    </w:p>
    <w:p>
      <w:pPr>
        <w:pStyle w:val="DefinedTerms"/>
      </w:pPr>
      <w:r>
        <w:t>owner</w:t>
      </w:r>
      <w:r>
        <w:tab/>
        <w:t>5.65.6.1</w:t>
      </w:r>
    </w:p>
    <w:p>
      <w:pPr>
        <w:pStyle w:val="DefinedTerms"/>
      </w:pPr>
      <w:r>
        <w:t>people</w:t>
      </w:r>
      <w:r>
        <w:tab/>
        <w:t>1.1</w:t>
      </w:r>
    </w:p>
    <w:p>
      <w:pPr>
        <w:pStyle w:val="DefinedTerms"/>
      </w:pPr>
      <w:r>
        <w:t>pesticides</w:t>
      </w:r>
      <w:r>
        <w:tab/>
        <w:t>1.1</w:t>
      </w:r>
    </w:p>
    <w:p>
      <w:pPr>
        <w:pStyle w:val="DefinedTerms"/>
      </w:pPr>
      <w:r>
        <w:t>petroleum product</w:t>
      </w:r>
      <w:r>
        <w:tab/>
        <w:t>1.1</w:t>
      </w:r>
    </w:p>
    <w:p>
      <w:pPr>
        <w:pStyle w:val="DefinedTerms"/>
      </w:pPr>
      <w:r>
        <w:t>plans</w:t>
      </w:r>
      <w:r>
        <w:tab/>
        <w:t>5.65.6.1</w:t>
      </w:r>
    </w:p>
    <w:p>
      <w:pPr>
        <w:pStyle w:val="DefinedTerms"/>
      </w:pPr>
      <w:r>
        <w:t>priority 1 source protection area</w:t>
      </w:r>
      <w:r>
        <w:tab/>
        <w:t>5.65.6.1</w:t>
      </w:r>
    </w:p>
    <w:p>
      <w:pPr>
        <w:pStyle w:val="DefinedTerms"/>
      </w:pPr>
      <w:r>
        <w:t>priority 2 source protection area</w:t>
      </w:r>
      <w:r>
        <w:tab/>
        <w:t>5.65.6.1</w:t>
      </w:r>
    </w:p>
    <w:p>
      <w:pPr>
        <w:pStyle w:val="DefinedTerms"/>
      </w:pPr>
      <w:r>
        <w:t>priority 3 source protection area</w:t>
      </w:r>
      <w:r>
        <w:tab/>
        <w:t>5.65.6.1</w:t>
      </w:r>
    </w:p>
    <w:p>
      <w:pPr>
        <w:pStyle w:val="DefinedTerms"/>
      </w:pPr>
      <w:r>
        <w:t>production well</w:t>
      </w:r>
      <w:r>
        <w:tab/>
        <w:t>1.1</w:t>
      </w:r>
    </w:p>
    <w:p>
      <w:pPr>
        <w:pStyle w:val="DefinedTerms"/>
      </w:pPr>
      <w:r>
        <w:t>registered Aboriginal site</w:t>
      </w:r>
      <w:r>
        <w:tab/>
        <w:t>1.1</w:t>
      </w:r>
    </w:p>
    <w:p>
      <w:pPr>
        <w:pStyle w:val="DefinedTerms"/>
      </w:pPr>
      <w:r>
        <w:t>size</w:t>
      </w:r>
      <w:r>
        <w:tab/>
        <w:t>1.1</w:t>
      </w:r>
    </w:p>
    <w:p>
      <w:pPr>
        <w:pStyle w:val="DefinedTerms"/>
      </w:pPr>
      <w:r>
        <w:t>South West Settlement Area</w:t>
      </w:r>
      <w:r>
        <w:tab/>
        <w:t>1.1</w:t>
      </w:r>
    </w:p>
    <w:p>
      <w:pPr>
        <w:pStyle w:val="DefinedTerms"/>
      </w:pPr>
      <w:r>
        <w:t>special provision catchment area</w:t>
      </w:r>
      <w:r>
        <w:tab/>
        <w:t>1.1</w:t>
      </w:r>
    </w:p>
    <w:p>
      <w:pPr>
        <w:pStyle w:val="DefinedTerms"/>
      </w:pPr>
      <w:r>
        <w:t>take</w:t>
      </w:r>
      <w:r>
        <w:tab/>
        <w:t>4.124.12.1</w:t>
      </w:r>
    </w:p>
    <w:p>
      <w:pPr>
        <w:pStyle w:val="DefinedTerms"/>
      </w:pPr>
      <w:r>
        <w:t>tank</w:t>
      </w:r>
      <w:r>
        <w:tab/>
        <w:t>5.65.6.1</w:t>
      </w:r>
    </w:p>
    <w:p>
      <w:pPr>
        <w:pStyle w:val="DefinedTerms"/>
      </w:pPr>
      <w:r>
        <w:t>underground storage or handling system</w:t>
      </w:r>
      <w:r>
        <w:tab/>
        <w:t>1.1</w:t>
      </w:r>
    </w:p>
    <w:p>
      <w:pPr>
        <w:pStyle w:val="DefinedTerms"/>
      </w:pPr>
      <w:r>
        <w:lastRenderedPageBreak/>
        <w:t>underground water</w:t>
      </w:r>
      <w:r>
        <w:tab/>
        <w:t>1.1</w:t>
      </w:r>
    </w:p>
    <w:p>
      <w:pPr>
        <w:pStyle w:val="DefinedTerms"/>
      </w:pPr>
      <w:r>
        <w:t>unpolluted water</w:t>
      </w:r>
      <w:r>
        <w:tab/>
        <w:t>5.65.6.1</w:t>
      </w:r>
    </w:p>
    <w:p>
      <w:pPr>
        <w:pStyle w:val="DefinedTerms"/>
      </w:pPr>
      <w:r>
        <w:t>wellhead</w:t>
      </w:r>
      <w:r>
        <w:tab/>
        <w:t>5.65.6.1</w:t>
      </w:r>
    </w:p>
    <w:p>
      <w:pPr>
        <w:pStyle w:val="DefinedTerms"/>
      </w:pPr>
      <w:r>
        <w:t>wellhead protection zone</w:t>
      </w:r>
      <w:r>
        <w:tab/>
        <w:t>4.114.11.1, 5.65.6.1</w:t>
      </w:r>
    </w:p>
    <w:p>
      <w:pPr>
        <w:pStyle w:val="DefinedTerms"/>
      </w:pPr>
      <w:r>
        <w:t>works</w:t>
      </w:r>
      <w:r>
        <w:tab/>
        <w:t>1.1</w:t>
      </w:r>
    </w:p>
    <w:p/>
    <w:p>
      <w:pPr>
        <w:sectPr>
          <w:headerReference w:type="even" r:id="rId32"/>
          <w:headerReference w:type="default" r:id="rId33"/>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6"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rR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D4JCrR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xvi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07-k0-02</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31" w:name="Schedule"/>
    <w:bookmarkEnd w:id="3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5" w:name="Compilation"/>
    <w:bookmarkEnd w:id="35"/>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7" w:name="DefinedTerms"/>
    <w:bookmarkEnd w:id="37"/>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8" w:name="Coversheet"/>
    <w:bookmarkEnd w:id="3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23"/>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 w:name="WAFER_202306291119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RemoveIncorrectStyles.ProcessStyles"/>
    <w:docVar w:name="WAFER_20230629111922_GUID" w:val="6ef92def-7aab-49b7-a09e-87ff6fddcd14"/>
    <w:docVar w:name="WAFER_202311010835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1101083544_GUID" w:val="150e2023-bebe-4f1c-8d95-9bda197b17f9"/>
    <w:docVar w:name="WAFER_202311101607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110160749_GUID" w:val="06e31faa-a157-4f95-a39c-f165dcd38cb7"/>
    <w:docVar w:name="WAFER_2023122811352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23_GUID" w:val="1b7e5784-5881-40ed-911e-9e39f9d9f48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5">
    <w:name w:val="nzHeading 5"/>
    <w:basedOn w:val="zHeading5"/>
    <w:pPr>
      <w:spacing w:before="10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footer" Target="footer9.xml"/><Relationship Id="rId21" Type="http://schemas.openxmlformats.org/officeDocument/2006/relationships/image" Target="media/image3.png"/><Relationship Id="rId34" Type="http://schemas.openxmlformats.org/officeDocument/2006/relationships/header" Target="header1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eader" Target="header12.xml"/><Relationship Id="rId35" Type="http://schemas.openxmlformats.org/officeDocument/2006/relationships/header" Target="header17.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10341</Words>
  <Characters>50363</Characters>
  <Application>Microsoft Office Word</Application>
  <DocSecurity>0</DocSecurity>
  <Lines>1624</Lines>
  <Paragraphs>854</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1981 - 07-k0-02</dc:title>
  <dc:subject/>
  <dc:creator/>
  <cp:keywords/>
  <dc:description/>
  <cp:lastModifiedBy>Master Repository Process</cp:lastModifiedBy>
  <cp:revision>4</cp:revision>
  <cp:lastPrinted>2019-10-23T05:14:00Z</cp:lastPrinted>
  <dcterms:created xsi:type="dcterms:W3CDTF">2024-01-02T07:19:00Z</dcterms:created>
  <dcterms:modified xsi:type="dcterms:W3CDTF">2024-01-02T07:19:00Z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15 Nov 2023</vt:lpwstr>
  </property>
  <property fmtid="{D5CDD505-2E9C-101B-9397-08002B2CF9AE}" pid="8" name="Suffix">
    <vt:lpwstr>07-k0-02</vt:lpwstr>
  </property>
  <property fmtid="{D5CDD505-2E9C-101B-9397-08002B2CF9AE}" pid="9" name="Official">
    <vt:lpwstr/>
  </property>
  <property fmtid="{D5CDD505-2E9C-101B-9397-08002B2CF9AE}" pid="10" name="CommencementDate">
    <vt:lpwstr>20231115</vt:lpwstr>
  </property>
  <property fmtid="{D5CDD505-2E9C-101B-9397-08002B2CF9AE}" pid="11" name="CommencementAsAt">
    <vt:filetime>2023-11-14T16:00:00Z</vt:filetime>
  </property>
  <property fmtid="{D5CDD505-2E9C-101B-9397-08002B2CF9AE}" pid="12" name="CommencementYear">
    <vt:lpwstr>2023</vt:lpwstr>
  </property>
</Properties>
</file>