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Environmental Protection Act 1986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Act 1986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_Toc158985317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_Toc158985318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_Toc158985319 \h </w:instrText>
      </w:r>
      <w:r>
        <w:fldChar w:fldCharType="separate"/>
      </w:r>
      <w:r>
        <w:t>1</w:t>
      </w:r>
      <w:r>
        <w:fldChar w:fldCharType="end"/>
      </w:r>
    </w:p>
    <w:p>
      <w:pPr>
        <w:pStyle w:val="TOC8"/>
        <w:rPr>
          <w:rFonts w:asciiTheme="minorHAnsi" w:eastAsiaTheme="minorEastAsia" w:hAnsiTheme="minorHAnsi" w:cstheme="minorBidi"/>
          <w:szCs w:val="22"/>
        </w:rPr>
      </w:pPr>
      <w:r>
        <w:t>3A.</w:t>
      </w:r>
      <w:r>
        <w:tab/>
        <w:t>Terms used relating to pollution and environmental harm</w:t>
      </w:r>
      <w:r>
        <w:tab/>
      </w:r>
      <w:r>
        <w:fldChar w:fldCharType="begin"/>
      </w:r>
      <w:r>
        <w:instrText xml:space="preserve"> PAGEREF _Toc158985320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Crown bound</w:t>
      </w:r>
      <w:r>
        <w:tab/>
      </w:r>
      <w:r>
        <w:fldChar w:fldCharType="begin"/>
      </w:r>
      <w:r>
        <w:instrText xml:space="preserve"> PAGEREF _Toc158985321 \h </w:instrText>
      </w:r>
      <w:r>
        <w:fldChar w:fldCharType="separate"/>
      </w:r>
      <w:r>
        <w:t>1</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Object and principles of Act</w:t>
      </w:r>
      <w:r>
        <w:tab/>
      </w:r>
      <w:r>
        <w:fldChar w:fldCharType="begin"/>
      </w:r>
      <w:r>
        <w:instrText xml:space="preserve"> PAGEREF _Toc158985322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Inconsistent laws</w:t>
      </w:r>
      <w:r>
        <w:tab/>
      </w:r>
      <w:r>
        <w:fldChar w:fldCharType="begin"/>
      </w:r>
      <w:r>
        <w:instrText xml:space="preserve"> PAGEREF _Toc158985323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Power of Minister or Authority to exempt</w:t>
      </w:r>
      <w:r>
        <w:tab/>
      </w:r>
      <w:r>
        <w:fldChar w:fldCharType="begin"/>
      </w:r>
      <w:r>
        <w:instrText xml:space="preserve"> PAGEREF _Toc158985324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Environmental Protection Authority</w:t>
      </w:r>
    </w:p>
    <w:p>
      <w:pPr>
        <w:pStyle w:val="TOC4"/>
        <w:tabs>
          <w:tab w:val="right" w:leader="dot" w:pos="7077"/>
        </w:tabs>
        <w:rPr>
          <w:rFonts w:asciiTheme="minorHAnsi" w:eastAsiaTheme="minorEastAsia" w:hAnsiTheme="minorHAnsi" w:cstheme="minorBidi"/>
          <w:b w:val="0"/>
          <w:szCs w:val="22"/>
        </w:rPr>
      </w:pPr>
      <w:r>
        <w:rPr>
          <w:spacing w:val="-4"/>
        </w:rPr>
        <w:t>Division 1</w:t>
      </w:r>
      <w:r>
        <w:rPr>
          <w:snapToGrid w:val="0"/>
          <w:spacing w:val="-4"/>
        </w:rPr>
        <w:t> — </w:t>
      </w:r>
      <w:r>
        <w:rPr>
          <w:spacing w:val="-4"/>
        </w:rPr>
        <w:t>Composition, procedure, etc. of Environmental Protection Authority</w:t>
      </w:r>
    </w:p>
    <w:p>
      <w:pPr>
        <w:pStyle w:val="TOC8"/>
        <w:rPr>
          <w:rFonts w:asciiTheme="minorHAnsi" w:eastAsiaTheme="minorEastAsia" w:hAnsiTheme="minorHAnsi" w:cstheme="minorBidi"/>
          <w:szCs w:val="22"/>
        </w:rPr>
      </w:pPr>
      <w:r>
        <w:t>7</w:t>
      </w:r>
      <w:r>
        <w:rPr>
          <w:snapToGrid w:val="0"/>
        </w:rPr>
        <w:t>.</w:t>
      </w:r>
      <w:r>
        <w:rPr>
          <w:snapToGrid w:val="0"/>
        </w:rPr>
        <w:tab/>
        <w:t>Continuation and composition of Environmental Protection Authority</w:t>
      </w:r>
      <w:r>
        <w:tab/>
      </w:r>
      <w:r>
        <w:fldChar w:fldCharType="begin"/>
      </w:r>
      <w:r>
        <w:instrText xml:space="preserve"> PAGEREF _Toc158985327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Independence of Authority and Chair</w:t>
      </w:r>
      <w:r>
        <w:tab/>
      </w:r>
      <w:r>
        <w:fldChar w:fldCharType="begin"/>
      </w:r>
      <w:r>
        <w:instrText xml:space="preserve"> PAGEREF _Toc158985328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Remuneration and allowances of Authority members</w:t>
      </w:r>
      <w:r>
        <w:tab/>
      </w:r>
      <w:r>
        <w:fldChar w:fldCharType="begin"/>
      </w:r>
      <w:r>
        <w:instrText xml:space="preserve"> PAGEREF _Toc158985329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Business of Authority</w:t>
      </w:r>
      <w:r>
        <w:tab/>
      </w:r>
      <w:r>
        <w:fldChar w:fldCharType="begin"/>
      </w:r>
      <w:r>
        <w:instrText xml:space="preserve"> PAGEREF _Toc158985330 \h </w:instrText>
      </w:r>
      <w:r>
        <w:fldChar w:fldCharType="separate"/>
      </w:r>
      <w:r>
        <w:t>1</w:t>
      </w:r>
      <w:r>
        <w:fldChar w:fldCharType="end"/>
      </w:r>
    </w:p>
    <w:p>
      <w:pPr>
        <w:pStyle w:val="TOC8"/>
        <w:rPr>
          <w:rFonts w:asciiTheme="minorHAnsi" w:eastAsiaTheme="minorEastAsia" w:hAnsiTheme="minorHAnsi" w:cstheme="minorBidi"/>
          <w:szCs w:val="22"/>
        </w:rPr>
      </w:pPr>
      <w:r>
        <w:t>11.</w:t>
      </w:r>
      <w:r>
        <w:tab/>
        <w:t>Meetings of Authority</w:t>
      </w:r>
      <w:r>
        <w:tab/>
      </w:r>
      <w:r>
        <w:fldChar w:fldCharType="begin"/>
      </w:r>
      <w:r>
        <w:instrText xml:space="preserve"> PAGEREF _Toc158985331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Disclosure of interests by Authority members</w:t>
      </w:r>
      <w:r>
        <w:tab/>
      </w:r>
      <w:r>
        <w:fldChar w:fldCharType="begin"/>
      </w:r>
      <w:r>
        <w:instrText xml:space="preserve"> PAGEREF _Toc158985332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Decisions of persons presiding at meetings of Authority</w:t>
      </w:r>
      <w:r>
        <w:tab/>
      </w:r>
      <w:r>
        <w:fldChar w:fldCharType="begin"/>
      </w:r>
      <w:r>
        <w:instrText xml:space="preserve"> PAGEREF _Toc158985333 \h </w:instrText>
      </w:r>
      <w:r>
        <w:fldChar w:fldCharType="separate"/>
      </w:r>
      <w:r>
        <w:t>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Minutes to be kept of meetings of Authority</w:t>
      </w:r>
      <w:r>
        <w:tab/>
      </w:r>
      <w:r>
        <w:fldChar w:fldCharType="begin"/>
      </w:r>
      <w:r>
        <w:instrText xml:space="preserve"> PAGEREF _Toc158985334 \h </w:instrText>
      </w:r>
      <w:r>
        <w:fldChar w:fldCharType="separate"/>
      </w:r>
      <w:r>
        <w:t>1</w:t>
      </w:r>
      <w:r>
        <w:fldChar w:fldCharType="end"/>
      </w:r>
    </w:p>
    <w:p>
      <w:pPr>
        <w:pStyle w:val="TOC8"/>
        <w:rPr>
          <w:rFonts w:asciiTheme="minorHAnsi" w:eastAsiaTheme="minorEastAsia" w:hAnsiTheme="minorHAnsi" w:cstheme="minorBidi"/>
          <w:szCs w:val="22"/>
        </w:rPr>
      </w:pPr>
      <w:r>
        <w:t>14A.</w:t>
      </w:r>
      <w:r>
        <w:tab/>
        <w:t>Decision without meeting</w:t>
      </w:r>
      <w:r>
        <w:tab/>
      </w:r>
      <w:r>
        <w:fldChar w:fldCharType="begin"/>
      </w:r>
      <w:r>
        <w:instrText xml:space="preserve"> PAGEREF _Toc158985335 \h </w:instrText>
      </w:r>
      <w:r>
        <w:fldChar w:fldCharType="separate"/>
      </w:r>
      <w:r>
        <w:t>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Objectives of Authority</w:t>
      </w:r>
      <w:r>
        <w:tab/>
      </w:r>
      <w:r>
        <w:fldChar w:fldCharType="begin"/>
      </w:r>
      <w:r>
        <w:instrText xml:space="preserve"> PAGEREF _Toc158985336 \h </w:instrText>
      </w:r>
      <w:r>
        <w:fldChar w:fldCharType="separate"/>
      </w:r>
      <w:r>
        <w:t>1</w:t>
      </w:r>
      <w:r>
        <w:fldChar w:fldCharType="end"/>
      </w:r>
    </w:p>
    <w:p>
      <w:pPr>
        <w:pStyle w:val="TOC8"/>
        <w:rPr>
          <w:rFonts w:asciiTheme="minorHAnsi" w:eastAsiaTheme="minorEastAsia" w:hAnsiTheme="minorHAnsi" w:cstheme="minorBidi"/>
          <w:szCs w:val="22"/>
        </w:rPr>
      </w:pPr>
      <w:r>
        <w:lastRenderedPageBreak/>
        <w:t>16</w:t>
      </w:r>
      <w:r>
        <w:rPr>
          <w:snapToGrid w:val="0"/>
        </w:rPr>
        <w:t>.</w:t>
      </w:r>
      <w:r>
        <w:rPr>
          <w:snapToGrid w:val="0"/>
        </w:rPr>
        <w:tab/>
        <w:t>Functions of Authority</w:t>
      </w:r>
      <w:r>
        <w:tab/>
      </w:r>
      <w:r>
        <w:fldChar w:fldCharType="begin"/>
      </w:r>
      <w:r>
        <w:instrText xml:space="preserve"> PAGEREF _Toc158985337 \h </w:instrText>
      </w:r>
      <w:r>
        <w:fldChar w:fldCharType="separate"/>
      </w:r>
      <w:r>
        <w:t>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Powers of Authority</w:t>
      </w:r>
      <w:r>
        <w:tab/>
      </w:r>
      <w:r>
        <w:fldChar w:fldCharType="begin"/>
      </w:r>
      <w:r>
        <w:instrText xml:space="preserve"> PAGEREF _Toc158985338 \h </w:instrText>
      </w:r>
      <w:r>
        <w:fldChar w:fldCharType="separate"/>
      </w:r>
      <w:r>
        <w:t>1</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Provision of services, information etc. to Authority</w:t>
      </w:r>
      <w:r>
        <w:tab/>
      </w:r>
      <w:r>
        <w:fldChar w:fldCharType="begin"/>
      </w:r>
      <w:r>
        <w:instrText xml:space="preserve"> PAGEREF _Toc158985339 \h </w:instrText>
      </w:r>
      <w:r>
        <w:fldChar w:fldCharType="separate"/>
      </w:r>
      <w:r>
        <w:t>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Delegation by Minister</w:t>
      </w:r>
      <w:r>
        <w:tab/>
      </w:r>
      <w:r>
        <w:fldChar w:fldCharType="begin"/>
      </w:r>
      <w:r>
        <w:instrText xml:space="preserve"> PAGEREF _Toc158985340 \h </w:instrText>
      </w:r>
      <w:r>
        <w:fldChar w:fldCharType="separate"/>
      </w:r>
      <w:r>
        <w:t>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Delegation by Authority</w:t>
      </w:r>
      <w:r>
        <w:tab/>
      </w:r>
      <w:r>
        <w:fldChar w:fldCharType="begin"/>
      </w:r>
      <w:r>
        <w:instrText xml:space="preserve"> PAGEREF _Toc158985341 \h </w:instrText>
      </w:r>
      <w:r>
        <w:fldChar w:fldCharType="separate"/>
      </w:r>
      <w:r>
        <w:t>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Delegation by CEO</w:t>
      </w:r>
      <w:r>
        <w:tab/>
      </w:r>
      <w:r>
        <w:fldChar w:fldCharType="begin"/>
      </w:r>
      <w:r>
        <w:instrText xml:space="preserve"> PAGEREF _Toc158985342 \h </w:instrText>
      </w:r>
      <w:r>
        <w:fldChar w:fldCharType="separate"/>
      </w:r>
      <w:r>
        <w:t>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Authority to make annual report</w:t>
      </w:r>
      <w:r>
        <w:tab/>
      </w:r>
      <w:r>
        <w:fldChar w:fldCharType="begin"/>
      </w:r>
      <w:r>
        <w:instrText xml:space="preserve"> PAGEREF _Toc158985343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Staff of Department, etc.</w:t>
      </w:r>
    </w:p>
    <w:p>
      <w:pPr>
        <w:pStyle w:val="TOC8"/>
        <w:rPr>
          <w:rFonts w:asciiTheme="minorHAnsi" w:eastAsiaTheme="minorEastAsia" w:hAnsiTheme="minorHAnsi" w:cstheme="minorBidi"/>
          <w:szCs w:val="22"/>
        </w:rPr>
      </w:pPr>
      <w:r>
        <w:t>22</w:t>
      </w:r>
      <w:r>
        <w:rPr>
          <w:snapToGrid w:val="0"/>
        </w:rPr>
        <w:t>.</w:t>
      </w:r>
      <w:r>
        <w:rPr>
          <w:snapToGrid w:val="0"/>
        </w:rPr>
        <w:tab/>
        <w:t>Appointment and engagement of staff generally</w:t>
      </w:r>
      <w:r>
        <w:tab/>
      </w:r>
      <w:r>
        <w:fldChar w:fldCharType="begin"/>
      </w:r>
      <w:r>
        <w:instrText xml:space="preserve"> PAGEREF _Toc158985345 \h </w:instrText>
      </w:r>
      <w:r>
        <w:fldChar w:fldCharType="separate"/>
      </w:r>
      <w:r>
        <w:t>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Use of staff and facilities of other departments etc.</w:t>
      </w:r>
      <w:r>
        <w:tab/>
      </w:r>
      <w:r>
        <w:fldChar w:fldCharType="begin"/>
      </w:r>
      <w:r>
        <w:instrText xml:space="preserve"> PAGEREF _Toc158985346 \h </w:instrText>
      </w:r>
      <w:r>
        <w:fldChar w:fldCharType="separate"/>
      </w:r>
      <w:r>
        <w:t>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Advisory groups, committees, councils and panels</w:t>
      </w:r>
      <w:r>
        <w:tab/>
      </w:r>
      <w:r>
        <w:fldChar w:fldCharType="begin"/>
      </w:r>
      <w:r>
        <w:instrText xml:space="preserve"> PAGEREF _Toc158985347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III — Environmental protection policies</w:t>
      </w:r>
    </w:p>
    <w:p>
      <w:pPr>
        <w:pStyle w:val="TOC8"/>
        <w:rPr>
          <w:rFonts w:asciiTheme="minorHAnsi" w:eastAsiaTheme="minorEastAsia" w:hAnsiTheme="minorHAnsi" w:cstheme="minorBidi"/>
          <w:szCs w:val="22"/>
        </w:rPr>
      </w:pPr>
      <w:r>
        <w:t>26</w:t>
      </w:r>
      <w:r>
        <w:rPr>
          <w:snapToGrid w:val="0"/>
        </w:rPr>
        <w:t>.</w:t>
      </w:r>
      <w:r>
        <w:rPr>
          <w:snapToGrid w:val="0"/>
        </w:rPr>
        <w:tab/>
        <w:t>Draft policy, preparation and publicising of</w:t>
      </w:r>
      <w:r>
        <w:tab/>
      </w:r>
      <w:r>
        <w:fldChar w:fldCharType="begin"/>
      </w:r>
      <w:r>
        <w:instrText xml:space="preserve"> PAGEREF _Toc158985349 \h </w:instrText>
      </w:r>
      <w:r>
        <w:fldChar w:fldCharType="separate"/>
      </w:r>
      <w:r>
        <w:t>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Persons may make representations to Authority on draft policy</w:t>
      </w:r>
      <w:r>
        <w:tab/>
      </w:r>
      <w:r>
        <w:fldChar w:fldCharType="begin"/>
      </w:r>
      <w:r>
        <w:instrText xml:space="preserve"> PAGEREF _Toc158985350 \h </w:instrText>
      </w:r>
      <w:r>
        <w:fldChar w:fldCharType="separate"/>
      </w:r>
      <w:r>
        <w:t>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Consideration, revision and submission to Minister of draft policy by Authority</w:t>
      </w:r>
      <w:r>
        <w:tab/>
      </w:r>
      <w:r>
        <w:fldChar w:fldCharType="begin"/>
      </w:r>
      <w:r>
        <w:instrText xml:space="preserve"> PAGEREF _Toc158985351 \h </w:instrText>
      </w:r>
      <w:r>
        <w:fldChar w:fldCharType="separate"/>
      </w:r>
      <w:r>
        <w:t>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Public inquiry into draft policy</w:t>
      </w:r>
      <w:r>
        <w:tab/>
      </w:r>
      <w:r>
        <w:fldChar w:fldCharType="begin"/>
      </w:r>
      <w:r>
        <w:instrText xml:space="preserve"> PAGEREF _Toc158985352 \h </w:instrText>
      </w:r>
      <w:r>
        <w:fldChar w:fldCharType="separate"/>
      </w:r>
      <w:r>
        <w:t>1</w:t>
      </w:r>
      <w:r>
        <w:fldChar w:fldCharType="end"/>
      </w:r>
    </w:p>
    <w:p>
      <w:pPr>
        <w:pStyle w:val="TOC8"/>
        <w:rPr>
          <w:rFonts w:asciiTheme="minorHAnsi" w:eastAsiaTheme="minorEastAsia" w:hAnsiTheme="minorHAnsi" w:cstheme="minorBidi"/>
          <w:szCs w:val="22"/>
        </w:rPr>
      </w:pPr>
      <w:r>
        <w:t>30.</w:t>
      </w:r>
      <w:r>
        <w:tab/>
        <w:t>Minister to consult on draft policy</w:t>
      </w:r>
      <w:r>
        <w:tab/>
      </w:r>
      <w:r>
        <w:fldChar w:fldCharType="begin"/>
      </w:r>
      <w:r>
        <w:instrText xml:space="preserve"> PAGEREF _Toc158985353 \h </w:instrText>
      </w:r>
      <w:r>
        <w:fldChar w:fldCharType="separate"/>
      </w:r>
      <w:r>
        <w:t>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Minister to remit draft policy, or approve it (with or without amendments) or refuse to approve it</w:t>
      </w:r>
      <w:r>
        <w:tab/>
      </w:r>
      <w:r>
        <w:fldChar w:fldCharType="begin"/>
      </w:r>
      <w:r>
        <w:instrText xml:space="preserve"> PAGEREF _Toc158985354 \h </w:instrText>
      </w:r>
      <w:r>
        <w:fldChar w:fldCharType="separate"/>
      </w:r>
      <w:r>
        <w:t>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Reconsidering and resubmitting remitted draft policy</w:t>
      </w:r>
      <w:r>
        <w:tab/>
      </w:r>
      <w:r>
        <w:fldChar w:fldCharType="begin"/>
      </w:r>
      <w:r>
        <w:instrText xml:space="preserve"> PAGEREF _Toc158985355 \h </w:instrText>
      </w:r>
      <w:r>
        <w:fldChar w:fldCharType="separate"/>
      </w:r>
      <w:r>
        <w:t>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Approved policies, status and revocation of</w:t>
      </w:r>
      <w:r>
        <w:tab/>
      </w:r>
      <w:r>
        <w:fldChar w:fldCharType="begin"/>
      </w:r>
      <w:r>
        <w:instrText xml:space="preserve"> PAGEREF _Toc158985356 \h </w:instrText>
      </w:r>
      <w:r>
        <w:fldChar w:fldCharType="separate"/>
      </w:r>
      <w:r>
        <w:t>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Orders made under s. 31(d), Parliamentary oversight of</w:t>
      </w:r>
      <w:r>
        <w:tab/>
      </w:r>
      <w:r>
        <w:fldChar w:fldCharType="begin"/>
      </w:r>
      <w:r>
        <w:instrText xml:space="preserve"> PAGEREF _Toc158985357 \h </w:instrText>
      </w:r>
      <w:r>
        <w:fldChar w:fldCharType="separate"/>
      </w:r>
      <w:r>
        <w:t>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Content of approved policies</w:t>
      </w:r>
      <w:r>
        <w:tab/>
      </w:r>
      <w:r>
        <w:fldChar w:fldCharType="begin"/>
      </w:r>
      <w:r>
        <w:instrText xml:space="preserve"> PAGEREF _Toc158985358 \h </w:instrText>
      </w:r>
      <w:r>
        <w:fldChar w:fldCharType="separate"/>
      </w:r>
      <w:r>
        <w:t>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Review of approved policies</w:t>
      </w:r>
      <w:r>
        <w:tab/>
      </w:r>
      <w:r>
        <w:fldChar w:fldCharType="begin"/>
      </w:r>
      <w:r>
        <w:instrText xml:space="preserve"> PAGEREF _Toc158985359 \h </w:instrText>
      </w:r>
      <w:r>
        <w:fldChar w:fldCharType="separate"/>
      </w:r>
      <w:r>
        <w:t>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r>
      <w:r>
        <w:rPr>
          <w:snapToGrid w:val="0"/>
          <w:spacing w:val="-2"/>
        </w:rPr>
        <w:t>Minor changes to approved policies</w:t>
      </w:r>
      <w:r>
        <w:tab/>
      </w:r>
      <w:r>
        <w:fldChar w:fldCharType="begin"/>
      </w:r>
      <w:r>
        <w:instrText xml:space="preserve"> PAGEREF _Toc158985360 \h </w:instrText>
      </w:r>
      <w:r>
        <w:fldChar w:fldCharType="separate"/>
      </w:r>
      <w:r>
        <w:t>1</w:t>
      </w:r>
      <w:r>
        <w:fldChar w:fldCharType="end"/>
      </w:r>
    </w:p>
    <w:p>
      <w:pPr>
        <w:pStyle w:val="TOC8"/>
        <w:rPr>
          <w:rFonts w:asciiTheme="minorHAnsi" w:eastAsiaTheme="minorEastAsia" w:hAnsiTheme="minorHAnsi" w:cstheme="minorBidi"/>
          <w:szCs w:val="22"/>
        </w:rPr>
      </w:pPr>
      <w:r>
        <w:t>37A</w:t>
      </w:r>
      <w:r>
        <w:rPr>
          <w:snapToGrid w:val="0"/>
        </w:rPr>
        <w:t>.</w:t>
      </w:r>
      <w:r>
        <w:rPr>
          <w:snapToGrid w:val="0"/>
        </w:rPr>
        <w:tab/>
        <w:t>NEPM may be declared to be approved policy</w:t>
      </w:r>
      <w:r>
        <w:tab/>
      </w:r>
      <w:r>
        <w:fldChar w:fldCharType="begin"/>
      </w:r>
      <w:r>
        <w:instrText xml:space="preserve"> PAGEREF _Toc158985361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IV — Environmental impact assessment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Referral and assessment of proposals</w:t>
      </w:r>
    </w:p>
    <w:p>
      <w:pPr>
        <w:pStyle w:val="TOC8"/>
        <w:rPr>
          <w:rFonts w:asciiTheme="minorHAnsi" w:eastAsiaTheme="minorEastAsia" w:hAnsiTheme="minorHAnsi" w:cstheme="minorBidi"/>
          <w:szCs w:val="22"/>
        </w:rPr>
      </w:pPr>
      <w:r>
        <w:t>37B.</w:t>
      </w:r>
      <w:r>
        <w:tab/>
        <w:t>Terms used</w:t>
      </w:r>
      <w:r>
        <w:tab/>
      </w:r>
      <w:r>
        <w:fldChar w:fldCharType="begin"/>
      </w:r>
      <w:r>
        <w:instrText xml:space="preserve"> PAGEREF _Toc158985364 \h </w:instrText>
      </w:r>
      <w:r>
        <w:fldChar w:fldCharType="separate"/>
      </w:r>
      <w:r>
        <w:t>1</w:t>
      </w:r>
      <w:r>
        <w:fldChar w:fldCharType="end"/>
      </w:r>
    </w:p>
    <w:p>
      <w:pPr>
        <w:pStyle w:val="TOC8"/>
        <w:rPr>
          <w:rFonts w:asciiTheme="minorHAnsi" w:eastAsiaTheme="minorEastAsia" w:hAnsiTheme="minorHAnsi" w:cstheme="minorBidi"/>
          <w:szCs w:val="22"/>
        </w:rPr>
      </w:pPr>
      <w:r>
        <w:t>38.</w:t>
      </w:r>
      <w:r>
        <w:tab/>
        <w:t>Referral of proposals</w:t>
      </w:r>
      <w:r>
        <w:tab/>
      </w:r>
      <w:r>
        <w:fldChar w:fldCharType="begin"/>
      </w:r>
      <w:r>
        <w:instrText xml:space="preserve"> PAGEREF _Toc158985365 \h </w:instrText>
      </w:r>
      <w:r>
        <w:fldChar w:fldCharType="separate"/>
      </w:r>
      <w:r>
        <w:t>1</w:t>
      </w:r>
      <w:r>
        <w:fldChar w:fldCharType="end"/>
      </w:r>
    </w:p>
    <w:p>
      <w:pPr>
        <w:pStyle w:val="TOC8"/>
        <w:rPr>
          <w:rFonts w:asciiTheme="minorHAnsi" w:eastAsiaTheme="minorEastAsia" w:hAnsiTheme="minorHAnsi" w:cstheme="minorBidi"/>
          <w:szCs w:val="22"/>
        </w:rPr>
      </w:pPr>
      <w:r>
        <w:lastRenderedPageBreak/>
        <w:t>38A.</w:t>
      </w:r>
      <w:r>
        <w:tab/>
        <w:t>Calling in a proposal</w:t>
      </w:r>
      <w:r>
        <w:tab/>
      </w:r>
      <w:r>
        <w:fldChar w:fldCharType="begin"/>
      </w:r>
      <w:r>
        <w:instrText xml:space="preserve"> PAGEREF _Toc158985366 \h </w:instrText>
      </w:r>
      <w:r>
        <w:fldChar w:fldCharType="separate"/>
      </w:r>
      <w:r>
        <w:t>1</w:t>
      </w:r>
      <w:r>
        <w:fldChar w:fldCharType="end"/>
      </w:r>
    </w:p>
    <w:p>
      <w:pPr>
        <w:pStyle w:val="TOC8"/>
        <w:rPr>
          <w:rFonts w:asciiTheme="minorHAnsi" w:eastAsiaTheme="minorEastAsia" w:hAnsiTheme="minorHAnsi" w:cstheme="minorBidi"/>
          <w:szCs w:val="22"/>
        </w:rPr>
      </w:pPr>
      <w:r>
        <w:t>38B.</w:t>
      </w:r>
      <w:r>
        <w:tab/>
        <w:t>Requirements as to referrals</w:t>
      </w:r>
      <w:r>
        <w:tab/>
      </w:r>
      <w:r>
        <w:fldChar w:fldCharType="begin"/>
      </w:r>
      <w:r>
        <w:instrText xml:space="preserve"> PAGEREF _Toc158985367 \h </w:instrText>
      </w:r>
      <w:r>
        <w:fldChar w:fldCharType="separate"/>
      </w:r>
      <w:r>
        <w:t>1</w:t>
      </w:r>
      <w:r>
        <w:fldChar w:fldCharType="end"/>
      </w:r>
    </w:p>
    <w:p>
      <w:pPr>
        <w:pStyle w:val="TOC8"/>
        <w:rPr>
          <w:rFonts w:asciiTheme="minorHAnsi" w:eastAsiaTheme="minorEastAsia" w:hAnsiTheme="minorHAnsi" w:cstheme="minorBidi"/>
          <w:szCs w:val="22"/>
        </w:rPr>
      </w:pPr>
      <w:r>
        <w:t>38C.</w:t>
      </w:r>
      <w:r>
        <w:tab/>
        <w:t>Proponent may amend a referred proposal</w:t>
      </w:r>
      <w:r>
        <w:tab/>
      </w:r>
      <w:r>
        <w:fldChar w:fldCharType="begin"/>
      </w:r>
      <w:r>
        <w:instrText xml:space="preserve"> PAGEREF _Toc158985368 \h </w:instrText>
      </w:r>
      <w:r>
        <w:fldChar w:fldCharType="separate"/>
      </w:r>
      <w:r>
        <w:t>1</w:t>
      </w:r>
      <w:r>
        <w:fldChar w:fldCharType="end"/>
      </w:r>
    </w:p>
    <w:p>
      <w:pPr>
        <w:pStyle w:val="TOC8"/>
        <w:rPr>
          <w:rFonts w:asciiTheme="minorHAnsi" w:eastAsiaTheme="minorEastAsia" w:hAnsiTheme="minorHAnsi" w:cstheme="minorBidi"/>
          <w:szCs w:val="22"/>
        </w:rPr>
      </w:pPr>
      <w:r>
        <w:t>38D.</w:t>
      </w:r>
      <w:r>
        <w:tab/>
        <w:t>Proponent may give notice that a referred proposal will not proceed</w:t>
      </w:r>
      <w:r>
        <w:tab/>
      </w:r>
      <w:r>
        <w:fldChar w:fldCharType="begin"/>
      </w:r>
      <w:r>
        <w:instrText xml:space="preserve"> PAGEREF _Toc158985369 \h </w:instrText>
      </w:r>
      <w:r>
        <w:fldChar w:fldCharType="separate"/>
      </w:r>
      <w:r>
        <w:t>1</w:t>
      </w:r>
      <w:r>
        <w:fldChar w:fldCharType="end"/>
      </w:r>
    </w:p>
    <w:p>
      <w:pPr>
        <w:pStyle w:val="TOC8"/>
        <w:rPr>
          <w:rFonts w:asciiTheme="minorHAnsi" w:eastAsiaTheme="minorEastAsia" w:hAnsiTheme="minorHAnsi" w:cstheme="minorBidi"/>
          <w:szCs w:val="22"/>
        </w:rPr>
      </w:pPr>
      <w:r>
        <w:t>38E.</w:t>
      </w:r>
      <w:r>
        <w:tab/>
        <w:t>Proposals derived from assessed strategic proposals</w:t>
      </w:r>
      <w:r>
        <w:tab/>
      </w:r>
      <w:r>
        <w:fldChar w:fldCharType="begin"/>
      </w:r>
      <w:r>
        <w:instrText xml:space="preserve"> PAGEREF _Toc158985370 \h </w:instrText>
      </w:r>
      <w:r>
        <w:fldChar w:fldCharType="separate"/>
      </w:r>
      <w:r>
        <w:t>1</w:t>
      </w:r>
      <w:r>
        <w:fldChar w:fldCharType="end"/>
      </w:r>
    </w:p>
    <w:p>
      <w:pPr>
        <w:pStyle w:val="TOC8"/>
        <w:rPr>
          <w:rFonts w:asciiTheme="minorHAnsi" w:eastAsiaTheme="minorEastAsia" w:hAnsiTheme="minorHAnsi" w:cstheme="minorBidi"/>
          <w:szCs w:val="22"/>
        </w:rPr>
      </w:pPr>
      <w:r>
        <w:t>38F.</w:t>
      </w:r>
      <w:r>
        <w:tab/>
        <w:t>Request for further information</w:t>
      </w:r>
      <w:r>
        <w:tab/>
      </w:r>
      <w:r>
        <w:fldChar w:fldCharType="begin"/>
      </w:r>
      <w:r>
        <w:instrText xml:space="preserve"> PAGEREF _Toc158985371 \h </w:instrText>
      </w:r>
      <w:r>
        <w:fldChar w:fldCharType="separate"/>
      </w:r>
      <w:r>
        <w:t>1</w:t>
      </w:r>
      <w:r>
        <w:fldChar w:fldCharType="end"/>
      </w:r>
    </w:p>
    <w:p>
      <w:pPr>
        <w:pStyle w:val="TOC8"/>
        <w:rPr>
          <w:rFonts w:asciiTheme="minorHAnsi" w:eastAsiaTheme="minorEastAsia" w:hAnsiTheme="minorHAnsi" w:cstheme="minorBidi"/>
          <w:szCs w:val="22"/>
        </w:rPr>
      </w:pPr>
      <w:r>
        <w:t>38G.</w:t>
      </w:r>
      <w:r>
        <w:tab/>
        <w:t>Authority must decide whether to assess a referred proposal</w:t>
      </w:r>
      <w:r>
        <w:tab/>
      </w:r>
      <w:r>
        <w:fldChar w:fldCharType="begin"/>
      </w:r>
      <w:r>
        <w:instrText xml:space="preserve"> PAGEREF _Toc158985372 \h </w:instrText>
      </w:r>
      <w:r>
        <w:fldChar w:fldCharType="separate"/>
      </w:r>
      <w:r>
        <w:t>1</w:t>
      </w:r>
      <w:r>
        <w:fldChar w:fldCharType="end"/>
      </w:r>
    </w:p>
    <w:p>
      <w:pPr>
        <w:pStyle w:val="TOC8"/>
        <w:rPr>
          <w:rFonts w:asciiTheme="minorHAnsi" w:eastAsiaTheme="minorEastAsia" w:hAnsiTheme="minorHAnsi" w:cstheme="minorBidi"/>
          <w:szCs w:val="22"/>
        </w:rPr>
      </w:pPr>
      <w:r>
        <w:t>38H.</w:t>
      </w:r>
      <w:r>
        <w:tab/>
        <w:t>Nomination of person responsible for proposal</w:t>
      </w:r>
      <w:r>
        <w:tab/>
      </w:r>
      <w:r>
        <w:fldChar w:fldCharType="begin"/>
      </w:r>
      <w:r>
        <w:instrText xml:space="preserve"> PAGEREF _Toc158985373 \h </w:instrText>
      </w:r>
      <w:r>
        <w:fldChar w:fldCharType="separate"/>
      </w:r>
      <w:r>
        <w:t>1</w:t>
      </w:r>
      <w:r>
        <w:fldChar w:fldCharType="end"/>
      </w:r>
    </w:p>
    <w:p>
      <w:pPr>
        <w:pStyle w:val="TOC8"/>
        <w:rPr>
          <w:rFonts w:asciiTheme="minorHAnsi" w:eastAsiaTheme="minorEastAsia" w:hAnsiTheme="minorHAnsi" w:cstheme="minorBidi"/>
          <w:szCs w:val="22"/>
        </w:rPr>
      </w:pPr>
      <w:r>
        <w:t>38I.</w:t>
      </w:r>
      <w:r>
        <w:tab/>
        <w:t>Change of person responsible for proposal</w:t>
      </w:r>
      <w:r>
        <w:tab/>
      </w:r>
      <w:r>
        <w:fldChar w:fldCharType="begin"/>
      </w:r>
      <w:r>
        <w:instrText xml:space="preserve"> PAGEREF _Toc158985374 \h </w:instrText>
      </w:r>
      <w:r>
        <w:fldChar w:fldCharType="separate"/>
      </w:r>
      <w:r>
        <w:t>1</w:t>
      </w:r>
      <w:r>
        <w:fldChar w:fldCharType="end"/>
      </w:r>
    </w:p>
    <w:p>
      <w:pPr>
        <w:pStyle w:val="TOC8"/>
        <w:rPr>
          <w:rFonts w:asciiTheme="minorHAnsi" w:eastAsiaTheme="minorEastAsia" w:hAnsiTheme="minorHAnsi" w:cstheme="minorBidi"/>
          <w:szCs w:val="22"/>
        </w:rPr>
      </w:pPr>
      <w:r>
        <w:t>39.</w:t>
      </w:r>
      <w:r>
        <w:tab/>
        <w:t>Authority to keep records of referred proposals</w:t>
      </w:r>
      <w:r>
        <w:tab/>
      </w:r>
      <w:r>
        <w:fldChar w:fldCharType="begin"/>
      </w:r>
      <w:r>
        <w:instrText xml:space="preserve"> PAGEREF _Toc158985375 \h </w:instrText>
      </w:r>
      <w:r>
        <w:fldChar w:fldCharType="separate"/>
      </w:r>
      <w:r>
        <w:t>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Assessing referred proposals</w:t>
      </w:r>
      <w:r>
        <w:tab/>
      </w:r>
      <w:r>
        <w:fldChar w:fldCharType="begin"/>
      </w:r>
      <w:r>
        <w:instrText xml:space="preserve"> PAGEREF _Toc158985376 \h </w:instrText>
      </w:r>
      <w:r>
        <w:fldChar w:fldCharType="separate"/>
      </w:r>
      <w:r>
        <w:t>1</w:t>
      </w:r>
      <w:r>
        <w:fldChar w:fldCharType="end"/>
      </w:r>
    </w:p>
    <w:p>
      <w:pPr>
        <w:pStyle w:val="TOC8"/>
        <w:rPr>
          <w:rFonts w:asciiTheme="minorHAnsi" w:eastAsiaTheme="minorEastAsia" w:hAnsiTheme="minorHAnsi" w:cstheme="minorBidi"/>
          <w:szCs w:val="22"/>
        </w:rPr>
      </w:pPr>
      <w:r>
        <w:t>40AA.</w:t>
      </w:r>
      <w:r>
        <w:tab/>
        <w:t>Assessment of significant amendments</w:t>
      </w:r>
      <w:r>
        <w:tab/>
      </w:r>
      <w:r>
        <w:fldChar w:fldCharType="begin"/>
      </w:r>
      <w:r>
        <w:instrText xml:space="preserve"> PAGEREF _Toc158985377 \h </w:instrText>
      </w:r>
      <w:r>
        <w:fldChar w:fldCharType="separate"/>
      </w:r>
      <w:r>
        <w:t>1</w:t>
      </w:r>
      <w:r>
        <w:fldChar w:fldCharType="end"/>
      </w:r>
    </w:p>
    <w:p>
      <w:pPr>
        <w:pStyle w:val="TOC8"/>
        <w:rPr>
          <w:rFonts w:asciiTheme="minorHAnsi" w:eastAsiaTheme="minorEastAsia" w:hAnsiTheme="minorHAnsi" w:cstheme="minorBidi"/>
          <w:szCs w:val="22"/>
        </w:rPr>
      </w:pPr>
      <w:r>
        <w:t>40A.</w:t>
      </w:r>
      <w:r>
        <w:tab/>
        <w:t>Termination of assessment</w:t>
      </w:r>
      <w:r>
        <w:tab/>
      </w:r>
      <w:r>
        <w:fldChar w:fldCharType="begin"/>
      </w:r>
      <w:r>
        <w:instrText xml:space="preserve"> PAGEREF _Toc158985378 \h </w:instrText>
      </w:r>
      <w:r>
        <w:fldChar w:fldCharType="separate"/>
      </w:r>
      <w:r>
        <w:t>1</w:t>
      </w:r>
      <w:r>
        <w:fldChar w:fldCharType="end"/>
      </w:r>
    </w:p>
    <w:p>
      <w:pPr>
        <w:pStyle w:val="TOC8"/>
        <w:rPr>
          <w:rFonts w:asciiTheme="minorHAnsi" w:eastAsiaTheme="minorEastAsia" w:hAnsiTheme="minorHAnsi" w:cstheme="minorBidi"/>
          <w:szCs w:val="22"/>
        </w:rPr>
      </w:pPr>
      <w:r>
        <w:t>40B.</w:t>
      </w:r>
      <w:r>
        <w:tab/>
        <w:t>Application of assessment provisions to strategic proposals and strategic assessments</w:t>
      </w:r>
      <w:r>
        <w:tab/>
      </w:r>
      <w:r>
        <w:fldChar w:fldCharType="begin"/>
      </w:r>
      <w:r>
        <w:instrText xml:space="preserve"> PAGEREF _Toc158985379 \h </w:instrText>
      </w:r>
      <w:r>
        <w:fldChar w:fldCharType="separate"/>
      </w:r>
      <w:r>
        <w:t>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Decision</w:t>
      </w:r>
      <w:r>
        <w:rPr>
          <w:snapToGrid w:val="0"/>
        </w:rPr>
        <w:noBreakHyphen/>
        <w:t>making authority not to approve proposal until certain events occur</w:t>
      </w:r>
      <w:r>
        <w:tab/>
      </w:r>
      <w:r>
        <w:fldChar w:fldCharType="begin"/>
      </w:r>
      <w:r>
        <w:instrText xml:space="preserve"> PAGEREF _Toc158985380 \h </w:instrText>
      </w:r>
      <w:r>
        <w:fldChar w:fldCharType="separate"/>
      </w:r>
      <w:r>
        <w:t>1</w:t>
      </w:r>
      <w:r>
        <w:fldChar w:fldCharType="end"/>
      </w:r>
    </w:p>
    <w:p>
      <w:pPr>
        <w:pStyle w:val="TOC8"/>
        <w:rPr>
          <w:rFonts w:asciiTheme="minorHAnsi" w:eastAsiaTheme="minorEastAsia" w:hAnsiTheme="minorHAnsi" w:cstheme="minorBidi"/>
          <w:szCs w:val="22"/>
        </w:rPr>
      </w:pPr>
      <w:r>
        <w:t>41A.</w:t>
      </w:r>
      <w:r>
        <w:tab/>
        <w:t>Proposal not to be implemented before action under s. 45 taken</w:t>
      </w:r>
      <w:r>
        <w:tab/>
      </w:r>
      <w:r>
        <w:fldChar w:fldCharType="begin"/>
      </w:r>
      <w:r>
        <w:instrText xml:space="preserve"> PAGEREF _Toc158985381 \h </w:instrText>
      </w:r>
      <w:r>
        <w:fldChar w:fldCharType="separate"/>
      </w:r>
      <w:r>
        <w:t>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Conduct of public inquiries under s. 40(2)(c)</w:t>
      </w:r>
      <w:r>
        <w:tab/>
      </w:r>
      <w:r>
        <w:fldChar w:fldCharType="begin"/>
      </w:r>
      <w:r>
        <w:instrText xml:space="preserve"> PAGEREF _Toc158985382 \h </w:instrText>
      </w:r>
      <w:r>
        <w:fldChar w:fldCharType="separate"/>
      </w:r>
      <w:r>
        <w:t>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Minister may direct Authority as to assessing proposal</w:t>
      </w:r>
      <w:r>
        <w:tab/>
      </w:r>
      <w:r>
        <w:fldChar w:fldCharType="begin"/>
      </w:r>
      <w:r>
        <w:instrText xml:space="preserve"> PAGEREF _Toc158985383 \h </w:instrText>
      </w:r>
      <w:r>
        <w:fldChar w:fldCharType="separate"/>
      </w:r>
      <w:r>
        <w:t>1</w:t>
      </w:r>
      <w:r>
        <w:fldChar w:fldCharType="end"/>
      </w:r>
    </w:p>
    <w:p>
      <w:pPr>
        <w:pStyle w:val="TOC8"/>
        <w:rPr>
          <w:rFonts w:asciiTheme="minorHAnsi" w:eastAsiaTheme="minorEastAsia" w:hAnsiTheme="minorHAnsi" w:cstheme="minorBidi"/>
          <w:szCs w:val="22"/>
        </w:rPr>
      </w:pPr>
      <w:r>
        <w:t>43A.</w:t>
      </w:r>
      <w:r>
        <w:tab/>
        <w:t>Amendments to proposals during assessment</w:t>
      </w:r>
      <w:r>
        <w:tab/>
      </w:r>
      <w:r>
        <w:fldChar w:fldCharType="begin"/>
      </w:r>
      <w:r>
        <w:instrText xml:space="preserve"> PAGEREF _Toc158985384 \h </w:instrText>
      </w:r>
      <w:r>
        <w:fldChar w:fldCharType="separate"/>
      </w:r>
      <w:r>
        <w:t>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Report by Authority on assessment of proposal</w:t>
      </w:r>
      <w:r>
        <w:tab/>
      </w:r>
      <w:r>
        <w:fldChar w:fldCharType="begin"/>
      </w:r>
      <w:r>
        <w:instrText xml:space="preserve"> PAGEREF _Toc158985385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Implementation of proposals</w:t>
      </w:r>
    </w:p>
    <w:p>
      <w:pPr>
        <w:pStyle w:val="TOC8"/>
        <w:rPr>
          <w:rFonts w:asciiTheme="minorHAnsi" w:eastAsiaTheme="minorEastAsia" w:hAnsiTheme="minorHAnsi" w:cstheme="minorBidi"/>
          <w:szCs w:val="22"/>
        </w:rPr>
      </w:pPr>
      <w:r>
        <w:t>44A.</w:t>
      </w:r>
      <w:r>
        <w:tab/>
        <w:t>Terms used</w:t>
      </w:r>
      <w:r>
        <w:tab/>
      </w:r>
      <w:r>
        <w:fldChar w:fldCharType="begin"/>
      </w:r>
      <w:r>
        <w:instrText xml:space="preserve"> PAGEREF _Toc158985387 \h </w:instrText>
      </w:r>
      <w:r>
        <w:fldChar w:fldCharType="separate"/>
      </w:r>
      <w:r>
        <w:t>1</w:t>
      </w:r>
      <w:r>
        <w:fldChar w:fldCharType="end"/>
      </w:r>
    </w:p>
    <w:p>
      <w:pPr>
        <w:pStyle w:val="TOC8"/>
        <w:rPr>
          <w:rFonts w:asciiTheme="minorHAnsi" w:eastAsiaTheme="minorEastAsia" w:hAnsiTheme="minorHAnsi" w:cstheme="minorBidi"/>
          <w:szCs w:val="22"/>
        </w:rPr>
      </w:pPr>
      <w:r>
        <w:t>45.</w:t>
      </w:r>
      <w:r>
        <w:tab/>
        <w:t>Procedure for deciding if assessed proposal may be implemented</w:t>
      </w:r>
      <w:r>
        <w:tab/>
      </w:r>
      <w:r>
        <w:fldChar w:fldCharType="begin"/>
      </w:r>
      <w:r>
        <w:instrText xml:space="preserve"> PAGEREF _Toc158985388 \h </w:instrText>
      </w:r>
      <w:r>
        <w:fldChar w:fldCharType="separate"/>
      </w:r>
      <w:r>
        <w:t>1</w:t>
      </w:r>
      <w:r>
        <w:fldChar w:fldCharType="end"/>
      </w:r>
    </w:p>
    <w:p>
      <w:pPr>
        <w:pStyle w:val="TOC8"/>
        <w:rPr>
          <w:rFonts w:asciiTheme="minorHAnsi" w:eastAsiaTheme="minorEastAsia" w:hAnsiTheme="minorHAnsi" w:cstheme="minorBidi"/>
          <w:szCs w:val="22"/>
        </w:rPr>
      </w:pPr>
      <w:r>
        <w:t>45A.</w:t>
      </w:r>
      <w:r>
        <w:tab/>
        <w:t>Implementation conditions</w:t>
      </w:r>
      <w:r>
        <w:tab/>
      </w:r>
      <w:r>
        <w:fldChar w:fldCharType="begin"/>
      </w:r>
      <w:r>
        <w:instrText xml:space="preserve"> PAGEREF _Toc158985389 \h </w:instrText>
      </w:r>
      <w:r>
        <w:fldChar w:fldCharType="separate"/>
      </w:r>
      <w:r>
        <w:t>1</w:t>
      </w:r>
      <w:r>
        <w:fldChar w:fldCharType="end"/>
      </w:r>
    </w:p>
    <w:p>
      <w:pPr>
        <w:pStyle w:val="TOC8"/>
        <w:rPr>
          <w:rFonts w:asciiTheme="minorHAnsi" w:eastAsiaTheme="minorEastAsia" w:hAnsiTheme="minorHAnsi" w:cstheme="minorBidi"/>
          <w:szCs w:val="22"/>
        </w:rPr>
      </w:pPr>
      <w:r>
        <w:t>45B.</w:t>
      </w:r>
      <w:r>
        <w:tab/>
        <w:t>Implementation of derived proposal</w:t>
      </w:r>
      <w:r>
        <w:tab/>
      </w:r>
      <w:r>
        <w:fldChar w:fldCharType="begin"/>
      </w:r>
      <w:r>
        <w:instrText xml:space="preserve"> PAGEREF _Toc158985390 \h </w:instrText>
      </w:r>
      <w:r>
        <w:fldChar w:fldCharType="separate"/>
      </w:r>
      <w:r>
        <w:t>1</w:t>
      </w:r>
      <w:r>
        <w:fldChar w:fldCharType="end"/>
      </w:r>
    </w:p>
    <w:p>
      <w:pPr>
        <w:pStyle w:val="TOC8"/>
        <w:rPr>
          <w:rFonts w:asciiTheme="minorHAnsi" w:eastAsiaTheme="minorEastAsia" w:hAnsiTheme="minorHAnsi" w:cstheme="minorBidi"/>
          <w:szCs w:val="22"/>
        </w:rPr>
      </w:pPr>
      <w:r>
        <w:t>45C.</w:t>
      </w:r>
      <w:r>
        <w:tab/>
        <w:t>Amending approved proposals or implementation conditions without inquiry or assessment</w:t>
      </w:r>
      <w:r>
        <w:tab/>
      </w:r>
      <w:r>
        <w:fldChar w:fldCharType="begin"/>
      </w:r>
      <w:r>
        <w:instrText xml:space="preserve"> PAGEREF _Toc158985391 \h </w:instrText>
      </w:r>
      <w:r>
        <w:fldChar w:fldCharType="separate"/>
      </w:r>
      <w:r>
        <w:t>1</w:t>
      </w:r>
      <w:r>
        <w:fldChar w:fldCharType="end"/>
      </w:r>
    </w:p>
    <w:p>
      <w:pPr>
        <w:pStyle w:val="TOC8"/>
        <w:rPr>
          <w:rFonts w:asciiTheme="minorHAnsi" w:eastAsiaTheme="minorEastAsia" w:hAnsiTheme="minorHAnsi" w:cstheme="minorBidi"/>
          <w:szCs w:val="22"/>
        </w:rPr>
      </w:pPr>
      <w:r>
        <w:t>45D.</w:t>
      </w:r>
      <w:r>
        <w:tab/>
        <w:t>Division or consolidation of proposals and issue of separate or combined Ministerial statements</w:t>
      </w:r>
      <w:r>
        <w:tab/>
      </w:r>
      <w:r>
        <w:fldChar w:fldCharType="begin"/>
      </w:r>
      <w:r>
        <w:instrText xml:space="preserve"> PAGEREF _Toc158985392 \h </w:instrText>
      </w:r>
      <w:r>
        <w:fldChar w:fldCharType="separate"/>
      </w:r>
      <w:r>
        <w:t>1</w:t>
      </w:r>
      <w:r>
        <w:fldChar w:fldCharType="end"/>
      </w:r>
    </w:p>
    <w:p>
      <w:pPr>
        <w:pStyle w:val="TOC8"/>
        <w:rPr>
          <w:rFonts w:asciiTheme="minorHAnsi" w:eastAsiaTheme="minorEastAsia" w:hAnsiTheme="minorHAnsi" w:cstheme="minorBidi"/>
          <w:szCs w:val="22"/>
        </w:rPr>
      </w:pPr>
      <w:r>
        <w:t>46.</w:t>
      </w:r>
      <w:r>
        <w:tab/>
        <w:t>Amending implementation conditions after inquiry</w:t>
      </w:r>
      <w:r>
        <w:tab/>
      </w:r>
      <w:r>
        <w:fldChar w:fldCharType="begin"/>
      </w:r>
      <w:r>
        <w:instrText xml:space="preserve"> PAGEREF _Toc158985393 \h </w:instrText>
      </w:r>
      <w:r>
        <w:fldChar w:fldCharType="separate"/>
      </w:r>
      <w:r>
        <w:t>1</w:t>
      </w:r>
      <w:r>
        <w:fldChar w:fldCharType="end"/>
      </w:r>
    </w:p>
    <w:p>
      <w:pPr>
        <w:pStyle w:val="TOC8"/>
        <w:rPr>
          <w:rFonts w:asciiTheme="minorHAnsi" w:eastAsiaTheme="minorEastAsia" w:hAnsiTheme="minorHAnsi" w:cstheme="minorBidi"/>
          <w:szCs w:val="22"/>
        </w:rPr>
      </w:pPr>
      <w:r>
        <w:t>46A.</w:t>
      </w:r>
      <w:r>
        <w:tab/>
        <w:t>Interim conditions and procedures</w:t>
      </w:r>
      <w:r>
        <w:tab/>
      </w:r>
      <w:r>
        <w:fldChar w:fldCharType="begin"/>
      </w:r>
      <w:r>
        <w:instrText xml:space="preserve"> PAGEREF _Toc158985394 \h </w:instrText>
      </w:r>
      <w:r>
        <w:fldChar w:fldCharType="separate"/>
      </w:r>
      <w:r>
        <w:t>1</w:t>
      </w:r>
      <w:r>
        <w:fldChar w:fldCharType="end"/>
      </w:r>
    </w:p>
    <w:p>
      <w:pPr>
        <w:pStyle w:val="TOC8"/>
        <w:rPr>
          <w:rFonts w:asciiTheme="minorHAnsi" w:eastAsiaTheme="minorEastAsia" w:hAnsiTheme="minorHAnsi" w:cstheme="minorBidi"/>
          <w:szCs w:val="22"/>
        </w:rPr>
      </w:pPr>
      <w:r>
        <w:lastRenderedPageBreak/>
        <w:t>47.</w:t>
      </w:r>
      <w:r>
        <w:tab/>
        <w:t>Duties of proponents after service of Ministerial statement</w:t>
      </w:r>
      <w:r>
        <w:tab/>
      </w:r>
      <w:r>
        <w:fldChar w:fldCharType="begin"/>
      </w:r>
      <w:r>
        <w:instrText xml:space="preserve"> PAGEREF _Toc158985395 \h </w:instrText>
      </w:r>
      <w:r>
        <w:fldChar w:fldCharType="separate"/>
      </w:r>
      <w:r>
        <w:t>1</w:t>
      </w:r>
      <w:r>
        <w:fldChar w:fldCharType="end"/>
      </w:r>
    </w:p>
    <w:p>
      <w:pPr>
        <w:pStyle w:val="TOC8"/>
        <w:rPr>
          <w:rFonts w:asciiTheme="minorHAnsi" w:eastAsiaTheme="minorEastAsia" w:hAnsiTheme="minorHAnsi" w:cstheme="minorBidi"/>
          <w:szCs w:val="22"/>
        </w:rPr>
      </w:pPr>
      <w:r>
        <w:t>47A.</w:t>
      </w:r>
      <w:r>
        <w:tab/>
        <w:t>Duration and withdrawal of Ministerial statement</w:t>
      </w:r>
      <w:r>
        <w:tab/>
      </w:r>
      <w:r>
        <w:fldChar w:fldCharType="begin"/>
      </w:r>
      <w:r>
        <w:instrText xml:space="preserve"> PAGEREF _Toc158985396 \h </w:instrText>
      </w:r>
      <w:r>
        <w:fldChar w:fldCharType="separate"/>
      </w:r>
      <w:r>
        <w:t>1</w:t>
      </w:r>
      <w:r>
        <w:fldChar w:fldCharType="end"/>
      </w:r>
    </w:p>
    <w:p>
      <w:pPr>
        <w:pStyle w:val="TOC8"/>
        <w:rPr>
          <w:rFonts w:asciiTheme="minorHAnsi" w:eastAsiaTheme="minorEastAsia" w:hAnsiTheme="minorHAnsi" w:cstheme="minorBidi"/>
          <w:szCs w:val="22"/>
        </w:rPr>
      </w:pPr>
      <w:r>
        <w:t>48.</w:t>
      </w:r>
      <w:r>
        <w:tab/>
        <w:t>Control of implementation of proposals</w:t>
      </w:r>
      <w:r>
        <w:tab/>
      </w:r>
      <w:r>
        <w:fldChar w:fldCharType="begin"/>
      </w:r>
      <w:r>
        <w:instrText xml:space="preserve"> PAGEREF _Toc158985397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2A — Payments relating to proposals</w:t>
      </w:r>
    </w:p>
    <w:p>
      <w:pPr>
        <w:pStyle w:val="TOC8"/>
        <w:rPr>
          <w:rFonts w:asciiTheme="minorHAnsi" w:eastAsiaTheme="minorEastAsia" w:hAnsiTheme="minorHAnsi" w:cstheme="minorBidi"/>
          <w:szCs w:val="22"/>
        </w:rPr>
      </w:pPr>
      <w:r>
        <w:t>48AA.</w:t>
      </w:r>
      <w:r>
        <w:tab/>
        <w:t>Fees and charges for referral and assessment of proposals</w:t>
      </w:r>
      <w:r>
        <w:tab/>
      </w:r>
      <w:r>
        <w:fldChar w:fldCharType="begin"/>
      </w:r>
      <w:r>
        <w:instrText xml:space="preserve"> PAGEREF _Toc158985399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Assessment of schemes</w:t>
      </w:r>
    </w:p>
    <w:p>
      <w:pPr>
        <w:pStyle w:val="TOC8"/>
        <w:rPr>
          <w:rFonts w:asciiTheme="minorHAnsi" w:eastAsiaTheme="minorEastAsia" w:hAnsiTheme="minorHAnsi" w:cstheme="minorBidi"/>
          <w:szCs w:val="22"/>
        </w:rPr>
      </w:pPr>
      <w:r>
        <w:t>48AAA.</w:t>
      </w:r>
      <w:r>
        <w:tab/>
        <w:t>Certain schemes not required to be assessed</w:t>
      </w:r>
      <w:r>
        <w:tab/>
      </w:r>
      <w:r>
        <w:fldChar w:fldCharType="begin"/>
      </w:r>
      <w:r>
        <w:instrText xml:space="preserve"> PAGEREF _Toc158985401 \h </w:instrText>
      </w:r>
      <w:r>
        <w:fldChar w:fldCharType="separate"/>
      </w:r>
      <w:r>
        <w:t>1</w:t>
      </w:r>
      <w:r>
        <w:fldChar w:fldCharType="end"/>
      </w:r>
    </w:p>
    <w:p>
      <w:pPr>
        <w:pStyle w:val="TOC8"/>
        <w:rPr>
          <w:rFonts w:asciiTheme="minorHAnsi" w:eastAsiaTheme="minorEastAsia" w:hAnsiTheme="minorHAnsi" w:cstheme="minorBidi"/>
          <w:szCs w:val="22"/>
        </w:rPr>
      </w:pPr>
      <w:r>
        <w:t>48A</w:t>
      </w:r>
      <w:r>
        <w:rPr>
          <w:snapToGrid w:val="0"/>
        </w:rPr>
        <w:t>.</w:t>
      </w:r>
      <w:r>
        <w:rPr>
          <w:snapToGrid w:val="0"/>
        </w:rPr>
        <w:tab/>
        <w:t>Authority to decide whether or not schemes to be assessed</w:t>
      </w:r>
      <w:r>
        <w:tab/>
      </w:r>
      <w:r>
        <w:fldChar w:fldCharType="begin"/>
      </w:r>
      <w:r>
        <w:instrText xml:space="preserve"> PAGEREF _Toc158985402 \h </w:instrText>
      </w:r>
      <w:r>
        <w:fldChar w:fldCharType="separate"/>
      </w:r>
      <w:r>
        <w:t>1</w:t>
      </w:r>
      <w:r>
        <w:fldChar w:fldCharType="end"/>
      </w:r>
    </w:p>
    <w:p>
      <w:pPr>
        <w:pStyle w:val="TOC8"/>
        <w:rPr>
          <w:rFonts w:asciiTheme="minorHAnsi" w:eastAsiaTheme="minorEastAsia" w:hAnsiTheme="minorHAnsi" w:cstheme="minorBidi"/>
          <w:szCs w:val="22"/>
        </w:rPr>
      </w:pPr>
      <w:r>
        <w:t>48B</w:t>
      </w:r>
      <w:r>
        <w:rPr>
          <w:snapToGrid w:val="0"/>
        </w:rPr>
        <w:t>.</w:t>
      </w:r>
      <w:r>
        <w:rPr>
          <w:snapToGrid w:val="0"/>
        </w:rPr>
        <w:tab/>
        <w:t>Authority to keep public records of schemes referred to it</w:t>
      </w:r>
      <w:r>
        <w:tab/>
      </w:r>
      <w:r>
        <w:fldChar w:fldCharType="begin"/>
      </w:r>
      <w:r>
        <w:instrText xml:space="preserve"> PAGEREF _Toc158985403 \h </w:instrText>
      </w:r>
      <w:r>
        <w:fldChar w:fldCharType="separate"/>
      </w:r>
      <w:r>
        <w:t>1</w:t>
      </w:r>
      <w:r>
        <w:fldChar w:fldCharType="end"/>
      </w:r>
    </w:p>
    <w:p>
      <w:pPr>
        <w:pStyle w:val="TOC8"/>
        <w:rPr>
          <w:rFonts w:asciiTheme="minorHAnsi" w:eastAsiaTheme="minorEastAsia" w:hAnsiTheme="minorHAnsi" w:cstheme="minorBidi"/>
          <w:szCs w:val="22"/>
        </w:rPr>
      </w:pPr>
      <w:r>
        <w:t>48C</w:t>
      </w:r>
      <w:r>
        <w:rPr>
          <w:snapToGrid w:val="0"/>
        </w:rPr>
        <w:t>.</w:t>
      </w:r>
      <w:r>
        <w:rPr>
          <w:snapToGrid w:val="0"/>
        </w:rPr>
        <w:tab/>
        <w:t>Authority’s powers for assessing referred schemes</w:t>
      </w:r>
      <w:r>
        <w:tab/>
      </w:r>
      <w:r>
        <w:fldChar w:fldCharType="begin"/>
      </w:r>
      <w:r>
        <w:instrText xml:space="preserve"> PAGEREF _Toc158985404 \h </w:instrText>
      </w:r>
      <w:r>
        <w:fldChar w:fldCharType="separate"/>
      </w:r>
      <w:r>
        <w:t>1</w:t>
      </w:r>
      <w:r>
        <w:fldChar w:fldCharType="end"/>
      </w:r>
    </w:p>
    <w:p>
      <w:pPr>
        <w:pStyle w:val="TOC8"/>
        <w:rPr>
          <w:rFonts w:asciiTheme="minorHAnsi" w:eastAsiaTheme="minorEastAsia" w:hAnsiTheme="minorHAnsi" w:cstheme="minorBidi"/>
          <w:szCs w:val="22"/>
        </w:rPr>
      </w:pPr>
      <w:r>
        <w:t>48D</w:t>
      </w:r>
      <w:r>
        <w:rPr>
          <w:snapToGrid w:val="0"/>
        </w:rPr>
        <w:t>.</w:t>
      </w:r>
      <w:r>
        <w:rPr>
          <w:snapToGrid w:val="0"/>
        </w:rPr>
        <w:tab/>
        <w:t>Authority to report to Minister on schemes</w:t>
      </w:r>
      <w:r>
        <w:tab/>
      </w:r>
      <w:r>
        <w:fldChar w:fldCharType="begin"/>
      </w:r>
      <w:r>
        <w:instrText xml:space="preserve"> PAGEREF _Toc158985405 \h </w:instrText>
      </w:r>
      <w:r>
        <w:fldChar w:fldCharType="separate"/>
      </w:r>
      <w:r>
        <w:t>1</w:t>
      </w:r>
      <w:r>
        <w:fldChar w:fldCharType="end"/>
      </w:r>
    </w:p>
    <w:p>
      <w:pPr>
        <w:pStyle w:val="TOC8"/>
        <w:rPr>
          <w:rFonts w:asciiTheme="minorHAnsi" w:eastAsiaTheme="minorEastAsia" w:hAnsiTheme="minorHAnsi" w:cstheme="minorBidi"/>
          <w:szCs w:val="22"/>
        </w:rPr>
      </w:pPr>
      <w:r>
        <w:t>48E</w:t>
      </w:r>
      <w:r>
        <w:rPr>
          <w:snapToGrid w:val="0"/>
        </w:rPr>
        <w:t>.</w:t>
      </w:r>
      <w:r>
        <w:rPr>
          <w:snapToGrid w:val="0"/>
        </w:rPr>
        <w:tab/>
        <w:t>Minister may direct Authority to assess etc. referred schemes</w:t>
      </w:r>
      <w:r>
        <w:tab/>
      </w:r>
      <w:r>
        <w:fldChar w:fldCharType="begin"/>
      </w:r>
      <w:r>
        <w:instrText xml:space="preserve"> PAGEREF _Toc158985406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Implementation of schemes</w:t>
      </w:r>
    </w:p>
    <w:p>
      <w:pPr>
        <w:pStyle w:val="TOC8"/>
        <w:rPr>
          <w:rFonts w:asciiTheme="minorHAnsi" w:eastAsiaTheme="minorEastAsia" w:hAnsiTheme="minorHAnsi" w:cstheme="minorBidi"/>
          <w:szCs w:val="22"/>
        </w:rPr>
      </w:pPr>
      <w:r>
        <w:t>48EA</w:t>
      </w:r>
      <w:r>
        <w:rPr>
          <w:snapToGrid w:val="0"/>
        </w:rPr>
        <w:t>.</w:t>
      </w:r>
      <w:r>
        <w:rPr>
          <w:snapToGrid w:val="0"/>
        </w:rPr>
        <w:tab/>
        <w:t xml:space="preserve">Terms </w:t>
      </w:r>
      <w:r>
        <w:t>used</w:t>
      </w:r>
      <w:r>
        <w:tab/>
      </w:r>
      <w:r>
        <w:fldChar w:fldCharType="begin"/>
      </w:r>
      <w:r>
        <w:instrText xml:space="preserve"> PAGEREF _Toc158985408 \h </w:instrText>
      </w:r>
      <w:r>
        <w:fldChar w:fldCharType="separate"/>
      </w:r>
      <w:r>
        <w:t>1</w:t>
      </w:r>
      <w:r>
        <w:fldChar w:fldCharType="end"/>
      </w:r>
    </w:p>
    <w:p>
      <w:pPr>
        <w:pStyle w:val="TOC8"/>
        <w:rPr>
          <w:rFonts w:asciiTheme="minorHAnsi" w:eastAsiaTheme="minorEastAsia" w:hAnsiTheme="minorHAnsi" w:cstheme="minorBidi"/>
          <w:szCs w:val="22"/>
        </w:rPr>
      </w:pPr>
      <w:r>
        <w:t>48F</w:t>
      </w:r>
      <w:r>
        <w:rPr>
          <w:snapToGrid w:val="0"/>
        </w:rPr>
        <w:t>.</w:t>
      </w:r>
      <w:r>
        <w:rPr>
          <w:snapToGrid w:val="0"/>
        </w:rPr>
        <w:tab/>
        <w:t xml:space="preserve">Procedure for agreeing or deciding on conditions to which </w:t>
      </w:r>
      <w:r>
        <w:t>schemes</w:t>
      </w:r>
      <w:r>
        <w:rPr>
          <w:snapToGrid w:val="0"/>
        </w:rPr>
        <w:t xml:space="preserve"> are to be subject</w:t>
      </w:r>
      <w:r>
        <w:tab/>
      </w:r>
      <w:r>
        <w:fldChar w:fldCharType="begin"/>
      </w:r>
      <w:r>
        <w:instrText xml:space="preserve"> PAGEREF _Toc158985409 \h </w:instrText>
      </w:r>
      <w:r>
        <w:fldChar w:fldCharType="separate"/>
      </w:r>
      <w:r>
        <w:t>1</w:t>
      </w:r>
      <w:r>
        <w:fldChar w:fldCharType="end"/>
      </w:r>
    </w:p>
    <w:p>
      <w:pPr>
        <w:pStyle w:val="TOC8"/>
        <w:rPr>
          <w:rFonts w:asciiTheme="minorHAnsi" w:eastAsiaTheme="minorEastAsia" w:hAnsiTheme="minorHAnsi" w:cstheme="minorBidi"/>
          <w:szCs w:val="22"/>
        </w:rPr>
      </w:pPr>
      <w:r>
        <w:t>48G</w:t>
      </w:r>
      <w:r>
        <w:rPr>
          <w:snapToGrid w:val="0"/>
        </w:rPr>
        <w:t>.</w:t>
      </w:r>
      <w:r>
        <w:rPr>
          <w:snapToGrid w:val="0"/>
        </w:rPr>
        <w:tab/>
      </w:r>
      <w:r>
        <w:t>Review</w:t>
      </w:r>
      <w:r>
        <w:rPr>
          <w:snapToGrid w:val="0"/>
        </w:rPr>
        <w:t xml:space="preserve"> of conditions in statements published under section 48F</w:t>
      </w:r>
      <w:r>
        <w:tab/>
      </w:r>
      <w:r>
        <w:fldChar w:fldCharType="begin"/>
      </w:r>
      <w:r>
        <w:instrText xml:space="preserve"> PAGEREF _Toc158985410 \h </w:instrText>
      </w:r>
      <w:r>
        <w:fldChar w:fldCharType="separate"/>
      </w:r>
      <w:r>
        <w:t>1</w:t>
      </w:r>
      <w:r>
        <w:fldChar w:fldCharType="end"/>
      </w:r>
    </w:p>
    <w:p>
      <w:pPr>
        <w:pStyle w:val="TOC8"/>
        <w:rPr>
          <w:rFonts w:asciiTheme="minorHAnsi" w:eastAsiaTheme="minorEastAsia" w:hAnsiTheme="minorHAnsi" w:cstheme="minorBidi"/>
          <w:szCs w:val="22"/>
        </w:rPr>
      </w:pPr>
      <w:r>
        <w:t>48H</w:t>
      </w:r>
      <w:r>
        <w:rPr>
          <w:snapToGrid w:val="0"/>
        </w:rPr>
        <w:t>.</w:t>
      </w:r>
      <w:r>
        <w:rPr>
          <w:snapToGrid w:val="0"/>
        </w:rPr>
        <w:tab/>
        <w:t>Control of implementation of assessed schemes</w:t>
      </w:r>
      <w:r>
        <w:tab/>
      </w:r>
      <w:r>
        <w:fldChar w:fldCharType="begin"/>
      </w:r>
      <w:r>
        <w:instrText xml:space="preserve"> PAGEREF _Toc158985411 \h </w:instrText>
      </w:r>
      <w:r>
        <w:fldChar w:fldCharType="separate"/>
      </w:r>
      <w:r>
        <w:t>1</w:t>
      </w:r>
      <w:r>
        <w:fldChar w:fldCharType="end"/>
      </w:r>
    </w:p>
    <w:p>
      <w:pPr>
        <w:pStyle w:val="TOC8"/>
        <w:rPr>
          <w:rFonts w:asciiTheme="minorHAnsi" w:eastAsiaTheme="minorEastAsia" w:hAnsiTheme="minorHAnsi" w:cstheme="minorBidi"/>
          <w:szCs w:val="22"/>
        </w:rPr>
      </w:pPr>
      <w:r>
        <w:t>48I</w:t>
      </w:r>
      <w:r>
        <w:rPr>
          <w:snapToGrid w:val="0"/>
        </w:rPr>
        <w:t>.</w:t>
      </w:r>
      <w:r>
        <w:rPr>
          <w:snapToGrid w:val="0"/>
        </w:rPr>
        <w:tab/>
        <w:t>Which proposals under assessed schemes to be referred to Authority</w:t>
      </w:r>
      <w:r>
        <w:tab/>
      </w:r>
      <w:r>
        <w:fldChar w:fldCharType="begin"/>
      </w:r>
      <w:r>
        <w:instrText xml:space="preserve"> PAGEREF _Toc158985412 \h </w:instrText>
      </w:r>
      <w:r>
        <w:fldChar w:fldCharType="separate"/>
      </w:r>
      <w:r>
        <w:t>1</w:t>
      </w:r>
      <w:r>
        <w:fldChar w:fldCharType="end"/>
      </w:r>
    </w:p>
    <w:p>
      <w:pPr>
        <w:pStyle w:val="TOC8"/>
        <w:rPr>
          <w:rFonts w:asciiTheme="minorHAnsi" w:eastAsiaTheme="minorEastAsia" w:hAnsiTheme="minorHAnsi" w:cstheme="minorBidi"/>
          <w:szCs w:val="22"/>
        </w:rPr>
      </w:pPr>
      <w:r>
        <w:t>48J</w:t>
      </w:r>
      <w:r>
        <w:rPr>
          <w:snapToGrid w:val="0"/>
        </w:rPr>
        <w:t>.</w:t>
      </w:r>
      <w:r>
        <w:rPr>
          <w:snapToGrid w:val="0"/>
        </w:rPr>
        <w:tab/>
        <w:t>Disputes between Minister and responsible Ministers, Governor to decide</w:t>
      </w:r>
      <w:r>
        <w:tab/>
      </w:r>
      <w:r>
        <w:fldChar w:fldCharType="begin"/>
      </w:r>
      <w:r>
        <w:instrText xml:space="preserve"> PAGEREF _Toc158985413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V — Environmental regulation</w:t>
      </w:r>
    </w:p>
    <w:p>
      <w:pPr>
        <w:pStyle w:val="TOC4"/>
        <w:tabs>
          <w:tab w:val="right" w:leader="dot" w:pos="7077"/>
        </w:tabs>
        <w:rPr>
          <w:rFonts w:asciiTheme="minorHAnsi" w:eastAsiaTheme="minorEastAsia" w:hAnsiTheme="minorHAnsi" w:cstheme="minorBidi"/>
          <w:b w:val="0"/>
          <w:szCs w:val="22"/>
        </w:rPr>
      </w:pPr>
      <w:r>
        <w:t>Division 1 — Pollution and environmental harm offences</w:t>
      </w:r>
    </w:p>
    <w:p>
      <w:pPr>
        <w:pStyle w:val="TOC8"/>
        <w:rPr>
          <w:rFonts w:asciiTheme="minorHAnsi" w:eastAsiaTheme="minorEastAsia" w:hAnsiTheme="minorHAnsi" w:cstheme="minorBidi"/>
          <w:szCs w:val="22"/>
        </w:rPr>
      </w:pPr>
      <w:r>
        <w:t>49.</w:t>
      </w:r>
      <w:r>
        <w:tab/>
        <w:t>Causing pollution and unreasonable emissions</w:t>
      </w:r>
      <w:r>
        <w:tab/>
      </w:r>
      <w:r>
        <w:fldChar w:fldCharType="begin"/>
      </w:r>
      <w:r>
        <w:instrText xml:space="preserve"> PAGEREF _Toc158985416 \h </w:instrText>
      </w:r>
      <w:r>
        <w:fldChar w:fldCharType="separate"/>
      </w:r>
      <w:r>
        <w:t>1</w:t>
      </w:r>
      <w:r>
        <w:fldChar w:fldCharType="end"/>
      </w:r>
    </w:p>
    <w:p>
      <w:pPr>
        <w:pStyle w:val="TOC8"/>
        <w:rPr>
          <w:rFonts w:asciiTheme="minorHAnsi" w:eastAsiaTheme="minorEastAsia" w:hAnsiTheme="minorHAnsi" w:cstheme="minorBidi"/>
          <w:szCs w:val="22"/>
        </w:rPr>
      </w:pPr>
      <w:r>
        <w:t>49A.</w:t>
      </w:r>
      <w:r>
        <w:tab/>
        <w:t>Dumping waste</w:t>
      </w:r>
      <w:r>
        <w:tab/>
      </w:r>
      <w:r>
        <w:fldChar w:fldCharType="begin"/>
      </w:r>
      <w:r>
        <w:instrText xml:space="preserve"> PAGEREF _Toc158985417 \h </w:instrText>
      </w:r>
      <w:r>
        <w:fldChar w:fldCharType="separate"/>
      </w:r>
      <w:r>
        <w:t>1</w:t>
      </w:r>
      <w:r>
        <w:fldChar w:fldCharType="end"/>
      </w:r>
    </w:p>
    <w:p>
      <w:pPr>
        <w:pStyle w:val="TOC8"/>
        <w:rPr>
          <w:rFonts w:asciiTheme="minorHAnsi" w:eastAsiaTheme="minorEastAsia" w:hAnsiTheme="minorHAnsi" w:cstheme="minorBidi"/>
          <w:szCs w:val="22"/>
        </w:rPr>
      </w:pPr>
      <w:r>
        <w:t>50.</w:t>
      </w:r>
      <w:r>
        <w:tab/>
        <w:t>Discharging waste in circumstances likely to cause pollution</w:t>
      </w:r>
      <w:r>
        <w:tab/>
      </w:r>
      <w:r>
        <w:fldChar w:fldCharType="begin"/>
      </w:r>
      <w:r>
        <w:instrText xml:space="preserve"> PAGEREF _Toc158985418 \h </w:instrText>
      </w:r>
      <w:r>
        <w:fldChar w:fldCharType="separate"/>
      </w:r>
      <w:r>
        <w:t>1</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t>Causing serious environmental harm</w:t>
      </w:r>
      <w:r>
        <w:tab/>
      </w:r>
      <w:r>
        <w:fldChar w:fldCharType="begin"/>
      </w:r>
      <w:r>
        <w:instrText xml:space="preserve"> PAGEREF _Toc158985419 \h </w:instrText>
      </w:r>
      <w:r>
        <w:fldChar w:fldCharType="separate"/>
      </w:r>
      <w:r>
        <w:t>1</w:t>
      </w:r>
      <w:r>
        <w:fldChar w:fldCharType="end"/>
      </w:r>
    </w:p>
    <w:p>
      <w:pPr>
        <w:pStyle w:val="TOC8"/>
        <w:rPr>
          <w:rFonts w:asciiTheme="minorHAnsi" w:eastAsiaTheme="minorEastAsia" w:hAnsiTheme="minorHAnsi" w:cstheme="minorBidi"/>
          <w:szCs w:val="22"/>
        </w:rPr>
      </w:pPr>
      <w:r>
        <w:t>50B</w:t>
      </w:r>
      <w:r>
        <w:rPr>
          <w:snapToGrid w:val="0"/>
        </w:rPr>
        <w:t>.</w:t>
      </w:r>
      <w:r>
        <w:rPr>
          <w:snapToGrid w:val="0"/>
        </w:rPr>
        <w:tab/>
        <w:t>Causing material environmental harm</w:t>
      </w:r>
      <w:r>
        <w:tab/>
      </w:r>
      <w:r>
        <w:fldChar w:fldCharType="begin"/>
      </w:r>
      <w:r>
        <w:instrText xml:space="preserve"> PAGEREF _Toc158985420 \h </w:instrText>
      </w:r>
      <w:r>
        <w:fldChar w:fldCharType="separate"/>
      </w:r>
      <w:r>
        <w:t>1</w:t>
      </w:r>
      <w:r>
        <w:fldChar w:fldCharType="end"/>
      </w:r>
    </w:p>
    <w:p>
      <w:pPr>
        <w:pStyle w:val="TOC8"/>
        <w:rPr>
          <w:rFonts w:asciiTheme="minorHAnsi" w:eastAsiaTheme="minorEastAsia" w:hAnsiTheme="minorHAnsi" w:cstheme="minorBidi"/>
          <w:szCs w:val="22"/>
        </w:rPr>
      </w:pPr>
      <w:r>
        <w:lastRenderedPageBreak/>
        <w:t>50C</w:t>
      </w:r>
      <w:r>
        <w:rPr>
          <w:snapToGrid w:val="0"/>
        </w:rPr>
        <w:t>.</w:t>
      </w:r>
      <w:r>
        <w:rPr>
          <w:snapToGrid w:val="0"/>
        </w:rPr>
        <w:tab/>
      </w:r>
      <w:r>
        <w:t>Court may find accused guilty of alternative offences if charged with causing serious environmental harm</w:t>
      </w:r>
      <w:r>
        <w:tab/>
      </w:r>
      <w:r>
        <w:fldChar w:fldCharType="begin"/>
      </w:r>
      <w:r>
        <w:instrText xml:space="preserve"> PAGEREF _Toc158985421 \h </w:instrText>
      </w:r>
      <w:r>
        <w:fldChar w:fldCharType="separate"/>
      </w:r>
      <w:r>
        <w:t>1</w:t>
      </w:r>
      <w:r>
        <w:fldChar w:fldCharType="end"/>
      </w:r>
    </w:p>
    <w:p>
      <w:pPr>
        <w:pStyle w:val="TOC8"/>
        <w:rPr>
          <w:rFonts w:asciiTheme="minorHAnsi" w:eastAsiaTheme="minorEastAsia" w:hAnsiTheme="minorHAnsi" w:cstheme="minorBidi"/>
          <w:szCs w:val="22"/>
        </w:rPr>
      </w:pPr>
      <w:r>
        <w:t>50D.</w:t>
      </w:r>
      <w:r>
        <w:tab/>
        <w:t>Regulations may require authorisation for conduct that might cause pollution or environmental harm</w:t>
      </w:r>
      <w:r>
        <w:tab/>
      </w:r>
      <w:r>
        <w:fldChar w:fldCharType="begin"/>
      </w:r>
      <w:r>
        <w:instrText xml:space="preserve"> PAGEREF _Toc158985422 \h </w:instrText>
      </w:r>
      <w:r>
        <w:fldChar w:fldCharType="separate"/>
      </w:r>
      <w:r>
        <w:t>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Occupiers of premises, duties as to emissions</w:t>
      </w:r>
      <w:r>
        <w:tab/>
      </w:r>
      <w:r>
        <w:fldChar w:fldCharType="begin"/>
      </w:r>
      <w:r>
        <w:instrText xml:space="preserve"> PAGEREF _Toc158985423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Clearing of native vegetation</w:t>
      </w:r>
    </w:p>
    <w:p>
      <w:pPr>
        <w:pStyle w:val="TOC8"/>
        <w:rPr>
          <w:rFonts w:asciiTheme="minorHAnsi" w:eastAsiaTheme="minorEastAsia" w:hAnsiTheme="minorHAnsi" w:cstheme="minorBidi"/>
          <w:szCs w:val="22"/>
        </w:rPr>
      </w:pPr>
      <w:r>
        <w:t>51A.</w:t>
      </w:r>
      <w:r>
        <w:tab/>
        <w:t>Terms used</w:t>
      </w:r>
      <w:r>
        <w:tab/>
      </w:r>
      <w:r>
        <w:fldChar w:fldCharType="begin"/>
      </w:r>
      <w:r>
        <w:instrText xml:space="preserve"> PAGEREF _Toc158985425 \h </w:instrText>
      </w:r>
      <w:r>
        <w:fldChar w:fldCharType="separate"/>
      </w:r>
      <w:r>
        <w:t>1</w:t>
      </w:r>
      <w:r>
        <w:fldChar w:fldCharType="end"/>
      </w:r>
    </w:p>
    <w:p>
      <w:pPr>
        <w:pStyle w:val="TOC8"/>
        <w:rPr>
          <w:rFonts w:asciiTheme="minorHAnsi" w:eastAsiaTheme="minorEastAsia" w:hAnsiTheme="minorHAnsi" w:cstheme="minorBidi"/>
          <w:szCs w:val="22"/>
        </w:rPr>
      </w:pPr>
      <w:r>
        <w:t>51B.</w:t>
      </w:r>
      <w:r>
        <w:tab/>
        <w:t>Declaration of environmentally sensitive areas by regulation</w:t>
      </w:r>
      <w:r>
        <w:tab/>
      </w:r>
      <w:r>
        <w:fldChar w:fldCharType="begin"/>
      </w:r>
      <w:r>
        <w:instrText xml:space="preserve"> PAGEREF _Toc158985426 \h </w:instrText>
      </w:r>
      <w:r>
        <w:fldChar w:fldCharType="separate"/>
      </w:r>
      <w:r>
        <w:t>1</w:t>
      </w:r>
      <w:r>
        <w:fldChar w:fldCharType="end"/>
      </w:r>
    </w:p>
    <w:p>
      <w:pPr>
        <w:pStyle w:val="TOC8"/>
        <w:rPr>
          <w:rFonts w:asciiTheme="minorHAnsi" w:eastAsiaTheme="minorEastAsia" w:hAnsiTheme="minorHAnsi" w:cstheme="minorBidi"/>
          <w:szCs w:val="22"/>
        </w:rPr>
      </w:pPr>
      <w:r>
        <w:t>51C.</w:t>
      </w:r>
      <w:r>
        <w:tab/>
        <w:t>Unauthorised clearing of native vegetation</w:t>
      </w:r>
      <w:r>
        <w:tab/>
      </w:r>
      <w:r>
        <w:fldChar w:fldCharType="begin"/>
      </w:r>
      <w:r>
        <w:instrText xml:space="preserve"> PAGEREF _Toc158985427 \h </w:instrText>
      </w:r>
      <w:r>
        <w:fldChar w:fldCharType="separate"/>
      </w:r>
      <w:r>
        <w:t>1</w:t>
      </w:r>
      <w:r>
        <w:fldChar w:fldCharType="end"/>
      </w:r>
    </w:p>
    <w:p>
      <w:pPr>
        <w:pStyle w:val="TOC8"/>
        <w:rPr>
          <w:rFonts w:asciiTheme="minorHAnsi" w:eastAsiaTheme="minorEastAsia" w:hAnsiTheme="minorHAnsi" w:cstheme="minorBidi"/>
          <w:szCs w:val="22"/>
        </w:rPr>
      </w:pPr>
      <w:r>
        <w:t>51D.</w:t>
      </w:r>
      <w:r>
        <w:tab/>
        <w:t>Section 51C(a) does not apply to certain land</w:t>
      </w:r>
      <w:r>
        <w:tab/>
      </w:r>
      <w:r>
        <w:fldChar w:fldCharType="begin"/>
      </w:r>
      <w:r>
        <w:instrText xml:space="preserve"> PAGEREF _Toc158985428 \h </w:instrText>
      </w:r>
      <w:r>
        <w:fldChar w:fldCharType="separate"/>
      </w:r>
      <w:r>
        <w:t>1</w:t>
      </w:r>
      <w:r>
        <w:fldChar w:fldCharType="end"/>
      </w:r>
    </w:p>
    <w:p>
      <w:pPr>
        <w:pStyle w:val="TOC8"/>
        <w:rPr>
          <w:rFonts w:asciiTheme="minorHAnsi" w:eastAsiaTheme="minorEastAsia" w:hAnsiTheme="minorHAnsi" w:cstheme="minorBidi"/>
          <w:szCs w:val="22"/>
        </w:rPr>
      </w:pPr>
      <w:r>
        <w:t>51DA.</w:t>
      </w:r>
      <w:r>
        <w:tab/>
        <w:t>Referral of proposed clearing to CEO for decision on whether a clearing permit should be obtained</w:t>
      </w:r>
      <w:r>
        <w:tab/>
      </w:r>
      <w:r>
        <w:fldChar w:fldCharType="begin"/>
      </w:r>
      <w:r>
        <w:instrText xml:space="preserve"> PAGEREF _Toc158985429 \h </w:instrText>
      </w:r>
      <w:r>
        <w:fldChar w:fldCharType="separate"/>
      </w:r>
      <w:r>
        <w:t>1</w:t>
      </w:r>
      <w:r>
        <w:fldChar w:fldCharType="end"/>
      </w:r>
    </w:p>
    <w:p>
      <w:pPr>
        <w:pStyle w:val="TOC8"/>
        <w:rPr>
          <w:rFonts w:asciiTheme="minorHAnsi" w:eastAsiaTheme="minorEastAsia" w:hAnsiTheme="minorHAnsi" w:cstheme="minorBidi"/>
          <w:szCs w:val="22"/>
        </w:rPr>
      </w:pPr>
      <w:r>
        <w:t>51E.</w:t>
      </w:r>
      <w:r>
        <w:tab/>
        <w:t>How applications for clearing permits are made and dealt with</w:t>
      </w:r>
      <w:r>
        <w:tab/>
      </w:r>
      <w:r>
        <w:fldChar w:fldCharType="begin"/>
      </w:r>
      <w:r>
        <w:instrText xml:space="preserve"> PAGEREF _Toc158985430 \h </w:instrText>
      </w:r>
      <w:r>
        <w:fldChar w:fldCharType="separate"/>
      </w:r>
      <w:r>
        <w:t>1</w:t>
      </w:r>
      <w:r>
        <w:fldChar w:fldCharType="end"/>
      </w:r>
    </w:p>
    <w:p>
      <w:pPr>
        <w:pStyle w:val="TOC8"/>
        <w:rPr>
          <w:rFonts w:asciiTheme="minorHAnsi" w:eastAsiaTheme="minorEastAsia" w:hAnsiTheme="minorHAnsi" w:cstheme="minorBidi"/>
          <w:szCs w:val="22"/>
        </w:rPr>
      </w:pPr>
      <w:r>
        <w:t>51F.</w:t>
      </w:r>
      <w:r>
        <w:tab/>
        <w:t>Effect of referred proposal on decisions about clearing</w:t>
      </w:r>
      <w:r>
        <w:tab/>
      </w:r>
      <w:r>
        <w:fldChar w:fldCharType="begin"/>
      </w:r>
      <w:r>
        <w:instrText xml:space="preserve"> PAGEREF _Toc158985431 \h </w:instrText>
      </w:r>
      <w:r>
        <w:fldChar w:fldCharType="separate"/>
      </w:r>
      <w:r>
        <w:t>1</w:t>
      </w:r>
      <w:r>
        <w:fldChar w:fldCharType="end"/>
      </w:r>
    </w:p>
    <w:p>
      <w:pPr>
        <w:pStyle w:val="TOC8"/>
        <w:rPr>
          <w:rFonts w:asciiTheme="minorHAnsi" w:eastAsiaTheme="minorEastAsia" w:hAnsiTheme="minorHAnsi" w:cstheme="minorBidi"/>
          <w:szCs w:val="22"/>
        </w:rPr>
      </w:pPr>
      <w:r>
        <w:t>51G.</w:t>
      </w:r>
      <w:r>
        <w:tab/>
        <w:t>Duration of clearing permits</w:t>
      </w:r>
      <w:r>
        <w:tab/>
      </w:r>
      <w:r>
        <w:fldChar w:fldCharType="begin"/>
      </w:r>
      <w:r>
        <w:instrText xml:space="preserve"> PAGEREF _Toc158985432 \h </w:instrText>
      </w:r>
      <w:r>
        <w:fldChar w:fldCharType="separate"/>
      </w:r>
      <w:r>
        <w:t>1</w:t>
      </w:r>
      <w:r>
        <w:fldChar w:fldCharType="end"/>
      </w:r>
    </w:p>
    <w:p>
      <w:pPr>
        <w:pStyle w:val="TOC8"/>
        <w:rPr>
          <w:rFonts w:asciiTheme="minorHAnsi" w:eastAsiaTheme="minorEastAsia" w:hAnsiTheme="minorHAnsi" w:cstheme="minorBidi"/>
          <w:szCs w:val="22"/>
        </w:rPr>
      </w:pPr>
      <w:r>
        <w:t>51H.</w:t>
      </w:r>
      <w:r>
        <w:tab/>
        <w:t>Clearing</w:t>
      </w:r>
      <w:r>
        <w:rPr>
          <w:snapToGrid w:val="0"/>
        </w:rPr>
        <w:t xml:space="preserve"> permit conditions</w:t>
      </w:r>
      <w:r>
        <w:tab/>
      </w:r>
      <w:r>
        <w:fldChar w:fldCharType="begin"/>
      </w:r>
      <w:r>
        <w:instrText xml:space="preserve"> PAGEREF _Toc158985433 \h </w:instrText>
      </w:r>
      <w:r>
        <w:fldChar w:fldCharType="separate"/>
      </w:r>
      <w:r>
        <w:t>1</w:t>
      </w:r>
      <w:r>
        <w:fldChar w:fldCharType="end"/>
      </w:r>
    </w:p>
    <w:p>
      <w:pPr>
        <w:pStyle w:val="TOC8"/>
        <w:rPr>
          <w:rFonts w:asciiTheme="minorHAnsi" w:eastAsiaTheme="minorEastAsia" w:hAnsiTheme="minorHAnsi" w:cstheme="minorBidi"/>
          <w:szCs w:val="22"/>
        </w:rPr>
      </w:pPr>
      <w:r>
        <w:t>51I.</w:t>
      </w:r>
      <w:r>
        <w:tab/>
        <w:t>Some kinds of conditions</w:t>
      </w:r>
      <w:r>
        <w:tab/>
      </w:r>
      <w:r>
        <w:fldChar w:fldCharType="begin"/>
      </w:r>
      <w:r>
        <w:instrText xml:space="preserve"> PAGEREF _Toc158985434 \h </w:instrText>
      </w:r>
      <w:r>
        <w:fldChar w:fldCharType="separate"/>
      </w:r>
      <w:r>
        <w:t>1</w:t>
      </w:r>
      <w:r>
        <w:fldChar w:fldCharType="end"/>
      </w:r>
    </w:p>
    <w:p>
      <w:pPr>
        <w:pStyle w:val="TOC8"/>
        <w:rPr>
          <w:rFonts w:asciiTheme="minorHAnsi" w:eastAsiaTheme="minorEastAsia" w:hAnsiTheme="minorHAnsi" w:cstheme="minorBidi"/>
          <w:szCs w:val="22"/>
        </w:rPr>
      </w:pPr>
      <w:r>
        <w:t>51J.</w:t>
      </w:r>
      <w:r>
        <w:tab/>
        <w:t>Contravening clearing</w:t>
      </w:r>
      <w:r>
        <w:rPr>
          <w:snapToGrid w:val="0"/>
        </w:rPr>
        <w:t xml:space="preserve"> permit conditions</w:t>
      </w:r>
      <w:r>
        <w:tab/>
      </w:r>
      <w:r>
        <w:fldChar w:fldCharType="begin"/>
      </w:r>
      <w:r>
        <w:instrText xml:space="preserve"> PAGEREF _Toc158985435 \h </w:instrText>
      </w:r>
      <w:r>
        <w:fldChar w:fldCharType="separate"/>
      </w:r>
      <w:r>
        <w:t>1</w:t>
      </w:r>
      <w:r>
        <w:fldChar w:fldCharType="end"/>
      </w:r>
    </w:p>
    <w:p>
      <w:pPr>
        <w:pStyle w:val="TOC8"/>
        <w:rPr>
          <w:rFonts w:asciiTheme="minorHAnsi" w:eastAsiaTheme="minorEastAsia" w:hAnsiTheme="minorHAnsi" w:cstheme="minorBidi"/>
          <w:szCs w:val="22"/>
        </w:rPr>
      </w:pPr>
      <w:r>
        <w:t>51K.</w:t>
      </w:r>
      <w:r>
        <w:tab/>
        <w:t xml:space="preserve">Amending </w:t>
      </w:r>
      <w:r>
        <w:rPr>
          <w:snapToGrid w:val="0"/>
        </w:rPr>
        <w:t>clearing permit</w:t>
      </w:r>
      <w:r>
        <w:tab/>
      </w:r>
      <w:r>
        <w:fldChar w:fldCharType="begin"/>
      </w:r>
      <w:r>
        <w:instrText xml:space="preserve"> PAGEREF _Toc158985436 \h </w:instrText>
      </w:r>
      <w:r>
        <w:fldChar w:fldCharType="separate"/>
      </w:r>
      <w:r>
        <w:t>1</w:t>
      </w:r>
      <w:r>
        <w:fldChar w:fldCharType="end"/>
      </w:r>
    </w:p>
    <w:p>
      <w:pPr>
        <w:pStyle w:val="TOC8"/>
        <w:rPr>
          <w:rFonts w:asciiTheme="minorHAnsi" w:eastAsiaTheme="minorEastAsia" w:hAnsiTheme="minorHAnsi" w:cstheme="minorBidi"/>
          <w:szCs w:val="22"/>
        </w:rPr>
      </w:pPr>
      <w:r>
        <w:t>51KA.</w:t>
      </w:r>
      <w:r>
        <w:tab/>
        <w:t>Application to amend clearing permit</w:t>
      </w:r>
      <w:r>
        <w:tab/>
      </w:r>
      <w:r>
        <w:fldChar w:fldCharType="begin"/>
      </w:r>
      <w:r>
        <w:instrText xml:space="preserve"> PAGEREF _Toc158985437 \h </w:instrText>
      </w:r>
      <w:r>
        <w:fldChar w:fldCharType="separate"/>
      </w:r>
      <w:r>
        <w:t>1</w:t>
      </w:r>
      <w:r>
        <w:fldChar w:fldCharType="end"/>
      </w:r>
    </w:p>
    <w:p>
      <w:pPr>
        <w:pStyle w:val="TOC8"/>
        <w:rPr>
          <w:rFonts w:asciiTheme="minorHAnsi" w:eastAsiaTheme="minorEastAsia" w:hAnsiTheme="minorHAnsi" w:cstheme="minorBidi"/>
          <w:szCs w:val="22"/>
        </w:rPr>
      </w:pPr>
      <w:r>
        <w:t>51KB.</w:t>
      </w:r>
      <w:r>
        <w:tab/>
        <w:t>Effect of referred proposal on application to amend clearing permit</w:t>
      </w:r>
      <w:r>
        <w:tab/>
      </w:r>
      <w:r>
        <w:fldChar w:fldCharType="begin"/>
      </w:r>
      <w:r>
        <w:instrText xml:space="preserve"> PAGEREF _Toc158985438 \h </w:instrText>
      </w:r>
      <w:r>
        <w:fldChar w:fldCharType="separate"/>
      </w:r>
      <w:r>
        <w:t>1</w:t>
      </w:r>
      <w:r>
        <w:fldChar w:fldCharType="end"/>
      </w:r>
    </w:p>
    <w:p>
      <w:pPr>
        <w:pStyle w:val="TOC8"/>
        <w:rPr>
          <w:rFonts w:asciiTheme="minorHAnsi" w:eastAsiaTheme="minorEastAsia" w:hAnsiTheme="minorHAnsi" w:cstheme="minorBidi"/>
          <w:szCs w:val="22"/>
        </w:rPr>
      </w:pPr>
      <w:r>
        <w:t>51L.</w:t>
      </w:r>
      <w:r>
        <w:tab/>
        <w:t>Revoking or suspending clearing</w:t>
      </w:r>
      <w:r>
        <w:rPr>
          <w:snapToGrid w:val="0"/>
        </w:rPr>
        <w:t xml:space="preserve"> permit</w:t>
      </w:r>
      <w:r>
        <w:tab/>
      </w:r>
      <w:r>
        <w:fldChar w:fldCharType="begin"/>
      </w:r>
      <w:r>
        <w:instrText xml:space="preserve"> PAGEREF _Toc158985439 \h </w:instrText>
      </w:r>
      <w:r>
        <w:fldChar w:fldCharType="separate"/>
      </w:r>
      <w:r>
        <w:t>1</w:t>
      </w:r>
      <w:r>
        <w:fldChar w:fldCharType="end"/>
      </w:r>
    </w:p>
    <w:p>
      <w:pPr>
        <w:pStyle w:val="TOC8"/>
        <w:rPr>
          <w:rFonts w:asciiTheme="minorHAnsi" w:eastAsiaTheme="minorEastAsia" w:hAnsiTheme="minorHAnsi" w:cstheme="minorBidi"/>
          <w:szCs w:val="22"/>
        </w:rPr>
      </w:pPr>
      <w:r>
        <w:t>51M.</w:t>
      </w:r>
      <w:r>
        <w:tab/>
        <w:t>Procedure for CEO when amending, revoking or suspending clearing permit</w:t>
      </w:r>
      <w:r>
        <w:tab/>
      </w:r>
      <w:r>
        <w:fldChar w:fldCharType="begin"/>
      </w:r>
      <w:r>
        <w:instrText xml:space="preserve"> PAGEREF _Toc158985440 \h </w:instrText>
      </w:r>
      <w:r>
        <w:fldChar w:fldCharType="separate"/>
      </w:r>
      <w:r>
        <w:t>1</w:t>
      </w:r>
      <w:r>
        <w:fldChar w:fldCharType="end"/>
      </w:r>
    </w:p>
    <w:p>
      <w:pPr>
        <w:pStyle w:val="TOC8"/>
        <w:rPr>
          <w:rFonts w:asciiTheme="minorHAnsi" w:eastAsiaTheme="minorEastAsia" w:hAnsiTheme="minorHAnsi" w:cstheme="minorBidi"/>
          <w:szCs w:val="22"/>
        </w:rPr>
      </w:pPr>
      <w:r>
        <w:t>51MA.</w:t>
      </w:r>
      <w:r>
        <w:tab/>
        <w:t>Surrendering clearing permit</w:t>
      </w:r>
      <w:r>
        <w:tab/>
      </w:r>
      <w:r>
        <w:fldChar w:fldCharType="begin"/>
      </w:r>
      <w:r>
        <w:instrText xml:space="preserve"> PAGEREF _Toc158985441 \h </w:instrText>
      </w:r>
      <w:r>
        <w:fldChar w:fldCharType="separate"/>
      </w:r>
      <w:r>
        <w:t>1</w:t>
      </w:r>
      <w:r>
        <w:fldChar w:fldCharType="end"/>
      </w:r>
    </w:p>
    <w:p>
      <w:pPr>
        <w:pStyle w:val="TOC8"/>
        <w:rPr>
          <w:rFonts w:asciiTheme="minorHAnsi" w:eastAsiaTheme="minorEastAsia" w:hAnsiTheme="minorHAnsi" w:cstheme="minorBidi"/>
          <w:szCs w:val="22"/>
        </w:rPr>
      </w:pPr>
      <w:r>
        <w:t>51N.</w:t>
      </w:r>
      <w:r>
        <w:tab/>
        <w:t>Continuation of area permit on change of ownership</w:t>
      </w:r>
      <w:r>
        <w:tab/>
      </w:r>
      <w:r>
        <w:fldChar w:fldCharType="begin"/>
      </w:r>
      <w:r>
        <w:instrText xml:space="preserve"> PAGEREF _Toc158985442 \h </w:instrText>
      </w:r>
      <w:r>
        <w:fldChar w:fldCharType="separate"/>
      </w:r>
      <w:r>
        <w:t>1</w:t>
      </w:r>
      <w:r>
        <w:fldChar w:fldCharType="end"/>
      </w:r>
    </w:p>
    <w:p>
      <w:pPr>
        <w:pStyle w:val="TOC8"/>
        <w:rPr>
          <w:rFonts w:asciiTheme="minorHAnsi" w:eastAsiaTheme="minorEastAsia" w:hAnsiTheme="minorHAnsi" w:cstheme="minorBidi"/>
          <w:szCs w:val="22"/>
        </w:rPr>
      </w:pPr>
      <w:r>
        <w:t>51O.</w:t>
      </w:r>
      <w:r>
        <w:tab/>
        <w:t>P</w:t>
      </w:r>
      <w:r>
        <w:rPr>
          <w:snapToGrid w:val="0"/>
        </w:rPr>
        <w:t>rinciples and instruments to be considered when making decisions as to clearing permits</w:t>
      </w:r>
      <w:r>
        <w:tab/>
      </w:r>
      <w:r>
        <w:fldChar w:fldCharType="begin"/>
      </w:r>
      <w:r>
        <w:instrText xml:space="preserve"> PAGEREF _Toc158985443 \h </w:instrText>
      </w:r>
      <w:r>
        <w:fldChar w:fldCharType="separate"/>
      </w:r>
      <w:r>
        <w:t>1</w:t>
      </w:r>
      <w:r>
        <w:fldChar w:fldCharType="end"/>
      </w:r>
    </w:p>
    <w:p>
      <w:pPr>
        <w:pStyle w:val="TOC8"/>
        <w:rPr>
          <w:rFonts w:asciiTheme="minorHAnsi" w:eastAsiaTheme="minorEastAsia" w:hAnsiTheme="minorHAnsi" w:cstheme="minorBidi"/>
          <w:szCs w:val="22"/>
        </w:rPr>
      </w:pPr>
      <w:r>
        <w:t>51P</w:t>
      </w:r>
      <w:r>
        <w:rPr>
          <w:snapToGrid w:val="0"/>
        </w:rPr>
        <w:t>.</w:t>
      </w:r>
      <w:r>
        <w:rPr>
          <w:snapToGrid w:val="0"/>
        </w:rPr>
        <w:tab/>
        <w:t>Relationship between clearing permits and approved policies</w:t>
      </w:r>
      <w:r>
        <w:tab/>
      </w:r>
      <w:r>
        <w:fldChar w:fldCharType="begin"/>
      </w:r>
      <w:r>
        <w:instrText xml:space="preserve"> PAGEREF _Toc158985444 \h </w:instrText>
      </w:r>
      <w:r>
        <w:fldChar w:fldCharType="separate"/>
      </w:r>
      <w:r>
        <w:t>1</w:t>
      </w:r>
      <w:r>
        <w:fldChar w:fldCharType="end"/>
      </w:r>
    </w:p>
    <w:p>
      <w:pPr>
        <w:pStyle w:val="TOC8"/>
        <w:rPr>
          <w:rFonts w:asciiTheme="minorHAnsi" w:eastAsiaTheme="minorEastAsia" w:hAnsiTheme="minorHAnsi" w:cstheme="minorBidi"/>
          <w:szCs w:val="22"/>
        </w:rPr>
      </w:pPr>
      <w:r>
        <w:t>51Q.</w:t>
      </w:r>
      <w:r>
        <w:tab/>
        <w:t>CEO to keep a record of clearing</w:t>
      </w:r>
      <w:r>
        <w:rPr>
          <w:snapToGrid w:val="0"/>
        </w:rPr>
        <w:t xml:space="preserve"> permits and related matters</w:t>
      </w:r>
      <w:r>
        <w:tab/>
      </w:r>
      <w:r>
        <w:fldChar w:fldCharType="begin"/>
      </w:r>
      <w:r>
        <w:instrText xml:space="preserve"> PAGEREF _Toc158985445 \h </w:instrText>
      </w:r>
      <w:r>
        <w:fldChar w:fldCharType="separate"/>
      </w:r>
      <w:r>
        <w:t>1</w:t>
      </w:r>
      <w:r>
        <w:fldChar w:fldCharType="end"/>
      </w:r>
    </w:p>
    <w:p>
      <w:pPr>
        <w:pStyle w:val="TOC8"/>
        <w:rPr>
          <w:rFonts w:asciiTheme="minorHAnsi" w:eastAsiaTheme="minorEastAsia" w:hAnsiTheme="minorHAnsi" w:cstheme="minorBidi"/>
          <w:szCs w:val="22"/>
        </w:rPr>
      </w:pPr>
      <w:r>
        <w:t>51R.</w:t>
      </w:r>
      <w:r>
        <w:tab/>
        <w:t>Evidentiary matters</w:t>
      </w:r>
      <w:r>
        <w:tab/>
      </w:r>
      <w:r>
        <w:fldChar w:fldCharType="begin"/>
      </w:r>
      <w:r>
        <w:instrText xml:space="preserve"> PAGEREF _Toc158985446 \h </w:instrText>
      </w:r>
      <w:r>
        <w:fldChar w:fldCharType="separate"/>
      </w:r>
      <w:r>
        <w:t>1</w:t>
      </w:r>
      <w:r>
        <w:fldChar w:fldCharType="end"/>
      </w:r>
    </w:p>
    <w:p>
      <w:pPr>
        <w:pStyle w:val="TOC8"/>
        <w:rPr>
          <w:rFonts w:asciiTheme="minorHAnsi" w:eastAsiaTheme="minorEastAsia" w:hAnsiTheme="minorHAnsi" w:cstheme="minorBidi"/>
          <w:szCs w:val="22"/>
        </w:rPr>
      </w:pPr>
      <w:r>
        <w:t>51S</w:t>
      </w:r>
      <w:r>
        <w:rPr>
          <w:snapToGrid w:val="0"/>
        </w:rPr>
        <w:t>.</w:t>
      </w:r>
      <w:r>
        <w:rPr>
          <w:snapToGrid w:val="0"/>
        </w:rPr>
        <w:tab/>
      </w:r>
      <w:r>
        <w:t>Clearing injunctions</w:t>
      </w:r>
      <w:r>
        <w:tab/>
      </w:r>
      <w:r>
        <w:fldChar w:fldCharType="begin"/>
      </w:r>
      <w:r>
        <w:instrText xml:space="preserve"> PAGEREF _Toc158985447 \h </w:instrText>
      </w:r>
      <w:r>
        <w:fldChar w:fldCharType="separate"/>
      </w:r>
      <w:r>
        <w:t>1</w:t>
      </w:r>
      <w:r>
        <w:fldChar w:fldCharType="end"/>
      </w:r>
    </w:p>
    <w:p>
      <w:pPr>
        <w:pStyle w:val="TOC8"/>
        <w:rPr>
          <w:rFonts w:asciiTheme="minorHAnsi" w:eastAsiaTheme="minorEastAsia" w:hAnsiTheme="minorHAnsi" w:cstheme="minorBidi"/>
          <w:szCs w:val="22"/>
        </w:rPr>
      </w:pPr>
      <w:r>
        <w:lastRenderedPageBreak/>
        <w:t>51T.</w:t>
      </w:r>
      <w:r>
        <w:tab/>
        <w:t>Other laws as to clearing vegetation not affected by this Division</w:t>
      </w:r>
      <w:r>
        <w:tab/>
      </w:r>
      <w:r>
        <w:fldChar w:fldCharType="begin"/>
      </w:r>
      <w:r>
        <w:instrText xml:space="preserve"> PAGEREF _Toc158985448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Prescribed premises, works approvals and licences</w:t>
      </w:r>
    </w:p>
    <w:p>
      <w:pPr>
        <w:pStyle w:val="TOC8"/>
        <w:rPr>
          <w:rFonts w:asciiTheme="minorHAnsi" w:eastAsiaTheme="minorEastAsia" w:hAnsiTheme="minorHAnsi" w:cstheme="minorBidi"/>
          <w:szCs w:val="22"/>
        </w:rPr>
      </w:pPr>
      <w:r>
        <w:t>52</w:t>
      </w:r>
      <w:r>
        <w:rPr>
          <w:snapToGrid w:val="0"/>
        </w:rPr>
        <w:t>.</w:t>
      </w:r>
      <w:r>
        <w:rPr>
          <w:snapToGrid w:val="0"/>
        </w:rPr>
        <w:tab/>
        <w:t>Changing premises to become prescribed premises requires approval</w:t>
      </w:r>
      <w:r>
        <w:tab/>
      </w:r>
      <w:r>
        <w:fldChar w:fldCharType="begin"/>
      </w:r>
      <w:r>
        <w:instrText xml:space="preserve"> PAGEREF _Toc158985450 \h </w:instrText>
      </w:r>
      <w:r>
        <w:fldChar w:fldCharType="separate"/>
      </w:r>
      <w:r>
        <w:t>1</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Prescribed premises, restrictions as to changes to etc.</w:t>
      </w:r>
      <w:r>
        <w:tab/>
      </w:r>
      <w:r>
        <w:fldChar w:fldCharType="begin"/>
      </w:r>
      <w:r>
        <w:instrText xml:space="preserve"> PAGEREF _Toc158985451 \h </w:instrText>
      </w:r>
      <w:r>
        <w:fldChar w:fldCharType="separate"/>
      </w:r>
      <w:r>
        <w:t>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Works approvals, applying for, granting, refusing etc.</w:t>
      </w:r>
      <w:r>
        <w:tab/>
      </w:r>
      <w:r>
        <w:fldChar w:fldCharType="begin"/>
      </w:r>
      <w:r>
        <w:instrText xml:space="preserve"> PAGEREF _Toc158985452 \h </w:instrText>
      </w:r>
      <w:r>
        <w:fldChar w:fldCharType="separate"/>
      </w:r>
      <w:r>
        <w:t>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Contravening conditions of works approvals</w:t>
      </w:r>
      <w:r>
        <w:tab/>
      </w:r>
      <w:r>
        <w:fldChar w:fldCharType="begin"/>
      </w:r>
      <w:r>
        <w:instrText xml:space="preserve"> PAGEREF _Toc158985453 \h </w:instrText>
      </w:r>
      <w:r>
        <w:fldChar w:fldCharType="separate"/>
      </w:r>
      <w:r>
        <w:t>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Occupiers of prescribed premises to be licensed for emissions etc.</w:t>
      </w:r>
      <w:r>
        <w:tab/>
      </w:r>
      <w:r>
        <w:fldChar w:fldCharType="begin"/>
      </w:r>
      <w:r>
        <w:instrText xml:space="preserve"> PAGEREF _Toc158985454 \h </w:instrText>
      </w:r>
      <w:r>
        <w:fldChar w:fldCharType="separate"/>
      </w:r>
      <w:r>
        <w:t>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Licences, applying for, granting, refusing etc.</w:t>
      </w:r>
      <w:r>
        <w:tab/>
      </w:r>
      <w:r>
        <w:fldChar w:fldCharType="begin"/>
      </w:r>
      <w:r>
        <w:instrText xml:space="preserve"> PAGEREF _Toc158985455 \h </w:instrText>
      </w:r>
      <w:r>
        <w:fldChar w:fldCharType="separate"/>
      </w:r>
      <w:r>
        <w:t>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Contravening licence conditions</w:t>
      </w:r>
      <w:r>
        <w:tab/>
      </w:r>
      <w:r>
        <w:fldChar w:fldCharType="begin"/>
      </w:r>
      <w:r>
        <w:instrText xml:space="preserve"> PAGEREF _Toc158985456 \h </w:instrText>
      </w:r>
      <w:r>
        <w:fldChar w:fldCharType="separate"/>
      </w:r>
      <w:r>
        <w:t>1</w:t>
      </w:r>
      <w:r>
        <w:fldChar w:fldCharType="end"/>
      </w:r>
    </w:p>
    <w:p>
      <w:pPr>
        <w:pStyle w:val="TOC8"/>
        <w:rPr>
          <w:rFonts w:asciiTheme="minorHAnsi" w:eastAsiaTheme="minorEastAsia" w:hAnsiTheme="minorHAnsi" w:cstheme="minorBidi"/>
          <w:szCs w:val="22"/>
        </w:rPr>
      </w:pPr>
      <w:r>
        <w:t>59.</w:t>
      </w:r>
      <w:r>
        <w:tab/>
        <w:t>Amending works approval or licence</w:t>
      </w:r>
      <w:r>
        <w:tab/>
      </w:r>
      <w:r>
        <w:fldChar w:fldCharType="begin"/>
      </w:r>
      <w:r>
        <w:instrText xml:space="preserve"> PAGEREF _Toc158985457 \h </w:instrText>
      </w:r>
      <w:r>
        <w:fldChar w:fldCharType="separate"/>
      </w:r>
      <w:r>
        <w:t>1</w:t>
      </w:r>
      <w:r>
        <w:fldChar w:fldCharType="end"/>
      </w:r>
    </w:p>
    <w:p>
      <w:pPr>
        <w:pStyle w:val="TOC8"/>
        <w:rPr>
          <w:rFonts w:asciiTheme="minorHAnsi" w:eastAsiaTheme="minorEastAsia" w:hAnsiTheme="minorHAnsi" w:cstheme="minorBidi"/>
          <w:szCs w:val="22"/>
        </w:rPr>
      </w:pPr>
      <w:r>
        <w:t>59A.</w:t>
      </w:r>
      <w:r>
        <w:tab/>
        <w:t>Revoking or suspending works approval or licence</w:t>
      </w:r>
      <w:r>
        <w:tab/>
      </w:r>
      <w:r>
        <w:fldChar w:fldCharType="begin"/>
      </w:r>
      <w:r>
        <w:instrText xml:space="preserve"> PAGEREF _Toc158985458 \h </w:instrText>
      </w:r>
      <w:r>
        <w:fldChar w:fldCharType="separate"/>
      </w:r>
      <w:r>
        <w:t>1</w:t>
      </w:r>
      <w:r>
        <w:fldChar w:fldCharType="end"/>
      </w:r>
    </w:p>
    <w:p>
      <w:pPr>
        <w:pStyle w:val="TOC8"/>
        <w:rPr>
          <w:rFonts w:asciiTheme="minorHAnsi" w:eastAsiaTheme="minorEastAsia" w:hAnsiTheme="minorHAnsi" w:cstheme="minorBidi"/>
          <w:szCs w:val="22"/>
        </w:rPr>
      </w:pPr>
      <w:r>
        <w:t>59B.</w:t>
      </w:r>
      <w:r>
        <w:tab/>
        <w:t>Procedure for amending, revoking or suspending works approval or licence</w:t>
      </w:r>
      <w:r>
        <w:tab/>
      </w:r>
      <w:r>
        <w:fldChar w:fldCharType="begin"/>
      </w:r>
      <w:r>
        <w:instrText xml:space="preserve"> PAGEREF _Toc158985459 \h </w:instrText>
      </w:r>
      <w:r>
        <w:fldChar w:fldCharType="separate"/>
      </w:r>
      <w:r>
        <w:t>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Relationship between works approvals or licences and approved policies</w:t>
      </w:r>
      <w:r>
        <w:tab/>
      </w:r>
      <w:r>
        <w:fldChar w:fldCharType="begin"/>
      </w:r>
      <w:r>
        <w:instrText xml:space="preserve"> PAGEREF _Toc158985460 \h </w:instrText>
      </w:r>
      <w:r>
        <w:fldChar w:fldCharType="separate"/>
      </w:r>
      <w:r>
        <w:t>1</w:t>
      </w:r>
      <w:r>
        <w:fldChar w:fldCharType="end"/>
      </w:r>
    </w:p>
    <w:p>
      <w:pPr>
        <w:pStyle w:val="TOC8"/>
        <w:rPr>
          <w:rFonts w:asciiTheme="minorHAnsi" w:eastAsiaTheme="minorEastAsia" w:hAnsiTheme="minorHAnsi" w:cstheme="minorBidi"/>
          <w:szCs w:val="22"/>
        </w:rPr>
      </w:pPr>
      <w:r>
        <w:t>61.</w:t>
      </w:r>
      <w:r>
        <w:tab/>
      </w:r>
      <w:r>
        <w:rPr>
          <w:snapToGrid w:val="0"/>
        </w:rPr>
        <w:t>Duty of persons becoming occupiers of prescribed premises</w:t>
      </w:r>
      <w:r>
        <w:tab/>
      </w:r>
      <w:r>
        <w:fldChar w:fldCharType="begin"/>
      </w:r>
      <w:r>
        <w:instrText xml:space="preserve"> PAGEREF _Toc158985461 \h </w:instrText>
      </w:r>
      <w:r>
        <w:fldChar w:fldCharType="separate"/>
      </w:r>
      <w:r>
        <w:t>1</w:t>
      </w:r>
      <w:r>
        <w:fldChar w:fldCharType="end"/>
      </w:r>
    </w:p>
    <w:p>
      <w:pPr>
        <w:pStyle w:val="TOC8"/>
        <w:rPr>
          <w:rFonts w:asciiTheme="minorHAnsi" w:eastAsiaTheme="minorEastAsia" w:hAnsiTheme="minorHAnsi" w:cstheme="minorBidi"/>
          <w:szCs w:val="22"/>
        </w:rPr>
      </w:pPr>
      <w:r>
        <w:t>62.</w:t>
      </w:r>
      <w:r>
        <w:tab/>
        <w:t>Works approval and licence conditions</w:t>
      </w:r>
      <w:r>
        <w:tab/>
      </w:r>
      <w:r>
        <w:fldChar w:fldCharType="begin"/>
      </w:r>
      <w:r>
        <w:instrText xml:space="preserve"> PAGEREF _Toc158985462 \h </w:instrText>
      </w:r>
      <w:r>
        <w:fldChar w:fldCharType="separate"/>
      </w:r>
      <w:r>
        <w:t>1</w:t>
      </w:r>
      <w:r>
        <w:fldChar w:fldCharType="end"/>
      </w:r>
    </w:p>
    <w:p>
      <w:pPr>
        <w:pStyle w:val="TOC8"/>
        <w:rPr>
          <w:rFonts w:asciiTheme="minorHAnsi" w:eastAsiaTheme="minorEastAsia" w:hAnsiTheme="minorHAnsi" w:cstheme="minorBidi"/>
          <w:szCs w:val="22"/>
        </w:rPr>
      </w:pPr>
      <w:r>
        <w:t>62A.</w:t>
      </w:r>
      <w:r>
        <w:tab/>
        <w:t>Some kinds of conditions</w:t>
      </w:r>
      <w:r>
        <w:tab/>
      </w:r>
      <w:r>
        <w:fldChar w:fldCharType="begin"/>
      </w:r>
      <w:r>
        <w:instrText xml:space="preserve"> PAGEREF _Toc158985463 \h </w:instrText>
      </w:r>
      <w:r>
        <w:fldChar w:fldCharType="separate"/>
      </w:r>
      <w:r>
        <w:t>1</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Duration of works approvals and licences</w:t>
      </w:r>
      <w:r>
        <w:tab/>
      </w:r>
      <w:r>
        <w:fldChar w:fldCharType="begin"/>
      </w:r>
      <w:r>
        <w:instrText xml:space="preserve"> PAGEREF _Toc158985464 \h </w:instrText>
      </w:r>
      <w:r>
        <w:fldChar w:fldCharType="separate"/>
      </w:r>
      <w:r>
        <w:t>1</w:t>
      </w:r>
      <w:r>
        <w:fldChar w:fldCharType="end"/>
      </w:r>
    </w:p>
    <w:p>
      <w:pPr>
        <w:pStyle w:val="TOC8"/>
        <w:rPr>
          <w:rFonts w:asciiTheme="minorHAnsi" w:eastAsiaTheme="minorEastAsia" w:hAnsiTheme="minorHAnsi" w:cstheme="minorBidi"/>
          <w:szCs w:val="22"/>
        </w:rPr>
      </w:pPr>
      <w:r>
        <w:t>63A.</w:t>
      </w:r>
      <w:r>
        <w:tab/>
        <w:t>CEO to keep and publish record of works approvals and licences</w:t>
      </w:r>
      <w:r>
        <w:tab/>
      </w:r>
      <w:r>
        <w:fldChar w:fldCharType="begin"/>
      </w:r>
      <w:r>
        <w:instrText xml:space="preserve"> PAGEREF _Toc158985465 \h </w:instrText>
      </w:r>
      <w:r>
        <w:fldChar w:fldCharType="separate"/>
      </w:r>
      <w:r>
        <w:t>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Transfer of works approvals and licences</w:t>
      </w:r>
      <w:r>
        <w:tab/>
      </w:r>
      <w:r>
        <w:fldChar w:fldCharType="begin"/>
      </w:r>
      <w:r>
        <w:instrText xml:space="preserve"> PAGEREF _Toc158985466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Notices, orders and directions</w:t>
      </w:r>
    </w:p>
    <w:p>
      <w:pPr>
        <w:pStyle w:val="TOC8"/>
        <w:rPr>
          <w:rFonts w:asciiTheme="minorHAnsi" w:eastAsiaTheme="minorEastAsia" w:hAnsiTheme="minorHAnsi" w:cstheme="minorBidi"/>
          <w:szCs w:val="22"/>
        </w:rPr>
      </w:pPr>
      <w:r>
        <w:t>64A.</w:t>
      </w:r>
      <w:r>
        <w:tab/>
        <w:t>CEO to keep records of notices</w:t>
      </w:r>
      <w:r>
        <w:tab/>
      </w:r>
      <w:r>
        <w:fldChar w:fldCharType="begin"/>
      </w:r>
      <w:r>
        <w:instrText xml:space="preserve"> PAGEREF _Toc158985468 \h </w:instrText>
      </w:r>
      <w:r>
        <w:fldChar w:fldCharType="separate"/>
      </w:r>
      <w:r>
        <w:t>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Environmental protection notices, issue and effect of</w:t>
      </w:r>
      <w:r>
        <w:tab/>
      </w:r>
      <w:r>
        <w:fldChar w:fldCharType="begin"/>
      </w:r>
      <w:r>
        <w:instrText xml:space="preserve"> PAGEREF _Toc158985469 \h </w:instrText>
      </w:r>
      <w:r>
        <w:fldChar w:fldCharType="separate"/>
      </w:r>
      <w:r>
        <w:t>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Environmental protection notices, registration of etc. on land titles</w:t>
      </w:r>
      <w:r>
        <w:tab/>
      </w:r>
      <w:r>
        <w:fldChar w:fldCharType="begin"/>
      </w:r>
      <w:r>
        <w:instrText xml:space="preserve"> PAGEREF _Toc158985470 \h </w:instrText>
      </w:r>
      <w:r>
        <w:fldChar w:fldCharType="separate"/>
      </w:r>
      <w:r>
        <w:t>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Duties of person ceasing to be owner etc. of land subject to notice registered under s. 66</w:t>
      </w:r>
      <w:r>
        <w:tab/>
      </w:r>
      <w:r>
        <w:fldChar w:fldCharType="begin"/>
      </w:r>
      <w:r>
        <w:instrText xml:space="preserve"> PAGEREF _Toc158985471 \h </w:instrText>
      </w:r>
      <w:r>
        <w:fldChar w:fldCharType="separate"/>
      </w:r>
      <w:r>
        <w:t>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Restriction on subdividing etc. land subject to notice registered under s. 66</w:t>
      </w:r>
      <w:r>
        <w:tab/>
      </w:r>
      <w:r>
        <w:fldChar w:fldCharType="begin"/>
      </w:r>
      <w:r>
        <w:instrText xml:space="preserve"> PAGEREF _Toc158985472 \h </w:instrText>
      </w:r>
      <w:r>
        <w:fldChar w:fldCharType="separate"/>
      </w:r>
      <w:r>
        <w:t>1</w:t>
      </w:r>
      <w:r>
        <w:fldChar w:fldCharType="end"/>
      </w:r>
    </w:p>
    <w:p>
      <w:pPr>
        <w:pStyle w:val="TOC8"/>
        <w:rPr>
          <w:rFonts w:asciiTheme="minorHAnsi" w:eastAsiaTheme="minorEastAsia" w:hAnsiTheme="minorHAnsi" w:cstheme="minorBidi"/>
          <w:szCs w:val="22"/>
        </w:rPr>
      </w:pPr>
      <w:r>
        <w:lastRenderedPageBreak/>
        <w:t>68A.</w:t>
      </w:r>
      <w:r>
        <w:tab/>
        <w:t>Closure notices, issue and effect of</w:t>
      </w:r>
      <w:r>
        <w:tab/>
      </w:r>
      <w:r>
        <w:fldChar w:fldCharType="begin"/>
      </w:r>
      <w:r>
        <w:instrText xml:space="preserve"> PAGEREF _Toc158985473 \h </w:instrText>
      </w:r>
      <w:r>
        <w:fldChar w:fldCharType="separate"/>
      </w:r>
      <w:r>
        <w:t>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Stop orders, issue and effect of</w:t>
      </w:r>
      <w:r>
        <w:tab/>
      </w:r>
      <w:r>
        <w:fldChar w:fldCharType="begin"/>
      </w:r>
      <w:r>
        <w:instrText xml:space="preserve"> PAGEREF _Toc158985474 \h </w:instrText>
      </w:r>
      <w:r>
        <w:fldChar w:fldCharType="separate"/>
      </w:r>
      <w:r>
        <w:t>1</w:t>
      </w:r>
      <w:r>
        <w:fldChar w:fldCharType="end"/>
      </w:r>
    </w:p>
    <w:p>
      <w:pPr>
        <w:pStyle w:val="TOC8"/>
        <w:rPr>
          <w:rFonts w:asciiTheme="minorHAnsi" w:eastAsiaTheme="minorEastAsia" w:hAnsiTheme="minorHAnsi" w:cstheme="minorBidi"/>
          <w:szCs w:val="22"/>
        </w:rPr>
      </w:pPr>
      <w:r>
        <w:t>70.</w:t>
      </w:r>
      <w:r>
        <w:tab/>
        <w:t>Vegetation conservation notices, issue and effect of</w:t>
      </w:r>
      <w:r>
        <w:tab/>
      </w:r>
      <w:r>
        <w:fldChar w:fldCharType="begin"/>
      </w:r>
      <w:r>
        <w:instrText xml:space="preserve"> PAGEREF _Toc158985475 \h </w:instrText>
      </w:r>
      <w:r>
        <w:fldChar w:fldCharType="separate"/>
      </w:r>
      <w:r>
        <w:t>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Environmental protection directions, issue and effect of</w:t>
      </w:r>
      <w:r>
        <w:tab/>
      </w:r>
      <w:r>
        <w:fldChar w:fldCharType="begin"/>
      </w:r>
      <w:r>
        <w:instrText xml:space="preserve"> PAGEREF _Toc158985476 \h </w:instrText>
      </w:r>
      <w:r>
        <w:fldChar w:fldCharType="separate"/>
      </w:r>
      <w:r>
        <w:t>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Duty to notify CEO of discharges of waste</w:t>
      </w:r>
      <w:r>
        <w:tab/>
      </w:r>
      <w:r>
        <w:fldChar w:fldCharType="begin"/>
      </w:r>
      <w:r>
        <w:instrText xml:space="preserve"> PAGEREF _Toc158985477 \h </w:instrText>
      </w:r>
      <w:r>
        <w:fldChar w:fldCharType="separate"/>
      </w:r>
      <w:r>
        <w:t>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Powers to deal with etc. discharges of waste, pollution and environmental harm</w:t>
      </w:r>
      <w:r>
        <w:tab/>
      </w:r>
      <w:r>
        <w:fldChar w:fldCharType="begin"/>
      </w:r>
      <w:r>
        <w:instrText xml:space="preserve"> PAGEREF _Toc158985478 \h </w:instrText>
      </w:r>
      <w:r>
        <w:fldChar w:fldCharType="separate"/>
      </w:r>
      <w:r>
        <w:t>1</w:t>
      </w:r>
      <w:r>
        <w:fldChar w:fldCharType="end"/>
      </w:r>
    </w:p>
    <w:p>
      <w:pPr>
        <w:pStyle w:val="TOC8"/>
        <w:rPr>
          <w:rFonts w:asciiTheme="minorHAnsi" w:eastAsiaTheme="minorEastAsia" w:hAnsiTheme="minorHAnsi" w:cstheme="minorBidi"/>
          <w:szCs w:val="22"/>
        </w:rPr>
      </w:pPr>
      <w:r>
        <w:t>73A.</w:t>
      </w:r>
      <w:r>
        <w:tab/>
        <w:t>Prevention notices, issue and effect of</w:t>
      </w:r>
      <w:r>
        <w:tab/>
      </w:r>
      <w:r>
        <w:fldChar w:fldCharType="begin"/>
      </w:r>
      <w:r>
        <w:instrText xml:space="preserve"> PAGEREF _Toc158985479 \h </w:instrText>
      </w:r>
      <w:r>
        <w:fldChar w:fldCharType="separate"/>
      </w:r>
      <w:r>
        <w:t>1</w:t>
      </w:r>
      <w:r>
        <w:fldChar w:fldCharType="end"/>
      </w:r>
    </w:p>
    <w:p>
      <w:pPr>
        <w:pStyle w:val="TOC8"/>
        <w:rPr>
          <w:rFonts w:asciiTheme="minorHAnsi" w:eastAsiaTheme="minorEastAsia" w:hAnsiTheme="minorHAnsi" w:cstheme="minorBidi"/>
          <w:szCs w:val="22"/>
        </w:rPr>
      </w:pPr>
      <w:r>
        <w:t>73B.</w:t>
      </w:r>
      <w:r>
        <w:tab/>
        <w:t>Breach of notice issued under s. 65, 70 or 73A, damages for</w:t>
      </w:r>
      <w:r>
        <w:tab/>
      </w:r>
      <w:r>
        <w:fldChar w:fldCharType="begin"/>
      </w:r>
      <w:r>
        <w:instrText xml:space="preserve"> PAGEREF _Toc158985480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74</w:t>
      </w:r>
      <w:r>
        <w:rPr>
          <w:snapToGrid w:val="0"/>
        </w:rPr>
        <w:t>.</w:t>
      </w:r>
      <w:r>
        <w:rPr>
          <w:snapToGrid w:val="0"/>
        </w:rPr>
        <w:tab/>
        <w:t>Defences to certain offences</w:t>
      </w:r>
      <w:r>
        <w:tab/>
      </w:r>
      <w:r>
        <w:fldChar w:fldCharType="begin"/>
      </w:r>
      <w:r>
        <w:instrText xml:space="preserve"> PAGEREF _Toc158985482 \h </w:instrText>
      </w:r>
      <w:r>
        <w:fldChar w:fldCharType="separate"/>
      </w:r>
      <w:r>
        <w:t>1</w:t>
      </w:r>
      <w:r>
        <w:fldChar w:fldCharType="end"/>
      </w:r>
    </w:p>
    <w:p>
      <w:pPr>
        <w:pStyle w:val="TOC8"/>
        <w:rPr>
          <w:rFonts w:asciiTheme="minorHAnsi" w:eastAsiaTheme="minorEastAsia" w:hAnsiTheme="minorHAnsi" w:cstheme="minorBidi"/>
          <w:szCs w:val="22"/>
        </w:rPr>
      </w:pPr>
      <w:r>
        <w:t>74A.</w:t>
      </w:r>
      <w:r>
        <w:tab/>
        <w:t>Defences to offences of causing pollution etc.: authority of this Act</w:t>
      </w:r>
      <w:r>
        <w:tab/>
      </w:r>
      <w:r>
        <w:fldChar w:fldCharType="begin"/>
      </w:r>
      <w:r>
        <w:instrText xml:space="preserve"> PAGEREF _Toc158985483 \h </w:instrText>
      </w:r>
      <w:r>
        <w:fldChar w:fldCharType="separate"/>
      </w:r>
      <w:r>
        <w:t>1</w:t>
      </w:r>
      <w:r>
        <w:fldChar w:fldCharType="end"/>
      </w:r>
    </w:p>
    <w:p>
      <w:pPr>
        <w:pStyle w:val="TOC8"/>
        <w:rPr>
          <w:rFonts w:asciiTheme="minorHAnsi" w:eastAsiaTheme="minorEastAsia" w:hAnsiTheme="minorHAnsi" w:cstheme="minorBidi"/>
          <w:szCs w:val="22"/>
        </w:rPr>
      </w:pPr>
      <w:r>
        <w:t>74B.</w:t>
      </w:r>
      <w:r>
        <w:tab/>
        <w:t>Other defences to environmental harm offences</w:t>
      </w:r>
      <w:r>
        <w:tab/>
      </w:r>
      <w:r>
        <w:fldChar w:fldCharType="begin"/>
      </w:r>
      <w:r>
        <w:instrText xml:space="preserve"> PAGEREF _Toc158985484 \h </w:instrText>
      </w:r>
      <w:r>
        <w:fldChar w:fldCharType="separate"/>
      </w:r>
      <w:r>
        <w:t>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Discharges or emissions in emergencies</w:t>
      </w:r>
      <w:r>
        <w:tab/>
      </w:r>
      <w:r>
        <w:fldChar w:fldCharType="begin"/>
      </w:r>
      <w:r>
        <w:instrText xml:space="preserve"> PAGEREF _Toc158985485 \h </w:instrText>
      </w:r>
      <w:r>
        <w:fldChar w:fldCharType="separate"/>
      </w:r>
      <w:r>
        <w:t>1</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Miscellaneous offences</w:t>
      </w:r>
      <w:r>
        <w:tab/>
      </w:r>
      <w:r>
        <w:fldChar w:fldCharType="begin"/>
      </w:r>
      <w:r>
        <w:instrText xml:space="preserve"> PAGEREF _Toc158985486 \h </w:instrText>
      </w:r>
      <w:r>
        <w:fldChar w:fldCharType="separate"/>
      </w:r>
      <w:r>
        <w:t>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Vehicles and vessels, duties of owners etc. of</w:t>
      </w:r>
      <w:r>
        <w:tab/>
      </w:r>
      <w:r>
        <w:fldChar w:fldCharType="begin"/>
      </w:r>
      <w:r>
        <w:instrText xml:space="preserve"> PAGEREF _Toc158985487 \h </w:instrText>
      </w:r>
      <w:r>
        <w:fldChar w:fldCharType="separate"/>
      </w:r>
      <w:r>
        <w:t>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Interfering with anti</w:t>
      </w:r>
      <w:r>
        <w:rPr>
          <w:snapToGrid w:val="0"/>
        </w:rPr>
        <w:noBreakHyphen/>
        <w:t>pollution devices on vehicles or vessels</w:t>
      </w:r>
      <w:r>
        <w:tab/>
      </w:r>
      <w:r>
        <w:fldChar w:fldCharType="begin"/>
      </w:r>
      <w:r>
        <w:instrText xml:space="preserve"> PAGEREF _Toc158985488 \h </w:instrText>
      </w:r>
      <w:r>
        <w:fldChar w:fldCharType="separate"/>
      </w:r>
      <w:r>
        <w:t>1</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Unreasonable noise emissions from premises</w:t>
      </w:r>
      <w:r>
        <w:tab/>
      </w:r>
      <w:r>
        <w:fldChar w:fldCharType="begin"/>
      </w:r>
      <w:r>
        <w:instrText xml:space="preserve"> PAGEREF _Toc158985489 \h </w:instrText>
      </w:r>
      <w:r>
        <w:fldChar w:fldCharType="separate"/>
      </w:r>
      <w:r>
        <w:t>1</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Installing equipment emitting unreasonable noise</w:t>
      </w:r>
      <w:r>
        <w:tab/>
      </w:r>
      <w:r>
        <w:fldChar w:fldCharType="begin"/>
      </w:r>
      <w:r>
        <w:instrText xml:space="preserve"> PAGEREF _Toc158985490 \h </w:instrText>
      </w:r>
      <w:r>
        <w:fldChar w:fldCharType="separate"/>
      </w:r>
      <w:r>
        <w:t>1</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Noise abatement, powers for</w:t>
      </w:r>
      <w:r>
        <w:tab/>
      </w:r>
      <w:r>
        <w:fldChar w:fldCharType="begin"/>
      </w:r>
      <w:r>
        <w:instrText xml:space="preserve"> PAGEREF _Toc158985491 \h </w:instrText>
      </w:r>
      <w:r>
        <w:fldChar w:fldCharType="separate"/>
      </w:r>
      <w:r>
        <w:t>1</w:t>
      </w:r>
      <w:r>
        <w:fldChar w:fldCharType="end"/>
      </w:r>
    </w:p>
    <w:p>
      <w:pPr>
        <w:pStyle w:val="TOC8"/>
        <w:rPr>
          <w:rFonts w:asciiTheme="minorHAnsi" w:eastAsiaTheme="minorEastAsia" w:hAnsiTheme="minorHAnsi" w:cstheme="minorBidi"/>
          <w:szCs w:val="22"/>
        </w:rPr>
      </w:pPr>
      <w:r>
        <w:t>81A</w:t>
      </w:r>
      <w:r>
        <w:rPr>
          <w:snapToGrid w:val="0"/>
        </w:rPr>
        <w:t>.</w:t>
      </w:r>
      <w:r>
        <w:rPr>
          <w:snapToGrid w:val="0"/>
        </w:rPr>
        <w:tab/>
        <w:t>Seizing noisy equipment</w:t>
      </w:r>
      <w:r>
        <w:tab/>
      </w:r>
      <w:r>
        <w:fldChar w:fldCharType="begin"/>
      </w:r>
      <w:r>
        <w:instrText xml:space="preserve"> PAGEREF _Toc158985492 \h </w:instrText>
      </w:r>
      <w:r>
        <w:fldChar w:fldCharType="separate"/>
      </w:r>
      <w:r>
        <w:t>1</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Ancillary powers for s. 81 and 81A</w:t>
      </w:r>
      <w:r>
        <w:tab/>
      </w:r>
      <w:r>
        <w:fldChar w:fldCharType="begin"/>
      </w:r>
      <w:r>
        <w:instrText xml:space="preserve"> PAGEREF _Toc158985493 \h </w:instrText>
      </w:r>
      <w:r>
        <w:fldChar w:fldCharType="separate"/>
      </w:r>
      <w:r>
        <w:t>1</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Duty to give assistance and information to officials</w:t>
      </w:r>
      <w:r>
        <w:tab/>
      </w:r>
      <w:r>
        <w:fldChar w:fldCharType="begin"/>
      </w:r>
      <w:r>
        <w:instrText xml:space="preserve"> PAGEREF _Toc158985494 \h </w:instrText>
      </w:r>
      <w:r>
        <w:fldChar w:fldCharType="separate"/>
      </w:r>
      <w:r>
        <w:t>1</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Excessive noise emissions from vehicles or vessels</w:t>
      </w:r>
      <w:r>
        <w:tab/>
      </w:r>
      <w:r>
        <w:fldChar w:fldCharType="begin"/>
      </w:r>
      <w:r>
        <w:instrText xml:space="preserve"> PAGEREF _Toc158985495 \h </w:instrText>
      </w:r>
      <w:r>
        <w:fldChar w:fldCharType="separate"/>
      </w:r>
      <w:r>
        <w:t>1</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Excessive noise emissions from equipment</w:t>
      </w:r>
      <w:r>
        <w:tab/>
      </w:r>
      <w:r>
        <w:fldChar w:fldCharType="begin"/>
      </w:r>
      <w:r>
        <w:instrText xml:space="preserve"> PAGEREF _Toc158985496 \h </w:instrText>
      </w:r>
      <w:r>
        <w:fldChar w:fldCharType="separate"/>
      </w:r>
      <w:r>
        <w:t>1</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Manufacture, sale etc. of products emitting excessive noise</w:t>
      </w:r>
      <w:r>
        <w:tab/>
      </w:r>
      <w:r>
        <w:fldChar w:fldCharType="begin"/>
      </w:r>
      <w:r>
        <w:instrText xml:space="preserve"> PAGEREF _Toc158985497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VA — Financial assurances</w:t>
      </w:r>
    </w:p>
    <w:p>
      <w:pPr>
        <w:pStyle w:val="TOC8"/>
        <w:rPr>
          <w:rFonts w:asciiTheme="minorHAnsi" w:eastAsiaTheme="minorEastAsia" w:hAnsiTheme="minorHAnsi" w:cstheme="minorBidi"/>
          <w:szCs w:val="22"/>
        </w:rPr>
      </w:pPr>
      <w:r>
        <w:t>86A.</w:t>
      </w:r>
      <w:r>
        <w:tab/>
        <w:t>Terms used</w:t>
      </w:r>
      <w:r>
        <w:tab/>
      </w:r>
      <w:r>
        <w:fldChar w:fldCharType="begin"/>
      </w:r>
      <w:r>
        <w:instrText xml:space="preserve"> PAGEREF _Toc158985499 \h </w:instrText>
      </w:r>
      <w:r>
        <w:fldChar w:fldCharType="separate"/>
      </w:r>
      <w:r>
        <w:t>1</w:t>
      </w:r>
      <w:r>
        <w:fldChar w:fldCharType="end"/>
      </w:r>
    </w:p>
    <w:p>
      <w:pPr>
        <w:pStyle w:val="TOC8"/>
        <w:rPr>
          <w:rFonts w:asciiTheme="minorHAnsi" w:eastAsiaTheme="minorEastAsia" w:hAnsiTheme="minorHAnsi" w:cstheme="minorBidi"/>
          <w:szCs w:val="22"/>
        </w:rPr>
      </w:pPr>
      <w:r>
        <w:t>86B.</w:t>
      </w:r>
      <w:r>
        <w:tab/>
        <w:t>Financial assurance requirements, imposition and effect of</w:t>
      </w:r>
      <w:r>
        <w:tab/>
      </w:r>
      <w:r>
        <w:fldChar w:fldCharType="begin"/>
      </w:r>
      <w:r>
        <w:instrText xml:space="preserve"> PAGEREF _Toc158985500 \h </w:instrText>
      </w:r>
      <w:r>
        <w:fldChar w:fldCharType="separate"/>
      </w:r>
      <w:r>
        <w:t>1</w:t>
      </w:r>
      <w:r>
        <w:fldChar w:fldCharType="end"/>
      </w:r>
    </w:p>
    <w:p>
      <w:pPr>
        <w:pStyle w:val="TOC8"/>
        <w:rPr>
          <w:rFonts w:asciiTheme="minorHAnsi" w:eastAsiaTheme="minorEastAsia" w:hAnsiTheme="minorHAnsi" w:cstheme="minorBidi"/>
          <w:szCs w:val="22"/>
        </w:rPr>
      </w:pPr>
      <w:r>
        <w:t>86C.</w:t>
      </w:r>
      <w:r>
        <w:tab/>
        <w:t>Minister’s consent needed to impose etc. financial assurance requirement</w:t>
      </w:r>
      <w:r>
        <w:tab/>
      </w:r>
      <w:r>
        <w:fldChar w:fldCharType="begin"/>
      </w:r>
      <w:r>
        <w:instrText xml:space="preserve"> PAGEREF _Toc158985501 \h </w:instrText>
      </w:r>
      <w:r>
        <w:fldChar w:fldCharType="separate"/>
      </w:r>
      <w:r>
        <w:t>1</w:t>
      </w:r>
      <w:r>
        <w:fldChar w:fldCharType="end"/>
      </w:r>
    </w:p>
    <w:p>
      <w:pPr>
        <w:pStyle w:val="TOC8"/>
        <w:rPr>
          <w:rFonts w:asciiTheme="minorHAnsi" w:eastAsiaTheme="minorEastAsia" w:hAnsiTheme="minorHAnsi" w:cstheme="minorBidi"/>
          <w:szCs w:val="22"/>
        </w:rPr>
      </w:pPr>
      <w:r>
        <w:t>86D.</w:t>
      </w:r>
      <w:r>
        <w:tab/>
        <w:t>Amount of financial assurance</w:t>
      </w:r>
      <w:r>
        <w:tab/>
      </w:r>
      <w:r>
        <w:fldChar w:fldCharType="begin"/>
      </w:r>
      <w:r>
        <w:instrText xml:space="preserve"> PAGEREF _Toc158985502 \h </w:instrText>
      </w:r>
      <w:r>
        <w:fldChar w:fldCharType="separate"/>
      </w:r>
      <w:r>
        <w:t>1</w:t>
      </w:r>
      <w:r>
        <w:fldChar w:fldCharType="end"/>
      </w:r>
    </w:p>
    <w:p>
      <w:pPr>
        <w:pStyle w:val="TOC8"/>
        <w:rPr>
          <w:rFonts w:asciiTheme="minorHAnsi" w:eastAsiaTheme="minorEastAsia" w:hAnsiTheme="minorHAnsi" w:cstheme="minorBidi"/>
          <w:szCs w:val="22"/>
        </w:rPr>
      </w:pPr>
      <w:r>
        <w:lastRenderedPageBreak/>
        <w:t>86E.</w:t>
      </w:r>
      <w:r>
        <w:tab/>
        <w:t>Claim on or realising of financial assurance</w:t>
      </w:r>
      <w:r>
        <w:tab/>
      </w:r>
      <w:r>
        <w:fldChar w:fldCharType="begin"/>
      </w:r>
      <w:r>
        <w:instrText xml:space="preserve"> PAGEREF _Toc158985503 \h </w:instrText>
      </w:r>
      <w:r>
        <w:fldChar w:fldCharType="separate"/>
      </w:r>
      <w:r>
        <w:t>1</w:t>
      </w:r>
      <w:r>
        <w:fldChar w:fldCharType="end"/>
      </w:r>
    </w:p>
    <w:p>
      <w:pPr>
        <w:pStyle w:val="TOC8"/>
        <w:rPr>
          <w:rFonts w:asciiTheme="minorHAnsi" w:eastAsiaTheme="minorEastAsia" w:hAnsiTheme="minorHAnsi" w:cstheme="minorBidi"/>
          <w:szCs w:val="22"/>
        </w:rPr>
      </w:pPr>
      <w:r>
        <w:t>86F.</w:t>
      </w:r>
      <w:r>
        <w:tab/>
        <w:t>Lapsing of financial assurance requirement</w:t>
      </w:r>
      <w:r>
        <w:tab/>
      </w:r>
      <w:r>
        <w:fldChar w:fldCharType="begin"/>
      </w:r>
      <w:r>
        <w:instrText xml:space="preserve"> PAGEREF _Toc158985504 \h </w:instrText>
      </w:r>
      <w:r>
        <w:fldChar w:fldCharType="separate"/>
      </w:r>
      <w:r>
        <w:t>1</w:t>
      </w:r>
      <w:r>
        <w:fldChar w:fldCharType="end"/>
      </w:r>
    </w:p>
    <w:p>
      <w:pPr>
        <w:pStyle w:val="TOC8"/>
        <w:rPr>
          <w:rFonts w:asciiTheme="minorHAnsi" w:eastAsiaTheme="minorEastAsia" w:hAnsiTheme="minorHAnsi" w:cstheme="minorBidi"/>
          <w:szCs w:val="22"/>
        </w:rPr>
      </w:pPr>
      <w:r>
        <w:t>86G.</w:t>
      </w:r>
      <w:r>
        <w:tab/>
        <w:t>Use of financial assurance not to affect other action</w:t>
      </w:r>
      <w:r>
        <w:tab/>
      </w:r>
      <w:r>
        <w:fldChar w:fldCharType="begin"/>
      </w:r>
      <w:r>
        <w:instrText xml:space="preserve"> PAGEREF _Toc158985505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VI — Enforcement</w:t>
      </w:r>
    </w:p>
    <w:p>
      <w:pPr>
        <w:pStyle w:val="TOC8"/>
        <w:rPr>
          <w:rFonts w:asciiTheme="minorHAnsi" w:eastAsiaTheme="minorEastAsia" w:hAnsiTheme="minorHAnsi" w:cstheme="minorBidi"/>
          <w:szCs w:val="22"/>
        </w:rPr>
      </w:pPr>
      <w:r>
        <w:t>87</w:t>
      </w:r>
      <w:r>
        <w:rPr>
          <w:snapToGrid w:val="0"/>
        </w:rPr>
        <w:t>.</w:t>
      </w:r>
      <w:r>
        <w:rPr>
          <w:snapToGrid w:val="0"/>
        </w:rPr>
        <w:tab/>
        <w:t>Authorised persons, appointment of</w:t>
      </w:r>
      <w:r>
        <w:tab/>
      </w:r>
      <w:r>
        <w:fldChar w:fldCharType="begin"/>
      </w:r>
      <w:r>
        <w:instrText xml:space="preserve"> PAGEREF _Toc158985507 \h </w:instrText>
      </w:r>
      <w:r>
        <w:fldChar w:fldCharType="separate"/>
      </w:r>
      <w:r>
        <w:t>1</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Inspectors, appointment and purposes of</w:t>
      </w:r>
      <w:r>
        <w:tab/>
      </w:r>
      <w:r>
        <w:fldChar w:fldCharType="begin"/>
      </w:r>
      <w:r>
        <w:instrText xml:space="preserve"> PAGEREF _Toc158985508 \h </w:instrText>
      </w:r>
      <w:r>
        <w:fldChar w:fldCharType="separate"/>
      </w:r>
      <w:r>
        <w:t>1</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Entry powers of inspectors</w:t>
      </w:r>
      <w:r>
        <w:tab/>
      </w:r>
      <w:r>
        <w:fldChar w:fldCharType="begin"/>
      </w:r>
      <w:r>
        <w:instrText xml:space="preserve"> PAGEREF _Toc158985509 \h </w:instrText>
      </w:r>
      <w:r>
        <w:fldChar w:fldCharType="separate"/>
      </w:r>
      <w:r>
        <w:t>1</w:t>
      </w:r>
      <w:r>
        <w:fldChar w:fldCharType="end"/>
      </w:r>
    </w:p>
    <w:p>
      <w:pPr>
        <w:pStyle w:val="TOC8"/>
        <w:rPr>
          <w:rFonts w:asciiTheme="minorHAnsi" w:eastAsiaTheme="minorEastAsia" w:hAnsiTheme="minorHAnsi" w:cstheme="minorBidi"/>
          <w:szCs w:val="22"/>
        </w:rPr>
      </w:pPr>
      <w:r>
        <w:t>89A.</w:t>
      </w:r>
      <w:r>
        <w:tab/>
        <w:t>Use of assistance and force</w:t>
      </w:r>
      <w:r>
        <w:tab/>
      </w:r>
      <w:r>
        <w:fldChar w:fldCharType="begin"/>
      </w:r>
      <w:r>
        <w:instrText xml:space="preserve"> PAGEREF _Toc158985510 \h </w:instrText>
      </w:r>
      <w:r>
        <w:fldChar w:fldCharType="separate"/>
      </w:r>
      <w:r>
        <w:t>1</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r>
      <w:r>
        <w:t>Powers</w:t>
      </w:r>
      <w:r>
        <w:rPr>
          <w:snapToGrid w:val="0"/>
        </w:rPr>
        <w:t xml:space="preserve"> of inspectors to obtain information</w:t>
      </w:r>
      <w:r>
        <w:tab/>
      </w:r>
      <w:r>
        <w:fldChar w:fldCharType="begin"/>
      </w:r>
      <w:r>
        <w:instrText xml:space="preserve"> PAGEREF _Toc158985511 \h </w:instrText>
      </w:r>
      <w:r>
        <w:fldChar w:fldCharType="separate"/>
      </w:r>
      <w:r>
        <w:t>1</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Entry powers of inspectors for s. 86</w:t>
      </w:r>
      <w:r>
        <w:tab/>
      </w:r>
      <w:r>
        <w:fldChar w:fldCharType="begin"/>
      </w:r>
      <w:r>
        <w:instrText xml:space="preserve"> PAGEREF _Toc158985512 \h </w:instrText>
      </w:r>
      <w:r>
        <w:fldChar w:fldCharType="separate"/>
      </w:r>
      <w:r>
        <w:t>1</w:t>
      </w:r>
      <w:r>
        <w:fldChar w:fldCharType="end"/>
      </w:r>
    </w:p>
    <w:p>
      <w:pPr>
        <w:pStyle w:val="TOC8"/>
        <w:rPr>
          <w:rFonts w:asciiTheme="minorHAnsi" w:eastAsiaTheme="minorEastAsia" w:hAnsiTheme="minorHAnsi" w:cstheme="minorBidi"/>
          <w:szCs w:val="22"/>
        </w:rPr>
      </w:pPr>
      <w:r>
        <w:t>91A.</w:t>
      </w:r>
      <w:r>
        <w:tab/>
        <w:t>Stopping etc. vehicles and vessels, powers of inspectors and authorised persons as to</w:t>
      </w:r>
      <w:r>
        <w:tab/>
      </w:r>
      <w:r>
        <w:fldChar w:fldCharType="begin"/>
      </w:r>
      <w:r>
        <w:instrText xml:space="preserve"> PAGEREF _Toc158985513 \h </w:instrText>
      </w:r>
      <w:r>
        <w:fldChar w:fldCharType="separate"/>
      </w:r>
      <w:r>
        <w:t>1</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Inspectors may require details of certain occupiers and others</w:t>
      </w:r>
      <w:r>
        <w:tab/>
      </w:r>
      <w:r>
        <w:fldChar w:fldCharType="begin"/>
      </w:r>
      <w:r>
        <w:instrText xml:space="preserve"> PAGEREF _Toc158985514 \h </w:instrText>
      </w:r>
      <w:r>
        <w:fldChar w:fldCharType="separate"/>
      </w:r>
      <w:r>
        <w:t>1</w:t>
      </w:r>
      <w:r>
        <w:fldChar w:fldCharType="end"/>
      </w:r>
    </w:p>
    <w:p>
      <w:pPr>
        <w:pStyle w:val="TOC8"/>
        <w:rPr>
          <w:rFonts w:asciiTheme="minorHAnsi" w:eastAsiaTheme="minorEastAsia" w:hAnsiTheme="minorHAnsi" w:cstheme="minorBidi"/>
          <w:szCs w:val="22"/>
        </w:rPr>
      </w:pPr>
      <w:r>
        <w:t>92A.</w:t>
      </w:r>
      <w:r>
        <w:tab/>
        <w:t>Seizing evidence etc.</w:t>
      </w:r>
      <w:r>
        <w:tab/>
      </w:r>
      <w:r>
        <w:fldChar w:fldCharType="begin"/>
      </w:r>
      <w:r>
        <w:instrText xml:space="preserve"> PAGEREF _Toc158985515 \h </w:instrText>
      </w:r>
      <w:r>
        <w:fldChar w:fldCharType="separate"/>
      </w:r>
      <w:r>
        <w:t>1</w:t>
      </w:r>
      <w:r>
        <w:fldChar w:fldCharType="end"/>
      </w:r>
    </w:p>
    <w:p>
      <w:pPr>
        <w:pStyle w:val="TOC8"/>
        <w:rPr>
          <w:rFonts w:asciiTheme="minorHAnsi" w:eastAsiaTheme="minorEastAsia" w:hAnsiTheme="minorHAnsi" w:cstheme="minorBidi"/>
          <w:szCs w:val="22"/>
        </w:rPr>
      </w:pPr>
      <w:r>
        <w:t>92B.</w:t>
      </w:r>
      <w:r>
        <w:tab/>
        <w:t>Dealing with seized things</w:t>
      </w:r>
      <w:r>
        <w:tab/>
      </w:r>
      <w:r>
        <w:fldChar w:fldCharType="begin"/>
      </w:r>
      <w:r>
        <w:instrText xml:space="preserve"> PAGEREF _Toc158985516 \h </w:instrText>
      </w:r>
      <w:r>
        <w:fldChar w:fldCharType="separate"/>
      </w:r>
      <w:r>
        <w:t>1</w:t>
      </w:r>
      <w:r>
        <w:fldChar w:fldCharType="end"/>
      </w:r>
    </w:p>
    <w:p>
      <w:pPr>
        <w:pStyle w:val="TOC8"/>
        <w:rPr>
          <w:rFonts w:asciiTheme="minorHAnsi" w:eastAsiaTheme="minorEastAsia" w:hAnsiTheme="minorHAnsi" w:cstheme="minorBidi"/>
          <w:szCs w:val="22"/>
        </w:rPr>
      </w:pPr>
      <w:r>
        <w:t>92C.</w:t>
      </w:r>
      <w:r>
        <w:tab/>
        <w:t>Returning seized things</w:t>
      </w:r>
      <w:r>
        <w:tab/>
      </w:r>
      <w:r>
        <w:fldChar w:fldCharType="begin"/>
      </w:r>
      <w:r>
        <w:instrText xml:space="preserve"> PAGEREF _Toc158985517 \h </w:instrText>
      </w:r>
      <w:r>
        <w:fldChar w:fldCharType="separate"/>
      </w:r>
      <w:r>
        <w:t>1</w:t>
      </w:r>
      <w:r>
        <w:fldChar w:fldCharType="end"/>
      </w:r>
    </w:p>
    <w:p>
      <w:pPr>
        <w:pStyle w:val="TOC8"/>
        <w:rPr>
          <w:rFonts w:asciiTheme="minorHAnsi" w:eastAsiaTheme="minorEastAsia" w:hAnsiTheme="minorHAnsi" w:cstheme="minorBidi"/>
          <w:szCs w:val="22"/>
        </w:rPr>
      </w:pPr>
      <w:r>
        <w:t>92D.</w:t>
      </w:r>
      <w:r>
        <w:tab/>
        <w:t>Forfeiture of abandoned property</w:t>
      </w:r>
      <w:r>
        <w:tab/>
      </w:r>
      <w:r>
        <w:fldChar w:fldCharType="begin"/>
      </w:r>
      <w:r>
        <w:instrText xml:space="preserve"> PAGEREF _Toc158985518 \h </w:instrText>
      </w:r>
      <w:r>
        <w:fldChar w:fldCharType="separate"/>
      </w:r>
      <w:r>
        <w:t>1</w:t>
      </w:r>
      <w:r>
        <w:fldChar w:fldCharType="end"/>
      </w:r>
    </w:p>
    <w:p>
      <w:pPr>
        <w:pStyle w:val="TOC8"/>
        <w:rPr>
          <w:rFonts w:asciiTheme="minorHAnsi" w:eastAsiaTheme="minorEastAsia" w:hAnsiTheme="minorHAnsi" w:cstheme="minorBidi"/>
          <w:szCs w:val="22"/>
        </w:rPr>
      </w:pPr>
      <w:r>
        <w:t>92E.</w:t>
      </w:r>
      <w:r>
        <w:tab/>
        <w:t>Person not to interfere with seized things</w:t>
      </w:r>
      <w:r>
        <w:tab/>
      </w:r>
      <w:r>
        <w:fldChar w:fldCharType="begin"/>
      </w:r>
      <w:r>
        <w:instrText xml:space="preserve"> PAGEREF _Toc158985519 \h </w:instrText>
      </w:r>
      <w:r>
        <w:fldChar w:fldCharType="separate"/>
      </w:r>
      <w:r>
        <w:t>1</w:t>
      </w:r>
      <w:r>
        <w:fldChar w:fldCharType="end"/>
      </w:r>
    </w:p>
    <w:p>
      <w:pPr>
        <w:pStyle w:val="TOC8"/>
        <w:rPr>
          <w:rFonts w:asciiTheme="minorHAnsi" w:eastAsiaTheme="minorEastAsia" w:hAnsiTheme="minorHAnsi" w:cstheme="minorBidi"/>
          <w:szCs w:val="22"/>
        </w:rPr>
      </w:pPr>
      <w:r>
        <w:t>92G.</w:t>
      </w:r>
      <w:r>
        <w:tab/>
        <w:t>Inspector to try to minimise damage</w:t>
      </w:r>
      <w:r>
        <w:tab/>
      </w:r>
      <w:r>
        <w:fldChar w:fldCharType="begin"/>
      </w:r>
      <w:r>
        <w:instrText xml:space="preserve"> PAGEREF _Toc158985520 \h </w:instrText>
      </w:r>
      <w:r>
        <w:fldChar w:fldCharType="separate"/>
      </w:r>
      <w:r>
        <w:t>1</w:t>
      </w:r>
      <w:r>
        <w:fldChar w:fldCharType="end"/>
      </w:r>
    </w:p>
    <w:p>
      <w:pPr>
        <w:pStyle w:val="TOC8"/>
        <w:rPr>
          <w:rFonts w:asciiTheme="minorHAnsi" w:eastAsiaTheme="minorEastAsia" w:hAnsiTheme="minorHAnsi" w:cstheme="minorBidi"/>
          <w:szCs w:val="22"/>
        </w:rPr>
      </w:pPr>
      <w:r>
        <w:t>92H.</w:t>
      </w:r>
      <w:r>
        <w:tab/>
        <w:t>Compensation for loss etc. due to enforcement action</w:t>
      </w:r>
      <w:r>
        <w:tab/>
      </w:r>
      <w:r>
        <w:fldChar w:fldCharType="begin"/>
      </w:r>
      <w:r>
        <w:instrText xml:space="preserve"> PAGEREF _Toc158985521 \h </w:instrText>
      </w:r>
      <w:r>
        <w:fldChar w:fldCharType="separate"/>
      </w:r>
      <w:r>
        <w:t>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Obstructing etc. inspectors or authorised persons</w:t>
      </w:r>
      <w:r>
        <w:tab/>
      </w:r>
      <w:r>
        <w:fldChar w:fldCharType="begin"/>
      </w:r>
      <w:r>
        <w:instrText xml:space="preserve"> PAGEREF _Toc158985522 \h </w:instrText>
      </w:r>
      <w:r>
        <w:fldChar w:fldCharType="separate"/>
      </w:r>
      <w:r>
        <w:t>1</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Analysts, appointment of</w:t>
      </w:r>
      <w:r>
        <w:tab/>
      </w:r>
      <w:r>
        <w:fldChar w:fldCharType="begin"/>
      </w:r>
      <w:r>
        <w:instrText xml:space="preserve"> PAGEREF _Toc158985523 \h </w:instrText>
      </w:r>
      <w:r>
        <w:fldChar w:fldCharType="separate"/>
      </w:r>
      <w:r>
        <w:t>1</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CEO may require information about industrial processes etc.</w:t>
      </w:r>
      <w:r>
        <w:tab/>
      </w:r>
      <w:r>
        <w:fldChar w:fldCharType="begin"/>
      </w:r>
      <w:r>
        <w:instrText xml:space="preserve"> PAGEREF _Toc158985524 \h </w:instrText>
      </w:r>
      <w:r>
        <w:fldChar w:fldCharType="separate"/>
      </w:r>
      <w:r>
        <w:t>1</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CEO may require information about vehicles or vessels</w:t>
      </w:r>
      <w:r>
        <w:tab/>
      </w:r>
      <w:r>
        <w:fldChar w:fldCharType="begin"/>
      </w:r>
      <w:r>
        <w:instrText xml:space="preserve"> PAGEREF _Toc158985525 \h </w:instrText>
      </w:r>
      <w:r>
        <w:fldChar w:fldCharType="separate"/>
      </w:r>
      <w:r>
        <w:t>1</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r>
      <w:r>
        <w:t>CEO</w:t>
      </w:r>
      <w:r>
        <w:rPr>
          <w:snapToGrid w:val="0"/>
        </w:rPr>
        <w:t xml:space="preserve"> may require vehicles, vessels and equipment to be made available for testing</w:t>
      </w:r>
      <w:r>
        <w:tab/>
      </w:r>
      <w:r>
        <w:fldChar w:fldCharType="begin"/>
      </w:r>
      <w:r>
        <w:instrText xml:space="preserve"> PAGEREF _Toc158985526 \h </w:instrText>
      </w:r>
      <w:r>
        <w:fldChar w:fldCharType="separate"/>
      </w:r>
      <w:r>
        <w:t>1</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Police officers’ powers for inspecting etc. vehicles and vessels</w:t>
      </w:r>
      <w:r>
        <w:tab/>
      </w:r>
      <w:r>
        <w:fldChar w:fldCharType="begin"/>
      </w:r>
      <w:r>
        <w:instrText xml:space="preserve"> PAGEREF _Toc158985527 \h </w:instrText>
      </w:r>
      <w:r>
        <w:fldChar w:fldCharType="separate"/>
      </w:r>
      <w:r>
        <w:t>1</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Police officers may stop audible alarms</w:t>
      </w:r>
      <w:r>
        <w:tab/>
      </w:r>
      <w:r>
        <w:fldChar w:fldCharType="begin"/>
      </w:r>
      <w:r>
        <w:instrText xml:space="preserve"> PAGEREF _Toc158985528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VIA — Legal proceedings and penalties</w:t>
      </w:r>
    </w:p>
    <w:p>
      <w:pPr>
        <w:pStyle w:val="TOC4"/>
        <w:tabs>
          <w:tab w:val="right" w:leader="dot" w:pos="7077"/>
        </w:tabs>
        <w:rPr>
          <w:rFonts w:asciiTheme="minorHAnsi" w:eastAsiaTheme="minorEastAsia" w:hAnsiTheme="minorHAnsi" w:cstheme="minorBidi"/>
          <w:b w:val="0"/>
          <w:szCs w:val="22"/>
        </w:rPr>
      </w:pPr>
      <w:r>
        <w:t>Division 1 — Prescribed offences and modified penalties</w:t>
      </w:r>
    </w:p>
    <w:p>
      <w:pPr>
        <w:pStyle w:val="TOC8"/>
        <w:rPr>
          <w:rFonts w:asciiTheme="minorHAnsi" w:eastAsiaTheme="minorEastAsia" w:hAnsiTheme="minorHAnsi" w:cstheme="minorBidi"/>
          <w:szCs w:val="22"/>
        </w:rPr>
      </w:pPr>
      <w:r>
        <w:t>99AA.</w:t>
      </w:r>
      <w:r>
        <w:tab/>
        <w:t>Term used: prescribed offence</w:t>
      </w:r>
      <w:r>
        <w:tab/>
      </w:r>
      <w:r>
        <w:fldChar w:fldCharType="begin"/>
      </w:r>
      <w:r>
        <w:instrText xml:space="preserve"> PAGEREF _Toc158985531 \h </w:instrText>
      </w:r>
      <w:r>
        <w:fldChar w:fldCharType="separate"/>
      </w:r>
      <w:r>
        <w:t>1</w:t>
      </w:r>
      <w:r>
        <w:fldChar w:fldCharType="end"/>
      </w:r>
    </w:p>
    <w:p>
      <w:pPr>
        <w:pStyle w:val="TOC8"/>
        <w:rPr>
          <w:rFonts w:asciiTheme="minorHAnsi" w:eastAsiaTheme="minorEastAsia" w:hAnsiTheme="minorHAnsi" w:cstheme="minorBidi"/>
          <w:szCs w:val="22"/>
        </w:rPr>
      </w:pPr>
      <w:r>
        <w:lastRenderedPageBreak/>
        <w:t>99A.</w:t>
      </w:r>
      <w:r>
        <w:tab/>
        <w:t>Modified penalty notice, issue of</w:t>
      </w:r>
      <w:r>
        <w:tab/>
      </w:r>
      <w:r>
        <w:fldChar w:fldCharType="begin"/>
      </w:r>
      <w:r>
        <w:instrText xml:space="preserve"> PAGEREF _Toc158985532 \h </w:instrText>
      </w:r>
      <w:r>
        <w:fldChar w:fldCharType="separate"/>
      </w:r>
      <w:r>
        <w:t>1</w:t>
      </w:r>
      <w:r>
        <w:fldChar w:fldCharType="end"/>
      </w:r>
    </w:p>
    <w:p>
      <w:pPr>
        <w:pStyle w:val="TOC8"/>
        <w:rPr>
          <w:rFonts w:asciiTheme="minorHAnsi" w:eastAsiaTheme="minorEastAsia" w:hAnsiTheme="minorHAnsi" w:cstheme="minorBidi"/>
          <w:szCs w:val="22"/>
        </w:rPr>
      </w:pPr>
      <w:r>
        <w:t>99B.</w:t>
      </w:r>
      <w:r>
        <w:tab/>
        <w:t>Content of modified penalty notice</w:t>
      </w:r>
      <w:r>
        <w:tab/>
      </w:r>
      <w:r>
        <w:fldChar w:fldCharType="begin"/>
      </w:r>
      <w:r>
        <w:instrText xml:space="preserve"> PAGEREF _Toc158985533 \h </w:instrText>
      </w:r>
      <w:r>
        <w:fldChar w:fldCharType="separate"/>
      </w:r>
      <w:r>
        <w:t>1</w:t>
      </w:r>
      <w:r>
        <w:fldChar w:fldCharType="end"/>
      </w:r>
    </w:p>
    <w:p>
      <w:pPr>
        <w:pStyle w:val="TOC8"/>
        <w:rPr>
          <w:rFonts w:asciiTheme="minorHAnsi" w:eastAsiaTheme="minorEastAsia" w:hAnsiTheme="minorHAnsi" w:cstheme="minorBidi"/>
          <w:szCs w:val="22"/>
        </w:rPr>
      </w:pPr>
      <w:r>
        <w:t>99C.</w:t>
      </w:r>
      <w:r>
        <w:tab/>
        <w:t>Extending time to pay modified penalty</w:t>
      </w:r>
      <w:r>
        <w:tab/>
      </w:r>
      <w:r>
        <w:fldChar w:fldCharType="begin"/>
      </w:r>
      <w:r>
        <w:instrText xml:space="preserve"> PAGEREF _Toc158985534 \h </w:instrText>
      </w:r>
      <w:r>
        <w:fldChar w:fldCharType="separate"/>
      </w:r>
      <w:r>
        <w:t>1</w:t>
      </w:r>
      <w:r>
        <w:fldChar w:fldCharType="end"/>
      </w:r>
    </w:p>
    <w:p>
      <w:pPr>
        <w:pStyle w:val="TOC8"/>
        <w:rPr>
          <w:rFonts w:asciiTheme="minorHAnsi" w:eastAsiaTheme="minorEastAsia" w:hAnsiTheme="minorHAnsi" w:cstheme="minorBidi"/>
          <w:szCs w:val="22"/>
        </w:rPr>
      </w:pPr>
      <w:r>
        <w:t>99D.</w:t>
      </w:r>
      <w:r>
        <w:tab/>
        <w:t>Withdrawing modified penalty notice</w:t>
      </w:r>
      <w:r>
        <w:tab/>
      </w:r>
      <w:r>
        <w:fldChar w:fldCharType="begin"/>
      </w:r>
      <w:r>
        <w:instrText xml:space="preserve"> PAGEREF _Toc158985535 \h </w:instrText>
      </w:r>
      <w:r>
        <w:fldChar w:fldCharType="separate"/>
      </w:r>
      <w:r>
        <w:t>1</w:t>
      </w:r>
      <w:r>
        <w:fldChar w:fldCharType="end"/>
      </w:r>
    </w:p>
    <w:p>
      <w:pPr>
        <w:pStyle w:val="TOC8"/>
        <w:rPr>
          <w:rFonts w:asciiTheme="minorHAnsi" w:eastAsiaTheme="minorEastAsia" w:hAnsiTheme="minorHAnsi" w:cstheme="minorBidi"/>
          <w:szCs w:val="22"/>
        </w:rPr>
      </w:pPr>
      <w:r>
        <w:t>99E.</w:t>
      </w:r>
      <w:r>
        <w:tab/>
        <w:t>Consequence of paying modified penalty</w:t>
      </w:r>
      <w:r>
        <w:tab/>
      </w:r>
      <w:r>
        <w:fldChar w:fldCharType="begin"/>
      </w:r>
      <w:r>
        <w:instrText xml:space="preserve"> PAGEREF _Toc158985536 \h </w:instrText>
      </w:r>
      <w:r>
        <w:fldChar w:fldCharType="separate"/>
      </w:r>
      <w:r>
        <w:t>1</w:t>
      </w:r>
      <w:r>
        <w:fldChar w:fldCharType="end"/>
      </w:r>
    </w:p>
    <w:p>
      <w:pPr>
        <w:pStyle w:val="TOC8"/>
        <w:rPr>
          <w:rFonts w:asciiTheme="minorHAnsi" w:eastAsiaTheme="minorEastAsia" w:hAnsiTheme="minorHAnsi" w:cstheme="minorBidi"/>
          <w:szCs w:val="22"/>
        </w:rPr>
      </w:pPr>
      <w:r>
        <w:t>99F.</w:t>
      </w:r>
      <w:r>
        <w:tab/>
        <w:t>Register of modified penalty notices etc.</w:t>
      </w:r>
      <w:r>
        <w:tab/>
      </w:r>
      <w:r>
        <w:fldChar w:fldCharType="begin"/>
      </w:r>
      <w:r>
        <w:instrText xml:space="preserve"> PAGEREF _Toc158985537 \h </w:instrText>
      </w:r>
      <w:r>
        <w:fldChar w:fldCharType="separate"/>
      </w:r>
      <w:r>
        <w:t>1</w:t>
      </w:r>
      <w:r>
        <w:fldChar w:fldCharType="end"/>
      </w:r>
    </w:p>
    <w:p>
      <w:pPr>
        <w:pStyle w:val="TOC8"/>
        <w:rPr>
          <w:rFonts w:asciiTheme="minorHAnsi" w:eastAsiaTheme="minorEastAsia" w:hAnsiTheme="minorHAnsi" w:cstheme="minorBidi"/>
          <w:szCs w:val="22"/>
        </w:rPr>
      </w:pPr>
      <w:r>
        <w:t>99G.</w:t>
      </w:r>
      <w:r>
        <w:tab/>
        <w:t>Application of penalties collected</w:t>
      </w:r>
      <w:r>
        <w:tab/>
      </w:r>
      <w:r>
        <w:fldChar w:fldCharType="begin"/>
      </w:r>
      <w:r>
        <w:instrText xml:space="preserve"> PAGEREF _Toc158985538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Infringement notice offences</w:t>
      </w:r>
    </w:p>
    <w:p>
      <w:pPr>
        <w:pStyle w:val="TOC8"/>
        <w:rPr>
          <w:rFonts w:asciiTheme="minorHAnsi" w:eastAsiaTheme="minorEastAsia" w:hAnsiTheme="minorHAnsi" w:cstheme="minorBidi"/>
          <w:szCs w:val="22"/>
        </w:rPr>
      </w:pPr>
      <w:r>
        <w:t>99H.</w:t>
      </w:r>
      <w:r>
        <w:tab/>
        <w:t>Terms used</w:t>
      </w:r>
      <w:r>
        <w:tab/>
      </w:r>
      <w:r>
        <w:fldChar w:fldCharType="begin"/>
      </w:r>
      <w:r>
        <w:instrText xml:space="preserve"> PAGEREF _Toc158985540 \h </w:instrText>
      </w:r>
      <w:r>
        <w:fldChar w:fldCharType="separate"/>
      </w:r>
      <w:r>
        <w:t>1</w:t>
      </w:r>
      <w:r>
        <w:fldChar w:fldCharType="end"/>
      </w:r>
    </w:p>
    <w:p>
      <w:pPr>
        <w:pStyle w:val="TOC8"/>
        <w:rPr>
          <w:rFonts w:asciiTheme="minorHAnsi" w:eastAsiaTheme="minorEastAsia" w:hAnsiTheme="minorHAnsi" w:cstheme="minorBidi"/>
          <w:szCs w:val="22"/>
        </w:rPr>
      </w:pPr>
      <w:r>
        <w:t>99I.</w:t>
      </w:r>
      <w:r>
        <w:tab/>
        <w:t>Designated persons for s. 99K, 99M or 99N, appointment of</w:t>
      </w:r>
      <w:r>
        <w:tab/>
      </w:r>
      <w:r>
        <w:fldChar w:fldCharType="begin"/>
      </w:r>
      <w:r>
        <w:instrText xml:space="preserve"> PAGEREF _Toc158985541 \h </w:instrText>
      </w:r>
      <w:r>
        <w:fldChar w:fldCharType="separate"/>
      </w:r>
      <w:r>
        <w:t>1</w:t>
      </w:r>
      <w:r>
        <w:fldChar w:fldCharType="end"/>
      </w:r>
    </w:p>
    <w:p>
      <w:pPr>
        <w:pStyle w:val="TOC8"/>
        <w:rPr>
          <w:rFonts w:asciiTheme="minorHAnsi" w:eastAsiaTheme="minorEastAsia" w:hAnsiTheme="minorHAnsi" w:cstheme="minorBidi"/>
          <w:szCs w:val="22"/>
        </w:rPr>
      </w:pPr>
      <w:r>
        <w:t>99J.</w:t>
      </w:r>
      <w:r>
        <w:tab/>
        <w:t>Infringement notice, issue of</w:t>
      </w:r>
      <w:r>
        <w:tab/>
      </w:r>
      <w:r>
        <w:fldChar w:fldCharType="begin"/>
      </w:r>
      <w:r>
        <w:instrText xml:space="preserve"> PAGEREF _Toc158985542 \h </w:instrText>
      </w:r>
      <w:r>
        <w:fldChar w:fldCharType="separate"/>
      </w:r>
      <w:r>
        <w:t>1</w:t>
      </w:r>
      <w:r>
        <w:fldChar w:fldCharType="end"/>
      </w:r>
    </w:p>
    <w:p>
      <w:pPr>
        <w:pStyle w:val="TOC8"/>
        <w:rPr>
          <w:rFonts w:asciiTheme="minorHAnsi" w:eastAsiaTheme="minorEastAsia" w:hAnsiTheme="minorHAnsi" w:cstheme="minorBidi"/>
          <w:szCs w:val="22"/>
        </w:rPr>
      </w:pPr>
      <w:r>
        <w:t>99K.</w:t>
      </w:r>
      <w:r>
        <w:tab/>
        <w:t>Content of infringement notice</w:t>
      </w:r>
      <w:r>
        <w:tab/>
      </w:r>
      <w:r>
        <w:fldChar w:fldCharType="begin"/>
      </w:r>
      <w:r>
        <w:instrText xml:space="preserve"> PAGEREF _Toc158985543 \h </w:instrText>
      </w:r>
      <w:r>
        <w:fldChar w:fldCharType="separate"/>
      </w:r>
      <w:r>
        <w:t>1</w:t>
      </w:r>
      <w:r>
        <w:fldChar w:fldCharType="end"/>
      </w:r>
    </w:p>
    <w:p>
      <w:pPr>
        <w:pStyle w:val="TOC8"/>
        <w:rPr>
          <w:rFonts w:asciiTheme="minorHAnsi" w:eastAsiaTheme="minorEastAsia" w:hAnsiTheme="minorHAnsi" w:cstheme="minorBidi"/>
          <w:szCs w:val="22"/>
        </w:rPr>
      </w:pPr>
      <w:r>
        <w:t>99L.</w:t>
      </w:r>
      <w:r>
        <w:tab/>
        <w:t>Some prior convictions and payments of modified penalties to be disregarded for s. 99K(3)</w:t>
      </w:r>
      <w:r>
        <w:tab/>
      </w:r>
      <w:r>
        <w:fldChar w:fldCharType="begin"/>
      </w:r>
      <w:r>
        <w:instrText xml:space="preserve"> PAGEREF _Toc158985544 \h </w:instrText>
      </w:r>
      <w:r>
        <w:fldChar w:fldCharType="separate"/>
      </w:r>
      <w:r>
        <w:t>1</w:t>
      </w:r>
      <w:r>
        <w:fldChar w:fldCharType="end"/>
      </w:r>
    </w:p>
    <w:p>
      <w:pPr>
        <w:pStyle w:val="TOC8"/>
        <w:rPr>
          <w:rFonts w:asciiTheme="minorHAnsi" w:eastAsiaTheme="minorEastAsia" w:hAnsiTheme="minorHAnsi" w:cstheme="minorBidi"/>
          <w:szCs w:val="22"/>
        </w:rPr>
      </w:pPr>
      <w:r>
        <w:t>99M.</w:t>
      </w:r>
      <w:r>
        <w:tab/>
        <w:t>Extending time to pay modified penalty</w:t>
      </w:r>
      <w:r>
        <w:tab/>
      </w:r>
      <w:r>
        <w:fldChar w:fldCharType="begin"/>
      </w:r>
      <w:r>
        <w:instrText xml:space="preserve"> PAGEREF _Toc158985545 \h </w:instrText>
      </w:r>
      <w:r>
        <w:fldChar w:fldCharType="separate"/>
      </w:r>
      <w:r>
        <w:t>1</w:t>
      </w:r>
      <w:r>
        <w:fldChar w:fldCharType="end"/>
      </w:r>
    </w:p>
    <w:p>
      <w:pPr>
        <w:pStyle w:val="TOC8"/>
        <w:rPr>
          <w:rFonts w:asciiTheme="minorHAnsi" w:eastAsiaTheme="minorEastAsia" w:hAnsiTheme="minorHAnsi" w:cstheme="minorBidi"/>
          <w:szCs w:val="22"/>
        </w:rPr>
      </w:pPr>
      <w:r>
        <w:t>99N.</w:t>
      </w:r>
      <w:r>
        <w:tab/>
        <w:t>Withdrawing infringement notice</w:t>
      </w:r>
      <w:r>
        <w:tab/>
      </w:r>
      <w:r>
        <w:fldChar w:fldCharType="begin"/>
      </w:r>
      <w:r>
        <w:instrText xml:space="preserve"> PAGEREF _Toc158985546 \h </w:instrText>
      </w:r>
      <w:r>
        <w:fldChar w:fldCharType="separate"/>
      </w:r>
      <w:r>
        <w:t>1</w:t>
      </w:r>
      <w:r>
        <w:fldChar w:fldCharType="end"/>
      </w:r>
    </w:p>
    <w:p>
      <w:pPr>
        <w:pStyle w:val="TOC8"/>
        <w:rPr>
          <w:rFonts w:asciiTheme="minorHAnsi" w:eastAsiaTheme="minorEastAsia" w:hAnsiTheme="minorHAnsi" w:cstheme="minorBidi"/>
          <w:szCs w:val="22"/>
        </w:rPr>
      </w:pPr>
      <w:r>
        <w:t>99O.</w:t>
      </w:r>
      <w:r>
        <w:tab/>
        <w:t>Consequence of paying modified penalty</w:t>
      </w:r>
      <w:r>
        <w:tab/>
      </w:r>
      <w:r>
        <w:fldChar w:fldCharType="begin"/>
      </w:r>
      <w:r>
        <w:instrText xml:space="preserve"> PAGEREF _Toc158985547 \h </w:instrText>
      </w:r>
      <w:r>
        <w:fldChar w:fldCharType="separate"/>
      </w:r>
      <w:r>
        <w:t>1</w:t>
      </w:r>
      <w:r>
        <w:fldChar w:fldCharType="end"/>
      </w:r>
    </w:p>
    <w:p>
      <w:pPr>
        <w:pStyle w:val="TOC8"/>
        <w:rPr>
          <w:rFonts w:asciiTheme="minorHAnsi" w:eastAsiaTheme="minorEastAsia" w:hAnsiTheme="minorHAnsi" w:cstheme="minorBidi"/>
          <w:szCs w:val="22"/>
        </w:rPr>
      </w:pPr>
      <w:r>
        <w:t>99P.</w:t>
      </w:r>
      <w:r>
        <w:tab/>
        <w:t>Application of penalties collected</w:t>
      </w:r>
      <w:r>
        <w:tab/>
      </w:r>
      <w:r>
        <w:fldChar w:fldCharType="begin"/>
      </w:r>
      <w:r>
        <w:instrText xml:space="preserve"> PAGEREF _Toc158985548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Penalties</w:t>
      </w:r>
    </w:p>
    <w:p>
      <w:pPr>
        <w:pStyle w:val="TOC8"/>
        <w:rPr>
          <w:rFonts w:asciiTheme="minorHAnsi" w:eastAsiaTheme="minorEastAsia" w:hAnsiTheme="minorHAnsi" w:cstheme="minorBidi"/>
          <w:szCs w:val="22"/>
        </w:rPr>
      </w:pPr>
      <w:r>
        <w:t>99Q.</w:t>
      </w:r>
      <w:r>
        <w:tab/>
        <w:t>Penalties</w:t>
      </w:r>
      <w:r>
        <w:tab/>
      </w:r>
      <w:r>
        <w:fldChar w:fldCharType="begin"/>
      </w:r>
      <w:r>
        <w:instrText xml:space="preserve"> PAGEREF _Toc158985550 \h </w:instrText>
      </w:r>
      <w:r>
        <w:fldChar w:fldCharType="separate"/>
      </w:r>
      <w:r>
        <w:t>1</w:t>
      </w:r>
      <w:r>
        <w:fldChar w:fldCharType="end"/>
      </w:r>
    </w:p>
    <w:p>
      <w:pPr>
        <w:pStyle w:val="TOC8"/>
        <w:rPr>
          <w:rFonts w:asciiTheme="minorHAnsi" w:eastAsiaTheme="minorEastAsia" w:hAnsiTheme="minorHAnsi" w:cstheme="minorBidi"/>
          <w:szCs w:val="22"/>
        </w:rPr>
      </w:pPr>
      <w:r>
        <w:t>99R.</w:t>
      </w:r>
      <w:r>
        <w:tab/>
        <w:t>Daily penalty</w:t>
      </w:r>
      <w:r>
        <w:tab/>
      </w:r>
      <w:r>
        <w:fldChar w:fldCharType="begin"/>
      </w:r>
      <w:r>
        <w:instrText xml:space="preserve"> PAGEREF _Toc158985551 \h </w:instrText>
      </w:r>
      <w:r>
        <w:fldChar w:fldCharType="separate"/>
      </w:r>
      <w:r>
        <w:t>1</w:t>
      </w:r>
      <w:r>
        <w:fldChar w:fldCharType="end"/>
      </w:r>
    </w:p>
    <w:p>
      <w:pPr>
        <w:pStyle w:val="TOC8"/>
        <w:rPr>
          <w:rFonts w:asciiTheme="minorHAnsi" w:eastAsiaTheme="minorEastAsia" w:hAnsiTheme="minorHAnsi" w:cstheme="minorBidi"/>
          <w:szCs w:val="22"/>
        </w:rPr>
      </w:pPr>
      <w:r>
        <w:t>99S.</w:t>
      </w:r>
      <w:r>
        <w:tab/>
        <w:t>Attempt and accessory after the fact</w:t>
      </w:r>
      <w:r>
        <w:tab/>
      </w:r>
      <w:r>
        <w:fldChar w:fldCharType="begin"/>
      </w:r>
      <w:r>
        <w:instrText xml:space="preserve"> PAGEREF _Toc158985552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Additional powers available to the court</w:t>
      </w:r>
    </w:p>
    <w:p>
      <w:pPr>
        <w:pStyle w:val="TOC8"/>
        <w:rPr>
          <w:rFonts w:asciiTheme="minorHAnsi" w:eastAsiaTheme="minorEastAsia" w:hAnsiTheme="minorHAnsi" w:cstheme="minorBidi"/>
          <w:szCs w:val="22"/>
        </w:rPr>
      </w:pPr>
      <w:r>
        <w:t>99T.</w:t>
      </w:r>
      <w:r>
        <w:tab/>
        <w:t>Term used: convicted</w:t>
      </w:r>
      <w:r>
        <w:tab/>
      </w:r>
      <w:r>
        <w:fldChar w:fldCharType="begin"/>
      </w:r>
      <w:r>
        <w:instrText xml:space="preserve"> PAGEREF _Toc158985554 \h </w:instrText>
      </w:r>
      <w:r>
        <w:fldChar w:fldCharType="separate"/>
      </w:r>
      <w:r>
        <w:t>1</w:t>
      </w:r>
      <w:r>
        <w:fldChar w:fldCharType="end"/>
      </w:r>
    </w:p>
    <w:p>
      <w:pPr>
        <w:pStyle w:val="TOC8"/>
        <w:rPr>
          <w:rFonts w:asciiTheme="minorHAnsi" w:eastAsiaTheme="minorEastAsia" w:hAnsiTheme="minorHAnsi" w:cstheme="minorBidi"/>
          <w:szCs w:val="22"/>
        </w:rPr>
      </w:pPr>
      <w:r>
        <w:t>99U.</w:t>
      </w:r>
      <w:r>
        <w:tab/>
        <w:t>Orders generally</w:t>
      </w:r>
      <w:r>
        <w:tab/>
      </w:r>
      <w:r>
        <w:fldChar w:fldCharType="begin"/>
      </w:r>
      <w:r>
        <w:instrText xml:space="preserve"> PAGEREF _Toc158985555 \h </w:instrText>
      </w:r>
      <w:r>
        <w:fldChar w:fldCharType="separate"/>
      </w:r>
      <w:r>
        <w:t>1</w:t>
      </w:r>
      <w:r>
        <w:fldChar w:fldCharType="end"/>
      </w:r>
    </w:p>
    <w:p>
      <w:pPr>
        <w:pStyle w:val="TOC8"/>
        <w:rPr>
          <w:rFonts w:asciiTheme="minorHAnsi" w:eastAsiaTheme="minorEastAsia" w:hAnsiTheme="minorHAnsi" w:cstheme="minorBidi"/>
          <w:szCs w:val="22"/>
        </w:rPr>
      </w:pPr>
      <w:r>
        <w:t>99V.</w:t>
      </w:r>
      <w:r>
        <w:tab/>
        <w:t>Orders for forfeiture</w:t>
      </w:r>
      <w:r>
        <w:tab/>
      </w:r>
      <w:r>
        <w:fldChar w:fldCharType="begin"/>
      </w:r>
      <w:r>
        <w:instrText xml:space="preserve"> PAGEREF _Toc158985556 \h </w:instrText>
      </w:r>
      <w:r>
        <w:fldChar w:fldCharType="separate"/>
      </w:r>
      <w:r>
        <w:t>1</w:t>
      </w:r>
      <w:r>
        <w:fldChar w:fldCharType="end"/>
      </w:r>
    </w:p>
    <w:p>
      <w:pPr>
        <w:pStyle w:val="TOC8"/>
        <w:rPr>
          <w:rFonts w:asciiTheme="minorHAnsi" w:eastAsiaTheme="minorEastAsia" w:hAnsiTheme="minorHAnsi" w:cstheme="minorBidi"/>
          <w:szCs w:val="22"/>
        </w:rPr>
      </w:pPr>
      <w:r>
        <w:t>99W.</w:t>
      </w:r>
      <w:r>
        <w:tab/>
        <w:t>Disposal of forfeited things</w:t>
      </w:r>
      <w:r>
        <w:tab/>
      </w:r>
      <w:r>
        <w:fldChar w:fldCharType="begin"/>
      </w:r>
      <w:r>
        <w:instrText xml:space="preserve"> PAGEREF _Toc158985557 \h </w:instrText>
      </w:r>
      <w:r>
        <w:fldChar w:fldCharType="separate"/>
      </w:r>
      <w:r>
        <w:t>1</w:t>
      </w:r>
      <w:r>
        <w:fldChar w:fldCharType="end"/>
      </w:r>
    </w:p>
    <w:p>
      <w:pPr>
        <w:pStyle w:val="TOC8"/>
        <w:rPr>
          <w:rFonts w:asciiTheme="minorHAnsi" w:eastAsiaTheme="minorEastAsia" w:hAnsiTheme="minorHAnsi" w:cstheme="minorBidi"/>
          <w:szCs w:val="22"/>
        </w:rPr>
      </w:pPr>
      <w:r>
        <w:t>99X.</w:t>
      </w:r>
      <w:r>
        <w:tab/>
        <w:t>Orders for prevention, restoration etc.</w:t>
      </w:r>
      <w:r>
        <w:tab/>
      </w:r>
      <w:r>
        <w:fldChar w:fldCharType="begin"/>
      </w:r>
      <w:r>
        <w:instrText xml:space="preserve"> PAGEREF _Toc158985558 \h </w:instrText>
      </w:r>
      <w:r>
        <w:fldChar w:fldCharType="separate"/>
      </w:r>
      <w:r>
        <w:t>1</w:t>
      </w:r>
      <w:r>
        <w:fldChar w:fldCharType="end"/>
      </w:r>
    </w:p>
    <w:p>
      <w:pPr>
        <w:pStyle w:val="TOC8"/>
        <w:rPr>
          <w:rFonts w:asciiTheme="minorHAnsi" w:eastAsiaTheme="minorEastAsia" w:hAnsiTheme="minorHAnsi" w:cstheme="minorBidi"/>
          <w:szCs w:val="22"/>
        </w:rPr>
      </w:pPr>
      <w:r>
        <w:t>99Y.</w:t>
      </w:r>
      <w:r>
        <w:tab/>
        <w:t>Orders for costs, expenses and compensation</w:t>
      </w:r>
      <w:r>
        <w:tab/>
      </w:r>
      <w:r>
        <w:fldChar w:fldCharType="begin"/>
      </w:r>
      <w:r>
        <w:instrText xml:space="preserve"> PAGEREF _Toc158985559 \h </w:instrText>
      </w:r>
      <w:r>
        <w:fldChar w:fldCharType="separate"/>
      </w:r>
      <w:r>
        <w:t>1</w:t>
      </w:r>
      <w:r>
        <w:fldChar w:fldCharType="end"/>
      </w:r>
    </w:p>
    <w:p>
      <w:pPr>
        <w:pStyle w:val="TOC8"/>
        <w:rPr>
          <w:rFonts w:asciiTheme="minorHAnsi" w:eastAsiaTheme="minorEastAsia" w:hAnsiTheme="minorHAnsi" w:cstheme="minorBidi"/>
          <w:szCs w:val="22"/>
        </w:rPr>
      </w:pPr>
      <w:r>
        <w:t>99Z.</w:t>
      </w:r>
      <w:r>
        <w:tab/>
        <w:t>Orders regarding monetary benefits</w:t>
      </w:r>
      <w:r>
        <w:tab/>
      </w:r>
      <w:r>
        <w:fldChar w:fldCharType="begin"/>
      </w:r>
      <w:r>
        <w:instrText xml:space="preserve"> PAGEREF _Toc158985560 \h </w:instrText>
      </w:r>
      <w:r>
        <w:fldChar w:fldCharType="separate"/>
      </w:r>
      <w:r>
        <w:t>1</w:t>
      </w:r>
      <w:r>
        <w:fldChar w:fldCharType="end"/>
      </w:r>
    </w:p>
    <w:p>
      <w:pPr>
        <w:pStyle w:val="TOC8"/>
        <w:rPr>
          <w:rFonts w:asciiTheme="minorHAnsi" w:eastAsiaTheme="minorEastAsia" w:hAnsiTheme="minorHAnsi" w:cstheme="minorBidi"/>
          <w:szCs w:val="22"/>
        </w:rPr>
      </w:pPr>
      <w:r>
        <w:t>99ZA.</w:t>
      </w:r>
      <w:r>
        <w:tab/>
        <w:t>Orders requiring public notice to be given etc.</w:t>
      </w:r>
      <w:r>
        <w:tab/>
      </w:r>
      <w:r>
        <w:fldChar w:fldCharType="begin"/>
      </w:r>
      <w:r>
        <w:instrText xml:space="preserve"> PAGEREF _Toc158985561 \h </w:instrText>
      </w:r>
      <w:r>
        <w:fldChar w:fldCharType="separate"/>
      </w:r>
      <w:r>
        <w:t>1</w:t>
      </w:r>
      <w:r>
        <w:fldChar w:fldCharType="end"/>
      </w:r>
    </w:p>
    <w:p>
      <w:pPr>
        <w:pStyle w:val="TOC8"/>
        <w:rPr>
          <w:rFonts w:asciiTheme="minorHAnsi" w:eastAsiaTheme="minorEastAsia" w:hAnsiTheme="minorHAnsi" w:cstheme="minorBidi"/>
          <w:szCs w:val="22"/>
        </w:rPr>
      </w:pPr>
      <w:r>
        <w:t>99ZB.</w:t>
      </w:r>
      <w:r>
        <w:tab/>
        <w:t>Enforcing orders to pay moneys</w:t>
      </w:r>
      <w:r>
        <w:tab/>
      </w:r>
      <w:r>
        <w:fldChar w:fldCharType="begin"/>
      </w:r>
      <w:r>
        <w:instrText xml:space="preserve"> PAGEREF _Toc158985562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VII — Appeals</w:t>
      </w:r>
    </w:p>
    <w:p>
      <w:pPr>
        <w:pStyle w:val="TOC8"/>
        <w:rPr>
          <w:rFonts w:asciiTheme="minorHAnsi" w:eastAsiaTheme="minorEastAsia" w:hAnsiTheme="minorHAnsi" w:cstheme="minorBidi"/>
          <w:szCs w:val="22"/>
        </w:rPr>
      </w:pPr>
      <w:r>
        <w:t>100</w:t>
      </w:r>
      <w:r>
        <w:rPr>
          <w:snapToGrid w:val="0"/>
        </w:rPr>
        <w:t>.</w:t>
      </w:r>
      <w:r>
        <w:rPr>
          <w:snapToGrid w:val="0"/>
        </w:rPr>
        <w:tab/>
        <w:t>Appeals against Authority’s decisions etc. as to proposals and schemes</w:t>
      </w:r>
      <w:r>
        <w:tab/>
      </w:r>
      <w:r>
        <w:fldChar w:fldCharType="begin"/>
      </w:r>
      <w:r>
        <w:instrText xml:space="preserve"> PAGEREF _Toc158985564 \h </w:instrText>
      </w:r>
      <w:r>
        <w:fldChar w:fldCharType="separate"/>
      </w:r>
      <w:r>
        <w:t>1</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Minister’s powers on appeals under s. 100</w:t>
      </w:r>
      <w:r>
        <w:tab/>
      </w:r>
      <w:r>
        <w:fldChar w:fldCharType="begin"/>
      </w:r>
      <w:r>
        <w:instrText xml:space="preserve"> PAGEREF _Toc158985565 \h </w:instrText>
      </w:r>
      <w:r>
        <w:fldChar w:fldCharType="separate"/>
      </w:r>
      <w:r>
        <w:t>1</w:t>
      </w:r>
      <w:r>
        <w:fldChar w:fldCharType="end"/>
      </w:r>
    </w:p>
    <w:p>
      <w:pPr>
        <w:pStyle w:val="TOC8"/>
        <w:rPr>
          <w:rFonts w:asciiTheme="minorHAnsi" w:eastAsiaTheme="minorEastAsia" w:hAnsiTheme="minorHAnsi" w:cstheme="minorBidi"/>
          <w:szCs w:val="22"/>
        </w:rPr>
      </w:pPr>
      <w:r>
        <w:lastRenderedPageBreak/>
        <w:t>101A.</w:t>
      </w:r>
      <w:r>
        <w:tab/>
        <w:t>Appeals against decisions as to clearing permits</w:t>
      </w:r>
      <w:r>
        <w:tab/>
      </w:r>
      <w:r>
        <w:fldChar w:fldCharType="begin"/>
      </w:r>
      <w:r>
        <w:instrText xml:space="preserve"> PAGEREF _Toc158985566 \h </w:instrText>
      </w:r>
      <w:r>
        <w:fldChar w:fldCharType="separate"/>
      </w:r>
      <w:r>
        <w:t>1</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Appeals against decisions as to works approvals and licences</w:t>
      </w:r>
      <w:r>
        <w:tab/>
      </w:r>
      <w:r>
        <w:fldChar w:fldCharType="begin"/>
      </w:r>
      <w:r>
        <w:instrText xml:space="preserve"> PAGEREF _Toc158985567 \h </w:instrText>
      </w:r>
      <w:r>
        <w:fldChar w:fldCharType="separate"/>
      </w:r>
      <w:r>
        <w:t>1</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Appeals against decisions as to notices issued under s. 65, 68A, 70 or 73A</w:t>
      </w:r>
      <w:r>
        <w:tab/>
      </w:r>
      <w:r>
        <w:fldChar w:fldCharType="begin"/>
      </w:r>
      <w:r>
        <w:instrText xml:space="preserve"> PAGEREF _Toc158985568 \h </w:instrText>
      </w:r>
      <w:r>
        <w:fldChar w:fldCharType="separate"/>
      </w:r>
      <w:r>
        <w:t>1</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Appeals against CEO’s requirements under s. 96 or 97</w:t>
      </w:r>
      <w:r>
        <w:tab/>
      </w:r>
      <w:r>
        <w:fldChar w:fldCharType="begin"/>
      </w:r>
      <w:r>
        <w:instrText xml:space="preserve"> PAGEREF _Toc158985569 \h </w:instrText>
      </w:r>
      <w:r>
        <w:fldChar w:fldCharType="separate"/>
      </w:r>
      <w:r>
        <w:t>1</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Matters that cannot be appealed</w:t>
      </w:r>
      <w:r>
        <w:tab/>
      </w:r>
      <w:r>
        <w:fldChar w:fldCharType="begin"/>
      </w:r>
      <w:r>
        <w:instrText xml:space="preserve"> PAGEREF _Toc158985570 \h </w:instrText>
      </w:r>
      <w:r>
        <w:fldChar w:fldCharType="separate"/>
      </w:r>
      <w:r>
        <w:t>1</w:t>
      </w:r>
      <w:r>
        <w:fldChar w:fldCharType="end"/>
      </w:r>
    </w:p>
    <w:p>
      <w:pPr>
        <w:pStyle w:val="TOC8"/>
        <w:rPr>
          <w:rFonts w:asciiTheme="minorHAnsi" w:eastAsiaTheme="minorEastAsia" w:hAnsiTheme="minorHAnsi" w:cstheme="minorBidi"/>
          <w:szCs w:val="22"/>
        </w:rPr>
      </w:pPr>
      <w:r>
        <w:t>106.</w:t>
      </w:r>
      <w:r>
        <w:tab/>
        <w:t>Preliminary procedure on appeals</w:t>
      </w:r>
      <w:r>
        <w:tab/>
      </w:r>
      <w:r>
        <w:fldChar w:fldCharType="begin"/>
      </w:r>
      <w:r>
        <w:instrText xml:space="preserve"> PAGEREF _Toc158985571 \h </w:instrText>
      </w:r>
      <w:r>
        <w:fldChar w:fldCharType="separate"/>
      </w:r>
      <w:r>
        <w:t>1</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r>
      <w:r>
        <w:t>Minister’s powers on appeal</w:t>
      </w:r>
      <w:r>
        <w:tab/>
      </w:r>
      <w:r>
        <w:fldChar w:fldCharType="begin"/>
      </w:r>
      <w:r>
        <w:instrText xml:space="preserve"> PAGEREF _Toc158985572 \h </w:instrText>
      </w:r>
      <w:r>
        <w:fldChar w:fldCharType="separate"/>
      </w:r>
      <w:r>
        <w:t>1</w:t>
      </w:r>
      <w:r>
        <w:fldChar w:fldCharType="end"/>
      </w:r>
    </w:p>
    <w:p>
      <w:pPr>
        <w:pStyle w:val="TOC8"/>
        <w:rPr>
          <w:rFonts w:asciiTheme="minorHAnsi" w:eastAsiaTheme="minorEastAsia" w:hAnsiTheme="minorHAnsi" w:cstheme="minorBidi"/>
          <w:szCs w:val="22"/>
        </w:rPr>
      </w:pPr>
      <w:r>
        <w:t>107A.</w:t>
      </w:r>
      <w:r>
        <w:tab/>
        <w:t>Appeals Convenor, appointment of</w:t>
      </w:r>
      <w:r>
        <w:tab/>
      </w:r>
      <w:r>
        <w:fldChar w:fldCharType="begin"/>
      </w:r>
      <w:r>
        <w:instrText xml:space="preserve"> PAGEREF _Toc158985573 \h </w:instrText>
      </w:r>
      <w:r>
        <w:fldChar w:fldCharType="separate"/>
      </w:r>
      <w:r>
        <w:t>1</w:t>
      </w:r>
      <w:r>
        <w:fldChar w:fldCharType="end"/>
      </w:r>
    </w:p>
    <w:p>
      <w:pPr>
        <w:pStyle w:val="TOC8"/>
        <w:rPr>
          <w:rFonts w:asciiTheme="minorHAnsi" w:eastAsiaTheme="minorEastAsia" w:hAnsiTheme="minorHAnsi" w:cstheme="minorBidi"/>
          <w:szCs w:val="22"/>
        </w:rPr>
      </w:pPr>
      <w:r>
        <w:t>107B.</w:t>
      </w:r>
      <w:r>
        <w:tab/>
        <w:t>Functions of Appeals Convenor</w:t>
      </w:r>
      <w:r>
        <w:tab/>
      </w:r>
      <w:r>
        <w:fldChar w:fldCharType="begin"/>
      </w:r>
      <w:r>
        <w:instrText xml:space="preserve"> PAGEREF _Toc158985574 \h </w:instrText>
      </w:r>
      <w:r>
        <w:fldChar w:fldCharType="separate"/>
      </w:r>
      <w:r>
        <w:t>1</w:t>
      </w:r>
      <w:r>
        <w:fldChar w:fldCharType="end"/>
      </w:r>
    </w:p>
    <w:p>
      <w:pPr>
        <w:pStyle w:val="TOC8"/>
        <w:rPr>
          <w:rFonts w:asciiTheme="minorHAnsi" w:eastAsiaTheme="minorEastAsia" w:hAnsiTheme="minorHAnsi" w:cstheme="minorBidi"/>
          <w:szCs w:val="22"/>
        </w:rPr>
      </w:pPr>
      <w:r>
        <w:t>107C.</w:t>
      </w:r>
      <w:r>
        <w:tab/>
        <w:t>Appeals panel, appointment of</w:t>
      </w:r>
      <w:r>
        <w:tab/>
      </w:r>
      <w:r>
        <w:fldChar w:fldCharType="begin"/>
      </w:r>
      <w:r>
        <w:instrText xml:space="preserve"> PAGEREF _Toc158985575 \h </w:instrText>
      </w:r>
      <w:r>
        <w:fldChar w:fldCharType="separate"/>
      </w:r>
      <w:r>
        <w:t>1</w:t>
      </w:r>
      <w:r>
        <w:fldChar w:fldCharType="end"/>
      </w:r>
    </w:p>
    <w:p>
      <w:pPr>
        <w:pStyle w:val="TOC8"/>
        <w:rPr>
          <w:rFonts w:asciiTheme="minorHAnsi" w:eastAsiaTheme="minorEastAsia" w:hAnsiTheme="minorHAnsi" w:cstheme="minorBidi"/>
          <w:szCs w:val="22"/>
        </w:rPr>
      </w:pPr>
      <w:r>
        <w:t>107D.</w:t>
      </w:r>
      <w:r>
        <w:tab/>
        <w:t>Administrative procedures for appeals</w:t>
      </w:r>
      <w:r>
        <w:tab/>
      </w:r>
      <w:r>
        <w:fldChar w:fldCharType="begin"/>
      </w:r>
      <w:r>
        <w:instrText xml:space="preserve"> PAGEREF _Toc158985576 \h </w:instrText>
      </w:r>
      <w:r>
        <w:fldChar w:fldCharType="separate"/>
      </w:r>
      <w:r>
        <w:t>1</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Appeals committees, composition and remuneration of</w:t>
      </w:r>
      <w:r>
        <w:tab/>
      </w:r>
      <w:r>
        <w:fldChar w:fldCharType="begin"/>
      </w:r>
      <w:r>
        <w:instrText xml:space="preserve"> PAGEREF _Toc158985577 \h </w:instrText>
      </w:r>
      <w:r>
        <w:fldChar w:fldCharType="separate"/>
      </w:r>
      <w:r>
        <w:t>1</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Procedure of appeals committees</w:t>
      </w:r>
      <w:r>
        <w:tab/>
      </w:r>
      <w:r>
        <w:fldChar w:fldCharType="begin"/>
      </w:r>
      <w:r>
        <w:instrText xml:space="preserve"> PAGEREF _Toc158985578 \h </w:instrText>
      </w:r>
      <w:r>
        <w:fldChar w:fldCharType="separate"/>
      </w:r>
      <w:r>
        <w:t>1</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Minister’s decisions on appeals, implementation and publication of</w:t>
      </w:r>
      <w:r>
        <w:tab/>
      </w:r>
      <w:r>
        <w:fldChar w:fldCharType="begin"/>
      </w:r>
      <w:r>
        <w:instrText xml:space="preserve"> PAGEREF _Toc158985579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VIIA — Landfill levy</w:t>
      </w:r>
    </w:p>
    <w:p>
      <w:pPr>
        <w:pStyle w:val="TOC4"/>
        <w:tabs>
          <w:tab w:val="right" w:leader="dot" w:pos="7077"/>
        </w:tabs>
        <w:rPr>
          <w:rFonts w:asciiTheme="minorHAnsi" w:eastAsiaTheme="minorEastAsia" w:hAnsiTheme="minorHAnsi" w:cstheme="minorBidi"/>
          <w:b w:val="0"/>
          <w:szCs w:val="22"/>
        </w:rPr>
      </w:pPr>
      <w:r>
        <w:t xml:space="preserve">Division 1 — Collection of levy imposed under </w:t>
      </w:r>
      <w:r>
        <w:rPr>
          <w:i/>
        </w:rPr>
        <w:t>Environmental Protection (Landfill) Levy Act 1998</w:t>
      </w:r>
    </w:p>
    <w:p>
      <w:pPr>
        <w:pStyle w:val="TOC8"/>
        <w:rPr>
          <w:rFonts w:asciiTheme="minorHAnsi" w:eastAsiaTheme="minorEastAsia" w:hAnsiTheme="minorHAnsi" w:cstheme="minorBidi"/>
          <w:szCs w:val="22"/>
        </w:rPr>
      </w:pPr>
      <w:r>
        <w:t>110A.</w:t>
      </w:r>
      <w:r>
        <w:tab/>
        <w:t>Terms used</w:t>
      </w:r>
      <w:r>
        <w:tab/>
      </w:r>
      <w:r>
        <w:fldChar w:fldCharType="begin"/>
      </w:r>
      <w:r>
        <w:instrText xml:space="preserve"> PAGEREF _Toc158985582 \h </w:instrText>
      </w:r>
      <w:r>
        <w:fldChar w:fldCharType="separate"/>
      </w:r>
      <w:r>
        <w:t>1</w:t>
      </w:r>
      <w:r>
        <w:fldChar w:fldCharType="end"/>
      </w:r>
    </w:p>
    <w:p>
      <w:pPr>
        <w:pStyle w:val="TOC8"/>
        <w:rPr>
          <w:rFonts w:asciiTheme="minorHAnsi" w:eastAsiaTheme="minorEastAsia" w:hAnsiTheme="minorHAnsi" w:cstheme="minorBidi"/>
          <w:szCs w:val="22"/>
        </w:rPr>
      </w:pPr>
      <w:r>
        <w:t>110B.</w:t>
      </w:r>
      <w:r>
        <w:tab/>
        <w:t>Payment of levy</w:t>
      </w:r>
      <w:r>
        <w:tab/>
      </w:r>
      <w:r>
        <w:fldChar w:fldCharType="begin"/>
      </w:r>
      <w:r>
        <w:instrText xml:space="preserve"> PAGEREF _Toc158985583 \h </w:instrText>
      </w:r>
      <w:r>
        <w:fldChar w:fldCharType="separate"/>
      </w:r>
      <w:r>
        <w:t>1</w:t>
      </w:r>
      <w:r>
        <w:fldChar w:fldCharType="end"/>
      </w:r>
    </w:p>
    <w:p>
      <w:pPr>
        <w:pStyle w:val="TOC8"/>
        <w:rPr>
          <w:rFonts w:asciiTheme="minorHAnsi" w:eastAsiaTheme="minorEastAsia" w:hAnsiTheme="minorHAnsi" w:cstheme="minorBidi"/>
          <w:szCs w:val="22"/>
        </w:rPr>
      </w:pPr>
      <w:r>
        <w:t>110C.</w:t>
      </w:r>
      <w:r>
        <w:tab/>
        <w:t>Financial assurance</w:t>
      </w:r>
      <w:r>
        <w:tab/>
      </w:r>
      <w:r>
        <w:fldChar w:fldCharType="begin"/>
      </w:r>
      <w:r>
        <w:instrText xml:space="preserve"> PAGEREF _Toc158985584 \h </w:instrText>
      </w:r>
      <w:r>
        <w:fldChar w:fldCharType="separate"/>
      </w:r>
      <w:r>
        <w:t>1</w:t>
      </w:r>
      <w:r>
        <w:fldChar w:fldCharType="end"/>
      </w:r>
    </w:p>
    <w:p>
      <w:pPr>
        <w:pStyle w:val="TOC8"/>
        <w:rPr>
          <w:rFonts w:asciiTheme="minorHAnsi" w:eastAsiaTheme="minorEastAsia" w:hAnsiTheme="minorHAnsi" w:cstheme="minorBidi"/>
          <w:szCs w:val="22"/>
        </w:rPr>
      </w:pPr>
      <w:r>
        <w:t>110D.</w:t>
      </w:r>
      <w:r>
        <w:tab/>
        <w:t>Payment by instalments</w:t>
      </w:r>
      <w:r>
        <w:tab/>
      </w:r>
      <w:r>
        <w:fldChar w:fldCharType="begin"/>
      </w:r>
      <w:r>
        <w:instrText xml:space="preserve"> PAGEREF _Toc158985585 \h </w:instrText>
      </w:r>
      <w:r>
        <w:fldChar w:fldCharType="separate"/>
      </w:r>
      <w:r>
        <w:t>1</w:t>
      </w:r>
      <w:r>
        <w:fldChar w:fldCharType="end"/>
      </w:r>
    </w:p>
    <w:p>
      <w:pPr>
        <w:pStyle w:val="TOC8"/>
        <w:rPr>
          <w:rFonts w:asciiTheme="minorHAnsi" w:eastAsiaTheme="minorEastAsia" w:hAnsiTheme="minorHAnsi" w:cstheme="minorBidi"/>
          <w:szCs w:val="22"/>
        </w:rPr>
      </w:pPr>
      <w:r>
        <w:t>110E.</w:t>
      </w:r>
      <w:r>
        <w:tab/>
        <w:t>Penalty for non</w:t>
      </w:r>
      <w:r>
        <w:noBreakHyphen/>
        <w:t>payment</w:t>
      </w:r>
      <w:r>
        <w:tab/>
      </w:r>
      <w:r>
        <w:fldChar w:fldCharType="begin"/>
      </w:r>
      <w:r>
        <w:instrText xml:space="preserve"> PAGEREF _Toc158985586 \h </w:instrText>
      </w:r>
      <w:r>
        <w:fldChar w:fldCharType="separate"/>
      </w:r>
      <w:r>
        <w:t>1</w:t>
      </w:r>
      <w:r>
        <w:fldChar w:fldCharType="end"/>
      </w:r>
    </w:p>
    <w:p>
      <w:pPr>
        <w:pStyle w:val="TOC8"/>
        <w:rPr>
          <w:rFonts w:asciiTheme="minorHAnsi" w:eastAsiaTheme="minorEastAsia" w:hAnsiTheme="minorHAnsi" w:cstheme="minorBidi"/>
          <w:szCs w:val="22"/>
        </w:rPr>
      </w:pPr>
      <w:r>
        <w:t>110F.</w:t>
      </w:r>
      <w:r>
        <w:tab/>
        <w:t>Recovery of levy</w:t>
      </w:r>
      <w:r>
        <w:tab/>
      </w:r>
      <w:r>
        <w:fldChar w:fldCharType="begin"/>
      </w:r>
      <w:r>
        <w:instrText xml:space="preserve"> PAGEREF _Toc158985587 \h </w:instrText>
      </w:r>
      <w:r>
        <w:fldChar w:fldCharType="separate"/>
      </w:r>
      <w:r>
        <w:t>1</w:t>
      </w:r>
      <w:r>
        <w:fldChar w:fldCharType="end"/>
      </w:r>
    </w:p>
    <w:p>
      <w:pPr>
        <w:pStyle w:val="TOC8"/>
        <w:rPr>
          <w:rFonts w:asciiTheme="minorHAnsi" w:eastAsiaTheme="minorEastAsia" w:hAnsiTheme="minorHAnsi" w:cstheme="minorBidi"/>
          <w:szCs w:val="22"/>
        </w:rPr>
      </w:pPr>
      <w:r>
        <w:t>110G.</w:t>
      </w:r>
      <w:r>
        <w:tab/>
        <w:t>Evading levy</w:t>
      </w:r>
      <w:r>
        <w:tab/>
      </w:r>
      <w:r>
        <w:fldChar w:fldCharType="begin"/>
      </w:r>
      <w:r>
        <w:instrText xml:space="preserve"> PAGEREF _Toc158985588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Waste Management and Recycling Account</w:t>
      </w:r>
    </w:p>
    <w:p>
      <w:pPr>
        <w:pStyle w:val="TOC8"/>
        <w:rPr>
          <w:rFonts w:asciiTheme="minorHAnsi" w:eastAsiaTheme="minorEastAsia" w:hAnsiTheme="minorHAnsi" w:cstheme="minorBidi"/>
          <w:szCs w:val="22"/>
        </w:rPr>
      </w:pPr>
      <w:r>
        <w:t>110H.</w:t>
      </w:r>
      <w:r>
        <w:tab/>
        <w:t>Waste Management and Recycling Account</w:t>
      </w:r>
      <w:r>
        <w:tab/>
      </w:r>
      <w:r>
        <w:fldChar w:fldCharType="begin"/>
      </w:r>
      <w:r>
        <w:instrText xml:space="preserve"> PAGEREF _Toc158985590 \h </w:instrText>
      </w:r>
      <w:r>
        <w:fldChar w:fldCharType="separate"/>
      </w:r>
      <w:r>
        <w:t>1</w:t>
      </w:r>
      <w:r>
        <w:fldChar w:fldCharType="end"/>
      </w:r>
    </w:p>
    <w:p>
      <w:pPr>
        <w:pStyle w:val="TOC8"/>
        <w:rPr>
          <w:rFonts w:asciiTheme="minorHAnsi" w:eastAsiaTheme="minorEastAsia" w:hAnsiTheme="minorHAnsi" w:cstheme="minorBidi"/>
          <w:szCs w:val="22"/>
        </w:rPr>
      </w:pPr>
      <w:r>
        <w:t>110I.</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_Toc158985591 \h </w:instrText>
      </w:r>
      <w:r>
        <w:fldChar w:fldCharType="separate"/>
      </w:r>
      <w:r>
        <w:t>1</w:t>
      </w:r>
      <w:r>
        <w:fldChar w:fldCharType="end"/>
      </w:r>
    </w:p>
    <w:p>
      <w:pPr>
        <w:pStyle w:val="TOC8"/>
        <w:rPr>
          <w:rFonts w:asciiTheme="minorHAnsi" w:eastAsiaTheme="minorEastAsia" w:hAnsiTheme="minorHAnsi" w:cstheme="minorBidi"/>
          <w:szCs w:val="22"/>
        </w:rPr>
      </w:pPr>
      <w:r>
        <w:t>110J.</w:t>
      </w:r>
      <w:r>
        <w:tab/>
        <w:t>Review of Part VIIA</w:t>
      </w:r>
      <w:r>
        <w:tab/>
      </w:r>
      <w:r>
        <w:fldChar w:fldCharType="begin"/>
      </w:r>
      <w:r>
        <w:instrText xml:space="preserve"> PAGEREF _Toc158985592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VIII — General</w:t>
      </w:r>
    </w:p>
    <w:p>
      <w:pPr>
        <w:pStyle w:val="TOC8"/>
        <w:rPr>
          <w:rFonts w:asciiTheme="minorHAnsi" w:eastAsiaTheme="minorEastAsia" w:hAnsiTheme="minorHAnsi" w:cstheme="minorBidi"/>
          <w:szCs w:val="22"/>
        </w:rPr>
      </w:pPr>
      <w:r>
        <w:t>111</w:t>
      </w:r>
      <w:r>
        <w:rPr>
          <w:snapToGrid w:val="0"/>
        </w:rPr>
        <w:t>.</w:t>
      </w:r>
      <w:r>
        <w:rPr>
          <w:snapToGrid w:val="0"/>
        </w:rPr>
        <w:tab/>
        <w:t>Saving of rights at law to prevent etc. pollution etc.</w:t>
      </w:r>
      <w:r>
        <w:tab/>
      </w:r>
      <w:r>
        <w:fldChar w:fldCharType="begin"/>
      </w:r>
      <w:r>
        <w:instrText xml:space="preserve"> PAGEREF _Toc158985594 \h </w:instrText>
      </w:r>
      <w:r>
        <w:fldChar w:fldCharType="separate"/>
      </w:r>
      <w:r>
        <w:t>1</w:t>
      </w:r>
      <w:r>
        <w:fldChar w:fldCharType="end"/>
      </w:r>
    </w:p>
    <w:p>
      <w:pPr>
        <w:pStyle w:val="TOC8"/>
        <w:rPr>
          <w:rFonts w:asciiTheme="minorHAnsi" w:eastAsiaTheme="minorEastAsia" w:hAnsiTheme="minorHAnsi" w:cstheme="minorBidi"/>
          <w:szCs w:val="22"/>
        </w:rPr>
      </w:pPr>
      <w:r>
        <w:lastRenderedPageBreak/>
        <w:t>111A.</w:t>
      </w:r>
      <w:r>
        <w:tab/>
        <w:t>Victimisation of informants etc.</w:t>
      </w:r>
      <w:r>
        <w:tab/>
      </w:r>
      <w:r>
        <w:fldChar w:fldCharType="begin"/>
      </w:r>
      <w:r>
        <w:instrText xml:space="preserve"> PAGEREF _Toc158985595 \h </w:instrText>
      </w:r>
      <w:r>
        <w:fldChar w:fldCharType="separate"/>
      </w:r>
      <w:r>
        <w:t>1</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 xml:space="preserve">False </w:t>
      </w:r>
      <w:r>
        <w:t>information</w:t>
      </w:r>
      <w:r>
        <w:tab/>
      </w:r>
      <w:r>
        <w:fldChar w:fldCharType="begin"/>
      </w:r>
      <w:r>
        <w:instrText xml:space="preserve"> PAGEREF _Toc158985596 \h </w:instrText>
      </w:r>
      <w:r>
        <w:fldChar w:fldCharType="separate"/>
      </w:r>
      <w:r>
        <w:t>1</w:t>
      </w:r>
      <w:r>
        <w:fldChar w:fldCharType="end"/>
      </w:r>
    </w:p>
    <w:p>
      <w:pPr>
        <w:pStyle w:val="TOC8"/>
        <w:rPr>
          <w:rFonts w:asciiTheme="minorHAnsi" w:eastAsiaTheme="minorEastAsia" w:hAnsiTheme="minorHAnsi" w:cstheme="minorBidi"/>
          <w:szCs w:val="22"/>
        </w:rPr>
      </w:pPr>
      <w:r>
        <w:t>112A</w:t>
      </w:r>
      <w:r>
        <w:rPr>
          <w:snapToGrid w:val="0"/>
        </w:rPr>
        <w:t>.</w:t>
      </w:r>
      <w:r>
        <w:rPr>
          <w:snapToGrid w:val="0"/>
        </w:rPr>
        <w:tab/>
        <w:t>Self</w:t>
      </w:r>
      <w:r>
        <w:rPr>
          <w:snapToGrid w:val="0"/>
        </w:rPr>
        <w:noBreakHyphen/>
        <w:t>incrimination</w:t>
      </w:r>
      <w:r>
        <w:tab/>
      </w:r>
      <w:r>
        <w:fldChar w:fldCharType="begin"/>
      </w:r>
      <w:r>
        <w:instrText xml:space="preserve"> PAGEREF _Toc158985597 \h </w:instrText>
      </w:r>
      <w:r>
        <w:fldChar w:fldCharType="separate"/>
      </w:r>
      <w:r>
        <w:t>1</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Prosecutions, who may institute</w:t>
      </w:r>
      <w:r>
        <w:tab/>
      </w:r>
      <w:r>
        <w:fldChar w:fldCharType="begin"/>
      </w:r>
      <w:r>
        <w:instrText xml:space="preserve"> PAGEREF _Toc158985598 \h </w:instrText>
      </w:r>
      <w:r>
        <w:fldChar w:fldCharType="separate"/>
      </w:r>
      <w:r>
        <w:t>1</w:t>
      </w:r>
      <w:r>
        <w:fldChar w:fldCharType="end"/>
      </w:r>
    </w:p>
    <w:p>
      <w:pPr>
        <w:pStyle w:val="TOC8"/>
        <w:rPr>
          <w:rFonts w:asciiTheme="minorHAnsi" w:eastAsiaTheme="minorEastAsia" w:hAnsiTheme="minorHAnsi" w:cstheme="minorBidi"/>
          <w:szCs w:val="22"/>
        </w:rPr>
      </w:pPr>
      <w:r>
        <w:t>114A.</w:t>
      </w:r>
      <w:r>
        <w:tab/>
        <w:t>Prosecutions, limitation periods for</w:t>
      </w:r>
      <w:r>
        <w:tab/>
      </w:r>
      <w:r>
        <w:fldChar w:fldCharType="begin"/>
      </w:r>
      <w:r>
        <w:instrText xml:space="preserve"> PAGEREF _Toc158985599 \h </w:instrText>
      </w:r>
      <w:r>
        <w:fldChar w:fldCharType="separate"/>
      </w:r>
      <w:r>
        <w:t>1</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Investigation expenses</w:t>
      </w:r>
      <w:r>
        <w:tab/>
      </w:r>
      <w:r>
        <w:fldChar w:fldCharType="begin"/>
      </w:r>
      <w:r>
        <w:instrText xml:space="preserve"> PAGEREF _Toc158985600 \h </w:instrText>
      </w:r>
      <w:r>
        <w:fldChar w:fldCharType="separate"/>
      </w:r>
      <w:r>
        <w:t>1</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Disputes between Authority and other public authority</w:t>
      </w:r>
      <w:r>
        <w:tab/>
      </w:r>
      <w:r>
        <w:fldChar w:fldCharType="begin"/>
      </w:r>
      <w:r>
        <w:instrText xml:space="preserve"> PAGEREF _Toc158985601 \h </w:instrText>
      </w:r>
      <w:r>
        <w:fldChar w:fldCharType="separate"/>
      </w:r>
      <w:r>
        <w:t>1</w:t>
      </w:r>
      <w:r>
        <w:fldChar w:fldCharType="end"/>
      </w:r>
    </w:p>
    <w:p>
      <w:pPr>
        <w:pStyle w:val="TOC8"/>
        <w:rPr>
          <w:rFonts w:asciiTheme="minorHAnsi" w:eastAsiaTheme="minorEastAsia" w:hAnsiTheme="minorHAnsi" w:cstheme="minorBidi"/>
          <w:szCs w:val="22"/>
        </w:rPr>
      </w:pPr>
      <w:r>
        <w:t>116A.</w:t>
      </w:r>
      <w:r>
        <w:tab/>
        <w:t>Proof not required of certain matters</w:t>
      </w:r>
      <w:r>
        <w:tab/>
      </w:r>
      <w:r>
        <w:fldChar w:fldCharType="begin"/>
      </w:r>
      <w:r>
        <w:instrText xml:space="preserve"> PAGEREF _Toc158985602 \h </w:instrText>
      </w:r>
      <w:r>
        <w:fldChar w:fldCharType="separate"/>
      </w:r>
      <w:r>
        <w:t>1</w:t>
      </w:r>
      <w:r>
        <w:fldChar w:fldCharType="end"/>
      </w:r>
    </w:p>
    <w:p>
      <w:pPr>
        <w:pStyle w:val="TOC8"/>
        <w:rPr>
          <w:rFonts w:asciiTheme="minorHAnsi" w:eastAsiaTheme="minorEastAsia" w:hAnsiTheme="minorHAnsi" w:cstheme="minorBidi"/>
          <w:szCs w:val="22"/>
        </w:rPr>
      </w:pPr>
      <w:r>
        <w:t>116B.</w:t>
      </w:r>
      <w:r>
        <w:tab/>
        <w:t>Proof of remotely sensed images</w:t>
      </w:r>
      <w:r>
        <w:tab/>
      </w:r>
      <w:r>
        <w:fldChar w:fldCharType="begin"/>
      </w:r>
      <w:r>
        <w:instrText xml:space="preserve"> PAGEREF _Toc158985603 \h </w:instrText>
      </w:r>
      <w:r>
        <w:fldChar w:fldCharType="separate"/>
      </w:r>
      <w:r>
        <w:t>1</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Proof of documents</w:t>
      </w:r>
      <w:r>
        <w:tab/>
      </w:r>
      <w:r>
        <w:fldChar w:fldCharType="begin"/>
      </w:r>
      <w:r>
        <w:instrText xml:space="preserve"> PAGEREF _Toc158985604 \h </w:instrText>
      </w:r>
      <w:r>
        <w:fldChar w:fldCharType="separate"/>
      </w:r>
      <w:r>
        <w:t>1</w:t>
      </w:r>
      <w:r>
        <w:fldChar w:fldCharType="end"/>
      </w:r>
    </w:p>
    <w:p>
      <w:pPr>
        <w:pStyle w:val="TOC8"/>
        <w:rPr>
          <w:rFonts w:asciiTheme="minorHAnsi" w:eastAsiaTheme="minorEastAsia" w:hAnsiTheme="minorHAnsi" w:cstheme="minorBidi"/>
          <w:szCs w:val="22"/>
        </w:rPr>
      </w:pPr>
      <w:r>
        <w:t>118.</w:t>
      </w:r>
      <w:r>
        <w:tab/>
        <w:t>Establishing state of mind of body corporate</w:t>
      </w:r>
      <w:r>
        <w:tab/>
      </w:r>
      <w:r>
        <w:fldChar w:fldCharType="begin"/>
      </w:r>
      <w:r>
        <w:instrText xml:space="preserve"> PAGEREF _Toc158985605 \h </w:instrText>
      </w:r>
      <w:r>
        <w:fldChar w:fldCharType="separate"/>
      </w:r>
      <w:r>
        <w:t>1</w:t>
      </w:r>
      <w:r>
        <w:fldChar w:fldCharType="end"/>
      </w:r>
    </w:p>
    <w:p>
      <w:pPr>
        <w:pStyle w:val="TOC8"/>
        <w:rPr>
          <w:rFonts w:asciiTheme="minorHAnsi" w:eastAsiaTheme="minorEastAsia" w:hAnsiTheme="minorHAnsi" w:cstheme="minorBidi"/>
          <w:szCs w:val="22"/>
        </w:rPr>
      </w:pPr>
      <w:r>
        <w:t>118A.</w:t>
      </w:r>
      <w:r>
        <w:tab/>
        <w:t>Liability of officers for offence by body corporate</w:t>
      </w:r>
      <w:r>
        <w:tab/>
      </w:r>
      <w:r>
        <w:fldChar w:fldCharType="begin"/>
      </w:r>
      <w:r>
        <w:instrText xml:space="preserve"> PAGEREF _Toc158985606 \h </w:instrText>
      </w:r>
      <w:r>
        <w:fldChar w:fldCharType="separate"/>
      </w:r>
      <w:r>
        <w:t>1</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Averment of occupation or control</w:t>
      </w:r>
      <w:r>
        <w:tab/>
      </w:r>
      <w:r>
        <w:fldChar w:fldCharType="begin"/>
      </w:r>
      <w:r>
        <w:instrText xml:space="preserve"> PAGEREF _Toc158985607 \h </w:instrText>
      </w:r>
      <w:r>
        <w:fldChar w:fldCharType="separate"/>
      </w:r>
      <w:r>
        <w:t>1</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Disclosing certain information restricted</w:t>
      </w:r>
      <w:r>
        <w:tab/>
      </w:r>
      <w:r>
        <w:fldChar w:fldCharType="begin"/>
      </w:r>
      <w:r>
        <w:instrText xml:space="preserve"> PAGEREF _Toc158985608 \h </w:instrText>
      </w:r>
      <w:r>
        <w:fldChar w:fldCharType="separate"/>
      </w:r>
      <w:r>
        <w:t>1</w:t>
      </w:r>
      <w:r>
        <w:fldChar w:fldCharType="end"/>
      </w:r>
    </w:p>
    <w:p>
      <w:pPr>
        <w:pStyle w:val="TOC8"/>
        <w:rPr>
          <w:rFonts w:asciiTheme="minorHAnsi" w:eastAsiaTheme="minorEastAsia" w:hAnsiTheme="minorHAnsi" w:cstheme="minorBidi"/>
          <w:szCs w:val="22"/>
        </w:rPr>
      </w:pPr>
      <w:r>
        <w:t>121A.</w:t>
      </w:r>
      <w:r>
        <w:tab/>
        <w:t>Authority to perform certain functions in relation to Crown land for purposes of this Act</w:t>
      </w:r>
      <w:r>
        <w:tab/>
      </w:r>
      <w:r>
        <w:fldChar w:fldCharType="begin"/>
      </w:r>
      <w:r>
        <w:instrText xml:space="preserve"> PAGEREF _Toc158985609 \h </w:instrText>
      </w:r>
      <w:r>
        <w:fldChar w:fldCharType="separate"/>
      </w:r>
      <w:r>
        <w:t>1</w:t>
      </w:r>
      <w:r>
        <w:fldChar w:fldCharType="end"/>
      </w:r>
    </w:p>
    <w:p>
      <w:pPr>
        <w:pStyle w:val="TOC8"/>
        <w:rPr>
          <w:rFonts w:asciiTheme="minorHAnsi" w:eastAsiaTheme="minorEastAsia" w:hAnsiTheme="minorHAnsi" w:cstheme="minorBidi"/>
          <w:szCs w:val="22"/>
        </w:rPr>
      </w:pPr>
      <w:r>
        <w:t>121.</w:t>
      </w:r>
      <w:r>
        <w:tab/>
        <w:t>Protection from personal liability</w:t>
      </w:r>
      <w:r>
        <w:tab/>
      </w:r>
      <w:r>
        <w:fldChar w:fldCharType="begin"/>
      </w:r>
      <w:r>
        <w:instrText xml:space="preserve"> PAGEREF _Toc158985610 \h </w:instrText>
      </w:r>
      <w:r>
        <w:fldChar w:fldCharType="separate"/>
      </w:r>
      <w:r>
        <w:t>1</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Administrative procedures, Authority may establish</w:t>
      </w:r>
      <w:r>
        <w:tab/>
      </w:r>
      <w:r>
        <w:fldChar w:fldCharType="begin"/>
      </w:r>
      <w:r>
        <w:instrText xml:space="preserve"> PAGEREF _Toc158985611 \h </w:instrText>
      </w:r>
      <w:r>
        <w:fldChar w:fldCharType="separate"/>
      </w:r>
      <w:r>
        <w:t>1</w:t>
      </w:r>
      <w:r>
        <w:fldChar w:fldCharType="end"/>
      </w:r>
    </w:p>
    <w:p>
      <w:pPr>
        <w:pStyle w:val="TOC8"/>
        <w:rPr>
          <w:rFonts w:asciiTheme="minorHAnsi" w:eastAsiaTheme="minorEastAsia" w:hAnsiTheme="minorHAnsi" w:cstheme="minorBidi"/>
          <w:szCs w:val="22"/>
        </w:rPr>
      </w:pPr>
      <w:r>
        <w:t>122A.</w:t>
      </w:r>
      <w:r>
        <w:tab/>
        <w:t>Codes of practice</w:t>
      </w:r>
      <w:r>
        <w:tab/>
      </w:r>
      <w:r>
        <w:fldChar w:fldCharType="begin"/>
      </w:r>
      <w:r>
        <w:instrText xml:space="preserve"> PAGEREF _Toc158985612 \h </w:instrText>
      </w:r>
      <w:r>
        <w:fldChar w:fldCharType="separate"/>
      </w:r>
      <w:r>
        <w:t>1</w:t>
      </w:r>
      <w:r>
        <w:fldChar w:fldCharType="end"/>
      </w:r>
    </w:p>
    <w:p>
      <w:pPr>
        <w:pStyle w:val="TOC8"/>
        <w:rPr>
          <w:rFonts w:asciiTheme="minorHAnsi" w:eastAsiaTheme="minorEastAsia" w:hAnsiTheme="minorHAnsi" w:cstheme="minorBidi"/>
          <w:szCs w:val="22"/>
        </w:rPr>
      </w:pPr>
      <w:r>
        <w:t>122B.</w:t>
      </w:r>
      <w:r>
        <w:tab/>
        <w:t>Forms and other matters relating to documentation</w:t>
      </w:r>
      <w:r>
        <w:tab/>
      </w:r>
      <w:r>
        <w:fldChar w:fldCharType="begin"/>
      </w:r>
      <w:r>
        <w:instrText xml:space="preserve"> PAGEREF _Toc158985613 \h </w:instrText>
      </w:r>
      <w:r>
        <w:fldChar w:fldCharType="separate"/>
      </w:r>
      <w:r>
        <w:t>1</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Regulations</w:t>
      </w:r>
      <w:r>
        <w:tab/>
      </w:r>
      <w:r>
        <w:fldChar w:fldCharType="begin"/>
      </w:r>
      <w:r>
        <w:instrText xml:space="preserve"> PAGEREF _Toc158985614 \h </w:instrText>
      </w:r>
      <w:r>
        <w:fldChar w:fldCharType="separate"/>
      </w:r>
      <w:r>
        <w:t>1</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Review of Act</w:t>
      </w:r>
      <w:r>
        <w:tab/>
      </w:r>
      <w:r>
        <w:fldChar w:fldCharType="begin"/>
      </w:r>
      <w:r>
        <w:instrText xml:space="preserve"> PAGEREF _Toc158985615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VIIIA — Bilateral agreements with the Commonwealth</w:t>
      </w:r>
    </w:p>
    <w:p>
      <w:pPr>
        <w:pStyle w:val="TOC8"/>
        <w:rPr>
          <w:rFonts w:asciiTheme="minorHAnsi" w:eastAsiaTheme="minorEastAsia" w:hAnsiTheme="minorHAnsi" w:cstheme="minorBidi"/>
          <w:szCs w:val="22"/>
        </w:rPr>
      </w:pPr>
      <w:r>
        <w:t>124A.</w:t>
      </w:r>
      <w:r>
        <w:tab/>
        <w:t>Terms used</w:t>
      </w:r>
      <w:r>
        <w:tab/>
      </w:r>
      <w:r>
        <w:fldChar w:fldCharType="begin"/>
      </w:r>
      <w:r>
        <w:instrText xml:space="preserve"> PAGEREF _Toc158985617 \h </w:instrText>
      </w:r>
      <w:r>
        <w:fldChar w:fldCharType="separate"/>
      </w:r>
      <w:r>
        <w:t>1</w:t>
      </w:r>
      <w:r>
        <w:fldChar w:fldCharType="end"/>
      </w:r>
    </w:p>
    <w:p>
      <w:pPr>
        <w:pStyle w:val="TOC8"/>
        <w:rPr>
          <w:rFonts w:asciiTheme="minorHAnsi" w:eastAsiaTheme="minorEastAsia" w:hAnsiTheme="minorHAnsi" w:cstheme="minorBidi"/>
          <w:szCs w:val="22"/>
        </w:rPr>
      </w:pPr>
      <w:r>
        <w:t>124B.</w:t>
      </w:r>
      <w:r>
        <w:tab/>
        <w:t>Effect of Part</w:t>
      </w:r>
      <w:r>
        <w:tab/>
      </w:r>
      <w:r>
        <w:fldChar w:fldCharType="begin"/>
      </w:r>
      <w:r>
        <w:instrText xml:space="preserve"> PAGEREF _Toc158985618 \h </w:instrText>
      </w:r>
      <w:r>
        <w:fldChar w:fldCharType="separate"/>
      </w:r>
      <w:r>
        <w:t>1</w:t>
      </w:r>
      <w:r>
        <w:fldChar w:fldCharType="end"/>
      </w:r>
    </w:p>
    <w:p>
      <w:pPr>
        <w:pStyle w:val="TOC8"/>
        <w:rPr>
          <w:rFonts w:asciiTheme="minorHAnsi" w:eastAsiaTheme="minorEastAsia" w:hAnsiTheme="minorHAnsi" w:cstheme="minorBidi"/>
          <w:szCs w:val="22"/>
        </w:rPr>
      </w:pPr>
      <w:r>
        <w:t>124C.</w:t>
      </w:r>
      <w:r>
        <w:tab/>
        <w:t>Additional function of Authority</w:t>
      </w:r>
      <w:r>
        <w:tab/>
      </w:r>
      <w:r>
        <w:fldChar w:fldCharType="begin"/>
      </w:r>
      <w:r>
        <w:instrText xml:space="preserve"> PAGEREF _Toc158985619 \h </w:instrText>
      </w:r>
      <w:r>
        <w:fldChar w:fldCharType="separate"/>
      </w:r>
      <w:r>
        <w:t>1</w:t>
      </w:r>
      <w:r>
        <w:fldChar w:fldCharType="end"/>
      </w:r>
    </w:p>
    <w:p>
      <w:pPr>
        <w:pStyle w:val="TOC8"/>
        <w:rPr>
          <w:rFonts w:asciiTheme="minorHAnsi" w:eastAsiaTheme="minorEastAsia" w:hAnsiTheme="minorHAnsi" w:cstheme="minorBidi"/>
          <w:szCs w:val="22"/>
        </w:rPr>
      </w:pPr>
      <w:r>
        <w:t>124D.</w:t>
      </w:r>
      <w:r>
        <w:tab/>
        <w:t>Application for a matter to be dealt with as a bilateral matter</w:t>
      </w:r>
      <w:r>
        <w:tab/>
      </w:r>
      <w:r>
        <w:fldChar w:fldCharType="begin"/>
      </w:r>
      <w:r>
        <w:instrText xml:space="preserve"> PAGEREF _Toc158985620 \h </w:instrText>
      </w:r>
      <w:r>
        <w:fldChar w:fldCharType="separate"/>
      </w:r>
      <w:r>
        <w:t>1</w:t>
      </w:r>
      <w:r>
        <w:fldChar w:fldCharType="end"/>
      </w:r>
    </w:p>
    <w:p>
      <w:pPr>
        <w:pStyle w:val="TOC8"/>
        <w:rPr>
          <w:rFonts w:asciiTheme="minorHAnsi" w:eastAsiaTheme="minorEastAsia" w:hAnsiTheme="minorHAnsi" w:cstheme="minorBidi"/>
          <w:szCs w:val="22"/>
        </w:rPr>
      </w:pPr>
      <w:r>
        <w:t>124E.</w:t>
      </w:r>
      <w:r>
        <w:tab/>
        <w:t>Performance of functions in respect of bilateral matters</w:t>
      </w:r>
      <w:r>
        <w:tab/>
      </w:r>
      <w:r>
        <w:fldChar w:fldCharType="begin"/>
      </w:r>
      <w:r>
        <w:instrText xml:space="preserve"> PAGEREF _Toc158985621 \h </w:instrText>
      </w:r>
      <w:r>
        <w:fldChar w:fldCharType="separate"/>
      </w:r>
      <w:r>
        <w:t>1</w:t>
      </w:r>
      <w:r>
        <w:fldChar w:fldCharType="end"/>
      </w:r>
    </w:p>
    <w:p>
      <w:pPr>
        <w:pStyle w:val="TOC8"/>
        <w:rPr>
          <w:rFonts w:asciiTheme="minorHAnsi" w:eastAsiaTheme="minorEastAsia" w:hAnsiTheme="minorHAnsi" w:cstheme="minorBidi"/>
          <w:szCs w:val="22"/>
        </w:rPr>
      </w:pPr>
      <w:r>
        <w:t>124F.</w:t>
      </w:r>
      <w:r>
        <w:tab/>
        <w:t>Fees in relation to bilateral matters</w:t>
      </w:r>
      <w:r>
        <w:tab/>
      </w:r>
      <w:r>
        <w:fldChar w:fldCharType="begin"/>
      </w:r>
      <w:r>
        <w:instrText xml:space="preserve"> PAGEREF _Toc158985622 \h </w:instrText>
      </w:r>
      <w:r>
        <w:fldChar w:fldCharType="separate"/>
      </w:r>
      <w:r>
        <w:t>1</w:t>
      </w:r>
      <w:r>
        <w:fldChar w:fldCharType="end"/>
      </w:r>
    </w:p>
    <w:p>
      <w:pPr>
        <w:pStyle w:val="TOC8"/>
        <w:rPr>
          <w:rFonts w:asciiTheme="minorHAnsi" w:eastAsiaTheme="minorEastAsia" w:hAnsiTheme="minorHAnsi" w:cstheme="minorBidi"/>
          <w:szCs w:val="22"/>
        </w:rPr>
      </w:pPr>
      <w:r>
        <w:t>124G.</w:t>
      </w:r>
      <w:r>
        <w:tab/>
        <w:t>Disclosure of information for the purposes of bilateral agreements</w:t>
      </w:r>
      <w:r>
        <w:tab/>
      </w:r>
      <w:r>
        <w:fldChar w:fldCharType="begin"/>
      </w:r>
      <w:r>
        <w:instrText xml:space="preserve"> PAGEREF _Toc158985623 \h </w:instrText>
      </w:r>
      <w:r>
        <w:fldChar w:fldCharType="separate"/>
      </w:r>
      <w:r>
        <w:t>1</w:t>
      </w:r>
      <w:r>
        <w:fldChar w:fldCharType="end"/>
      </w:r>
    </w:p>
    <w:p>
      <w:pPr>
        <w:pStyle w:val="TOC8"/>
        <w:rPr>
          <w:rFonts w:asciiTheme="minorHAnsi" w:eastAsiaTheme="minorEastAsia" w:hAnsiTheme="minorHAnsi" w:cstheme="minorBidi"/>
          <w:szCs w:val="22"/>
        </w:rPr>
      </w:pPr>
      <w:r>
        <w:t>124H.</w:t>
      </w:r>
      <w:r>
        <w:tab/>
        <w:t>Regulations</w:t>
      </w:r>
      <w:r>
        <w:tab/>
      </w:r>
      <w:r>
        <w:fldChar w:fldCharType="begin"/>
      </w:r>
      <w:r>
        <w:instrText xml:space="preserve"> PAGEREF _Toc158985624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IX — Transitional</w:t>
      </w:r>
    </w:p>
    <w:p>
      <w:pPr>
        <w:pStyle w:val="TOC4"/>
        <w:tabs>
          <w:tab w:val="right" w:leader="dot" w:pos="7077"/>
        </w:tabs>
        <w:rPr>
          <w:rFonts w:asciiTheme="minorHAnsi" w:eastAsiaTheme="minorEastAsia" w:hAnsiTheme="minorHAnsi" w:cstheme="minorBidi"/>
          <w:b w:val="0"/>
          <w:szCs w:val="22"/>
        </w:rPr>
      </w:pPr>
      <w:r>
        <w:t xml:space="preserve">Division 1 — Transitional provisions for </w:t>
      </w:r>
      <w:r>
        <w:rPr>
          <w:i/>
          <w:iCs/>
        </w:rPr>
        <w:t>Environmental Protection Act 1986</w:t>
      </w:r>
    </w:p>
    <w:p>
      <w:pPr>
        <w:pStyle w:val="TOC8"/>
        <w:rPr>
          <w:rFonts w:asciiTheme="minorHAnsi" w:eastAsiaTheme="minorEastAsia" w:hAnsiTheme="minorHAnsi" w:cstheme="minorBidi"/>
          <w:szCs w:val="22"/>
        </w:rPr>
      </w:pPr>
      <w:r>
        <w:t>125</w:t>
      </w:r>
      <w:r>
        <w:rPr>
          <w:snapToGrid w:val="0"/>
        </w:rPr>
        <w:t>.</w:t>
      </w:r>
      <w:r>
        <w:rPr>
          <w:snapToGrid w:val="0"/>
        </w:rPr>
        <w:tab/>
      </w:r>
      <w:r>
        <w:rPr>
          <w:i/>
          <w:snapToGrid w:val="0"/>
        </w:rPr>
        <w:t>Interpretation Act 1984</w:t>
      </w:r>
      <w:r>
        <w:rPr>
          <w:snapToGrid w:val="0"/>
        </w:rPr>
        <w:t xml:space="preserve"> not affected</w:t>
      </w:r>
      <w:r>
        <w:tab/>
      </w:r>
      <w:r>
        <w:fldChar w:fldCharType="begin"/>
      </w:r>
      <w:r>
        <w:instrText xml:space="preserve"> PAGEREF _Toc158985627 \h </w:instrText>
      </w:r>
      <w:r>
        <w:fldChar w:fldCharType="separate"/>
      </w:r>
      <w:r>
        <w:t>1</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 xml:space="preserve">Transitional provisions for </w:t>
      </w:r>
      <w:r>
        <w:rPr>
          <w:i/>
          <w:snapToGrid w:val="0"/>
        </w:rPr>
        <w:t>Environmental Protection Act 1971</w:t>
      </w:r>
      <w:r>
        <w:rPr>
          <w:snapToGrid w:val="0"/>
          <w:vertAlign w:val="superscript"/>
        </w:rPr>
        <w:t> </w:t>
      </w:r>
      <w:r>
        <w:tab/>
      </w:r>
      <w:r>
        <w:fldChar w:fldCharType="begin"/>
      </w:r>
      <w:r>
        <w:instrText xml:space="preserve"> PAGEREF _Toc158985628 \h </w:instrText>
      </w:r>
      <w:r>
        <w:fldChar w:fldCharType="separate"/>
      </w:r>
      <w:r>
        <w:t>1</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 xml:space="preserve">Transitional provisions not related to </w:t>
      </w:r>
      <w:r>
        <w:rPr>
          <w:i/>
          <w:snapToGrid w:val="0"/>
        </w:rPr>
        <w:t>Environmental Protection Act 1971</w:t>
      </w:r>
      <w:r>
        <w:rPr>
          <w:snapToGrid w:val="0"/>
          <w:vertAlign w:val="superscript"/>
        </w:rPr>
        <w:t> </w:t>
      </w:r>
      <w:r>
        <w:tab/>
      </w:r>
      <w:r>
        <w:fldChar w:fldCharType="begin"/>
      </w:r>
      <w:r>
        <w:instrText xml:space="preserve"> PAGEREF _Toc158985629 \h </w:instrText>
      </w:r>
      <w:r>
        <w:fldChar w:fldCharType="separate"/>
      </w:r>
      <w:r>
        <w:t>1</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General saving</w:t>
      </w:r>
      <w:r>
        <w:tab/>
      </w:r>
      <w:r>
        <w:fldChar w:fldCharType="begin"/>
      </w:r>
      <w:r>
        <w:instrText xml:space="preserve"> PAGEREF _Toc158985630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provisions for </w:t>
      </w:r>
      <w:r>
        <w:rPr>
          <w:i/>
          <w:iCs/>
        </w:rPr>
        <w:t>Approvals and Related Reforms (No. 1) (Environment) Act 2010</w:t>
      </w:r>
      <w:r>
        <w:t xml:space="preserve"> Part 2</w:t>
      </w:r>
    </w:p>
    <w:p>
      <w:pPr>
        <w:pStyle w:val="TOC8"/>
        <w:rPr>
          <w:rFonts w:asciiTheme="minorHAnsi" w:eastAsiaTheme="minorEastAsia" w:hAnsiTheme="minorHAnsi" w:cstheme="minorBidi"/>
          <w:szCs w:val="22"/>
        </w:rPr>
      </w:pPr>
      <w:r>
        <w:t>129.</w:t>
      </w:r>
      <w:r>
        <w:tab/>
        <w:t>Term used: amending Act</w:t>
      </w:r>
      <w:r>
        <w:tab/>
      </w:r>
      <w:r>
        <w:fldChar w:fldCharType="begin"/>
      </w:r>
      <w:r>
        <w:instrText xml:space="preserve"> PAGEREF _Toc158985632 \h </w:instrText>
      </w:r>
      <w:r>
        <w:fldChar w:fldCharType="separate"/>
      </w:r>
      <w:r>
        <w:t>1</w:t>
      </w:r>
      <w:r>
        <w:fldChar w:fldCharType="end"/>
      </w:r>
    </w:p>
    <w:p>
      <w:pPr>
        <w:pStyle w:val="TOC8"/>
        <w:rPr>
          <w:rFonts w:asciiTheme="minorHAnsi" w:eastAsiaTheme="minorEastAsia" w:hAnsiTheme="minorHAnsi" w:cstheme="minorBidi"/>
          <w:szCs w:val="22"/>
        </w:rPr>
      </w:pPr>
      <w:r>
        <w:t>130.</w:t>
      </w:r>
      <w:r>
        <w:tab/>
        <w:t>Appeals in respect of proposals</w:t>
      </w:r>
      <w:r>
        <w:tab/>
      </w:r>
      <w:r>
        <w:fldChar w:fldCharType="begin"/>
      </w:r>
      <w:r>
        <w:instrText xml:space="preserve"> PAGEREF _Toc158985633 \h </w:instrText>
      </w:r>
      <w:r>
        <w:fldChar w:fldCharType="separate"/>
      </w:r>
      <w:r>
        <w:t>1</w:t>
      </w:r>
      <w:r>
        <w:fldChar w:fldCharType="end"/>
      </w:r>
    </w:p>
    <w:p>
      <w:pPr>
        <w:pStyle w:val="TOC8"/>
        <w:rPr>
          <w:rFonts w:asciiTheme="minorHAnsi" w:eastAsiaTheme="minorEastAsia" w:hAnsiTheme="minorHAnsi" w:cstheme="minorBidi"/>
          <w:szCs w:val="22"/>
        </w:rPr>
      </w:pPr>
      <w:r>
        <w:t>131.</w:t>
      </w:r>
      <w:r>
        <w:tab/>
        <w:t>Appeals in respect of clearing permits</w:t>
      </w:r>
      <w:r>
        <w:tab/>
      </w:r>
      <w:r>
        <w:fldChar w:fldCharType="begin"/>
      </w:r>
      <w:r>
        <w:instrText xml:space="preserve"> PAGEREF _Toc158985634 \h </w:instrText>
      </w:r>
      <w:r>
        <w:fldChar w:fldCharType="separate"/>
      </w:r>
      <w:r>
        <w:t>1</w:t>
      </w:r>
      <w:r>
        <w:fldChar w:fldCharType="end"/>
      </w:r>
    </w:p>
    <w:p>
      <w:pPr>
        <w:pStyle w:val="TOC8"/>
        <w:rPr>
          <w:rFonts w:asciiTheme="minorHAnsi" w:eastAsiaTheme="minorEastAsia" w:hAnsiTheme="minorHAnsi" w:cstheme="minorBidi"/>
          <w:szCs w:val="22"/>
        </w:rPr>
      </w:pPr>
      <w:r>
        <w:t>132.</w:t>
      </w:r>
      <w:r>
        <w:tab/>
        <w:t>Appeals in respect of works approvals and licences</w:t>
      </w:r>
      <w:r>
        <w:tab/>
      </w:r>
      <w:r>
        <w:fldChar w:fldCharType="begin"/>
      </w:r>
      <w:r>
        <w:instrText xml:space="preserve"> PAGEREF _Toc158985635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Transitional provisions for </w:t>
      </w:r>
      <w:r>
        <w:rPr>
          <w:i/>
          <w:iCs/>
        </w:rPr>
        <w:t>Approvals and Related Reforms (No. 1) (Environment) Act 2010</w:t>
      </w:r>
      <w:r>
        <w:t xml:space="preserve"> Part 3</w:t>
      </w:r>
    </w:p>
    <w:p>
      <w:pPr>
        <w:pStyle w:val="TOC8"/>
        <w:rPr>
          <w:rFonts w:asciiTheme="minorHAnsi" w:eastAsiaTheme="minorEastAsia" w:hAnsiTheme="minorHAnsi" w:cstheme="minorBidi"/>
          <w:szCs w:val="22"/>
        </w:rPr>
      </w:pPr>
      <w:r>
        <w:t>133.</w:t>
      </w:r>
      <w:r>
        <w:tab/>
        <w:t>Minor or preliminary work that has Authority’s consent</w:t>
      </w:r>
      <w:r>
        <w:tab/>
      </w:r>
      <w:r>
        <w:fldChar w:fldCharType="begin"/>
      </w:r>
      <w:r>
        <w:instrText xml:space="preserve"> PAGEREF _Toc158985637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Transitional provisions for </w:t>
      </w:r>
      <w:r>
        <w:rPr>
          <w:i/>
        </w:rPr>
        <w:t>Environmental Protection Amendment Act 2020</w:t>
      </w:r>
    </w:p>
    <w:p>
      <w:pPr>
        <w:pStyle w:val="TOC6"/>
        <w:tabs>
          <w:tab w:val="right" w:leader="dot" w:pos="7077"/>
        </w:tabs>
        <w:rPr>
          <w:rFonts w:asciiTheme="minorHAnsi" w:eastAsiaTheme="minorEastAsia" w:hAnsiTheme="minorHAnsi" w:cstheme="minorBidi"/>
          <w:b w:val="0"/>
          <w:sz w:val="22"/>
          <w:szCs w:val="22"/>
        </w:rPr>
      </w:pPr>
      <w:r>
        <w:t>Subdivision 1 — General provision</w:t>
      </w:r>
    </w:p>
    <w:p>
      <w:pPr>
        <w:pStyle w:val="TOC8"/>
        <w:rPr>
          <w:rFonts w:asciiTheme="minorHAnsi" w:eastAsiaTheme="minorEastAsia" w:hAnsiTheme="minorHAnsi" w:cstheme="minorBidi"/>
          <w:szCs w:val="22"/>
        </w:rPr>
      </w:pPr>
      <w:r>
        <w:t>133A.</w:t>
      </w:r>
      <w:r>
        <w:tab/>
        <w:t>Term used: amending Act</w:t>
      </w:r>
      <w:r>
        <w:tab/>
      </w:r>
      <w:r>
        <w:fldChar w:fldCharType="begin"/>
      </w:r>
      <w:r>
        <w:instrText xml:space="preserve"> PAGEREF _Toc158985640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Transitional provisions relating to clearing matters</w:t>
      </w:r>
    </w:p>
    <w:p>
      <w:pPr>
        <w:pStyle w:val="TOC8"/>
        <w:rPr>
          <w:rFonts w:asciiTheme="minorHAnsi" w:eastAsiaTheme="minorEastAsia" w:hAnsiTheme="minorHAnsi" w:cstheme="minorBidi"/>
          <w:szCs w:val="22"/>
        </w:rPr>
      </w:pPr>
      <w:r>
        <w:t>133B.</w:t>
      </w:r>
      <w:r>
        <w:tab/>
        <w:t>Declaration of environmentally sensitive areas</w:t>
      </w:r>
      <w:r>
        <w:tab/>
      </w:r>
      <w:r>
        <w:fldChar w:fldCharType="begin"/>
      </w:r>
      <w:r>
        <w:instrText xml:space="preserve"> PAGEREF _Toc158985642 \h </w:instrText>
      </w:r>
      <w:r>
        <w:fldChar w:fldCharType="separate"/>
      </w:r>
      <w:r>
        <w:t>1</w:t>
      </w:r>
      <w:r>
        <w:fldChar w:fldCharType="end"/>
      </w:r>
    </w:p>
    <w:p>
      <w:pPr>
        <w:pStyle w:val="TOC8"/>
        <w:rPr>
          <w:rFonts w:asciiTheme="minorHAnsi" w:eastAsiaTheme="minorEastAsia" w:hAnsiTheme="minorHAnsi" w:cstheme="minorBidi"/>
          <w:szCs w:val="22"/>
        </w:rPr>
      </w:pPr>
      <w:r>
        <w:t>133C.</w:t>
      </w:r>
      <w:r>
        <w:tab/>
        <w:t>Clearing permit applications</w:t>
      </w:r>
      <w:r>
        <w:tab/>
      </w:r>
      <w:r>
        <w:fldChar w:fldCharType="begin"/>
      </w:r>
      <w:r>
        <w:instrText xml:space="preserve"> PAGEREF _Toc158985643 \h </w:instrText>
      </w:r>
      <w:r>
        <w:fldChar w:fldCharType="separate"/>
      </w:r>
      <w:r>
        <w:t>1</w:t>
      </w:r>
      <w:r>
        <w:fldChar w:fldCharType="end"/>
      </w:r>
    </w:p>
    <w:p>
      <w:pPr>
        <w:pStyle w:val="TOC8"/>
        <w:rPr>
          <w:rFonts w:asciiTheme="minorHAnsi" w:eastAsiaTheme="minorEastAsia" w:hAnsiTheme="minorHAnsi" w:cstheme="minorBidi"/>
          <w:szCs w:val="22"/>
        </w:rPr>
      </w:pPr>
      <w:r>
        <w:t>133D.</w:t>
      </w:r>
      <w:r>
        <w:tab/>
        <w:t>Clearing injunctions</w:t>
      </w:r>
      <w:r>
        <w:tab/>
      </w:r>
      <w:r>
        <w:fldChar w:fldCharType="begin"/>
      </w:r>
      <w:r>
        <w:instrText xml:space="preserve"> PAGEREF _Toc158985644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Transitional provisions relating to works approvals and licences</w:t>
      </w:r>
    </w:p>
    <w:p>
      <w:pPr>
        <w:pStyle w:val="TOC8"/>
        <w:rPr>
          <w:rFonts w:asciiTheme="minorHAnsi" w:eastAsiaTheme="minorEastAsia" w:hAnsiTheme="minorHAnsi" w:cstheme="minorBidi"/>
          <w:szCs w:val="22"/>
        </w:rPr>
      </w:pPr>
      <w:r>
        <w:t>133E.</w:t>
      </w:r>
      <w:r>
        <w:tab/>
        <w:t>Terms used</w:t>
      </w:r>
      <w:r>
        <w:tab/>
      </w:r>
      <w:r>
        <w:fldChar w:fldCharType="begin"/>
      </w:r>
      <w:r>
        <w:instrText xml:space="preserve"> PAGEREF _Toc158985646 \h </w:instrText>
      </w:r>
      <w:r>
        <w:fldChar w:fldCharType="separate"/>
      </w:r>
      <w:r>
        <w:t>1</w:t>
      </w:r>
      <w:r>
        <w:fldChar w:fldCharType="end"/>
      </w:r>
    </w:p>
    <w:p>
      <w:pPr>
        <w:pStyle w:val="TOC8"/>
        <w:rPr>
          <w:rFonts w:asciiTheme="minorHAnsi" w:eastAsiaTheme="minorEastAsia" w:hAnsiTheme="minorHAnsi" w:cstheme="minorBidi"/>
          <w:szCs w:val="22"/>
        </w:rPr>
      </w:pPr>
      <w:r>
        <w:t>133F.</w:t>
      </w:r>
      <w:r>
        <w:tab/>
        <w:t>Works approvals</w:t>
      </w:r>
      <w:r>
        <w:tab/>
      </w:r>
      <w:r>
        <w:fldChar w:fldCharType="begin"/>
      </w:r>
      <w:r>
        <w:instrText xml:space="preserve"> PAGEREF _Toc158985647 \h </w:instrText>
      </w:r>
      <w:r>
        <w:fldChar w:fldCharType="separate"/>
      </w:r>
      <w:r>
        <w:t>1</w:t>
      </w:r>
      <w:r>
        <w:fldChar w:fldCharType="end"/>
      </w:r>
    </w:p>
    <w:p>
      <w:pPr>
        <w:pStyle w:val="TOC8"/>
        <w:rPr>
          <w:rFonts w:asciiTheme="minorHAnsi" w:eastAsiaTheme="minorEastAsia" w:hAnsiTheme="minorHAnsi" w:cstheme="minorBidi"/>
          <w:szCs w:val="22"/>
        </w:rPr>
      </w:pPr>
      <w:r>
        <w:t>133G.</w:t>
      </w:r>
      <w:r>
        <w:tab/>
        <w:t>Licences</w:t>
      </w:r>
      <w:r>
        <w:tab/>
      </w:r>
      <w:r>
        <w:fldChar w:fldCharType="begin"/>
      </w:r>
      <w:r>
        <w:instrText xml:space="preserve"> PAGEREF _Toc158985648 \h </w:instrText>
      </w:r>
      <w:r>
        <w:fldChar w:fldCharType="separate"/>
      </w:r>
      <w:r>
        <w:t>1</w:t>
      </w:r>
      <w:r>
        <w:fldChar w:fldCharType="end"/>
      </w:r>
    </w:p>
    <w:p>
      <w:pPr>
        <w:pStyle w:val="TOC8"/>
        <w:rPr>
          <w:rFonts w:asciiTheme="minorHAnsi" w:eastAsiaTheme="minorEastAsia" w:hAnsiTheme="minorHAnsi" w:cstheme="minorBidi"/>
          <w:szCs w:val="22"/>
        </w:rPr>
      </w:pPr>
      <w:r>
        <w:t>133H.</w:t>
      </w:r>
      <w:r>
        <w:tab/>
        <w:t>Existing applications for works approvals or licences</w:t>
      </w:r>
      <w:r>
        <w:tab/>
      </w:r>
      <w:r>
        <w:fldChar w:fldCharType="begin"/>
      </w:r>
      <w:r>
        <w:instrText xml:space="preserve"> PAGEREF _Toc158985649 \h </w:instrText>
      </w:r>
      <w:r>
        <w:fldChar w:fldCharType="separate"/>
      </w:r>
      <w:r>
        <w:t>1</w:t>
      </w:r>
      <w:r>
        <w:fldChar w:fldCharType="end"/>
      </w:r>
    </w:p>
    <w:p>
      <w:pPr>
        <w:pStyle w:val="TOC8"/>
        <w:rPr>
          <w:rFonts w:asciiTheme="minorHAnsi" w:eastAsiaTheme="minorEastAsia" w:hAnsiTheme="minorHAnsi" w:cstheme="minorBidi"/>
          <w:szCs w:val="22"/>
        </w:rPr>
      </w:pPr>
      <w:r>
        <w:lastRenderedPageBreak/>
        <w:t>133I.</w:t>
      </w:r>
      <w:r>
        <w:tab/>
        <w:t>Existing applications as to existing works approvals</w:t>
      </w:r>
      <w:r>
        <w:tab/>
      </w:r>
      <w:r>
        <w:fldChar w:fldCharType="begin"/>
      </w:r>
      <w:r>
        <w:instrText xml:space="preserve"> PAGEREF _Toc158985650 \h </w:instrText>
      </w:r>
      <w:r>
        <w:fldChar w:fldCharType="separate"/>
      </w:r>
      <w:r>
        <w:t>1</w:t>
      </w:r>
      <w:r>
        <w:fldChar w:fldCharType="end"/>
      </w:r>
    </w:p>
    <w:p>
      <w:pPr>
        <w:pStyle w:val="TOC8"/>
        <w:rPr>
          <w:rFonts w:asciiTheme="minorHAnsi" w:eastAsiaTheme="minorEastAsia" w:hAnsiTheme="minorHAnsi" w:cstheme="minorBidi"/>
          <w:szCs w:val="22"/>
        </w:rPr>
      </w:pPr>
      <w:r>
        <w:t>133J.</w:t>
      </w:r>
      <w:r>
        <w:tab/>
        <w:t>Existing applications as to existing licences</w:t>
      </w:r>
      <w:r>
        <w:tab/>
      </w:r>
      <w:r>
        <w:fldChar w:fldCharType="begin"/>
      </w:r>
      <w:r>
        <w:instrText xml:space="preserve"> PAGEREF _Toc158985651 \h </w:instrText>
      </w:r>
      <w:r>
        <w:fldChar w:fldCharType="separate"/>
      </w:r>
      <w:r>
        <w:t>1</w:t>
      </w:r>
      <w:r>
        <w:fldChar w:fldCharType="end"/>
      </w:r>
    </w:p>
    <w:p>
      <w:pPr>
        <w:pStyle w:val="TOC8"/>
        <w:rPr>
          <w:rFonts w:asciiTheme="minorHAnsi" w:eastAsiaTheme="minorEastAsia" w:hAnsiTheme="minorHAnsi" w:cstheme="minorBidi"/>
          <w:szCs w:val="22"/>
        </w:rPr>
      </w:pPr>
      <w:r>
        <w:t>133K.</w:t>
      </w:r>
      <w:r>
        <w:tab/>
        <w:t>Appeals in respect of refusal to grant works approvals and licences</w:t>
      </w:r>
      <w:r>
        <w:tab/>
      </w:r>
      <w:r>
        <w:fldChar w:fldCharType="begin"/>
      </w:r>
      <w:r>
        <w:instrText xml:space="preserve"> PAGEREF _Toc158985652 \h </w:instrText>
      </w:r>
      <w:r>
        <w:fldChar w:fldCharType="separate"/>
      </w:r>
      <w:r>
        <w:t>1</w:t>
      </w:r>
      <w:r>
        <w:fldChar w:fldCharType="end"/>
      </w:r>
    </w:p>
    <w:p>
      <w:pPr>
        <w:pStyle w:val="TOC8"/>
        <w:rPr>
          <w:rFonts w:asciiTheme="minorHAnsi" w:eastAsiaTheme="minorEastAsia" w:hAnsiTheme="minorHAnsi" w:cstheme="minorBidi"/>
          <w:szCs w:val="22"/>
        </w:rPr>
      </w:pPr>
      <w:r>
        <w:t>133L.</w:t>
      </w:r>
      <w:r>
        <w:tab/>
        <w:t>Other appeals in respect of works approvals and licences</w:t>
      </w:r>
      <w:r>
        <w:tab/>
      </w:r>
      <w:r>
        <w:fldChar w:fldCharType="begin"/>
      </w:r>
      <w:r>
        <w:instrText xml:space="preserve"> PAGEREF _Toc158985653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matters</w:t>
      </w:r>
    </w:p>
    <w:p>
      <w:pPr>
        <w:pStyle w:val="TOC8"/>
        <w:rPr>
          <w:rFonts w:asciiTheme="minorHAnsi" w:eastAsiaTheme="minorEastAsia" w:hAnsiTheme="minorHAnsi" w:cstheme="minorBidi"/>
          <w:szCs w:val="22"/>
        </w:rPr>
      </w:pPr>
      <w:r>
        <w:t>133M.</w:t>
      </w:r>
      <w:r>
        <w:tab/>
        <w:t>Referred proposals</w:t>
      </w:r>
      <w:r>
        <w:tab/>
      </w:r>
      <w:r>
        <w:fldChar w:fldCharType="begin"/>
      </w:r>
      <w:r>
        <w:instrText xml:space="preserve"> PAGEREF _Toc158985655 \h </w:instrText>
      </w:r>
      <w:r>
        <w:fldChar w:fldCharType="separate"/>
      </w:r>
      <w:r>
        <w:t>1</w:t>
      </w:r>
      <w:r>
        <w:fldChar w:fldCharType="end"/>
      </w:r>
    </w:p>
    <w:p>
      <w:pPr>
        <w:pStyle w:val="TOC8"/>
        <w:rPr>
          <w:rFonts w:asciiTheme="minorHAnsi" w:eastAsiaTheme="minorEastAsia" w:hAnsiTheme="minorHAnsi" w:cstheme="minorBidi"/>
          <w:szCs w:val="22"/>
        </w:rPr>
      </w:pPr>
      <w:r>
        <w:t>133N.</w:t>
      </w:r>
      <w:r>
        <w:tab/>
        <w:t>Chair and Deputy Chair</w:t>
      </w:r>
      <w:r>
        <w:tab/>
      </w:r>
      <w:r>
        <w:fldChar w:fldCharType="begin"/>
      </w:r>
      <w:r>
        <w:instrText xml:space="preserve"> PAGEREF _Toc158985656 \h </w:instrText>
      </w:r>
      <w:r>
        <w:fldChar w:fldCharType="separate"/>
      </w:r>
      <w:r>
        <w:t>1</w:t>
      </w:r>
      <w:r>
        <w:fldChar w:fldCharType="end"/>
      </w:r>
    </w:p>
    <w:p>
      <w:pPr>
        <w:pStyle w:val="TOC8"/>
        <w:rPr>
          <w:rFonts w:asciiTheme="minorHAnsi" w:eastAsiaTheme="minorEastAsia" w:hAnsiTheme="minorHAnsi" w:cstheme="minorBidi"/>
          <w:szCs w:val="22"/>
        </w:rPr>
      </w:pPr>
      <w:r>
        <w:t>133O.</w:t>
      </w:r>
      <w:r>
        <w:tab/>
        <w:t>Transitional regulations</w:t>
      </w:r>
      <w:r>
        <w:tab/>
      </w:r>
      <w:r>
        <w:fldChar w:fldCharType="begin"/>
      </w:r>
      <w:r>
        <w:instrText xml:space="preserve"> PAGEREF _Toc158985657 \h </w:instrText>
      </w:r>
      <w:r>
        <w:fldChar w:fldCharType="separate"/>
      </w:r>
      <w:r>
        <w:t>1</w:t>
      </w:r>
      <w:r>
        <w:fldChar w:fldCharType="end"/>
      </w:r>
    </w:p>
    <w:p>
      <w:pPr>
        <w:pStyle w:val="TOC8"/>
        <w:rPr>
          <w:rFonts w:asciiTheme="minorHAnsi" w:eastAsiaTheme="minorEastAsia" w:hAnsiTheme="minorHAnsi" w:cstheme="minorBidi"/>
          <w:szCs w:val="22"/>
        </w:rPr>
      </w:pPr>
      <w:r>
        <w:t>133P.</w:t>
      </w:r>
      <w:r>
        <w:tab/>
      </w:r>
      <w:r>
        <w:rPr>
          <w:i/>
        </w:rPr>
        <w:t xml:space="preserve">Interpretation Act 1984 </w:t>
      </w:r>
      <w:r>
        <w:t>not affected</w:t>
      </w:r>
      <w:r>
        <w:tab/>
      </w:r>
      <w:r>
        <w:fldChar w:fldCharType="begin"/>
      </w:r>
      <w:r>
        <w:instrText xml:space="preserve"> PAGEREF _Toc158985658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X — Validation</w:t>
      </w:r>
    </w:p>
    <w:p>
      <w:pPr>
        <w:pStyle w:val="TOC8"/>
        <w:rPr>
          <w:rFonts w:asciiTheme="minorHAnsi" w:eastAsiaTheme="minorEastAsia" w:hAnsiTheme="minorHAnsi" w:cstheme="minorBidi"/>
          <w:szCs w:val="22"/>
        </w:rPr>
      </w:pPr>
      <w:r>
        <w:t>134.</w:t>
      </w:r>
      <w:r>
        <w:tab/>
        <w:t>Terms used</w:t>
      </w:r>
      <w:r>
        <w:tab/>
      </w:r>
      <w:r>
        <w:fldChar w:fldCharType="begin"/>
      </w:r>
      <w:r>
        <w:instrText xml:space="preserve"> PAGEREF _Toc158985660 \h </w:instrText>
      </w:r>
      <w:r>
        <w:fldChar w:fldCharType="separate"/>
      </w:r>
      <w:r>
        <w:t>1</w:t>
      </w:r>
      <w:r>
        <w:fldChar w:fldCharType="end"/>
      </w:r>
    </w:p>
    <w:p>
      <w:pPr>
        <w:pStyle w:val="TOC8"/>
        <w:rPr>
          <w:rFonts w:asciiTheme="minorHAnsi" w:eastAsiaTheme="minorEastAsia" w:hAnsiTheme="minorHAnsi" w:cstheme="minorBidi"/>
          <w:szCs w:val="22"/>
        </w:rPr>
      </w:pPr>
      <w:r>
        <w:t>135.</w:t>
      </w:r>
      <w:r>
        <w:tab/>
        <w:t>Grounds of invalidity</w:t>
      </w:r>
      <w:r>
        <w:tab/>
      </w:r>
      <w:r>
        <w:fldChar w:fldCharType="begin"/>
      </w:r>
      <w:r>
        <w:instrText xml:space="preserve"> PAGEREF _Toc158985661 \h </w:instrText>
      </w:r>
      <w:r>
        <w:fldChar w:fldCharType="separate"/>
      </w:r>
      <w:r>
        <w:t>1</w:t>
      </w:r>
      <w:r>
        <w:fldChar w:fldCharType="end"/>
      </w:r>
    </w:p>
    <w:p>
      <w:pPr>
        <w:pStyle w:val="TOC8"/>
        <w:rPr>
          <w:rFonts w:asciiTheme="minorHAnsi" w:eastAsiaTheme="minorEastAsia" w:hAnsiTheme="minorHAnsi" w:cstheme="minorBidi"/>
          <w:szCs w:val="22"/>
        </w:rPr>
      </w:pPr>
      <w:r>
        <w:t>136.</w:t>
      </w:r>
      <w:r>
        <w:tab/>
        <w:t>Certain proceedings of Environmental Protection Authority and other things validated</w:t>
      </w:r>
      <w:r>
        <w:tab/>
      </w:r>
      <w:r>
        <w:fldChar w:fldCharType="begin"/>
      </w:r>
      <w:r>
        <w:instrText xml:space="preserve"> PAGEREF _Toc158985662 \h </w:instrText>
      </w:r>
      <w:r>
        <w:fldChar w:fldCharType="separate"/>
      </w:r>
      <w:r>
        <w:t>1</w:t>
      </w:r>
      <w:r>
        <w:fldChar w:fldCharType="end"/>
      </w:r>
    </w:p>
    <w:p>
      <w:pPr>
        <w:pStyle w:val="TOC8"/>
        <w:rPr>
          <w:rFonts w:asciiTheme="minorHAnsi" w:eastAsiaTheme="minorEastAsia" w:hAnsiTheme="minorHAnsi" w:cstheme="minorBidi"/>
          <w:szCs w:val="22"/>
        </w:rPr>
      </w:pPr>
      <w:r>
        <w:t>137.</w:t>
      </w:r>
      <w:r>
        <w:tab/>
        <w:t>Exclusions from validation</w:t>
      </w:r>
      <w:r>
        <w:tab/>
      </w:r>
      <w:r>
        <w:fldChar w:fldCharType="begin"/>
      </w:r>
      <w:r>
        <w:instrText xml:space="preserve"> PAGEREF _Toc158985663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Penalties</w:t>
      </w:r>
    </w:p>
    <w:p>
      <w:pPr>
        <w:pStyle w:val="TOC4"/>
        <w:tabs>
          <w:tab w:val="right" w:leader="dot" w:pos="7077"/>
        </w:tabs>
        <w:rPr>
          <w:rFonts w:asciiTheme="minorHAnsi" w:eastAsiaTheme="minorEastAsia" w:hAnsiTheme="minorHAnsi" w:cstheme="minorBidi"/>
          <w:b w:val="0"/>
          <w:szCs w:val="22"/>
        </w:rPr>
      </w:pPr>
      <w:r>
        <w:t>Part 1 — Tier 1 offences and penalties</w:t>
      </w:r>
    </w:p>
    <w:p>
      <w:pPr>
        <w:pStyle w:val="TOC6"/>
        <w:tabs>
          <w:tab w:val="right" w:leader="dot" w:pos="7077"/>
        </w:tabs>
        <w:rPr>
          <w:rFonts w:asciiTheme="minorHAnsi" w:eastAsiaTheme="minorEastAsia" w:hAnsiTheme="minorHAnsi" w:cstheme="minorBidi"/>
          <w:b w:val="0"/>
          <w:sz w:val="22"/>
          <w:szCs w:val="22"/>
        </w:rPr>
      </w:pPr>
      <w:r>
        <w:t>Division 1 — Individuals</w:t>
      </w:r>
    </w:p>
    <w:p>
      <w:pPr>
        <w:pStyle w:val="TOC6"/>
        <w:tabs>
          <w:tab w:val="right" w:leader="dot" w:pos="7077"/>
        </w:tabs>
        <w:rPr>
          <w:rFonts w:asciiTheme="minorHAnsi" w:eastAsiaTheme="minorEastAsia" w:hAnsiTheme="minorHAnsi" w:cstheme="minorBidi"/>
          <w:b w:val="0"/>
          <w:sz w:val="22"/>
          <w:szCs w:val="22"/>
        </w:rPr>
      </w:pPr>
      <w:r>
        <w:t>Division 2 — Bodies corporate</w:t>
      </w:r>
    </w:p>
    <w:p>
      <w:pPr>
        <w:pStyle w:val="TOC4"/>
        <w:tabs>
          <w:tab w:val="right" w:leader="dot" w:pos="7077"/>
        </w:tabs>
        <w:rPr>
          <w:rFonts w:asciiTheme="minorHAnsi" w:eastAsiaTheme="minorEastAsia" w:hAnsiTheme="minorHAnsi" w:cstheme="minorBidi"/>
          <w:b w:val="0"/>
          <w:szCs w:val="22"/>
        </w:rPr>
      </w:pPr>
      <w:r>
        <w:t>Part 2 — Tier 2 offences and penalties</w:t>
      </w:r>
    </w:p>
    <w:p>
      <w:pPr>
        <w:pStyle w:val="TOC6"/>
        <w:tabs>
          <w:tab w:val="right" w:leader="dot" w:pos="7077"/>
        </w:tabs>
        <w:rPr>
          <w:rFonts w:asciiTheme="minorHAnsi" w:eastAsiaTheme="minorEastAsia" w:hAnsiTheme="minorHAnsi" w:cstheme="minorBidi"/>
          <w:b w:val="0"/>
          <w:sz w:val="22"/>
          <w:szCs w:val="22"/>
        </w:rPr>
      </w:pPr>
      <w:r>
        <w:t>Division 1 — Individuals</w:t>
      </w:r>
    </w:p>
    <w:p>
      <w:pPr>
        <w:pStyle w:val="TOC6"/>
        <w:tabs>
          <w:tab w:val="right" w:leader="dot" w:pos="7077"/>
        </w:tabs>
        <w:rPr>
          <w:rFonts w:asciiTheme="minorHAnsi" w:eastAsiaTheme="minorEastAsia" w:hAnsiTheme="minorHAnsi" w:cstheme="minorBidi"/>
          <w:b w:val="0"/>
          <w:sz w:val="22"/>
          <w:szCs w:val="22"/>
        </w:rPr>
      </w:pPr>
      <w:r>
        <w:t>Division 2 — Bodies corporate</w:t>
      </w:r>
    </w:p>
    <w:p>
      <w:pPr>
        <w:pStyle w:val="TOC6"/>
        <w:tabs>
          <w:tab w:val="right" w:leader="dot" w:pos="7077"/>
        </w:tabs>
        <w:rPr>
          <w:rFonts w:asciiTheme="minorHAnsi" w:eastAsiaTheme="minorEastAsia" w:hAnsiTheme="minorHAnsi" w:cstheme="minorBidi"/>
          <w:b w:val="0"/>
          <w:sz w:val="22"/>
          <w:szCs w:val="22"/>
        </w:rPr>
      </w:pPr>
      <w:r>
        <w:t>Division 3 — Individuals and bodies corporate</w:t>
      </w:r>
    </w:p>
    <w:p>
      <w:pPr>
        <w:pStyle w:val="TOC4"/>
        <w:tabs>
          <w:tab w:val="right" w:leader="dot" w:pos="7077"/>
        </w:tabs>
        <w:rPr>
          <w:rFonts w:asciiTheme="minorHAnsi" w:eastAsiaTheme="minorEastAsia" w:hAnsiTheme="minorHAnsi" w:cstheme="minorBidi"/>
          <w:b w:val="0"/>
          <w:szCs w:val="22"/>
        </w:rPr>
      </w:pPr>
      <w:r>
        <w:t>Part 3 — Tier 3 offences and penalties</w:t>
      </w:r>
    </w:p>
    <w:p>
      <w:pPr>
        <w:pStyle w:val="TOC2"/>
        <w:tabs>
          <w:tab w:val="right" w:leader="dot" w:pos="7077"/>
        </w:tabs>
        <w:rPr>
          <w:rFonts w:asciiTheme="minorHAnsi" w:eastAsiaTheme="minorEastAsia" w:hAnsiTheme="minorHAnsi" w:cstheme="minorBidi"/>
          <w:b w:val="0"/>
          <w:sz w:val="22"/>
          <w:szCs w:val="22"/>
        </w:rPr>
      </w:pPr>
      <w:r>
        <w:t>Schedule 2 — Matters in respect of which regulations may be made</w:t>
      </w:r>
    </w:p>
    <w:p>
      <w:pPr>
        <w:pStyle w:val="TOC2"/>
        <w:tabs>
          <w:tab w:val="right" w:leader="dot" w:pos="7077"/>
        </w:tabs>
        <w:rPr>
          <w:rFonts w:asciiTheme="minorHAnsi" w:eastAsiaTheme="minorEastAsia" w:hAnsiTheme="minorHAnsi" w:cstheme="minorBidi"/>
          <w:b w:val="0"/>
          <w:sz w:val="22"/>
          <w:szCs w:val="22"/>
        </w:rPr>
      </w:pPr>
      <w:r>
        <w:t xml:space="preserve">Schedule 3 — Transitional provisions related to </w:t>
      </w:r>
      <w:r>
        <w:rPr>
          <w:i/>
        </w:rPr>
        <w:t>Environmental Protection Act 1971</w:t>
      </w:r>
    </w:p>
    <w:p>
      <w:pPr>
        <w:pStyle w:val="TOC2"/>
        <w:tabs>
          <w:tab w:val="right" w:leader="dot" w:pos="7077"/>
        </w:tabs>
        <w:rPr>
          <w:rFonts w:asciiTheme="minorHAnsi" w:eastAsiaTheme="minorEastAsia" w:hAnsiTheme="minorHAnsi" w:cstheme="minorBidi"/>
          <w:b w:val="0"/>
          <w:sz w:val="22"/>
          <w:szCs w:val="22"/>
        </w:rPr>
      </w:pPr>
      <w:r>
        <w:t xml:space="preserve">Schedule 4 — Transitional provisions not related to </w:t>
      </w:r>
      <w:r>
        <w:rPr>
          <w:i/>
        </w:rPr>
        <w:t>Environmental Protection Act 1971</w:t>
      </w:r>
    </w:p>
    <w:p>
      <w:pPr>
        <w:pStyle w:val="TOC2"/>
        <w:tabs>
          <w:tab w:val="right" w:leader="dot" w:pos="7077"/>
        </w:tabs>
        <w:rPr>
          <w:rFonts w:asciiTheme="minorHAnsi" w:eastAsiaTheme="minorEastAsia" w:hAnsiTheme="minorHAnsi" w:cstheme="minorBidi"/>
          <w:b w:val="0"/>
          <w:sz w:val="22"/>
          <w:szCs w:val="22"/>
        </w:rPr>
      </w:pPr>
      <w:r>
        <w:t>Schedule 5 — Principles for clearing native vegetation</w:t>
      </w:r>
    </w:p>
    <w:p>
      <w:pPr>
        <w:pStyle w:val="TOC8"/>
        <w:rPr>
          <w:rFonts w:asciiTheme="minorHAnsi" w:eastAsiaTheme="minorEastAsia" w:hAnsiTheme="minorHAnsi" w:cstheme="minorBidi"/>
          <w:szCs w:val="22"/>
        </w:rPr>
      </w:pPr>
      <w:r>
        <w:t>1.</w:t>
      </w:r>
      <w:r>
        <w:tab/>
        <w:t>Principles</w:t>
      </w:r>
      <w:r>
        <w:tab/>
      </w:r>
      <w:r>
        <w:fldChar w:fldCharType="begin"/>
      </w:r>
      <w:r>
        <w:instrText xml:space="preserve"> PAGEREF _Toc158985677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_Toc158985678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6 — Clearing for which a clearing permit is not required</w:t>
      </w:r>
    </w:p>
    <w:p>
      <w:pPr>
        <w:pStyle w:val="TOC2"/>
        <w:tabs>
          <w:tab w:val="right" w:leader="dot" w:pos="7077"/>
        </w:tabs>
        <w:rPr>
          <w:rFonts w:asciiTheme="minorHAnsi" w:eastAsiaTheme="minorEastAsia" w:hAnsiTheme="minorHAnsi" w:cstheme="minorBidi"/>
          <w:b w:val="0"/>
          <w:sz w:val="22"/>
          <w:szCs w:val="22"/>
        </w:rPr>
      </w:pPr>
      <w:r>
        <w:t>Schedule 7 — Appeals Convenor</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_Toc158985681 \h </w:instrText>
      </w:r>
      <w:r>
        <w:fldChar w:fldCharType="separate"/>
      </w:r>
      <w:r>
        <w:t>1</w:t>
      </w:r>
      <w:r>
        <w:fldChar w:fldCharType="end"/>
      </w:r>
    </w:p>
    <w:p>
      <w:pPr>
        <w:pStyle w:val="TOC8"/>
        <w:rPr>
          <w:rFonts w:asciiTheme="minorHAnsi" w:eastAsiaTheme="minorEastAsia" w:hAnsiTheme="minorHAnsi" w:cstheme="minorBidi"/>
          <w:szCs w:val="22"/>
        </w:rPr>
      </w:pPr>
      <w:r>
        <w:t>2.</w:t>
      </w:r>
      <w:r>
        <w:tab/>
        <w:t>Salary and entitlements</w:t>
      </w:r>
      <w:r>
        <w:tab/>
      </w:r>
      <w:r>
        <w:fldChar w:fldCharType="begin"/>
      </w:r>
      <w:r>
        <w:instrText xml:space="preserve"> PAGEREF _Toc158985682 \h </w:instrText>
      </w:r>
      <w:r>
        <w:fldChar w:fldCharType="separate"/>
      </w:r>
      <w:r>
        <w:t>1</w:t>
      </w:r>
      <w:r>
        <w:fldChar w:fldCharType="end"/>
      </w:r>
    </w:p>
    <w:p>
      <w:pPr>
        <w:pStyle w:val="TOC8"/>
        <w:rPr>
          <w:rFonts w:asciiTheme="minorHAnsi" w:eastAsiaTheme="minorEastAsia" w:hAnsiTheme="minorHAnsi" w:cstheme="minorBidi"/>
          <w:szCs w:val="22"/>
        </w:rPr>
      </w:pPr>
      <w:r>
        <w:t>3.</w:t>
      </w:r>
      <w:r>
        <w:tab/>
        <w:t>Resignation and removal from office</w:t>
      </w:r>
      <w:r>
        <w:tab/>
      </w:r>
      <w:r>
        <w:fldChar w:fldCharType="begin"/>
      </w:r>
      <w:r>
        <w:instrText xml:space="preserve"> PAGEREF _Toc158985683 \h </w:instrText>
      </w:r>
      <w:r>
        <w:fldChar w:fldCharType="separate"/>
      </w:r>
      <w:r>
        <w:t>1</w:t>
      </w:r>
      <w:r>
        <w:fldChar w:fldCharType="end"/>
      </w:r>
    </w:p>
    <w:p>
      <w:pPr>
        <w:pStyle w:val="TOC8"/>
        <w:rPr>
          <w:rFonts w:asciiTheme="minorHAnsi" w:eastAsiaTheme="minorEastAsia" w:hAnsiTheme="minorHAnsi" w:cstheme="minorBidi"/>
          <w:szCs w:val="22"/>
        </w:rPr>
      </w:pPr>
      <w:r>
        <w:t>4.</w:t>
      </w:r>
      <w:r>
        <w:tab/>
        <w:t>Appointment of public service officer</w:t>
      </w:r>
      <w:r>
        <w:tab/>
      </w:r>
      <w:r>
        <w:fldChar w:fldCharType="begin"/>
      </w:r>
      <w:r>
        <w:instrText xml:space="preserve"> PAGEREF _Toc158985684 \h </w:instrText>
      </w:r>
      <w:r>
        <w:fldChar w:fldCharType="separate"/>
      </w:r>
      <w:r>
        <w:t>1</w:t>
      </w:r>
      <w:r>
        <w:fldChar w:fldCharType="end"/>
      </w:r>
    </w:p>
    <w:p>
      <w:pPr>
        <w:pStyle w:val="TOC8"/>
        <w:rPr>
          <w:rFonts w:asciiTheme="minorHAnsi" w:eastAsiaTheme="minorEastAsia" w:hAnsiTheme="minorHAnsi" w:cstheme="minorBidi"/>
          <w:szCs w:val="22"/>
        </w:rPr>
      </w:pPr>
      <w:r>
        <w:t>5.</w:t>
      </w:r>
      <w:r>
        <w:tab/>
        <w:t>Other conditions of service</w:t>
      </w:r>
      <w:r>
        <w:tab/>
      </w:r>
      <w:r>
        <w:fldChar w:fldCharType="begin"/>
      </w:r>
      <w:r>
        <w:instrText xml:space="preserve"> PAGEREF _Toc158985685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_Toc158985687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_Toc158985688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_Toc158985689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800" w:after="1200"/>
      </w:pPr>
      <w:r>
        <w:t>Environmental Protection Act 1986</w:t>
      </w:r>
    </w:p>
    <w:p>
      <w:pPr>
        <w:pStyle w:val="LongTitle"/>
        <w:rPr>
          <w:snapToGrid w:val="0"/>
        </w:rPr>
      </w:pPr>
      <w:r>
        <w:rPr>
          <w:snapToGrid w:val="0"/>
        </w:rPr>
        <w:t>An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pPr>
        <w:pStyle w:val="Footnotelongtitle"/>
      </w:pPr>
      <w:r>
        <w:tab/>
        <w:t>[Long title amended: No. 54 of 2003 s. 27.]</w:t>
      </w:r>
    </w:p>
    <w:p>
      <w:pPr>
        <w:pStyle w:val="Heading2"/>
      </w:pPr>
      <w:bookmarkStart w:id="2" w:name="_Toc158980647"/>
      <w:bookmarkStart w:id="3" w:name="_Toc158981046"/>
      <w:bookmarkStart w:id="4" w:name="_Toc158985316"/>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p>
    <w:p>
      <w:pPr>
        <w:pStyle w:val="Heading5"/>
        <w:rPr>
          <w:snapToGrid w:val="0"/>
        </w:rPr>
      </w:pPr>
      <w:bookmarkStart w:id="5" w:name="_Toc158985317"/>
      <w:r>
        <w:rPr>
          <w:rStyle w:val="CharSectno"/>
        </w:rPr>
        <w:t>1</w:t>
      </w:r>
      <w:r>
        <w:rPr>
          <w:snapToGrid w:val="0"/>
        </w:rPr>
        <w:t>.</w:t>
      </w:r>
      <w:r>
        <w:rPr>
          <w:snapToGrid w:val="0"/>
        </w:rPr>
        <w:tab/>
        <w:t>Short title</w:t>
      </w:r>
      <w:bookmarkEnd w:id="5"/>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w:t>
      </w:r>
    </w:p>
    <w:p>
      <w:pPr>
        <w:pStyle w:val="Heading5"/>
        <w:rPr>
          <w:snapToGrid w:val="0"/>
        </w:rPr>
      </w:pPr>
      <w:bookmarkStart w:id="6" w:name="_Toc158985318"/>
      <w:r>
        <w:rPr>
          <w:rStyle w:val="CharSectno"/>
        </w:rPr>
        <w:t>2</w:t>
      </w:r>
      <w:r>
        <w:rPr>
          <w:snapToGrid w:val="0"/>
        </w:rPr>
        <w:t>.</w:t>
      </w:r>
      <w:r>
        <w:rPr>
          <w:snapToGrid w:val="0"/>
        </w:rPr>
        <w:tab/>
        <w:t>Commencement</w:t>
      </w:r>
      <w:bookmarkEnd w:id="6"/>
    </w:p>
    <w:p>
      <w:pPr>
        <w:pStyle w:val="Subsection"/>
        <w:rPr>
          <w:snapToGrid w:val="0"/>
        </w:rPr>
      </w:pPr>
      <w:r>
        <w:rPr>
          <w:snapToGrid w:val="0"/>
        </w:rPr>
        <w:tab/>
      </w:r>
      <w:r>
        <w:rPr>
          <w:snapToGrid w:val="0"/>
        </w:rPr>
        <w:tab/>
        <w:t>The provisions of this Act shall come into operation on such day as is, or days as are respectively, fixed by proclamation.</w:t>
      </w:r>
    </w:p>
    <w:p>
      <w:pPr>
        <w:pStyle w:val="Heading5"/>
        <w:rPr>
          <w:snapToGrid w:val="0"/>
        </w:rPr>
      </w:pPr>
      <w:bookmarkStart w:id="7" w:name="_Toc158985319"/>
      <w:r>
        <w:rPr>
          <w:rStyle w:val="CharSectno"/>
        </w:rPr>
        <w:t>3</w:t>
      </w:r>
      <w:r>
        <w:rPr>
          <w:snapToGrid w:val="0"/>
        </w:rPr>
        <w:t>.</w:t>
      </w:r>
      <w:r>
        <w:rPr>
          <w:snapToGrid w:val="0"/>
        </w:rPr>
        <w:tab/>
        <w:t>Terms used</w:t>
      </w:r>
      <w:bookmarkEnd w:id="7"/>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r>
      <w:r>
        <w:rPr>
          <w:rStyle w:val="CharDefText"/>
        </w:rPr>
        <w:t>analyst</w:t>
      </w:r>
      <w:r>
        <w:t xml:space="preserve"> means an analyst appointed under section 94;</w:t>
      </w:r>
    </w:p>
    <w:p>
      <w:pPr>
        <w:pStyle w:val="Defstart"/>
      </w:pPr>
      <w:r>
        <w:rPr>
          <w:b/>
        </w:rPr>
        <w:tab/>
      </w:r>
      <w:r>
        <w:rPr>
          <w:rStyle w:val="CharDefText"/>
        </w:rPr>
        <w:t>appeals committee</w:t>
      </w:r>
      <w:r>
        <w:t xml:space="preserve"> means an appeals committee appointed under section 45(6) or 106;</w:t>
      </w:r>
    </w:p>
    <w:p>
      <w:pPr>
        <w:pStyle w:val="Defstart"/>
      </w:pPr>
      <w:r>
        <w:tab/>
      </w:r>
      <w:r>
        <w:rPr>
          <w:rStyle w:val="CharDefText"/>
        </w:rPr>
        <w:t>Appeals Convenor</w:t>
      </w:r>
      <w:r>
        <w:t xml:space="preserve"> means the Appeals Convenor appointed under section 107A;</w:t>
      </w:r>
    </w:p>
    <w:p>
      <w:pPr>
        <w:pStyle w:val="Defstart"/>
        <w:rPr>
          <w:b/>
        </w:rPr>
      </w:pPr>
      <w:r>
        <w:rPr>
          <w:b/>
        </w:rPr>
        <w:tab/>
      </w:r>
      <w:r>
        <w:rPr>
          <w:rStyle w:val="CharDefText"/>
        </w:rPr>
        <w:t>applicant</w:t>
      </w:r>
      <w:r>
        <w:t>, in relation to an application for a works approval or licence, means the person applying for the works approval or licence;</w:t>
      </w:r>
    </w:p>
    <w:p>
      <w:pPr>
        <w:pStyle w:val="Defstart"/>
      </w:pPr>
      <w:r>
        <w:rPr>
          <w:b/>
        </w:rPr>
        <w:tab/>
      </w:r>
      <w:r>
        <w:rPr>
          <w:rStyle w:val="CharDefText"/>
        </w:rPr>
        <w:t>approved policy</w:t>
      </w:r>
      <w:r>
        <w:t xml:space="preserve"> means a draft policy approved under section 31(d);</w:t>
      </w:r>
    </w:p>
    <w:p>
      <w:pPr>
        <w:pStyle w:val="Defstart"/>
      </w:pPr>
      <w:r>
        <w:rPr>
          <w:b/>
        </w:rPr>
        <w:tab/>
      </w:r>
      <w:r>
        <w:rPr>
          <w:rStyle w:val="CharDefText"/>
        </w:rPr>
        <w:t>approved proposal</w:t>
      </w:r>
      <w:r>
        <w:t xml:space="preserve"> means a proposal the implementation of which is authorised under a Ministerial statement;</w:t>
      </w:r>
    </w:p>
    <w:p>
      <w:pPr>
        <w:pStyle w:val="Defstart"/>
      </w:pPr>
      <w:r>
        <w:rPr>
          <w:b/>
        </w:rPr>
        <w:tab/>
      </w:r>
      <w:r>
        <w:rPr>
          <w:rStyle w:val="CharDefText"/>
        </w:rPr>
        <w:t>assessed scheme</w:t>
      </w:r>
      <w:r>
        <w:rPr>
          <w:b/>
        </w:rPr>
        <w:t> </w:t>
      </w:r>
      <w:r>
        <w:t>—</w:t>
      </w:r>
    </w:p>
    <w:p>
      <w:pPr>
        <w:pStyle w:val="Defpara"/>
      </w:pPr>
      <w:r>
        <w:tab/>
        <w:t>(a)</w:t>
      </w:r>
      <w:r>
        <w:tab/>
        <w:t xml:space="preserve">means a scheme which has been assessed under Division 3 of Part IV and in respect of which a statement </w:t>
      </w:r>
      <w:r>
        <w:lastRenderedPageBreak/>
        <w:t>has been delivered to the responsible authority under section 48F(2)(a);</w:t>
      </w:r>
    </w:p>
    <w:p>
      <w:pPr>
        <w:pStyle w:val="Defpara"/>
      </w:pPr>
      <w:r>
        <w:tab/>
        <w:t>(aa)</w:t>
      </w:r>
      <w:r>
        <w:tab/>
        <w:t xml:space="preserve">includes the first Swan Valley Planning Scheme submitted in accordance with the </w:t>
      </w:r>
      <w:r>
        <w:rPr>
          <w:i/>
        </w:rPr>
        <w:t>Swan Valley Planning Act 2020</w:t>
      </w:r>
      <w:r>
        <w:t xml:space="preserve"> section 44 and approved under section 25(2)(a) of that Act;</w:t>
      </w:r>
    </w:p>
    <w:p>
      <w:pPr>
        <w:pStyle w:val="Defpara"/>
        <w:keepNext/>
      </w:pPr>
      <w:r>
        <w:tab/>
        <w:t>(b)</w:t>
      </w:r>
      <w:r>
        <w:tab/>
        <w:t>for the purposes of Part IV, includes a scheme —</w:t>
      </w:r>
    </w:p>
    <w:p>
      <w:pPr>
        <w:pStyle w:val="Defsubpara"/>
      </w:pPr>
      <w:r>
        <w:tab/>
        <w:t>(ia)</w:t>
      </w:r>
      <w:r>
        <w:tab/>
        <w:t>of a class prescribed by regulations made under section 48AAA(2); or</w:t>
      </w:r>
    </w:p>
    <w:p>
      <w:pPr>
        <w:pStyle w:val="Defsubpara"/>
      </w:pPr>
      <w:r>
        <w:tab/>
        <w:t>(i)</w:t>
      </w:r>
      <w:r>
        <w:tab/>
        <w:t>in respect of which the responsible authority has been informed under section 48A(1)(a); or</w:t>
      </w:r>
    </w:p>
    <w:p>
      <w:pPr>
        <w:pStyle w:val="Defsubpara"/>
      </w:pPr>
      <w:r>
        <w:tab/>
        <w:t>(ii)</w:t>
      </w:r>
      <w:r>
        <w:tab/>
        <w:t>in respect of which the responsible authority has not been informed under section 48A(1)(a), (b) or (c) within 28 days after the referral of that scheme to the Authority under the relevant scheme Act; or</w:t>
      </w:r>
    </w:p>
    <w:p>
      <w:pPr>
        <w:pStyle w:val="Defsubpara"/>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 or</w:t>
      </w:r>
    </w:p>
    <w:p>
      <w:pPr>
        <w:pStyle w:val="Defsubpara"/>
        <w:keepLines w:val="0"/>
      </w:pPr>
      <w:r>
        <w:tab/>
        <w:t>(iv)</w:t>
      </w:r>
      <w:r>
        <w:tab/>
        <w:t xml:space="preserve">which is a local planning scheme or a region planning scheme, or an amendment to a local planning scheme or a region planning scheme, amended under the </w:t>
      </w:r>
      <w:r>
        <w:rPr>
          <w:i/>
        </w:rPr>
        <w:t>Planning and Development Act 2005</w:t>
      </w:r>
      <w:r>
        <w:t xml:space="preserve"> section 122J or 122K to the extent, if any, necessary in relation to an improvement scheme, or an amendment to an improvement scheme, which amendment or scheme is a </w:t>
      </w:r>
      <w:r>
        <w:lastRenderedPageBreak/>
        <w:t>scheme referred to in paragraph (a) or subparagraph (i) or (ii);</w:t>
      </w:r>
    </w:p>
    <w:p>
      <w:pPr>
        <w:pStyle w:val="Defpara"/>
      </w:pPr>
      <w:r>
        <w:tab/>
        <w:t>(c)</w:t>
      </w:r>
      <w:r>
        <w:tab/>
        <w:t>does not include a scheme in respect of which the responsible authority has been advised under section 48A(2)(b);</w:t>
      </w:r>
    </w:p>
    <w:p>
      <w:pPr>
        <w:pStyle w:val="Defstart"/>
        <w:rPr>
          <w:b/>
        </w:rPr>
      </w:pPr>
      <w:r>
        <w:rPr>
          <w:b/>
        </w:rPr>
        <w:tab/>
      </w:r>
      <w:r>
        <w:rPr>
          <w:rStyle w:val="CharDefText"/>
        </w:rPr>
        <w:t>authorised person</w:t>
      </w:r>
      <w:r>
        <w:t xml:space="preserve"> means a person or member of a class of persons appointed under section 87(1), and includes the CEO;</w:t>
      </w:r>
    </w:p>
    <w:p>
      <w:pPr>
        <w:pStyle w:val="Defstart"/>
      </w:pPr>
      <w:r>
        <w:rPr>
          <w:b/>
        </w:rPr>
        <w:tab/>
      </w:r>
      <w:r>
        <w:rPr>
          <w:rStyle w:val="CharDefText"/>
        </w:rPr>
        <w:t>Authority</w:t>
      </w:r>
      <w:r>
        <w:t xml:space="preserve"> means the Environmental Protection Authority continued in existence by section 7(1);</w:t>
      </w:r>
    </w:p>
    <w:p>
      <w:pPr>
        <w:pStyle w:val="Defstart"/>
      </w:pPr>
      <w:r>
        <w:rPr>
          <w:b/>
        </w:rPr>
        <w:tab/>
      </w:r>
      <w:r>
        <w:rPr>
          <w:rStyle w:val="CharDefText"/>
        </w:rPr>
        <w:t>Authority member</w:t>
      </w:r>
      <w:r>
        <w:t xml:space="preserve"> means a person for the time being holding office as a member of the Authority under section 7 and includes the Chair and Deputy Chair;</w:t>
      </w:r>
    </w:p>
    <w:p>
      <w:pPr>
        <w:pStyle w:val="Defstart"/>
      </w:pPr>
      <w:r>
        <w:rPr>
          <w:b/>
        </w:rPr>
        <w:tab/>
      </w:r>
      <w:r>
        <w:rPr>
          <w:rStyle w:val="CharDefText"/>
        </w:rPr>
        <w:t>beneficial use</w:t>
      </w:r>
      <w:r>
        <w:t xml:space="preserve"> means a use of the environment, or of any portion thereof, which is —</w:t>
      </w:r>
    </w:p>
    <w:p>
      <w:pPr>
        <w:pStyle w:val="Defpara"/>
      </w:pPr>
      <w:r>
        <w:tab/>
        <w:t>(a)</w:t>
      </w:r>
      <w:r>
        <w:tab/>
        <w:t xml:space="preserve">conducive to public benefit, public amenity, public safety, public health or aesthetic enjoyment and which requires protection from the effects of emissions or of activities referred to in paragraph (a) or (b) of the definition of </w:t>
      </w:r>
      <w:r>
        <w:rPr>
          <w:b/>
          <w:bCs/>
          <w:i/>
          <w:iCs/>
        </w:rPr>
        <w:t>environmental harm</w:t>
      </w:r>
      <w:r>
        <w:t xml:space="preserve"> in section 3A(2); or</w:t>
      </w:r>
    </w:p>
    <w:p>
      <w:pPr>
        <w:pStyle w:val="Defpara"/>
      </w:pPr>
      <w:r>
        <w:tab/>
        <w:t>(b)</w:t>
      </w:r>
      <w:r>
        <w:tab/>
        <w:t>identified and declared under section 35(2) to be a beneficial use to be protected under an approved policy;</w:t>
      </w:r>
    </w:p>
    <w:p>
      <w:pPr>
        <w:pStyle w:val="Defstart"/>
      </w:pPr>
      <w:r>
        <w:rPr>
          <w:b/>
        </w:rPr>
        <w:tab/>
      </w:r>
      <w:r>
        <w:rPr>
          <w:rStyle w:val="CharDefText"/>
        </w:rPr>
        <w:t>books</w:t>
      </w:r>
      <w:r>
        <w:t xml:space="preserve">, without limiting the generality of the definition of </w:t>
      </w:r>
      <w:r>
        <w:rPr>
          <w:b/>
          <w:i/>
        </w:rPr>
        <w:t>book</w:t>
      </w:r>
      <w:r>
        <w:t xml:space="preserve"> in section 3 of the </w:t>
      </w:r>
      <w:r>
        <w:rPr>
          <w:i/>
        </w:rPr>
        <w:t>Interpretation Act 1984</w:t>
      </w:r>
      <w:r>
        <w:t>, includes —</w:t>
      </w:r>
    </w:p>
    <w:p>
      <w:pPr>
        <w:pStyle w:val="Defpara"/>
      </w:pPr>
      <w:r>
        <w:tab/>
        <w:t>(a)</w:t>
      </w:r>
      <w:r>
        <w:tab/>
        <w:t>any register or other record of information; and</w:t>
      </w:r>
    </w:p>
    <w:p>
      <w:pPr>
        <w:pStyle w:val="Defpara"/>
      </w:pPr>
      <w:r>
        <w:tab/>
        <w:t>(b)</w:t>
      </w:r>
      <w:r>
        <w:tab/>
        <w:t>any accounts or accounting records,</w:t>
      </w:r>
    </w:p>
    <w:p>
      <w:pPr>
        <w:pStyle w:val="Defstart"/>
      </w:pPr>
      <w:r>
        <w:tab/>
        <w:t>however compiled, recorded or stored, and also includes any document;</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w:t>
      </w:r>
      <w:r>
        <w:t xml:space="preserve"> means the Authority member appointed to be Chair of the Authority under section 7(4a);</w:t>
      </w:r>
    </w:p>
    <w:p>
      <w:pPr>
        <w:pStyle w:val="Defstart"/>
      </w:pPr>
      <w:r>
        <w:tab/>
      </w:r>
      <w:r>
        <w:rPr>
          <w:rStyle w:val="CharDefText"/>
        </w:rPr>
        <w:t>clearing</w:t>
      </w:r>
      <w:r>
        <w:t xml:space="preserve"> has the meaning given by section 51A;</w:t>
      </w:r>
    </w:p>
    <w:p>
      <w:pPr>
        <w:pStyle w:val="Defstart"/>
      </w:pPr>
      <w:r>
        <w:lastRenderedPageBreak/>
        <w:tab/>
      </w:r>
      <w:r>
        <w:rPr>
          <w:rStyle w:val="CharDefText"/>
        </w:rPr>
        <w:t>clearing permit</w:t>
      </w:r>
      <w:r>
        <w:t xml:space="preserve"> means a clearing permit granted and in force under Part V Division 2;</w:t>
      </w:r>
    </w:p>
    <w:p>
      <w:pPr>
        <w:pStyle w:val="Defstart"/>
      </w:pPr>
      <w:r>
        <w:tab/>
      </w:r>
      <w:r>
        <w:rPr>
          <w:rStyle w:val="CharDefText"/>
        </w:rPr>
        <w:t>closure notice</w:t>
      </w:r>
      <w:r>
        <w:rPr>
          <w:b/>
        </w:rPr>
        <w:t xml:space="preserve"> </w:t>
      </w:r>
      <w:r>
        <w:t>has the meaning given by section 68A;</w:t>
      </w:r>
    </w:p>
    <w:p>
      <w:pPr>
        <w:pStyle w:val="Defstart"/>
      </w:pPr>
      <w:r>
        <w:rPr>
          <w:b/>
        </w:rPr>
        <w:tab/>
      </w:r>
      <w:r>
        <w:rPr>
          <w:rStyle w:val="CharDefText"/>
        </w:rPr>
        <w:t>committee of inquiry</w:t>
      </w:r>
      <w:r>
        <w:t xml:space="preserve"> means a committee of inquiry appointed under section 29(1);</w:t>
      </w:r>
    </w:p>
    <w:p>
      <w:pPr>
        <w:pStyle w:val="Defstart"/>
      </w:pPr>
      <w:r>
        <w:tab/>
      </w:r>
      <w:r>
        <w:rPr>
          <w:rStyle w:val="CharDefText"/>
        </w:rPr>
        <w:t>Commonwealth Environment Act</w:t>
      </w:r>
      <w:r>
        <w:t xml:space="preserve"> means the </w:t>
      </w:r>
      <w:r>
        <w:rPr>
          <w:i/>
        </w:rPr>
        <w:t>Environment Protection and Biodiversity Conservation Act 1999</w:t>
      </w:r>
      <w:r>
        <w:t xml:space="preserve"> (Commonwealth);</w:t>
      </w:r>
    </w:p>
    <w:p>
      <w:pPr>
        <w:pStyle w:val="Defstart"/>
      </w:pPr>
      <w:r>
        <w:rPr>
          <w:b/>
        </w:rPr>
        <w:tab/>
      </w:r>
      <w:r>
        <w:rPr>
          <w:rStyle w:val="CharDefText"/>
        </w:rPr>
        <w:t>condition</w:t>
      </w:r>
      <w:r>
        <w:t xml:space="preserve"> includes a restriction or limitation;</w:t>
      </w:r>
    </w:p>
    <w:p>
      <w:pPr>
        <w:pStyle w:val="Defstart"/>
      </w:pPr>
      <w:r>
        <w:rPr>
          <w:b/>
        </w:rPr>
        <w:tab/>
      </w:r>
      <w:r>
        <w:rPr>
          <w:rStyle w:val="CharDefText"/>
        </w:rPr>
        <w:t>contaminated</w:t>
      </w:r>
      <w:r>
        <w:t xml:space="preserve"> </w:t>
      </w:r>
      <w:bookmarkStart w:id="8" w:name="comma"/>
      <w:bookmarkEnd w:id="8"/>
      <w:r>
        <w:t xml:space="preserve">has the same meaning as it has in the </w:t>
      </w:r>
      <w:r>
        <w:rPr>
          <w:i/>
        </w:rPr>
        <w:t>Contaminated Sites Act 2003</w:t>
      </w:r>
      <w:r>
        <w:t>;</w:t>
      </w:r>
    </w:p>
    <w:p>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pPr>
        <w:pStyle w:val="Defstart"/>
      </w:pPr>
      <w:r>
        <w:rPr>
          <w:b/>
        </w:rPr>
        <w:tab/>
      </w:r>
      <w:r>
        <w:rPr>
          <w:rStyle w:val="CharDefText"/>
        </w:rPr>
        <w:t>decision</w:t>
      </w:r>
      <w:r>
        <w:rPr>
          <w:rStyle w:val="CharDefText"/>
        </w:rPr>
        <w:noBreakHyphen/>
        <w:t>making authority</w:t>
      </w:r>
      <w:r>
        <w:t>, in relation to a proposal, means a public authority empowered by or under —</w:t>
      </w:r>
    </w:p>
    <w:p>
      <w:pPr>
        <w:pStyle w:val="Defpara"/>
      </w:pPr>
      <w:r>
        <w:tab/>
        <w:t>(a)</w:t>
      </w:r>
      <w:r>
        <w:tab/>
        <w:t>a written law; or</w:t>
      </w:r>
    </w:p>
    <w:p>
      <w:pPr>
        <w:pStyle w:val="Defpara"/>
      </w:pPr>
      <w:r>
        <w:tab/>
        <w:t>(b)</w:t>
      </w:r>
      <w:r>
        <w:tab/>
        <w:t>any agreement —</w:t>
      </w:r>
    </w:p>
    <w:p>
      <w:pPr>
        <w:pStyle w:val="Defsubpara"/>
      </w:pPr>
      <w:r>
        <w:tab/>
        <w:t>(i)</w:t>
      </w:r>
      <w:r>
        <w:tab/>
        <w:t>to which the State is a party; and</w:t>
      </w:r>
    </w:p>
    <w:p>
      <w:pPr>
        <w:pStyle w:val="Defsubpara"/>
      </w:pPr>
      <w:r>
        <w:tab/>
        <w:t>(ii)</w:t>
      </w:r>
      <w:r>
        <w:tab/>
        <w:t>which is ratified or approved by an Act,</w:t>
      </w:r>
    </w:p>
    <w:p>
      <w:pPr>
        <w:pStyle w:val="Defstart"/>
      </w:pPr>
      <w:r>
        <w:tab/>
        <w:t>to make a decision in respect of the proposal and, in Division 2 of Part IV, includes, in relation to a particular proposal, any Minister prescribed for the purposes of this definition as being the Minister responsible for that proposal;</w:t>
      </w:r>
    </w:p>
    <w:p>
      <w:pPr>
        <w:pStyle w:val="Defstart"/>
      </w:pPr>
      <w:r>
        <w:rPr>
          <w:b/>
        </w:rPr>
        <w:tab/>
      </w:r>
      <w:r>
        <w:rPr>
          <w:rStyle w:val="CharDefText"/>
        </w:rPr>
        <w:t>Department</w:t>
      </w:r>
      <w:r>
        <w:t xml:space="preserve"> means the department of the Public Service of the State through which this Act is administered;</w:t>
      </w:r>
    </w:p>
    <w:p>
      <w:pPr>
        <w:pStyle w:val="Defstart"/>
      </w:pPr>
      <w:r>
        <w:rPr>
          <w:b/>
        </w:rPr>
        <w:tab/>
      </w:r>
      <w:r>
        <w:rPr>
          <w:rStyle w:val="CharDefText"/>
        </w:rPr>
        <w:t>Deputy Chair</w:t>
      </w:r>
      <w:r>
        <w:t xml:space="preserve"> means the Authority member appointed to be Deputy Chair of the Authority under section 7(4a);</w:t>
      </w:r>
    </w:p>
    <w:p>
      <w:pPr>
        <w:pStyle w:val="Defstart"/>
      </w:pPr>
      <w:r>
        <w:tab/>
      </w:r>
      <w:r>
        <w:rPr>
          <w:rStyle w:val="CharDefText"/>
        </w:rPr>
        <w:t>development approval</w:t>
      </w:r>
      <w:r>
        <w:t xml:space="preserve"> means a development approval under a scheme or a scheme Act;</w:t>
      </w:r>
    </w:p>
    <w:p>
      <w:pPr>
        <w:pStyle w:val="Defstart"/>
      </w:pPr>
      <w:r>
        <w:rPr>
          <w:b/>
        </w:rPr>
        <w:tab/>
      </w:r>
      <w:r>
        <w:rPr>
          <w:rStyle w:val="CharDefText"/>
        </w:rPr>
        <w:t>discharge</w:t>
      </w:r>
      <w:r>
        <w:t xml:space="preserve">, in relation to waste or other matter, includes deposit it or allow it to escape, or cause or permit it to be, or fail to </w:t>
      </w:r>
      <w:r>
        <w:lastRenderedPageBreak/>
        <w:t>prevent it from being, discharged, deposited or allowed to escape;</w:t>
      </w:r>
    </w:p>
    <w:p>
      <w:pPr>
        <w:pStyle w:val="Defstart"/>
      </w:pPr>
      <w:r>
        <w:rPr>
          <w:b/>
        </w:rPr>
        <w:tab/>
      </w:r>
      <w:r>
        <w:rPr>
          <w:rStyle w:val="CharDefText"/>
        </w:rPr>
        <w:t>draft policy</w:t>
      </w:r>
      <w:r>
        <w:t xml:space="preserve"> means a draft of an environmental protection policy prepared under section 26;</w:t>
      </w:r>
    </w:p>
    <w:p>
      <w:pPr>
        <w:pStyle w:val="Defstart"/>
      </w:pPr>
      <w:r>
        <w:rPr>
          <w:b/>
        </w:rPr>
        <w:tab/>
      </w:r>
      <w:r>
        <w:rPr>
          <w:rStyle w:val="CharDefText"/>
        </w:rPr>
        <w:t>driver</w:t>
      </w:r>
      <w:r>
        <w:t>, in relation to —</w:t>
      </w:r>
    </w:p>
    <w:p>
      <w:pPr>
        <w:pStyle w:val="Defpara"/>
      </w:pPr>
      <w:r>
        <w:tab/>
        <w:t>(a)</w:t>
      </w:r>
      <w:r>
        <w:tab/>
        <w:t xml:space="preserve">a vehicle as defined in the </w:t>
      </w:r>
      <w:r>
        <w:rPr>
          <w:i/>
          <w:iCs/>
        </w:rPr>
        <w:t xml:space="preserve">Road Traffic (Administration) Act 2008 </w:t>
      </w:r>
      <w:r>
        <w:t>section 4, has the meaning given by that section; or</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pPr>
      <w:r>
        <w:tab/>
      </w:r>
      <w:r>
        <w:rPr>
          <w:rStyle w:val="CharDefText"/>
        </w:rPr>
        <w:t>ecological community</w:t>
      </w:r>
      <w:r>
        <w:t xml:space="preserve"> has the meaning given in the </w:t>
      </w:r>
      <w:r>
        <w:rPr>
          <w:i/>
        </w:rPr>
        <w:t>Biodiversity Conservation Act 2016</w:t>
      </w:r>
      <w:r>
        <w:t xml:space="preserve"> section 5(1);</w:t>
      </w:r>
    </w:p>
    <w:p>
      <w:pPr>
        <w:pStyle w:val="Defstart"/>
        <w:keepNext/>
        <w:keepLines/>
      </w:pPr>
      <w:r>
        <w:tab/>
      </w:r>
      <w:r>
        <w:rPr>
          <w:rStyle w:val="CharDefText"/>
        </w:rPr>
        <w:t>ecosystem health condition</w:t>
      </w:r>
      <w:r>
        <w:t xml:space="preserve"> means a condition of the ecosystem which is —</w:t>
      </w:r>
    </w:p>
    <w:p>
      <w:pPr>
        <w:pStyle w:val="Defpara"/>
      </w:pPr>
      <w:r>
        <w:rPr>
          <w:spacing w:val="-4"/>
        </w:rPr>
        <w:tab/>
        <w:t>(a)</w:t>
      </w:r>
      <w:r>
        <w:rPr>
          <w:spacing w:val="-4"/>
        </w:rPr>
        <w:tab/>
        <w:t xml:space="preserve">relevant to the maintenance of ecological structure, ecological function or ecological process and which requires protection from the effects of emissions or of activities referred to in paragraph (a) or (b) of the definition of </w:t>
      </w:r>
      <w:r>
        <w:rPr>
          <w:b/>
          <w:bCs/>
          <w:i/>
          <w:iCs/>
          <w:spacing w:val="-4"/>
        </w:rPr>
        <w:t>environmental harm</w:t>
      </w:r>
      <w:r>
        <w:rPr>
          <w:spacing w:val="-4"/>
        </w:rPr>
        <w:t xml:space="preserve"> in section 3A(2); or</w:t>
      </w:r>
    </w:p>
    <w:p>
      <w:pPr>
        <w:pStyle w:val="Defpara"/>
      </w:pPr>
      <w:r>
        <w:tab/>
        <w:t>(b)</w:t>
      </w:r>
      <w:r>
        <w:tab/>
        <w:t>identified and declared under section 35(2) to be an ecosystem health condition to be protected under an approved policy;</w:t>
      </w:r>
    </w:p>
    <w:p>
      <w:pPr>
        <w:pStyle w:val="Defstart"/>
      </w:pPr>
      <w:r>
        <w:tab/>
      </w:r>
      <w:r>
        <w:rPr>
          <w:rStyle w:val="CharDefText"/>
        </w:rPr>
        <w:t>emission</w:t>
      </w:r>
      <w:r>
        <w:t xml:space="preserve"> means —</w:t>
      </w:r>
    </w:p>
    <w:p>
      <w:pPr>
        <w:pStyle w:val="Defpara"/>
      </w:pPr>
      <w:r>
        <w:tab/>
        <w:t>(a)</w:t>
      </w:r>
      <w:r>
        <w:tab/>
        <w:t>discharge of waste; or</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r>
      <w:r>
        <w:rPr>
          <w:rStyle w:val="CharDefText"/>
        </w:rPr>
        <w:t>environment</w:t>
      </w:r>
      <w:r>
        <w:t>, subject to subsection (2), means living things, their physical, biological and social surroundings, and interactions between all of these;</w:t>
      </w:r>
    </w:p>
    <w:p>
      <w:pPr>
        <w:pStyle w:val="Defstart"/>
      </w:pPr>
      <w:r>
        <w:lastRenderedPageBreak/>
        <w:tab/>
      </w:r>
      <w:r>
        <w:rPr>
          <w:rStyle w:val="CharDefText"/>
        </w:rPr>
        <w:t>environmental harm</w:t>
      </w:r>
      <w:r>
        <w:t xml:space="preserve"> has the meaning given by section 3A;</w:t>
      </w:r>
    </w:p>
    <w:p>
      <w:pPr>
        <w:pStyle w:val="Defstart"/>
      </w:pPr>
      <w:r>
        <w:tab/>
      </w:r>
      <w:r>
        <w:rPr>
          <w:rStyle w:val="CharDefText"/>
        </w:rPr>
        <w:t>environmental monitoring programme</w:t>
      </w:r>
      <w:r>
        <w:t xml:space="preserve"> has the meaning given in section 110K;</w:t>
      </w:r>
    </w:p>
    <w:p>
      <w:pPr>
        <w:pStyle w:val="Defstart"/>
      </w:pPr>
      <w:r>
        <w:tab/>
      </w:r>
      <w:r>
        <w:rPr>
          <w:rStyle w:val="CharDefText"/>
        </w:rPr>
        <w:t>environmental protection covenant</w:t>
      </w:r>
      <w:r>
        <w:t xml:space="preserve"> means an environmental protection covenant entered into and in effect under Part VB;</w:t>
      </w:r>
    </w:p>
    <w:p>
      <w:pPr>
        <w:pStyle w:val="Defstart"/>
      </w:pPr>
      <w:r>
        <w:tab/>
      </w:r>
      <w:r>
        <w:rPr>
          <w:rStyle w:val="CharDefText"/>
        </w:rPr>
        <w:t>environmental protection notice</w:t>
      </w:r>
      <w:r>
        <w:t xml:space="preserve"> has the meaning given by section 65;</w:t>
      </w:r>
    </w:p>
    <w:p>
      <w:pPr>
        <w:pStyle w:val="Defstart"/>
      </w:pPr>
      <w:r>
        <w:tab/>
      </w:r>
      <w:r>
        <w:rPr>
          <w:rStyle w:val="CharDefText"/>
        </w:rPr>
        <w:t>environmental undertaking</w:t>
      </w:r>
      <w:r>
        <w:t xml:space="preserve"> means — </w:t>
      </w:r>
    </w:p>
    <w:p>
      <w:pPr>
        <w:pStyle w:val="Defpara"/>
      </w:pPr>
      <w:r>
        <w:tab/>
        <w:t>(a)</w:t>
      </w:r>
      <w:r>
        <w:tab/>
        <w:t xml:space="preserve">a biodiversity conservation agreement under the </w:t>
      </w:r>
      <w:r>
        <w:rPr>
          <w:i/>
        </w:rPr>
        <w:t>Biodiversity Conservation Act 2016</w:t>
      </w:r>
      <w:r>
        <w:t xml:space="preserve"> section 114; or</w:t>
      </w:r>
    </w:p>
    <w:p>
      <w:pPr>
        <w:pStyle w:val="Defpara"/>
      </w:pPr>
      <w:r>
        <w:tab/>
        <w:t>(b)</w:t>
      </w:r>
      <w:r>
        <w:tab/>
        <w:t xml:space="preserve">a biodiversity conservation covenant under the </w:t>
      </w:r>
      <w:r>
        <w:rPr>
          <w:i/>
        </w:rPr>
        <w:t>Biodiversity Conservation Act 2016</w:t>
      </w:r>
      <w:r>
        <w:t xml:space="preserve"> section 122; or</w:t>
      </w:r>
    </w:p>
    <w:p>
      <w:pPr>
        <w:pStyle w:val="Defpara"/>
      </w:pPr>
      <w:r>
        <w:tab/>
        <w:t>(c)</w:t>
      </w:r>
      <w:r>
        <w:tab/>
        <w:t xml:space="preserve">a conservation covenant or agreement to reserve under the </w:t>
      </w:r>
      <w:r>
        <w:rPr>
          <w:i/>
        </w:rPr>
        <w:t>Soil and Land Conservation Act 1945</w:t>
      </w:r>
      <w:r>
        <w:t xml:space="preserve"> section 30B; or</w:t>
      </w:r>
    </w:p>
    <w:p>
      <w:pPr>
        <w:pStyle w:val="Defpara"/>
      </w:pPr>
      <w:r>
        <w:tab/>
        <w:t>(d)</w:t>
      </w:r>
      <w:r>
        <w:tab/>
        <w:t>an environmental protection covenant; or</w:t>
      </w:r>
    </w:p>
    <w:p>
      <w:pPr>
        <w:pStyle w:val="Defpara"/>
      </w:pPr>
      <w:r>
        <w:tab/>
        <w:t>(e)</w:t>
      </w:r>
      <w:r>
        <w:tab/>
        <w:t>some other form of binding undertaking to manage land for the protection of the environment;</w:t>
      </w:r>
    </w:p>
    <w:p>
      <w:pPr>
        <w:pStyle w:val="Defstart"/>
      </w:pPr>
      <w:r>
        <w:tab/>
      </w:r>
      <w:r>
        <w:rPr>
          <w:rStyle w:val="CharDefText"/>
        </w:rPr>
        <w:t>environmental value</w:t>
      </w:r>
      <w:r>
        <w:rPr>
          <w:b/>
        </w:rPr>
        <w:t xml:space="preserve"> </w:t>
      </w:r>
      <w:r>
        <w:t>means —</w:t>
      </w:r>
    </w:p>
    <w:p>
      <w:pPr>
        <w:pStyle w:val="Defpara"/>
      </w:pPr>
      <w:r>
        <w:tab/>
        <w:t>(a)</w:t>
      </w:r>
      <w:r>
        <w:tab/>
        <w:t>a beneficial use; or</w:t>
      </w:r>
    </w:p>
    <w:p>
      <w:pPr>
        <w:pStyle w:val="Defpara"/>
      </w:pPr>
      <w:r>
        <w:tab/>
        <w:t>(b)</w:t>
      </w:r>
      <w:r>
        <w:tab/>
        <w:t>an ecosystem health condition;</w:t>
      </w:r>
    </w:p>
    <w:p>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keepLines/>
      </w:pPr>
      <w:r>
        <w:rPr>
          <w:b/>
        </w:rPr>
        <w:tab/>
      </w:r>
      <w:r>
        <w:rPr>
          <w:rStyle w:val="CharDefText"/>
        </w:rPr>
        <w:t>final approval</w:t>
      </w:r>
      <w:r>
        <w:t>, in relation to a scheme which is —</w:t>
      </w:r>
    </w:p>
    <w:p>
      <w:pPr>
        <w:pStyle w:val="Ednotepara"/>
        <w:keepNext/>
        <w:keepLines/>
        <w:spacing w:before="80"/>
      </w:pPr>
      <w:r>
        <w:tab/>
        <w:t>[(a), (aa)</w:t>
      </w:r>
      <w:r>
        <w:tab/>
        <w:t>deleted]</w:t>
      </w:r>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 or</w:t>
      </w:r>
    </w:p>
    <w:p>
      <w:pPr>
        <w:pStyle w:val="Defpara"/>
      </w:pPr>
      <w:r>
        <w:lastRenderedPageBreak/>
        <w:tab/>
        <w:t>(b)</w:t>
      </w:r>
      <w:r>
        <w:tab/>
        <w:t xml:space="preserve">prepared under the </w:t>
      </w:r>
      <w:r>
        <w:rPr>
          <w:i/>
        </w:rPr>
        <w:t>Swan Valley Planning Act 2020</w:t>
      </w:r>
      <w:r>
        <w:t>, means an approval under section 25(2)(a) of that Act; or</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 or</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 or</w:t>
      </w:r>
    </w:p>
    <w:p>
      <w:pPr>
        <w:pStyle w:val="Defpara"/>
      </w:pPr>
      <w:r>
        <w:tab/>
        <w:t>(f)</w:t>
      </w:r>
      <w:r>
        <w:tab/>
        <w:t xml:space="preserve">an improvement scheme, or an amendment to an improvement scheme, means an approval under the </w:t>
      </w:r>
      <w:r>
        <w:rPr>
          <w:i/>
        </w:rPr>
        <w:t>Planning and Development Act 2005</w:t>
      </w:r>
      <w:r>
        <w:t xml:space="preserve"> section 87(2), as read with section 122B(1) of that Act; or</w:t>
      </w:r>
    </w:p>
    <w:p>
      <w:pPr>
        <w:pStyle w:val="Defpara"/>
      </w:pPr>
      <w:r>
        <w:tab/>
        <w:t>(g)</w:t>
      </w:r>
      <w:r>
        <w:tab/>
        <w:t xml:space="preserve">prepared under the </w:t>
      </w:r>
      <w:r>
        <w:rPr>
          <w:i/>
        </w:rPr>
        <w:t>Metropolitan Redevelopment Authority Act 2011</w:t>
      </w:r>
      <w:r>
        <w:t>, means an approval given under section 47 of that Act, or under section 49 of that Act as read with that section;</w:t>
      </w:r>
    </w:p>
    <w:p>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rStyle w:val="CharDefText"/>
        </w:rPr>
        <w:t>implementation conditions</w:t>
      </w:r>
      <w:r>
        <w:t xml:space="preserve"> has the meaning given in section 44A;</w:t>
      </w:r>
    </w:p>
    <w:p>
      <w:pPr>
        <w:pStyle w:val="Defstart"/>
        <w:rPr>
          <w:b/>
        </w:rPr>
      </w:pPr>
      <w:r>
        <w:tab/>
      </w:r>
      <w:r>
        <w:rPr>
          <w:rStyle w:val="CharDefText"/>
        </w:rPr>
        <w:t>improvement scheme</w:t>
      </w:r>
      <w:r>
        <w:t xml:space="preserve"> has the meaning given in the </w:t>
      </w:r>
      <w:r>
        <w:rPr>
          <w:i/>
        </w:rPr>
        <w:t>Planning and Development Act 2005</w:t>
      </w:r>
      <w:r>
        <w:t xml:space="preserve"> section 4(1);</w:t>
      </w:r>
    </w:p>
    <w:p>
      <w:pPr>
        <w:pStyle w:val="Defstart"/>
      </w:pPr>
      <w:r>
        <w:rPr>
          <w:b/>
        </w:rPr>
        <w:tab/>
      </w:r>
      <w:r>
        <w:rPr>
          <w:rStyle w:val="CharDefText"/>
        </w:rPr>
        <w:t>industrial plant</w:t>
      </w:r>
      <w:r>
        <w:t xml:space="preserve"> means equipment —</w:t>
      </w:r>
    </w:p>
    <w:p>
      <w:pPr>
        <w:pStyle w:val="Defpara"/>
      </w:pPr>
      <w:r>
        <w:tab/>
        <w:t>(a)</w:t>
      </w:r>
      <w:r>
        <w:tab/>
        <w:t>which is used for the manufacturing, processing, handling, transport, storage or disposal of materials in or in connection with any trade, industry or process; or</w:t>
      </w:r>
    </w:p>
    <w:p>
      <w:pPr>
        <w:pStyle w:val="Defpara"/>
      </w:pPr>
      <w:r>
        <w:lastRenderedPageBreak/>
        <w:tab/>
        <w:t>(b)</w:t>
      </w:r>
      <w:r>
        <w:tab/>
        <w:t>which when operated is capable of an emission; or</w:t>
      </w:r>
    </w:p>
    <w:p>
      <w:pPr>
        <w:pStyle w:val="Defpara"/>
      </w:pPr>
      <w:r>
        <w:tab/>
        <w:t>(c)</w:t>
      </w:r>
      <w:r>
        <w:tab/>
        <w:t>which is of a prescribed class;</w:t>
      </w:r>
    </w:p>
    <w:p>
      <w:pPr>
        <w:pStyle w:val="Defstart"/>
      </w:pPr>
      <w:r>
        <w:rPr>
          <w:b/>
        </w:rPr>
        <w:tab/>
      </w:r>
      <w:r>
        <w:rPr>
          <w:rStyle w:val="CharDefText"/>
        </w:rPr>
        <w:t>inspector</w:t>
      </w:r>
      <w:r>
        <w:t xml:space="preserve"> means a person appointed to be an inspector under section 88, and includes the CEO;</w:t>
      </w:r>
    </w:p>
    <w:p>
      <w:pPr>
        <w:pStyle w:val="Defstart"/>
      </w:pPr>
      <w:r>
        <w:rPr>
          <w:b/>
        </w:rPr>
        <w:tab/>
      </w:r>
      <w:r>
        <w:rPr>
          <w:rStyle w:val="CharDefText"/>
        </w:rPr>
        <w:t>licence</w:t>
      </w:r>
      <w:r>
        <w:t xml:space="preserve"> means a licence granted and in force under Part V Division 3;</w:t>
      </w:r>
    </w:p>
    <w:p>
      <w:pPr>
        <w:pStyle w:val="Defstart"/>
      </w:pPr>
      <w:r>
        <w:rPr>
          <w:b/>
        </w:rPr>
        <w:tab/>
      </w:r>
      <w:r>
        <w:rPr>
          <w:rStyle w:val="CharDefText"/>
        </w:rPr>
        <w:t>licensee</w:t>
      </w:r>
      <w:r>
        <w:t xml:space="preserve"> means the holder of a licence;</w:t>
      </w:r>
    </w:p>
    <w:p>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Defstart"/>
      </w:pPr>
      <w:r>
        <w:tab/>
      </w:r>
      <w:r>
        <w:rPr>
          <w:rStyle w:val="CharDefText"/>
        </w:rPr>
        <w:t>material environmental harm</w:t>
      </w:r>
      <w:r>
        <w:t xml:space="preserve"> has the meaning given by section 3A;</w:t>
      </w:r>
    </w:p>
    <w:p>
      <w:pPr>
        <w:pStyle w:val="Defstart"/>
      </w:pPr>
      <w:r>
        <w:rPr>
          <w:b/>
        </w:rPr>
        <w:tab/>
      </w:r>
      <w:r>
        <w:rPr>
          <w:rStyle w:val="CharDefText"/>
        </w:rPr>
        <w:t>materials</w:t>
      </w:r>
      <w:r>
        <w:t xml:space="preserve"> includes raw materials, materials in the process of manufacture, manufactured materials, by</w:t>
      </w:r>
      <w:r>
        <w:noBreakHyphen/>
        <w:t>products and waste;</w:t>
      </w:r>
    </w:p>
    <w:p>
      <w:pPr>
        <w:pStyle w:val="Defstart"/>
      </w:pPr>
      <w:r>
        <w:rPr>
          <w:b/>
        </w:rPr>
        <w:tab/>
      </w:r>
      <w:r>
        <w:rPr>
          <w:rStyle w:val="CharDefText"/>
        </w:rPr>
        <w:t>Ministerial statement</w:t>
      </w:r>
      <w:r>
        <w:t xml:space="preserve"> has the meaning given in subsection (1A);</w:t>
      </w:r>
    </w:p>
    <w:p>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r>
      <w:r>
        <w:rPr>
          <w:rStyle w:val="CharDefText"/>
        </w:rPr>
        <w:t>motor vehicle</w:t>
      </w:r>
      <w:r>
        <w:t xml:space="preserve"> has the meaning given by the </w:t>
      </w:r>
      <w:r>
        <w:rPr>
          <w:i/>
          <w:iCs/>
        </w:rPr>
        <w:t>Road Traffic (Administration) Act 2008</w:t>
      </w:r>
      <w:r>
        <w:t xml:space="preserve"> section 4;</w:t>
      </w:r>
    </w:p>
    <w:p>
      <w:pPr>
        <w:pStyle w:val="Defstart"/>
      </w:pPr>
      <w:r>
        <w:tab/>
      </w:r>
      <w:r>
        <w:rPr>
          <w:rStyle w:val="CharDefText"/>
        </w:rPr>
        <w:t>native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rStyle w:val="CharDefText"/>
        </w:rPr>
        <w:t>NEPM</w:t>
      </w:r>
      <w:r>
        <w:t xml:space="preserve"> means a national environment protection measure within the meaning of the </w:t>
      </w:r>
      <w:r>
        <w:rPr>
          <w:i/>
        </w:rPr>
        <w:t>National Environment Protection Council (Western Australia) Act 1996</w:t>
      </w:r>
      <w:r>
        <w:t>;</w:t>
      </w:r>
    </w:p>
    <w:p>
      <w:pPr>
        <w:pStyle w:val="Defstart"/>
      </w:pPr>
      <w:r>
        <w:rPr>
          <w:b/>
        </w:rPr>
        <w:tab/>
      </w:r>
      <w:r>
        <w:rPr>
          <w:rStyle w:val="CharDefText"/>
        </w:rPr>
        <w:t>noise</w:t>
      </w:r>
      <w:r>
        <w:t xml:space="preserve"> includes vibration of any frequency, whether transmitted through air or any other physical medium;</w:t>
      </w:r>
    </w:p>
    <w:p>
      <w:pPr>
        <w:pStyle w:val="Defstart"/>
        <w:keepNext/>
      </w:pPr>
      <w:r>
        <w:rPr>
          <w:b/>
        </w:rPr>
        <w:lastRenderedPageBreak/>
        <w:tab/>
      </w:r>
      <w:r>
        <w:rPr>
          <w:rStyle w:val="CharDefText"/>
        </w:rPr>
        <w:t>occupier</w:t>
      </w:r>
      <w:r>
        <w:t>, in relation to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keepNext/>
      </w:pPr>
      <w:r>
        <w:rPr>
          <w:b/>
        </w:rPr>
        <w:tab/>
      </w:r>
      <w:r>
        <w:rPr>
          <w:rStyle w:val="CharDefText"/>
        </w:rPr>
        <w:t>owner</w:t>
      </w:r>
      <w:r>
        <w:t>, in relation to —</w:t>
      </w:r>
    </w:p>
    <w:p>
      <w:pPr>
        <w:pStyle w:val="Defpara"/>
      </w:pPr>
      <w:r>
        <w:tab/>
        <w:t>(a)</w:t>
      </w:r>
      <w:r>
        <w:tab/>
        <w:t xml:space="preserve">a vehicle as defined in the </w:t>
      </w:r>
      <w:r>
        <w:rPr>
          <w:i/>
          <w:iCs/>
        </w:rPr>
        <w:t xml:space="preserve">Road Traffic (Administration) Act 2008 </w:t>
      </w:r>
      <w:r>
        <w:t>section 4, has the meaning given by section 5 of that Act; or</w:t>
      </w:r>
    </w:p>
    <w:p>
      <w:pPr>
        <w:pStyle w:val="Defpara"/>
      </w:pPr>
      <w:r>
        <w:tab/>
        <w:t>(b)</w:t>
      </w:r>
      <w:r>
        <w:tab/>
        <w:t xml:space="preserve">a vessel, has the meaning given by the </w:t>
      </w:r>
      <w:r>
        <w:rPr>
          <w:i/>
        </w:rPr>
        <w:t>Western Australian Marine Act 1982</w:t>
      </w:r>
      <w:r>
        <w:t>;</w:t>
      </w:r>
    </w:p>
    <w:p>
      <w:pPr>
        <w:pStyle w:val="Defstart"/>
      </w:pPr>
      <w:r>
        <w:rPr>
          <w:b/>
        </w:rPr>
        <w:tab/>
      </w:r>
      <w:r>
        <w:rPr>
          <w:rStyle w:val="CharDefText"/>
        </w:rPr>
        <w:t>period of public review</w:t>
      </w:r>
      <w:r>
        <w:t>, in relation to a scheme which is —</w:t>
      </w:r>
    </w:p>
    <w:p>
      <w:pPr>
        <w:pStyle w:val="Ednotepara"/>
        <w:spacing w:before="80"/>
      </w:pPr>
      <w:r>
        <w:tab/>
        <w:t>[(a), (aa)</w:t>
      </w:r>
      <w:r>
        <w:tab/>
        <w:t>deleted]</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 or</w:t>
      </w:r>
    </w:p>
    <w:p>
      <w:pPr>
        <w:pStyle w:val="Defpara"/>
      </w:pPr>
      <w:r>
        <w:tab/>
        <w:t>(b)</w:t>
      </w:r>
      <w:r>
        <w:tab/>
        <w:t xml:space="preserve">prepared under the </w:t>
      </w:r>
      <w:r>
        <w:rPr>
          <w:i/>
        </w:rPr>
        <w:t>Swan Valley Planning Act 2020</w:t>
      </w:r>
      <w:r>
        <w:t>, means the period of advertisement for public inspection that applies for the purposes of section 23 of that Act; or</w:t>
      </w:r>
    </w:p>
    <w:p>
      <w:pPr>
        <w:pStyle w:val="Defpara"/>
      </w:pPr>
      <w:r>
        <w:tab/>
        <w:t>(c)</w:t>
      </w:r>
      <w:r>
        <w:tab/>
        <w:t xml:space="preserve">a region planning scheme, or an amendment to a region planning scheme, means the period of advertisement for public inspection prescribed for the purposes of the </w:t>
      </w:r>
      <w:r>
        <w:rPr>
          <w:i/>
        </w:rPr>
        <w:t>Planning and Development Act 2005</w:t>
      </w:r>
      <w:r>
        <w:t xml:space="preserve"> section 43; or</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xml:space="preserve">; or </w:t>
      </w:r>
    </w:p>
    <w:p>
      <w:pPr>
        <w:pStyle w:val="Defpara"/>
      </w:pPr>
      <w:r>
        <w:lastRenderedPageBreak/>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 or</w:t>
      </w:r>
    </w:p>
    <w:p>
      <w:pPr>
        <w:pStyle w:val="Defpara"/>
      </w:pPr>
      <w:r>
        <w:tab/>
        <w:t>(f)</w:t>
      </w:r>
      <w:r>
        <w:tab/>
        <w:t xml:space="preserve">an improvement scheme, or an amendment to an improvement scheme, means the period of advertisement for public inspection prescribed for the purposes of the </w:t>
      </w:r>
      <w:r>
        <w:rPr>
          <w:i/>
        </w:rPr>
        <w:t xml:space="preserve">Planning and Development Act 2005 </w:t>
      </w:r>
      <w:r>
        <w:rPr>
          <w:iCs/>
        </w:rPr>
        <w:t xml:space="preserve">section 84, as read with section 122B(1) of that Act; </w:t>
      </w:r>
      <w:r>
        <w:t>or</w:t>
      </w:r>
    </w:p>
    <w:p>
      <w:pPr>
        <w:pStyle w:val="Defpara"/>
      </w:pPr>
      <w:r>
        <w:tab/>
        <w:t>(g)</w:t>
      </w:r>
      <w:r>
        <w:tab/>
        <w:t xml:space="preserve">prepared under the </w:t>
      </w:r>
      <w:r>
        <w:rPr>
          <w:i/>
        </w:rPr>
        <w:t>Metropolitan Redevelopment Authority Act 2011</w:t>
      </w:r>
      <w:r>
        <w:rPr>
          <w:iCs/>
        </w:rPr>
        <w:t>, means the period set and notified under section 43 of that Act, or under section 49 of that Act as read with that section;</w:t>
      </w:r>
    </w:p>
    <w:p>
      <w:pPr>
        <w:pStyle w:val="Defstart"/>
      </w:pPr>
      <w:r>
        <w:tab/>
      </w:r>
      <w:r>
        <w:rPr>
          <w:rStyle w:val="CharDefText"/>
        </w:rPr>
        <w:t>person</w:t>
      </w:r>
      <w:r>
        <w:t xml:space="preserve"> includes a public authority;</w:t>
      </w:r>
    </w:p>
    <w:p>
      <w:pPr>
        <w:pStyle w:val="Defstart"/>
      </w:pPr>
      <w:r>
        <w:tab/>
      </w:r>
      <w:r>
        <w:rPr>
          <w:rStyle w:val="CharDefText"/>
        </w:rPr>
        <w:t>planning instrument</w:t>
      </w:r>
      <w:r>
        <w:t xml:space="preserve"> means — </w:t>
      </w:r>
    </w:p>
    <w:p>
      <w:pPr>
        <w:pStyle w:val="Defpara"/>
      </w:pPr>
      <w:r>
        <w:tab/>
        <w:t>(a)</w:t>
      </w:r>
      <w:r>
        <w:tab/>
        <w:t>a scheme or a strategy, policy or plan made or adopted under a scheme; or</w:t>
      </w:r>
    </w:p>
    <w:p>
      <w:pPr>
        <w:pStyle w:val="Defpara"/>
      </w:pPr>
      <w:r>
        <w:tab/>
        <w:t>(b)</w:t>
      </w:r>
      <w:r>
        <w:tab/>
        <w:t xml:space="preserve">a State planning policy approved under the </w:t>
      </w:r>
      <w:r>
        <w:rPr>
          <w:i/>
        </w:rPr>
        <w:t>Planning and Development Act 2005</w:t>
      </w:r>
      <w:r>
        <w:t xml:space="preserve"> section 29 and published in the </w:t>
      </w:r>
      <w:r>
        <w:rPr>
          <w:i/>
        </w:rPr>
        <w:t>Gazette</w:t>
      </w:r>
      <w:r>
        <w:t>; or</w:t>
      </w:r>
    </w:p>
    <w:p>
      <w:pPr>
        <w:pStyle w:val="Defpara"/>
      </w:pPr>
      <w:r>
        <w:tab/>
        <w:t>(c)</w:t>
      </w:r>
      <w:r>
        <w:tab/>
        <w:t xml:space="preserve">a local planning strategy made under the </w:t>
      </w:r>
      <w:r>
        <w:rPr>
          <w:i/>
        </w:rPr>
        <w:t>Planning and Development Act 2005</w:t>
      </w:r>
      <w:r>
        <w:t>;</w:t>
      </w:r>
    </w:p>
    <w:p>
      <w:pPr>
        <w:pStyle w:val="Defstart"/>
      </w:pPr>
      <w:r>
        <w:tab/>
      </w:r>
      <w:r>
        <w:rPr>
          <w:rStyle w:val="CharDefText"/>
        </w:rPr>
        <w:t>plantation</w:t>
      </w:r>
      <w:r>
        <w:t xml:space="preserve"> means one or more groups of trees, shrubs or plants intentionally sown, planted or propagated with a view to commercial exploitation;</w:t>
      </w:r>
    </w:p>
    <w:p>
      <w:pPr>
        <w:pStyle w:val="Defstart"/>
        <w:rPr>
          <w:b/>
        </w:rPr>
      </w:pPr>
      <w:r>
        <w:rPr>
          <w:b/>
        </w:rPr>
        <w:tab/>
      </w:r>
      <w:r>
        <w:rPr>
          <w:rStyle w:val="CharDefText"/>
        </w:rPr>
        <w:t>pollution</w:t>
      </w:r>
      <w:r>
        <w:rPr>
          <w:b/>
        </w:rPr>
        <w:t xml:space="preserve"> </w:t>
      </w:r>
      <w:r>
        <w:t>has the meaning given by section 3A;</w:t>
      </w:r>
    </w:p>
    <w:p>
      <w:pPr>
        <w:pStyle w:val="Defstart"/>
      </w:pPr>
      <w:r>
        <w:rPr>
          <w:b/>
        </w:rPr>
        <w:tab/>
      </w:r>
      <w:r>
        <w:rPr>
          <w:rStyle w:val="CharDefText"/>
        </w:rPr>
        <w:t>practicable</w:t>
      </w:r>
      <w:r>
        <w:t xml:space="preserve"> means reasonably practicable having regard to, among other things, local conditions and circumstances (including costs) and to the current state of technical knowledge;</w:t>
      </w:r>
    </w:p>
    <w:p>
      <w:pPr>
        <w:pStyle w:val="Defstart"/>
      </w:pPr>
      <w:r>
        <w:rPr>
          <w:b/>
        </w:rPr>
        <w:tab/>
      </w:r>
      <w:r>
        <w:rPr>
          <w:rStyle w:val="CharDefText"/>
        </w:rPr>
        <w:t>practicable means</w:t>
      </w:r>
      <w:r>
        <w:t xml:space="preserve"> includes provision and maintenance of equipment and proper use of equipment;</w:t>
      </w:r>
    </w:p>
    <w:p>
      <w:pPr>
        <w:pStyle w:val="Defstart"/>
      </w:pPr>
      <w:r>
        <w:rPr>
          <w:b/>
        </w:rPr>
        <w:lastRenderedPageBreak/>
        <w:tab/>
      </w:r>
      <w:r>
        <w:rPr>
          <w:rStyle w:val="CharDefText"/>
        </w:rPr>
        <w:t>premises</w:t>
      </w:r>
      <w:r>
        <w:t xml:space="preserve"> means residential, industrial or other premises of any kind whatsoever and includes land, water and equipment;</w:t>
      </w:r>
    </w:p>
    <w:p>
      <w:pPr>
        <w:pStyle w:val="Defstart"/>
      </w:pPr>
      <w:r>
        <w:tab/>
      </w:r>
      <w:r>
        <w:rPr>
          <w:rStyle w:val="CharDefText"/>
        </w:rPr>
        <w:t>prescribed</w:t>
      </w:r>
      <w:r>
        <w:t xml:space="preserve"> means prescribed by the regulations;</w:t>
      </w:r>
    </w:p>
    <w:p>
      <w:pPr>
        <w:pStyle w:val="Defstart"/>
      </w:pPr>
      <w:r>
        <w:rPr>
          <w:b/>
        </w:rPr>
        <w:tab/>
      </w:r>
      <w:r>
        <w:rPr>
          <w:rStyle w:val="CharDefText"/>
        </w:rPr>
        <w:t>prescribed premises</w:t>
      </w:r>
      <w:r>
        <w:t xml:space="preserve"> means premises prescribed for the purposes of Part V;</w:t>
      </w:r>
    </w:p>
    <w:p>
      <w:pPr>
        <w:pStyle w:val="Defstart"/>
      </w:pPr>
      <w:r>
        <w:tab/>
      </w:r>
      <w:r>
        <w:rPr>
          <w:rStyle w:val="CharDefText"/>
        </w:rPr>
        <w:t>prevention notice</w:t>
      </w:r>
      <w:r>
        <w:t xml:space="preserve"> has the meaning given by section 73A(1);</w:t>
      </w:r>
    </w:p>
    <w:p>
      <w:pPr>
        <w:pStyle w:val="Defstart"/>
      </w:pPr>
      <w:r>
        <w:rPr>
          <w:b/>
        </w:rPr>
        <w:tab/>
      </w:r>
      <w:r>
        <w:rPr>
          <w:rStyle w:val="CharDefText"/>
        </w:rPr>
        <w:t>proponent</w:t>
      </w:r>
      <w:r>
        <w:t>, in relation to a proposal, means the person who or which is responsible for the proposal, or the public authority on which the responsibility for the proposal is imposed under another written law;</w:t>
      </w:r>
    </w:p>
    <w:p>
      <w:pPr>
        <w:pStyle w:val="Defstart"/>
      </w:pPr>
      <w:r>
        <w:tab/>
      </w:r>
      <w:r>
        <w:rPr>
          <w:rStyle w:val="CharDefText"/>
        </w:rPr>
        <w:t>proposal</w:t>
      </w:r>
      <w:r>
        <w:t xml:space="preserve"> means any of the following but not a scheme — </w:t>
      </w:r>
    </w:p>
    <w:p>
      <w:pPr>
        <w:pStyle w:val="Defpara"/>
      </w:pPr>
      <w:r>
        <w:tab/>
        <w:t>(a)</w:t>
      </w:r>
      <w:r>
        <w:tab/>
        <w:t xml:space="preserve">a policy, plan or programme; </w:t>
      </w:r>
    </w:p>
    <w:p>
      <w:pPr>
        <w:pStyle w:val="Defpara"/>
      </w:pPr>
      <w:r>
        <w:tab/>
        <w:t>(b)</w:t>
      </w:r>
      <w:r>
        <w:tab/>
        <w:t xml:space="preserve">a project, undertaking or development; </w:t>
      </w:r>
    </w:p>
    <w:p>
      <w:pPr>
        <w:pStyle w:val="Defpara"/>
      </w:pPr>
      <w:r>
        <w:tab/>
        <w:t>(c)</w:t>
      </w:r>
      <w:r>
        <w:tab/>
        <w:t>a change in land use;</w:t>
      </w:r>
    </w:p>
    <w:p>
      <w:pPr>
        <w:pStyle w:val="Defpara"/>
      </w:pPr>
      <w:r>
        <w:tab/>
        <w:t>(d)</w:t>
      </w:r>
      <w:r>
        <w:tab/>
        <w:t>an amendment of any proposal described in paragraph (a), (b) or (c);</w:t>
      </w:r>
    </w:p>
    <w:p>
      <w:pPr>
        <w:pStyle w:val="Defpara"/>
      </w:pPr>
      <w:r>
        <w:tab/>
        <w:t>(e)</w:t>
      </w:r>
      <w:r>
        <w:tab/>
        <w:t xml:space="preserve">an amendment described in paragraph (b) of the definition of </w:t>
      </w:r>
      <w:r>
        <w:rPr>
          <w:b/>
          <w:i/>
        </w:rPr>
        <w:t>significant amendment</w:t>
      </w:r>
      <w:r>
        <w:t>;</w:t>
      </w:r>
    </w:p>
    <w:p>
      <w:pPr>
        <w:pStyle w:val="Defstart"/>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pPr>
        <w:pStyle w:val="Defstart"/>
      </w:pPr>
      <w:r>
        <w:rPr>
          <w:b/>
        </w:rPr>
        <w:tab/>
      </w:r>
      <w:r>
        <w:rPr>
          <w:rStyle w:val="CharDefText"/>
        </w:rPr>
        <w:t>protection</w:t>
      </w:r>
      <w:r>
        <w:t>, in relation to the environment, includes conservation, preservation, enhancement and management thereof;</w:t>
      </w:r>
    </w:p>
    <w:p>
      <w:pPr>
        <w:pStyle w:val="Defstart"/>
      </w:pPr>
      <w:r>
        <w:rPr>
          <w:b/>
        </w:rPr>
        <w:tab/>
      </w:r>
      <w:r>
        <w:rPr>
          <w:rStyle w:val="CharDefText"/>
        </w:rPr>
        <w:t>public authority</w:t>
      </w:r>
      <w:r>
        <w:t xml:space="preserve"> means a Minister of the Crown acting in an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pPr>
      <w:r>
        <w:rPr>
          <w:b/>
        </w:rPr>
        <w:tab/>
      </w:r>
      <w:r>
        <w:rPr>
          <w:rStyle w:val="CharDefText"/>
        </w:rPr>
        <w:t>public place</w:t>
      </w:r>
      <w:r>
        <w:t xml:space="preserve"> means a place that is open to the public or is used by the public, whether or not on payment of money or other </w:t>
      </w:r>
      <w:r>
        <w:lastRenderedPageBreak/>
        <w:t>consideration, whether or not that place is ordinarily so open or used and whether or not the public to whom that place is so open, or by whom that place is so used, consists only of a limited class of persons;</w:t>
      </w:r>
    </w:p>
    <w:p>
      <w:pPr>
        <w:pStyle w:val="Defstart"/>
      </w:pPr>
      <w:r>
        <w:tab/>
      </w:r>
      <w:r>
        <w:rPr>
          <w:rStyle w:val="CharDefText"/>
        </w:rPr>
        <w:t>referred proposal</w:t>
      </w:r>
      <w:r>
        <w:t xml:space="preserve"> means a proposal referred to the Authority under section 38;</w:t>
      </w:r>
    </w:p>
    <w:p>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pPr>
        <w:pStyle w:val="Defstart"/>
      </w:pPr>
      <w:r>
        <w:tab/>
      </w:r>
      <w:r>
        <w:rPr>
          <w:rStyle w:val="CharDefText"/>
        </w:rPr>
        <w:t>Registrar of Deeds and Transfers</w:t>
      </w:r>
      <w:r>
        <w:t xml:space="preserve"> has the meaning given in the </w:t>
      </w:r>
      <w:r>
        <w:rPr>
          <w:i/>
        </w:rPr>
        <w:t>Registration of Deeds Act 1856</w:t>
      </w:r>
      <w:r>
        <w:t xml:space="preserve"> section 2;</w:t>
      </w:r>
    </w:p>
    <w:p>
      <w:pPr>
        <w:pStyle w:val="Defstart"/>
      </w:pPr>
      <w:r>
        <w:tab/>
      </w:r>
      <w:r>
        <w:rPr>
          <w:rStyle w:val="CharDefText"/>
        </w:rPr>
        <w:t>Registrar of Titles</w:t>
      </w:r>
      <w:r>
        <w:t xml:space="preserve"> means the person designated to be the Registrar of Titles under the </w:t>
      </w:r>
      <w:r>
        <w:rPr>
          <w:i/>
        </w:rPr>
        <w:t xml:space="preserve">Transfer of Land Act 1893 </w:t>
      </w:r>
      <w:r>
        <w:t>section 7(1);</w:t>
      </w:r>
    </w:p>
    <w:p>
      <w:pPr>
        <w:pStyle w:val="Defstart"/>
        <w:rPr>
          <w:b/>
        </w:rPr>
      </w:pPr>
      <w:r>
        <w:rPr>
          <w:b/>
        </w:rPr>
        <w:tab/>
      </w:r>
      <w:r>
        <w:rPr>
          <w:rStyle w:val="CharDefText"/>
        </w:rPr>
        <w:t>regulations</w:t>
      </w:r>
      <w:r>
        <w:t xml:space="preserve"> means the regulations under section 123(1);</w:t>
      </w:r>
    </w:p>
    <w:p>
      <w:pPr>
        <w:pStyle w:val="Defstart"/>
        <w:rPr>
          <w:b/>
        </w:rPr>
      </w:pPr>
      <w:r>
        <w:rPr>
          <w:b/>
        </w:rPr>
        <w:tab/>
      </w:r>
      <w:r>
        <w:rPr>
          <w:rStyle w:val="CharDefText"/>
        </w:rPr>
        <w:t>repealed Act</w:t>
      </w:r>
      <w:r>
        <w:t xml:space="preserve"> means the </w:t>
      </w:r>
      <w:r>
        <w:rPr>
          <w:i/>
        </w:rPr>
        <w:t>Environmental Protection Act 1971</w:t>
      </w:r>
      <w:r>
        <w:t>;</w:t>
      </w:r>
    </w:p>
    <w:p>
      <w:pPr>
        <w:pStyle w:val="Defstart"/>
      </w:pPr>
      <w:r>
        <w:rPr>
          <w:b/>
        </w:rPr>
        <w:tab/>
      </w:r>
      <w:r>
        <w:rPr>
          <w:rStyle w:val="CharDefText"/>
        </w:rPr>
        <w:t>reserve</w:t>
      </w:r>
      <w:r>
        <w:t xml:space="preserve"> means land or waters or both reserved by or under a written law for a public purpose;</w:t>
      </w:r>
    </w:p>
    <w:p>
      <w:pPr>
        <w:pStyle w:val="Defstart"/>
        <w:keepNext/>
      </w:pPr>
      <w:r>
        <w:tab/>
      </w:r>
      <w:r>
        <w:rPr>
          <w:rStyle w:val="CharDefText"/>
        </w:rPr>
        <w:t>responsible authority</w:t>
      </w:r>
      <w:r>
        <w:t>, in relation to —</w:t>
      </w:r>
    </w:p>
    <w:p>
      <w:pPr>
        <w:pStyle w:val="Defpara"/>
      </w:pPr>
      <w:r>
        <w:tab/>
        <w:t>(a)</w:t>
      </w:r>
      <w:r>
        <w:tab/>
        <w:t>a scheme which is —</w:t>
      </w:r>
    </w:p>
    <w:p>
      <w:pPr>
        <w:pStyle w:val="Ednotepensubpara"/>
      </w:pPr>
      <w:r>
        <w:tab/>
        <w:t>[(i), (ii)</w:t>
      </w:r>
      <w:r>
        <w:tab/>
        <w:t>deleted]</w:t>
      </w:r>
    </w:p>
    <w:p>
      <w:pPr>
        <w:pStyle w:val="Defsubpara"/>
        <w:keepLines w:val="0"/>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 or</w:t>
      </w:r>
    </w:p>
    <w:p>
      <w:pPr>
        <w:pStyle w:val="Defsubpara"/>
      </w:pPr>
      <w:r>
        <w:tab/>
        <w:t>(iv)</w:t>
      </w:r>
      <w:r>
        <w:tab/>
        <w:t xml:space="preserve">prepared under the </w:t>
      </w:r>
      <w:r>
        <w:rPr>
          <w:i/>
        </w:rPr>
        <w:t>Swan Valley Planning Act 2020</w:t>
      </w:r>
      <w:r>
        <w:t>, means the Western Australian Planning Commission; or</w:t>
      </w:r>
    </w:p>
    <w:p>
      <w:pPr>
        <w:pStyle w:val="Ednotepensubpara"/>
      </w:pPr>
      <w:r>
        <w:tab/>
        <w:t>[(v)</w:t>
      </w:r>
      <w:r>
        <w:tab/>
        <w:t>deleted]</w:t>
      </w:r>
    </w:p>
    <w:p>
      <w:pPr>
        <w:pStyle w:val="Defsubpara"/>
        <w:keepLines w:val="0"/>
      </w:pPr>
      <w:r>
        <w:tab/>
        <w:t>(vi)</w:t>
      </w:r>
      <w:r>
        <w:tab/>
        <w:t>a region planning scheme, or an amendment to a region planning scheme, means the Western Australian Planning Commission; or</w:t>
      </w:r>
    </w:p>
    <w:p>
      <w:pPr>
        <w:pStyle w:val="Defsubpara"/>
        <w:keepLines w:val="0"/>
      </w:pPr>
      <w:r>
        <w:lastRenderedPageBreak/>
        <w:tab/>
        <w:t>(vii)</w:t>
      </w:r>
      <w:r>
        <w:tab/>
        <w:t>a local planning scheme, or an amendment to a local planning scheme, means the local government which is responsible for the local planning scheme or amendment; or</w:t>
      </w:r>
    </w:p>
    <w:p>
      <w:pPr>
        <w:pStyle w:val="Defsubpara"/>
        <w:keepLines w:val="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 or</w:t>
      </w:r>
    </w:p>
    <w:p>
      <w:pPr>
        <w:pStyle w:val="Defsubpara"/>
        <w:keepLines w:val="0"/>
      </w:pPr>
      <w:r>
        <w:tab/>
        <w:t>(ix)</w:t>
      </w:r>
      <w:r>
        <w:tab/>
        <w:t>an improvement scheme, or an amendment to an improvement scheme, means the Western Australian Planning Commission; or</w:t>
      </w:r>
    </w:p>
    <w:p>
      <w:pPr>
        <w:pStyle w:val="Defsubpara"/>
      </w:pPr>
      <w:r>
        <w:tab/>
        <w:t>(x)</w:t>
      </w:r>
      <w:r>
        <w:tab/>
        <w:t xml:space="preserve">prepared under the </w:t>
      </w:r>
      <w:r>
        <w:rPr>
          <w:i/>
        </w:rPr>
        <w:t>Metropolitan Redevelopment Authority Act 2011</w:t>
      </w:r>
      <w:r>
        <w:t>, means the Metropolitan Redevelopment Authority established by that Act;</w:t>
      </w:r>
    </w:p>
    <w:p>
      <w:pPr>
        <w:pStyle w:val="Defpara"/>
      </w:pPr>
      <w:r>
        <w:tab/>
      </w:r>
      <w:r>
        <w:tab/>
        <w:t>or</w:t>
      </w:r>
    </w:p>
    <w:p>
      <w:pPr>
        <w:pStyle w:val="Defpara"/>
      </w:pPr>
      <w:r>
        <w:tab/>
        <w:t>(b)</w:t>
      </w:r>
      <w:r>
        <w:tab/>
        <w:t>a subdivision which is —</w:t>
      </w:r>
    </w:p>
    <w:p>
      <w:pPr>
        <w:pStyle w:val="Defsubpara"/>
        <w:keepLines w:val="0"/>
      </w:pPr>
      <w:r>
        <w:tab/>
        <w:t>(i)</w:t>
      </w:r>
      <w:r>
        <w:tab/>
        <w:t xml:space="preserve">an activity requiring approval under Part 10 Division 2 of the </w:t>
      </w:r>
      <w:r>
        <w:rPr>
          <w:i/>
        </w:rPr>
        <w:t>Planning and Development Act 2005</w:t>
      </w:r>
      <w:r>
        <w:t xml:space="preserve"> (including a subdivision of land by a community scheme under the </w:t>
      </w:r>
      <w:r>
        <w:rPr>
          <w:i/>
        </w:rPr>
        <w:t>Community Titles Act 2018</w:t>
      </w:r>
      <w:r>
        <w:t>); means the Western Australian Planning Commission; or</w:t>
      </w:r>
    </w:p>
    <w:p>
      <w:pPr>
        <w:pStyle w:val="Defsubpara"/>
        <w:keepLines w:val="0"/>
      </w:pPr>
      <w:r>
        <w:tab/>
        <w:t>(ii)</w:t>
      </w:r>
      <w:r>
        <w:tab/>
        <w:t xml:space="preserve">a subdivision of land by a strata scheme under the </w:t>
      </w:r>
      <w:r>
        <w:rPr>
          <w:i/>
        </w:rPr>
        <w:t>Strata Titles Act 1985</w:t>
      </w:r>
      <w:r>
        <w:t>, means the local government within the district of which the subdivision is proposed;</w:t>
      </w:r>
    </w:p>
    <w:p>
      <w:pPr>
        <w:pStyle w:val="Defstart"/>
      </w:pPr>
      <w:r>
        <w:rPr>
          <w:b/>
        </w:rPr>
        <w:tab/>
      </w:r>
      <w:r>
        <w:rPr>
          <w:rStyle w:val="CharDefText"/>
        </w:rPr>
        <w:t>responsible Minister</w:t>
      </w:r>
      <w:r>
        <w:t>, in relation to a scheme, means the Minister to whom the administration of the relevant scheme Act is for the time being committed by the Governor;</w:t>
      </w:r>
    </w:p>
    <w:p>
      <w:pPr>
        <w:pStyle w:val="Defstart"/>
      </w:pPr>
      <w:r>
        <w:rPr>
          <w:b/>
        </w:rPr>
        <w:tab/>
      </w:r>
      <w:r>
        <w:rPr>
          <w:rStyle w:val="CharDefText"/>
        </w:rPr>
        <w:t>road</w:t>
      </w:r>
      <w:r>
        <w:t xml:space="preserve"> has the meaning given by the </w:t>
      </w:r>
      <w:r>
        <w:rPr>
          <w:i/>
          <w:iCs/>
        </w:rPr>
        <w:t>Road Traffic (Administration) Act 2008</w:t>
      </w:r>
      <w:r>
        <w:t xml:space="preserve"> section 4;</w:t>
      </w:r>
    </w:p>
    <w:p>
      <w:pPr>
        <w:pStyle w:val="Defstart"/>
        <w:keepNext/>
      </w:pPr>
      <w:r>
        <w:lastRenderedPageBreak/>
        <w:tab/>
      </w:r>
      <w:r>
        <w:rPr>
          <w:rStyle w:val="CharDefText"/>
        </w:rPr>
        <w:t>scheme</w:t>
      </w:r>
      <w:r>
        <w:t xml:space="preserve"> means —</w:t>
      </w:r>
    </w:p>
    <w:p>
      <w:pPr>
        <w:pStyle w:val="Ednotepara"/>
        <w:spacing w:before="80"/>
      </w:pPr>
      <w:r>
        <w:tab/>
        <w:t>[(a), (b)</w:t>
      </w:r>
      <w:r>
        <w:tab/>
        <w:t>deleted]</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 or</w:t>
      </w:r>
    </w:p>
    <w:p>
      <w:pPr>
        <w:pStyle w:val="Defpara"/>
      </w:pPr>
      <w:r>
        <w:tab/>
        <w:t>(d)</w:t>
      </w:r>
      <w:r>
        <w:tab/>
        <w:t xml:space="preserve">the Swan Valley Planning Scheme, as defined in the </w:t>
      </w:r>
      <w:r>
        <w:rPr>
          <w:i/>
        </w:rPr>
        <w:t>Swan Valley Planning Act 2020</w:t>
      </w:r>
      <w:r>
        <w:t xml:space="preserve"> section 3, or an amendment of that Scheme; or</w:t>
      </w:r>
    </w:p>
    <w:p>
      <w:pPr>
        <w:pStyle w:val="Ednotepara"/>
        <w:spacing w:before="80"/>
      </w:pPr>
      <w:r>
        <w:tab/>
        <w:t>[(e)</w:t>
      </w:r>
      <w:r>
        <w:tab/>
        <w:t>deleted]</w:t>
      </w:r>
    </w:p>
    <w:p>
      <w:pPr>
        <w:pStyle w:val="Defpara"/>
      </w:pPr>
      <w:r>
        <w:tab/>
        <w:t>(f)</w:t>
      </w:r>
      <w:r>
        <w:tab/>
        <w:t>a region planning scheme, or an amendment to a region planning scheme; or</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 or</w:t>
      </w:r>
    </w:p>
    <w:p>
      <w:pPr>
        <w:pStyle w:val="Indenta"/>
      </w:pPr>
      <w:r>
        <w:tab/>
        <w:t>(i)</w:t>
      </w:r>
      <w:r>
        <w:tab/>
        <w:t>an improvement scheme or an amendment to an improvement scheme; or</w:t>
      </w:r>
    </w:p>
    <w:p>
      <w:pPr>
        <w:pStyle w:val="Defpara"/>
      </w:pPr>
      <w:r>
        <w:tab/>
        <w:t>(j)</w:t>
      </w:r>
      <w:r>
        <w:tab/>
        <w:t xml:space="preserve">a redevelopment scheme prepared under the </w:t>
      </w:r>
      <w:r>
        <w:rPr>
          <w:i/>
        </w:rPr>
        <w:t>Metropolitan Redevelopment Authority Act 2011</w:t>
      </w:r>
      <w:r>
        <w:t xml:space="preserve"> or an amendment to such a scheme;</w:t>
      </w:r>
    </w:p>
    <w:p>
      <w:pPr>
        <w:pStyle w:val="Defstart"/>
      </w:pPr>
      <w:r>
        <w:tab/>
      </w:r>
      <w:r>
        <w:rPr>
          <w:rStyle w:val="CharDefText"/>
        </w:rPr>
        <w:t>scheme Act</w:t>
      </w:r>
      <w:r>
        <w:t xml:space="preserve"> means any of the following Acts — </w:t>
      </w:r>
    </w:p>
    <w:p>
      <w:pPr>
        <w:pStyle w:val="Defpara"/>
      </w:pPr>
      <w:r>
        <w:tab/>
        <w:t>(a)</w:t>
      </w:r>
      <w:r>
        <w:tab/>
        <w:t xml:space="preserve">the </w:t>
      </w:r>
      <w:r>
        <w:rPr>
          <w:i/>
        </w:rPr>
        <w:t>Planning and Development Act 2005</w:t>
      </w:r>
      <w:r>
        <w:t>;</w:t>
      </w:r>
    </w:p>
    <w:p>
      <w:pPr>
        <w:pStyle w:val="Defpara"/>
      </w:pPr>
      <w:r>
        <w:tab/>
        <w:t>(b)</w:t>
      </w:r>
      <w:r>
        <w:tab/>
        <w:t xml:space="preserve">the </w:t>
      </w:r>
      <w:r>
        <w:rPr>
          <w:i/>
        </w:rPr>
        <w:t>Metropolitan Redevelopment Authority Act 2011</w:t>
      </w:r>
      <w:r>
        <w:t>;</w:t>
      </w:r>
    </w:p>
    <w:p>
      <w:pPr>
        <w:pStyle w:val="Defpara"/>
      </w:pPr>
      <w:r>
        <w:tab/>
        <w:t>(c)</w:t>
      </w:r>
      <w:r>
        <w:tab/>
        <w:t xml:space="preserve">the </w:t>
      </w:r>
      <w:r>
        <w:rPr>
          <w:i/>
        </w:rPr>
        <w:t>Hope Valley</w:t>
      </w:r>
      <w:r>
        <w:rPr>
          <w:i/>
        </w:rPr>
        <w:noBreakHyphen/>
        <w:t>Wattleup Redevelopment Act 2000</w:t>
      </w:r>
      <w:r>
        <w:t>;</w:t>
      </w:r>
    </w:p>
    <w:p>
      <w:pPr>
        <w:pStyle w:val="Defpara"/>
      </w:pPr>
      <w:r>
        <w:tab/>
        <w:t>(d)</w:t>
      </w:r>
      <w:r>
        <w:tab/>
        <w:t xml:space="preserve">the </w:t>
      </w:r>
      <w:r>
        <w:rPr>
          <w:i/>
        </w:rPr>
        <w:t>Swan Valley Planning Act 2020</w:t>
      </w:r>
      <w:r>
        <w:t>;</w:t>
      </w:r>
    </w:p>
    <w:p>
      <w:pPr>
        <w:pStyle w:val="Defstart"/>
        <w:keepNex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lastRenderedPageBreak/>
        <w:tab/>
      </w:r>
      <w:r>
        <w:rPr>
          <w:rStyle w:val="CharDefText"/>
        </w:rPr>
        <w:t>serious environmental harm</w:t>
      </w:r>
      <w:r>
        <w:t xml:space="preserve"> has the meaning given by section 3A;</w:t>
      </w:r>
    </w:p>
    <w:p>
      <w:pPr>
        <w:pStyle w:val="Defstart"/>
      </w:pPr>
      <w:r>
        <w:tab/>
      </w:r>
      <w:r>
        <w:rPr>
          <w:rStyle w:val="CharDefText"/>
        </w:rPr>
        <w:t>significant amendment</w:t>
      </w:r>
      <w:r>
        <w:t xml:space="preserve">, of an approved proposal, means — </w:t>
      </w:r>
    </w:p>
    <w:p>
      <w:pPr>
        <w:pStyle w:val="Defpara"/>
      </w:pPr>
      <w:r>
        <w:tab/>
        <w:t>(a)</w:t>
      </w:r>
      <w:r>
        <w:tab/>
        <w:t xml:space="preserve">a proposal that — </w:t>
      </w:r>
    </w:p>
    <w:p>
      <w:pPr>
        <w:pStyle w:val="Defsubpara"/>
      </w:pPr>
      <w:r>
        <w:tab/>
        <w:t>(i)</w:t>
      </w:r>
      <w:r>
        <w:tab/>
        <w:t>is or includes the amendment of an approved proposal; and</w:t>
      </w:r>
    </w:p>
    <w:p>
      <w:pPr>
        <w:pStyle w:val="Defsubpara"/>
      </w:pPr>
      <w:r>
        <w:tab/>
        <w:t>(ii)</w:t>
      </w:r>
      <w:r>
        <w:tab/>
        <w:t>is likely, if implemented, to have a significant effect on the environment;</w:t>
      </w:r>
    </w:p>
    <w:p>
      <w:pPr>
        <w:pStyle w:val="Defpara"/>
      </w:pPr>
      <w:r>
        <w:tab/>
      </w:r>
      <w:r>
        <w:tab/>
        <w:t>or</w:t>
      </w:r>
    </w:p>
    <w:p>
      <w:pPr>
        <w:pStyle w:val="Defpara"/>
      </w:pPr>
      <w:r>
        <w:tab/>
        <w:t>(b)</w:t>
      </w:r>
      <w:r>
        <w:tab/>
        <w:t>a proposed amendment to implementation conditions relating to an approved proposal if implementation of the proposal under the amended implementation conditions is likely to have a significant detrimental effect on the environment in addition to, or different from, the effect the proposal has in its implementation under the existing implementation conditions;</w:t>
      </w:r>
    </w:p>
    <w:p>
      <w:pPr>
        <w:pStyle w:val="Defstart"/>
      </w:pPr>
      <w:r>
        <w:tab/>
      </w:r>
      <w:r>
        <w:rPr>
          <w:rStyle w:val="CharDefText"/>
        </w:rPr>
        <w:t>Tier 1 offence</w:t>
      </w:r>
      <w:r>
        <w:t xml:space="preserve"> means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rStyle w:val="CharDefText"/>
        </w:rPr>
        <w:t>Tier 2 offence</w:t>
      </w:r>
      <w:r>
        <w:t xml:space="preserve"> means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keepNext/>
      </w:pPr>
      <w:r>
        <w:tab/>
      </w:r>
      <w:r>
        <w:rPr>
          <w:rStyle w:val="CharDefText"/>
        </w:rPr>
        <w:t>Tier 3 offence</w:t>
      </w:r>
      <w:r>
        <w:t xml:space="preserve"> means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w:t>
      </w:r>
      <w:r>
        <w:lastRenderedPageBreak/>
        <w:t>an activity prescribed to be a trade, business or undertaking for the purposes of this Act;</w:t>
      </w:r>
    </w:p>
    <w:p>
      <w:pPr>
        <w:pStyle w:val="Defstart"/>
      </w:pPr>
      <w:r>
        <w:rPr>
          <w:b/>
        </w:rPr>
        <w:tab/>
      </w:r>
      <w:r>
        <w:rPr>
          <w:rStyle w:val="CharDefText"/>
        </w:rPr>
        <w:t>unreasonable noise</w:t>
      </w:r>
      <w:r>
        <w:t xml:space="preserve"> has the meaning given by subsection (3);</w:t>
      </w:r>
    </w:p>
    <w:p>
      <w:pPr>
        <w:pStyle w:val="Defstart"/>
      </w:pPr>
      <w:r>
        <w:tab/>
      </w:r>
      <w:r>
        <w:rPr>
          <w:rStyle w:val="CharDefText"/>
        </w:rPr>
        <w:t>vegetation conservation notice</w:t>
      </w:r>
      <w:r>
        <w:t xml:space="preserve"> means a vegetation conservation notice given under section 70;</w:t>
      </w:r>
    </w:p>
    <w:p>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r>
      <w:r>
        <w:rPr>
          <w:rStyle w:val="CharDefText"/>
        </w:rPr>
        <w:t>vessel</w:t>
      </w:r>
      <w:r>
        <w:t xml:space="preserve"> has the meaning given by the </w:t>
      </w:r>
      <w:r>
        <w:rPr>
          <w:i/>
        </w:rPr>
        <w:t>Western Australian Marine Act 1982</w:t>
      </w:r>
      <w:r>
        <w:t>;</w:t>
      </w:r>
    </w:p>
    <w:p>
      <w:pPr>
        <w:pStyle w:val="Defstart"/>
      </w:pPr>
      <w:r>
        <w:rPr>
          <w:b/>
        </w:rPr>
        <w:tab/>
      </w:r>
      <w:r>
        <w:rPr>
          <w:rStyle w:val="CharDefText"/>
        </w:rPr>
        <w:t>waste</w:t>
      </w:r>
      <w:r>
        <w:t xml:space="preserve"> includes matter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r>
      <w:r>
        <w:rPr>
          <w:rStyle w:val="CharDefText"/>
        </w:rPr>
        <w:t>waters</w:t>
      </w:r>
      <w:r>
        <w:t xml:space="preserve"> means any waters whatsoever, whether in the sea or on or under the surface of the land;</w:t>
      </w:r>
    </w:p>
    <w:p>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p>
    <w:p>
      <w:pPr>
        <w:pStyle w:val="Defstart"/>
      </w:pPr>
      <w:r>
        <w:rPr>
          <w:b/>
        </w:rPr>
        <w:tab/>
      </w:r>
      <w:r>
        <w:rPr>
          <w:rStyle w:val="CharDefText"/>
        </w:rPr>
        <w:t>works approval</w:t>
      </w:r>
      <w:r>
        <w:t xml:space="preserve"> means a works approval granted and in force under Part V Division 3.</w:t>
      </w:r>
    </w:p>
    <w:p>
      <w:pPr>
        <w:pStyle w:val="Subsection"/>
      </w:pPr>
      <w:r>
        <w:tab/>
        <w:t>(1A)</w:t>
      </w:r>
      <w:r>
        <w:tab/>
        <w:t xml:space="preserve">A reference in this Act to a Ministerial statement is a reference to — </w:t>
      </w:r>
    </w:p>
    <w:p>
      <w:pPr>
        <w:pStyle w:val="Indenta"/>
      </w:pPr>
      <w:r>
        <w:tab/>
        <w:t>(a)</w:t>
      </w:r>
      <w:r>
        <w:tab/>
        <w:t>a statement served and published under section 45(8) or under section 45(8) as applied by section 46(8); or</w:t>
      </w:r>
    </w:p>
    <w:p>
      <w:pPr>
        <w:pStyle w:val="Indenta"/>
      </w:pPr>
      <w:r>
        <w:tab/>
        <w:t>(b)</w:t>
      </w:r>
      <w:r>
        <w:tab/>
        <w:t>a statement published under section 45(8)(b) as applied by section 110(3); or</w:t>
      </w:r>
    </w:p>
    <w:p>
      <w:pPr>
        <w:pStyle w:val="Indenta"/>
      </w:pPr>
      <w:r>
        <w:tab/>
        <w:t>(c)</w:t>
      </w:r>
      <w:r>
        <w:tab/>
        <w:t>a statement published as required by section 45D(2) or (3); or</w:t>
      </w:r>
    </w:p>
    <w:p>
      <w:pPr>
        <w:pStyle w:val="Indenta"/>
      </w:pPr>
      <w:r>
        <w:lastRenderedPageBreak/>
        <w:tab/>
        <w:t>(d)</w:t>
      </w:r>
      <w:r>
        <w:tab/>
        <w:t>if it is appropriate in the context, the implementation agreement or decision, as defined in section 44A, set out in a statement mentioned in paragraph (a), (b) or (c).</w:t>
      </w:r>
    </w:p>
    <w:p>
      <w:pPr>
        <w:pStyle w:val="Subsection"/>
      </w:pPr>
      <w:r>
        <w:tab/>
        <w:t>(1B)</w:t>
      </w:r>
      <w:r>
        <w:tab/>
        <w:t>A reference in this Act to the effect of a proposal on the environment includes a reference to the cumulative effect of impacts of the proposal on the environment.</w:t>
      </w:r>
    </w:p>
    <w:p>
      <w:pPr>
        <w:pStyle w:val="Subsection"/>
      </w:pPr>
      <w:r>
        <w:tab/>
        <w:t>(2)</w:t>
      </w:r>
      <w:r>
        <w:tab/>
        <w:t xml:space="preserve">In the case of humans, the reference to social surroundings in the definition of </w:t>
      </w:r>
      <w:r>
        <w:rPr>
          <w:b/>
          <w:i/>
        </w:rPr>
        <w:t>environment</w:t>
      </w:r>
      <w:r>
        <w:t xml:space="preserve"> in subsection (1) is a reference to aesthetic, cultural, economic and other social surroundings to the extent to which they directly affect or are affected by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w:t>
      </w:r>
      <w:r>
        <w:rPr>
          <w:b/>
          <w:bCs/>
          <w:i/>
          <w:iCs/>
          <w:snapToGrid w:val="0"/>
        </w:rPr>
        <w:t>proposal under an assessed scheme</w:t>
      </w:r>
      <w:r>
        <w:rPr>
          <w:snapToGrid w:val="0"/>
        </w:rPr>
        <w:t xml:space="preserve"> in subsection (1), </w:t>
      </w:r>
      <w:r>
        <w:rPr>
          <w:rStyle w:val="CharDefText"/>
        </w:rPr>
        <w:t>subdivision</w:t>
      </w:r>
      <w:r>
        <w:rPr>
          <w:snapToGrid w:val="0"/>
        </w:rPr>
        <w:t xml:space="preserve"> means —</w:t>
      </w:r>
    </w:p>
    <w:p>
      <w:pPr>
        <w:pStyle w:val="Indenta"/>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t xml:space="preserve"> (including a subdivision of land by a community scheme under the </w:t>
      </w:r>
      <w:r>
        <w:rPr>
          <w:i/>
        </w:rPr>
        <w:t>Community Titles Act 2018</w:t>
      </w:r>
      <w:r>
        <w:t>); or</w:t>
      </w:r>
    </w:p>
    <w:p>
      <w:pPr>
        <w:pStyle w:val="Indenta"/>
      </w:pPr>
      <w:r>
        <w:tab/>
        <w:t>(b)</w:t>
      </w:r>
      <w:r>
        <w:tab/>
        <w:t xml:space="preserve">a subdivision of land by a strata scheme under the </w:t>
      </w:r>
      <w:r>
        <w:rPr>
          <w:i/>
        </w:rPr>
        <w:t>Strata Titles Act 1985</w:t>
      </w:r>
      <w:r>
        <w:t>.</w:t>
      </w:r>
    </w:p>
    <w:p>
      <w:pPr>
        <w:pStyle w:val="Subsection"/>
        <w:keepLines/>
      </w:pPr>
      <w:r>
        <w:lastRenderedPageBreak/>
        <w:tab/>
        <w:t>(2b)</w:t>
      </w:r>
      <w:r>
        <w:tab/>
        <w:t xml:space="preserve">If a person is for the time being nominated under section 38H(2) as being responsible for a proposal that person is to be regarded, for the purposes of the definition of </w:t>
      </w:r>
      <w:r>
        <w:rPr>
          <w:b/>
          <w:bCs/>
          <w:i/>
          <w:iCs/>
        </w:rPr>
        <w:t>proponent</w:t>
      </w:r>
      <w:r>
        <w:t xml:space="preserve"> in subsection (1), as the person responsible for the proposal.</w:t>
      </w:r>
    </w:p>
    <w:p>
      <w:pPr>
        <w:pStyle w:val="Subsection"/>
        <w:keepNext/>
        <w:rPr>
          <w:snapToGrid w:val="0"/>
        </w:rPr>
      </w:pPr>
      <w:r>
        <w:rPr>
          <w:snapToGrid w:val="0"/>
        </w:rPr>
        <w:tab/>
        <w:t>(3)</w:t>
      </w:r>
      <w:r>
        <w:rPr>
          <w:snapToGrid w:val="0"/>
        </w:rPr>
        <w:tab/>
        <w:t>For the purposes of this Act, noise is to be taken to be unreasonable if —</w:t>
      </w:r>
    </w:p>
    <w:p>
      <w:pPr>
        <w:pStyle w:val="Indenta"/>
        <w:keepNext/>
        <w:spacing w:before="70"/>
        <w:rPr>
          <w:snapToGrid w:val="0"/>
        </w:rPr>
      </w:pPr>
      <w:r>
        <w:rPr>
          <w:snapToGrid w:val="0"/>
        </w:rPr>
        <w:tab/>
        <w:t>(a)</w:t>
      </w:r>
      <w:r>
        <w:rPr>
          <w:snapToGrid w:val="0"/>
        </w:rPr>
        <w:tab/>
        <w:t>it is emitted, or the equipment emitting it is used, in contravention of —</w:t>
      </w:r>
    </w:p>
    <w:p>
      <w:pPr>
        <w:pStyle w:val="Indenti"/>
        <w:spacing w:before="70"/>
        <w:rPr>
          <w:snapToGrid w:val="0"/>
        </w:rPr>
      </w:pPr>
      <w:r>
        <w:rPr>
          <w:snapToGrid w:val="0"/>
        </w:rPr>
        <w:tab/>
        <w:t>(i)</w:t>
      </w:r>
      <w:r>
        <w:rPr>
          <w:snapToGrid w:val="0"/>
        </w:rPr>
        <w:tab/>
        <w:t>this Act; or</w:t>
      </w:r>
    </w:p>
    <w:p>
      <w:pPr>
        <w:pStyle w:val="Indenti"/>
        <w:spacing w:before="7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keepNext/>
        <w:spacing w:before="70"/>
        <w:rPr>
          <w:snapToGrid w:val="0"/>
        </w:rPr>
      </w:pPr>
      <w:r>
        <w:rPr>
          <w:snapToGrid w:val="0"/>
        </w:rPr>
        <w:tab/>
        <w:t>(iii)</w:t>
      </w:r>
      <w:r>
        <w:rPr>
          <w:snapToGrid w:val="0"/>
        </w:rPr>
        <w:tab/>
        <w:t>any requirement or permission (by whatever name called) made or given by or under this Act;</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70"/>
        <w:rPr>
          <w:snapToGrid w:val="0"/>
        </w:rPr>
      </w:pPr>
      <w:r>
        <w:rPr>
          <w:snapToGrid w:val="0"/>
        </w:rPr>
        <w:tab/>
        <w:t>(c)</w:t>
      </w:r>
      <w:r>
        <w:rPr>
          <w:snapToGrid w:val="0"/>
        </w:rPr>
        <w:tab/>
        <w:t>it is prescribed to be unreasonable for the purposes of this Act.</w:t>
      </w:r>
    </w:p>
    <w:p>
      <w:pPr>
        <w:pStyle w:val="Subsection"/>
      </w:pPr>
      <w:r>
        <w:tab/>
        <w:t>(3a)</w:t>
      </w:r>
      <w:r>
        <w:tab/>
        <w:t>A reference in this Act to the amendment or changing of implementation conditions is a reference to —</w:t>
      </w:r>
    </w:p>
    <w:p>
      <w:pPr>
        <w:pStyle w:val="Indenta"/>
      </w:pPr>
      <w:r>
        <w:tab/>
        <w:t>(a)</w:t>
      </w:r>
      <w:r>
        <w:tab/>
        <w:t>varying, removing or adding implementation conditions; or</w:t>
      </w:r>
    </w:p>
    <w:p>
      <w:pPr>
        <w:pStyle w:val="Indenta"/>
      </w:pPr>
      <w:r>
        <w:tab/>
        <w:t>(b)</w:t>
      </w:r>
      <w:r>
        <w:tab/>
        <w:t>inserting implementation conditions where none existed.</w:t>
      </w:r>
    </w:p>
    <w:p>
      <w:pPr>
        <w:pStyle w:val="Subsection"/>
        <w:keepNext/>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w:t>
      </w:r>
      <w:r>
        <w:rPr>
          <w:snapToGrid w:val="0"/>
        </w:rPr>
        <w:lastRenderedPageBreak/>
        <w:t xml:space="preserve">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 xml:space="preserve">[Section 3 amended: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No. 8 of 2009 s. 53; No. 28 of 2010 s. 25; </w:t>
      </w:r>
      <w:r>
        <w:rPr>
          <w:spacing w:val="-4"/>
        </w:rPr>
        <w:t>No. 45 of 2011 s. 1</w:t>
      </w:r>
      <w:r>
        <w:t>37(2)</w:t>
      </w:r>
      <w:r>
        <w:noBreakHyphen/>
        <w:t>(6); No. 8 of 2012 s. 100; No. 30 of 2018 s. 138; No. 32 of 2018 s. 210; No. 40 of 2020 s. 4(1), (3), (5), (7)</w:t>
      </w:r>
      <w:r>
        <w:noBreakHyphen/>
        <w:t>(9) and 111(1); No. 45 of 2020 s. 102; No. 26 of 2020 s. 55.]</w:t>
      </w:r>
    </w:p>
    <w:p>
      <w:pPr>
        <w:pStyle w:val="Heading5"/>
        <w:rPr>
          <w:snapToGrid w:val="0"/>
        </w:rPr>
      </w:pPr>
      <w:bookmarkStart w:id="9" w:name="_Toc158985320"/>
      <w:r>
        <w:rPr>
          <w:rStyle w:val="CharSectno"/>
        </w:rPr>
        <w:t>3A</w:t>
      </w:r>
      <w:r>
        <w:t>.</w:t>
      </w:r>
      <w:r>
        <w:tab/>
        <w:t>Terms used relating to pollution and environmental harm</w:t>
      </w:r>
      <w:bookmarkEnd w:id="9"/>
    </w:p>
    <w:p>
      <w:pPr>
        <w:pStyle w:val="Subsection"/>
        <w:keepNext/>
        <w:keepLines/>
        <w:rPr>
          <w:snapToGrid w:val="0"/>
        </w:rPr>
      </w:pPr>
      <w:r>
        <w:rPr>
          <w:snapToGrid w:val="0"/>
        </w:rPr>
        <w:tab/>
        <w:t>(1)</w:t>
      </w:r>
      <w:r>
        <w:rPr>
          <w:snapToGrid w:val="0"/>
        </w:rPr>
        <w:tab/>
        <w:t>In this Act —</w:t>
      </w:r>
    </w:p>
    <w:p>
      <w:pPr>
        <w:pStyle w:val="Defstart"/>
        <w:keepNext/>
        <w:keepLines/>
      </w:pPr>
      <w:r>
        <w:tab/>
      </w:r>
      <w:r>
        <w:rPr>
          <w:rStyle w:val="CharDefText"/>
        </w:rPr>
        <w:t>pollution</w:t>
      </w:r>
      <w:r>
        <w:t xml:space="preserve"> means direct or indirect alteration of the environment —</w:t>
      </w:r>
    </w:p>
    <w:p>
      <w:pPr>
        <w:pStyle w:val="Defpara"/>
      </w:pPr>
      <w:r>
        <w:tab/>
        <w:t>(a)</w:t>
      </w:r>
      <w:r>
        <w:tab/>
        <w:t>to its detriment or degradation; or</w:t>
      </w:r>
    </w:p>
    <w:p>
      <w:pPr>
        <w:pStyle w:val="Defpara"/>
      </w:pPr>
      <w:r>
        <w:tab/>
        <w:t>(b)</w:t>
      </w:r>
      <w:r>
        <w:tab/>
        <w:t>to the detriment of an environmental value; or</w:t>
      </w:r>
    </w:p>
    <w:p>
      <w:pPr>
        <w:pStyle w:val="Defpara"/>
      </w:pPr>
      <w:r>
        <w:tab/>
        <w:t>(c)</w:t>
      </w:r>
      <w:r>
        <w:tab/>
        <w:t>of a prescribed kind,</w:t>
      </w:r>
    </w:p>
    <w:p>
      <w:pPr>
        <w:pStyle w:val="Defstart"/>
      </w:pPr>
      <w:r>
        <w:tab/>
        <w:t>that involves an emission.</w:t>
      </w:r>
    </w:p>
    <w:p>
      <w:pPr>
        <w:pStyle w:val="Subsection"/>
      </w:pPr>
      <w:r>
        <w:tab/>
        <w:t>(2)</w:t>
      </w:r>
      <w:r>
        <w:tab/>
        <w:t>In this Act —</w:t>
      </w:r>
    </w:p>
    <w:p>
      <w:pPr>
        <w:pStyle w:val="Defstart"/>
      </w:pPr>
      <w:r>
        <w:tab/>
      </w:r>
      <w:r>
        <w:rPr>
          <w:rStyle w:val="CharDefText"/>
        </w:rPr>
        <w:t>environmental harm</w:t>
      </w:r>
      <w:r>
        <w:t xml:space="preserve"> means direct or indirect —</w:t>
      </w:r>
    </w:p>
    <w:p>
      <w:pPr>
        <w:pStyle w:val="Defpara"/>
      </w:pPr>
      <w:r>
        <w:tab/>
        <w:t>(a)</w:t>
      </w:r>
      <w:r>
        <w:tab/>
        <w:t>harm to the environment involving removal or destruction of, or damage to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r>
      <w:r>
        <w:tab/>
        <w:t>or</w:t>
      </w:r>
    </w:p>
    <w:p>
      <w:pPr>
        <w:pStyle w:val="Defpara"/>
      </w:pPr>
      <w:r>
        <w:tab/>
        <w:t>(b)</w:t>
      </w:r>
      <w:r>
        <w:tab/>
        <w:t>alteration of the environment to its detriment or degradation or potential detriment or degradation; or</w:t>
      </w:r>
    </w:p>
    <w:p>
      <w:pPr>
        <w:pStyle w:val="Defpara"/>
      </w:pPr>
      <w:r>
        <w:lastRenderedPageBreak/>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rStyle w:val="CharDefText"/>
        </w:rPr>
        <w:t>material environmental harm</w:t>
      </w:r>
      <w:r>
        <w:t xml:space="preserve"> means environmental harm that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keepNext/>
      </w:pPr>
      <w:r>
        <w:tab/>
      </w:r>
      <w:r>
        <w:rPr>
          <w:rStyle w:val="CharDefText"/>
        </w:rPr>
        <w:t>serious environmental harm</w:t>
      </w:r>
      <w:r>
        <w:t xml:space="preserve"> means environmental harm that —</w:t>
      </w:r>
    </w:p>
    <w:p>
      <w:pPr>
        <w:pStyle w:val="Defpara"/>
      </w:pPr>
      <w:r>
        <w:tab/>
        <w:t>(a)</w:t>
      </w:r>
      <w:r>
        <w:tab/>
        <w:t>is irreversible, of a high impact or on a wide scale; or</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rPr>
          <w:snapToGrid w:val="0"/>
        </w:rPr>
      </w:pPr>
      <w:r>
        <w:rPr>
          <w:snapToGrid w:val="0"/>
        </w:rPr>
        <w:tab/>
        <w:t>(3)</w:t>
      </w:r>
      <w:r>
        <w:rPr>
          <w:snapToGrid w:val="0"/>
        </w:rPr>
        <w:tab/>
        <w:t>For the purposes of subsection (2) —</w:t>
      </w:r>
    </w:p>
    <w:p>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r>
      <w:r>
        <w:rPr>
          <w:rStyle w:val="CharDefText"/>
        </w:rPr>
        <w:t>threshold amount</w:t>
      </w:r>
      <w:r>
        <w:rPr>
          <w:b/>
        </w:rPr>
        <w:t xml:space="preserve"> </w:t>
      </w:r>
      <w:r>
        <w:t>means $100 000, or if a greater amount is prescribed by regulation, that amount.</w:t>
      </w:r>
    </w:p>
    <w:p>
      <w:pPr>
        <w:pStyle w:val="Footnotesection"/>
      </w:pPr>
      <w:r>
        <w:tab/>
        <w:t>[Section 3A inserted: No. 54 of 2003 s. 29; amended: No. 40 of 2020 s. 5.]</w:t>
      </w:r>
    </w:p>
    <w:p>
      <w:pPr>
        <w:pStyle w:val="Heading5"/>
        <w:rPr>
          <w:snapToGrid w:val="0"/>
        </w:rPr>
      </w:pPr>
      <w:bookmarkStart w:id="10" w:name="_Toc158985321"/>
      <w:r>
        <w:rPr>
          <w:rStyle w:val="CharSectno"/>
        </w:rPr>
        <w:t>4</w:t>
      </w:r>
      <w:r>
        <w:rPr>
          <w:snapToGrid w:val="0"/>
        </w:rPr>
        <w:t>.</w:t>
      </w:r>
      <w:r>
        <w:rPr>
          <w:snapToGrid w:val="0"/>
        </w:rPr>
        <w:tab/>
        <w:t>Crown bound</w:t>
      </w:r>
      <w:bookmarkEnd w:id="10"/>
    </w:p>
    <w:p>
      <w:pPr>
        <w:pStyle w:val="Subsection"/>
        <w:rPr>
          <w:snapToGrid w:val="0"/>
        </w:rPr>
      </w:pPr>
      <w:r>
        <w:rPr>
          <w:snapToGrid w:val="0"/>
        </w:rPr>
        <w:tab/>
      </w:r>
      <w:r>
        <w:rPr>
          <w:snapToGrid w:val="0"/>
        </w:rPr>
        <w:tab/>
        <w:t>This Act binds the Crown.</w:t>
      </w:r>
    </w:p>
    <w:p>
      <w:pPr>
        <w:pStyle w:val="Heading5"/>
        <w:rPr>
          <w:snapToGrid w:val="0"/>
        </w:rPr>
      </w:pPr>
      <w:bookmarkStart w:id="11" w:name="_Toc158985322"/>
      <w:r>
        <w:rPr>
          <w:rStyle w:val="CharSectno"/>
        </w:rPr>
        <w:lastRenderedPageBreak/>
        <w:t>4A</w:t>
      </w:r>
      <w:r>
        <w:rPr>
          <w:snapToGrid w:val="0"/>
        </w:rPr>
        <w:t>.</w:t>
      </w:r>
      <w:r>
        <w:rPr>
          <w:snapToGrid w:val="0"/>
        </w:rPr>
        <w:tab/>
        <w:t>Object and principles of Act</w:t>
      </w:r>
      <w:bookmarkEnd w:id="11"/>
    </w:p>
    <w:p>
      <w:pPr>
        <w:pStyle w:val="Subsection"/>
        <w:keepNext/>
        <w:spacing w:before="120"/>
      </w:pPr>
      <w:r>
        <w:tab/>
      </w:r>
      <w:r>
        <w:tab/>
        <w:t>The object of this Act is to protect the environment of the State, having regard to the following principles —</w:t>
      </w:r>
    </w:p>
    <w:p>
      <w:pPr>
        <w:pStyle w:val="THeadingNAm"/>
        <w:spacing w:before="120" w:after="0"/>
      </w:pPr>
      <w: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trPr>
          <w:cantSplit/>
        </w:trPr>
        <w:tc>
          <w:tcPr>
            <w:tcW w:w="5823" w:type="dxa"/>
          </w:tcPr>
          <w:p>
            <w:pPr>
              <w:pStyle w:val="TableNAm"/>
              <w:ind w:left="612" w:hanging="612"/>
            </w:pPr>
            <w:r>
              <w:t>1.</w:t>
            </w:r>
            <w:r>
              <w:tab/>
            </w:r>
            <w:r>
              <w:rPr>
                <w:i/>
                <w:iCs/>
              </w:rPr>
              <w:t>The precautionary principle</w:t>
            </w:r>
          </w:p>
          <w:p>
            <w:pPr>
              <w:pStyle w:val="TableNAm"/>
              <w:spacing w:before="100"/>
              <w:ind w:left="612" w:hanging="612"/>
            </w:pPr>
            <w:r>
              <w:tab/>
              <w:t>Where there are threats of serious or irreversible damage, lack of full scientific certainty should not be used as a reason for postponing measures to prevent environmental degradation.</w:t>
            </w:r>
          </w:p>
        </w:tc>
      </w:tr>
      <w:tr>
        <w:trPr>
          <w:cantSplit/>
        </w:trPr>
        <w:tc>
          <w:tcPr>
            <w:tcW w:w="5823" w:type="dxa"/>
          </w:tcPr>
          <w:p>
            <w:pPr>
              <w:pStyle w:val="TableNAm"/>
              <w:spacing w:before="100"/>
              <w:ind w:left="612" w:hanging="612"/>
            </w:pPr>
            <w:r>
              <w:tab/>
              <w:t>In the application of the precautionary principle, decisions should be guided by —</w:t>
            </w:r>
          </w:p>
          <w:p>
            <w:pPr>
              <w:pStyle w:val="TableNAm"/>
              <w:tabs>
                <w:tab w:val="left" w:pos="1092"/>
              </w:tabs>
              <w:spacing w:before="100"/>
              <w:ind w:left="1092" w:hanging="1092"/>
            </w:pPr>
            <w:r>
              <w:tab/>
              <w:t>(a)</w:t>
            </w:r>
            <w:r>
              <w:tab/>
              <w:t>careful evaluation to avoid, where practicable, serious or irreversible damage to the environment; and</w:t>
            </w:r>
          </w:p>
          <w:p>
            <w:pPr>
              <w:pStyle w:val="TableNAm"/>
              <w:tabs>
                <w:tab w:val="left" w:pos="1092"/>
              </w:tabs>
              <w:spacing w:before="100"/>
              <w:ind w:left="1092" w:hanging="1092"/>
              <w:rPr>
                <w:u w:val="single"/>
              </w:rPr>
            </w:pPr>
            <w:r>
              <w:tab/>
              <w:t>(b)</w:t>
            </w:r>
            <w:r>
              <w:tab/>
              <w:t>an assessment of the risk</w:t>
            </w:r>
            <w:r>
              <w:noBreakHyphen/>
              <w:t>weighted consequences of various options.</w:t>
            </w:r>
          </w:p>
        </w:tc>
      </w:tr>
      <w:tr>
        <w:trPr>
          <w:cantSplit/>
        </w:trPr>
        <w:tc>
          <w:tcPr>
            <w:tcW w:w="5823" w:type="dxa"/>
          </w:tcPr>
          <w:p>
            <w:pPr>
              <w:pStyle w:val="TableNAm"/>
              <w:ind w:left="612" w:hanging="612"/>
            </w:pPr>
            <w:r>
              <w:t>2.</w:t>
            </w:r>
            <w:r>
              <w:tab/>
            </w:r>
            <w:r>
              <w:rPr>
                <w:i/>
                <w:iCs/>
              </w:rPr>
              <w:t>The principle of intergenerational equity</w:t>
            </w:r>
          </w:p>
          <w:p>
            <w:pPr>
              <w:pStyle w:val="TableNAm"/>
              <w:spacing w:before="100"/>
              <w:ind w:left="612" w:hanging="612"/>
            </w:pPr>
            <w:r>
              <w:tab/>
              <w:t>The present generation should ensure that the health, diversity and productivity of the environment is maintained or enhanced for the benefit of future generations.</w:t>
            </w:r>
          </w:p>
        </w:tc>
      </w:tr>
      <w:tr>
        <w:trPr>
          <w:cantSplit/>
        </w:trPr>
        <w:tc>
          <w:tcPr>
            <w:tcW w:w="5823" w:type="dxa"/>
            <w:tcBorders>
              <w:bottom w:val="nil"/>
            </w:tcBorders>
          </w:tcPr>
          <w:p>
            <w:pPr>
              <w:pStyle w:val="TableNAm"/>
              <w:ind w:left="612" w:hanging="612"/>
            </w:pPr>
            <w:r>
              <w:t>3.</w:t>
            </w:r>
            <w:r>
              <w:tab/>
            </w:r>
            <w:r>
              <w:rPr>
                <w:i/>
                <w:iCs/>
              </w:rPr>
              <w:t>The principle of the conservation of biological diversity and ecological integrity</w:t>
            </w:r>
          </w:p>
          <w:p>
            <w:pPr>
              <w:pStyle w:val="TableNAm"/>
              <w:spacing w:before="100"/>
              <w:ind w:left="612" w:hanging="612"/>
            </w:pPr>
            <w:r>
              <w:tab/>
              <w:t>Conservation of biological diversity and ecological integrity should be a fundamental consideration.</w:t>
            </w:r>
          </w:p>
        </w:tc>
      </w:tr>
      <w:tr>
        <w:tc>
          <w:tcPr>
            <w:tcW w:w="5823" w:type="dxa"/>
            <w:tcBorders>
              <w:bottom w:val="nil"/>
            </w:tcBorders>
          </w:tcPr>
          <w:p>
            <w:pPr>
              <w:pStyle w:val="TableNAm"/>
              <w:ind w:left="612" w:hanging="612"/>
              <w:rPr>
                <w:i/>
                <w:iCs/>
              </w:rPr>
            </w:pPr>
            <w:r>
              <w:t>4.</w:t>
            </w:r>
            <w:r>
              <w:tab/>
            </w:r>
            <w:r>
              <w:rPr>
                <w:i/>
                <w:iCs/>
              </w:rPr>
              <w:t>Principles relating to improved valuation, pricing and incentive mechanisms</w:t>
            </w:r>
          </w:p>
          <w:p>
            <w:pPr>
              <w:pStyle w:val="TableNAm"/>
              <w:tabs>
                <w:tab w:val="left" w:pos="1092"/>
              </w:tabs>
              <w:spacing w:before="100"/>
              <w:ind w:left="1092" w:hanging="1092"/>
            </w:pPr>
            <w:r>
              <w:tab/>
              <w:t>(1)</w:t>
            </w:r>
            <w:r>
              <w:tab/>
              <w:t>Environmental factors should be included in the valuation of assets and services.</w:t>
            </w:r>
          </w:p>
          <w:p>
            <w:pPr>
              <w:pStyle w:val="TableNAm"/>
              <w:tabs>
                <w:tab w:val="left" w:pos="1092"/>
              </w:tabs>
              <w:spacing w:before="100"/>
              <w:ind w:left="1092" w:hanging="1092"/>
            </w:pPr>
            <w:r>
              <w:lastRenderedPageBreak/>
              <w:tab/>
              <w:t>(2)</w:t>
            </w:r>
            <w:r>
              <w:tab/>
              <w:t>The polluter pays principle — those who generate pollution and waste should bear the cost of containment, avoidance or abatement.</w:t>
            </w:r>
          </w:p>
        </w:tc>
      </w:tr>
      <w:tr>
        <w:trPr>
          <w:cantSplit/>
          <w:trHeight w:val="1304"/>
        </w:trPr>
        <w:tc>
          <w:tcPr>
            <w:tcW w:w="5823" w:type="dxa"/>
            <w:tcBorders>
              <w:top w:val="nil"/>
            </w:tcBorders>
          </w:tcPr>
          <w:p>
            <w:pPr>
              <w:pStyle w:val="TableNAm"/>
              <w:tabs>
                <w:tab w:val="left" w:pos="1092"/>
              </w:tabs>
              <w:ind w:left="1092" w:hanging="1092"/>
            </w:pPr>
            <w:r>
              <w:lastRenderedPageBreak/>
              <w:tab/>
              <w:t>(3)</w:t>
            </w:r>
            <w:r>
              <w:tab/>
              <w:t>The users of goods and services should pay prices based on the full life cycle costs of providing goods and services, including the use of natural resources and assets and the ultimate disposal of any wastes.</w:t>
            </w:r>
          </w:p>
          <w:p>
            <w:pPr>
              <w:pStyle w:val="TableNAm"/>
              <w:tabs>
                <w:tab w:val="left" w:pos="1092"/>
              </w:tabs>
              <w:ind w:left="1092" w:hanging="1092"/>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823" w:type="dxa"/>
          </w:tcPr>
          <w:p>
            <w:pPr>
              <w:pStyle w:val="TableNAm"/>
              <w:keepNext/>
              <w:tabs>
                <w:tab w:val="left" w:pos="1092"/>
              </w:tabs>
              <w:ind w:left="1092" w:hanging="1092"/>
              <w:rPr>
                <w:i/>
                <w:iCs/>
              </w:rPr>
            </w:pPr>
            <w:r>
              <w:t>5.</w:t>
            </w:r>
            <w:r>
              <w:tab/>
            </w:r>
            <w:r>
              <w:rPr>
                <w:i/>
                <w:iCs/>
              </w:rPr>
              <w:t>The principle of waste minimisation</w:t>
            </w:r>
          </w:p>
          <w:p>
            <w:pPr>
              <w:pStyle w:val="TableNAm"/>
              <w:keepNext/>
              <w:ind w:left="612" w:hanging="612"/>
            </w:pPr>
            <w:r>
              <w:tab/>
              <w:t>All reasonable and practicable measures should be taken to minimise the generation of waste and its discharge into the environment.</w:t>
            </w:r>
          </w:p>
        </w:tc>
      </w:tr>
    </w:tbl>
    <w:p>
      <w:pPr>
        <w:pStyle w:val="Footnotesection"/>
      </w:pPr>
      <w:r>
        <w:tab/>
        <w:t>[Section 4A inserted: No. 54 of 2003 s. 122.]</w:t>
      </w:r>
    </w:p>
    <w:p>
      <w:pPr>
        <w:pStyle w:val="Heading5"/>
        <w:rPr>
          <w:snapToGrid w:val="0"/>
        </w:rPr>
      </w:pPr>
      <w:bookmarkStart w:id="12" w:name="_Toc158985323"/>
      <w:r>
        <w:rPr>
          <w:rStyle w:val="CharSectno"/>
        </w:rPr>
        <w:t>5</w:t>
      </w:r>
      <w:r>
        <w:rPr>
          <w:snapToGrid w:val="0"/>
        </w:rPr>
        <w:t>.</w:t>
      </w:r>
      <w:r>
        <w:rPr>
          <w:snapToGrid w:val="0"/>
        </w:rPr>
        <w:tab/>
        <w:t>Inconsistent laws</w:t>
      </w:r>
      <w:bookmarkEnd w:id="12"/>
    </w:p>
    <w:p>
      <w:pPr>
        <w:pStyle w:val="Subsection"/>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ind w:left="890" w:hanging="890"/>
      </w:pPr>
      <w:r>
        <w:tab/>
        <w:t>[Section 5 amended: No. 54 of 2003 s. 90 and 123.]</w:t>
      </w:r>
    </w:p>
    <w:p>
      <w:pPr>
        <w:pStyle w:val="Heading5"/>
        <w:rPr>
          <w:snapToGrid w:val="0"/>
        </w:rPr>
      </w:pPr>
      <w:bookmarkStart w:id="13" w:name="_Toc158985324"/>
      <w:r>
        <w:rPr>
          <w:rStyle w:val="CharSectno"/>
        </w:rPr>
        <w:t>6</w:t>
      </w:r>
      <w:r>
        <w:rPr>
          <w:snapToGrid w:val="0"/>
        </w:rPr>
        <w:t>.</w:t>
      </w:r>
      <w:r>
        <w:rPr>
          <w:snapToGrid w:val="0"/>
        </w:rPr>
        <w:tab/>
        <w:t>Power of Minister or Authority to exempt</w:t>
      </w:r>
      <w:bookmarkEnd w:id="13"/>
    </w:p>
    <w:p>
      <w:pPr>
        <w:pStyle w:val="Subsection"/>
        <w:keepNext/>
        <w:spacing w:before="240"/>
        <w:rPr>
          <w:snapToGrid w:val="0"/>
        </w:rPr>
      </w:pPr>
      <w:r>
        <w:rPr>
          <w:snapToGrid w:val="0"/>
        </w:rPr>
        <w:tab/>
        <w:t>(1)</w:t>
      </w:r>
      <w:r>
        <w:rPr>
          <w:snapToGrid w:val="0"/>
        </w:rPr>
        <w:tab/>
        <w:t xml:space="preserve">The Minister or the Authority may with the approval of the Governor declare by order that all or any of the provisions of </w:t>
      </w:r>
      <w:r>
        <w:rPr>
          <w:snapToGrid w:val="0"/>
        </w:rPr>
        <w:lastRenderedPageBreak/>
        <w:t>this Act or of an approved policy do not apply according to that order in respect of —</w:t>
      </w:r>
    </w:p>
    <w:p>
      <w:pPr>
        <w:pStyle w:val="Indenta"/>
        <w:rPr>
          <w:snapToGrid w:val="0"/>
        </w:rPr>
      </w:pPr>
      <w:r>
        <w:rPr>
          <w:snapToGrid w:val="0"/>
        </w:rPr>
        <w:tab/>
        <w:t>(a)</w:t>
      </w:r>
      <w:r>
        <w:rPr>
          <w:snapToGrid w:val="0"/>
        </w:rPr>
        <w:tab/>
        <w:t>any specified area of the State; or</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keepLines/>
        <w:spacing w:before="240"/>
        <w:rPr>
          <w:snapToGrid w:val="0"/>
        </w:rPr>
      </w:pPr>
      <w:r>
        <w:rPr>
          <w:snapToGrid w:val="0"/>
        </w:rPr>
        <w:tab/>
        <w:t>(2)</w:t>
      </w:r>
      <w:r>
        <w:rPr>
          <w:snapToGrid w:val="0"/>
        </w:rPr>
        <w:tab/>
        <w:t>The Minister or the Authority, as the case requires, may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spacing w:before="120"/>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spacing w:before="120"/>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spacing w:before="120"/>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spacing w:before="120"/>
        <w:rPr>
          <w:snapToGrid w:val="0"/>
        </w:rPr>
      </w:pPr>
      <w:r>
        <w:rPr>
          <w:snapToGrid w:val="0"/>
        </w:rPr>
        <w:tab/>
        <w:t>(5)</w:t>
      </w:r>
      <w:r>
        <w:rPr>
          <w:snapToGrid w:val="0"/>
        </w:rPr>
        <w:tab/>
        <w:t xml:space="preserve">The Minister or Authority shall, before exercising the power of revocation conferred by subsection (4), publish in the </w:t>
      </w:r>
      <w:r>
        <w:rPr>
          <w:i/>
          <w:snapToGrid w:val="0"/>
        </w:rPr>
        <w:t>Gazette</w:t>
      </w:r>
      <w:r>
        <w:rPr>
          <w:snapToGrid w:val="0"/>
        </w:rPr>
        <w:t xml:space="preserve"> reasonable notice of the intention of the Minister or Authority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w:t>
      </w:r>
      <w:r>
        <w:rPr>
          <w:snapToGrid w:val="0"/>
        </w:rPr>
        <w:lastRenderedPageBreak/>
        <w:t>Minister or the Authority exercises the power of revocation concerned.</w:t>
      </w:r>
    </w:p>
    <w:p>
      <w:pPr>
        <w:pStyle w:val="Subsection"/>
        <w:rPr>
          <w:snapToGrid w:val="0"/>
        </w:rPr>
      </w:pPr>
      <w:r>
        <w:rPr>
          <w:snapToGrid w:val="0"/>
        </w:rPr>
        <w:tab/>
        <w:t>(7)</w:t>
      </w:r>
      <w:r>
        <w:rPr>
          <w:snapToGrid w:val="0"/>
        </w:rPr>
        <w:tab/>
        <w:t>A person who breaches a condition with which the person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w:t>
      </w:r>
    </w:p>
    <w:p>
      <w:pPr>
        <w:pStyle w:val="Defstart"/>
        <w:keepNext/>
      </w:pPr>
      <w:r>
        <w:rPr>
          <w:b/>
        </w:rPr>
        <w:tab/>
      </w:r>
      <w:r>
        <w:rPr>
          <w:rStyle w:val="CharDefText"/>
        </w:rPr>
        <w:t>specified</w:t>
      </w:r>
      <w:r>
        <w:t xml:space="preserve"> means specified in the relevant order made under this section.</w:t>
      </w:r>
    </w:p>
    <w:p>
      <w:pPr>
        <w:pStyle w:val="Footnotesection"/>
      </w:pPr>
      <w:r>
        <w:tab/>
        <w:t>[Section 6 amended: No. 40 of 2020 s. 111(1).]</w:t>
      </w:r>
    </w:p>
    <w:p>
      <w:pPr>
        <w:pStyle w:val="Heading2"/>
      </w:pPr>
      <w:bookmarkStart w:id="14" w:name="_Toc158980656"/>
      <w:bookmarkStart w:id="15" w:name="_Toc158981055"/>
      <w:bookmarkStart w:id="16" w:name="_Toc158985325"/>
      <w:r>
        <w:rPr>
          <w:rStyle w:val="CharPartNo"/>
        </w:rPr>
        <w:lastRenderedPageBreak/>
        <w:t>Part II</w:t>
      </w:r>
      <w:r>
        <w:t> — </w:t>
      </w:r>
      <w:r>
        <w:rPr>
          <w:rStyle w:val="CharPartText"/>
        </w:rPr>
        <w:t>Environmental Protection Authority</w:t>
      </w:r>
      <w:bookmarkEnd w:id="14"/>
      <w:bookmarkEnd w:id="15"/>
      <w:bookmarkEnd w:id="16"/>
    </w:p>
    <w:p>
      <w:pPr>
        <w:pStyle w:val="Heading3"/>
      </w:pPr>
      <w:bookmarkStart w:id="17" w:name="_Toc158980657"/>
      <w:bookmarkStart w:id="18" w:name="_Toc158981056"/>
      <w:bookmarkStart w:id="19" w:name="_Toc158985326"/>
      <w:r>
        <w:rPr>
          <w:rStyle w:val="CharDivNo"/>
          <w:spacing w:val="-4"/>
        </w:rPr>
        <w:t>Division 1</w:t>
      </w:r>
      <w:r>
        <w:rPr>
          <w:snapToGrid w:val="0"/>
          <w:spacing w:val="-4"/>
        </w:rPr>
        <w:t> — </w:t>
      </w:r>
      <w:r>
        <w:rPr>
          <w:rStyle w:val="CharDivText"/>
          <w:spacing w:val="-4"/>
        </w:rPr>
        <w:t>Composition, procedure, etc. of Environmental Protection Authority</w:t>
      </w:r>
      <w:bookmarkEnd w:id="17"/>
      <w:bookmarkEnd w:id="18"/>
      <w:bookmarkEnd w:id="19"/>
    </w:p>
    <w:p>
      <w:pPr>
        <w:pStyle w:val="Heading5"/>
        <w:rPr>
          <w:snapToGrid w:val="0"/>
        </w:rPr>
      </w:pPr>
      <w:bookmarkStart w:id="20" w:name="_Toc158985327"/>
      <w:r>
        <w:rPr>
          <w:rStyle w:val="CharSectno"/>
        </w:rPr>
        <w:t>7</w:t>
      </w:r>
      <w:r>
        <w:rPr>
          <w:snapToGrid w:val="0"/>
        </w:rPr>
        <w:t>.</w:t>
      </w:r>
      <w:r>
        <w:rPr>
          <w:snapToGrid w:val="0"/>
        </w:rPr>
        <w:tab/>
        <w:t>Continuation and composition of Environmental Protection Authority</w:t>
      </w:r>
      <w:bookmarkEnd w:id="20"/>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must publish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 xml:space="preserve">One of the Authority members shall be appointed by the Governor on the recommendation of the Minister to be the </w:t>
      </w:r>
      <w:r>
        <w:t>Chair</w:t>
      </w:r>
      <w:r>
        <w:rPr>
          <w:snapToGrid w:val="0"/>
        </w:rPr>
        <w:t xml:space="preserve"> of the Authority and another to be the Deputy </w:t>
      </w:r>
      <w:r>
        <w:t>Chair</w:t>
      </w:r>
      <w:r>
        <w:rPr>
          <w:snapToGrid w:val="0"/>
        </w:rPr>
        <w:t xml:space="preserve"> of the Authority.</w:t>
      </w:r>
    </w:p>
    <w:p>
      <w:pPr>
        <w:pStyle w:val="Subsection"/>
        <w:rPr>
          <w:snapToGrid w:val="0"/>
        </w:rPr>
      </w:pPr>
      <w:r>
        <w:rPr>
          <w:snapToGrid w:val="0"/>
        </w:rPr>
        <w:tab/>
        <w:t>(4b)</w:t>
      </w:r>
      <w:r>
        <w:rPr>
          <w:snapToGrid w:val="0"/>
        </w:rPr>
        <w:tab/>
        <w:t xml:space="preserve">The duties of the </w:t>
      </w:r>
      <w:r>
        <w:t>Chair</w:t>
      </w:r>
      <w:r>
        <w:rPr>
          <w:snapToGrid w:val="0"/>
        </w:rPr>
        <w:t xml:space="preserve"> are to be performed on a full</w:t>
      </w:r>
      <w:r>
        <w:rPr>
          <w:snapToGrid w:val="0"/>
        </w:rPr>
        <w:noBreakHyphen/>
        <w:t>time basis.</w:t>
      </w:r>
    </w:p>
    <w:p>
      <w:pPr>
        <w:pStyle w:val="Subsection"/>
        <w:rPr>
          <w:snapToGrid w:val="0"/>
        </w:rPr>
      </w:pPr>
      <w:r>
        <w:rPr>
          <w:snapToGrid w:val="0"/>
        </w:rPr>
        <w:tab/>
        <w:t>(4c)</w:t>
      </w:r>
      <w:r>
        <w:rPr>
          <w:snapToGrid w:val="0"/>
        </w:rPr>
        <w:tab/>
        <w:t xml:space="preserve">The duties of an Authority member other than the </w:t>
      </w:r>
      <w:r>
        <w:t>Chair</w:t>
      </w:r>
      <w:r>
        <w:rPr>
          <w:snapToGrid w:val="0"/>
        </w:rPr>
        <w:t xml:space="preserve">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lastRenderedPageBreak/>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 xml:space="preserve">Subject to this Act, an Authority member shall hold office for such period not exceeding 5 years as is specified in </w:t>
      </w:r>
      <w:r>
        <w:t xml:space="preserve">the </w:t>
      </w:r>
      <w:r>
        <w:rPr>
          <w:snapToGrid w:val="0"/>
        </w:rPr>
        <w:t>instrument of appointment, but may from time to time be reappointed.</w:t>
      </w:r>
    </w:p>
    <w:p>
      <w:pPr>
        <w:pStyle w:val="Subsection"/>
        <w:rPr>
          <w:snapToGrid w:val="0"/>
        </w:rPr>
      </w:pPr>
      <w:r>
        <w:rPr>
          <w:snapToGrid w:val="0"/>
        </w:rPr>
        <w:tab/>
        <w:t>(7)</w:t>
      </w:r>
      <w:r>
        <w:rPr>
          <w:snapToGrid w:val="0"/>
        </w:rPr>
        <w:tab/>
        <w:t>The office of an Authority member becomes vacant if the Authority member —</w:t>
      </w:r>
    </w:p>
    <w:p>
      <w:pPr>
        <w:pStyle w:val="Indenta"/>
      </w:pPr>
      <w:r>
        <w:tab/>
        <w:t>(a)</w:t>
      </w:r>
      <w:r>
        <w:tab/>
        <w:t xml:space="preserve">becomes an insolvent under administration within the meaning of the </w:t>
      </w:r>
      <w:r>
        <w:rPr>
          <w:i/>
        </w:rPr>
        <w:t>Corporations Act 2001</w:t>
      </w:r>
      <w:r>
        <w:t xml:space="preserve"> (Commonwealth); or</w:t>
      </w:r>
    </w:p>
    <w:p>
      <w:pPr>
        <w:pStyle w:val="Indenta"/>
      </w:pPr>
      <w:r>
        <w:tab/>
        <w:t>(b)</w:t>
      </w:r>
      <w:r>
        <w:tab/>
        <w:t xml:space="preserve">after appointment as an Authority member, becomes a person employed under and subject to the </w:t>
      </w:r>
      <w:r>
        <w:rPr>
          <w:i/>
        </w:rPr>
        <w:t>Public Sector Management Act 1994</w:t>
      </w:r>
      <w:r>
        <w:t xml:space="preserve"> Part 3; or</w:t>
      </w:r>
    </w:p>
    <w:p>
      <w:pPr>
        <w:pStyle w:val="Indenta"/>
      </w:pPr>
      <w:r>
        <w:tab/>
        <w:t>(c)</w:t>
      </w:r>
      <w:r>
        <w:tab/>
        <w:t>is removed from office by the Governor —</w:t>
      </w:r>
    </w:p>
    <w:p>
      <w:pPr>
        <w:pStyle w:val="Indenti"/>
        <w:rPr>
          <w:snapToGrid w:val="0"/>
        </w:rPr>
      </w:pPr>
      <w:r>
        <w:rPr>
          <w:snapToGrid w:val="0"/>
        </w:rPr>
        <w:tab/>
        <w:t>(i)</w:t>
      </w:r>
      <w:r>
        <w:rPr>
          <w:snapToGrid w:val="0"/>
        </w:rPr>
        <w:tab/>
        <w:t>on the grounds of misbehaviour, incompetence, or mental or physical incapacity, impairing the performance of the Authority member’s functions and proved to the satisfaction of the Governor; or</w:t>
      </w:r>
    </w:p>
    <w:p>
      <w:pPr>
        <w:pStyle w:val="Indenti"/>
        <w:rPr>
          <w:snapToGrid w:val="0"/>
        </w:rPr>
      </w:pPr>
      <w:r>
        <w:rPr>
          <w:snapToGrid w:val="0"/>
        </w:rPr>
        <w:tab/>
        <w:t>(ii)</w:t>
      </w:r>
      <w:r>
        <w:rPr>
          <w:snapToGrid w:val="0"/>
        </w:rPr>
        <w:tab/>
        <w:t>on the grounds of being absent without leave, if it is proved to the satisfaction of the Governor that the Authority member has been absent, except on leave granted by the Minister, from 3 consecutive meetings of the Authority of which the Authority member has had reasonable notice;</w:t>
      </w:r>
    </w:p>
    <w:p>
      <w:pPr>
        <w:pStyle w:val="Indenta"/>
        <w:rPr>
          <w:snapToGrid w:val="0"/>
        </w:rPr>
      </w:pPr>
      <w:r>
        <w:rPr>
          <w:snapToGrid w:val="0"/>
        </w:rPr>
        <w:tab/>
      </w:r>
      <w:r>
        <w:rPr>
          <w:snapToGrid w:val="0"/>
        </w:rPr>
        <w:tab/>
        <w:t>or</w:t>
      </w:r>
    </w:p>
    <w:p>
      <w:pPr>
        <w:pStyle w:val="Indenta"/>
      </w:pPr>
      <w:r>
        <w:tab/>
        <w:t>(d)</w:t>
      </w:r>
      <w:r>
        <w:tab/>
        <w:t>resigns from office by notice in writing delivered to the Minister.</w:t>
      </w:r>
    </w:p>
    <w:p>
      <w:pPr>
        <w:pStyle w:val="Subsection"/>
        <w:keepNext/>
        <w:rPr>
          <w:snapToGrid w:val="0"/>
        </w:rPr>
      </w:pPr>
      <w:r>
        <w:rPr>
          <w:snapToGrid w:val="0"/>
        </w:rPr>
        <w:lastRenderedPageBreak/>
        <w:tab/>
        <w:t>(8)</w:t>
      </w:r>
      <w:r>
        <w:rPr>
          <w:snapToGrid w:val="0"/>
        </w:rPr>
        <w:tab/>
        <w:t>The person who is the Chair or the Deputy Chair ceases to hold that office if the person’s office as an Authority member becomes vacant.</w:t>
      </w:r>
    </w:p>
    <w:p>
      <w:pPr>
        <w:pStyle w:val="Footnotesection"/>
      </w:pPr>
      <w:r>
        <w:tab/>
        <w:t>[Section 7 amended: No. 113 of 1987 s. 32; No. 34 of 1993 s. 5; No. 32 of 1994 s. 19; No. 10 of 2001 s. 70; No. 40 of 2020 s. 6 and 111(1).]</w:t>
      </w:r>
    </w:p>
    <w:p>
      <w:pPr>
        <w:pStyle w:val="Heading5"/>
        <w:rPr>
          <w:snapToGrid w:val="0"/>
        </w:rPr>
      </w:pPr>
      <w:bookmarkStart w:id="21" w:name="_Toc158985328"/>
      <w:r>
        <w:rPr>
          <w:rStyle w:val="CharSectno"/>
        </w:rPr>
        <w:t>8</w:t>
      </w:r>
      <w:r>
        <w:rPr>
          <w:snapToGrid w:val="0"/>
        </w:rPr>
        <w:t>.</w:t>
      </w:r>
      <w:r>
        <w:rPr>
          <w:snapToGrid w:val="0"/>
        </w:rPr>
        <w:tab/>
        <w:t>Independence of Authority and Chair</w:t>
      </w:r>
      <w:bookmarkEnd w:id="21"/>
    </w:p>
    <w:p>
      <w:pPr>
        <w:pStyle w:val="Subsection"/>
        <w:rPr>
          <w:snapToGrid w:val="0"/>
        </w:rPr>
      </w:pPr>
      <w:r>
        <w:rPr>
          <w:snapToGrid w:val="0"/>
        </w:rPr>
        <w:tab/>
      </w:r>
      <w:r>
        <w:rPr>
          <w:snapToGrid w:val="0"/>
        </w:rPr>
        <w:tab/>
        <w:t>Subject to this Act, neither of the following is subject to the direction of the Minister —</w:t>
      </w:r>
    </w:p>
    <w:p>
      <w:pPr>
        <w:pStyle w:val="Indenta"/>
      </w:pPr>
      <w:r>
        <w:tab/>
        <w:t>(a)</w:t>
      </w:r>
      <w:r>
        <w:tab/>
        <w:t>the Authority;</w:t>
      </w:r>
    </w:p>
    <w:p>
      <w:pPr>
        <w:pStyle w:val="Indenta"/>
      </w:pPr>
      <w:r>
        <w:tab/>
        <w:t>(b)</w:t>
      </w:r>
      <w:r>
        <w:tab/>
        <w:t>the Chair.</w:t>
      </w:r>
    </w:p>
    <w:p>
      <w:pPr>
        <w:pStyle w:val="Footnotesection"/>
      </w:pPr>
      <w:r>
        <w:tab/>
        <w:t>[Section 8 inserted: No. 40 of 2020 s. 7.]</w:t>
      </w:r>
    </w:p>
    <w:p>
      <w:pPr>
        <w:pStyle w:val="Heading5"/>
        <w:rPr>
          <w:snapToGrid w:val="0"/>
        </w:rPr>
      </w:pPr>
      <w:bookmarkStart w:id="22" w:name="_Toc158985329"/>
      <w:r>
        <w:rPr>
          <w:rStyle w:val="CharSectno"/>
        </w:rPr>
        <w:t>9</w:t>
      </w:r>
      <w:r>
        <w:rPr>
          <w:snapToGrid w:val="0"/>
        </w:rPr>
        <w:t>.</w:t>
      </w:r>
      <w:r>
        <w:rPr>
          <w:snapToGrid w:val="0"/>
        </w:rPr>
        <w:tab/>
        <w:t>Remuneration and allowances of Authority members</w:t>
      </w:r>
      <w:bookmarkEnd w:id="22"/>
    </w:p>
    <w:p>
      <w:pPr>
        <w:pStyle w:val="Subsection"/>
        <w:rPr>
          <w:snapToGrid w:val="0"/>
        </w:rPr>
      </w:pPr>
      <w:r>
        <w:rPr>
          <w:snapToGrid w:val="0"/>
        </w:rPr>
        <w:tab/>
      </w:r>
      <w:r>
        <w:rPr>
          <w:snapToGrid w:val="0"/>
        </w:rPr>
        <w:tab/>
        <w:t xml:space="preserve">Subject to section 7 the remuneration, travelling and other allowances and other terms and conditions of appointment of an Authority member shall be those that the Minister from time to time on the recommendation of the </w:t>
      </w:r>
      <w:r>
        <w:t>Public Sector Commissioner</w:t>
      </w:r>
      <w:r>
        <w:rPr>
          <w:snapToGrid w:val="0"/>
        </w:rPr>
        <w:t xml:space="preserve"> determines in </w:t>
      </w:r>
      <w:r>
        <w:t>the Authority member’s</w:t>
      </w:r>
      <w:r>
        <w:rPr>
          <w:snapToGrid w:val="0"/>
        </w:rPr>
        <w:t xml:space="preserve"> case.</w:t>
      </w:r>
    </w:p>
    <w:p>
      <w:pPr>
        <w:pStyle w:val="Footnotesection"/>
      </w:pPr>
      <w:r>
        <w:tab/>
        <w:t>[Section 9 amended: No. 34 of 1993 s. 7; No. 14 of 1998 s. 37; No. 39 of 2010 s. 89; No. 40 of 2020 s. 111(1).]</w:t>
      </w:r>
    </w:p>
    <w:p>
      <w:pPr>
        <w:pStyle w:val="Heading5"/>
        <w:rPr>
          <w:snapToGrid w:val="0"/>
        </w:rPr>
      </w:pPr>
      <w:bookmarkStart w:id="23" w:name="_Toc158985330"/>
      <w:r>
        <w:rPr>
          <w:rStyle w:val="CharSectno"/>
        </w:rPr>
        <w:t>10</w:t>
      </w:r>
      <w:r>
        <w:rPr>
          <w:snapToGrid w:val="0"/>
        </w:rPr>
        <w:t>.</w:t>
      </w:r>
      <w:r>
        <w:rPr>
          <w:snapToGrid w:val="0"/>
        </w:rPr>
        <w:tab/>
        <w:t>Business of Authority</w:t>
      </w:r>
      <w:bookmarkEnd w:id="23"/>
    </w:p>
    <w:p>
      <w:pPr>
        <w:pStyle w:val="Subsection"/>
        <w:rPr>
          <w:snapToGrid w:val="0"/>
        </w:rPr>
      </w:pPr>
      <w:r>
        <w:rPr>
          <w:snapToGrid w:val="0"/>
        </w:rPr>
        <w:tab/>
      </w:r>
      <w:r>
        <w:rPr>
          <w:snapToGrid w:val="0"/>
        </w:rPr>
        <w:tab/>
        <w:t>Subject to this Act, the business of the Authority shall be conducted in such manner as the Authority determines.</w:t>
      </w:r>
    </w:p>
    <w:p>
      <w:pPr>
        <w:pStyle w:val="Heading5"/>
      </w:pPr>
      <w:bookmarkStart w:id="24" w:name="_Toc158985331"/>
      <w:r>
        <w:rPr>
          <w:rStyle w:val="CharSectno"/>
        </w:rPr>
        <w:t>11</w:t>
      </w:r>
      <w:r>
        <w:t>.</w:t>
      </w:r>
      <w:r>
        <w:tab/>
        <w:t>Meetings of Authority</w:t>
      </w:r>
      <w:bookmarkEnd w:id="24"/>
    </w:p>
    <w:p>
      <w:pPr>
        <w:pStyle w:val="Subsection"/>
        <w:keepNext/>
      </w:pPr>
      <w:r>
        <w:tab/>
        <w:t>(1)</w:t>
      </w:r>
      <w:r>
        <w:tab/>
        <w:t>Meetings of the Authority are to be held at such times and places as the Authority determines, but —</w:t>
      </w:r>
    </w:p>
    <w:p>
      <w:pPr>
        <w:pStyle w:val="Indenta"/>
      </w:pPr>
      <w:r>
        <w:tab/>
        <w:t>(a)</w:t>
      </w:r>
      <w:r>
        <w:tab/>
        <w:t>the Chair may convene a meeting of the Authority at any time; and</w:t>
      </w:r>
    </w:p>
    <w:p>
      <w:pPr>
        <w:pStyle w:val="Indenta"/>
      </w:pPr>
      <w:r>
        <w:lastRenderedPageBreak/>
        <w:tab/>
        <w:t>(b)</w:t>
      </w:r>
      <w:r>
        <w:tab/>
        <w:t>the Minister may convene a meeting of the Authority if the Minister wishes it to discuss a matter on which the Minister has requested its advice.</w:t>
      </w:r>
    </w:p>
    <w:p>
      <w:pPr>
        <w:pStyle w:val="Subsection"/>
      </w:pPr>
      <w:r>
        <w:tab/>
        <w:t>(2)</w:t>
      </w:r>
      <w:r>
        <w:tab/>
        <w:t>At a meeting of the Authority —</w:t>
      </w:r>
    </w:p>
    <w:p>
      <w:pPr>
        <w:pStyle w:val="Indenta"/>
      </w:pPr>
      <w:r>
        <w:tab/>
        <w:t>(a)</w:t>
      </w:r>
      <w:r>
        <w:tab/>
        <w:t xml:space="preserve">the person who presides is — </w:t>
      </w:r>
    </w:p>
    <w:p>
      <w:pPr>
        <w:pStyle w:val="Indenti"/>
      </w:pPr>
      <w:r>
        <w:tab/>
        <w:t>(i)</w:t>
      </w:r>
      <w:r>
        <w:tab/>
        <w:t>the Chair, if present; or</w:t>
      </w:r>
    </w:p>
    <w:p>
      <w:pPr>
        <w:pStyle w:val="Indenti"/>
      </w:pPr>
      <w:r>
        <w:tab/>
        <w:t>(ii)</w:t>
      </w:r>
      <w:r>
        <w:tab/>
        <w:t>if the Chair is not present — the Deputy Chair, if present; or</w:t>
      </w:r>
    </w:p>
    <w:p>
      <w:pPr>
        <w:pStyle w:val="Indenti"/>
      </w:pPr>
      <w:r>
        <w:tab/>
        <w:t>(iii)</w:t>
      </w:r>
      <w:r>
        <w:tab/>
        <w:t xml:space="preserve">if both the Chair and the Deputy Chair are not present — an Authority member elected to preside by the Authority members present; </w:t>
      </w:r>
    </w:p>
    <w:p>
      <w:pPr>
        <w:pStyle w:val="Indenta"/>
      </w:pPr>
      <w:r>
        <w:tab/>
      </w:r>
      <w:r>
        <w:tab/>
        <w:t>and</w:t>
      </w:r>
    </w:p>
    <w:p>
      <w:pPr>
        <w:pStyle w:val="Indenta"/>
      </w:pPr>
      <w:r>
        <w:tab/>
        <w:t>(b)</w:t>
      </w:r>
      <w:r>
        <w:tab/>
        <w:t>3 Authority members constitute a quorum; and</w:t>
      </w:r>
    </w:p>
    <w:p>
      <w:pPr>
        <w:pStyle w:val="Indenta"/>
      </w:pPr>
      <w:r>
        <w:tab/>
        <w:t>(c)</w:t>
      </w:r>
      <w:r>
        <w:tab/>
        <w:t>subject to section 12(5)(b), each Authority member present must cast a deliberative vote on any question that is to be decided; and</w:t>
      </w:r>
    </w:p>
    <w:p>
      <w:pPr>
        <w:pStyle w:val="Indenta"/>
      </w:pPr>
      <w:r>
        <w:tab/>
        <w:t>(d)</w:t>
      </w:r>
      <w:r>
        <w:tab/>
        <w:t>any question must be decided by a majority of the votes cast by the Authority members present, but if the voting on a question is equally divided, the person presiding at that meeting has a casting vote in addition to a deliberative vote; and</w:t>
      </w:r>
    </w:p>
    <w:p>
      <w:pPr>
        <w:pStyle w:val="Indenta"/>
      </w:pPr>
      <w:r>
        <w:tab/>
        <w:t>(e)</w:t>
      </w:r>
      <w:r>
        <w:tab/>
        <w:t>a question cannot be decided unless at least 3 Authority members vote on it.</w:t>
      </w:r>
    </w:p>
    <w:p>
      <w:pPr>
        <w:pStyle w:val="Subsection"/>
      </w:pPr>
      <w:r>
        <w:tab/>
        <w:t>(3)</w:t>
      </w:r>
      <w:r>
        <w:tab/>
        <w:t>Notice of meetings of the Authority must be given to the Department.</w:t>
      </w:r>
    </w:p>
    <w:p>
      <w:pPr>
        <w:pStyle w:val="Subsection"/>
      </w:pPr>
      <w:r>
        <w:tab/>
        <w:t>(4)</w:t>
      </w:r>
      <w:r>
        <w:tab/>
        <w:t>The CEO, or a representative of the CEO, is entitled to be present at any meeting and to take part in the consideration and discussion of any matter before a meeting, but cannot vote on any matter.</w:t>
      </w:r>
    </w:p>
    <w:p>
      <w:pPr>
        <w:pStyle w:val="Subsection"/>
      </w:pPr>
      <w:r>
        <w:tab/>
        <w:t>(5)</w:t>
      </w:r>
      <w:r>
        <w:tab/>
        <w:t xml:space="preserve">At a meeting of the Authority the presence of an Authority member need not be by attendance in person but may be by that Authority member, each other Authority member at the meeting </w:t>
      </w:r>
      <w:r>
        <w:lastRenderedPageBreak/>
        <w:t>and any person at the meeting under subsection (4) being simultaneously in contact by telephone or other means of instantaneous communication.</w:t>
      </w:r>
    </w:p>
    <w:p>
      <w:pPr>
        <w:pStyle w:val="Subsection"/>
      </w:pPr>
      <w:r>
        <w:tab/>
        <w:t>(6)</w:t>
      </w:r>
      <w:r>
        <w:tab/>
        <w:t>At a meeting of the Authority the presence of a person under subsection (4) need not be by attendance in person but may be by that person and each Authority member at the meeting being simultaneously in contact by telephone or other means of instantaneous communication.</w:t>
      </w:r>
    </w:p>
    <w:p>
      <w:pPr>
        <w:pStyle w:val="Footnotesection"/>
      </w:pPr>
      <w:r>
        <w:tab/>
        <w:t>[Section 11 inserted: No. 40 of 2020 s. 8.]</w:t>
      </w:r>
    </w:p>
    <w:p>
      <w:pPr>
        <w:pStyle w:val="Heading5"/>
        <w:rPr>
          <w:snapToGrid w:val="0"/>
        </w:rPr>
      </w:pPr>
      <w:bookmarkStart w:id="25" w:name="_Toc158985332"/>
      <w:r>
        <w:rPr>
          <w:rStyle w:val="CharSectno"/>
        </w:rPr>
        <w:t>12</w:t>
      </w:r>
      <w:r>
        <w:rPr>
          <w:snapToGrid w:val="0"/>
        </w:rPr>
        <w:t>.</w:t>
      </w:r>
      <w:r>
        <w:rPr>
          <w:snapToGrid w:val="0"/>
        </w:rPr>
        <w:tab/>
        <w:t>Disclosure of interests by Authority members</w:t>
      </w:r>
      <w:bookmarkEnd w:id="25"/>
    </w:p>
    <w:p>
      <w:pPr>
        <w:pStyle w:val="Subsection"/>
        <w:rPr>
          <w:snapToGrid w:val="0"/>
        </w:rPr>
      </w:pPr>
      <w:r>
        <w:rPr>
          <w:snapToGrid w:val="0"/>
        </w:rPr>
        <w:tab/>
        <w:t>(1)</w:t>
      </w:r>
      <w:r>
        <w:rPr>
          <w:snapToGrid w:val="0"/>
        </w:rPr>
        <w:tab/>
        <w:t xml:space="preserve">An Authority member who has a direct or indirect pecuniary interest in a matter that is before a meeting of the Authority shall, as soon as possible after the relevant facts have come to </w:t>
      </w:r>
      <w:r>
        <w:t>the Authority member’s knowledge</w:t>
      </w:r>
      <w:r>
        <w:rPr>
          <w:snapToGrid w:val="0"/>
        </w:rPr>
        <w:t xml:space="preserve">, disclose the nature of </w:t>
      </w:r>
      <w:r>
        <w:t>the interest</w:t>
      </w:r>
      <w:r>
        <w:rPr>
          <w:snapToGrid w:val="0"/>
        </w:rPr>
        <w:t xml:space="preserve"> to Authority members who are at that meeting, and that disclosure shall be recorded in the minutes of the proceedings of that meeting.</w:t>
      </w:r>
    </w:p>
    <w:p>
      <w:pPr>
        <w:pStyle w:val="Ednotesubsection"/>
      </w:pPr>
      <w:r>
        <w:tab/>
        <w:t>[(2)</w:t>
      </w:r>
      <w:r>
        <w:tab/>
        <w:t>deleted]</w:t>
      </w:r>
    </w:p>
    <w:p>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lastRenderedPageBreak/>
        <w:tab/>
        <w:t>(b)</w:t>
      </w:r>
      <w:r>
        <w:tab/>
      </w:r>
      <w:r>
        <w:rPr>
          <w:snapToGrid w:val="0"/>
        </w:rPr>
        <w:t>vote on the matter.</w:t>
      </w:r>
    </w:p>
    <w:p>
      <w:pPr>
        <w:pStyle w:val="Footnotesection"/>
      </w:pPr>
      <w:r>
        <w:tab/>
        <w:t>[Section 12 amended: No. 54 of 2003 s. 124; No. 40 of 2020 s. 111(1).]</w:t>
      </w:r>
    </w:p>
    <w:p>
      <w:pPr>
        <w:pStyle w:val="Heading5"/>
        <w:rPr>
          <w:snapToGrid w:val="0"/>
        </w:rPr>
      </w:pPr>
      <w:bookmarkStart w:id="26" w:name="_Toc158985333"/>
      <w:r>
        <w:rPr>
          <w:rStyle w:val="CharSectno"/>
        </w:rPr>
        <w:t>13</w:t>
      </w:r>
      <w:r>
        <w:rPr>
          <w:snapToGrid w:val="0"/>
        </w:rPr>
        <w:t>.</w:t>
      </w:r>
      <w:r>
        <w:rPr>
          <w:snapToGrid w:val="0"/>
        </w:rPr>
        <w:tab/>
        <w:t>Decisions of persons presiding at meetings of Authority</w:t>
      </w:r>
      <w:bookmarkEnd w:id="26"/>
    </w:p>
    <w:p>
      <w:pPr>
        <w:pStyle w:val="Subsection"/>
        <w:rPr>
          <w:snapToGrid w:val="0"/>
        </w:rPr>
      </w:pPr>
      <w:r>
        <w:rPr>
          <w:snapToGrid w:val="0"/>
        </w:rPr>
        <w:tab/>
      </w:r>
      <w:r>
        <w:rPr>
          <w:snapToGrid w:val="0"/>
        </w:rPr>
        <w:tab/>
        <w:t>In any case of difficulty, dispute or doubt respecting or arising out of —</w:t>
      </w:r>
    </w:p>
    <w:p>
      <w:pPr>
        <w:pStyle w:val="Indenta"/>
        <w:rPr>
          <w:snapToGrid w:val="0"/>
        </w:rPr>
      </w:pPr>
      <w:r>
        <w:rPr>
          <w:snapToGrid w:val="0"/>
        </w:rPr>
        <w:tab/>
        <w:t>(a)</w:t>
      </w:r>
      <w:r>
        <w:rPr>
          <w:snapToGrid w:val="0"/>
        </w:rPr>
        <w:tab/>
        <w:t>matters of order or procedure; or</w:t>
      </w:r>
    </w:p>
    <w:p>
      <w:pPr>
        <w:pStyle w:val="Indenta"/>
        <w:rPr>
          <w:snapToGrid w:val="0"/>
        </w:rPr>
      </w:pPr>
      <w:r>
        <w:rPr>
          <w:snapToGrid w:val="0"/>
        </w:rPr>
        <w:tab/>
        <w:t>(b)</w:t>
      </w:r>
      <w:r>
        <w:rPr>
          <w:snapToGrid w:val="0"/>
        </w:rPr>
        <w:tab/>
        <w:t>the determination of an interest under section 12,</w:t>
      </w:r>
    </w:p>
    <w:p>
      <w:pPr>
        <w:pStyle w:val="Subsection"/>
        <w:rPr>
          <w:snapToGrid w:val="0"/>
        </w:rPr>
      </w:pPr>
      <w:r>
        <w:rPr>
          <w:snapToGrid w:val="0"/>
        </w:rPr>
        <w:tab/>
      </w:r>
      <w:r>
        <w:rPr>
          <w:snapToGrid w:val="0"/>
        </w:rPr>
        <w:tab/>
        <w:t>the decision of the person presiding at the relevant meeting of the Authority shall be final and conclusive.</w:t>
      </w:r>
    </w:p>
    <w:p>
      <w:pPr>
        <w:pStyle w:val="Heading5"/>
        <w:rPr>
          <w:snapToGrid w:val="0"/>
        </w:rPr>
      </w:pPr>
      <w:bookmarkStart w:id="27" w:name="_Toc158985334"/>
      <w:r>
        <w:rPr>
          <w:rStyle w:val="CharSectno"/>
        </w:rPr>
        <w:t>14</w:t>
      </w:r>
      <w:r>
        <w:rPr>
          <w:snapToGrid w:val="0"/>
        </w:rPr>
        <w:t>.</w:t>
      </w:r>
      <w:r>
        <w:rPr>
          <w:snapToGrid w:val="0"/>
        </w:rPr>
        <w:tab/>
        <w:t>Minutes to be kept of meetings of Authority</w:t>
      </w:r>
      <w:bookmarkEnd w:id="27"/>
    </w:p>
    <w:p>
      <w:pPr>
        <w:pStyle w:val="Subsection"/>
        <w:rPr>
          <w:snapToGrid w:val="0"/>
        </w:rPr>
      </w:pPr>
      <w:r>
        <w:rPr>
          <w:snapToGrid w:val="0"/>
        </w:rPr>
        <w:tab/>
        <w:t>(1)</w:t>
      </w:r>
      <w:r>
        <w:rPr>
          <w:snapToGrid w:val="0"/>
        </w:rPr>
        <w:tab/>
        <w:t>Minutes of the proceedings of every meeting of the Authority shall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rPr>
          <w:snapToGrid w:val="0"/>
        </w:rPr>
      </w:pPr>
      <w:r>
        <w:rPr>
          <w:snapToGrid w:val="0"/>
        </w:rPr>
        <w:tab/>
        <w:t>(2)</w:t>
      </w:r>
      <w:r>
        <w:rPr>
          <w:snapToGrid w:val="0"/>
        </w:rPr>
        <w:tab/>
        <w:t xml:space="preserve">The </w:t>
      </w:r>
      <w:r>
        <w:t>Authority</w:t>
      </w:r>
      <w:r>
        <w:rPr>
          <w:snapToGrid w:val="0"/>
        </w:rPr>
        <w:t xml:space="preserve"> must cause the minutes kept under subsection (1) to be published.</w:t>
      </w:r>
    </w:p>
    <w:p>
      <w:pPr>
        <w:pStyle w:val="Footnotesection"/>
      </w:pPr>
      <w:r>
        <w:tab/>
        <w:t>[Section 14 amended: No. 34 of 1993 s. 9; No. 40 of 2020 s. 9.]</w:t>
      </w:r>
    </w:p>
    <w:p>
      <w:pPr>
        <w:pStyle w:val="Heading5"/>
      </w:pPr>
      <w:bookmarkStart w:id="28" w:name="_Toc158985335"/>
      <w:r>
        <w:rPr>
          <w:rStyle w:val="CharSectno"/>
        </w:rPr>
        <w:t>14A</w:t>
      </w:r>
      <w:r>
        <w:t>.</w:t>
      </w:r>
      <w:r>
        <w:tab/>
        <w:t>Decision without meeting</w:t>
      </w:r>
      <w:bookmarkEnd w:id="28"/>
    </w:p>
    <w:p>
      <w:pPr>
        <w:pStyle w:val="Subsection"/>
      </w:pPr>
      <w:r>
        <w:tab/>
        <w:t>(1)</w:t>
      </w:r>
      <w:r>
        <w:tab/>
        <w:t xml:space="preserve">The purpose of this section is to enable the Authority to make a decision on a matter (the </w:t>
      </w:r>
      <w:r>
        <w:rPr>
          <w:rStyle w:val="CharDefText"/>
        </w:rPr>
        <w:t>matter</w:t>
      </w:r>
      <w:r>
        <w:t>) without a meeting of the Authority being held.</w:t>
      </w:r>
    </w:p>
    <w:p>
      <w:pPr>
        <w:pStyle w:val="Subsection"/>
      </w:pPr>
      <w:r>
        <w:tab/>
        <w:t>(2)</w:t>
      </w:r>
      <w:r>
        <w:tab/>
        <w:t>A notice setting out a draft decision on the matter may be sent by the Chair to each other Authority member for consideration.</w:t>
      </w:r>
    </w:p>
    <w:p>
      <w:pPr>
        <w:pStyle w:val="Subsection"/>
      </w:pPr>
      <w:r>
        <w:tab/>
        <w:t>(3)</w:t>
      </w:r>
      <w:r>
        <w:tab/>
        <w:t>The Deputy Chair may send a notice under subsection (2) if the Chair is unable to do so for any reason.</w:t>
      </w:r>
    </w:p>
    <w:p>
      <w:pPr>
        <w:pStyle w:val="Subsection"/>
      </w:pPr>
      <w:r>
        <w:lastRenderedPageBreak/>
        <w:tab/>
        <w:t>(4)</w:t>
      </w:r>
      <w:r>
        <w:tab/>
        <w:t>Subject to subsection (5), an Authority member may, by notice sent to each other Authority member, cast a vote on whether or not the decision should be made.</w:t>
      </w:r>
    </w:p>
    <w:p>
      <w:pPr>
        <w:pStyle w:val="Subsection"/>
      </w:pPr>
      <w:r>
        <w:tab/>
        <w:t>(5)</w:t>
      </w:r>
      <w:r>
        <w:tab/>
        <w:t>An Authority member who has a direct or indirect pecuniary interest in the matter cannot cast a vote under subsection (4).</w:t>
      </w:r>
    </w:p>
    <w:p>
      <w:pPr>
        <w:pStyle w:val="Subsection"/>
      </w:pPr>
      <w:r>
        <w:tab/>
        <w:t>(6)</w:t>
      </w:r>
      <w:r>
        <w:tab/>
        <w:t>If at least 3 Authority members cast a vote under subsection (4) and a majority of the votes are in favour of the decision being made, the decision is taken to have been made and is as effectual as if it had been made at a meeting of the Authority.</w:t>
      </w:r>
    </w:p>
    <w:p>
      <w:pPr>
        <w:pStyle w:val="Subsection"/>
      </w:pPr>
      <w:r>
        <w:tab/>
        <w:t>(7)</w:t>
      </w:r>
      <w:r>
        <w:tab/>
        <w:t>The Authority must cause a record to be kept of each decision under subsection (6) and section 14(2) applies to that record.</w:t>
      </w:r>
    </w:p>
    <w:p>
      <w:pPr>
        <w:pStyle w:val="Footnotesection"/>
      </w:pPr>
      <w:r>
        <w:tab/>
        <w:t>[Section 14A inserted: No. 40 of 2020 s. 10.]</w:t>
      </w:r>
    </w:p>
    <w:p>
      <w:pPr>
        <w:pStyle w:val="Heading5"/>
        <w:rPr>
          <w:snapToGrid w:val="0"/>
        </w:rPr>
      </w:pPr>
      <w:bookmarkStart w:id="29" w:name="_Toc158985336"/>
      <w:r>
        <w:rPr>
          <w:rStyle w:val="CharSectno"/>
        </w:rPr>
        <w:t>15</w:t>
      </w:r>
      <w:r>
        <w:rPr>
          <w:snapToGrid w:val="0"/>
        </w:rPr>
        <w:t>.</w:t>
      </w:r>
      <w:r>
        <w:rPr>
          <w:snapToGrid w:val="0"/>
        </w:rPr>
        <w:tab/>
        <w:t>Objectives of Authority</w:t>
      </w:r>
      <w:bookmarkEnd w:id="29"/>
    </w:p>
    <w:p>
      <w:pPr>
        <w:pStyle w:val="Subsection"/>
        <w:rPr>
          <w:snapToGrid w:val="0"/>
        </w:rPr>
      </w:pPr>
      <w:r>
        <w:rPr>
          <w:snapToGrid w:val="0"/>
        </w:rPr>
        <w:tab/>
      </w:r>
      <w:r>
        <w:rPr>
          <w:snapToGrid w:val="0"/>
        </w:rPr>
        <w:tab/>
        <w:t>It is the objective of the Authority to use its best endeavours —</w:t>
      </w:r>
    </w:p>
    <w:p>
      <w:pPr>
        <w:pStyle w:val="Indenta"/>
        <w:rPr>
          <w:snapToGrid w:val="0"/>
        </w:rPr>
      </w:pPr>
      <w:r>
        <w:rPr>
          <w:snapToGrid w:val="0"/>
        </w:rPr>
        <w:tab/>
        <w:t>(a)</w:t>
      </w:r>
      <w:r>
        <w:rPr>
          <w:snapToGrid w:val="0"/>
        </w:rPr>
        <w:tab/>
        <w:t>to protect the environment; and</w:t>
      </w:r>
    </w:p>
    <w:p>
      <w:pPr>
        <w:pStyle w:val="Indenta"/>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No. 54 of 2003 s. 30.]</w:t>
      </w:r>
    </w:p>
    <w:p>
      <w:pPr>
        <w:pStyle w:val="Heading5"/>
        <w:rPr>
          <w:snapToGrid w:val="0"/>
        </w:rPr>
      </w:pPr>
      <w:bookmarkStart w:id="30" w:name="_Toc158985337"/>
      <w:r>
        <w:rPr>
          <w:rStyle w:val="CharSectno"/>
        </w:rPr>
        <w:t>16</w:t>
      </w:r>
      <w:r>
        <w:rPr>
          <w:snapToGrid w:val="0"/>
        </w:rPr>
        <w:t>.</w:t>
      </w:r>
      <w:r>
        <w:rPr>
          <w:snapToGrid w:val="0"/>
        </w:rPr>
        <w:tab/>
        <w:t>Functions of Authority</w:t>
      </w:r>
      <w:bookmarkEnd w:id="30"/>
    </w:p>
    <w:p>
      <w:pPr>
        <w:pStyle w:val="Subsection"/>
        <w:rPr>
          <w:snapToGrid w:val="0"/>
        </w:rPr>
      </w:pPr>
      <w:r>
        <w:rPr>
          <w:snapToGrid w:val="0"/>
        </w:rPr>
        <w:tab/>
      </w:r>
      <w:r>
        <w:rPr>
          <w:snapToGrid w:val="0"/>
        </w:rPr>
        <w:tab/>
        <w:t>The functions of the Authority are —</w:t>
      </w:r>
    </w:p>
    <w:p>
      <w:pPr>
        <w:pStyle w:val="Indenta"/>
        <w:rPr>
          <w:snapToGrid w:val="0"/>
        </w:rPr>
      </w:pPr>
      <w:r>
        <w:rPr>
          <w:snapToGrid w:val="0"/>
        </w:rPr>
        <w:tab/>
        <w:t>(a)</w:t>
      </w:r>
      <w:r>
        <w:rPr>
          <w:snapToGrid w:val="0"/>
        </w:rPr>
        <w:tab/>
        <w:t>to conduct environmental impact assessments; and</w:t>
      </w:r>
    </w:p>
    <w:p>
      <w:pPr>
        <w:pStyle w:val="Ednotepara"/>
        <w:spacing w:before="80"/>
        <w:rPr>
          <w:snapToGrid w:val="0"/>
        </w:rPr>
      </w:pPr>
      <w:r>
        <w:rPr>
          <w:snapToGrid w:val="0"/>
        </w:rPr>
        <w:tab/>
        <w:t>[(aa)</w:t>
      </w:r>
      <w:r>
        <w:rPr>
          <w:snapToGrid w:val="0"/>
        </w:rPr>
        <w:tab/>
        <w:t>deleted]</w:t>
      </w:r>
    </w:p>
    <w:p>
      <w:pPr>
        <w:pStyle w:val="Indenta"/>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 and</w:t>
      </w:r>
    </w:p>
    <w:p>
      <w:pPr>
        <w:pStyle w:val="Indenta"/>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 and</w:t>
      </w:r>
    </w:p>
    <w:p>
      <w:pPr>
        <w:pStyle w:val="Indenta"/>
        <w:rPr>
          <w:snapToGrid w:val="0"/>
        </w:rPr>
      </w:pPr>
      <w:r>
        <w:rPr>
          <w:snapToGrid w:val="0"/>
        </w:rPr>
        <w:lastRenderedPageBreak/>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 and</w:t>
      </w:r>
    </w:p>
    <w:p>
      <w:pPr>
        <w:pStyle w:val="Indenta"/>
      </w:pPr>
      <w:r>
        <w:tab/>
        <w:t>(da)</w:t>
      </w:r>
      <w:r>
        <w:tab/>
        <w:t>to advise the Minister on the making or amendment of regulations when requested by the Minister to do so or on its own initiative;</w:t>
      </w:r>
      <w:r>
        <w:rPr>
          <w:snapToGrid w:val="0"/>
        </w:rPr>
        <w:t xml:space="preserve"> and</w:t>
      </w:r>
    </w:p>
    <w:p>
      <w:pPr>
        <w:pStyle w:val="Indenta"/>
        <w:rPr>
          <w:snapToGrid w:val="0"/>
        </w:rPr>
      </w:pPr>
      <w:r>
        <w:rPr>
          <w:snapToGrid w:val="0"/>
        </w:rPr>
        <w:tab/>
        <w:t>(e)</w:t>
      </w:r>
      <w:r>
        <w:rPr>
          <w:snapToGrid w:val="0"/>
        </w:rPr>
        <w:tab/>
        <w:t>to advise the Minister on environmental matters generally and on any matter which the Minister may refer to it for advice, including the environmental protection aspects of any proposal or scheme, and on the evaluation of information relating thereto; and</w:t>
      </w:r>
    </w:p>
    <w:p>
      <w:pPr>
        <w:pStyle w:val="Indenta"/>
        <w:spacing w:before="60"/>
        <w:rPr>
          <w:snapToGrid w:val="0"/>
        </w:rPr>
      </w:pPr>
      <w:r>
        <w:rPr>
          <w:snapToGrid w:val="0"/>
        </w:rPr>
        <w:tab/>
        <w:t>(f)</w:t>
      </w:r>
      <w:r>
        <w:rPr>
          <w:snapToGrid w:val="0"/>
        </w:rPr>
        <w:tab/>
        <w:t>to prepare, and seek approval for, environmental protection policies; and</w:t>
      </w:r>
    </w:p>
    <w:p>
      <w:pPr>
        <w:pStyle w:val="Indenta"/>
        <w:rPr>
          <w:snapToGrid w:val="0"/>
        </w:rPr>
      </w:pPr>
      <w:r>
        <w:rPr>
          <w:snapToGrid w:val="0"/>
        </w:rPr>
        <w:tab/>
        <w:t>(g)</w:t>
      </w:r>
      <w:r>
        <w:rPr>
          <w:snapToGrid w:val="0"/>
        </w:rPr>
        <w:tab/>
        <w:t>to promote environmental awareness within the community and to encourage understanding by the community of the environment; and</w:t>
      </w:r>
    </w:p>
    <w:p>
      <w:pPr>
        <w:pStyle w:val="Indenta"/>
        <w:rPr>
          <w:snapToGrid w:val="0"/>
        </w:rPr>
      </w:pPr>
      <w:r>
        <w:rPr>
          <w:snapToGrid w:val="0"/>
        </w:rPr>
        <w:tab/>
        <w:t>(h)</w:t>
      </w:r>
      <w:r>
        <w:rPr>
          <w:snapToGrid w:val="0"/>
        </w:rPr>
        <w:tab/>
        <w:t>to receive representations on environmental matters from members of the public; and</w:t>
      </w:r>
    </w:p>
    <w:p>
      <w:pPr>
        <w:pStyle w:val="Indenta"/>
        <w:rPr>
          <w:snapToGrid w:val="0"/>
        </w:rPr>
      </w:pPr>
      <w:r>
        <w:rPr>
          <w:snapToGrid w:val="0"/>
        </w:rPr>
        <w:tab/>
        <w:t>(i)</w:t>
      </w:r>
      <w:r>
        <w:rPr>
          <w:snapToGrid w:val="0"/>
        </w:rPr>
        <w:tab/>
        <w:t>to provide advice on environmental matters to members of the public; and</w:t>
      </w:r>
    </w:p>
    <w:p>
      <w:pPr>
        <w:pStyle w:val="Indenta"/>
        <w:rPr>
          <w:snapToGrid w:val="0"/>
        </w:rPr>
      </w:pPr>
      <w:r>
        <w:rPr>
          <w:snapToGrid w:val="0"/>
        </w:rPr>
        <w:tab/>
        <w:t>(j)</w:t>
      </w:r>
      <w:r>
        <w:rPr>
          <w:snapToGrid w:val="0"/>
        </w:rPr>
        <w:tab/>
        <w:t>to publish reports on environmental matters generally; and</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 and</w:t>
      </w:r>
    </w:p>
    <w:p>
      <w:pPr>
        <w:pStyle w:val="Indenta"/>
        <w:rPr>
          <w:snapToGrid w:val="0"/>
        </w:rPr>
      </w:pPr>
      <w:r>
        <w:rPr>
          <w:snapToGrid w:val="0"/>
        </w:rPr>
        <w:tab/>
        <w:t>(l)</w:t>
      </w:r>
      <w:r>
        <w:rPr>
          <w:snapToGrid w:val="0"/>
        </w:rPr>
        <w:tab/>
        <w:t>to keep under review the progress made in the attainment of the objects and purpose of this Act; and</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 and</w:t>
      </w:r>
    </w:p>
    <w:p>
      <w:pPr>
        <w:pStyle w:val="Indenta"/>
        <w:rPr>
          <w:snapToGrid w:val="0"/>
        </w:rPr>
      </w:pPr>
      <w:r>
        <w:rPr>
          <w:snapToGrid w:val="0"/>
        </w:rPr>
        <w:lastRenderedPageBreak/>
        <w:tab/>
        <w:t>(n)</w:t>
      </w:r>
      <w:r>
        <w:rPr>
          <w:snapToGrid w:val="0"/>
        </w:rPr>
        <w:tab/>
        <w:t>to establish and develop criteria for the assessment of the extent of environmental change</w:t>
      </w:r>
      <w:r>
        <w:t>, pollution and environmental harm</w:t>
      </w:r>
      <w:r>
        <w:rPr>
          <w:snapToGrid w:val="0"/>
        </w:rPr>
        <w:t>; and</w:t>
      </w:r>
    </w:p>
    <w:p>
      <w:pPr>
        <w:pStyle w:val="Indenta"/>
        <w:rPr>
          <w:snapToGrid w:val="0"/>
        </w:rPr>
      </w:pPr>
      <w:r>
        <w:rPr>
          <w:snapToGrid w:val="0"/>
        </w:rPr>
        <w:tab/>
        <w:t>(o)</w:t>
      </w:r>
      <w:r>
        <w:rPr>
          <w:snapToGrid w:val="0"/>
        </w:rPr>
        <w:tab/>
        <w:t>to specify standards and criteria, and the methods of sampling and testing to be used for any purpose; and</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 xml:space="preserve">generally, to perform such other functions as are </w:t>
      </w:r>
      <w:r>
        <w:t>conferred by this Act or</w:t>
      </w:r>
      <w:r>
        <w:rPr>
          <w:snapToGrid w:val="0"/>
        </w:rPr>
        <w:t xml:space="preserve"> prescribed.</w:t>
      </w:r>
    </w:p>
    <w:p>
      <w:pPr>
        <w:pStyle w:val="Footnotesection"/>
        <w:spacing w:before="100"/>
      </w:pPr>
      <w:r>
        <w:tab/>
        <w:t>[Section 16 amended: No. 23 of 1996 s. 13; No. 54 of 2003 s. 31, 106 and 125; No. 40 of 2020 s. 11 and 111(1).]</w:t>
      </w:r>
    </w:p>
    <w:p>
      <w:pPr>
        <w:pStyle w:val="Heading5"/>
        <w:rPr>
          <w:snapToGrid w:val="0"/>
        </w:rPr>
      </w:pPr>
      <w:bookmarkStart w:id="31" w:name="_Toc158985338"/>
      <w:r>
        <w:rPr>
          <w:rStyle w:val="CharSectno"/>
        </w:rPr>
        <w:t>17</w:t>
      </w:r>
      <w:r>
        <w:rPr>
          <w:snapToGrid w:val="0"/>
        </w:rPr>
        <w:t>.</w:t>
      </w:r>
      <w:r>
        <w:rPr>
          <w:snapToGrid w:val="0"/>
        </w:rPr>
        <w:tab/>
        <w:t>Powers of Authority</w:t>
      </w:r>
      <w:bookmarkEnd w:id="31"/>
    </w:p>
    <w:p>
      <w:pPr>
        <w:pStyle w:val="Subsection"/>
        <w:spacing w:before="140"/>
        <w:rPr>
          <w:snapToGrid w:val="0"/>
        </w:rPr>
      </w:pPr>
      <w:r>
        <w:rPr>
          <w:snapToGrid w:val="0"/>
        </w:rPr>
        <w:tab/>
        <w:t>(1)</w:t>
      </w:r>
      <w:r>
        <w:rPr>
          <w:snapToGrid w:val="0"/>
        </w:rPr>
        <w:tab/>
        <w:t>The Authority has all such powers as are reasonably necessary to enable it to perform its functions.</w:t>
      </w:r>
    </w:p>
    <w:p>
      <w:pPr>
        <w:pStyle w:val="Subsection"/>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rPr>
          <w:snapToGrid w:val="0"/>
        </w:rPr>
      </w:pPr>
      <w:r>
        <w:rPr>
          <w:snapToGrid w:val="0"/>
        </w:rPr>
        <w:tab/>
        <w:t>(3)</w:t>
      </w:r>
      <w:r>
        <w:rPr>
          <w:snapToGrid w:val="0"/>
        </w:rPr>
        <w:tab/>
        <w:t>Without limiting the generality of this section, the Authority, if it considers it appropriate or is requested to do so by the Minister, may —</w:t>
      </w:r>
    </w:p>
    <w:p>
      <w:pPr>
        <w:pStyle w:val="Indenta"/>
        <w:rPr>
          <w:snapToGrid w:val="0"/>
        </w:rPr>
      </w:pPr>
      <w:r>
        <w:rPr>
          <w:snapToGrid w:val="0"/>
        </w:rPr>
        <w:tab/>
        <w:t>(a)</w:t>
      </w:r>
      <w:r>
        <w:rPr>
          <w:snapToGrid w:val="0"/>
        </w:rPr>
        <w:tab/>
        <w:t>invite any person to act in an advisory capacity to the Authority in relation to all or any aspects of its functions; and</w:t>
      </w:r>
    </w:p>
    <w:p>
      <w:pPr>
        <w:pStyle w:val="Indenta"/>
        <w:rPr>
          <w:snapToGrid w:val="0"/>
        </w:rPr>
      </w:pPr>
      <w:r>
        <w:rPr>
          <w:snapToGrid w:val="0"/>
        </w:rPr>
        <w:tab/>
        <w:t>(b)</w:t>
      </w:r>
      <w:r>
        <w:rPr>
          <w:snapToGrid w:val="0"/>
        </w:rPr>
        <w:tab/>
        <w:t>advise the Minister on any matter relating to this Act or on any proposals, schemes or questions that may be referred to it with regard to environmental matters; and</w:t>
      </w:r>
    </w:p>
    <w:p>
      <w:pPr>
        <w:pStyle w:val="Indenta"/>
        <w:rPr>
          <w:snapToGrid w:val="0"/>
        </w:rPr>
      </w:pPr>
      <w:r>
        <w:rPr>
          <w:snapToGrid w:val="0"/>
        </w:rPr>
        <w:tab/>
        <w:t>(c)</w:t>
      </w:r>
      <w:r>
        <w:rPr>
          <w:snapToGrid w:val="0"/>
        </w:rPr>
        <w:tab/>
        <w:t xml:space="preserve">request the Minister to seek information on environmental management from any other Minister </w:t>
      </w:r>
      <w:r>
        <w:rPr>
          <w:snapToGrid w:val="0"/>
        </w:rPr>
        <w:lastRenderedPageBreak/>
        <w:t>and, on receipt of that information, to give it to the Authority; and</w:t>
      </w:r>
    </w:p>
    <w:p>
      <w:pPr>
        <w:pStyle w:val="Indenta"/>
        <w:rPr>
          <w:snapToGrid w:val="0"/>
        </w:rPr>
      </w:pPr>
      <w:r>
        <w:rPr>
          <w:snapToGrid w:val="0"/>
        </w:rPr>
        <w:tab/>
        <w:t>(d)</w:t>
      </w:r>
      <w:r>
        <w:rPr>
          <w:snapToGrid w:val="0"/>
        </w:rPr>
        <w:tab/>
        <w:t>consider and make proposals as to the policy to be followed in the State with regard to environmental matters; and</w:t>
      </w:r>
    </w:p>
    <w:p>
      <w:pPr>
        <w:pStyle w:val="Indenta"/>
        <w:rPr>
          <w:snapToGrid w:val="0"/>
        </w:rPr>
      </w:pPr>
      <w:r>
        <w:rPr>
          <w:snapToGrid w:val="0"/>
        </w:rPr>
        <w:tab/>
        <w:t>(e)</w:t>
      </w:r>
      <w:r>
        <w:rPr>
          <w:snapToGrid w:val="0"/>
        </w:rPr>
        <w:tab/>
        <w:t>conduct and promote relevant research; and</w:t>
      </w:r>
    </w:p>
    <w:p>
      <w:pPr>
        <w:pStyle w:val="Indenta"/>
        <w:rPr>
          <w:snapToGrid w:val="0"/>
        </w:rPr>
      </w:pPr>
      <w:r>
        <w:rPr>
          <w:snapToGrid w:val="0"/>
        </w:rPr>
        <w:tab/>
        <w:t>(f)</w:t>
      </w:r>
      <w:r>
        <w:rPr>
          <w:snapToGrid w:val="0"/>
        </w:rPr>
        <w:tab/>
        <w:t>undertake investigations and inspections; and</w:t>
      </w:r>
    </w:p>
    <w:p>
      <w:pPr>
        <w:pStyle w:val="Indenta"/>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Ednotesubsection"/>
        <w:keepNext/>
      </w:pPr>
      <w:r>
        <w:tab/>
        <w:t>[(4)</w:t>
      </w:r>
      <w:r>
        <w:tab/>
        <w:t>deleted]</w:t>
      </w:r>
    </w:p>
    <w:p>
      <w:pPr>
        <w:pStyle w:val="Footnotesection"/>
      </w:pPr>
      <w:r>
        <w:tab/>
        <w:t>[Section 17 amended: No. 23 of 1996 s. 14; No. 54 of 2003 s. 107; No. 40 of 2020 s. 12.]</w:t>
      </w:r>
    </w:p>
    <w:p>
      <w:pPr>
        <w:pStyle w:val="Heading5"/>
        <w:rPr>
          <w:snapToGrid w:val="0"/>
        </w:rPr>
      </w:pPr>
      <w:bookmarkStart w:id="32" w:name="_Toc158985339"/>
      <w:r>
        <w:rPr>
          <w:rStyle w:val="CharSectno"/>
        </w:rPr>
        <w:t>17A</w:t>
      </w:r>
      <w:r>
        <w:rPr>
          <w:snapToGrid w:val="0"/>
        </w:rPr>
        <w:t>.</w:t>
      </w:r>
      <w:r>
        <w:rPr>
          <w:snapToGrid w:val="0"/>
        </w:rPr>
        <w:tab/>
        <w:t>Provision of services, information etc. to Authority</w:t>
      </w:r>
      <w:bookmarkEnd w:id="32"/>
    </w:p>
    <w:p>
      <w:pPr>
        <w:pStyle w:val="Subsection"/>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rPr>
          <w:snapToGrid w:val="0"/>
        </w:rPr>
      </w:pPr>
      <w:r>
        <w:rPr>
          <w:snapToGrid w:val="0"/>
        </w:rPr>
        <w:tab/>
        <w:t>(2)</w:t>
      </w:r>
      <w:r>
        <w:rPr>
          <w:snapToGrid w:val="0"/>
          <w:spacing w:val="-2"/>
        </w:rPr>
        <w:tab/>
        <w:t xml:space="preserve">Without limiting </w:t>
      </w:r>
      <w:r>
        <w:rPr>
          <w:snapToGrid w:val="0"/>
        </w:rPr>
        <w:t>subsection (</w:t>
      </w:r>
      <w:r>
        <w:rPr>
          <w:snapToGrid w:val="0"/>
          <w:spacing w:val="-2"/>
        </w:rPr>
        <w:t>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pPr>
        <w:pStyle w:val="Indenta"/>
        <w:rPr>
          <w:snapToGrid w:val="0"/>
        </w:rPr>
      </w:pPr>
      <w:r>
        <w:rPr>
          <w:snapToGrid w:val="0"/>
        </w:rPr>
        <w:tab/>
        <w:t>(a)</w:t>
      </w:r>
      <w:r>
        <w:rPr>
          <w:snapToGrid w:val="0"/>
        </w:rPr>
        <w:tab/>
        <w:t>the services of any officer or employee employed in the Department; or</w:t>
      </w:r>
    </w:p>
    <w:p>
      <w:pPr>
        <w:pStyle w:val="Indenta"/>
        <w:rPr>
          <w:snapToGrid w:val="0"/>
        </w:rPr>
      </w:pPr>
      <w:r>
        <w:rPr>
          <w:snapToGrid w:val="0"/>
        </w:rPr>
        <w:tab/>
        <w:t>(b)</w:t>
      </w:r>
      <w:r>
        <w:rPr>
          <w:snapToGrid w:val="0"/>
        </w:rPr>
        <w:tab/>
        <w:t>any services or facilities of the Department.</w:t>
      </w:r>
    </w:p>
    <w:p>
      <w:pPr>
        <w:pStyle w:val="Subsection"/>
        <w:keepNext/>
        <w:rPr>
          <w:snapToGrid w:val="0"/>
        </w:rPr>
      </w:pPr>
      <w:r>
        <w:rPr>
          <w:snapToGrid w:val="0"/>
        </w:rPr>
        <w:lastRenderedPageBreak/>
        <w:tab/>
        <w:t>(3)</w:t>
      </w:r>
      <w:r>
        <w:rPr>
          <w:snapToGrid w:val="0"/>
        </w:rPr>
        <w:tab/>
        <w:t>This section does not limit the operation of section 24.</w:t>
      </w:r>
    </w:p>
    <w:p>
      <w:pPr>
        <w:pStyle w:val="Footnotesection"/>
      </w:pPr>
      <w:r>
        <w:tab/>
        <w:t>[Section 17A inserted: No. 34 of 1993 s. 10.]</w:t>
      </w:r>
    </w:p>
    <w:p>
      <w:pPr>
        <w:pStyle w:val="Heading5"/>
        <w:spacing w:before="240"/>
        <w:rPr>
          <w:snapToGrid w:val="0"/>
        </w:rPr>
      </w:pPr>
      <w:bookmarkStart w:id="33" w:name="_Toc158985340"/>
      <w:r>
        <w:rPr>
          <w:rStyle w:val="CharSectno"/>
        </w:rPr>
        <w:t>18</w:t>
      </w:r>
      <w:r>
        <w:rPr>
          <w:snapToGrid w:val="0"/>
        </w:rPr>
        <w:t>.</w:t>
      </w:r>
      <w:r>
        <w:rPr>
          <w:snapToGrid w:val="0"/>
        </w:rPr>
        <w:tab/>
        <w:t>Delegation by Minister</w:t>
      </w:r>
      <w:bookmarkEnd w:id="33"/>
    </w:p>
    <w:p>
      <w:pPr>
        <w:pStyle w:val="Subsection"/>
        <w:keepNext/>
        <w:keepLines/>
        <w:rPr>
          <w:snapToGrid w:val="0"/>
        </w:rPr>
      </w:pPr>
      <w:r>
        <w:rPr>
          <w:snapToGrid w:val="0"/>
        </w:rPr>
        <w:tab/>
        <w:t>(1)</w:t>
      </w:r>
      <w:r>
        <w:rPr>
          <w:snapToGrid w:val="0"/>
        </w:rPr>
        <w:tab/>
        <w:t>The Minister may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xml:space="preserve">) all or any of </w:t>
      </w:r>
      <w:r>
        <w:t>the Minister’s</w:t>
      </w:r>
      <w:r>
        <w:rPr>
          <w:snapToGrid w:val="0"/>
        </w:rPr>
        <w:t xml:space="preserve"> powers and duties under this Act, other than this power of delegation.</w:t>
      </w:r>
    </w:p>
    <w:p>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Footnotesection"/>
        <w:rPr>
          <w:i w:val="0"/>
        </w:rPr>
      </w:pPr>
      <w:r>
        <w:tab/>
        <w:t>[Section 18 amended: No. 40 of 2020 s. 111(1).]</w:t>
      </w:r>
    </w:p>
    <w:p>
      <w:pPr>
        <w:pStyle w:val="Heading5"/>
        <w:rPr>
          <w:snapToGrid w:val="0"/>
        </w:rPr>
      </w:pPr>
      <w:bookmarkStart w:id="34" w:name="_Toc158985341"/>
      <w:r>
        <w:rPr>
          <w:rStyle w:val="CharSectno"/>
        </w:rPr>
        <w:t>19</w:t>
      </w:r>
      <w:r>
        <w:rPr>
          <w:snapToGrid w:val="0"/>
        </w:rPr>
        <w:t>.</w:t>
      </w:r>
      <w:r>
        <w:rPr>
          <w:snapToGrid w:val="0"/>
        </w:rPr>
        <w:tab/>
        <w:t>Delegation by Authority</w:t>
      </w:r>
      <w:bookmarkEnd w:id="34"/>
    </w:p>
    <w:p>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keepNext/>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its powers and duties under this Act, other than this power of delegation.</w:t>
      </w:r>
    </w:p>
    <w:p>
      <w:pPr>
        <w:pStyle w:val="Subsection"/>
        <w:rPr>
          <w:snapToGrid w:val="0"/>
        </w:rPr>
      </w:pPr>
      <w:r>
        <w:rPr>
          <w:snapToGrid w:val="0"/>
        </w:rPr>
        <w:lastRenderedPageBreak/>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rPr>
          <w:snapToGrid w:val="0"/>
        </w:rPr>
      </w:pPr>
      <w:bookmarkStart w:id="35" w:name="_Toc158985342"/>
      <w:r>
        <w:rPr>
          <w:rStyle w:val="CharSectno"/>
        </w:rPr>
        <w:t>20</w:t>
      </w:r>
      <w:r>
        <w:rPr>
          <w:snapToGrid w:val="0"/>
        </w:rPr>
        <w:t>.</w:t>
      </w:r>
      <w:r>
        <w:rPr>
          <w:snapToGrid w:val="0"/>
        </w:rPr>
        <w:tab/>
        <w:t>Delegation by CEO</w:t>
      </w:r>
      <w:bookmarkEnd w:id="35"/>
    </w:p>
    <w:p>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pPr>
        <w:pStyle w:val="Indenta"/>
        <w:spacing w:before="60"/>
      </w:pPr>
      <w:r>
        <w:tab/>
        <w:t>(a)</w:t>
      </w:r>
      <w:r>
        <w:tab/>
        <w:t>an officer or other person referred to in section 22; or</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the </w:t>
      </w:r>
      <w:r>
        <w:rPr>
          <w:rStyle w:val="CharDefText"/>
        </w:rPr>
        <w:t>delegate</w:t>
      </w:r>
      <w:r>
        <w:t>) all or any of the powers and duties of the CEO under this Act, other than this power of delegation.</w:t>
      </w:r>
    </w:p>
    <w:p>
      <w:pPr>
        <w:pStyle w:val="Ednotesubsection"/>
        <w:keepNext/>
      </w:pPr>
      <w:r>
        <w:tab/>
        <w:t>[(2)</w:t>
      </w:r>
      <w:r>
        <w:tab/>
        <w:t>deleted]</w:t>
      </w:r>
    </w:p>
    <w:p>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[Section 20 amended: No. 34 of 1993 s. 11; No. 14 of 1998 s. 29; No. 54 of 2003 s. 140(2).]</w:t>
      </w:r>
    </w:p>
    <w:p>
      <w:pPr>
        <w:pStyle w:val="Heading5"/>
        <w:rPr>
          <w:snapToGrid w:val="0"/>
        </w:rPr>
      </w:pPr>
      <w:bookmarkStart w:id="36" w:name="_Toc158985343"/>
      <w:r>
        <w:rPr>
          <w:rStyle w:val="CharSectno"/>
        </w:rPr>
        <w:t>21</w:t>
      </w:r>
      <w:r>
        <w:rPr>
          <w:snapToGrid w:val="0"/>
        </w:rPr>
        <w:t>.</w:t>
      </w:r>
      <w:r>
        <w:rPr>
          <w:snapToGrid w:val="0"/>
        </w:rPr>
        <w:tab/>
        <w:t>Authority to make annual report</w:t>
      </w:r>
      <w:bookmarkEnd w:id="36"/>
    </w:p>
    <w:p>
      <w:pPr>
        <w:pStyle w:val="Subsection"/>
        <w:rPr>
          <w:snapToGrid w:val="0"/>
        </w:rPr>
      </w:pPr>
      <w:r>
        <w:rPr>
          <w:snapToGrid w:val="0"/>
        </w:rPr>
        <w:tab/>
      </w:r>
      <w:r>
        <w:rPr>
          <w:snapToGrid w:val="0"/>
        </w:rPr>
        <w:tab/>
        <w:t xml:space="preserve">The Authority shall as soon as practicable after the end of each financial year and in any event before the end of October next </w:t>
      </w:r>
      <w:r>
        <w:rPr>
          <w:snapToGrid w:val="0"/>
        </w:rPr>
        <w:lastRenderedPageBreak/>
        <w:t>following that financial year make an annual report to the Minister on —</w:t>
      </w:r>
    </w:p>
    <w:p>
      <w:pPr>
        <w:pStyle w:val="Indenta"/>
        <w:spacing w:before="60"/>
        <w:rPr>
          <w:snapToGrid w:val="0"/>
        </w:rPr>
      </w:pPr>
      <w:r>
        <w:rPr>
          <w:snapToGrid w:val="0"/>
        </w:rPr>
        <w:tab/>
        <w:t>(a)</w:t>
      </w:r>
      <w:r>
        <w:rPr>
          <w:snapToGrid w:val="0"/>
        </w:rPr>
        <w:tab/>
        <w:t>the activities of the Authority during that financial year; and</w:t>
      </w:r>
    </w:p>
    <w:p>
      <w:pPr>
        <w:pStyle w:val="Indenta"/>
        <w:keepNext/>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pPr>
      <w:bookmarkStart w:id="37" w:name="_Toc158980675"/>
      <w:bookmarkStart w:id="38" w:name="_Toc158981074"/>
      <w:bookmarkStart w:id="39" w:name="_Toc158985344"/>
      <w:r>
        <w:rPr>
          <w:rStyle w:val="CharDivNo"/>
        </w:rPr>
        <w:t>Division 2</w:t>
      </w:r>
      <w:r>
        <w:rPr>
          <w:snapToGrid w:val="0"/>
        </w:rPr>
        <w:t> — </w:t>
      </w:r>
      <w:r>
        <w:rPr>
          <w:rStyle w:val="CharDivText"/>
        </w:rPr>
        <w:t>Staff of Department, etc.</w:t>
      </w:r>
      <w:bookmarkEnd w:id="37"/>
      <w:bookmarkEnd w:id="38"/>
      <w:bookmarkEnd w:id="39"/>
    </w:p>
    <w:p>
      <w:pPr>
        <w:pStyle w:val="Heading5"/>
        <w:spacing w:before="160"/>
        <w:rPr>
          <w:snapToGrid w:val="0"/>
        </w:rPr>
      </w:pPr>
      <w:bookmarkStart w:id="40" w:name="_Toc158985345"/>
      <w:r>
        <w:rPr>
          <w:rStyle w:val="CharSectno"/>
        </w:rPr>
        <w:t>22</w:t>
      </w:r>
      <w:r>
        <w:rPr>
          <w:snapToGrid w:val="0"/>
        </w:rPr>
        <w:t>.</w:t>
      </w:r>
      <w:r>
        <w:rPr>
          <w:snapToGrid w:val="0"/>
        </w:rPr>
        <w:tab/>
        <w:t>Appointment and engagement of staff generally</w:t>
      </w:r>
      <w:bookmarkEnd w:id="40"/>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w:t>
      </w:r>
      <w:r>
        <w:t xml:space="preserve"> Public Sector Commissioner</w:t>
      </w:r>
      <w:r>
        <w:rPr>
          <w:snapToGrid w:val="0"/>
        </w:rPr>
        <w:t>.</w:t>
      </w:r>
    </w:p>
    <w:p>
      <w:pPr>
        <w:pStyle w:val="Footnotesection"/>
      </w:pPr>
      <w:r>
        <w:tab/>
        <w:t>[Section 22 amended: No. 34 of 1993 s. 12; No. 32 of 1994 s. 19; No. 14 of 1998 s. 37; No. 54 of 2003 s. 140(2); No. 39 of 2010 s. 89.]</w:t>
      </w:r>
    </w:p>
    <w:p>
      <w:pPr>
        <w:pStyle w:val="Ednotesection"/>
        <w:spacing w:before="180"/>
      </w:pPr>
      <w:r>
        <w:t>[</w:t>
      </w:r>
      <w:r>
        <w:rPr>
          <w:b/>
        </w:rPr>
        <w:t>23.</w:t>
      </w:r>
      <w:r>
        <w:tab/>
        <w:t>Deleted: No. 54 of 2003 s. 126.]</w:t>
      </w:r>
    </w:p>
    <w:p>
      <w:pPr>
        <w:pStyle w:val="Heading5"/>
        <w:spacing w:before="180"/>
        <w:rPr>
          <w:snapToGrid w:val="0"/>
        </w:rPr>
      </w:pPr>
      <w:bookmarkStart w:id="41" w:name="_Toc158985346"/>
      <w:r>
        <w:rPr>
          <w:rStyle w:val="CharSectno"/>
        </w:rPr>
        <w:t>24</w:t>
      </w:r>
      <w:r>
        <w:rPr>
          <w:snapToGrid w:val="0"/>
        </w:rPr>
        <w:t>.</w:t>
      </w:r>
      <w:r>
        <w:rPr>
          <w:snapToGrid w:val="0"/>
        </w:rPr>
        <w:tab/>
        <w:t>Use of staff and facilities of other departments etc.</w:t>
      </w:r>
      <w:bookmarkEnd w:id="41"/>
    </w:p>
    <w:p>
      <w:pPr>
        <w:pStyle w:val="Subsection"/>
        <w:keepNext/>
        <w:rPr>
          <w:snapToGrid w:val="0"/>
        </w:rPr>
      </w:pPr>
      <w:r>
        <w:rPr>
          <w:snapToGrid w:val="0"/>
        </w:rPr>
        <w:tab/>
      </w:r>
      <w:r>
        <w:rPr>
          <w:snapToGrid w:val="0"/>
        </w:rPr>
        <w:tab/>
        <w:t xml:space="preserve">The Minister or the Authority may, by arrangement made between the Minister or the Authority and the Minister concerned, and on such terms and conditions as may be mutually arranged with that Minister and, if appropriate, with the relevant employing authority within the meaning of the </w:t>
      </w:r>
      <w:r>
        <w:rPr>
          <w:i/>
          <w:snapToGrid w:val="0"/>
        </w:rPr>
        <w:lastRenderedPageBreak/>
        <w:t>Public Sector Management Act 1994</w:t>
      </w:r>
      <w:r>
        <w:rPr>
          <w:snapToGrid w:val="0"/>
        </w:rPr>
        <w: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[Section 24 amended: No. 32 of 1994 s. 19; No. 40 of 2020 s. 111(1).]</w:t>
      </w:r>
    </w:p>
    <w:p>
      <w:pPr>
        <w:pStyle w:val="Heading5"/>
        <w:rPr>
          <w:snapToGrid w:val="0"/>
        </w:rPr>
      </w:pPr>
      <w:bookmarkStart w:id="42" w:name="_Toc158985347"/>
      <w:r>
        <w:rPr>
          <w:rStyle w:val="CharSectno"/>
        </w:rPr>
        <w:t>25</w:t>
      </w:r>
      <w:r>
        <w:rPr>
          <w:snapToGrid w:val="0"/>
        </w:rPr>
        <w:t>.</w:t>
      </w:r>
      <w:r>
        <w:rPr>
          <w:snapToGrid w:val="0"/>
        </w:rPr>
        <w:tab/>
        <w:t>Advisory groups, committees, councils and panels</w:t>
      </w:r>
      <w:bookmarkEnd w:id="42"/>
    </w:p>
    <w:p>
      <w:pPr>
        <w:pStyle w:val="Subsection"/>
        <w:rPr>
          <w:snapToGrid w:val="0"/>
        </w:rPr>
      </w:pPr>
      <w:r>
        <w:rPr>
          <w:snapToGrid w:val="0"/>
        </w:rPr>
        <w:tab/>
        <w:t>(1)</w:t>
      </w:r>
      <w:r>
        <w:rPr>
          <w:snapToGrid w:val="0"/>
        </w:rPr>
        <w:tab/>
        <w:t>The Minister or the Authority may establish such groups, committees, councils and panels —</w:t>
      </w:r>
    </w:p>
    <w:p>
      <w:pPr>
        <w:pStyle w:val="Indenta"/>
        <w:rPr>
          <w:snapToGrid w:val="0"/>
        </w:rPr>
      </w:pPr>
      <w:r>
        <w:rPr>
          <w:snapToGrid w:val="0"/>
        </w:rPr>
        <w:tab/>
        <w:t>(a)</w:t>
      </w:r>
      <w:r>
        <w:rPr>
          <w:snapToGrid w:val="0"/>
        </w:rPr>
        <w:tab/>
        <w:t>as the Minister or the Authority thinks are necessary for the purpose of advising on the administration of this Act; and</w:t>
      </w:r>
    </w:p>
    <w:p>
      <w:pPr>
        <w:pStyle w:val="Indenta"/>
        <w:rPr>
          <w:snapToGrid w:val="0"/>
        </w:rPr>
      </w:pPr>
      <w:r>
        <w:rPr>
          <w:snapToGrid w:val="0"/>
        </w:rPr>
        <w:tab/>
        <w:t>(b)</w:t>
      </w:r>
      <w:r>
        <w:rPr>
          <w:snapToGrid w:val="0"/>
        </w:rPr>
        <w:tab/>
        <w:t>with such terms of reference in each case as the Minister or the Authority thinks fit.</w:t>
      </w:r>
    </w:p>
    <w:p>
      <w:pPr>
        <w:pStyle w:val="Subsection"/>
        <w:rPr>
          <w:snapToGrid w:val="0"/>
        </w:rPr>
      </w:pPr>
      <w:r>
        <w:rPr>
          <w:snapToGrid w:val="0"/>
        </w:rPr>
        <w:tab/>
        <w:t>(2)</w:t>
      </w:r>
      <w:r>
        <w:rPr>
          <w:snapToGrid w:val="0"/>
        </w:rPr>
        <w:tab/>
        <w:t>The Minister or the Authority may appoint such persons as the Minister or the Authority thinks fit to any group, committee, council or panel established under subsection (1).</w:t>
      </w:r>
    </w:p>
    <w:p>
      <w:pPr>
        <w:pStyle w:val="Subsection"/>
        <w:rPr>
          <w:snapToGrid w:val="0"/>
        </w:rPr>
      </w:pPr>
      <w:r>
        <w:rPr>
          <w:snapToGrid w:val="0"/>
        </w:rPr>
        <w:tab/>
        <w:t>(3)</w:t>
      </w:r>
      <w:r>
        <w:rPr>
          <w:snapToGrid w:val="0"/>
        </w:rPr>
        <w:tab/>
        <w:t xml:space="preserve">A member of a group, committee, council or panel appointed under subsection (2) is entitled to such remuneration and allowances as are on the recommendation of the </w:t>
      </w:r>
      <w:r>
        <w:t>Public Sector Commissioner</w:t>
      </w:r>
      <w:r>
        <w:rPr>
          <w:snapToGrid w:val="0"/>
        </w:rPr>
        <w:t xml:space="preserve"> determined by the Minister or the Authority, as the case requires, in </w:t>
      </w:r>
      <w:r>
        <w:t>the member’s</w:t>
      </w:r>
      <w:r>
        <w:rPr>
          <w:snapToGrid w:val="0"/>
        </w:rPr>
        <w:t xml:space="preserve">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lastRenderedPageBreak/>
        <w:tab/>
        <w:t>(5)</w:t>
      </w:r>
      <w:r>
        <w:rPr>
          <w:snapToGrid w:val="0"/>
        </w:rPr>
        <w:tab/>
        <w:t>A person appointed under subsection (2) is not by that reason alone an officer of the Public Service of the State.</w:t>
      </w:r>
    </w:p>
    <w:p>
      <w:pPr>
        <w:pStyle w:val="Footnotesection"/>
      </w:pPr>
      <w:r>
        <w:tab/>
        <w:t>[Section 25 amended: No. 14 of 1998 s. 37; No. 39 of 2010 s. 89; No. 40 of 2020 s. 111(1).]</w:t>
      </w:r>
    </w:p>
    <w:p>
      <w:pPr>
        <w:pStyle w:val="Heading2"/>
      </w:pPr>
      <w:bookmarkStart w:id="43" w:name="_Toc158980679"/>
      <w:bookmarkStart w:id="44" w:name="_Toc158981078"/>
      <w:bookmarkStart w:id="45" w:name="_Toc158985348"/>
      <w:r>
        <w:rPr>
          <w:rStyle w:val="CharPartNo"/>
        </w:rPr>
        <w:lastRenderedPageBreak/>
        <w:t>Part III</w:t>
      </w:r>
      <w:r>
        <w:rPr>
          <w:rStyle w:val="CharDivNo"/>
        </w:rPr>
        <w:t> </w:t>
      </w:r>
      <w:r>
        <w:t>—</w:t>
      </w:r>
      <w:r>
        <w:rPr>
          <w:rStyle w:val="CharDivText"/>
        </w:rPr>
        <w:t> </w:t>
      </w:r>
      <w:r>
        <w:rPr>
          <w:rStyle w:val="CharPartText"/>
        </w:rPr>
        <w:t>Environmental protection policies</w:t>
      </w:r>
      <w:bookmarkEnd w:id="43"/>
      <w:bookmarkEnd w:id="44"/>
      <w:bookmarkEnd w:id="45"/>
    </w:p>
    <w:p>
      <w:pPr>
        <w:pStyle w:val="Heading5"/>
        <w:rPr>
          <w:snapToGrid w:val="0"/>
        </w:rPr>
      </w:pPr>
      <w:bookmarkStart w:id="46" w:name="_Toc158985349"/>
      <w:r>
        <w:rPr>
          <w:rStyle w:val="CharSectno"/>
        </w:rPr>
        <w:t>26</w:t>
      </w:r>
      <w:r>
        <w:rPr>
          <w:snapToGrid w:val="0"/>
        </w:rPr>
        <w:t>.</w:t>
      </w:r>
      <w:r>
        <w:rPr>
          <w:snapToGrid w:val="0"/>
        </w:rPr>
        <w:tab/>
        <w:t>Draft policy, preparation and publicising of</w:t>
      </w:r>
      <w:bookmarkEnd w:id="46"/>
    </w:p>
    <w:p>
      <w:pPr>
        <w:pStyle w:val="Subsection"/>
        <w:rPr>
          <w:snapToGrid w:val="0"/>
        </w:rPr>
      </w:pPr>
      <w:r>
        <w:rPr>
          <w:snapToGrid w:val="0"/>
        </w:rPr>
        <w:tab/>
        <w:t>(1)</w:t>
      </w:r>
      <w:r>
        <w:rPr>
          <w:snapToGrid w:val="0"/>
        </w:rPr>
        <w:tab/>
        <w:t>The Authority shall, if it considers it necessary or desirable for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 and</w:t>
      </w:r>
    </w:p>
    <w:p>
      <w:pPr>
        <w:pStyle w:val="Indenta"/>
        <w:rPr>
          <w:snapToGrid w:val="0"/>
        </w:rPr>
      </w:pPr>
      <w:r>
        <w:rPr>
          <w:snapToGrid w:val="0"/>
        </w:rPr>
        <w:tab/>
        <w:t>(d)</w:t>
      </w:r>
      <w:r>
        <w:rPr>
          <w:snapToGrid w:val="0"/>
        </w:rPr>
        <w:tab/>
        <w:t>cause a notice containing prescribed particulars of the draft referred to in paragraph (c), including the places at which, and the period during which, that draft will be available for public inspection, to be published —</w:t>
      </w:r>
    </w:p>
    <w:p>
      <w:pPr>
        <w:pStyle w:val="Indenti"/>
        <w:rPr>
          <w:snapToGrid w:val="0"/>
        </w:rPr>
      </w:pPr>
      <w:r>
        <w:rPr>
          <w:snapToGrid w:val="0"/>
        </w:rPr>
        <w:tab/>
        <w:t>(i)</w:t>
      </w:r>
      <w:r>
        <w:rPr>
          <w:snapToGrid w:val="0"/>
        </w:rPr>
        <w:tab/>
        <w:t xml:space="preserve">in the </w:t>
      </w:r>
      <w:r>
        <w:rPr>
          <w:i/>
          <w:snapToGrid w:val="0"/>
        </w:rPr>
        <w:t>Gazette</w:t>
      </w:r>
      <w:r>
        <w:rPr>
          <w:snapToGrid w:val="0"/>
        </w:rPr>
        <w:t>; and</w:t>
      </w:r>
    </w:p>
    <w:p>
      <w:pPr>
        <w:pStyle w:val="Indenti"/>
        <w:rPr>
          <w:snapToGrid w:val="0"/>
        </w:rPr>
      </w:pPr>
      <w:r>
        <w:rPr>
          <w:snapToGrid w:val="0"/>
        </w:rPr>
        <w:tab/>
        <w:t>(ii)</w:t>
      </w:r>
      <w:r>
        <w:rPr>
          <w:snapToGrid w:val="0"/>
        </w:rPr>
        <w:tab/>
        <w:t>if the regulations so require, in any other manner specified in the regulations;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 xml:space="preserve">in the case of a draft of an environmental protection policy </w:t>
      </w:r>
      <w:r>
        <w:t xml:space="preserve">concerned with the protection of a portion of the environment confined to, or with the prevention, control or abatement of pollution or environmental harm in, a particular local government district or districts, </w:t>
      </w:r>
      <w:r>
        <w:rPr>
          <w:snapToGrid w:val="0"/>
        </w:rPr>
        <w:t>consult the Western Australian Planning Commission and the local government or local governments of the relevant district or districts in respect of that draft.</w:t>
      </w:r>
    </w:p>
    <w:p>
      <w:pPr>
        <w:pStyle w:val="Subsection"/>
      </w:pPr>
      <w:r>
        <w:lastRenderedPageBreak/>
        <w:tab/>
        <w:t>(2)</w:t>
      </w:r>
      <w:r>
        <w:tab/>
        <w:t>If the draft policy does not identify an area of the State to which it applies, consultation shall be carried out under subsection (1) as if the draft policy applied to the whole of the State.</w:t>
      </w:r>
    </w:p>
    <w:p>
      <w:pPr>
        <w:pStyle w:val="Footnotesection"/>
        <w:spacing w:before="100"/>
      </w:pPr>
      <w:r>
        <w:tab/>
        <w:t>[Section 26 amended: No. 14 of 1996 s. 4; No. 23 of 1996 s. 15; No. 54 of 2003 s. 32 and 91; No. 40 of 2020 s. 13.]</w:t>
      </w:r>
    </w:p>
    <w:p>
      <w:pPr>
        <w:pStyle w:val="Heading5"/>
        <w:rPr>
          <w:snapToGrid w:val="0"/>
        </w:rPr>
      </w:pPr>
      <w:bookmarkStart w:id="47" w:name="_Toc158985350"/>
      <w:r>
        <w:rPr>
          <w:rStyle w:val="CharSectno"/>
        </w:rPr>
        <w:t>27</w:t>
      </w:r>
      <w:r>
        <w:rPr>
          <w:snapToGrid w:val="0"/>
        </w:rPr>
        <w:t>.</w:t>
      </w:r>
      <w:r>
        <w:rPr>
          <w:snapToGrid w:val="0"/>
        </w:rPr>
        <w:tab/>
        <w:t>Persons may make representations to Authority on draft policy</w:t>
      </w:r>
      <w:bookmarkEnd w:id="47"/>
    </w:p>
    <w:p>
      <w:pPr>
        <w:pStyle w:val="Subsection"/>
        <w:rPr>
          <w:snapToGrid w:val="0"/>
        </w:rPr>
      </w:pPr>
      <w:r>
        <w:rPr>
          <w:snapToGrid w:val="0"/>
        </w:rPr>
        <w:tab/>
      </w:r>
      <w:r>
        <w:rPr>
          <w:snapToGrid w:val="0"/>
        </w:rPr>
        <w:tab/>
        <w:t>Any person may, in the manner and within the period specified in the relevant notice published under section 26(1)(d) or 32(1)(a), make representations to the Authority on the draft policy to which that notice relates.</w:t>
      </w:r>
    </w:p>
    <w:p>
      <w:pPr>
        <w:pStyle w:val="Heading5"/>
        <w:rPr>
          <w:snapToGrid w:val="0"/>
        </w:rPr>
      </w:pPr>
      <w:bookmarkStart w:id="48" w:name="_Toc158985351"/>
      <w:r>
        <w:rPr>
          <w:rStyle w:val="CharSectno"/>
        </w:rPr>
        <w:t>28</w:t>
      </w:r>
      <w:r>
        <w:rPr>
          <w:snapToGrid w:val="0"/>
        </w:rPr>
        <w:t>.</w:t>
      </w:r>
      <w:r>
        <w:rPr>
          <w:snapToGrid w:val="0"/>
        </w:rPr>
        <w:tab/>
        <w:t>Consideration, revision and submission to Minister of draft policy by Authority</w:t>
      </w:r>
      <w:bookmarkEnd w:id="48"/>
      <w:r>
        <w:rPr>
          <w:snapToGrid w:val="0"/>
        </w:rPr>
        <w:t xml:space="preserve"> </w:t>
      </w:r>
    </w:p>
    <w:p>
      <w:pPr>
        <w:pStyle w:val="Subsection"/>
        <w:rPr>
          <w:snapToGrid w:val="0"/>
        </w:rPr>
      </w:pPr>
      <w:r>
        <w:rPr>
          <w:snapToGrid w:val="0"/>
        </w:rPr>
        <w:tab/>
        <w:t>(1)</w:t>
      </w:r>
      <w:r>
        <w:rPr>
          <w:snapToGrid w:val="0"/>
        </w:rPr>
        <w:tab/>
        <w:t>After the expiry of the period specified in the relevant notice published under section 26(1)(d) or 32(1)(a), the Authority —</w:t>
      </w:r>
    </w:p>
    <w:p>
      <w:pPr>
        <w:pStyle w:val="Indenta"/>
        <w:spacing w:before="60"/>
        <w:rPr>
          <w:snapToGrid w:val="0"/>
        </w:rPr>
      </w:pPr>
      <w:r>
        <w:rPr>
          <w:snapToGrid w:val="0"/>
        </w:rPr>
        <w:tab/>
        <w:t>(a)</w:t>
      </w:r>
      <w:r>
        <w:rPr>
          <w:snapToGrid w:val="0"/>
        </w:rPr>
        <w:tab/>
        <w:t>shall consider any representations made to it under section 27 and any views expressed by the public authorities and persons consulted under section 26(1)(e) or 32(1)(a), and by any local government or local governments consulted under section 26(1)(f) or 32(1)(a), in respect of the draft policy to which that notice relates; and</w:t>
      </w:r>
    </w:p>
    <w:p>
      <w:pPr>
        <w:pStyle w:val="Indenta"/>
        <w:spacing w:before="60"/>
        <w:rPr>
          <w:snapToGrid w:val="0"/>
        </w:rPr>
      </w:pPr>
      <w:r>
        <w:rPr>
          <w:snapToGrid w:val="0"/>
        </w:rPr>
        <w:tab/>
        <w:t>(b)</w:t>
      </w:r>
      <w:r>
        <w:rPr>
          <w:snapToGrid w:val="0"/>
        </w:rPr>
        <w:tab/>
        <w:t>may revise the draft policy to which that notice relates; and</w:t>
      </w:r>
    </w:p>
    <w:p>
      <w:pPr>
        <w:pStyle w:val="Indenta"/>
        <w:keepNext/>
        <w:spacing w:before="60"/>
        <w:rPr>
          <w:snapToGrid w:val="0"/>
        </w:rPr>
      </w:pPr>
      <w:r>
        <w:rPr>
          <w:snapToGrid w:val="0"/>
        </w:rPr>
        <w:tab/>
        <w:t>(c)</w:t>
      </w:r>
      <w:r>
        <w:rPr>
          <w:snapToGrid w:val="0"/>
        </w:rPr>
        <w:tab/>
        <w:t>shall, after revising the draft policy to which that notice relates to such extent, if any, as it considers necessary —</w:t>
      </w:r>
    </w:p>
    <w:p>
      <w:pPr>
        <w:pStyle w:val="Indenti"/>
        <w:keepNext/>
        <w:spacing w:before="6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xml:space="preserve">) is published under section 26(1)(d), a notice in respect of that draft policy containing particulars </w:t>
      </w:r>
      <w:r>
        <w:rPr>
          <w:snapToGrid w:val="0"/>
        </w:rPr>
        <w:lastRenderedPageBreak/>
        <w:t>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[Section 28 amended: No. 14 of 1996 s. 4; No. 54 of 2003 s. 92.]</w:t>
      </w:r>
    </w:p>
    <w:p>
      <w:pPr>
        <w:pStyle w:val="Heading5"/>
        <w:rPr>
          <w:snapToGrid w:val="0"/>
        </w:rPr>
      </w:pPr>
      <w:bookmarkStart w:id="49" w:name="_Toc158985352"/>
      <w:r>
        <w:rPr>
          <w:rStyle w:val="CharSectno"/>
        </w:rPr>
        <w:t>29</w:t>
      </w:r>
      <w:r>
        <w:rPr>
          <w:snapToGrid w:val="0"/>
        </w:rPr>
        <w:t>.</w:t>
      </w:r>
      <w:r>
        <w:rPr>
          <w:snapToGrid w:val="0"/>
        </w:rPr>
        <w:tab/>
        <w:t>Public inquiry into draft policy</w:t>
      </w:r>
      <w:bookmarkEnd w:id="49"/>
    </w:p>
    <w:p>
      <w:pPr>
        <w:pStyle w:val="Subsection"/>
        <w:keepNext/>
        <w:rPr>
          <w:snapToGrid w:val="0"/>
        </w:rPr>
      </w:pPr>
      <w:r>
        <w:rPr>
          <w:snapToGrid w:val="0"/>
        </w:rPr>
        <w:tab/>
        <w:t>(1)</w:t>
      </w:r>
      <w:r>
        <w:rPr>
          <w:snapToGrid w:val="0"/>
        </w:rPr>
        <w:tab/>
        <w:t>After receiving and considering a copy of a draft policy, together with a report thereon, submitted under section 28 or 32(1)(b), the Minister —</w:t>
      </w:r>
    </w:p>
    <w:p>
      <w:pPr>
        <w:pStyle w:val="Indenta"/>
        <w:rPr>
          <w:snapToGrid w:val="0"/>
        </w:rPr>
      </w:pPr>
      <w:r>
        <w:rPr>
          <w:snapToGrid w:val="0"/>
        </w:rPr>
        <w:tab/>
        <w:t>(a)</w:t>
      </w:r>
      <w:r>
        <w:rPr>
          <w:snapToGrid w:val="0"/>
        </w:rPr>
        <w:tab/>
        <w:t>shall, if the Minister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keepNext/>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pPr>
        <w:pStyle w:val="Indenta"/>
        <w:rPr>
          <w:snapToGrid w:val="0"/>
        </w:rPr>
      </w:pPr>
      <w:r>
        <w:rPr>
          <w:snapToGrid w:val="0"/>
        </w:rPr>
        <w:tab/>
        <w:t>(c)</w:t>
      </w:r>
      <w:r>
        <w:rPr>
          <w:snapToGrid w:val="0"/>
        </w:rPr>
        <w:tab/>
        <w:t>Authority members; or</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rPr>
          <w:snapToGrid w:val="0"/>
        </w:rPr>
      </w:pPr>
      <w:r>
        <w:rPr>
          <w:snapToGrid w:val="0"/>
        </w:rPr>
        <w:tab/>
      </w:r>
      <w:r>
        <w:rPr>
          <w:snapToGrid w:val="0"/>
        </w:rPr>
        <w:tab/>
        <w:t xml:space="preserve">to hold a public inquiry into and report to the Minister on the draft policy in accordance with terms of reference determined </w:t>
      </w:r>
      <w:r>
        <w:t>by the Minister</w:t>
      </w:r>
      <w:r>
        <w:rPr>
          <w:snapToGrid w:val="0"/>
        </w:rPr>
        <w:t>.</w:t>
      </w:r>
    </w:p>
    <w:p>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pPr>
        <w:pStyle w:val="Indenta"/>
        <w:rPr>
          <w:snapToGrid w:val="0"/>
        </w:rPr>
      </w:pPr>
      <w:r>
        <w:rPr>
          <w:snapToGrid w:val="0"/>
        </w:rPr>
        <w:tab/>
        <w:t>(a)</w:t>
      </w:r>
      <w:r>
        <w:rPr>
          <w:snapToGrid w:val="0"/>
        </w:rPr>
        <w:tab/>
        <w:t>a Commission were references to; and</w:t>
      </w:r>
    </w:p>
    <w:p>
      <w:pPr>
        <w:pStyle w:val="Indenta"/>
        <w:keepNext/>
        <w:rPr>
          <w:snapToGrid w:val="0"/>
        </w:rPr>
      </w:pPr>
      <w:r>
        <w:rPr>
          <w:snapToGrid w:val="0"/>
        </w:rPr>
        <w:lastRenderedPageBreak/>
        <w:tab/>
        <w:t>(b)</w:t>
      </w:r>
      <w:r>
        <w:rPr>
          <w:snapToGrid w:val="0"/>
        </w:rPr>
        <w:tab/>
        <w:t xml:space="preserve">the Chairman were references to the </w:t>
      </w:r>
      <w:r>
        <w:t>member presiding over</w:t>
      </w:r>
      <w:r>
        <w:rPr>
          <w:snapToGrid w:val="0"/>
        </w:rPr>
        <w:t>; and</w:t>
      </w:r>
    </w:p>
    <w:p>
      <w:pPr>
        <w:pStyle w:val="Indenta"/>
        <w:keepNext/>
        <w:rPr>
          <w:snapToGrid w:val="0"/>
        </w:rPr>
      </w:pPr>
      <w:r>
        <w:rPr>
          <w:snapToGrid w:val="0"/>
        </w:rPr>
        <w:tab/>
        <w:t>(c)</w:t>
      </w:r>
      <w:r>
        <w:rPr>
          <w:snapToGrid w:val="0"/>
        </w:rPr>
        <w:tab/>
        <w:t>a Commissioner were references to a member of,</w:t>
      </w:r>
    </w:p>
    <w:p>
      <w:pPr>
        <w:pStyle w:val="Subsection"/>
        <w:rPr>
          <w:snapToGrid w:val="0"/>
        </w:rPr>
      </w:pPr>
      <w:r>
        <w:rPr>
          <w:snapToGrid w:val="0"/>
        </w:rPr>
        <w:tab/>
      </w:r>
      <w:r>
        <w:rPr>
          <w:snapToGrid w:val="0"/>
        </w:rPr>
        <w:tab/>
        <w:t>the committee of inquiry.</w:t>
      </w:r>
    </w:p>
    <w:p>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rPr>
          <w:snapToGrid w:val="0"/>
        </w:rPr>
      </w:pPr>
      <w:r>
        <w:rPr>
          <w:snapToGrid w:val="0"/>
        </w:rPr>
        <w:tab/>
        <w:t>(4)</w:t>
      </w:r>
      <w:r>
        <w:rPr>
          <w:snapToGrid w:val="0"/>
        </w:rPr>
        <w:tab/>
        <w:t xml:space="preserve">The </w:t>
      </w:r>
      <w:r>
        <w:t>member presiding over</w:t>
      </w:r>
      <w:r>
        <w:rPr>
          <w:snapToGrid w:val="0"/>
        </w:rPr>
        <w:t xml:space="preserve"> and other members of a committee of inquiry shall each of them be paid such remuneration and travelling and other allowances as the Minister on the recommendation of the </w:t>
      </w:r>
      <w:r>
        <w:t>Public Sector Commissioner</w:t>
      </w:r>
      <w:r>
        <w:rPr>
          <w:snapToGrid w:val="0"/>
        </w:rPr>
        <w:t xml:space="preserve"> determines in </w:t>
      </w:r>
      <w:r>
        <w:t>the member’s</w:t>
      </w:r>
      <w:r>
        <w:rPr>
          <w:snapToGrid w:val="0"/>
        </w:rPr>
        <w:t xml:space="preserve"> case.</w:t>
      </w:r>
    </w:p>
    <w:p>
      <w:pPr>
        <w:pStyle w:val="Footnotesection"/>
      </w:pPr>
      <w:r>
        <w:tab/>
        <w:t>[Section 29 amended: No. 14 of 1998 s. 37; No. 39 of 2010 s. 89; No. 40 of 2020 s. 111(1).]</w:t>
      </w:r>
    </w:p>
    <w:p>
      <w:pPr>
        <w:pStyle w:val="Heading5"/>
      </w:pPr>
      <w:bookmarkStart w:id="50" w:name="_Toc158985353"/>
      <w:r>
        <w:rPr>
          <w:rStyle w:val="CharSectno"/>
        </w:rPr>
        <w:t>30</w:t>
      </w:r>
      <w:r>
        <w:t>.</w:t>
      </w:r>
      <w:r>
        <w:tab/>
        <w:t>Minister to consult on draft policy</w:t>
      </w:r>
      <w:bookmarkEnd w:id="50"/>
    </w:p>
    <w:p>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pPr>
      <w:r>
        <w:tab/>
        <w:t>(2)</w:t>
      </w:r>
      <w:r>
        <w:tab/>
        <w:t>Subsection (1) applies whether or not the Minister appoints a committee of inquiry under section 29 in respect of the draft policy submitted.</w:t>
      </w:r>
    </w:p>
    <w:p>
      <w:pPr>
        <w:pStyle w:val="Subsection"/>
      </w:pPr>
      <w:r>
        <w:tab/>
        <w:t>(3)</w:t>
      </w:r>
      <w:r>
        <w:tab/>
        <w:t>Subsection (1) applies unless the Minister is of the opinion that —</w:t>
      </w:r>
    </w:p>
    <w:p>
      <w:pPr>
        <w:pStyle w:val="Indenta"/>
      </w:pPr>
      <w:r>
        <w:tab/>
        <w:t>(a)</w:t>
      </w:r>
      <w:r>
        <w:tab/>
        <w:t>the draft policy submitted is substantially the same as the draft policy in respect of which notice was published under section 26(1)(d); and</w:t>
      </w:r>
    </w:p>
    <w:p>
      <w:pPr>
        <w:pStyle w:val="Indenta"/>
        <w:keepNext/>
      </w:pPr>
      <w:r>
        <w:lastRenderedPageBreak/>
        <w:tab/>
        <w:t>(b)</w:t>
      </w:r>
      <w:r>
        <w:tab/>
        <w:t>the Authority has consulted such public authorities and persons as appear to the Minister to be likely to be affected by that draft policy.</w:t>
      </w:r>
    </w:p>
    <w:p>
      <w:pPr>
        <w:pStyle w:val="Footnotesection"/>
        <w:ind w:left="890" w:hanging="890"/>
      </w:pPr>
      <w:r>
        <w:tab/>
        <w:t>[Section 30 inserted: No. 54 of 2003 s. 93.]</w:t>
      </w:r>
    </w:p>
    <w:p>
      <w:pPr>
        <w:pStyle w:val="Heading5"/>
        <w:rPr>
          <w:snapToGrid w:val="0"/>
        </w:rPr>
      </w:pPr>
      <w:bookmarkStart w:id="51" w:name="_Toc158985354"/>
      <w:r>
        <w:rPr>
          <w:rStyle w:val="CharSectno"/>
        </w:rPr>
        <w:t>31</w:t>
      </w:r>
      <w:r>
        <w:rPr>
          <w:snapToGrid w:val="0"/>
        </w:rPr>
        <w:t>.</w:t>
      </w:r>
      <w:r>
        <w:rPr>
          <w:snapToGrid w:val="0"/>
        </w:rPr>
        <w:tab/>
        <w:t>Minister to remit draft policy, or approve it (with or without amendments) or refuse to approve it</w:t>
      </w:r>
      <w:bookmarkEnd w:id="51"/>
    </w:p>
    <w:p>
      <w:pPr>
        <w:pStyle w:val="Subsection"/>
        <w:spacing w:before="100"/>
        <w:rPr>
          <w:snapToGrid w:val="0"/>
        </w:rPr>
      </w:pPr>
      <w:r>
        <w:rPr>
          <w:snapToGrid w:val="0"/>
        </w:rPr>
        <w:tab/>
      </w:r>
      <w:r>
        <w:rPr>
          <w:snapToGrid w:val="0"/>
        </w:rPr>
        <w:tab/>
        <w:t>After the Minister —</w:t>
      </w:r>
    </w:p>
    <w:p>
      <w:pPr>
        <w:pStyle w:val="Indenta"/>
        <w:spacing w:before="50"/>
        <w:rPr>
          <w:snapToGrid w:val="0"/>
        </w:rPr>
      </w:pPr>
      <w:r>
        <w:rPr>
          <w:snapToGrid w:val="0"/>
        </w:rPr>
        <w:tab/>
        <w:t>(a)</w:t>
      </w:r>
      <w:r>
        <w:rPr>
          <w:snapToGrid w:val="0"/>
        </w:rPr>
        <w:tab/>
        <w:t>has received and considered —</w:t>
      </w:r>
    </w:p>
    <w:p>
      <w:pPr>
        <w:pStyle w:val="Indenti"/>
        <w:spacing w:before="50"/>
        <w:rPr>
          <w:snapToGrid w:val="0"/>
        </w:rPr>
      </w:pPr>
      <w:r>
        <w:rPr>
          <w:snapToGrid w:val="0"/>
        </w:rPr>
        <w:tab/>
        <w:t>(i)</w:t>
      </w:r>
      <w:r>
        <w:rPr>
          <w:snapToGrid w:val="0"/>
        </w:rPr>
        <w:tab/>
        <w:t>a copy of a draft policy (in this section called</w:t>
      </w:r>
      <w:r>
        <w:t xml:space="preserve"> the </w:t>
      </w:r>
      <w:r>
        <w:rPr>
          <w:rStyle w:val="CharDefText"/>
        </w:rPr>
        <w:t>draft policy</w:t>
      </w:r>
      <w:r>
        <w:rPr>
          <w:snapToGrid w:val="0"/>
        </w:rPr>
        <w:t>), together with a report thereon, submitted under section 28 or 32(1)(b); and</w:t>
      </w:r>
    </w:p>
    <w:p>
      <w:pPr>
        <w:pStyle w:val="Indenti"/>
        <w:spacing w:before="50"/>
        <w:rPr>
          <w:snapToGrid w:val="0"/>
        </w:rPr>
      </w:pPr>
      <w:r>
        <w:rPr>
          <w:snapToGrid w:val="0"/>
        </w:rPr>
        <w:tab/>
        <w:t>(ii)</w:t>
      </w:r>
      <w:r>
        <w:rPr>
          <w:snapToGrid w:val="0"/>
        </w:rPr>
        <w:tab/>
        <w:t>if a committee of inquiry is appointed under section 29 in respect of the draft policy, the report made by the committee of inquiry;</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(b)</w:t>
      </w:r>
      <w:r>
        <w:rPr>
          <w:snapToGrid w:val="0"/>
        </w:rPr>
        <w:tab/>
        <w:t>has consulted any public authority or person under section 30 in respect of the draft policy,</w:t>
      </w:r>
    </w:p>
    <w:p>
      <w:pPr>
        <w:pStyle w:val="Subsection"/>
        <w:keepNext/>
        <w:spacing w:before="100"/>
        <w:rPr>
          <w:snapToGrid w:val="0"/>
        </w:rPr>
      </w:pPr>
      <w:r>
        <w:rPr>
          <w:snapToGrid w:val="0"/>
        </w:rPr>
        <w:tab/>
      </w:r>
      <w:r>
        <w:rPr>
          <w:snapToGrid w:val="0"/>
        </w:rPr>
        <w:tab/>
        <w:t>the Minister shall —</w:t>
      </w:r>
    </w:p>
    <w:p>
      <w:pPr>
        <w:pStyle w:val="Indenta"/>
        <w:spacing w:before="50"/>
        <w:rPr>
          <w:snapToGrid w:val="0"/>
        </w:rPr>
      </w:pPr>
      <w:r>
        <w:rPr>
          <w:snapToGrid w:val="0"/>
        </w:rPr>
        <w:tab/>
        <w:t>(c)</w:t>
      </w:r>
      <w:r>
        <w:rPr>
          <w:snapToGrid w:val="0"/>
        </w:rPr>
        <w:tab/>
        <w:t xml:space="preserve">remit the draft policy to the Authority for reconsideration and shall, if the Minister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 or</w:t>
      </w:r>
    </w:p>
    <w:p>
      <w:pPr>
        <w:pStyle w:val="Indenta"/>
        <w:spacing w:before="5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spacing w:before="50"/>
        <w:rPr>
          <w:snapToGrid w:val="0"/>
        </w:rPr>
      </w:pPr>
      <w:r>
        <w:rPr>
          <w:snapToGrid w:val="0"/>
        </w:rPr>
        <w:tab/>
        <w:t>(e)</w:t>
      </w:r>
      <w:r>
        <w:rPr>
          <w:snapToGrid w:val="0"/>
        </w:rPr>
        <w:tab/>
        <w:t xml:space="preserve">refuse to approve the draft policy by order setting out </w:t>
      </w:r>
      <w:r>
        <w:t>the Minister’s</w:t>
      </w:r>
      <w:r>
        <w:rPr>
          <w:snapToGrid w:val="0"/>
        </w:rPr>
        <w:t xml:space="preserve"> reasons for so refusing.</w:t>
      </w:r>
    </w:p>
    <w:p>
      <w:pPr>
        <w:pStyle w:val="Footnotesection"/>
      </w:pPr>
      <w:r>
        <w:tab/>
        <w:t>[Section 31 amended: No. 40 of 2020 s. 111(1).]</w:t>
      </w:r>
    </w:p>
    <w:p>
      <w:pPr>
        <w:pStyle w:val="Heading5"/>
        <w:spacing w:before="180"/>
        <w:rPr>
          <w:snapToGrid w:val="0"/>
        </w:rPr>
      </w:pPr>
      <w:bookmarkStart w:id="52" w:name="_Toc158985355"/>
      <w:r>
        <w:rPr>
          <w:rStyle w:val="CharSectno"/>
        </w:rPr>
        <w:lastRenderedPageBreak/>
        <w:t>32</w:t>
      </w:r>
      <w:r>
        <w:rPr>
          <w:snapToGrid w:val="0"/>
        </w:rPr>
        <w:t>.</w:t>
      </w:r>
      <w:r>
        <w:rPr>
          <w:snapToGrid w:val="0"/>
        </w:rPr>
        <w:tab/>
        <w:t>Reconsidering and resubmitting remitted draft policy</w:t>
      </w:r>
      <w:bookmarkEnd w:id="52"/>
    </w:p>
    <w:p>
      <w:pPr>
        <w:pStyle w:val="Subsection"/>
        <w:keepLines/>
        <w:spacing w:before="100"/>
        <w:rPr>
          <w:snapToGrid w:val="0"/>
        </w:rPr>
      </w:pPr>
      <w:r>
        <w:rPr>
          <w:snapToGrid w:val="0"/>
        </w:rPr>
        <w:tab/>
        <w:t>(1)</w:t>
      </w:r>
      <w:r>
        <w:rPr>
          <w:snapToGrid w:val="0"/>
        </w:rPr>
        <w:tab/>
        <w:t>After receiving a draft policy remitted to it under section 31(c), the Authority shall —</w:t>
      </w:r>
    </w:p>
    <w:p>
      <w:pPr>
        <w:pStyle w:val="Indenta"/>
        <w:spacing w:before="50"/>
        <w:rPr>
          <w:snapToGrid w:val="0"/>
        </w:rPr>
      </w:pPr>
      <w:r>
        <w:rPr>
          <w:snapToGrid w:val="0"/>
        </w:rPr>
        <w:tab/>
        <w:t>(a)</w:t>
      </w:r>
      <w:r>
        <w:rPr>
          <w:snapToGrid w:val="0"/>
        </w:rPr>
        <w:tab/>
        <w:t>if the Minister has not given a certificate under that section —</w:t>
      </w:r>
    </w:p>
    <w:p>
      <w:pPr>
        <w:pStyle w:val="Indenti"/>
        <w:spacing w:before="5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 and</w:t>
      </w:r>
    </w:p>
    <w:p>
      <w:pPr>
        <w:pStyle w:val="Indenti"/>
        <w:rPr>
          <w:snapToGrid w:val="0"/>
        </w:rPr>
      </w:pPr>
      <w:r>
        <w:rPr>
          <w:snapToGrid w:val="0"/>
        </w:rPr>
        <w:tab/>
        <w:t>(iii)</w:t>
      </w:r>
      <w:r>
        <w:rPr>
          <w:snapToGrid w:val="0"/>
        </w:rPr>
        <w:tab/>
        <w:t xml:space="preserve">in the case of a draft policy </w:t>
      </w:r>
      <w:r>
        <w:t xml:space="preserve">concerned with the protection of a portion of the environment confined to, or with the prevention, control or abatement of pollution or environmental harm in, a particular local government district or districts, </w:t>
      </w:r>
      <w:r>
        <w:rPr>
          <w:snapToGrid w:val="0"/>
        </w:rPr>
        <w:t>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the Minister has given a certificate under that section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rPr>
          <w:snapToGrid w:val="0"/>
        </w:rPr>
      </w:pPr>
      <w:r>
        <w:rPr>
          <w:snapToGrid w:val="0"/>
        </w:rPr>
        <w:tab/>
        <w:t>(2)</w:t>
      </w:r>
      <w:r>
        <w:rPr>
          <w:snapToGrid w:val="0"/>
        </w:rPr>
        <w:tab/>
        <w:t>Sections 27, 28, 29, 30 and 31 apply to a draft policy reconsidered under subsection (1)(a).</w:t>
      </w:r>
    </w:p>
    <w:p>
      <w:pPr>
        <w:pStyle w:val="Subsection"/>
        <w:rPr>
          <w:snapToGrid w:val="0"/>
        </w:rPr>
      </w:pPr>
      <w:r>
        <w:rPr>
          <w:snapToGrid w:val="0"/>
        </w:rPr>
        <w:lastRenderedPageBreak/>
        <w:tab/>
        <w:t>(3)</w:t>
      </w:r>
      <w:r>
        <w:rPr>
          <w:snapToGrid w:val="0"/>
        </w:rPr>
        <w:tab/>
        <w:t>Sections 29, 30 and 31 apply to a draft policy reconsidered under subsection (1)(b).</w:t>
      </w:r>
    </w:p>
    <w:p>
      <w:pPr>
        <w:pStyle w:val="Footnotesection"/>
        <w:ind w:left="890" w:hanging="890"/>
      </w:pPr>
      <w:r>
        <w:tab/>
        <w:t>[Section 32 amended: No. 14 of 1996 s. 4; No. 40 of 2020 s. 14.]</w:t>
      </w:r>
    </w:p>
    <w:p>
      <w:pPr>
        <w:pStyle w:val="Heading5"/>
        <w:rPr>
          <w:snapToGrid w:val="0"/>
        </w:rPr>
      </w:pPr>
      <w:bookmarkStart w:id="53" w:name="_Toc158985356"/>
      <w:r>
        <w:rPr>
          <w:rStyle w:val="CharSectno"/>
        </w:rPr>
        <w:t>33</w:t>
      </w:r>
      <w:r>
        <w:rPr>
          <w:snapToGrid w:val="0"/>
        </w:rPr>
        <w:t>.</w:t>
      </w:r>
      <w:r>
        <w:rPr>
          <w:snapToGrid w:val="0"/>
        </w:rPr>
        <w:tab/>
        <w:t>Approved policies, status and revocation of</w:t>
      </w:r>
      <w:bookmarkEnd w:id="53"/>
    </w:p>
    <w:p>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spacing w:before="140"/>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spacing w:before="140"/>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spacing w:before="140"/>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spacing w:before="140"/>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spacing w:before="100"/>
      </w:pPr>
      <w:r>
        <w:tab/>
        <w:t>[Section 33 amended: No. 23 of 1996 s. 16.]</w:t>
      </w:r>
    </w:p>
    <w:p>
      <w:pPr>
        <w:pStyle w:val="Heading5"/>
        <w:spacing w:before="180"/>
        <w:rPr>
          <w:snapToGrid w:val="0"/>
        </w:rPr>
      </w:pPr>
      <w:bookmarkStart w:id="54" w:name="_Toc158985357"/>
      <w:r>
        <w:rPr>
          <w:rStyle w:val="CharSectno"/>
        </w:rPr>
        <w:lastRenderedPageBreak/>
        <w:t>34</w:t>
      </w:r>
      <w:r>
        <w:rPr>
          <w:snapToGrid w:val="0"/>
        </w:rPr>
        <w:t>.</w:t>
      </w:r>
      <w:r>
        <w:rPr>
          <w:snapToGrid w:val="0"/>
        </w:rPr>
        <w:tab/>
        <w:t>Orders made under s. 31(d), Parliamentary oversight of</w:t>
      </w:r>
      <w:bookmarkEnd w:id="54"/>
    </w:p>
    <w:p>
      <w:pPr>
        <w:pStyle w:val="Subsection"/>
        <w:spacing w:before="140"/>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spacing w:before="180"/>
        <w:rPr>
          <w:snapToGrid w:val="0"/>
        </w:rPr>
      </w:pPr>
      <w:bookmarkStart w:id="55" w:name="_Toc158985358"/>
      <w:r>
        <w:rPr>
          <w:rStyle w:val="CharSectno"/>
        </w:rPr>
        <w:t>35</w:t>
      </w:r>
      <w:r>
        <w:rPr>
          <w:snapToGrid w:val="0"/>
        </w:rPr>
        <w:t>.</w:t>
      </w:r>
      <w:r>
        <w:rPr>
          <w:snapToGrid w:val="0"/>
        </w:rPr>
        <w:tab/>
        <w:t>Content of approved policies</w:t>
      </w:r>
      <w:bookmarkEnd w:id="55"/>
    </w:p>
    <w:p>
      <w:pPr>
        <w:pStyle w:val="Subsection"/>
        <w:keepNext/>
        <w:keepLines/>
        <w:spacing w:before="140"/>
        <w:rPr>
          <w:snapToGrid w:val="0"/>
        </w:rPr>
      </w:pPr>
      <w:r>
        <w:rPr>
          <w:snapToGrid w:val="0"/>
        </w:rPr>
        <w:tab/>
        <w:t>(1)</w:t>
      </w:r>
      <w:r>
        <w:rPr>
          <w:snapToGrid w:val="0"/>
        </w:rPr>
        <w:tab/>
        <w:t>An approved policy —</w:t>
      </w:r>
    </w:p>
    <w:p>
      <w:pPr>
        <w:pStyle w:val="Indenta"/>
        <w:keepNext/>
        <w:keepLines/>
        <w:spacing w:before="60"/>
        <w:rPr>
          <w:snapToGrid w:val="0"/>
        </w:rPr>
      </w:pPr>
      <w:r>
        <w:rPr>
          <w:snapToGrid w:val="0"/>
        </w:rPr>
        <w:tab/>
        <w:t>(a)</w:t>
      </w:r>
      <w:r>
        <w:rPr>
          <w:snapToGrid w:val="0"/>
        </w:rPr>
        <w:tab/>
        <w:t>establishes the basis on which —</w:t>
      </w:r>
    </w:p>
    <w:p>
      <w:pPr>
        <w:pStyle w:val="Indenti"/>
        <w:spacing w:before="60"/>
        <w:rPr>
          <w:snapToGrid w:val="0"/>
        </w:rPr>
      </w:pPr>
      <w:r>
        <w:rPr>
          <w:snapToGrid w:val="0"/>
        </w:rPr>
        <w:tab/>
        <w:t>(i)</w:t>
      </w:r>
      <w:r>
        <w:rPr>
          <w:snapToGrid w:val="0"/>
        </w:rPr>
        <w:tab/>
        <w:t>the portion of the environment to which it relates is to be protected; or</w:t>
      </w:r>
    </w:p>
    <w:p>
      <w:pPr>
        <w:pStyle w:val="Indenti"/>
        <w:spacing w:before="60"/>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spacing w:before="60"/>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pPr>
        <w:pStyle w:val="Indenta"/>
        <w:rPr>
          <w:spacing w:val="-2"/>
        </w:rPr>
      </w:pPr>
      <w:r>
        <w:rPr>
          <w:spacing w:val="-2"/>
        </w:rPr>
        <w:tab/>
        <w:t>(a)</w:t>
      </w:r>
      <w:r>
        <w:rPr>
          <w:spacing w:val="-2"/>
        </w:rPr>
        <w:tab/>
        <w:t>for a Tier 1 offence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rPr>
          <w:spacing w:val="-2"/>
        </w:rPr>
      </w:pPr>
      <w:r>
        <w:rPr>
          <w:spacing w:val="-2"/>
        </w:rPr>
        <w:tab/>
      </w:r>
      <w:r>
        <w:rPr>
          <w:spacing w:val="-2"/>
        </w:rPr>
        <w:tab/>
        <w:t>and</w:t>
      </w:r>
    </w:p>
    <w:p>
      <w:pPr>
        <w:pStyle w:val="Indenta"/>
        <w:keepNext/>
        <w:rPr>
          <w:spacing w:val="-2"/>
        </w:rPr>
      </w:pPr>
      <w:r>
        <w:rPr>
          <w:spacing w:val="-2"/>
        </w:rPr>
        <w:lastRenderedPageBreak/>
        <w:tab/>
        <w:t>(b)</w:t>
      </w:r>
      <w:r>
        <w:rPr>
          <w:spacing w:val="-2"/>
        </w:rPr>
        <w:tab/>
        <w:t>for a Tier 2 offence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keepNext/>
        <w:spacing w:before="100"/>
        <w:rPr>
          <w:snapToGrid w:val="0"/>
        </w:rPr>
      </w:pPr>
      <w:r>
        <w:rPr>
          <w:snapToGrid w:val="0"/>
        </w:rPr>
        <w:tab/>
        <w:t>(ii)</w:t>
      </w:r>
      <w:r>
        <w:rPr>
          <w:snapToGrid w:val="0"/>
        </w:rPr>
        <w:tab/>
        <w:t>if the offender is a body corporate, a penalty not exceeding $125 000 and, in the case of a continuing offence, a daily penalty not exceeding $25 000;</w:t>
      </w:r>
    </w:p>
    <w:p>
      <w:pPr>
        <w:pStyle w:val="Indenta"/>
        <w:spacing w:before="100"/>
        <w:rPr>
          <w:spacing w:val="-2"/>
        </w:rPr>
      </w:pPr>
      <w:r>
        <w:rPr>
          <w:spacing w:val="-2"/>
        </w:rPr>
        <w:tab/>
      </w:r>
      <w:r>
        <w:rPr>
          <w:spacing w:val="-2"/>
        </w:rPr>
        <w:tab/>
        <w:t>and</w:t>
      </w:r>
    </w:p>
    <w:p>
      <w:pPr>
        <w:pStyle w:val="Indenta"/>
        <w:spacing w:before="100"/>
        <w:rPr>
          <w:spacing w:val="-2"/>
        </w:rPr>
      </w:pPr>
      <w:r>
        <w:rPr>
          <w:spacing w:val="-2"/>
        </w:rPr>
        <w:tab/>
        <w:t>(c)</w:t>
      </w:r>
      <w:r>
        <w:rPr>
          <w:spacing w:val="-2"/>
        </w:rPr>
        <w:tab/>
        <w:t>for a Tier 3 offence, a penalty not exceeding $5 000 and, in the case of a continuing offence, a daily penalty not exceeding $1 000.</w:t>
      </w:r>
    </w:p>
    <w:p>
      <w:pPr>
        <w:pStyle w:val="Subsection"/>
        <w:spacing w:before="180"/>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spacing w:before="180"/>
        <w:rPr>
          <w:snapToGrid w:val="0"/>
        </w:rPr>
      </w:pPr>
      <w:r>
        <w:rPr>
          <w:snapToGrid w:val="0"/>
        </w:rPr>
        <w:tab/>
        <w:t>(2)</w:t>
      </w:r>
      <w:r>
        <w:rPr>
          <w:snapToGrid w:val="0"/>
        </w:rPr>
        <w:tab/>
        <w:t>An approved policy may, unless it is inappropriate in the circumstances to do so —</w:t>
      </w:r>
    </w:p>
    <w:p>
      <w:pPr>
        <w:pStyle w:val="Indenta"/>
        <w:spacing w:before="100"/>
        <w:rPr>
          <w:snapToGrid w:val="0"/>
        </w:rPr>
      </w:pPr>
      <w:r>
        <w:rPr>
          <w:snapToGrid w:val="0"/>
        </w:rPr>
        <w:tab/>
        <w:t>(a)</w:t>
      </w:r>
      <w:r>
        <w:rPr>
          <w:snapToGrid w:val="0"/>
        </w:rPr>
        <w:tab/>
        <w:t>identify the portion of the environment, to which the approved policy applies; and</w:t>
      </w:r>
    </w:p>
    <w:p>
      <w:pPr>
        <w:pStyle w:val="Indenta"/>
        <w:spacing w:before="100"/>
        <w:rPr>
          <w:snapToGrid w:val="0"/>
        </w:rPr>
      </w:pPr>
      <w:r>
        <w:rPr>
          <w:snapToGrid w:val="0"/>
        </w:rPr>
        <w:tab/>
        <w:t>(b)</w:t>
      </w:r>
      <w:r>
        <w:rPr>
          <w:snapToGrid w:val="0"/>
        </w:rPr>
        <w:tab/>
        <w:t>specify —</w:t>
      </w:r>
    </w:p>
    <w:p>
      <w:pPr>
        <w:pStyle w:val="Indenti"/>
        <w:spacing w:before="100"/>
        <w:rPr>
          <w:snapToGrid w:val="0"/>
        </w:rPr>
      </w:pPr>
      <w:r>
        <w:rPr>
          <w:snapToGrid w:val="0"/>
        </w:rPr>
        <w:tab/>
        <w:t>(i)</w:t>
      </w:r>
      <w:r>
        <w:rPr>
          <w:snapToGrid w:val="0"/>
        </w:rPr>
        <w:tab/>
        <w:t>the period, if any, during each day, or any particular day, of 24 hours; and</w:t>
      </w:r>
    </w:p>
    <w:p>
      <w:pPr>
        <w:pStyle w:val="Indenti"/>
        <w:spacing w:before="100"/>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spacing w:before="100"/>
        <w:rPr>
          <w:snapToGrid w:val="0"/>
        </w:rPr>
      </w:pPr>
      <w:r>
        <w:rPr>
          <w:snapToGrid w:val="0"/>
        </w:rPr>
        <w:tab/>
      </w:r>
      <w:r>
        <w:rPr>
          <w:snapToGrid w:val="0"/>
        </w:rPr>
        <w:tab/>
        <w:t>during which the approved policy has the force of law; and</w:t>
      </w:r>
    </w:p>
    <w:p>
      <w:pPr>
        <w:pStyle w:val="Indenta"/>
        <w:spacing w:before="100"/>
        <w:rPr>
          <w:snapToGrid w:val="0"/>
        </w:rPr>
      </w:pPr>
      <w:r>
        <w:rPr>
          <w:snapToGrid w:val="0"/>
        </w:rPr>
        <w:tab/>
        <w:t>(c)</w:t>
      </w:r>
      <w:r>
        <w:rPr>
          <w:snapToGrid w:val="0"/>
        </w:rPr>
        <w:tab/>
        <w:t>identify and declare the environmental values to be protected under the approved policy; and</w:t>
      </w:r>
    </w:p>
    <w:p>
      <w:pPr>
        <w:pStyle w:val="Indenta"/>
        <w:spacing w:before="100"/>
        <w:rPr>
          <w:snapToGrid w:val="0"/>
        </w:rPr>
      </w:pPr>
      <w:r>
        <w:rPr>
          <w:snapToGrid w:val="0"/>
        </w:rPr>
        <w:tab/>
        <w:t>(d)</w:t>
      </w:r>
      <w:r>
        <w:rPr>
          <w:snapToGrid w:val="0"/>
        </w:rPr>
        <w:tab/>
        <w:t>set out the indicators, parameters or criteria to be used in measuring environmental quality; and</w:t>
      </w:r>
    </w:p>
    <w:p>
      <w:pPr>
        <w:pStyle w:val="Indenta"/>
        <w:spacing w:before="100"/>
        <w:rPr>
          <w:snapToGrid w:val="0"/>
        </w:rPr>
      </w:pPr>
      <w:r>
        <w:rPr>
          <w:snapToGrid w:val="0"/>
        </w:rPr>
        <w:lastRenderedPageBreak/>
        <w:tab/>
        <w:t>(e)</w:t>
      </w:r>
      <w:r>
        <w:rPr>
          <w:snapToGrid w:val="0"/>
        </w:rPr>
        <w:tab/>
        <w:t>specify the environmental quality objectives to be achieved and maintained by means of the approved policy; and</w:t>
      </w:r>
    </w:p>
    <w:p>
      <w:pPr>
        <w:pStyle w:val="Indenta"/>
        <w:keepLines/>
        <w:spacing w:before="10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w:t>
      </w:r>
    </w:p>
    <w:p>
      <w:pPr>
        <w:pStyle w:val="Indenti"/>
        <w:spacing w:before="60"/>
        <w:rPr>
          <w:snapToGrid w:val="0"/>
        </w:rPr>
      </w:pPr>
      <w:r>
        <w:rPr>
          <w:snapToGrid w:val="0"/>
        </w:rPr>
        <w:tab/>
        <w:t>(i)</w:t>
      </w:r>
      <w:r>
        <w:rPr>
          <w:snapToGrid w:val="0"/>
        </w:rPr>
        <w:tab/>
        <w:t>the qualities and maximum quantities of any waste permitted to be discharged into the relevant portion of the environment; or</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 or</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 or</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 or</w:t>
      </w:r>
    </w:p>
    <w:p>
      <w:pPr>
        <w:pStyle w:val="Indenti"/>
        <w:rPr>
          <w:snapToGrid w:val="0"/>
        </w:rPr>
      </w:pPr>
      <w:r>
        <w:rPr>
          <w:snapToGrid w:val="0"/>
        </w:rPr>
        <w:tab/>
        <w:t>(v)</w:t>
      </w:r>
      <w:r>
        <w:rPr>
          <w:snapToGrid w:val="0"/>
        </w:rPr>
        <w:tab/>
        <w:t>measures designed to protect the environment; or</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An approved policy may provide that it applies to —</w:t>
      </w:r>
    </w:p>
    <w:p>
      <w:pPr>
        <w:pStyle w:val="Indenta"/>
      </w:pPr>
      <w:r>
        <w:tab/>
        <w:t>(a)</w:t>
      </w:r>
      <w:r>
        <w:tab/>
        <w:t>an area of the State identified in the policy; or</w:t>
      </w:r>
    </w:p>
    <w:p>
      <w:pPr>
        <w:pStyle w:val="Indenta"/>
      </w:pPr>
      <w:r>
        <w:tab/>
        <w:t>(b)</w:t>
      </w:r>
      <w:r>
        <w:tab/>
        <w:t>an area of the State identified in the policy or by regulation; or</w:t>
      </w:r>
    </w:p>
    <w:p>
      <w:pPr>
        <w:pStyle w:val="Indenta"/>
      </w:pPr>
      <w:r>
        <w:tab/>
        <w:t>(c)</w:t>
      </w:r>
      <w:r>
        <w:tab/>
        <w:t>the whole of the State; or</w:t>
      </w:r>
    </w:p>
    <w:p>
      <w:pPr>
        <w:pStyle w:val="Indenta"/>
      </w:pPr>
      <w:r>
        <w:lastRenderedPageBreak/>
        <w:tab/>
        <w:t>(d)</w:t>
      </w:r>
      <w:r>
        <w:tab/>
        <w:t>the whole of the State other than an area identified in the policy; or</w:t>
      </w:r>
    </w:p>
    <w:p>
      <w:pPr>
        <w:pStyle w:val="Indenta"/>
      </w:pPr>
      <w:r>
        <w:tab/>
        <w:t>(e)</w:t>
      </w:r>
      <w:r>
        <w:tab/>
        <w:t>the whole of the State other than an area identified by regulation; or</w:t>
      </w:r>
    </w:p>
    <w:p>
      <w:pPr>
        <w:pStyle w:val="Indenta"/>
        <w:keepNext/>
      </w:pPr>
      <w:r>
        <w:tab/>
        <w:t>(f)</w:t>
      </w:r>
      <w:r>
        <w:tab/>
        <w:t>the whole of the State other than an area identified in the policy or by regulation.</w:t>
      </w:r>
    </w:p>
    <w:p>
      <w:pPr>
        <w:pStyle w:val="Footnotesection"/>
      </w:pPr>
      <w:r>
        <w:tab/>
        <w:t>[Section 35 amended: No. 14 of 1998 s. 5; No. 54 of 2003 s. 33 and 94.]</w:t>
      </w:r>
    </w:p>
    <w:p>
      <w:pPr>
        <w:pStyle w:val="Heading5"/>
        <w:rPr>
          <w:snapToGrid w:val="0"/>
        </w:rPr>
      </w:pPr>
      <w:bookmarkStart w:id="56" w:name="_Toc158985359"/>
      <w:r>
        <w:rPr>
          <w:rStyle w:val="CharSectno"/>
        </w:rPr>
        <w:t>36</w:t>
      </w:r>
      <w:r>
        <w:rPr>
          <w:snapToGrid w:val="0"/>
        </w:rPr>
        <w:t>.</w:t>
      </w:r>
      <w:r>
        <w:rPr>
          <w:snapToGrid w:val="0"/>
        </w:rPr>
        <w:tab/>
        <w:t>Review of approved policies</w:t>
      </w:r>
      <w:bookmarkEnd w:id="56"/>
    </w:p>
    <w:p>
      <w:pPr>
        <w:pStyle w:val="Subsection"/>
        <w:keepNext/>
        <w:rPr>
          <w:snapToGrid w:val="0"/>
        </w:rPr>
      </w:pPr>
      <w:r>
        <w:rPr>
          <w:snapToGrid w:val="0"/>
        </w:rPr>
        <w:tab/>
        <w:t>(1)</w:t>
      </w:r>
      <w:r>
        <w:rPr>
          <w:snapToGrid w:val="0"/>
        </w:rPr>
        <w:tab/>
        <w:t>The Authority shall review an approved policy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w:t>
      </w:r>
      <w:r>
        <w:t>the Minister’s</w:t>
      </w:r>
      <w:r>
        <w:rPr>
          <w:snapToGrid w:val="0"/>
        </w:rPr>
        <w:t xml:space="preserve"> own initiative or otherwise, at the time or within the period and to the extent specified in that direction; and</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keepNext/>
      </w:pPr>
      <w:r>
        <w:tab/>
        <w:t>(3)</w:t>
      </w:r>
      <w:r>
        <w:tab/>
        <w:t>The review of an approved policy does not change the force and effect of the approved policy.</w:t>
      </w:r>
    </w:p>
    <w:p>
      <w:pPr>
        <w:pStyle w:val="Footnotesection"/>
      </w:pPr>
      <w:r>
        <w:tab/>
        <w:t>[Section 36 amended: No. 23 of 1996 s. 17; No. 54 of 2003 s. 95; No. 40 of 2020 s. 111(1).]</w:t>
      </w:r>
    </w:p>
    <w:p>
      <w:pPr>
        <w:pStyle w:val="Heading5"/>
        <w:rPr>
          <w:snapToGrid w:val="0"/>
        </w:rPr>
      </w:pPr>
      <w:bookmarkStart w:id="57" w:name="_Toc158985360"/>
      <w:r>
        <w:rPr>
          <w:rStyle w:val="CharSectno"/>
        </w:rPr>
        <w:lastRenderedPageBreak/>
        <w:t>37</w:t>
      </w:r>
      <w:r>
        <w:rPr>
          <w:snapToGrid w:val="0"/>
        </w:rPr>
        <w:t>.</w:t>
      </w:r>
      <w:r>
        <w:rPr>
          <w:snapToGrid w:val="0"/>
        </w:rPr>
        <w:tab/>
      </w:r>
      <w:r>
        <w:rPr>
          <w:snapToGrid w:val="0"/>
          <w:spacing w:val="-2"/>
        </w:rPr>
        <w:t>Minor changes to approved policies</w:t>
      </w:r>
      <w:bookmarkEnd w:id="57"/>
    </w:p>
    <w:p>
      <w:pPr>
        <w:pStyle w:val="Subsection"/>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the Minister so agrees and setting out the minor change so recommended and cause that certificate to be published in the </w:t>
      </w:r>
      <w:r>
        <w:rPr>
          <w:i/>
          <w:snapToGrid w:val="0"/>
        </w:rPr>
        <w:t>Gazette</w:t>
      </w:r>
      <w:r>
        <w:rPr>
          <w:snapToGrid w:val="0"/>
        </w:rPr>
        <w:t>.</w:t>
      </w:r>
    </w:p>
    <w:p>
      <w:pPr>
        <w:pStyle w:val="Subsection"/>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rPr>
          <w:snapToGrid w:val="0"/>
        </w:rPr>
      </w:pPr>
      <w:r>
        <w:rPr>
          <w:snapToGrid w:val="0"/>
        </w:rPr>
        <w:tab/>
        <w:t>(3)</w:t>
      </w:r>
      <w:r>
        <w:rPr>
          <w:snapToGrid w:val="0"/>
        </w:rPr>
        <w:tab/>
        <w:t>After the Minister has received an approved policy submitted under subsection (2), together with a report thereon, the Minister may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keepNext/>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Footnotesection"/>
      </w:pPr>
      <w:r>
        <w:tab/>
        <w:t>[Section 37 amended: No. 40 of 2020 s. 111(1).]</w:t>
      </w:r>
    </w:p>
    <w:p>
      <w:pPr>
        <w:pStyle w:val="Heading5"/>
        <w:rPr>
          <w:snapToGrid w:val="0"/>
        </w:rPr>
      </w:pPr>
      <w:bookmarkStart w:id="58" w:name="_Toc158985361"/>
      <w:r>
        <w:rPr>
          <w:rStyle w:val="CharSectno"/>
        </w:rPr>
        <w:t>37A</w:t>
      </w:r>
      <w:r>
        <w:rPr>
          <w:snapToGrid w:val="0"/>
        </w:rPr>
        <w:t>.</w:t>
      </w:r>
      <w:r>
        <w:rPr>
          <w:snapToGrid w:val="0"/>
        </w:rPr>
        <w:tab/>
        <w:t>NEPM may be declared to be approved policy</w:t>
      </w:r>
      <w:bookmarkEnd w:id="58"/>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rPr>
          <w:snapToGrid w:val="0"/>
        </w:rPr>
      </w:pPr>
      <w:r>
        <w:rPr>
          <w:snapToGrid w:val="0"/>
        </w:rPr>
        <w:lastRenderedPageBreak/>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No. 14 of 1998 s. 30.]</w:t>
      </w:r>
    </w:p>
    <w:p>
      <w:pPr>
        <w:pStyle w:val="Heading2"/>
      </w:pPr>
      <w:bookmarkStart w:id="59" w:name="_Toc158980693"/>
      <w:bookmarkStart w:id="60" w:name="_Toc158981092"/>
      <w:bookmarkStart w:id="61" w:name="_Toc158985362"/>
      <w:r>
        <w:rPr>
          <w:rStyle w:val="CharPartNo"/>
        </w:rPr>
        <w:lastRenderedPageBreak/>
        <w:t>Part IV</w:t>
      </w:r>
      <w:r>
        <w:t> — </w:t>
      </w:r>
      <w:r>
        <w:rPr>
          <w:rStyle w:val="CharPartText"/>
        </w:rPr>
        <w:t>Environmental impact assessment</w:t>
      </w:r>
      <w:bookmarkEnd w:id="59"/>
      <w:bookmarkEnd w:id="60"/>
      <w:bookmarkEnd w:id="61"/>
    </w:p>
    <w:p>
      <w:pPr>
        <w:pStyle w:val="Heading3"/>
      </w:pPr>
      <w:bookmarkStart w:id="62" w:name="_Toc158980694"/>
      <w:bookmarkStart w:id="63" w:name="_Toc158981093"/>
      <w:bookmarkStart w:id="64" w:name="_Toc158985363"/>
      <w:r>
        <w:rPr>
          <w:rStyle w:val="CharDivNo"/>
        </w:rPr>
        <w:t>Division 1</w:t>
      </w:r>
      <w:r>
        <w:rPr>
          <w:snapToGrid w:val="0"/>
        </w:rPr>
        <w:t> — </w:t>
      </w:r>
      <w:r>
        <w:rPr>
          <w:rStyle w:val="CharDivText"/>
        </w:rPr>
        <w:t>Referral and assessment of proposals</w:t>
      </w:r>
      <w:bookmarkEnd w:id="62"/>
      <w:bookmarkEnd w:id="63"/>
      <w:bookmarkEnd w:id="64"/>
    </w:p>
    <w:p>
      <w:pPr>
        <w:pStyle w:val="Heading5"/>
      </w:pPr>
      <w:bookmarkStart w:id="65" w:name="_Toc158985364"/>
      <w:r>
        <w:rPr>
          <w:rStyle w:val="CharSectno"/>
        </w:rPr>
        <w:t>37B</w:t>
      </w:r>
      <w:r>
        <w:t>.</w:t>
      </w:r>
      <w:r>
        <w:tab/>
        <w:t>Terms used</w:t>
      </w:r>
      <w:bookmarkEnd w:id="65"/>
    </w:p>
    <w:p>
      <w:pPr>
        <w:pStyle w:val="Subsection"/>
      </w:pPr>
      <w:r>
        <w:tab/>
        <w:t>(1)</w:t>
      </w:r>
      <w:r>
        <w:tab/>
        <w:t>In this Division —</w:t>
      </w:r>
    </w:p>
    <w:p>
      <w:pPr>
        <w:pStyle w:val="Defstart"/>
      </w:pPr>
      <w:r>
        <w:tab/>
      </w:r>
      <w:r>
        <w:rPr>
          <w:rStyle w:val="CharDefText"/>
        </w:rPr>
        <w:t>proposal of a prescribed class</w:t>
      </w:r>
      <w:r>
        <w:t xml:space="preserve"> includes a proposal of a prescribed class under an assessed scheme;</w:t>
      </w:r>
    </w:p>
    <w:p>
      <w:pPr>
        <w:pStyle w:val="Defstart"/>
      </w:pPr>
      <w:r>
        <w:tab/>
      </w:r>
      <w:r>
        <w:rPr>
          <w:rStyle w:val="CharDefText"/>
        </w:rPr>
        <w:t>significant proposal</w:t>
      </w:r>
      <w:r>
        <w:t xml:space="preserve"> means a proposal likely, if implemented, to have a significant effect on the environment and includes a significant amendment of an approved proposal;</w:t>
      </w:r>
    </w:p>
    <w:p>
      <w:pPr>
        <w:pStyle w:val="Defstart"/>
      </w:pPr>
      <w:r>
        <w:tab/>
      </w:r>
      <w:r>
        <w:rPr>
          <w:rStyle w:val="CharDefText"/>
        </w:rPr>
        <w:t>strategic proposal</w:t>
      </w:r>
      <w:r>
        <w:t xml:space="preserve"> has the meaning given in subsection (2).</w:t>
      </w:r>
    </w:p>
    <w:p>
      <w:pPr>
        <w:pStyle w:val="Subsection"/>
      </w:pPr>
      <w:r>
        <w:tab/>
        <w:t>(2)</w:t>
      </w:r>
      <w:r>
        <w:tab/>
        <w:t xml:space="preserve">A proposal is a </w:t>
      </w:r>
      <w:r>
        <w:rPr>
          <w:rStyle w:val="CharDefText"/>
        </w:rPr>
        <w:t>strategic proposal</w:t>
      </w:r>
      <w:r>
        <w:t xml:space="preserve"> if and to the extent to which it identifies —</w:t>
      </w:r>
    </w:p>
    <w:p>
      <w:pPr>
        <w:pStyle w:val="Indenta"/>
      </w:pPr>
      <w:r>
        <w:tab/>
        <w:t>(a)</w:t>
      </w:r>
      <w:r>
        <w:tab/>
        <w:t>a future proposal likely, if implemented, to have a significant effect on the environment; or</w:t>
      </w:r>
    </w:p>
    <w:p>
      <w:pPr>
        <w:pStyle w:val="Indenta"/>
      </w:pPr>
      <w:r>
        <w:tab/>
        <w:t>(b)</w:t>
      </w:r>
      <w:r>
        <w:tab/>
        <w:t>future proposals likely, if implemented in combination with each other, to have a significant effect on the environment.</w:t>
      </w:r>
    </w:p>
    <w:p>
      <w:pPr>
        <w:pStyle w:val="Footnotesection"/>
      </w:pPr>
      <w:r>
        <w:tab/>
        <w:t>[Section 37B inserted: No. 40 of 2020 s. 15.]</w:t>
      </w:r>
    </w:p>
    <w:p>
      <w:pPr>
        <w:pStyle w:val="Heading5"/>
      </w:pPr>
      <w:bookmarkStart w:id="66" w:name="_Toc158985365"/>
      <w:r>
        <w:rPr>
          <w:rStyle w:val="CharSectno"/>
        </w:rPr>
        <w:t>38</w:t>
      </w:r>
      <w:r>
        <w:t>.</w:t>
      </w:r>
      <w:r>
        <w:tab/>
        <w:t>Referral of proposals</w:t>
      </w:r>
      <w:bookmarkEnd w:id="66"/>
      <w:r>
        <w:t xml:space="preserve"> </w:t>
      </w:r>
    </w:p>
    <w:p>
      <w:pPr>
        <w:pStyle w:val="Subsection"/>
      </w:pPr>
      <w:r>
        <w:tab/>
        <w:t>(1)</w:t>
      </w:r>
      <w:r>
        <w:tab/>
        <w:t>The proponent of a significant proposal, or any other person, may refer the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If it appears to the Minister that there is public concern about the likely effect of a proposal, if implemented, on the environment, the Minister may refer the proposal to the Authority.</w:t>
      </w:r>
    </w:p>
    <w:p>
      <w:pPr>
        <w:pStyle w:val="Subsection"/>
      </w:pPr>
      <w:r>
        <w:lastRenderedPageBreak/>
        <w:tab/>
        <w:t>(4)</w:t>
      </w:r>
      <w:r>
        <w:tab/>
        <w:t>A decision</w:t>
      </w:r>
      <w:r>
        <w:noBreakHyphen/>
        <w:t>making authority must refer a proposal to the Authority as soon as it has notice of the proposal if the proposal appears to it to be —</w:t>
      </w:r>
    </w:p>
    <w:p>
      <w:pPr>
        <w:pStyle w:val="Indenta"/>
      </w:pPr>
      <w:r>
        <w:tab/>
        <w:t>(a)</w:t>
      </w:r>
      <w:r>
        <w:tab/>
        <w:t>a significant proposal; or</w:t>
      </w:r>
    </w:p>
    <w:p>
      <w:pPr>
        <w:pStyle w:val="Indenta"/>
      </w:pPr>
      <w:r>
        <w:tab/>
        <w:t>(b)</w:t>
      </w:r>
      <w:r>
        <w:tab/>
        <w:t>a proposal of a prescribed class.</w:t>
      </w:r>
    </w:p>
    <w:p>
      <w:pPr>
        <w:pStyle w:val="Subsection"/>
      </w:pPr>
      <w:r>
        <w:tab/>
        <w:t>(5)</w:t>
      </w:r>
      <w:r>
        <w:tab/>
        <w:t>Subsection (4) does not apply if the proposal has been referred to the Authority under subsection (1) or (3).</w:t>
      </w:r>
    </w:p>
    <w:p>
      <w:pPr>
        <w:pStyle w:val="Subsection"/>
      </w:pPr>
      <w:r>
        <w:tab/>
        <w:t>(6)</w:t>
      </w:r>
      <w:r>
        <w:tab/>
        <w:t>In the case of a proposal under an assessed scheme, the application of subsection (4)(a) is subject to section 48I.</w:t>
      </w:r>
    </w:p>
    <w:p>
      <w:pPr>
        <w:pStyle w:val="Subsection"/>
      </w:pPr>
      <w:r>
        <w:tab/>
        <w:t>(7)</w:t>
      </w:r>
      <w:r>
        <w:tab/>
        <w:t>The proponent of a strategic proposal may refer the proposal to the Authority.</w:t>
      </w:r>
    </w:p>
    <w:p>
      <w:pPr>
        <w:pStyle w:val="Footnotesection"/>
      </w:pPr>
      <w:r>
        <w:tab/>
        <w:t>[Section 38 inserted: No. 40 of 2020 s. 15.]</w:t>
      </w:r>
    </w:p>
    <w:p>
      <w:pPr>
        <w:pStyle w:val="Heading5"/>
      </w:pPr>
      <w:bookmarkStart w:id="67" w:name="_Toc158985366"/>
      <w:r>
        <w:rPr>
          <w:rStyle w:val="CharSectno"/>
        </w:rPr>
        <w:t>38A</w:t>
      </w:r>
      <w:r>
        <w:t>.</w:t>
      </w:r>
      <w:r>
        <w:tab/>
        <w:t>Calling in a proposal</w:t>
      </w:r>
      <w:bookmarkEnd w:id="67"/>
      <w:r>
        <w:t xml:space="preserve"> </w:t>
      </w:r>
    </w:p>
    <w:p>
      <w:pPr>
        <w:pStyle w:val="Subsection"/>
      </w:pPr>
      <w:r>
        <w:tab/>
        <w:t>(1)</w:t>
      </w:r>
      <w:r>
        <w:tab/>
        <w:t>If a proposal has not been referred to the Authority under section 38, the Authority must require the proponent or a decision</w:t>
      </w:r>
      <w:r>
        <w:noBreakHyphen/>
        <w:t>making authority to refer the proposal to the Authority if the Authority considers that the proposal is —</w:t>
      </w:r>
    </w:p>
    <w:p>
      <w:pPr>
        <w:pStyle w:val="Indenta"/>
      </w:pPr>
      <w:r>
        <w:tab/>
        <w:t>(a)</w:t>
      </w:r>
      <w:r>
        <w:tab/>
        <w:t>a significant proposal; or</w:t>
      </w:r>
    </w:p>
    <w:p>
      <w:pPr>
        <w:pStyle w:val="Indenta"/>
      </w:pPr>
      <w:r>
        <w:tab/>
        <w:t>(b)</w:t>
      </w:r>
      <w:r>
        <w:tab/>
        <w:t>a proposal of a prescribed class.</w:t>
      </w:r>
    </w:p>
    <w:p>
      <w:pPr>
        <w:pStyle w:val="Subsection"/>
      </w:pPr>
      <w:r>
        <w:tab/>
        <w:t>(2)</w:t>
      </w:r>
      <w:r>
        <w:tab/>
        <w:t>A requirement under subsection (1) must be in writing and must specify the period within which it has to be complied with.</w:t>
      </w:r>
    </w:p>
    <w:p>
      <w:pPr>
        <w:pStyle w:val="Subsection"/>
      </w:pPr>
      <w:r>
        <w:tab/>
        <w:t>(3)</w:t>
      </w:r>
      <w:r>
        <w:tab/>
        <w:t>A proponent or decision</w:t>
      </w:r>
      <w:r>
        <w:noBreakHyphen/>
        <w:t>making authority that is required under subsection (1) to refer a proposal to the Authority must do so within the period specified in the requirement.</w:t>
      </w:r>
    </w:p>
    <w:p>
      <w:pPr>
        <w:pStyle w:val="Subsection"/>
      </w:pPr>
      <w:r>
        <w:tab/>
        <w:t>(4)</w:t>
      </w:r>
      <w:r>
        <w:tab/>
        <w:t>In the case of a proposal under an assessed scheme, the Authority can only require the referral of the proposal if it did not, when it assessed the assessed scheme under Division 3, have sufficient scientific or technical information to enable it to assess the environmental issues raised by the proposal.</w:t>
      </w:r>
    </w:p>
    <w:p>
      <w:pPr>
        <w:pStyle w:val="Subsection"/>
      </w:pPr>
      <w:r>
        <w:lastRenderedPageBreak/>
        <w:tab/>
        <w:t>(5)</w:t>
      </w:r>
      <w:r>
        <w:tab/>
        <w:t>A requirement under subsection (1) has effect despite section 48I(2).</w:t>
      </w:r>
    </w:p>
    <w:p>
      <w:pPr>
        <w:pStyle w:val="Subsection"/>
      </w:pPr>
      <w:r>
        <w:tab/>
        <w:t>(6)</w:t>
      </w:r>
      <w:r>
        <w:tab/>
        <w:t>A proposal referred to the Authority under subsection (3) is taken to have been referred to the Authority under section 38.</w:t>
      </w:r>
    </w:p>
    <w:p>
      <w:pPr>
        <w:pStyle w:val="Footnotesection"/>
      </w:pPr>
      <w:r>
        <w:tab/>
        <w:t>[Section 38A inserted: No. 40 of 2020 s. 15.]</w:t>
      </w:r>
    </w:p>
    <w:p>
      <w:pPr>
        <w:pStyle w:val="Heading5"/>
      </w:pPr>
      <w:bookmarkStart w:id="68" w:name="_Toc158985367"/>
      <w:r>
        <w:rPr>
          <w:rStyle w:val="CharSectno"/>
        </w:rPr>
        <w:t>38B</w:t>
      </w:r>
      <w:r>
        <w:t>.</w:t>
      </w:r>
      <w:r>
        <w:tab/>
        <w:t>Requirements as to referrals</w:t>
      </w:r>
      <w:bookmarkEnd w:id="68"/>
    </w:p>
    <w:p>
      <w:pPr>
        <w:pStyle w:val="Subsection"/>
      </w:pPr>
      <w:r>
        <w:tab/>
        <w:t>(1)</w:t>
      </w:r>
      <w:r>
        <w:tab/>
        <w:t>A referral to the Authority must be in writing.</w:t>
      </w:r>
    </w:p>
    <w:p>
      <w:pPr>
        <w:pStyle w:val="Subsection"/>
      </w:pPr>
      <w:r>
        <w:tab/>
        <w:t>(2)</w:t>
      </w:r>
      <w:r>
        <w:tab/>
        <w:t xml:space="preserve">A proposal cannot be referred to the Authority more than once unless — </w:t>
      </w:r>
    </w:p>
    <w:p>
      <w:pPr>
        <w:pStyle w:val="Indenta"/>
      </w:pPr>
      <w:r>
        <w:tab/>
        <w:t>(a)</w:t>
      </w:r>
      <w:r>
        <w:tab/>
        <w:t>under section 38D, a referral of the proposal is taken to have been withdrawn; or</w:t>
      </w:r>
    </w:p>
    <w:p>
      <w:pPr>
        <w:pStyle w:val="Indenta"/>
      </w:pPr>
      <w:r>
        <w:tab/>
        <w:t>(b)</w:t>
      </w:r>
      <w:r>
        <w:tab/>
        <w:t>under section 38F(4), a referral of the proposal has been declared to have been withdrawn; or</w:t>
      </w:r>
    </w:p>
    <w:p>
      <w:pPr>
        <w:pStyle w:val="Indenta"/>
      </w:pPr>
      <w:r>
        <w:tab/>
        <w:t>(c)</w:t>
      </w:r>
      <w:r>
        <w:tab/>
        <w:t>under section 40A, assessment of the proposal has been terminated; or</w:t>
      </w:r>
    </w:p>
    <w:p>
      <w:pPr>
        <w:pStyle w:val="Indenta"/>
      </w:pPr>
      <w:r>
        <w:tab/>
        <w:t>(d)</w:t>
      </w:r>
      <w:r>
        <w:tab/>
        <w:t>under section 47A, a Ministerial statement relating to the proposal has been withdrawn or is taken to have been withdrawn.</w:t>
      </w:r>
    </w:p>
    <w:p>
      <w:pPr>
        <w:pStyle w:val="Footnotesection"/>
      </w:pPr>
      <w:r>
        <w:tab/>
        <w:t>[Section 38B inserted: No. 40 of 2020 s. 15.]</w:t>
      </w:r>
    </w:p>
    <w:p>
      <w:pPr>
        <w:pStyle w:val="Heading5"/>
      </w:pPr>
      <w:bookmarkStart w:id="69" w:name="_Toc158985368"/>
      <w:r>
        <w:rPr>
          <w:rStyle w:val="CharSectno"/>
        </w:rPr>
        <w:t>38C</w:t>
      </w:r>
      <w:r>
        <w:t>.</w:t>
      </w:r>
      <w:r>
        <w:tab/>
        <w:t>Proponent may amend a referred proposal</w:t>
      </w:r>
      <w:bookmarkEnd w:id="69"/>
    </w:p>
    <w:p>
      <w:pPr>
        <w:pStyle w:val="Subsection"/>
      </w:pPr>
      <w:r>
        <w:tab/>
        <w:t>(1)</w:t>
      </w:r>
      <w:r>
        <w:tab/>
        <w:t>At any time before the Authority decides whether or not to assess a referred proposal, the proponent may, by written notice, request the Authority to approve of the proposal being amended in the manner set out in the request.</w:t>
      </w:r>
    </w:p>
    <w:p>
      <w:pPr>
        <w:pStyle w:val="Subsection"/>
      </w:pPr>
      <w:r>
        <w:tab/>
        <w:t>(2)</w:t>
      </w:r>
      <w:r>
        <w:tab/>
        <w:t>The Authority may, at its discretion, give or refuse to give approval under subsection (1).</w:t>
      </w:r>
    </w:p>
    <w:p>
      <w:pPr>
        <w:pStyle w:val="Subsection"/>
        <w:keepNext/>
      </w:pPr>
      <w:r>
        <w:lastRenderedPageBreak/>
        <w:tab/>
        <w:t>(3)</w:t>
      </w:r>
      <w:r>
        <w:tab/>
        <w:t>If approval is given by the Authority the proposal as so amended is taken to have been referred to the Authority under section 38.</w:t>
      </w:r>
    </w:p>
    <w:p>
      <w:pPr>
        <w:pStyle w:val="Footnotesection"/>
      </w:pPr>
      <w:r>
        <w:tab/>
        <w:t>[Section 38C inserted: No. 40 of 2020 s. 15.]</w:t>
      </w:r>
    </w:p>
    <w:p>
      <w:pPr>
        <w:pStyle w:val="Heading5"/>
      </w:pPr>
      <w:bookmarkStart w:id="70" w:name="_Toc158985369"/>
      <w:r>
        <w:rPr>
          <w:rStyle w:val="CharSectno"/>
        </w:rPr>
        <w:t>38D</w:t>
      </w:r>
      <w:r>
        <w:t>.</w:t>
      </w:r>
      <w:r>
        <w:tab/>
        <w:t>Proponent may give notice that a referred proposal will not proceed</w:t>
      </w:r>
      <w:bookmarkEnd w:id="70"/>
    </w:p>
    <w:p>
      <w:pPr>
        <w:pStyle w:val="Subsection"/>
      </w:pPr>
      <w:r>
        <w:tab/>
        <w:t>(1)</w:t>
      </w:r>
      <w:r>
        <w:tab/>
        <w:t>If at any time before the Authority has decided whether or not to assess a referred proposal the Authority receives written notice from the proponent that the proponent does not wish to proceed with the proposal, the referral of the proposal is taken to have been withdrawn.</w:t>
      </w:r>
    </w:p>
    <w:p>
      <w:pPr>
        <w:pStyle w:val="Subsection"/>
      </w:pPr>
      <w:r>
        <w:tab/>
        <w:t>(2)</w:t>
      </w:r>
      <w:r>
        <w:tab/>
        <w:t xml:space="preserve">This section applies whether or not the proposal was referred to the Authority by the proponent. </w:t>
      </w:r>
    </w:p>
    <w:p>
      <w:pPr>
        <w:pStyle w:val="Footnotesection"/>
      </w:pPr>
      <w:r>
        <w:tab/>
        <w:t>[Section 38D inserted: No. 40 of 2020 s. 15.]</w:t>
      </w:r>
    </w:p>
    <w:p>
      <w:pPr>
        <w:pStyle w:val="Heading5"/>
      </w:pPr>
      <w:bookmarkStart w:id="71" w:name="_Toc158985370"/>
      <w:r>
        <w:rPr>
          <w:rStyle w:val="CharSectno"/>
        </w:rPr>
        <w:t>38E</w:t>
      </w:r>
      <w:r>
        <w:t>.</w:t>
      </w:r>
      <w:r>
        <w:tab/>
        <w:t>Proposals derived from assessed strategic proposals</w:t>
      </w:r>
      <w:bookmarkEnd w:id="71"/>
    </w:p>
    <w:p>
      <w:pPr>
        <w:pStyle w:val="Subsection"/>
      </w:pPr>
      <w:r>
        <w:tab/>
        <w:t>(1)</w:t>
      </w:r>
      <w:r>
        <w:tab/>
        <w:t xml:space="preserve">A referred proposal may be dealt with under this section if — </w:t>
      </w:r>
    </w:p>
    <w:p>
      <w:pPr>
        <w:pStyle w:val="Indenta"/>
      </w:pPr>
      <w:r>
        <w:tab/>
        <w:t>(a)</w:t>
      </w:r>
      <w:r>
        <w:tab/>
        <w:t xml:space="preserve">there has been an assessment under this Division (the </w:t>
      </w:r>
      <w:r>
        <w:rPr>
          <w:rStyle w:val="CharDefText"/>
        </w:rPr>
        <w:t>strategic assessment</w:t>
      </w:r>
      <w:r>
        <w:t>) of a strategic proposal; and</w:t>
      </w:r>
    </w:p>
    <w:p>
      <w:pPr>
        <w:pStyle w:val="Indenta"/>
      </w:pPr>
      <w:r>
        <w:tab/>
        <w:t>(b)</w:t>
      </w:r>
      <w:r>
        <w:tab/>
        <w:t>a Ministerial statement has been published in relation to the strategic proposal.</w:t>
      </w:r>
    </w:p>
    <w:p>
      <w:pPr>
        <w:pStyle w:val="Subsection"/>
      </w:pPr>
      <w:r>
        <w:tab/>
        <w:t>(2)</w:t>
      </w:r>
      <w:r>
        <w:tab/>
        <w:t>If this section applies, the proponent of a referred proposal may request the Authority in writing to declare the referred proposal to be a derived proposal.</w:t>
      </w:r>
    </w:p>
    <w:p>
      <w:pPr>
        <w:pStyle w:val="Subsection"/>
      </w:pPr>
      <w:r>
        <w:tab/>
        <w:t>(3)</w:t>
      </w:r>
      <w:r>
        <w:tab/>
        <w:t>If the proposal is referred by the proponent, a request under subsection (2) may be made in the referral.</w:t>
      </w:r>
    </w:p>
    <w:p>
      <w:pPr>
        <w:pStyle w:val="Subsection"/>
      </w:pPr>
      <w:r>
        <w:tab/>
        <w:t>(4)</w:t>
      </w:r>
      <w:r>
        <w:tab/>
        <w:t>If a request is made under subsection (2), the Authority must declare the referred proposal to be a derived proposal if it considers that —</w:t>
      </w:r>
    </w:p>
    <w:p>
      <w:pPr>
        <w:pStyle w:val="Indenta"/>
      </w:pPr>
      <w:r>
        <w:tab/>
        <w:t>(a)</w:t>
      </w:r>
      <w:r>
        <w:tab/>
        <w:t>the referred proposal was identified in the strategic proposal; and</w:t>
      </w:r>
    </w:p>
    <w:p>
      <w:pPr>
        <w:pStyle w:val="Indenta"/>
      </w:pPr>
      <w:r>
        <w:lastRenderedPageBreak/>
        <w:tab/>
        <w:t>(b)</w:t>
      </w:r>
      <w:r>
        <w:tab/>
        <w:t>in the implementation agreement or decision set out in the statement mentioned in subsection (1)(b) it was agreed or decided that the referred proposal could be implemented, or could be implemented subject to conditions and procedures agreed or decided under section 45.</w:t>
      </w:r>
    </w:p>
    <w:p>
      <w:pPr>
        <w:pStyle w:val="Subsection"/>
      </w:pPr>
      <w:r>
        <w:tab/>
        <w:t>(5)</w:t>
      </w:r>
      <w:r>
        <w:tab/>
        <w:t>Despite subsection (4), the Authority may refuse to declare the referred proposal to be a derived proposal if it considers that —</w:t>
      </w:r>
    </w:p>
    <w:p>
      <w:pPr>
        <w:pStyle w:val="Indenta"/>
      </w:pPr>
      <w:r>
        <w:tab/>
        <w:t>(a)</w:t>
      </w:r>
      <w:r>
        <w:tab/>
        <w:t>environmental issues raised by the proposal were not adequately assessed in the strategic assessment; or</w:t>
      </w:r>
    </w:p>
    <w:p>
      <w:pPr>
        <w:pStyle w:val="Indenta"/>
      </w:pPr>
      <w:r>
        <w:tab/>
        <w:t>(b)</w:t>
      </w:r>
      <w:r>
        <w:tab/>
        <w:t>there is significant new or additional information that justifies the reassessment of the issues raised by the proposal; or</w:t>
      </w:r>
    </w:p>
    <w:p>
      <w:pPr>
        <w:pStyle w:val="Indenta"/>
      </w:pPr>
      <w:r>
        <w:tab/>
        <w:t>(c)</w:t>
      </w:r>
      <w:r>
        <w:tab/>
        <w:t>there has been a significant change in the relevant environmental factors since the strategic assessment was completed.</w:t>
      </w:r>
    </w:p>
    <w:p>
      <w:pPr>
        <w:pStyle w:val="Subsection"/>
      </w:pPr>
      <w:r>
        <w:tab/>
        <w:t>(6)</w:t>
      </w:r>
      <w:r>
        <w:tab/>
        <w:t>If the Authority declares the referred proposal to be a derived proposal, it must —</w:t>
      </w:r>
    </w:p>
    <w:p>
      <w:pPr>
        <w:pStyle w:val="Indenta"/>
      </w:pPr>
      <w:r>
        <w:tab/>
        <w:t>(a)</w:t>
      </w:r>
      <w:r>
        <w:tab/>
        <w:t>record the declaration in the public record kept under section 39(1); and</w:t>
      </w:r>
    </w:p>
    <w:p>
      <w:pPr>
        <w:pStyle w:val="Indenta"/>
      </w:pPr>
      <w:r>
        <w:tab/>
        <w:t>(b)</w:t>
      </w:r>
      <w:r>
        <w:tab/>
        <w:t>give written notice of the declaration to the Minister.</w:t>
      </w:r>
    </w:p>
    <w:p>
      <w:pPr>
        <w:pStyle w:val="Subsection"/>
      </w:pPr>
      <w:r>
        <w:tab/>
        <w:t>(7)</w:t>
      </w:r>
      <w:r>
        <w:tab/>
        <w:t>If the Authority declares the referred proposal to be a derived proposal, it cannot decide to assess the proposal except for the purposes of conducting an inquiry under section 46(4).</w:t>
      </w:r>
    </w:p>
    <w:p>
      <w:pPr>
        <w:pStyle w:val="Subsection"/>
      </w:pPr>
      <w:r>
        <w:tab/>
        <w:t>(8)</w:t>
      </w:r>
      <w:r>
        <w:tab/>
        <w:t>If the Authority refuses to declare the referred proposal to be a derived proposal, it must give written notice of the refusal to the proponent.</w:t>
      </w:r>
    </w:p>
    <w:p>
      <w:pPr>
        <w:pStyle w:val="Subsection"/>
      </w:pPr>
      <w:r>
        <w:tab/>
        <w:t>(9)</w:t>
      </w:r>
      <w:r>
        <w:tab/>
        <w:t>A notice under subsection (8) may be included in the notice given under section 38G(1)(b)(i).</w:t>
      </w:r>
    </w:p>
    <w:p>
      <w:pPr>
        <w:pStyle w:val="Subsection"/>
        <w:keepNext/>
      </w:pPr>
      <w:r>
        <w:lastRenderedPageBreak/>
        <w:tab/>
        <w:t>(10)</w:t>
      </w:r>
      <w:r>
        <w:tab/>
        <w:t>For the purposes of this section it does not matter whether the proponent of the referred proposal was, or was not, the proponent of the strategic proposal.</w:t>
      </w:r>
    </w:p>
    <w:p>
      <w:pPr>
        <w:pStyle w:val="Footnotesection"/>
      </w:pPr>
      <w:r>
        <w:tab/>
        <w:t>[Section 38E inserted: No. 40 of 2020 s. 15.]</w:t>
      </w:r>
    </w:p>
    <w:p>
      <w:pPr>
        <w:pStyle w:val="Heading5"/>
      </w:pPr>
      <w:bookmarkStart w:id="72" w:name="_Toc158985371"/>
      <w:r>
        <w:rPr>
          <w:rStyle w:val="CharSectno"/>
        </w:rPr>
        <w:t>38F</w:t>
      </w:r>
      <w:r>
        <w:t>.</w:t>
      </w:r>
      <w:r>
        <w:tab/>
        <w:t>Request for further information</w:t>
      </w:r>
      <w:bookmarkEnd w:id="72"/>
    </w:p>
    <w:p>
      <w:pPr>
        <w:pStyle w:val="Subsection"/>
      </w:pPr>
      <w:r>
        <w:tab/>
        <w:t>(1)</w:t>
      </w:r>
      <w:r>
        <w:tab/>
        <w:t>This subsection applies if the Authority considers that it does not have enough information about a referred proposal to enable it to decide —</w:t>
      </w:r>
    </w:p>
    <w:p>
      <w:pPr>
        <w:pStyle w:val="Indenta"/>
      </w:pPr>
      <w:r>
        <w:tab/>
        <w:t>(a)</w:t>
      </w:r>
      <w:r>
        <w:tab/>
        <w:t>whether or not to assess the proposal; or</w:t>
      </w:r>
    </w:p>
    <w:p>
      <w:pPr>
        <w:pStyle w:val="Indenta"/>
      </w:pPr>
      <w:r>
        <w:tab/>
        <w:t>(b)</w:t>
      </w:r>
      <w:r>
        <w:tab/>
        <w:t>whether or not to agree to a request made under section 38E(2).</w:t>
      </w:r>
    </w:p>
    <w:p>
      <w:pPr>
        <w:pStyle w:val="Subsection"/>
      </w:pPr>
      <w:r>
        <w:tab/>
        <w:t>(2)</w:t>
      </w:r>
      <w:r>
        <w:tab/>
        <w:t xml:space="preserve">If subsection (1) applies, the Authority may, by written notice (a </w:t>
      </w:r>
      <w:r>
        <w:rPr>
          <w:rStyle w:val="CharDefText"/>
        </w:rPr>
        <w:t>requisition</w:t>
      </w:r>
      <w:r>
        <w:t xml:space="preserve">), request any person to provide it with additional information about the proposal before the end of a period specified in the notice (the </w:t>
      </w:r>
      <w:r>
        <w:rPr>
          <w:rStyle w:val="CharDefText"/>
        </w:rPr>
        <w:t>compliance period</w:t>
      </w:r>
      <w:r>
        <w:t>).</w:t>
      </w:r>
    </w:p>
    <w:p>
      <w:pPr>
        <w:pStyle w:val="Subsection"/>
      </w:pPr>
      <w:r>
        <w:tab/>
        <w:t>(3)</w:t>
      </w:r>
      <w:r>
        <w:tab/>
        <w:t xml:space="preserve">In determining whether the 28 day period set by section 38G(1) has ended the following are to be disregarded — </w:t>
      </w:r>
    </w:p>
    <w:p>
      <w:pPr>
        <w:pStyle w:val="Indenta"/>
      </w:pPr>
      <w:r>
        <w:tab/>
        <w:t>(a)</w:t>
      </w:r>
      <w:r>
        <w:tab/>
        <w:t>if a requisition is complied with within the compliance period — the period from the day on which it was issued until the day on which it was complied with;</w:t>
      </w:r>
    </w:p>
    <w:p>
      <w:pPr>
        <w:pStyle w:val="Indenta"/>
      </w:pPr>
      <w:r>
        <w:tab/>
        <w:t>(b)</w:t>
      </w:r>
      <w:r>
        <w:tab/>
        <w:t>if a requisition is not complied with within the compliance period — the compliance period.</w:t>
      </w:r>
    </w:p>
    <w:p>
      <w:pPr>
        <w:pStyle w:val="Subsection"/>
      </w:pPr>
      <w:r>
        <w:tab/>
        <w:t>(4)</w:t>
      </w:r>
      <w:r>
        <w:tab/>
        <w:t>If a requisition in relation to a proposal is issued to the person who referred the proposal and the compliance period ends without the requisition having been complied with, the Authority may, by written notice to the person, declare the referral to have been withdrawn.</w:t>
      </w:r>
    </w:p>
    <w:p>
      <w:pPr>
        <w:pStyle w:val="Subsection"/>
      </w:pPr>
      <w:r>
        <w:tab/>
        <w:t>(5)</w:t>
      </w:r>
      <w:r>
        <w:tab/>
        <w:t xml:space="preserve">If the proposal was not referred by the proponent, the Authority must obtain the consent of the proponent before giving notice under subsection (4). </w:t>
      </w:r>
    </w:p>
    <w:p>
      <w:pPr>
        <w:pStyle w:val="Footnotesection"/>
      </w:pPr>
      <w:r>
        <w:tab/>
        <w:t>[Section 38F inserted: No. 40 of 2020 s. 15.]</w:t>
      </w:r>
    </w:p>
    <w:p>
      <w:pPr>
        <w:pStyle w:val="Heading5"/>
      </w:pPr>
      <w:bookmarkStart w:id="73" w:name="_Toc158985372"/>
      <w:r>
        <w:rPr>
          <w:rStyle w:val="CharSectno"/>
        </w:rPr>
        <w:lastRenderedPageBreak/>
        <w:t>38G</w:t>
      </w:r>
      <w:r>
        <w:t>.</w:t>
      </w:r>
      <w:r>
        <w:tab/>
        <w:t>Authority must decide whether to assess a referred proposal</w:t>
      </w:r>
      <w:bookmarkEnd w:id="73"/>
      <w:r>
        <w:t xml:space="preserve"> </w:t>
      </w:r>
    </w:p>
    <w:p>
      <w:pPr>
        <w:pStyle w:val="Subsection"/>
        <w:keepNext/>
      </w:pPr>
      <w:r>
        <w:tab/>
        <w:t>(1)</w:t>
      </w:r>
      <w:r>
        <w:tab/>
        <w:t xml:space="preserve">The Authority must, within 28 days after the referral of a proposal — </w:t>
      </w:r>
    </w:p>
    <w:p>
      <w:pPr>
        <w:pStyle w:val="Indenta"/>
      </w:pPr>
      <w:r>
        <w:tab/>
        <w:t>(a)</w:t>
      </w:r>
      <w:r>
        <w:tab/>
        <w:t>decide whether or not to assess the referred proposal; and</w:t>
      </w:r>
    </w:p>
    <w:p>
      <w:pPr>
        <w:pStyle w:val="Indenta"/>
      </w:pPr>
      <w:r>
        <w:tab/>
        <w:t>(b)</w:t>
      </w:r>
      <w:r>
        <w:tab/>
        <w:t>give written notice of the decision —</w:t>
      </w:r>
    </w:p>
    <w:p>
      <w:pPr>
        <w:pStyle w:val="Indenti"/>
      </w:pPr>
      <w:r>
        <w:tab/>
        <w:t>(i)</w:t>
      </w:r>
      <w:r>
        <w:tab/>
        <w:t>to the proponent; and</w:t>
      </w:r>
    </w:p>
    <w:p>
      <w:pPr>
        <w:pStyle w:val="Indenti"/>
      </w:pPr>
      <w:r>
        <w:tab/>
        <w:t>(ii)</w:t>
      </w:r>
      <w:r>
        <w:tab/>
        <w:t>if the proposal was not referred by the proponent — to the person that referred it; and</w:t>
      </w:r>
    </w:p>
    <w:p>
      <w:pPr>
        <w:pStyle w:val="Indenti"/>
      </w:pPr>
      <w:r>
        <w:tab/>
        <w:t>(iii)</w:t>
      </w:r>
      <w:r>
        <w:tab/>
        <w:t>to any decision</w:t>
      </w:r>
      <w:r>
        <w:noBreakHyphen/>
        <w:t>making authority determined by the Authority to be a relevant decision</w:t>
      </w:r>
      <w:r>
        <w:noBreakHyphen/>
        <w:t>making authority in relation to the proposal.</w:t>
      </w:r>
    </w:p>
    <w:p>
      <w:pPr>
        <w:pStyle w:val="Subsection"/>
      </w:pPr>
      <w:r>
        <w:tab/>
        <w:t>(2)</w:t>
      </w:r>
      <w:r>
        <w:tab/>
        <w:t xml:space="preserve">Subsection (1) does not apply if — </w:t>
      </w:r>
    </w:p>
    <w:p>
      <w:pPr>
        <w:pStyle w:val="Indenta"/>
      </w:pPr>
      <w:r>
        <w:tab/>
        <w:t>(a)</w:t>
      </w:r>
      <w:r>
        <w:tab/>
        <w:t>under section 38D, the referral is taken to have been withdrawn; or</w:t>
      </w:r>
    </w:p>
    <w:p>
      <w:pPr>
        <w:pStyle w:val="Indenta"/>
      </w:pPr>
      <w:r>
        <w:tab/>
        <w:t>(b)</w:t>
      </w:r>
      <w:r>
        <w:tab/>
        <w:t>the proposal is declared under section 38E to be a derived proposal; or</w:t>
      </w:r>
    </w:p>
    <w:p>
      <w:pPr>
        <w:pStyle w:val="Indenta"/>
      </w:pPr>
      <w:r>
        <w:tab/>
        <w:t>(c)</w:t>
      </w:r>
      <w:r>
        <w:tab/>
        <w:t>under section 38F(4), the referral has been declared to have been withdrawn.</w:t>
      </w:r>
    </w:p>
    <w:p>
      <w:pPr>
        <w:pStyle w:val="Subsection"/>
      </w:pPr>
      <w:r>
        <w:tab/>
        <w:t>(3)</w:t>
      </w:r>
      <w:r>
        <w:tab/>
        <w:t>The Authority’s decision under subsection (1) must be based on —</w:t>
      </w:r>
    </w:p>
    <w:p>
      <w:pPr>
        <w:pStyle w:val="Indenta"/>
      </w:pPr>
      <w:r>
        <w:tab/>
        <w:t>(a)</w:t>
      </w:r>
      <w:r>
        <w:tab/>
        <w:t>any information submitted to it when the proposal was referred; and</w:t>
      </w:r>
    </w:p>
    <w:p>
      <w:pPr>
        <w:pStyle w:val="Indenta"/>
      </w:pPr>
      <w:r>
        <w:tab/>
        <w:t>(b)</w:t>
      </w:r>
      <w:r>
        <w:tab/>
        <w:t>any additional information provided to it under section 38F; and</w:t>
      </w:r>
    </w:p>
    <w:p>
      <w:pPr>
        <w:pStyle w:val="Indenta"/>
      </w:pPr>
      <w:r>
        <w:tab/>
        <w:t>(c)</w:t>
      </w:r>
      <w:r>
        <w:tab/>
        <w:t>any information derived from its own investigations and inquiries.</w:t>
      </w:r>
    </w:p>
    <w:p>
      <w:pPr>
        <w:pStyle w:val="Subsection"/>
      </w:pPr>
      <w:r>
        <w:tab/>
        <w:t>(4)</w:t>
      </w:r>
      <w:r>
        <w:tab/>
        <w:t>In making its decision under subsection (1) the Authority may take into account other statutory decision</w:t>
      </w:r>
      <w:r>
        <w:noBreakHyphen/>
        <w:t>making processes that can mitigate the potential impacts of the proposal on the environment.</w:t>
      </w:r>
    </w:p>
    <w:p>
      <w:pPr>
        <w:pStyle w:val="Subsection"/>
      </w:pPr>
      <w:r>
        <w:lastRenderedPageBreak/>
        <w:tab/>
        <w:t>(5)</w:t>
      </w:r>
      <w:r>
        <w:tab/>
        <w:t>If, for any reason, a relevant decision</w:t>
      </w:r>
      <w:r>
        <w:noBreakHyphen/>
        <w:t>making authority is not given notice as required by subsection (1)(b)(iii) that a proposal is going to be assessed, the Authority may give written notice to the decision</w:t>
      </w:r>
      <w:r>
        <w:noBreakHyphen/>
        <w:t>making authority under this subsection.</w:t>
      </w:r>
    </w:p>
    <w:p>
      <w:pPr>
        <w:pStyle w:val="Subsection"/>
      </w:pPr>
      <w:r>
        <w:tab/>
        <w:t>(6)</w:t>
      </w:r>
      <w:r>
        <w:tab/>
        <w:t>Notice under subsection (5) may be given by the Authority of its own motion or at the request of the decision</w:t>
      </w:r>
      <w:r>
        <w:noBreakHyphen/>
        <w:t>making authority, and may be given at any time before a report on the proposal is given to the Minister under section 44(1).</w:t>
      </w:r>
    </w:p>
    <w:p>
      <w:pPr>
        <w:pStyle w:val="Subsection"/>
      </w:pPr>
      <w:r>
        <w:tab/>
        <w:t>(7)</w:t>
      </w:r>
      <w:r>
        <w:tab/>
        <w:t>If the Authority decides not to assess a proposal, it may nevertheless give advice and make recommendations on the environmental aspects of the proposal to the proponent or any other relevant person or authority.</w:t>
      </w:r>
    </w:p>
    <w:p>
      <w:pPr>
        <w:pStyle w:val="Footnotesection"/>
      </w:pPr>
      <w:r>
        <w:tab/>
        <w:t>[Section 38G inserted: No. 40 of 2020 s. 15.]</w:t>
      </w:r>
    </w:p>
    <w:p>
      <w:pPr>
        <w:pStyle w:val="Heading5"/>
      </w:pPr>
      <w:bookmarkStart w:id="74" w:name="_Toc158985373"/>
      <w:r>
        <w:rPr>
          <w:rStyle w:val="CharSectno"/>
        </w:rPr>
        <w:t>38H</w:t>
      </w:r>
      <w:r>
        <w:t>.</w:t>
      </w:r>
      <w:r>
        <w:tab/>
        <w:t>Nomination of person responsible for proposal</w:t>
      </w:r>
      <w:bookmarkEnd w:id="74"/>
    </w:p>
    <w:p>
      <w:pPr>
        <w:pStyle w:val="Subsection"/>
      </w:pPr>
      <w:r>
        <w:tab/>
        <w:t>(1)</w:t>
      </w:r>
      <w:r>
        <w:tab/>
        <w:t xml:space="preserve">This section applies to a proposal if — </w:t>
      </w:r>
    </w:p>
    <w:p>
      <w:pPr>
        <w:pStyle w:val="Indenta"/>
      </w:pPr>
      <w:r>
        <w:tab/>
        <w:t>(a)</w:t>
      </w:r>
      <w:r>
        <w:tab/>
        <w:t xml:space="preserve">the proposal is referred, or is required to be referred, to the Authority under section 38; and </w:t>
      </w:r>
    </w:p>
    <w:p>
      <w:pPr>
        <w:pStyle w:val="Indenta"/>
      </w:pPr>
      <w:r>
        <w:tab/>
        <w:t>(b)</w:t>
      </w:r>
      <w:r>
        <w:tab/>
        <w:t>the Authority decides that the proposal should be assessed by it under this Part.</w:t>
      </w:r>
    </w:p>
    <w:p>
      <w:pPr>
        <w:pStyle w:val="Subsection"/>
      </w:pPr>
      <w:r>
        <w:tab/>
        <w:t>(2)</w:t>
      </w:r>
      <w:r>
        <w:tab/>
        <w:t>Except when the responsibility for a proposal is imposed on a public authority under another written law, the Authority must nominate a person as being responsible for the proposal.</w:t>
      </w:r>
    </w:p>
    <w:p>
      <w:pPr>
        <w:pStyle w:val="Subsection"/>
      </w:pPr>
      <w:r>
        <w:tab/>
        <w:t>(3)</w:t>
      </w:r>
      <w:r>
        <w:tab/>
        <w:t xml:space="preserve">If an individual is nominated under subsection (2), the nomination may be made — </w:t>
      </w:r>
    </w:p>
    <w:p>
      <w:pPr>
        <w:pStyle w:val="Indenta"/>
      </w:pPr>
      <w:r>
        <w:tab/>
        <w:t>(a)</w:t>
      </w:r>
      <w:r>
        <w:tab/>
        <w:t>by reference to the individual’s name; or</w:t>
      </w:r>
    </w:p>
    <w:p>
      <w:pPr>
        <w:pStyle w:val="Indenta"/>
      </w:pPr>
      <w:r>
        <w:tab/>
        <w:t>(b)</w:t>
      </w:r>
      <w:r>
        <w:tab/>
        <w:t>by reference to the individual being the person for the time being holding or acting in a particular office or position.</w:t>
      </w:r>
    </w:p>
    <w:p>
      <w:pPr>
        <w:pStyle w:val="Subsection"/>
        <w:keepNext/>
      </w:pPr>
      <w:r>
        <w:lastRenderedPageBreak/>
        <w:tab/>
        <w:t>(4)</w:t>
      </w:r>
      <w:r>
        <w:tab/>
        <w:t>Written notice of a nomination under subsection (2) must be served on —</w:t>
      </w:r>
    </w:p>
    <w:p>
      <w:pPr>
        <w:pStyle w:val="Indenta"/>
      </w:pPr>
      <w:r>
        <w:tab/>
        <w:t>(a)</w:t>
      </w:r>
      <w:r>
        <w:tab/>
        <w:t>the person nominated; and</w:t>
      </w:r>
    </w:p>
    <w:p>
      <w:pPr>
        <w:pStyle w:val="Indenta"/>
      </w:pPr>
      <w:r>
        <w:tab/>
        <w:t>(b)</w:t>
      </w:r>
      <w:r>
        <w:tab/>
        <w:t>any decision</w:t>
      </w:r>
      <w:r>
        <w:noBreakHyphen/>
        <w:t>making authority to which or whom notice of the Authority’s decision to assess the proposal has been given under section 38G(1)(b)(iii) or (5).</w:t>
      </w:r>
    </w:p>
    <w:p>
      <w:pPr>
        <w:pStyle w:val="Footnotesection"/>
      </w:pPr>
      <w:r>
        <w:tab/>
        <w:t>[Section 38H inserted: No. 40 of 2020 s. 15.]</w:t>
      </w:r>
    </w:p>
    <w:p>
      <w:pPr>
        <w:pStyle w:val="Heading5"/>
      </w:pPr>
      <w:bookmarkStart w:id="75" w:name="_Toc158985374"/>
      <w:r>
        <w:rPr>
          <w:rStyle w:val="CharSectno"/>
        </w:rPr>
        <w:t>38I</w:t>
      </w:r>
      <w:r>
        <w:t>.</w:t>
      </w:r>
      <w:r>
        <w:tab/>
        <w:t>Change of person responsible for proposal</w:t>
      </w:r>
      <w:bookmarkEnd w:id="75"/>
    </w:p>
    <w:p>
      <w:pPr>
        <w:pStyle w:val="Subsection"/>
      </w:pPr>
      <w:r>
        <w:tab/>
        <w:t>(1)</w:t>
      </w:r>
      <w:r>
        <w:tab/>
        <w:t xml:space="preserve">A person nominated under section 38H(2) in relation to a proposal that proposes to transfer responsibility for the proposal to another person must give written notice advising the name of that other person — </w:t>
      </w:r>
    </w:p>
    <w:p>
      <w:pPr>
        <w:pStyle w:val="Indenta"/>
      </w:pPr>
      <w:r>
        <w:tab/>
        <w:t>(a)</w:t>
      </w:r>
      <w:r>
        <w:tab/>
        <w:t>to the Authority; or</w:t>
      </w:r>
    </w:p>
    <w:p>
      <w:pPr>
        <w:pStyle w:val="Indenta"/>
      </w:pPr>
      <w:r>
        <w:tab/>
        <w:t>(b)</w:t>
      </w:r>
      <w:r>
        <w:tab/>
        <w:t>if a statement relating to the proposal has been published under section 45(8)(b) — to the Minister.</w:t>
      </w:r>
    </w:p>
    <w:p>
      <w:pPr>
        <w:pStyle w:val="Subsection"/>
      </w:pPr>
      <w:r>
        <w:tab/>
        <w:t>(2)</w:t>
      </w:r>
      <w:r>
        <w:tab/>
        <w:t xml:space="preserve">The Authority may — </w:t>
      </w:r>
    </w:p>
    <w:p>
      <w:pPr>
        <w:pStyle w:val="Indenta"/>
      </w:pPr>
      <w:r>
        <w:tab/>
        <w:t>(a)</w:t>
      </w:r>
      <w:r>
        <w:tab/>
        <w:t xml:space="preserve">revoke a nomination under section 38H(2) in relation to a proposal; and </w:t>
      </w:r>
    </w:p>
    <w:p>
      <w:pPr>
        <w:pStyle w:val="Indenta"/>
      </w:pPr>
      <w:r>
        <w:tab/>
        <w:t>(b)</w:t>
      </w:r>
      <w:r>
        <w:tab/>
        <w:t>nominate another person under section 38H(2) in relation to the proposal.</w:t>
      </w:r>
    </w:p>
    <w:p>
      <w:pPr>
        <w:pStyle w:val="Subsection"/>
      </w:pPr>
      <w:r>
        <w:tab/>
        <w:t>(3)</w:t>
      </w:r>
      <w:r>
        <w:tab/>
        <w:t xml:space="preserve">Subsection (2) applies even if — </w:t>
      </w:r>
    </w:p>
    <w:p>
      <w:pPr>
        <w:pStyle w:val="Indenta"/>
      </w:pPr>
      <w:r>
        <w:tab/>
        <w:t>(a)</w:t>
      </w:r>
      <w:r>
        <w:tab/>
        <w:t>no written notice has been given to the Authority under subsection (1); or</w:t>
      </w:r>
    </w:p>
    <w:p>
      <w:pPr>
        <w:pStyle w:val="Indenta"/>
      </w:pPr>
      <w:r>
        <w:tab/>
        <w:t>(b)</w:t>
      </w:r>
      <w:r>
        <w:tab/>
        <w:t>the person mentioned in subsection (2)(b) is not the person named in a written notice given to the Authority under subsection (1).</w:t>
      </w:r>
    </w:p>
    <w:p>
      <w:pPr>
        <w:pStyle w:val="Subsection"/>
      </w:pPr>
      <w:r>
        <w:tab/>
        <w:t>(4)</w:t>
      </w:r>
      <w:r>
        <w:tab/>
        <w:t>Subsections (1) and (2) apply even if a report on the proposal has been published under section 44(3) or a statement has been published under section 45(8)(b) but, if a statement has been published, the powers conferred by subsection (2) must be exercised by the Minister.</w:t>
      </w:r>
    </w:p>
    <w:p>
      <w:pPr>
        <w:pStyle w:val="Subsection"/>
      </w:pPr>
      <w:r>
        <w:lastRenderedPageBreak/>
        <w:tab/>
        <w:t>(5)</w:t>
      </w:r>
      <w:r>
        <w:tab/>
        <w:t>Subsections (1) and (2) do not apply if the assessment of the proposal has been terminated under section 40A.</w:t>
      </w:r>
    </w:p>
    <w:p>
      <w:pPr>
        <w:pStyle w:val="Subsection"/>
      </w:pPr>
      <w:r>
        <w:tab/>
        <w:t>(6)</w:t>
      </w:r>
      <w:r>
        <w:tab/>
        <w:t>For the purposes of subsections (1) and (2) and section 3(2b), a person that has been notified under section 38G(1)(b)(i) that the Authority is going to assess a proposal is taken to have been nominated under section 38H(2) as being responsible for the proposal whether or not such a nomination has been made.</w:t>
      </w:r>
    </w:p>
    <w:p>
      <w:pPr>
        <w:pStyle w:val="Footnotesection"/>
      </w:pPr>
      <w:r>
        <w:tab/>
        <w:t>[Section 38I inserted: No. 40 of 2020 s. 15.]</w:t>
      </w:r>
    </w:p>
    <w:p>
      <w:pPr>
        <w:pStyle w:val="Heading5"/>
      </w:pPr>
      <w:bookmarkStart w:id="76" w:name="_Toc158985375"/>
      <w:r>
        <w:rPr>
          <w:rStyle w:val="CharSectno"/>
        </w:rPr>
        <w:t>39</w:t>
      </w:r>
      <w:r>
        <w:t>.</w:t>
      </w:r>
      <w:r>
        <w:tab/>
        <w:t>Authority to keep records of referred proposals</w:t>
      </w:r>
      <w:bookmarkEnd w:id="76"/>
      <w:r>
        <w:t xml:space="preserve"> </w:t>
      </w:r>
    </w:p>
    <w:p>
      <w:pPr>
        <w:pStyle w:val="Subsection"/>
      </w:pPr>
      <w:r>
        <w:tab/>
      </w:r>
      <w:r>
        <w:tab/>
        <w:t xml:space="preserve">The Authority must keep a public record of each referred proposal, and shall in that public record set out — </w:t>
      </w:r>
    </w:p>
    <w:p>
      <w:pPr>
        <w:pStyle w:val="Indenta"/>
      </w:pPr>
      <w:r>
        <w:tab/>
        <w:t>(a)</w:t>
      </w:r>
      <w:r>
        <w:tab/>
        <w:t>whether or not that proposal is to be assessed under this Part; and</w:t>
      </w:r>
    </w:p>
    <w:p>
      <w:pPr>
        <w:pStyle w:val="Indenta"/>
      </w:pPr>
      <w:r>
        <w:tab/>
        <w:t>(b)</w:t>
      </w:r>
      <w:r>
        <w:tab/>
        <w:t>if the proposal is to be assessed under this Part, the level of assessment.</w:t>
      </w:r>
    </w:p>
    <w:p>
      <w:pPr>
        <w:pStyle w:val="Footnotesection"/>
      </w:pPr>
      <w:r>
        <w:tab/>
        <w:t>[Section 39 inserted: No. 40 of 2020 s. 16.]</w:t>
      </w:r>
    </w:p>
    <w:p>
      <w:pPr>
        <w:pStyle w:val="Ednotesection"/>
      </w:pPr>
      <w:r>
        <w:t>[</w:t>
      </w:r>
      <w:r>
        <w:rPr>
          <w:b/>
        </w:rPr>
        <w:t>39A, 39B.</w:t>
      </w:r>
      <w:r>
        <w:tab/>
        <w:t>Deleted: No. 40 of 2020 s. 17.]</w:t>
      </w:r>
    </w:p>
    <w:p>
      <w:pPr>
        <w:pStyle w:val="Heading5"/>
        <w:rPr>
          <w:snapToGrid w:val="0"/>
        </w:rPr>
      </w:pPr>
      <w:bookmarkStart w:id="77" w:name="_Toc158985376"/>
      <w:r>
        <w:rPr>
          <w:rStyle w:val="CharSectno"/>
        </w:rPr>
        <w:t>40</w:t>
      </w:r>
      <w:r>
        <w:rPr>
          <w:snapToGrid w:val="0"/>
        </w:rPr>
        <w:t>.</w:t>
      </w:r>
      <w:r>
        <w:rPr>
          <w:snapToGrid w:val="0"/>
        </w:rPr>
        <w:tab/>
        <w:t>Assessing referred proposals</w:t>
      </w:r>
      <w:bookmarkEnd w:id="77"/>
      <w:r>
        <w:rPr>
          <w:snapToGrid w:val="0"/>
        </w:rPr>
        <w:t xml:space="preserve"> </w:t>
      </w:r>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w:t>
      </w:r>
    </w:p>
    <w:p>
      <w:pPr>
        <w:pStyle w:val="Indenta"/>
        <w:rPr>
          <w:snapToGrid w:val="0"/>
        </w:rPr>
      </w:pPr>
      <w:r>
        <w:rPr>
          <w:snapToGrid w:val="0"/>
        </w:rPr>
        <w:tab/>
        <w:t>(a)</w:t>
      </w:r>
      <w:r>
        <w:rPr>
          <w:snapToGrid w:val="0"/>
        </w:rPr>
        <w:tab/>
        <w:t>require any person to provide it with such information as is specified in that requirement; or</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 or</w:t>
      </w:r>
    </w:p>
    <w:p>
      <w:pPr>
        <w:pStyle w:val="Indenta"/>
        <w:rPr>
          <w:snapToGrid w:val="0"/>
        </w:rPr>
      </w:pPr>
      <w:r>
        <w:rPr>
          <w:snapToGrid w:val="0"/>
        </w:rPr>
        <w:tab/>
        <w:t>(b)</w:t>
      </w:r>
      <w:r>
        <w:rPr>
          <w:snapToGrid w:val="0"/>
        </w:rPr>
        <w:tab/>
        <w:t>require the proponent to undertake an environmental review and to report thereon to the Authority; or</w:t>
      </w:r>
    </w:p>
    <w:p>
      <w:pPr>
        <w:pStyle w:val="Indenta"/>
        <w:keepNext/>
        <w:rPr>
          <w:snapToGrid w:val="0"/>
        </w:rPr>
      </w:pPr>
      <w:r>
        <w:rPr>
          <w:snapToGrid w:val="0"/>
        </w:rPr>
        <w:lastRenderedPageBreak/>
        <w:tab/>
        <w:t>(c)</w:t>
      </w:r>
      <w:r>
        <w:rPr>
          <w:snapToGrid w:val="0"/>
        </w:rPr>
        <w:tab/>
        <w:t>with the approval of the Minister and subject to section 42, conduct a public inquiry in such manner as it sees fit or appoint a committee consisting of —</w:t>
      </w:r>
    </w:p>
    <w:p>
      <w:pPr>
        <w:pStyle w:val="Indenti"/>
        <w:rPr>
          <w:snapToGrid w:val="0"/>
        </w:rPr>
      </w:pPr>
      <w:r>
        <w:rPr>
          <w:snapToGrid w:val="0"/>
        </w:rPr>
        <w:tab/>
        <w:t>(i)</w:t>
      </w:r>
      <w:r>
        <w:rPr>
          <w:snapToGrid w:val="0"/>
        </w:rPr>
        <w:tab/>
        <w:t>Authority members; or</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spacing w:before="180"/>
      </w:pPr>
      <w:r>
        <w:tab/>
        <w:t>(2a)</w:t>
      </w:r>
      <w:r>
        <w:tab/>
        <w:t>As well as taking one or more of the courses of action set out in subsection (2)(a) to (c), the Authority may make such other investigations and inquiries as it thinks fit.</w:t>
      </w:r>
    </w:p>
    <w:p>
      <w:pPr>
        <w:pStyle w:val="Subsection"/>
        <w:spacing w:before="180"/>
        <w:rPr>
          <w:snapToGrid w:val="0"/>
        </w:rPr>
      </w:pPr>
      <w:r>
        <w:rPr>
          <w:snapToGrid w:val="0"/>
        </w:rPr>
        <w:tab/>
        <w:t>(3)</w:t>
      </w:r>
      <w:r>
        <w:rPr>
          <w:snapToGrid w:val="0"/>
        </w:rPr>
        <w:tab/>
        <w:t xml:space="preserve">Subject to any direction made under section 43, the Authority shall determine the form, content, timing and procedure of any environmental review required to be undertaken under </w:t>
      </w:r>
      <w:r>
        <w:t>subsection (2)(b) and publish an indicative outline of the timing of the environmental review.</w:t>
      </w:r>
    </w:p>
    <w:p>
      <w:pPr>
        <w:pStyle w:val="Subsection"/>
        <w:rPr>
          <w:snapToGrid w:val="0"/>
        </w:rPr>
      </w:pPr>
      <w:r>
        <w:rPr>
          <w:snapToGrid w:val="0"/>
        </w:rPr>
        <w:tab/>
        <w:t>(4)</w:t>
      </w:r>
      <w:r>
        <w:rPr>
          <w:snapToGrid w:val="0"/>
        </w:rPr>
        <w:tab/>
        <w:t xml:space="preserve">Subject to any </w:t>
      </w:r>
      <w:r>
        <w:t>direction</w:t>
      </w:r>
      <w:r>
        <w:rPr>
          <w:snapToGrid w:val="0"/>
        </w:rPr>
        <w:t xml:space="preserve"> made under section 43(1), the Authority may cause the following to be published —</w:t>
      </w:r>
    </w:p>
    <w:p>
      <w:pPr>
        <w:pStyle w:val="Indenta"/>
      </w:pPr>
      <w:r>
        <w:tab/>
        <w:t>(a)</w:t>
      </w:r>
      <w:r>
        <w:tab/>
        <w:t>any information or report provided in compliance with a requirement made under subsection (2)(a) or (aa);</w:t>
      </w:r>
    </w:p>
    <w:p>
      <w:pPr>
        <w:pStyle w:val="Indenta"/>
      </w:pPr>
      <w:r>
        <w:tab/>
        <w:t>(b)</w:t>
      </w:r>
      <w:r>
        <w:tab/>
        <w:t>any report made in compliance with a requirement made under subsection (2)(b).</w:t>
      </w:r>
    </w:p>
    <w:p>
      <w:pPr>
        <w:pStyle w:val="Subsection"/>
      </w:pPr>
      <w:r>
        <w:tab/>
        <w:t>(5)</w:t>
      </w:r>
      <w:r>
        <w:tab/>
        <w:t xml:space="preserve">When publishing information or a report under subsection (4) the Authority may — </w:t>
      </w:r>
    </w:p>
    <w:p>
      <w:pPr>
        <w:pStyle w:val="Indenta"/>
      </w:pPr>
      <w:r>
        <w:tab/>
        <w:t>(a)</w:t>
      </w:r>
      <w:r>
        <w:tab/>
        <w:t>declare the information or report to be available for public review; and</w:t>
      </w:r>
    </w:p>
    <w:p>
      <w:pPr>
        <w:pStyle w:val="Indenta"/>
      </w:pPr>
      <w:r>
        <w:tab/>
        <w:t>(b)</w:t>
      </w:r>
      <w:r>
        <w:tab/>
        <w:t>specify the period within which, the extent to which and the manner in which public authorities or persons may make submissions to the Authority in respect of the information or report.</w:t>
      </w:r>
    </w:p>
    <w:p>
      <w:pPr>
        <w:pStyle w:val="Subsection"/>
      </w:pPr>
      <w:r>
        <w:lastRenderedPageBreak/>
        <w:tab/>
        <w:t>(6)</w:t>
      </w:r>
      <w:r>
        <w:tab/>
        <w:t>When the Authority declares any information or report to be available for public review under subsection (5)(a) —</w:t>
      </w:r>
    </w:p>
    <w:p>
      <w:pPr>
        <w:pStyle w:val="Indenta"/>
      </w:pPr>
      <w:r>
        <w:tab/>
        <w:t>(a)</w:t>
      </w:r>
      <w:r>
        <w:tab/>
        <w:t>the proponent must —</w:t>
      </w:r>
    </w:p>
    <w:p>
      <w:pPr>
        <w:pStyle w:val="Indenti"/>
      </w:pPr>
      <w:r>
        <w:tab/>
        <w:t>(i)</w:t>
      </w:r>
      <w:r>
        <w:tab/>
        <w:t>at the proponent’s own expense, publish notice of that information or report being available for public review; and</w:t>
      </w:r>
    </w:p>
    <w:p>
      <w:pPr>
        <w:pStyle w:val="Indenti"/>
        <w:rPr>
          <w:snapToGrid w:val="0"/>
        </w:rPr>
      </w:pPr>
      <w:r>
        <w:tab/>
        <w:t>(ii)</w:t>
      </w:r>
      <w:r>
        <w:tab/>
        <w:t xml:space="preserve">provide copies of that information or report </w:t>
      </w:r>
      <w:r>
        <w:rPr>
          <w:snapToGrid w:val="0"/>
        </w:rPr>
        <w:t xml:space="preserve">free of charge to such public authorities and persons, </w:t>
      </w:r>
      <w:r>
        <w:t xml:space="preserve">in such manner and </w:t>
      </w:r>
      <w:r>
        <w:rPr>
          <w:snapToGrid w:val="0"/>
        </w:rPr>
        <w:t>at such places and times as the Authority determines; and</w:t>
      </w:r>
    </w:p>
    <w:p>
      <w:pPr>
        <w:pStyle w:val="Indenti"/>
        <w:rPr>
          <w:snapToGrid w:val="0"/>
        </w:rPr>
      </w:pPr>
      <w:r>
        <w:tab/>
        <w:t>(iii)</w:t>
      </w:r>
      <w:r>
        <w:tab/>
        <w:t xml:space="preserve">provide copies of that information or report to members of the public in such manner, at such places and times, and at a price not exceeding such maximum price, </w:t>
      </w:r>
      <w:r>
        <w:rPr>
          <w:snapToGrid w:val="0"/>
        </w:rPr>
        <w:t>as the Authority determines;</w:t>
      </w:r>
    </w:p>
    <w:p>
      <w:pPr>
        <w:pStyle w:val="Indenta"/>
      </w:pPr>
      <w:r>
        <w:tab/>
      </w:r>
      <w:r>
        <w:tab/>
        <w:t>and</w:t>
      </w:r>
    </w:p>
    <w:p>
      <w:pPr>
        <w:pStyle w:val="Indenta"/>
      </w:pPr>
      <w:r>
        <w:tab/>
        <w:t>(b)</w:t>
      </w:r>
      <w:r>
        <w:tab/>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spacing w:before="120"/>
        <w:rPr>
          <w:snapToGrid w:val="0"/>
        </w:rPr>
      </w:pPr>
      <w:r>
        <w:rPr>
          <w:snapToGrid w:val="0"/>
        </w:rPr>
        <w:tab/>
        <w:t>(8)</w:t>
      </w:r>
      <w:r>
        <w:rPr>
          <w:snapToGrid w:val="0"/>
        </w:rPr>
        <w:tab/>
        <w:t xml:space="preserve">The </w:t>
      </w:r>
      <w:r>
        <w:t>member presiding over</w:t>
      </w:r>
      <w:r>
        <w:rPr>
          <w:snapToGrid w:val="0"/>
        </w:rPr>
        <w:t xml:space="preserve"> and other members of a committee appointed under subsection (2)(c) shall each of them be paid such remuneration and travelling and other allowances as the Authority on the recommendation of the </w:t>
      </w:r>
      <w:r>
        <w:t>Public Sector Commissioner</w:t>
      </w:r>
      <w:r>
        <w:rPr>
          <w:snapToGrid w:val="0"/>
        </w:rPr>
        <w:t xml:space="preserve"> determines in </w:t>
      </w:r>
      <w:r>
        <w:t>the member’s</w:t>
      </w:r>
      <w:r>
        <w:rPr>
          <w:snapToGrid w:val="0"/>
        </w:rPr>
        <w:t xml:space="preserve"> case.</w:t>
      </w:r>
    </w:p>
    <w:p>
      <w:pPr>
        <w:pStyle w:val="Subsection"/>
        <w:spacing w:before="120"/>
      </w:pPr>
      <w:r>
        <w:lastRenderedPageBreak/>
        <w:tab/>
        <w:t>(9)</w:t>
      </w:r>
      <w:r>
        <w:tab/>
        <w:t>A proponent or other person upon whom a requirement is imposed under subsection (2)(a), (aa) or (b) or (6)(b) has to comply with that requirement.</w:t>
      </w:r>
    </w:p>
    <w:p>
      <w:pPr>
        <w:pStyle w:val="Footnotesection"/>
      </w:pPr>
      <w:r>
        <w:tab/>
        <w:t>[Section 40 amended: No. 57 of 1997 s. 54(2); No. 14 of 1998 s. 37; No. 54 of 2003 s. 9; No. 60 of 2003 s. 100 (as amended: No. 40 of 2005 s. 13(2) and (3)); No. 39 of 2010 s. 89; No. 40 of 2020 s. 18 and 111(1).]</w:t>
      </w:r>
    </w:p>
    <w:p>
      <w:pPr>
        <w:pStyle w:val="Heading5"/>
      </w:pPr>
      <w:bookmarkStart w:id="78" w:name="_Toc158985377"/>
      <w:r>
        <w:rPr>
          <w:rStyle w:val="CharSectno"/>
        </w:rPr>
        <w:t>40AA</w:t>
      </w:r>
      <w:r>
        <w:t>.</w:t>
      </w:r>
      <w:r>
        <w:tab/>
        <w:t>Assessment of significant amendments</w:t>
      </w:r>
      <w:bookmarkEnd w:id="78"/>
    </w:p>
    <w:p>
      <w:pPr>
        <w:pStyle w:val="Subsection"/>
      </w:pPr>
      <w:r>
        <w:tab/>
        <w:t>(1)</w:t>
      </w:r>
      <w:r>
        <w:tab/>
        <w:t>This section applies if the Authority assesses a significant amendment of an approved proposal.</w:t>
      </w:r>
    </w:p>
    <w:p>
      <w:pPr>
        <w:pStyle w:val="Subsection"/>
      </w:pPr>
      <w:r>
        <w:tab/>
        <w:t>(2)</w:t>
      </w:r>
      <w:r>
        <w:tab/>
        <w:t>The Authority must assess the significant amendment in the context of the approved proposal and have regard to the combined effect that the implementation of the approved proposal and the significant amendment might have on the environment.</w:t>
      </w:r>
    </w:p>
    <w:p>
      <w:pPr>
        <w:pStyle w:val="Subsection"/>
      </w:pPr>
      <w:r>
        <w:tab/>
        <w:t>(3)</w:t>
      </w:r>
      <w:r>
        <w:tab/>
        <w:t>For the purposes of subsection (2) the Authority may inquire into and report on the implementation conditions relating to the approved proposal.</w:t>
      </w:r>
    </w:p>
    <w:p>
      <w:pPr>
        <w:pStyle w:val="Subsection"/>
      </w:pPr>
      <w:r>
        <w:tab/>
        <w:t>(4)</w:t>
      </w:r>
      <w:r>
        <w:tab/>
        <w:t>Each of those implementation conditions continues to apply in relation to the approved proposal subject to —</w:t>
      </w:r>
    </w:p>
    <w:p>
      <w:pPr>
        <w:pStyle w:val="Indenta"/>
      </w:pPr>
      <w:r>
        <w:tab/>
        <w:t>(a)</w:t>
      </w:r>
      <w:r>
        <w:tab/>
        <w:t>it being amended under section 45C or 46(9); or</w:t>
      </w:r>
    </w:p>
    <w:p>
      <w:pPr>
        <w:pStyle w:val="Indenta"/>
      </w:pPr>
      <w:r>
        <w:tab/>
        <w:t>(b)</w:t>
      </w:r>
      <w:r>
        <w:tab/>
        <w:t>revised conditions or procedures being agreed or decided under sections 45 and 45A in relation to the approved proposal after the significant amendment has been assessed.</w:t>
      </w:r>
    </w:p>
    <w:p>
      <w:pPr>
        <w:pStyle w:val="Subsection"/>
      </w:pPr>
      <w:r>
        <w:tab/>
        <w:t>(5)</w:t>
      </w:r>
      <w:r>
        <w:tab/>
        <w:t>Subsection 41A(1) does not apply to the doing of anything to implement the approved proposal.</w:t>
      </w:r>
    </w:p>
    <w:p>
      <w:pPr>
        <w:pStyle w:val="Subsection"/>
      </w:pPr>
      <w:r>
        <w:tab/>
        <w:t>(6)</w:t>
      </w:r>
      <w:r>
        <w:tab/>
        <w:t xml:space="preserve">If a statement is served and published under subsection 45(8), it may be in the form of — </w:t>
      </w:r>
    </w:p>
    <w:p>
      <w:pPr>
        <w:pStyle w:val="Indenta"/>
      </w:pPr>
      <w:r>
        <w:tab/>
        <w:t>(a)</w:t>
      </w:r>
      <w:r>
        <w:tab/>
        <w:t>a statement that only applies to the significant amendment; or</w:t>
      </w:r>
    </w:p>
    <w:p>
      <w:pPr>
        <w:pStyle w:val="Indenta"/>
      </w:pPr>
      <w:r>
        <w:lastRenderedPageBreak/>
        <w:tab/>
        <w:t>(b)</w:t>
      </w:r>
      <w:r>
        <w:tab/>
        <w:t>a statement that includes the implementation conditions for the approved proposal as amended by the significant amendment, and supersedes the previous Ministerial statement relating to the approved proposal.</w:t>
      </w:r>
    </w:p>
    <w:p>
      <w:pPr>
        <w:pStyle w:val="Footnotesection"/>
      </w:pPr>
      <w:r>
        <w:tab/>
        <w:t>[Section 40AA inserted: No. 40 of 2020 s. 19.]</w:t>
      </w:r>
    </w:p>
    <w:p>
      <w:pPr>
        <w:pStyle w:val="Heading5"/>
      </w:pPr>
      <w:bookmarkStart w:id="79" w:name="_Toc158985378"/>
      <w:r>
        <w:rPr>
          <w:rStyle w:val="CharSectno"/>
        </w:rPr>
        <w:t>40A</w:t>
      </w:r>
      <w:r>
        <w:t>.</w:t>
      </w:r>
      <w:r>
        <w:tab/>
        <w:t>Termination of assessment</w:t>
      </w:r>
      <w:bookmarkEnd w:id="79"/>
    </w:p>
    <w:p>
      <w:pPr>
        <w:pStyle w:val="Subsection"/>
      </w:pPr>
      <w:r>
        <w:tab/>
        <w:t>(1)</w:t>
      </w:r>
      <w:r>
        <w:tab/>
        <w:t>The Authority may terminate the assessment of a proposal if —</w:t>
      </w:r>
    </w:p>
    <w:p>
      <w:pPr>
        <w:pStyle w:val="Indenta"/>
      </w:pPr>
      <w:r>
        <w:tab/>
        <w:t>(a)</w:t>
      </w:r>
      <w:r>
        <w:tab/>
        <w:t>the proponent agrees with the termination; or</w:t>
      </w:r>
    </w:p>
    <w:p>
      <w:pPr>
        <w:pStyle w:val="Indenta"/>
      </w:pPr>
      <w:r>
        <w:tab/>
        <w:t>(aa)</w:t>
      </w:r>
      <w:r>
        <w:tab/>
        <w:t>the Authority receives written notice from the proponent that the proponent does not wish to proceed with the proposal; or</w:t>
      </w:r>
    </w:p>
    <w:p>
      <w:pPr>
        <w:pStyle w:val="Indenta"/>
      </w:pPr>
      <w:r>
        <w:tab/>
        <w:t>(b)</w:t>
      </w:r>
      <w:r>
        <w:tab/>
        <w:t>the proponent has failed to comply with —</w:t>
      </w:r>
    </w:p>
    <w:p>
      <w:pPr>
        <w:pStyle w:val="Indenti"/>
      </w:pPr>
      <w:r>
        <w:tab/>
        <w:t>(i)</w:t>
      </w:r>
      <w:r>
        <w:tab/>
        <w:t>a requirement made under section 40(2)(a) or (b); or</w:t>
      </w:r>
    </w:p>
    <w:p>
      <w:pPr>
        <w:pStyle w:val="Indenti"/>
      </w:pPr>
      <w:r>
        <w:tab/>
        <w:t>(ii)</w:t>
      </w:r>
      <w:r>
        <w:tab/>
        <w:t>section 40(6)(a); or</w:t>
      </w:r>
    </w:p>
    <w:p>
      <w:pPr>
        <w:pStyle w:val="Indenti"/>
      </w:pPr>
      <w:r>
        <w:tab/>
        <w:t>(iii)</w:t>
      </w:r>
      <w:r>
        <w:tab/>
        <w:t>a requirement made under section 40(6)(b),</w:t>
      </w:r>
    </w:p>
    <w:p>
      <w:pPr>
        <w:pStyle w:val="Indenta"/>
      </w:pPr>
      <w:r>
        <w:tab/>
      </w:r>
      <w:r>
        <w:tab/>
        <w:t>within such period as the Authority considers to be reasonable in the circumstances; or</w:t>
      </w:r>
    </w:p>
    <w:p>
      <w:pPr>
        <w:pStyle w:val="Indenta"/>
      </w:pPr>
      <w:r>
        <w:tab/>
        <w:t>(c)</w:t>
      </w:r>
      <w:r>
        <w:tab/>
        <w:t>a decision</w:t>
      </w:r>
      <w:r>
        <w:noBreakHyphen/>
        <w:t>making authority has refused to approve the proposal.</w:t>
      </w:r>
    </w:p>
    <w:p>
      <w:pPr>
        <w:pStyle w:val="Subsection"/>
      </w:pPr>
      <w:r>
        <w:tab/>
        <w:t>(2)</w:t>
      </w:r>
      <w:r>
        <w:tab/>
        <w:t>Subsection (1)(c) does not authorise the termination of the assessment if the refusal by the decision</w:t>
      </w:r>
      <w:r>
        <w:noBreakHyphen/>
        <w:t>making authority —</w:t>
      </w:r>
    </w:p>
    <w:p>
      <w:pPr>
        <w:pStyle w:val="Indenta"/>
      </w:pPr>
      <w:r>
        <w:tab/>
        <w:t>(a)</w:t>
      </w:r>
      <w:r>
        <w:tab/>
        <w:t>is being appealed against or reviewed under an enactment; or</w:t>
      </w:r>
    </w:p>
    <w:p>
      <w:pPr>
        <w:pStyle w:val="Indenta"/>
        <w:keepNext/>
      </w:pPr>
      <w:r>
        <w:tab/>
        <w:t>(b)</w:t>
      </w:r>
      <w:r>
        <w:tab/>
        <w:t>is capable of being appealed against or reviewed under an enactment.</w:t>
      </w:r>
    </w:p>
    <w:p>
      <w:pPr>
        <w:pStyle w:val="Footnotesection"/>
      </w:pPr>
      <w:r>
        <w:tab/>
        <w:t>[Section 40A inserted: No. 54 of 2003 s. 10; amended: No. 40 of 2020 s. 20.]</w:t>
      </w:r>
    </w:p>
    <w:p>
      <w:pPr>
        <w:pStyle w:val="Heading5"/>
      </w:pPr>
      <w:bookmarkStart w:id="80" w:name="_Toc158985379"/>
      <w:r>
        <w:rPr>
          <w:rStyle w:val="CharSectno"/>
        </w:rPr>
        <w:lastRenderedPageBreak/>
        <w:t>40B</w:t>
      </w:r>
      <w:r>
        <w:t>.</w:t>
      </w:r>
      <w:r>
        <w:tab/>
        <w:t>Application of assessment provisions to strategic proposals and strategic assessments</w:t>
      </w:r>
      <w:bookmarkEnd w:id="80"/>
    </w:p>
    <w:p>
      <w:pPr>
        <w:pStyle w:val="Subsection"/>
      </w:pPr>
      <w:r>
        <w:tab/>
        <w:t>(1)</w:t>
      </w:r>
      <w:r>
        <w:tab/>
        <w:t>Sections 41, 41A and 45(12) do not apply in relation to a strategic proposal.</w:t>
      </w:r>
    </w:p>
    <w:p>
      <w:pPr>
        <w:pStyle w:val="Subsection"/>
      </w:pPr>
      <w:r>
        <w:tab/>
        <w:t>(2)</w:t>
      </w:r>
      <w:r>
        <w:tab/>
        <w:t>Sections 44, 45 (other than subsection (12)) and 45A apply in relation to a strategic proposal as if references in them to implementation were references to the implementation of a future proposal identified in the strategic proposal in the event of that future proposal being declared under section 38E to be a derived proposal.</w:t>
      </w:r>
    </w:p>
    <w:p>
      <w:pPr>
        <w:pStyle w:val="Subsection"/>
      </w:pPr>
      <w:r>
        <w:tab/>
        <w:t>(3)</w:t>
      </w:r>
      <w:r>
        <w:tab/>
        <w:t>This section does not affect the application of sections 41, 41A, 44, 45 and 45A in relation to a strategic proposal to the extent to which the strategic proposal is itself a significant proposal.</w:t>
      </w:r>
    </w:p>
    <w:p>
      <w:pPr>
        <w:pStyle w:val="Footnotesection"/>
      </w:pPr>
      <w:r>
        <w:tab/>
        <w:t>[Section 40B inserted: No. 40 of 2020 s. 21.]</w:t>
      </w:r>
    </w:p>
    <w:p>
      <w:pPr>
        <w:pStyle w:val="Heading5"/>
        <w:rPr>
          <w:snapToGrid w:val="0"/>
        </w:rPr>
      </w:pPr>
      <w:bookmarkStart w:id="81" w:name="_Toc158985380"/>
      <w:r>
        <w:rPr>
          <w:rStyle w:val="CharSectno"/>
        </w:rPr>
        <w:t>41</w:t>
      </w:r>
      <w:r>
        <w:rPr>
          <w:snapToGrid w:val="0"/>
        </w:rPr>
        <w:t>.</w:t>
      </w:r>
      <w:r>
        <w:rPr>
          <w:snapToGrid w:val="0"/>
        </w:rPr>
        <w:tab/>
        <w:t>Decision</w:t>
      </w:r>
      <w:r>
        <w:rPr>
          <w:snapToGrid w:val="0"/>
        </w:rPr>
        <w:noBreakHyphen/>
        <w:t>making authority not to approve proposal until certain events occur</w:t>
      </w:r>
      <w:bookmarkEnd w:id="81"/>
    </w:p>
    <w:p>
      <w:pPr>
        <w:pStyle w:val="Ednotesubsection"/>
      </w:pPr>
      <w:r>
        <w:tab/>
        <w:t>[(1)</w:t>
      </w:r>
      <w:r>
        <w:tab/>
        <w:t>deleted]</w:t>
      </w:r>
    </w:p>
    <w:p>
      <w:pPr>
        <w:pStyle w:val="Subsection"/>
        <w:keepNext/>
        <w:rPr>
          <w:snapToGrid w:val="0"/>
        </w:rPr>
      </w:pPr>
      <w:r>
        <w:rPr>
          <w:snapToGrid w:val="0"/>
        </w:rPr>
        <w:tab/>
        <w:t>(2)</w:t>
      </w:r>
      <w:r>
        <w:rPr>
          <w:snapToGrid w:val="0"/>
        </w:rPr>
        <w:tab/>
        <w:t>A decision</w:t>
      </w:r>
      <w:r>
        <w:rPr>
          <w:snapToGrid w:val="0"/>
        </w:rPr>
        <w:noBreakHyphen/>
        <w:t>making authority that —</w:t>
      </w:r>
    </w:p>
    <w:p>
      <w:pPr>
        <w:pStyle w:val="Indenta"/>
        <w:rPr>
          <w:snapToGrid w:val="0"/>
        </w:rPr>
      </w:pPr>
      <w:r>
        <w:rPr>
          <w:snapToGrid w:val="0"/>
        </w:rPr>
        <w:tab/>
        <w:t>(a)</w:t>
      </w:r>
      <w:r>
        <w:rPr>
          <w:snapToGrid w:val="0"/>
        </w:rPr>
        <w:tab/>
        <w:t>has referred a proposal to the Authority under section 38; or</w:t>
      </w:r>
    </w:p>
    <w:p>
      <w:pPr>
        <w:pStyle w:val="Indenta"/>
        <w:keepNext/>
        <w:rPr>
          <w:snapToGrid w:val="0"/>
        </w:rPr>
      </w:pPr>
      <w:r>
        <w:rPr>
          <w:snapToGrid w:val="0"/>
        </w:rPr>
        <w:tab/>
        <w:t>(b)</w:t>
      </w:r>
      <w:r>
        <w:rPr>
          <w:snapToGrid w:val="0"/>
        </w:rPr>
        <w:tab/>
        <w:t xml:space="preserve">has been required under </w:t>
      </w:r>
      <w:r>
        <w:t xml:space="preserve">section 38A(1) </w:t>
      </w:r>
      <w:r>
        <w:rPr>
          <w:snapToGrid w:val="0"/>
        </w:rPr>
        <w:t>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w:t>
      </w:r>
    </w:p>
    <w:p>
      <w:pPr>
        <w:pStyle w:val="Indenta"/>
        <w:rPr>
          <w:snapToGrid w:val="0"/>
        </w:rPr>
      </w:pPr>
      <w:r>
        <w:rPr>
          <w:snapToGrid w:val="0"/>
        </w:rPr>
        <w:tab/>
        <w:t>(c)</w:t>
      </w:r>
      <w:r>
        <w:rPr>
          <w:snapToGrid w:val="0"/>
        </w:rPr>
        <w:tab/>
        <w:t xml:space="preserve">it is informed under </w:t>
      </w:r>
      <w:r>
        <w:t>section 38G(1)(b)(iii) that the Authority is not going to assess the proposal</w:t>
      </w:r>
      <w:r>
        <w:rPr>
          <w:snapToGrid w:val="0"/>
        </w:rPr>
        <w:t xml:space="preserve"> and the period within which an appeal against </w:t>
      </w:r>
      <w:r>
        <w:t>the decision that the proposal not be assessed</w:t>
      </w:r>
      <w:r>
        <w:rPr>
          <w:snapToGrid w:val="0"/>
        </w:rPr>
        <w:t xml:space="preserve"> may be lodged under section 100(1) has expired without the lodging of such an appeal or, if such an appeal has been lodged within that period, that appeal has been determined; or</w:t>
      </w:r>
    </w:p>
    <w:p>
      <w:pPr>
        <w:pStyle w:val="Indenta"/>
        <w:keepNext/>
        <w:rPr>
          <w:snapToGrid w:val="0"/>
        </w:rPr>
      </w:pPr>
      <w:r>
        <w:rPr>
          <w:snapToGrid w:val="0"/>
        </w:rPr>
        <w:lastRenderedPageBreak/>
        <w:tab/>
        <w:t>(d)</w:t>
      </w:r>
      <w:r>
        <w:rPr>
          <w:snapToGrid w:val="0"/>
        </w:rPr>
        <w:tab/>
        <w:t xml:space="preserve">an authority is served on it under </w:t>
      </w:r>
      <w:r>
        <w:t>section 45(12),</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38G(1)(b)(iii) or (5) that a proposal is going to be or is being assessed is not to make any decision that could have the effect of causing or allowing the proposal to be implemented without having had an authority under section 45(12) served on it.</w:t>
      </w:r>
    </w:p>
    <w:p>
      <w:pPr>
        <w:pStyle w:val="Subsection"/>
      </w:pPr>
      <w:r>
        <w:tab/>
        <w:t>(4)</w:t>
      </w:r>
      <w:r>
        <w:tab/>
        <w:t>Subsections (2) and (3) do not apply to a decision in relation to a proposal if the effect of the decision would be to cause or allow the doing of minor or preliminary work to which the Authority has consented under section 41A(3).</w:t>
      </w:r>
    </w:p>
    <w:p>
      <w:pPr>
        <w:pStyle w:val="Subsection"/>
      </w:pPr>
      <w:r>
        <w:tab/>
        <w:t>(5)</w:t>
      </w:r>
      <w:r>
        <w:tab/>
        <w:t xml:space="preserve">Subsections (2) and (3) do not apply to a decision in relation to a proposal if the decision is made under the </w:t>
      </w:r>
      <w:r>
        <w:rPr>
          <w:i/>
        </w:rPr>
        <w:t>Aboriginal Heritage Act 1972</w:t>
      </w:r>
      <w:r>
        <w:t>.</w:t>
      </w:r>
    </w:p>
    <w:p>
      <w:pPr>
        <w:pStyle w:val="Footnotesection"/>
      </w:pPr>
      <w:r>
        <w:tab/>
        <w:t>[Section 41 amended: No. 54 of 2003 s. 11; No. 40 of 2010 s. 14; No. 40 of 2020 s. 22; No. 27 of 2021 s. 348(2); No. 23 of 2023 s. 28.]</w:t>
      </w:r>
    </w:p>
    <w:p>
      <w:pPr>
        <w:pStyle w:val="Heading5"/>
      </w:pPr>
      <w:bookmarkStart w:id="82" w:name="_Toc158985381"/>
      <w:r>
        <w:rPr>
          <w:rStyle w:val="CharSectno"/>
        </w:rPr>
        <w:t>41A</w:t>
      </w:r>
      <w:r>
        <w:t>.</w:t>
      </w:r>
      <w:r>
        <w:tab/>
        <w:t>Proposal not to be implemented before action under s. 45 taken</w:t>
      </w:r>
      <w:bookmarkEnd w:id="82"/>
    </w:p>
    <w:p>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45(8)(b) or a notification is given under section 45(13) commits an offence.</w:t>
      </w:r>
    </w:p>
    <w:p>
      <w:pPr>
        <w:pStyle w:val="Subsection"/>
      </w:pPr>
      <w:r>
        <w:tab/>
        <w:t>(2)</w:t>
      </w:r>
      <w:r>
        <w:tab/>
        <w:t>Subsection (1) applies even if the assessment of the proposal has been terminated under section 40A and applies as if the references to section 45(8)(b) and (13) were references to the application of those provisions to any new proposal referred to the Authority under section 38 in place of the terminated proposal.</w:t>
      </w:r>
    </w:p>
    <w:p>
      <w:pPr>
        <w:pStyle w:val="Subsection"/>
        <w:keepNext/>
      </w:pPr>
      <w:r>
        <w:lastRenderedPageBreak/>
        <w:tab/>
        <w:t>(3)</w:t>
      </w:r>
      <w:r>
        <w:tab/>
        <w:t>Subsection (1) does not apply to minor or preliminary work done with the Authority’s consent.</w:t>
      </w:r>
    </w:p>
    <w:p>
      <w:pPr>
        <w:pStyle w:val="Footnotesection"/>
        <w:spacing w:before="80"/>
        <w:ind w:left="890" w:hanging="890"/>
      </w:pPr>
      <w:r>
        <w:tab/>
        <w:t>[Section 41A inserted: No. 54 of 2003 s. 12; amended: No. 40 of 2020 s. 23.]</w:t>
      </w:r>
    </w:p>
    <w:p>
      <w:pPr>
        <w:pStyle w:val="Heading5"/>
        <w:rPr>
          <w:snapToGrid w:val="0"/>
        </w:rPr>
      </w:pPr>
      <w:bookmarkStart w:id="83" w:name="_Toc158985382"/>
      <w:r>
        <w:rPr>
          <w:rStyle w:val="CharSectno"/>
        </w:rPr>
        <w:t>42</w:t>
      </w:r>
      <w:r>
        <w:rPr>
          <w:snapToGrid w:val="0"/>
        </w:rPr>
        <w:t>.</w:t>
      </w:r>
      <w:r>
        <w:rPr>
          <w:snapToGrid w:val="0"/>
        </w:rPr>
        <w:tab/>
        <w:t>Conduct of public inquiries under s. 40(2)(c)</w:t>
      </w:r>
      <w:bookmarkEnd w:id="83"/>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pPr>
        <w:pStyle w:val="Indenta"/>
        <w:rPr>
          <w:snapToGrid w:val="0"/>
        </w:rPr>
      </w:pPr>
      <w:r>
        <w:rPr>
          <w:snapToGrid w:val="0"/>
        </w:rPr>
        <w:tab/>
        <w:t>(a)</w:t>
      </w:r>
      <w:r>
        <w:rPr>
          <w:snapToGrid w:val="0"/>
        </w:rPr>
        <w:tab/>
        <w:t>a Commission were references to the Authority or to the relevant committee; and</w:t>
      </w:r>
    </w:p>
    <w:p>
      <w:pPr>
        <w:pStyle w:val="Indenta"/>
        <w:rPr>
          <w:snapToGrid w:val="0"/>
        </w:rPr>
      </w:pPr>
      <w:r>
        <w:rPr>
          <w:snapToGrid w:val="0"/>
        </w:rPr>
        <w:tab/>
        <w:t>(b)</w:t>
      </w:r>
      <w:r>
        <w:rPr>
          <w:snapToGrid w:val="0"/>
        </w:rPr>
        <w:tab/>
        <w:t xml:space="preserve">the Chairman were references to the </w:t>
      </w:r>
      <w:r>
        <w:t>Chair of</w:t>
      </w:r>
      <w:r>
        <w:rPr>
          <w:snapToGrid w:val="0"/>
        </w:rPr>
        <w:t xml:space="preserve"> the Authority or to the </w:t>
      </w:r>
      <w:r>
        <w:t>member presiding over</w:t>
      </w:r>
      <w:r>
        <w:rPr>
          <w:snapToGrid w:val="0"/>
        </w:rPr>
        <w:t xml:space="preserve">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keepNext/>
        <w:rPr>
          <w:snapToGrid w:val="0"/>
        </w:rPr>
      </w:pPr>
      <w:r>
        <w:rPr>
          <w:snapToGrid w:val="0"/>
        </w:rPr>
        <w:tab/>
      </w:r>
      <w:r>
        <w:rPr>
          <w:snapToGrid w:val="0"/>
        </w:rPr>
        <w:tab/>
        <w:t>as the case requires, in the report prepared by it under section 44.</w:t>
      </w:r>
    </w:p>
    <w:p>
      <w:pPr>
        <w:pStyle w:val="Footnotesection"/>
      </w:pPr>
      <w:r>
        <w:tab/>
        <w:t>[Section 42 amended: No. 40 of 2020 s. 24 and 111(1).]</w:t>
      </w:r>
    </w:p>
    <w:p>
      <w:pPr>
        <w:pStyle w:val="Heading5"/>
        <w:spacing w:before="180"/>
        <w:rPr>
          <w:snapToGrid w:val="0"/>
        </w:rPr>
      </w:pPr>
      <w:bookmarkStart w:id="84" w:name="_Toc158985383"/>
      <w:r>
        <w:rPr>
          <w:rStyle w:val="CharSectno"/>
        </w:rPr>
        <w:t>43</w:t>
      </w:r>
      <w:r>
        <w:rPr>
          <w:snapToGrid w:val="0"/>
        </w:rPr>
        <w:t>.</w:t>
      </w:r>
      <w:r>
        <w:rPr>
          <w:snapToGrid w:val="0"/>
        </w:rPr>
        <w:tab/>
        <w:t>Minister may direct Authority as to assessing proposal</w:t>
      </w:r>
      <w:bookmarkEnd w:id="84"/>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 xml:space="preserve">if the Authority considers that a </w:t>
      </w:r>
      <w:r>
        <w:t>referred</w:t>
      </w:r>
      <w:r>
        <w:rPr>
          <w:snapToGrid w:val="0"/>
        </w:rPr>
        <w:t xml:space="preserve"> proposal should not be assessed by it under this Part; or</w:t>
      </w:r>
    </w:p>
    <w:p>
      <w:pPr>
        <w:pStyle w:val="Indenta"/>
        <w:rPr>
          <w:snapToGrid w:val="0"/>
        </w:rPr>
      </w:pPr>
      <w:r>
        <w:rPr>
          <w:snapToGrid w:val="0"/>
        </w:rPr>
        <w:lastRenderedPageBreak/>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38G(1), 39, 40</w:t>
      </w:r>
      <w:r>
        <w:rPr>
          <w:snapToGrid w:val="0"/>
        </w:rPr>
        <w:t>(2) to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45(8)(a) or a notification has been given under section 45(13).</w:t>
      </w:r>
    </w:p>
    <w:p>
      <w:pPr>
        <w:pStyle w:val="Subsection"/>
      </w:pPr>
      <w:r>
        <w:tab/>
        <w:t>(3A)</w:t>
      </w:r>
      <w:r>
        <w:tab/>
        <w:t>A direction can be given under subsection (1) even if the Minister has dismissed an appeal under section 100(1)(a) against a decision by the Authority that the proposal is not to be assessed.</w:t>
      </w:r>
    </w:p>
    <w:p>
      <w:pPr>
        <w:pStyle w:val="Subsection"/>
      </w:pPr>
      <w:r>
        <w:tab/>
        <w:t>(4)</w:t>
      </w:r>
      <w:r>
        <w:tab/>
        <w:t>The Minister is to cause copies of the reasons for giving a direction under subsection (1) to be  —</w:t>
      </w:r>
    </w:p>
    <w:p>
      <w:pPr>
        <w:pStyle w:val="Indenta"/>
      </w:pPr>
      <w:r>
        <w:tab/>
        <w:t>(a)</w:t>
      </w:r>
      <w:r>
        <w:tab/>
        <w:t>given to the Authority; and</w:t>
      </w:r>
    </w:p>
    <w:p>
      <w:pPr>
        <w:pStyle w:val="Indenta"/>
      </w:pPr>
      <w:r>
        <w:tab/>
        <w:t>(b)</w:t>
      </w:r>
      <w:r>
        <w:tab/>
        <w:t>published as soon as practicable after the direction is given.</w:t>
      </w:r>
    </w:p>
    <w:p>
      <w:pPr>
        <w:pStyle w:val="Footnotesection"/>
      </w:pPr>
      <w:r>
        <w:tab/>
        <w:t>[Section 43 amended: No. 57 of 1997 s. 54(3); No. 54 of 2003 s. 13; No. 40 of 2020 s. 25.]</w:t>
      </w:r>
    </w:p>
    <w:p>
      <w:pPr>
        <w:pStyle w:val="Heading5"/>
      </w:pPr>
      <w:bookmarkStart w:id="85" w:name="_Toc158985384"/>
      <w:r>
        <w:rPr>
          <w:rStyle w:val="CharSectno"/>
        </w:rPr>
        <w:t>43A</w:t>
      </w:r>
      <w:r>
        <w:t>.</w:t>
      </w:r>
      <w:r>
        <w:tab/>
        <w:t>Amendments to proposals during assessment</w:t>
      </w:r>
      <w:bookmarkEnd w:id="85"/>
    </w:p>
    <w:p>
      <w:pPr>
        <w:pStyle w:val="Subsection"/>
      </w:pPr>
      <w:r>
        <w:tab/>
        <w:t>(1)</w:t>
      </w:r>
      <w:r>
        <w:tab/>
        <w:t xml:space="preserve">While a proposal is being assessed, the proponent may, by written notice — </w:t>
      </w:r>
    </w:p>
    <w:p>
      <w:pPr>
        <w:pStyle w:val="Indenta"/>
      </w:pPr>
      <w:r>
        <w:tab/>
        <w:t>(a)</w:t>
      </w:r>
      <w:r>
        <w:tab/>
        <w:t>advise the Authority that the proponent wishes to amend the proposal in the manner set out in that notice; and</w:t>
      </w:r>
    </w:p>
    <w:p>
      <w:pPr>
        <w:pStyle w:val="Indenta"/>
      </w:pPr>
      <w:r>
        <w:lastRenderedPageBreak/>
        <w:tab/>
        <w:t>(b)</w:t>
      </w:r>
      <w:r>
        <w:tab/>
        <w:t>request that the Authority approve of the assessment of the proposal being completed in respect of the proposal as so amended.</w:t>
      </w:r>
    </w:p>
    <w:p>
      <w:pPr>
        <w:pStyle w:val="Subsection"/>
      </w:pPr>
      <w:r>
        <w:tab/>
        <w:t>(2)</w:t>
      </w:r>
      <w:r>
        <w:tab/>
        <w:t>The Authority may, at its discretion, give or refuse to give approval under subsection (1)(b).</w:t>
      </w:r>
    </w:p>
    <w:p>
      <w:pPr>
        <w:pStyle w:val="Subsection"/>
        <w:keepNext/>
      </w:pPr>
      <w:r>
        <w:tab/>
        <w:t>(3)</w:t>
      </w:r>
      <w:r>
        <w:tab/>
        <w:t xml:space="preserve">If the Authority gives approval under subsection (1)(b) — </w:t>
      </w:r>
    </w:p>
    <w:p>
      <w:pPr>
        <w:pStyle w:val="Indenta"/>
      </w:pPr>
      <w:r>
        <w:tab/>
        <w:t>(a)</w:t>
      </w:r>
      <w:r>
        <w:tab/>
        <w:t>the proposal as so amended is taken to have been referred to the Authority under section 38; and</w:t>
      </w:r>
    </w:p>
    <w:p>
      <w:pPr>
        <w:pStyle w:val="Indenta"/>
      </w:pPr>
      <w:r>
        <w:tab/>
        <w:t>(b)</w:t>
      </w:r>
      <w:r>
        <w:tab/>
        <w:t>without limiting section 40, the Authority, if it thinks fit, may perform, or perform again, any function that it could have performed, or has already performed, in respect of the proposal.</w:t>
      </w:r>
    </w:p>
    <w:p>
      <w:pPr>
        <w:pStyle w:val="Footnotesection"/>
      </w:pPr>
      <w:r>
        <w:tab/>
        <w:t>[Section 43A inserted: No. 40 of 2020 s. 26.]</w:t>
      </w:r>
    </w:p>
    <w:p>
      <w:pPr>
        <w:pStyle w:val="Heading5"/>
        <w:rPr>
          <w:snapToGrid w:val="0"/>
        </w:rPr>
      </w:pPr>
      <w:bookmarkStart w:id="86" w:name="_Toc158985385"/>
      <w:r>
        <w:rPr>
          <w:rStyle w:val="CharSectno"/>
        </w:rPr>
        <w:t>44</w:t>
      </w:r>
      <w:r>
        <w:rPr>
          <w:snapToGrid w:val="0"/>
        </w:rPr>
        <w:t>.</w:t>
      </w:r>
      <w:r>
        <w:rPr>
          <w:snapToGrid w:val="0"/>
        </w:rPr>
        <w:tab/>
        <w:t>Report by Authority on assessment of proposal</w:t>
      </w:r>
      <w:bookmarkEnd w:id="86"/>
    </w:p>
    <w:p>
      <w:pPr>
        <w:pStyle w:val="Subsection"/>
      </w:pPr>
      <w:r>
        <w:tab/>
        <w:t>(1)</w:t>
      </w:r>
      <w:r>
        <w:tab/>
        <w:t>If the Authority assesses a proposal, it must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pPr>
        <w:pStyle w:val="Subsection"/>
        <w:keepNext/>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(2AA)</w:t>
      </w:r>
      <w:r>
        <w:tab/>
        <w:t>In considering key environmental factors and any recommendations that may be included in the assessment report the Authority may take into account other statutory decision</w:t>
      </w:r>
      <w:r>
        <w:noBreakHyphen/>
        <w:t>making processes that can mitigate the potential impacts of the proposal on the environment.</w:t>
      </w:r>
    </w:p>
    <w:p>
      <w:pPr>
        <w:pStyle w:val="Subsection"/>
      </w:pPr>
      <w:r>
        <w:lastRenderedPageBreak/>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the Minister is reasonably able to do so after receiving copies of</w:t>
      </w:r>
      <w:r>
        <w:t xml:space="preserve"> the assessment report</w:t>
      </w:r>
      <w:r>
        <w:rPr>
          <w:snapToGrid w:val="0"/>
        </w:rPr>
        <w:t>, simultaneously cause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w:t>
      </w:r>
    </w:p>
    <w:p>
      <w:pPr>
        <w:pStyle w:val="Indenti"/>
        <w:rPr>
          <w:snapToGrid w:val="0"/>
        </w:rPr>
      </w:pPr>
      <w:r>
        <w:rPr>
          <w:snapToGrid w:val="0"/>
        </w:rPr>
        <w:tab/>
        <w:t>(i)</w:t>
      </w:r>
      <w:r>
        <w:rPr>
          <w:snapToGrid w:val="0"/>
        </w:rPr>
        <w:tab/>
        <w:t xml:space="preserve">any other Minister appearing to </w:t>
      </w:r>
      <w:r>
        <w:t>the Minister</w:t>
      </w:r>
      <w:r>
        <w:rPr>
          <w:snapToGrid w:val="0"/>
        </w:rPr>
        <w:t xml:space="preserve"> to be likely to be concerned in the outcome of the proposal to which that report relates; and</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38G(1)(b)(iii) or (5) in relation to the proposal</w:t>
      </w:r>
      <w:r>
        <w:rPr>
          <w:snapToGrid w:val="0"/>
        </w:rPr>
        <w:t>; and</w:t>
      </w:r>
    </w:p>
    <w:p>
      <w:pPr>
        <w:pStyle w:val="Indenti"/>
        <w:rPr>
          <w:snapToGrid w:val="0"/>
        </w:rPr>
      </w:pPr>
      <w:r>
        <w:rPr>
          <w:snapToGrid w:val="0"/>
        </w:rPr>
        <w:lastRenderedPageBreak/>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No. 54 of 2003 s. 15; No. 40 of 2020 s. 27 and 111(1).]</w:t>
      </w:r>
    </w:p>
    <w:p>
      <w:pPr>
        <w:pStyle w:val="Heading3"/>
      </w:pPr>
      <w:bookmarkStart w:id="87" w:name="_Toc158980717"/>
      <w:bookmarkStart w:id="88" w:name="_Toc158981116"/>
      <w:bookmarkStart w:id="89" w:name="_Toc158985386"/>
      <w:r>
        <w:rPr>
          <w:rStyle w:val="CharDivNo"/>
        </w:rPr>
        <w:t>Division 2</w:t>
      </w:r>
      <w:r>
        <w:rPr>
          <w:snapToGrid w:val="0"/>
        </w:rPr>
        <w:t> — </w:t>
      </w:r>
      <w:r>
        <w:rPr>
          <w:rStyle w:val="CharDivText"/>
        </w:rPr>
        <w:t>Implementation of proposals</w:t>
      </w:r>
      <w:bookmarkEnd w:id="87"/>
      <w:bookmarkEnd w:id="88"/>
      <w:bookmarkEnd w:id="89"/>
    </w:p>
    <w:p>
      <w:pPr>
        <w:pStyle w:val="Heading5"/>
      </w:pPr>
      <w:bookmarkStart w:id="90" w:name="_Toc158985387"/>
      <w:r>
        <w:rPr>
          <w:rStyle w:val="CharSectno"/>
        </w:rPr>
        <w:t>44A</w:t>
      </w:r>
      <w:r>
        <w:t>.</w:t>
      </w:r>
      <w:r>
        <w:tab/>
        <w:t>Terms used</w:t>
      </w:r>
      <w:bookmarkEnd w:id="90"/>
      <w:r>
        <w:t xml:space="preserve"> </w:t>
      </w:r>
    </w:p>
    <w:p>
      <w:pPr>
        <w:pStyle w:val="Subsection"/>
      </w:pPr>
      <w:r>
        <w:tab/>
      </w:r>
      <w:r>
        <w:tab/>
        <w:t xml:space="preserve">In this Division — </w:t>
      </w:r>
    </w:p>
    <w:p>
      <w:pPr>
        <w:pStyle w:val="Defstart"/>
      </w:pPr>
      <w:r>
        <w:tab/>
      </w:r>
      <w:r>
        <w:rPr>
          <w:rStyle w:val="CharDefText"/>
        </w:rPr>
        <w:t>assessed proposal</w:t>
      </w:r>
      <w:r>
        <w:t xml:space="preserve"> means the proposal to which a report mentioned in section 45(1) relates;</w:t>
      </w:r>
    </w:p>
    <w:p>
      <w:pPr>
        <w:pStyle w:val="Defstart"/>
      </w:pPr>
      <w:r>
        <w:tab/>
      </w:r>
      <w:r>
        <w:rPr>
          <w:rStyle w:val="CharDefText"/>
        </w:rPr>
        <w:t>DMA decision</w:t>
      </w:r>
      <w:r>
        <w:t xml:space="preserve"> means a decision of a decision</w:t>
      </w:r>
      <w:r>
        <w:noBreakHyphen/>
        <w:t>making authority that could have the effect of causing or allowing the assessed proposal to be implemented;</w:t>
      </w:r>
    </w:p>
    <w:p>
      <w:pPr>
        <w:pStyle w:val="Defstart"/>
      </w:pPr>
      <w:r>
        <w:tab/>
      </w:r>
      <w:r>
        <w:rPr>
          <w:rStyle w:val="CharDefText"/>
        </w:rPr>
        <w:t>implementation agreement or decision</w:t>
      </w:r>
      <w:r>
        <w:t xml:space="preserve"> means an agreement or decision under sections 45 and 45A (or under those sections as applied by section 46(8)) as to whether or not a proposal to which a report published under section 44(3)(a) relates may be implemented and, if that proposal may be implemented, as to what conditions and procedures, if any, that implementation is subject;</w:t>
      </w:r>
    </w:p>
    <w:p>
      <w:pPr>
        <w:pStyle w:val="Defstart"/>
      </w:pPr>
      <w:r>
        <w:tab/>
      </w:r>
      <w:r>
        <w:rPr>
          <w:rStyle w:val="CharDefText"/>
        </w:rPr>
        <w:t>implementation conditions</w:t>
      </w:r>
      <w:r>
        <w:t xml:space="preserve"> means the conditions and procedures, if any, agreed or decided in relation to the assessed proposal under section 45 and 45A (or under those sections as applied by section 46(8)) and, if those conditions and procedures are amended under section 45C or on an appeal lodged under section 100(3), means those conditions and procedures as so amended;</w:t>
      </w:r>
    </w:p>
    <w:p>
      <w:pPr>
        <w:pStyle w:val="Defstart"/>
      </w:pPr>
      <w:r>
        <w:tab/>
      </w:r>
      <w:r>
        <w:rPr>
          <w:rStyle w:val="CharDefText"/>
        </w:rPr>
        <w:t>implementation issue</w:t>
      </w:r>
      <w:r>
        <w:t xml:space="preserve"> means —</w:t>
      </w:r>
    </w:p>
    <w:p>
      <w:pPr>
        <w:pStyle w:val="Defpara"/>
      </w:pPr>
      <w:r>
        <w:tab/>
        <w:t>(a)</w:t>
      </w:r>
      <w:r>
        <w:tab/>
        <w:t>the issue of whether or not the assessed proposal may be implemented; or</w:t>
      </w:r>
    </w:p>
    <w:p>
      <w:pPr>
        <w:pStyle w:val="Defpara"/>
      </w:pPr>
      <w:r>
        <w:lastRenderedPageBreak/>
        <w:tab/>
        <w:t>(b)</w:t>
      </w:r>
      <w:r>
        <w:tab/>
        <w:t>the issue of the conditions and procedures, if any, to which the assessed proposal, if implemented, should be subject;</w:t>
      </w:r>
    </w:p>
    <w:p>
      <w:pPr>
        <w:pStyle w:val="Defstart"/>
      </w:pPr>
      <w:r>
        <w:tab/>
      </w:r>
      <w:r>
        <w:rPr>
          <w:rStyle w:val="CharDefText"/>
        </w:rPr>
        <w:t>key decision</w:t>
      </w:r>
      <w:r>
        <w:noBreakHyphen/>
      </w:r>
      <w:r>
        <w:rPr>
          <w:rStyle w:val="CharDefText"/>
        </w:rPr>
        <w:t>making authority</w:t>
      </w:r>
      <w:r>
        <w:t xml:space="preserve"> means a decision</w:t>
      </w:r>
      <w:r>
        <w:noBreakHyphen/>
        <w:t>making authority determined by the Minister under section 45(2).</w:t>
      </w:r>
    </w:p>
    <w:p>
      <w:pPr>
        <w:pStyle w:val="Footnotesection"/>
      </w:pPr>
      <w:r>
        <w:tab/>
        <w:t>[Section 44A inserted: No. 40 of 2020 s. 28.]</w:t>
      </w:r>
    </w:p>
    <w:p>
      <w:pPr>
        <w:pStyle w:val="Heading5"/>
      </w:pPr>
      <w:bookmarkStart w:id="91" w:name="_Toc158985388"/>
      <w:r>
        <w:rPr>
          <w:rStyle w:val="CharSectno"/>
        </w:rPr>
        <w:t>45</w:t>
      </w:r>
      <w:r>
        <w:t>.</w:t>
      </w:r>
      <w:r>
        <w:tab/>
        <w:t>Procedure for deciding if assessed proposal may be implemented</w:t>
      </w:r>
      <w:bookmarkEnd w:id="91"/>
    </w:p>
    <w:p>
      <w:pPr>
        <w:pStyle w:val="Subsection"/>
      </w:pPr>
      <w:r>
        <w:tab/>
        <w:t>(1)</w:t>
      </w:r>
      <w:r>
        <w:tab/>
        <w:t>This section applies after the Minister has caused a report to be published under section 44(3)(a).</w:t>
      </w:r>
    </w:p>
    <w:p>
      <w:pPr>
        <w:pStyle w:val="Subsection"/>
      </w:pPr>
      <w:r>
        <w:tab/>
        <w:t>(2)</w:t>
      </w:r>
      <w:r>
        <w:tab/>
        <w:t>For the purposes of this section the Minister must determine which or whom of the decision</w:t>
      </w:r>
      <w:r>
        <w:noBreakHyphen/>
        <w:t>making authorities in relation to the assessed proposal the Minister considers to be a key decision-making authority.</w:t>
      </w:r>
    </w:p>
    <w:p>
      <w:pPr>
        <w:pStyle w:val="Subsection"/>
      </w:pPr>
      <w:r>
        <w:tab/>
        <w:t>(3)</w:t>
      </w:r>
      <w:r>
        <w:tab/>
        <w:t>If the key decision</w:t>
      </w:r>
      <w:r>
        <w:noBreakHyphen/>
        <w:t>making authority, or one or more of the key decision</w:t>
      </w:r>
      <w:r>
        <w:noBreakHyphen/>
        <w:t>making authorities, is or are another Minister or other Ministers, the Minister must consult and, if possible, agree with that Minister or those Ministers on the implementation issues.</w:t>
      </w:r>
    </w:p>
    <w:p>
      <w:pPr>
        <w:pStyle w:val="Subsection"/>
      </w:pPr>
      <w:r>
        <w:tab/>
        <w:t>(4)</w:t>
      </w:r>
      <w:r>
        <w:tab/>
        <w:t>If neither the key decision</w:t>
      </w:r>
      <w:r>
        <w:noBreakHyphen/>
        <w:t>making authority, nor any of the key decision</w:t>
      </w:r>
      <w:r>
        <w:noBreakHyphen/>
        <w:t>making authorities, as the case requires, is another Minister, the Minister must consult and, if possible, agree with that key decision</w:t>
      </w:r>
      <w:r>
        <w:noBreakHyphen/>
        <w:t>making authority or those key decision</w:t>
      </w:r>
      <w:r>
        <w:noBreakHyphen/>
        <w:t>making authorities on the implementation issues.</w:t>
      </w:r>
    </w:p>
    <w:p>
      <w:pPr>
        <w:pStyle w:val="Subsection"/>
      </w:pPr>
      <w:r>
        <w:tab/>
        <w:t>(5)</w:t>
      </w:r>
      <w:r>
        <w:tab/>
        <w:t>If the Minister and the other Minister or Ministers referred to in subsection (3) cannot agree on an implementation issue, the Minister must refer the matter or matters in dispute to the Governor for decision, and the decision of the Governor on that matter or matters is final and without appeal.</w:t>
      </w:r>
    </w:p>
    <w:p>
      <w:pPr>
        <w:pStyle w:val="Subsection"/>
      </w:pPr>
      <w:r>
        <w:tab/>
        <w:t>(6)</w:t>
      </w:r>
      <w:r>
        <w:tab/>
        <w:t>If the Minister and the decision</w:t>
      </w:r>
      <w:r>
        <w:noBreakHyphen/>
        <w:t>making authority or decision</w:t>
      </w:r>
      <w:r>
        <w:noBreakHyphen/>
        <w:t xml:space="preserve">making authorities referred to in subsection (4) cannot agree on an implementation issue, the Minister must appoint an </w:t>
      </w:r>
      <w:r>
        <w:lastRenderedPageBreak/>
        <w:t>appeals committee to consider and report to the Minister on the matter or matters in dispute.</w:t>
      </w:r>
    </w:p>
    <w:p>
      <w:pPr>
        <w:pStyle w:val="Subsection"/>
      </w:pPr>
      <w:r>
        <w:tab/>
        <w:t>(7)</w:t>
      </w:r>
      <w:r>
        <w:tab/>
        <w:t>Sections 106, 107, 108, 109 and 110 apply to and in relation to a matter in respect of which the Minister has appointed an appeals committee under subsection (6) as if that matter were the subject of an appeal from a decision of the Minister.</w:t>
      </w:r>
    </w:p>
    <w:p>
      <w:pPr>
        <w:pStyle w:val="Subsection"/>
      </w:pPr>
      <w:r>
        <w:tab/>
        <w:t>(8)</w:t>
      </w:r>
      <w:r>
        <w:tab/>
        <w:t>If the implementation agreement or decision is that the assessed proposal may be implemented, or may be implemented subject to implementation conditions, the Minister must within 30 days of the agreement or decision being made —</w:t>
      </w:r>
    </w:p>
    <w:p>
      <w:pPr>
        <w:pStyle w:val="Indenta"/>
      </w:pPr>
      <w:r>
        <w:tab/>
        <w:t>(a)</w:t>
      </w:r>
      <w:r>
        <w:tab/>
        <w:t>cause copies of a statement setting out the implementation agreement or decision to be served on —</w:t>
      </w:r>
    </w:p>
    <w:p>
      <w:pPr>
        <w:pStyle w:val="Indenti"/>
      </w:pPr>
      <w:r>
        <w:tab/>
        <w:t>(i)</w:t>
      </w:r>
      <w:r>
        <w:tab/>
        <w:t>the Authority; and</w:t>
      </w:r>
    </w:p>
    <w:p>
      <w:pPr>
        <w:pStyle w:val="Indenti"/>
      </w:pPr>
      <w:r>
        <w:tab/>
        <w:t>(ii)</w:t>
      </w:r>
      <w:r>
        <w:tab/>
        <w:t>each key decision</w:t>
      </w:r>
      <w:r>
        <w:noBreakHyphen/>
        <w:t>making authority and any other decision</w:t>
      </w:r>
      <w:r>
        <w:noBreakHyphen/>
        <w:t>making authority to which or whom notice of the Authority’s decision to assess the proposal was given under section 38G(1)(b)(iii) or (5); and</w:t>
      </w:r>
    </w:p>
    <w:p>
      <w:pPr>
        <w:pStyle w:val="Indenti"/>
      </w:pPr>
      <w:r>
        <w:tab/>
        <w:t>(iii)</w:t>
      </w:r>
      <w:r>
        <w:tab/>
        <w:t>the proponent of the assessed proposal; and</w:t>
      </w:r>
    </w:p>
    <w:p>
      <w:pPr>
        <w:pStyle w:val="Indenti"/>
      </w:pPr>
      <w:r>
        <w:tab/>
        <w:t>(iv)</w:t>
      </w:r>
      <w:r>
        <w:tab/>
        <w:t>the person who referred the assessed proposal (if it was not referred by a person referred to in subparagraph (ii) or (iii));</w:t>
      </w:r>
    </w:p>
    <w:p>
      <w:pPr>
        <w:pStyle w:val="Indenta"/>
      </w:pPr>
      <w:r>
        <w:tab/>
      </w:r>
      <w:r>
        <w:tab/>
        <w:t>and</w:t>
      </w:r>
    </w:p>
    <w:p>
      <w:pPr>
        <w:pStyle w:val="Indenta"/>
      </w:pPr>
      <w:r>
        <w:tab/>
        <w:t>(b)</w:t>
      </w:r>
      <w:r>
        <w:tab/>
        <w:t>cause the statement to be published as soon as is practicable after it is served under paragraph (a).</w:t>
      </w:r>
    </w:p>
    <w:p>
      <w:pPr>
        <w:pStyle w:val="Subsection"/>
      </w:pPr>
      <w:r>
        <w:tab/>
        <w:t>(9)</w:t>
      </w:r>
      <w:r>
        <w:tab/>
        <w:t>Section 45A sets out some kinds of implementation conditions that may be agreed or decided in relation to the assessed proposal, but nothing in that section prevents any other implementation condition from being agreed or decided.</w:t>
      </w:r>
    </w:p>
    <w:p>
      <w:pPr>
        <w:pStyle w:val="Subsection"/>
        <w:keepNext/>
      </w:pPr>
      <w:r>
        <w:lastRenderedPageBreak/>
        <w:tab/>
        <w:t>(10)</w:t>
      </w:r>
      <w:r>
        <w:tab/>
        <w:t xml:space="preserve">Despite anything in this section — </w:t>
      </w:r>
    </w:p>
    <w:p>
      <w:pPr>
        <w:pStyle w:val="Indenta"/>
      </w:pPr>
      <w:r>
        <w:tab/>
        <w:t>(a)</w:t>
      </w:r>
      <w:r>
        <w:tab/>
        <w:t>an implementation issue cannot be agreed or decided under this section during the period of 21 days referred to in section 100(3a)(b); and</w:t>
      </w:r>
    </w:p>
    <w:p>
      <w:pPr>
        <w:pStyle w:val="Indenta"/>
      </w:pPr>
      <w:r>
        <w:tab/>
        <w:t>(b)</w:t>
      </w:r>
      <w:r>
        <w:tab/>
        <w:t xml:space="preserve">if an appeal is lodged under section 100(1)(d) in respect of the report mentioned in subsection (1) — </w:t>
      </w:r>
    </w:p>
    <w:p>
      <w:pPr>
        <w:pStyle w:val="Indenti"/>
      </w:pPr>
      <w:r>
        <w:tab/>
        <w:t>(i)</w:t>
      </w:r>
      <w:r>
        <w:tab/>
        <w:t>an implementation issue cannot be agreed or decided under this section while the appeal is pending; and</w:t>
      </w:r>
    </w:p>
    <w:p>
      <w:pPr>
        <w:pStyle w:val="Indenti"/>
      </w:pPr>
      <w:r>
        <w:tab/>
        <w:t>(ii)</w:t>
      </w:r>
      <w:r>
        <w:tab/>
        <w:t xml:space="preserve">if the decision on the appeal is to remit the assessed proposal to the Authority for further assessment or reassessment — an implementation issue cannot be agreed or decided under this section before the report on that further assessment or reassessment has been published under section 44(3)(a). </w:t>
      </w:r>
    </w:p>
    <w:p>
      <w:pPr>
        <w:pStyle w:val="Subsection"/>
      </w:pPr>
      <w:r>
        <w:tab/>
        <w:t>(11)</w:t>
      </w:r>
      <w:r>
        <w:tab/>
        <w:t xml:space="preserve">Subsection (12) applies if — </w:t>
      </w:r>
    </w:p>
    <w:p>
      <w:pPr>
        <w:pStyle w:val="Indenta"/>
      </w:pPr>
      <w:r>
        <w:tab/>
        <w:t>(a)</w:t>
      </w:r>
      <w:r>
        <w:tab/>
        <w:t xml:space="preserve">a statement has been published under subsection (8)(b) in relation to the assessed proposal; and </w:t>
      </w:r>
    </w:p>
    <w:p>
      <w:pPr>
        <w:pStyle w:val="Indenta"/>
      </w:pPr>
      <w:r>
        <w:tab/>
        <w:t>(b)</w:t>
      </w:r>
      <w:r>
        <w:tab/>
        <w:t>the Minister is satisfied that there is no reason why the assessed proposal should not be implemented.</w:t>
      </w:r>
    </w:p>
    <w:p>
      <w:pPr>
        <w:pStyle w:val="Subsection"/>
      </w:pPr>
      <w:r>
        <w:tab/>
        <w:t>(12)</w:t>
      </w:r>
      <w:r>
        <w:tab/>
        <w:t>As soon as this subsection applies, the Minister may cause to be served on the decision</w:t>
      </w:r>
      <w:r>
        <w:noBreakHyphen/>
        <w:t>making authority precluded by section 41 from making a DMA decision an authority in writing permitting a DMA decision to be made.</w:t>
      </w:r>
    </w:p>
    <w:p>
      <w:pPr>
        <w:pStyle w:val="Subsection"/>
      </w:pPr>
      <w:r>
        <w:tab/>
        <w:t>(13)</w:t>
      </w:r>
      <w:r>
        <w:tab/>
        <w:t xml:space="preserve">If the implementation agreement or decision is that the assessed proposal may not be implemented, the Minister must within 30 days of the agreement or decision being made give written notice of the implementation agreement or decision to — </w:t>
      </w:r>
    </w:p>
    <w:p>
      <w:pPr>
        <w:pStyle w:val="Indenta"/>
      </w:pPr>
      <w:r>
        <w:tab/>
        <w:t>(a)</w:t>
      </w:r>
      <w:r>
        <w:tab/>
        <w:t>the Authority; and</w:t>
      </w:r>
    </w:p>
    <w:p>
      <w:pPr>
        <w:pStyle w:val="Indenta"/>
      </w:pPr>
      <w:r>
        <w:tab/>
        <w:t>(b)</w:t>
      </w:r>
      <w:r>
        <w:tab/>
        <w:t>each key decision</w:t>
      </w:r>
      <w:r>
        <w:noBreakHyphen/>
        <w:t>making authority and any other decision</w:t>
      </w:r>
      <w:r>
        <w:noBreakHyphen/>
        <w:t xml:space="preserve">making authority to which or whom notice of </w:t>
      </w:r>
      <w:r>
        <w:lastRenderedPageBreak/>
        <w:t>the Authority’s decision to assess the proposal was given under section 38G(1)(b)(iii) or (5); and</w:t>
      </w:r>
    </w:p>
    <w:p>
      <w:pPr>
        <w:pStyle w:val="Indenta"/>
      </w:pPr>
      <w:r>
        <w:tab/>
        <w:t>(c)</w:t>
      </w:r>
      <w:r>
        <w:tab/>
        <w:t>the proponent of the assessed proposal; and</w:t>
      </w:r>
    </w:p>
    <w:p>
      <w:pPr>
        <w:pStyle w:val="Indenta"/>
      </w:pPr>
      <w:r>
        <w:tab/>
        <w:t>(d)</w:t>
      </w:r>
      <w:r>
        <w:tab/>
        <w:t>the person who referred the assessed proposal (if it was not referred by a person referred to in paragraph (b) or (c)).</w:t>
      </w:r>
    </w:p>
    <w:p>
      <w:pPr>
        <w:pStyle w:val="Subsection"/>
      </w:pPr>
      <w:r>
        <w:tab/>
        <w:t>(14)</w:t>
      </w:r>
      <w:r>
        <w:tab/>
        <w:t>If notice is given under subsection (13) of an implementation agreement or decision for a significant amendment of an approved proposal, that implementation agreement or decision does not affect the implementation of the approved proposal.</w:t>
      </w:r>
    </w:p>
    <w:p>
      <w:pPr>
        <w:pStyle w:val="Footnotesection"/>
      </w:pPr>
      <w:r>
        <w:tab/>
        <w:t>[Section 45 inserted: No. 40 of 2020 s. 28.]</w:t>
      </w:r>
    </w:p>
    <w:p>
      <w:pPr>
        <w:pStyle w:val="Heading5"/>
      </w:pPr>
      <w:bookmarkStart w:id="92" w:name="_Toc158985389"/>
      <w:r>
        <w:rPr>
          <w:rStyle w:val="CharSectno"/>
        </w:rPr>
        <w:t>45A</w:t>
      </w:r>
      <w:r>
        <w:t>.</w:t>
      </w:r>
      <w:r>
        <w:tab/>
        <w:t>Implementation conditions</w:t>
      </w:r>
      <w:bookmarkEnd w:id="92"/>
    </w:p>
    <w:p>
      <w:pPr>
        <w:pStyle w:val="Subsection"/>
      </w:pPr>
      <w:r>
        <w:tab/>
        <w:t>(1)</w:t>
      </w:r>
      <w:r>
        <w:tab/>
        <w:t>The following list sets out things the proponent of the assessed proposal can be required to do under implementation conditions —</w:t>
      </w:r>
    </w:p>
    <w:p>
      <w:pPr>
        <w:pStyle w:val="Indenta"/>
      </w:pPr>
      <w:r>
        <w:tab/>
        <w:t>(a)</w:t>
      </w:r>
      <w:r>
        <w:tab/>
        <w:t>substantially commence implementation of the proposal within a specified period or before a specified date;</w:t>
      </w:r>
    </w:p>
    <w:p>
      <w:pPr>
        <w:pStyle w:val="Indenta"/>
      </w:pPr>
      <w:r>
        <w:tab/>
        <w:t>(b)</w:t>
      </w:r>
      <w:r>
        <w:tab/>
        <w:t>at the proponent’s expense, take environmental protection, abatement or restoration measures on the subject land, or on other land, in order to directly or indirectly offset the impacts of the implementation of the proposal on the environment;</w:t>
      </w:r>
    </w:p>
    <w:p>
      <w:pPr>
        <w:pStyle w:val="Indenta"/>
      </w:pPr>
      <w:r>
        <w:tab/>
        <w:t>(c)</w:t>
      </w:r>
      <w:r>
        <w:tab/>
        <w:t>contribute moneys to be used for the purpose of taking environmental protection, abatement or restoration measures on the subject land or other land;</w:t>
      </w:r>
    </w:p>
    <w:p>
      <w:pPr>
        <w:pStyle w:val="Indenta"/>
      </w:pPr>
      <w:r>
        <w:tab/>
        <w:t>(d)</w:t>
      </w:r>
      <w:r>
        <w:tab/>
        <w:t>give an environmental undertaking in relation to other land;</w:t>
      </w:r>
    </w:p>
    <w:p>
      <w:pPr>
        <w:pStyle w:val="Indenta"/>
      </w:pPr>
      <w:r>
        <w:tab/>
        <w:t>(e)</w:t>
      </w:r>
      <w:r>
        <w:tab/>
        <w:t>arrange for an environmental protection covenant to be given by a specified person other than the proponent in relation to other land;</w:t>
      </w:r>
    </w:p>
    <w:p>
      <w:pPr>
        <w:pStyle w:val="Indenta"/>
      </w:pPr>
      <w:r>
        <w:tab/>
        <w:t>(f)</w:t>
      </w:r>
      <w:r>
        <w:tab/>
        <w:t xml:space="preserve">at the proponent’s expense, prepare, implement and adhere to environmental management systems, </w:t>
      </w:r>
      <w:r>
        <w:lastRenderedPageBreak/>
        <w:t>environmental management plans and environmental improvement plans;</w:t>
      </w:r>
    </w:p>
    <w:p>
      <w:pPr>
        <w:pStyle w:val="Indenta"/>
      </w:pPr>
      <w:r>
        <w:tab/>
        <w:t>(g)</w:t>
      </w:r>
      <w:r>
        <w:tab/>
        <w:t>at the proponent’s expense, arrange for audits as to whether or not the implementation conditions have been complied with to be carried out at specified times by a person nominated or approved by the CEO and report to the CEO on the findings of those audits.</w:t>
      </w:r>
    </w:p>
    <w:p>
      <w:pPr>
        <w:pStyle w:val="Subsection"/>
      </w:pPr>
      <w:r>
        <w:tab/>
        <w:t>(2)</w:t>
      </w:r>
      <w:r>
        <w:tab/>
        <w:t xml:space="preserve">In subsection (1) — </w:t>
      </w:r>
    </w:p>
    <w:p>
      <w:pPr>
        <w:pStyle w:val="Defstart"/>
      </w:pPr>
      <w:r>
        <w:tab/>
      </w:r>
      <w:r>
        <w:rPr>
          <w:rStyle w:val="CharDefText"/>
        </w:rPr>
        <w:t>other land</w:t>
      </w:r>
      <w:r>
        <w:t xml:space="preserve"> means land other than the subject land;</w:t>
      </w:r>
    </w:p>
    <w:p>
      <w:pPr>
        <w:pStyle w:val="Defstart"/>
      </w:pPr>
      <w:r>
        <w:tab/>
      </w:r>
      <w:r>
        <w:rPr>
          <w:rStyle w:val="CharDefText"/>
        </w:rPr>
        <w:t>specified</w:t>
      </w:r>
      <w:r>
        <w:t xml:space="preserve"> means specified in an implementation condition;</w:t>
      </w:r>
    </w:p>
    <w:p>
      <w:pPr>
        <w:pStyle w:val="Defstart"/>
      </w:pPr>
      <w:r>
        <w:tab/>
      </w:r>
      <w:r>
        <w:rPr>
          <w:rStyle w:val="CharDefText"/>
        </w:rPr>
        <w:t>subject land</w:t>
      </w:r>
      <w:r>
        <w:t xml:space="preserve"> means the land to which the assessed proposal relates.</w:t>
      </w:r>
    </w:p>
    <w:p>
      <w:pPr>
        <w:pStyle w:val="Subsection"/>
      </w:pPr>
      <w:r>
        <w:tab/>
        <w:t>(3)</w:t>
      </w:r>
      <w:r>
        <w:tab/>
        <w:t>If the implementation agreement or decision authorises the assessed proposal to be implemented only if it is implemented in 2 or more stages, the implementation agreement or decision may include implementation conditions specifying requirements in relation to the implementation of a stage of the proposal that must be met to the satisfaction of the CEO before the implementation of the next stage can take place.</w:t>
      </w:r>
    </w:p>
    <w:p>
      <w:pPr>
        <w:pStyle w:val="Subsection"/>
      </w:pPr>
      <w:r>
        <w:tab/>
        <w:t>(4)</w:t>
      </w:r>
      <w:r>
        <w:tab/>
        <w:t>An implementation condition may require the proponent to pay fees or charges payable under section 48AA(1) in relation to the assessed proposal.</w:t>
      </w:r>
    </w:p>
    <w:p>
      <w:pPr>
        <w:pStyle w:val="Footnotesection"/>
      </w:pPr>
      <w:r>
        <w:tab/>
        <w:t>[Section 45A inserted: No. 40 of 2020 s. 28.]</w:t>
      </w:r>
    </w:p>
    <w:p>
      <w:pPr>
        <w:pStyle w:val="Heading5"/>
      </w:pPr>
      <w:bookmarkStart w:id="93" w:name="_Toc158985390"/>
      <w:r>
        <w:rPr>
          <w:rStyle w:val="CharSectno"/>
        </w:rPr>
        <w:t>45B</w:t>
      </w:r>
      <w:r>
        <w:t>.</w:t>
      </w:r>
      <w:r>
        <w:tab/>
        <w:t>Implementation of derived proposal</w:t>
      </w:r>
      <w:bookmarkEnd w:id="93"/>
    </w:p>
    <w:p>
      <w:pPr>
        <w:pStyle w:val="Subsection"/>
      </w:pPr>
      <w:r>
        <w:tab/>
        <w:t>(1)</w:t>
      </w:r>
      <w:r>
        <w:tab/>
        <w:t>In this section —</w:t>
      </w:r>
    </w:p>
    <w:p>
      <w:pPr>
        <w:pStyle w:val="Defstart"/>
      </w:pPr>
      <w:r>
        <w:tab/>
      </w:r>
      <w:r>
        <w:rPr>
          <w:rStyle w:val="CharDefText"/>
        </w:rPr>
        <w:t>section 38E declaration</w:t>
      </w:r>
      <w:r>
        <w:t xml:space="preserve"> means a declaration under section 38E that a proposal is a derived proposal.</w:t>
      </w:r>
    </w:p>
    <w:p>
      <w:pPr>
        <w:pStyle w:val="Subsection"/>
        <w:keepNext/>
      </w:pPr>
      <w:r>
        <w:tab/>
        <w:t>(2)</w:t>
      </w:r>
      <w:r>
        <w:tab/>
        <w:t xml:space="preserve">Subject to subsection (3), when the Minister is notified under section 38E(6)(b) of a section 38E declaration, the previous Ministerial statement relating to the derived proposal takes </w:t>
      </w:r>
      <w:r>
        <w:lastRenderedPageBreak/>
        <w:t>effect and the Minister must cause written notice of the taking effect of the Ministerial statement to be served on —</w:t>
      </w:r>
    </w:p>
    <w:p>
      <w:pPr>
        <w:pStyle w:val="Indenta"/>
      </w:pPr>
      <w:r>
        <w:tab/>
        <w:t>(a)</w:t>
      </w:r>
      <w:r>
        <w:tab/>
        <w:t>the Authority; and</w:t>
      </w:r>
    </w:p>
    <w:p>
      <w:pPr>
        <w:pStyle w:val="Indenta"/>
      </w:pPr>
      <w:r>
        <w:tab/>
        <w:t>(b)</w:t>
      </w:r>
      <w:r>
        <w:tab/>
        <w:t>each decision</w:t>
      </w:r>
      <w:r>
        <w:noBreakHyphen/>
        <w:t>making authority that received the Ministerial statement under section 45(8)(a)(ii); and</w:t>
      </w:r>
    </w:p>
    <w:p>
      <w:pPr>
        <w:pStyle w:val="Indenta"/>
      </w:pPr>
      <w:r>
        <w:tab/>
        <w:t>(c)</w:t>
      </w:r>
      <w:r>
        <w:tab/>
        <w:t>the proponent of the derived proposal; and</w:t>
      </w:r>
    </w:p>
    <w:p>
      <w:pPr>
        <w:pStyle w:val="Indenta"/>
      </w:pPr>
      <w:r>
        <w:tab/>
        <w:t>(d)</w:t>
      </w:r>
      <w:r>
        <w:tab/>
        <w:t>the person who referred the derived proposal (if it was not referred by a person referred to in paragraph (b) or (c)).</w:t>
      </w:r>
    </w:p>
    <w:p>
      <w:pPr>
        <w:pStyle w:val="Subsection"/>
      </w:pPr>
      <w:r>
        <w:tab/>
        <w:t>(3)</w:t>
      </w:r>
      <w:r>
        <w:tab/>
        <w:t>If the previous Ministerial statement relating to the derived proposal included implementation conditions relating generally to 2 or more future proposals, the Minister may, in the notice under subsection (2), specify which of those implementation conditions apply to the derived proposal and, subject to sections 46 and 46A, the conditions and procedures so specified are the implementation conditions relating to the derived proposal.</w:t>
      </w:r>
    </w:p>
    <w:p>
      <w:pPr>
        <w:pStyle w:val="Footnotesection"/>
      </w:pPr>
      <w:r>
        <w:tab/>
        <w:t>[Section 45B inserted: No. 40 of 2020 s. 28.]</w:t>
      </w:r>
    </w:p>
    <w:p>
      <w:pPr>
        <w:pStyle w:val="Heading5"/>
      </w:pPr>
      <w:bookmarkStart w:id="94" w:name="_Toc158985391"/>
      <w:r>
        <w:rPr>
          <w:rStyle w:val="CharSectno"/>
        </w:rPr>
        <w:t>45C</w:t>
      </w:r>
      <w:r>
        <w:t>.</w:t>
      </w:r>
      <w:r>
        <w:tab/>
        <w:t>Amending approved proposals or implementation conditions without inquiry or assessment</w:t>
      </w:r>
      <w:bookmarkEnd w:id="94"/>
      <w:r>
        <w:t xml:space="preserve"> </w:t>
      </w:r>
    </w:p>
    <w:p>
      <w:pPr>
        <w:pStyle w:val="Subsection"/>
      </w:pPr>
      <w:r>
        <w:tab/>
        <w:t>(1)</w:t>
      </w:r>
      <w:r>
        <w:tab/>
        <w:t xml:space="preserve">The Minister, after receiving a written request from the proponent to do so, may — </w:t>
      </w:r>
    </w:p>
    <w:p>
      <w:pPr>
        <w:pStyle w:val="Indenta"/>
      </w:pPr>
      <w:r>
        <w:tab/>
        <w:t>(a)</w:t>
      </w:r>
      <w:r>
        <w:tab/>
        <w:t>approve an amendment to an approved proposal; or</w:t>
      </w:r>
    </w:p>
    <w:p>
      <w:pPr>
        <w:pStyle w:val="Indenta"/>
      </w:pPr>
      <w:r>
        <w:tab/>
        <w:t>(b)</w:t>
      </w:r>
      <w:r>
        <w:tab/>
        <w:t>amend implementation conditions relating to an approved proposal; or</w:t>
      </w:r>
    </w:p>
    <w:p>
      <w:pPr>
        <w:pStyle w:val="Indenta"/>
      </w:pPr>
      <w:r>
        <w:tab/>
        <w:t>(c)</w:t>
      </w:r>
      <w:r>
        <w:tab/>
        <w:t>approve an amendment to an approved proposal and amend implementation conditions relating to the approved proposal.</w:t>
      </w:r>
    </w:p>
    <w:p>
      <w:pPr>
        <w:pStyle w:val="Subsection"/>
      </w:pPr>
      <w:r>
        <w:tab/>
        <w:t>(2)</w:t>
      </w:r>
      <w:r>
        <w:tab/>
        <w:t xml:space="preserve">The Minister may, by written notice, request the proponent to provide the Minister with additional information about an amendment to which a request under subsection (1) applies to </w:t>
      </w:r>
      <w:r>
        <w:lastRenderedPageBreak/>
        <w:t>enable the Minister to decide whether or not to approve or make the requested amendment.</w:t>
      </w:r>
    </w:p>
    <w:p>
      <w:pPr>
        <w:pStyle w:val="Subsection"/>
      </w:pPr>
      <w:r>
        <w:tab/>
        <w:t>(3)</w:t>
      </w:r>
      <w:r>
        <w:tab/>
        <w:t>The Minister must not approve or make an amendment requested under subsection (1) if the Minister considers that the requested amendment is a significant amendment.</w:t>
      </w:r>
    </w:p>
    <w:p>
      <w:pPr>
        <w:pStyle w:val="Subsection"/>
      </w:pPr>
      <w:r>
        <w:tab/>
        <w:t>(4)</w:t>
      </w:r>
      <w:r>
        <w:tab/>
        <w:t>Whether or not there has been a request under subsection (1), the Minister may amend an approved proposal if the Minister considers that the amendment is of a minor nature and is necessary and desirable in order to correct in the description of the proposal —</w:t>
      </w:r>
    </w:p>
    <w:p>
      <w:pPr>
        <w:pStyle w:val="Indenta"/>
      </w:pPr>
      <w:r>
        <w:tab/>
        <w:t>(a)</w:t>
      </w:r>
      <w:r>
        <w:tab/>
        <w:t>a clerical mistake or unintentional error or omission; or</w:t>
      </w:r>
    </w:p>
    <w:p>
      <w:pPr>
        <w:pStyle w:val="Indenta"/>
      </w:pPr>
      <w:r>
        <w:tab/>
        <w:t>(b)</w:t>
      </w:r>
      <w:r>
        <w:tab/>
        <w:t>a figure that has been miscalculated; or</w:t>
      </w:r>
    </w:p>
    <w:p>
      <w:pPr>
        <w:pStyle w:val="Indenta"/>
      </w:pPr>
      <w:r>
        <w:tab/>
        <w:t>(c)</w:t>
      </w:r>
      <w:r>
        <w:tab/>
        <w:t>a misdescription of any person, thing or property.</w:t>
      </w:r>
    </w:p>
    <w:p>
      <w:pPr>
        <w:pStyle w:val="Subsection"/>
      </w:pPr>
      <w:r>
        <w:tab/>
        <w:t>(5)</w:t>
      </w:r>
      <w:r>
        <w:tab/>
        <w:t xml:space="preserve">Whether or not there has been a request under subsection (1), the Minister may amend implementation conditions relating to an approved proposal if the Minister considers that the amendment is of a minor nature and is necessary and desirable in order to — </w:t>
      </w:r>
    </w:p>
    <w:p>
      <w:pPr>
        <w:pStyle w:val="Indenta"/>
      </w:pPr>
      <w:r>
        <w:tab/>
        <w:t>(a)</w:t>
      </w:r>
      <w:r>
        <w:tab/>
        <w:t>standardise the implementation conditions applying to different proposals; or</w:t>
      </w:r>
    </w:p>
    <w:p>
      <w:pPr>
        <w:pStyle w:val="Indenta"/>
      </w:pPr>
      <w:r>
        <w:tab/>
        <w:t>(b)</w:t>
      </w:r>
      <w:r>
        <w:tab/>
        <w:t>correct in the implementation conditions —</w:t>
      </w:r>
    </w:p>
    <w:p>
      <w:pPr>
        <w:pStyle w:val="Indenti"/>
      </w:pPr>
      <w:r>
        <w:tab/>
        <w:t>(i)</w:t>
      </w:r>
      <w:r>
        <w:tab/>
        <w:t>a clerical mistake or unintentional error or omission; or</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pPr>
      <w:r>
        <w:tab/>
        <w:t>(c)</w:t>
      </w:r>
      <w:r>
        <w:tab/>
        <w:t>make an administrative change to the format of the implementation conditions that does not alter the obligations of the proponent.</w:t>
      </w:r>
    </w:p>
    <w:p>
      <w:pPr>
        <w:pStyle w:val="Subsection"/>
        <w:keepNext/>
      </w:pPr>
      <w:r>
        <w:lastRenderedPageBreak/>
        <w:tab/>
        <w:t>(6)</w:t>
      </w:r>
      <w:r>
        <w:tab/>
        <w:t>The Minister must cause notice of amendments approved or made under subsection (1), (4) or (5) —</w:t>
      </w:r>
    </w:p>
    <w:p>
      <w:pPr>
        <w:pStyle w:val="Indenta"/>
      </w:pPr>
      <w:r>
        <w:tab/>
        <w:t>(a)</w:t>
      </w:r>
      <w:r>
        <w:tab/>
        <w:t>to be given in writing to —</w:t>
      </w:r>
    </w:p>
    <w:p>
      <w:pPr>
        <w:pStyle w:val="Indenti"/>
      </w:pPr>
      <w:r>
        <w:tab/>
        <w:t>(i)</w:t>
      </w:r>
      <w:r>
        <w:tab/>
        <w:t>the Authority; and</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(7)</w:t>
      </w:r>
      <w:r>
        <w:tab/>
        <w:t>If the Minister refuses to approve or make an amendment as requested under subsection (1), the Minister must give written notice of the refusal to the proponent and the proponent may refer the requested amendment to the Authority under section 38(1) as a significant amendment of an approved proposal.</w:t>
      </w:r>
    </w:p>
    <w:p>
      <w:pPr>
        <w:pStyle w:val="Subsection"/>
      </w:pPr>
      <w:r>
        <w:tab/>
        <w:t>(8)</w:t>
      </w:r>
      <w:r>
        <w:tab/>
        <w:t xml:space="preserve">Without limiting this Division, where notice has been given under subsection (7) in relation to a requested amendment of implementation conditions — </w:t>
      </w:r>
    </w:p>
    <w:p>
      <w:pPr>
        <w:pStyle w:val="Indenta"/>
      </w:pPr>
      <w:r>
        <w:tab/>
        <w:t>(a)</w:t>
      </w:r>
      <w:r>
        <w:tab/>
        <w:t>the Minister may make a request under section 46(1) whether or not the Minister considers that the implementation conditions, or any of them, should be amended; or</w:t>
      </w:r>
    </w:p>
    <w:p>
      <w:pPr>
        <w:pStyle w:val="Indenta"/>
      </w:pPr>
      <w:r>
        <w:tab/>
        <w:t>(b)</w:t>
      </w:r>
      <w:r>
        <w:tab/>
        <w:t>the Minister may agree with any decision</w:t>
      </w:r>
      <w:r>
        <w:noBreakHyphen/>
        <w:t>making authority that was consulted under this Act in relation to the existing implementation conditions that the proposed amendment to conditions is a significant amendment that must be referred by the decision</w:t>
      </w:r>
      <w:r>
        <w:noBreakHyphen/>
        <w:t>making authority under section 38(4) as a significant proposal.</w:t>
      </w:r>
    </w:p>
    <w:p>
      <w:pPr>
        <w:pStyle w:val="Footnotesection"/>
      </w:pPr>
      <w:r>
        <w:tab/>
        <w:t>[Section 45C inserted: No. 40 of 2020 s. 28.]</w:t>
      </w:r>
    </w:p>
    <w:p>
      <w:pPr>
        <w:pStyle w:val="Heading5"/>
      </w:pPr>
      <w:bookmarkStart w:id="95" w:name="_Toc158985392"/>
      <w:r>
        <w:rPr>
          <w:rStyle w:val="CharSectno"/>
        </w:rPr>
        <w:lastRenderedPageBreak/>
        <w:t>45D</w:t>
      </w:r>
      <w:r>
        <w:t>.</w:t>
      </w:r>
      <w:r>
        <w:tab/>
        <w:t>Division or consolidation of proposals and issue of separate or combined Ministerial statements</w:t>
      </w:r>
      <w:bookmarkEnd w:id="95"/>
    </w:p>
    <w:p>
      <w:pPr>
        <w:pStyle w:val="Subsection"/>
      </w:pPr>
      <w:r>
        <w:tab/>
        <w:t>(1)</w:t>
      </w:r>
      <w:r>
        <w:tab/>
        <w:t xml:space="preserve">Without limiting section 45C, an amendment approved or made under section 45C(1) may comprise or include — </w:t>
      </w:r>
    </w:p>
    <w:p>
      <w:pPr>
        <w:pStyle w:val="Indenta"/>
      </w:pPr>
      <w:r>
        <w:tab/>
        <w:t>(a)</w:t>
      </w:r>
      <w:r>
        <w:tab/>
        <w:t xml:space="preserve">the division of an approved proposal into 2 or more proposals (the </w:t>
      </w:r>
      <w:r>
        <w:rPr>
          <w:rStyle w:val="CharDefText"/>
        </w:rPr>
        <w:t>separate proposals</w:t>
      </w:r>
      <w:r>
        <w:t>) and the division of the implementation agreement or decision for the approved proposal into implementation agreements or decisions for each of the separate proposals; or</w:t>
      </w:r>
    </w:p>
    <w:p>
      <w:pPr>
        <w:pStyle w:val="Indenta"/>
      </w:pPr>
      <w:r>
        <w:tab/>
        <w:t>(b)</w:t>
      </w:r>
      <w:r>
        <w:tab/>
        <w:t xml:space="preserve">the consolidation of 2 or more approved proposals into 1 proposal (the </w:t>
      </w:r>
      <w:r>
        <w:rPr>
          <w:rStyle w:val="CharDefText"/>
        </w:rPr>
        <w:t>consolidated proposal</w:t>
      </w:r>
      <w:r>
        <w:t>) and the consolidation of the implementation agreements or decisions for the approved proposals to form an implementation agreement or decision for the consolidated proposal.</w:t>
      </w:r>
    </w:p>
    <w:p>
      <w:pPr>
        <w:pStyle w:val="Subsection"/>
      </w:pPr>
      <w:r>
        <w:tab/>
        <w:t>(2)</w:t>
      </w:r>
      <w:r>
        <w:tab/>
        <w:t xml:space="preserve">If subsection (1)(a) applies, the notice given and published under section 45C(6) must be in the form of statements relating to each of the separate proposals and those statements supersede the previous Ministerial statement relating to the approved proposal. </w:t>
      </w:r>
    </w:p>
    <w:p>
      <w:pPr>
        <w:pStyle w:val="Subsection"/>
      </w:pPr>
      <w:r>
        <w:tab/>
        <w:t>(3)</w:t>
      </w:r>
      <w:r>
        <w:tab/>
        <w:t>If subsection (1)(b) applies, the notice given and published under section 45C(6) must be in the form of a statement relating to the consolidated proposal and that statement supersedes the previous Ministerial statements relating to the approved proposals.</w:t>
      </w:r>
    </w:p>
    <w:p>
      <w:pPr>
        <w:pStyle w:val="Footnotesection"/>
      </w:pPr>
      <w:r>
        <w:tab/>
        <w:t>[Section 45D inserted: No. 40 of 2020 s. 28.]</w:t>
      </w:r>
    </w:p>
    <w:p>
      <w:pPr>
        <w:pStyle w:val="Heading5"/>
      </w:pPr>
      <w:bookmarkStart w:id="96" w:name="_Toc158985393"/>
      <w:r>
        <w:rPr>
          <w:rStyle w:val="CharSectno"/>
        </w:rPr>
        <w:t>46</w:t>
      </w:r>
      <w:r>
        <w:t>.</w:t>
      </w:r>
      <w:r>
        <w:tab/>
        <w:t>Amending implementation conditions after inquiry</w:t>
      </w:r>
      <w:bookmarkEnd w:id="96"/>
    </w:p>
    <w:p>
      <w:pPr>
        <w:pStyle w:val="Subsection"/>
      </w:pPr>
      <w:r>
        <w:tab/>
        <w:t>(1)</w:t>
      </w:r>
      <w:r>
        <w:tab/>
        <w:t xml:space="preserve">If the Minister considers that the implementation conditions relating to an approved proposal, or any of them, should be amended (whether because of an amendment to the proposal approved under section 45C or for any other reason), the </w:t>
      </w:r>
      <w:r>
        <w:lastRenderedPageBreak/>
        <w:t>Minister may request the Authority to inquire into and report on the matter within the period specified in the request.</w:t>
      </w:r>
    </w:p>
    <w:p>
      <w:pPr>
        <w:pStyle w:val="Subsection"/>
      </w:pPr>
      <w:r>
        <w:tab/>
        <w:t>(2)</w:t>
      </w:r>
      <w:r>
        <w:tab/>
        <w:t>The Authority is to record any request made under subsection (1) in the public record kept under section 39.</w:t>
      </w:r>
    </w:p>
    <w:p>
      <w:pPr>
        <w:pStyle w:val="Subsection"/>
      </w:pPr>
      <w:r>
        <w:tab/>
        <w:t>(3)</w:t>
      </w:r>
      <w:r>
        <w:tab/>
        <w:t>The Authority is to carry out an inquiry in accordance with a request made under subsection (1).</w:t>
      </w:r>
    </w:p>
    <w:p>
      <w:pPr>
        <w:pStyle w:val="Subsection"/>
      </w:pPr>
      <w:r>
        <w:tab/>
        <w:t>(4)</w:t>
      </w:r>
      <w:r>
        <w:tab/>
        <w:t>Without limiting subsection (1), if a proposal is declared under section 38E(4) to be a derived proposal, the Authority may inquire into whether or not the implementation conditions relating to the proposal, or any of them, should be amended.</w:t>
      </w:r>
    </w:p>
    <w:p>
      <w:pPr>
        <w:pStyle w:val="Subsection"/>
      </w:pPr>
      <w:r>
        <w:tab/>
        <w:t>(5)</w:t>
      </w:r>
      <w:r>
        <w:tab/>
        <w:t>For the purposes of an inquiry under subsection (3) or (4) the Authority has all the powers conferred on it by Division 1 in relation to a proposal.</w:t>
      </w:r>
    </w:p>
    <w:p>
      <w:pPr>
        <w:pStyle w:val="Subsection"/>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amended;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amended as if that question were the question of to what conditions and procedures, if any, the implementation of a proposal should be subjected, and sections 45 and 45A apply to the first</w:t>
      </w:r>
      <w:r>
        <w:noBreakHyphen/>
        <w:t>mentioned question accordingly.</w:t>
      </w:r>
    </w:p>
    <w:p>
      <w:pPr>
        <w:pStyle w:val="Subsection"/>
      </w:pPr>
      <w:r>
        <w:lastRenderedPageBreak/>
        <w:tab/>
        <w:t>(8A)</w:t>
      </w:r>
      <w:r>
        <w:tab/>
        <w:t>Despite subsection (8), the Minister’s obligations under section 45(3) or (4) as applied by subsection (8) do not extend to a decision</w:t>
      </w:r>
      <w:r>
        <w:noBreakHyphen/>
        <w:t>making authority unless the Minister considers that the report under subsection (6) recommends an amendment to an implementation condition that would, if made, affect the decision</w:t>
      </w:r>
      <w:r>
        <w:noBreakHyphen/>
        <w:t>making functions of that decision</w:t>
      </w:r>
      <w:r>
        <w:noBreakHyphen/>
        <w:t>making authority.</w:t>
      </w:r>
    </w:p>
    <w:p>
      <w:pPr>
        <w:pStyle w:val="Subsection"/>
      </w:pPr>
      <w:r>
        <w:tab/>
        <w:t>(9)</w:t>
      </w:r>
      <w:r>
        <w:tab/>
        <w:t>A statement under section 45(8) as applied by subsection (8) may amend any of the implementation conditions to which the report under subsection (6) relates.</w:t>
      </w:r>
    </w:p>
    <w:p>
      <w:pPr>
        <w:pStyle w:val="Ednotesubsection"/>
      </w:pPr>
      <w:r>
        <w:tab/>
        <w:t>[(10)</w:t>
      </w:r>
      <w:r>
        <w:tab/>
        <w:t>deleted]</w:t>
      </w:r>
    </w:p>
    <w:p>
      <w:pPr>
        <w:pStyle w:val="Footnotesection"/>
      </w:pPr>
      <w:r>
        <w:tab/>
        <w:t>[Section 46 inserted: No. 54 of 2003 s. 18; amended: No. 40 of 2020 s. 29.]</w:t>
      </w:r>
    </w:p>
    <w:p>
      <w:pPr>
        <w:pStyle w:val="Heading5"/>
      </w:pPr>
      <w:bookmarkStart w:id="97" w:name="_Toc158985394"/>
      <w:r>
        <w:rPr>
          <w:rStyle w:val="CharSectno"/>
        </w:rPr>
        <w:t>46A</w:t>
      </w:r>
      <w:r>
        <w:t>.</w:t>
      </w:r>
      <w:r>
        <w:tab/>
        <w:t>Interim conditions and procedures</w:t>
      </w:r>
      <w:bookmarkEnd w:id="97"/>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45(8)(b) as applied by section 46(8).</w:t>
      </w:r>
    </w:p>
    <w:p>
      <w:pPr>
        <w:pStyle w:val="Subsection"/>
        <w:keepNext/>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 and</w:t>
      </w:r>
    </w:p>
    <w:p>
      <w:pPr>
        <w:pStyle w:val="Indenti"/>
      </w:pPr>
      <w:r>
        <w:tab/>
        <w:t>(ii)</w:t>
      </w:r>
      <w:r>
        <w:tab/>
        <w:t>each</w:t>
      </w:r>
      <w:r>
        <w:rPr>
          <w:snapToGrid w:val="0"/>
        </w:rPr>
        <w:t xml:space="preserve"> decision</w:t>
      </w:r>
      <w:r>
        <w:noBreakHyphen/>
      </w:r>
      <w:r>
        <w:rPr>
          <w:snapToGrid w:val="0"/>
        </w:rPr>
        <w:t>making authority that received the</w:t>
      </w:r>
      <w:r>
        <w:t xml:space="preserve"> original </w:t>
      </w:r>
      <w:r>
        <w:rPr>
          <w:snapToGrid w:val="0"/>
        </w:rPr>
        <w:t xml:space="preserve">Ministerial statement </w:t>
      </w:r>
      <w:r>
        <w:t>under section 45(8)(a)(ii);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 xml:space="preserve">The Minister is not to issue interim conditions and procedures under subsection (1) if the Minister considers that implementation of the proposal under those interim conditions </w:t>
      </w:r>
      <w:r>
        <w:lastRenderedPageBreak/>
        <w:t>and procedures might have a significant detrimental effect on the environment in addition to, or different from, the effect the proposal might have if implemented under the implementation conditions.</w:t>
      </w:r>
    </w:p>
    <w:p>
      <w:pPr>
        <w:pStyle w:val="Footnotesection"/>
      </w:pPr>
      <w:r>
        <w:tab/>
        <w:t>[Section 46A inserted: No. 54 of 2003 s. 18; amended: No. 40 of 2020 s. 30.]</w:t>
      </w:r>
    </w:p>
    <w:p>
      <w:pPr>
        <w:pStyle w:val="Ednotesection"/>
      </w:pPr>
      <w:r>
        <w:t>[</w:t>
      </w:r>
      <w:r>
        <w:rPr>
          <w:b/>
        </w:rPr>
        <w:t>46B, 46C.</w:t>
      </w:r>
      <w:r>
        <w:tab/>
        <w:t>Deleted: No. 40 of 2020 s. 31.]</w:t>
      </w:r>
    </w:p>
    <w:p>
      <w:pPr>
        <w:pStyle w:val="Heading5"/>
      </w:pPr>
      <w:bookmarkStart w:id="98" w:name="_Toc158985395"/>
      <w:r>
        <w:rPr>
          <w:rStyle w:val="CharSectno"/>
        </w:rPr>
        <w:t>47</w:t>
      </w:r>
      <w:r>
        <w:t>.</w:t>
      </w:r>
      <w:r>
        <w:tab/>
        <w:t>Duties of proponents after service of Ministerial statement</w:t>
      </w:r>
      <w:bookmarkEnd w:id="98"/>
      <w:r>
        <w:t xml:space="preserve"> </w:t>
      </w:r>
    </w:p>
    <w:p>
      <w:pPr>
        <w:pStyle w:val="Subsection"/>
      </w:pPr>
      <w:r>
        <w:tab/>
        <w:t>(1)</w:t>
      </w:r>
      <w:r>
        <w:tab/>
        <w:t>If a Ministerial statement has been published and the proponent does not ensure that any implementation of the proposal to which the statement relates is carried out in accordance with the implementation conditions, the proponent commits an offence.</w:t>
      </w:r>
    </w:p>
    <w:p>
      <w:pPr>
        <w:pStyle w:val="Subsection"/>
      </w:pPr>
      <w:r>
        <w:tab/>
        <w:t>(2)</w:t>
      </w:r>
      <w:r>
        <w:tab/>
        <w:t>Subsection (1) does not apply to an implementation condition mentioned in section 45A(1)(a).</w:t>
      </w:r>
    </w:p>
    <w:p>
      <w:pPr>
        <w:pStyle w:val="Subsection"/>
      </w:pPr>
      <w:r>
        <w:tab/>
        <w:t>(3)</w:t>
      </w:r>
      <w:r>
        <w:tab/>
        <w:t xml:space="preserve">In order to enable the CEO to assess compliance with the implementation conditions in a Ministerial statement, the CEO may by written notice given to the proponent — </w:t>
      </w:r>
    </w:p>
    <w:p>
      <w:pPr>
        <w:pStyle w:val="Indenta"/>
      </w:pPr>
      <w:r>
        <w:tab/>
        <w:t>(a)</w:t>
      </w:r>
      <w:r>
        <w:tab/>
        <w:t>require the proponent to give the CEO reports and information about the implementation of the proposal to which the statement relates; and</w:t>
      </w:r>
    </w:p>
    <w:p>
      <w:pPr>
        <w:pStyle w:val="Indenta"/>
      </w:pPr>
      <w:r>
        <w:tab/>
        <w:t>(b)</w:t>
      </w:r>
      <w:r>
        <w:tab/>
        <w:t>require the proponent to undertake tests, surveys, investigations, monitoring or other work and give the CEO reports and information about the tests, surveys, investigations, monitoring or work.</w:t>
      </w:r>
    </w:p>
    <w:p>
      <w:pPr>
        <w:pStyle w:val="Subsection"/>
      </w:pPr>
      <w:r>
        <w:tab/>
        <w:t>(4)</w:t>
      </w:r>
      <w:r>
        <w:tab/>
        <w:t>If, without reasonable excuse, the proponent refuses or fails to comply with a requirement made under subsection (3), the proponent commits an offence.</w:t>
      </w:r>
    </w:p>
    <w:p>
      <w:pPr>
        <w:pStyle w:val="Subsection"/>
      </w:pPr>
      <w:r>
        <w:tab/>
        <w:t>(5)</w:t>
      </w:r>
      <w:r>
        <w:tab/>
        <w:t>If a notification has been given under section 45(13) and the proponent does anything to implement the proposal to which the notification relates, the proponent commits an offence.</w:t>
      </w:r>
    </w:p>
    <w:p>
      <w:pPr>
        <w:pStyle w:val="Footnotesection"/>
      </w:pPr>
      <w:r>
        <w:tab/>
        <w:t>[Section 47 inserted: No. 40 of 2020 s. 31.]</w:t>
      </w:r>
    </w:p>
    <w:p>
      <w:pPr>
        <w:pStyle w:val="Heading5"/>
      </w:pPr>
      <w:bookmarkStart w:id="99" w:name="_Toc158985396"/>
      <w:r>
        <w:rPr>
          <w:rStyle w:val="CharSectno"/>
        </w:rPr>
        <w:lastRenderedPageBreak/>
        <w:t>47A</w:t>
      </w:r>
      <w:r>
        <w:t>.</w:t>
      </w:r>
      <w:r>
        <w:tab/>
        <w:t>Duration and withdrawal of Ministerial statement</w:t>
      </w:r>
      <w:bookmarkEnd w:id="99"/>
    </w:p>
    <w:p>
      <w:pPr>
        <w:pStyle w:val="Subsection"/>
      </w:pPr>
      <w:r>
        <w:tab/>
        <w:t>(1)</w:t>
      </w:r>
      <w:r>
        <w:tab/>
        <w:t>The Ministerial statement relating to an approved proposal continues to have effect unless it is withdrawn or taken to have been withdrawn under this section.</w:t>
      </w:r>
    </w:p>
    <w:p>
      <w:pPr>
        <w:pStyle w:val="Subsection"/>
      </w:pPr>
      <w:r>
        <w:tab/>
        <w:t>(2)</w:t>
      </w:r>
      <w:r>
        <w:tab/>
        <w:t xml:space="preserve">This subsection applies if — </w:t>
      </w:r>
    </w:p>
    <w:p>
      <w:pPr>
        <w:pStyle w:val="Indenta"/>
      </w:pPr>
      <w:r>
        <w:tab/>
        <w:t>(a)</w:t>
      </w:r>
      <w:r>
        <w:tab/>
        <w:t xml:space="preserve">the Ministerial statement relating to an approved proposal contains a condition mentioned in section 45A(1)(a) (the </w:t>
      </w:r>
      <w:r>
        <w:rPr>
          <w:rStyle w:val="CharDefText"/>
        </w:rPr>
        <w:t>commencement condition</w:t>
      </w:r>
      <w:r>
        <w:t>); and</w:t>
      </w:r>
    </w:p>
    <w:p>
      <w:pPr>
        <w:pStyle w:val="Indenta"/>
      </w:pPr>
      <w:r>
        <w:tab/>
        <w:t>(b)</w:t>
      </w:r>
      <w:r>
        <w:tab/>
        <w:t>the CEO gives the Minister and the proponent of the proposal written notice that, in the CEO’s opinion, the commencement condition has not been complied with.</w:t>
      </w:r>
    </w:p>
    <w:p>
      <w:pPr>
        <w:pStyle w:val="Subsection"/>
      </w:pPr>
      <w:r>
        <w:tab/>
        <w:t>(3)</w:t>
      </w:r>
      <w:r>
        <w:tab/>
        <w:t>This subsection applies if the proponent of an approved proposal requests the Minister, in writing, to withdraw the Ministerial statement relating to the proposal and the Minister is satisfied —</w:t>
      </w:r>
    </w:p>
    <w:p>
      <w:pPr>
        <w:pStyle w:val="Indenta"/>
      </w:pPr>
      <w:r>
        <w:tab/>
        <w:t>(a)</w:t>
      </w:r>
      <w:r>
        <w:tab/>
        <w:t>that the proposal has been implemented and that the implementation conditions, if any, have been complied with or no longer need to be complied with; or</w:t>
      </w:r>
    </w:p>
    <w:p>
      <w:pPr>
        <w:pStyle w:val="Indenta"/>
      </w:pPr>
      <w:r>
        <w:tab/>
        <w:t>(b)</w:t>
      </w:r>
      <w:r>
        <w:tab/>
        <w:t>that the impacts of the implementation of the proposal can be satisfactorily mitigated by way of licensing or some other form of regulatory control under this Act or another written law.</w:t>
      </w:r>
    </w:p>
    <w:p>
      <w:pPr>
        <w:pStyle w:val="Subsection"/>
      </w:pPr>
      <w:r>
        <w:tab/>
        <w:t>(4)</w:t>
      </w:r>
      <w:r>
        <w:tab/>
        <w:t>If subsection (2) or (3) applies, the Minister may withdraw the Ministerial statement if the Minister considers that it is appropriate to do so.</w:t>
      </w:r>
    </w:p>
    <w:p>
      <w:pPr>
        <w:pStyle w:val="Subsection"/>
      </w:pPr>
      <w:r>
        <w:tab/>
        <w:t>(5)</w:t>
      </w:r>
      <w:r>
        <w:tab/>
        <w:t>If under subsection (4) the Minister withdraws the Ministerial statement relating to an approved proposal, the Minister must cause notice of the withdrawal to be served on —</w:t>
      </w:r>
    </w:p>
    <w:p>
      <w:pPr>
        <w:pStyle w:val="Indenta"/>
      </w:pPr>
      <w:r>
        <w:tab/>
        <w:t>(a)</w:t>
      </w:r>
      <w:r>
        <w:tab/>
        <w:t>the Authority and the CEO; and</w:t>
      </w:r>
    </w:p>
    <w:p>
      <w:pPr>
        <w:pStyle w:val="Indenta"/>
      </w:pPr>
      <w:r>
        <w:tab/>
        <w:t>(b)</w:t>
      </w:r>
      <w:r>
        <w:tab/>
        <w:t>each decision</w:t>
      </w:r>
      <w:r>
        <w:noBreakHyphen/>
        <w:t>making authority that received the Ministerial statement under section 45(8)(a)(ii); and</w:t>
      </w:r>
    </w:p>
    <w:p>
      <w:pPr>
        <w:pStyle w:val="Indenta"/>
      </w:pPr>
      <w:r>
        <w:tab/>
        <w:t>(c)</w:t>
      </w:r>
      <w:r>
        <w:tab/>
        <w:t>the proponent of the proposal; and</w:t>
      </w:r>
    </w:p>
    <w:p>
      <w:pPr>
        <w:pStyle w:val="Indenta"/>
      </w:pPr>
      <w:r>
        <w:lastRenderedPageBreak/>
        <w:tab/>
        <w:t>(d)</w:t>
      </w:r>
      <w:r>
        <w:tab/>
        <w:t>the person who referred the proposal (if it was not referred by a person referred to in paragraph (b) or (c)).</w:t>
      </w:r>
    </w:p>
    <w:p>
      <w:pPr>
        <w:pStyle w:val="Subsection"/>
      </w:pPr>
      <w:r>
        <w:tab/>
        <w:t>(6)</w:t>
      </w:r>
      <w:r>
        <w:tab/>
        <w:t>The Minister must cause notice of the withdrawal to be published as soon as is practicable after it is served under subsection (5).</w:t>
      </w:r>
    </w:p>
    <w:p>
      <w:pPr>
        <w:pStyle w:val="Subsection"/>
      </w:pPr>
      <w:r>
        <w:tab/>
        <w:t>(7)</w:t>
      </w:r>
      <w:r>
        <w:tab/>
        <w:t>If the Ministerial statement relating to an approved proposal specifies that it has effect for a specified period, it is taken to have been withdrawn when that period ends.</w:t>
      </w:r>
    </w:p>
    <w:p>
      <w:pPr>
        <w:pStyle w:val="Subsection"/>
      </w:pPr>
      <w:r>
        <w:tab/>
        <w:t>(8)</w:t>
      </w:r>
      <w:r>
        <w:tab/>
        <w:t>If a Ministerial statement is withdrawn or taken to have been withdrawn under this section, the statement has no further effect.</w:t>
      </w:r>
    </w:p>
    <w:p>
      <w:pPr>
        <w:pStyle w:val="Footnotesection"/>
      </w:pPr>
      <w:r>
        <w:tab/>
        <w:t>[Section 47A inserted: No. 40 of 2020 s. 31.]</w:t>
      </w:r>
    </w:p>
    <w:p>
      <w:pPr>
        <w:pStyle w:val="Heading5"/>
      </w:pPr>
      <w:bookmarkStart w:id="100" w:name="_Toc158985397"/>
      <w:r>
        <w:rPr>
          <w:rStyle w:val="CharSectno"/>
        </w:rPr>
        <w:t>48</w:t>
      </w:r>
      <w:r>
        <w:t>.</w:t>
      </w:r>
      <w:r>
        <w:tab/>
        <w:t>Control of implementation of proposals</w:t>
      </w:r>
      <w:bookmarkEnd w:id="100"/>
    </w:p>
    <w:p>
      <w:pPr>
        <w:pStyle w:val="Subsection"/>
      </w:pPr>
      <w:r>
        <w:tab/>
        <w:t>(1)</w:t>
      </w:r>
      <w:r>
        <w:tab/>
        <w:t>The CEO may monitor the implementation of an approved proposal, or cause it to be monitored, for the purpose of determining whether the implementation conditions relating to the proposal are being complied with.</w:t>
      </w:r>
    </w:p>
    <w:p>
      <w:pPr>
        <w:pStyle w:val="Subsection"/>
      </w:pPr>
      <w:r>
        <w:tab/>
        <w:t>(2)</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must report the non</w:t>
      </w:r>
      <w:r>
        <w:noBreakHyphen/>
        <w:t>compliance to the Minister.</w:t>
      </w:r>
    </w:p>
    <w:p>
      <w:pPr>
        <w:pStyle w:val="Subsection"/>
      </w:pPr>
      <w:r>
        <w:tab/>
        <w:t>(3)</w:t>
      </w:r>
      <w:r>
        <w:tab/>
        <w:t xml:space="preserve">This subsection applies if, under implementation conditions, the implementation of the approved proposal is subject to requirements made by — </w:t>
      </w:r>
    </w:p>
    <w:p>
      <w:pPr>
        <w:pStyle w:val="Indenta"/>
      </w:pPr>
      <w:r>
        <w:tab/>
        <w:t>(a)</w:t>
      </w:r>
      <w:r>
        <w:tab/>
        <w:t>a decision</w:t>
      </w:r>
      <w:r>
        <w:noBreakHyphen/>
        <w:t>making authority; or</w:t>
      </w:r>
    </w:p>
    <w:p>
      <w:pPr>
        <w:pStyle w:val="Indenta"/>
      </w:pPr>
      <w:r>
        <w:tab/>
        <w:t>(b)</w:t>
      </w:r>
      <w:r>
        <w:tab/>
        <w:t>another public authority with functions or expertise relevant to the proposal.</w:t>
      </w:r>
    </w:p>
    <w:p>
      <w:pPr>
        <w:pStyle w:val="Subsection"/>
      </w:pPr>
      <w:r>
        <w:lastRenderedPageBreak/>
        <w:tab/>
        <w:t>(4)</w:t>
      </w:r>
      <w:r>
        <w:tab/>
        <w:t>If subsection (3) applies, the decision</w:t>
      </w:r>
      <w:r>
        <w:noBreakHyphen/>
        <w:t>making authority or other public authority may monitor that implementation of the approved proposal, or cause it to be monitored, for the purpose of determining whether the implementation conditions of that kind are being complied with.</w:t>
      </w:r>
    </w:p>
    <w:p>
      <w:pPr>
        <w:pStyle w:val="Subsection"/>
      </w:pPr>
      <w:r>
        <w:tab/>
        <w:t>(5)</w:t>
      </w:r>
      <w:r>
        <w:tab/>
        <w:t>If the decision</w:t>
      </w:r>
      <w:r>
        <w:noBreakHyphen/>
        <w:t>making authority or other public authority finds that any implementation conditions of that kind is not being complied with, it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must report the non</w:t>
      </w:r>
      <w:r>
        <w:noBreakHyphen/>
        <w:t>compliance to the Minister.</w:t>
      </w:r>
    </w:p>
    <w:p>
      <w:pPr>
        <w:pStyle w:val="Subsection"/>
      </w:pPr>
      <w:r>
        <w:tab/>
        <w:t>(6)</w:t>
      </w:r>
      <w:r>
        <w:tab/>
        <w:t>The Minister may exercise one or more of the powers set out in subsection (7) in relation to the approved proposal if —</w:t>
      </w:r>
    </w:p>
    <w:p>
      <w:pPr>
        <w:pStyle w:val="Indenta"/>
      </w:pPr>
      <w:r>
        <w:tab/>
        <w:t>(a)</w:t>
      </w:r>
      <w:r>
        <w:tab/>
        <w:t>the Minister receives any relevant report made under subsection (2)(b) or (5)(b); or</w:t>
      </w:r>
    </w:p>
    <w:p>
      <w:pPr>
        <w:pStyle w:val="Indenta"/>
      </w:pPr>
      <w:r>
        <w:tab/>
        <w:t>(b)</w:t>
      </w:r>
      <w:r>
        <w:tab/>
        <w:t>the Minister is not satisfied with any relevant monitoring conducted under this section, any relevant exercise of power under this section or any relevant report made under this section.</w:t>
      </w:r>
    </w:p>
    <w:p>
      <w:pPr>
        <w:pStyle w:val="Subsection"/>
      </w:pPr>
      <w:r>
        <w:tab/>
        <w:t>(7)</w:t>
      </w:r>
      <w:r>
        <w:tab/>
        <w:t>The powers of the Minister under subsection (6) are as follows —</w:t>
      </w:r>
    </w:p>
    <w:p>
      <w:pPr>
        <w:pStyle w:val="Indenta"/>
      </w:pPr>
      <w:r>
        <w:tab/>
        <w:t>(a)</w:t>
      </w:r>
      <w:r>
        <w:tab/>
        <w:t xml:space="preserve">after making reasonable endeavours to consult the proponent of the approved proposal — power to cause to be served on that proponent a written notice issued by the Minister requiring that proponent — </w:t>
      </w:r>
    </w:p>
    <w:p>
      <w:pPr>
        <w:pStyle w:val="Indenti"/>
      </w:pPr>
      <w:r>
        <w:tab/>
        <w:t>(i)</w:t>
      </w:r>
      <w:r>
        <w:tab/>
        <w:t>forthwith to stop the implementation of the proposal; and</w:t>
      </w:r>
    </w:p>
    <w:p>
      <w:pPr>
        <w:pStyle w:val="Indenti"/>
      </w:pPr>
      <w:r>
        <w:tab/>
        <w:t>(ii)</w:t>
      </w:r>
      <w:r>
        <w:tab/>
        <w:t>not to resume the implementation of the proposal during a period specified in that notice being a period ending not more than 28 days after the day on which that notice is served;</w:t>
      </w:r>
    </w:p>
    <w:p>
      <w:pPr>
        <w:pStyle w:val="Indenta"/>
      </w:pPr>
      <w:r>
        <w:lastRenderedPageBreak/>
        <w:tab/>
        <w:t>(b)</w:t>
      </w:r>
      <w:r>
        <w:tab/>
        <w:t xml:space="preserve">power to cause to be served on the proponent of the relevant proposal a written notice issued by the Minister requiring that proponent to take the steps specified in the notice within the period so specified for the purpose of — </w:t>
      </w:r>
    </w:p>
    <w:p>
      <w:pPr>
        <w:pStyle w:val="Indenti"/>
      </w:pPr>
      <w:r>
        <w:tab/>
        <w:t>(i)</w:t>
      </w:r>
      <w:r>
        <w:tab/>
        <w:t xml:space="preserve">complying with the relevant implementation condition; or </w:t>
      </w:r>
    </w:p>
    <w:p>
      <w:pPr>
        <w:pStyle w:val="Indenti"/>
      </w:pPr>
      <w:r>
        <w:tab/>
        <w:t>(ii)</w:t>
      </w:r>
      <w:r>
        <w:tab/>
        <w:t>preventing, controlling or abating any pollution or environmental harm caused by any non</w:t>
      </w:r>
      <w:r>
        <w:noBreakHyphen/>
        <w:t>compliance with the relevant implementation condition;</w:t>
      </w:r>
    </w:p>
    <w:p>
      <w:pPr>
        <w:pStyle w:val="Indenta"/>
      </w:pPr>
      <w:r>
        <w:tab/>
        <w:t>(c)</w:t>
      </w:r>
      <w:r>
        <w:tab/>
        <w:t xml:space="preserve">power to cause the taking of steps necessary for the purpose of — </w:t>
      </w:r>
    </w:p>
    <w:p>
      <w:pPr>
        <w:pStyle w:val="Indenti"/>
      </w:pPr>
      <w:r>
        <w:tab/>
        <w:t>(i)</w:t>
      </w:r>
      <w:r>
        <w:tab/>
        <w:t xml:space="preserve">complying with the relevant implementation condition; or </w:t>
      </w:r>
    </w:p>
    <w:p>
      <w:pPr>
        <w:pStyle w:val="Indenti"/>
      </w:pPr>
      <w:r>
        <w:tab/>
        <w:t>(ii)</w:t>
      </w:r>
      <w:r>
        <w:tab/>
        <w:t>preventing, controlling or abating any pollution or environmental harm caused by any non</w:t>
      </w:r>
      <w:r>
        <w:noBreakHyphen/>
        <w:t>compliance with the relevant implementation condition;</w:t>
      </w:r>
    </w:p>
    <w:p>
      <w:pPr>
        <w:pStyle w:val="Indenta"/>
      </w:pPr>
      <w:r>
        <w:tab/>
        <w:t>(d)</w:t>
      </w:r>
      <w:r>
        <w:tab/>
        <w:t>if the Minister considers that the relevant condition or procedure should be changed — power to make a request under section 46(1).</w:t>
      </w:r>
    </w:p>
    <w:p>
      <w:pPr>
        <w:pStyle w:val="Subsection"/>
      </w:pPr>
      <w:r>
        <w:tab/>
        <w:t>(8)</w:t>
      </w:r>
      <w:r>
        <w:tab/>
        <w:t>Subject to section 101(4), the cost of taking any steps referred to in subsection (7)(c) is a debt due to the Crown by the proponent concerned and may be recovered from the proponent by the Minister by action in a court of competent jurisdiction and must, if so recovered, be credited to the Consolidated Account.</w:t>
      </w:r>
    </w:p>
    <w:p>
      <w:pPr>
        <w:pStyle w:val="Subsection"/>
      </w:pPr>
      <w:r>
        <w:tab/>
        <w:t>(9)</w:t>
      </w:r>
      <w:r>
        <w:tab/>
        <w:t>A proponent who does not comply with a notice served on the proponent under subsection (7)(a) or (b) commits an offence.</w:t>
      </w:r>
    </w:p>
    <w:p>
      <w:pPr>
        <w:pStyle w:val="Subsection"/>
      </w:pPr>
      <w:r>
        <w:tab/>
        <w:t>(10)</w:t>
      </w:r>
      <w:r>
        <w:tab/>
        <w:t xml:space="preserve">Subsection (9) does not apply to the resumption of the implementation of a proposal before the end of the period specified in a notice under subsection (7)(a)(ii) if the Minister </w:t>
      </w:r>
      <w:r>
        <w:lastRenderedPageBreak/>
        <w:t>has served a written notice on the proponent authorising implementation to be resumed.</w:t>
      </w:r>
    </w:p>
    <w:p>
      <w:pPr>
        <w:pStyle w:val="Subsection"/>
      </w:pPr>
      <w:r>
        <w:tab/>
        <w:t>(11)</w:t>
      </w:r>
      <w:r>
        <w:tab/>
        <w:t xml:space="preserve">It is not necessary to publish in the </w:t>
      </w:r>
      <w:r>
        <w:rPr>
          <w:i/>
        </w:rPr>
        <w:t xml:space="preserve">Gazette </w:t>
      </w:r>
      <w:r>
        <w:t>a notice served under subsection (7)(a) or (b) or (10).</w:t>
      </w:r>
    </w:p>
    <w:p>
      <w:pPr>
        <w:pStyle w:val="Footnotesection"/>
      </w:pPr>
      <w:r>
        <w:tab/>
        <w:t>[Section 48 inserted: No. 40 of 2020 s. 31.]</w:t>
      </w:r>
    </w:p>
    <w:p>
      <w:pPr>
        <w:pStyle w:val="Heading3"/>
      </w:pPr>
      <w:bookmarkStart w:id="101" w:name="_Toc158980729"/>
      <w:bookmarkStart w:id="102" w:name="_Toc158981128"/>
      <w:bookmarkStart w:id="103" w:name="_Toc158985398"/>
      <w:r>
        <w:rPr>
          <w:rStyle w:val="CharDivNo"/>
        </w:rPr>
        <w:t>Division 2A</w:t>
      </w:r>
      <w:r>
        <w:t> — </w:t>
      </w:r>
      <w:r>
        <w:rPr>
          <w:rStyle w:val="CharDivText"/>
        </w:rPr>
        <w:t>Payments relating to proposals</w:t>
      </w:r>
      <w:bookmarkEnd w:id="101"/>
      <w:bookmarkEnd w:id="102"/>
      <w:bookmarkEnd w:id="103"/>
    </w:p>
    <w:p>
      <w:pPr>
        <w:pStyle w:val="Footnoteheading"/>
      </w:pPr>
      <w:r>
        <w:tab/>
        <w:t>[Heading inserted: No. 40 of 2020 s. 32.]</w:t>
      </w:r>
    </w:p>
    <w:p>
      <w:pPr>
        <w:pStyle w:val="Heading5"/>
      </w:pPr>
      <w:bookmarkStart w:id="104" w:name="_Toc158985399"/>
      <w:r>
        <w:rPr>
          <w:rStyle w:val="CharSectno"/>
        </w:rPr>
        <w:t>48AA</w:t>
      </w:r>
      <w:r>
        <w:t>.</w:t>
      </w:r>
      <w:r>
        <w:tab/>
        <w:t>Fees and charges for referral and assessment of proposals</w:t>
      </w:r>
      <w:bookmarkEnd w:id="104"/>
    </w:p>
    <w:p>
      <w:pPr>
        <w:pStyle w:val="Subsection"/>
      </w:pPr>
      <w:r>
        <w:tab/>
        <w:t>(1)</w:t>
      </w:r>
      <w:r>
        <w:tab/>
        <w:t>Without limiting section 123(1) and (2), regulations may be made under section 123(1) prescribing, or providing for the determination of, fees or charges that are payable by proponents in prescribed circumstances in relation to the referral, assessment and implementation of proposals under Division 1 or 2.</w:t>
      </w:r>
    </w:p>
    <w:p>
      <w:pPr>
        <w:pStyle w:val="Subsection"/>
      </w:pPr>
      <w:r>
        <w:tab/>
        <w:t>(2)</w:t>
      </w:r>
      <w:r>
        <w:tab/>
        <w:t>Moneys paid as fees and charges under subsection (1) are to be used for the purpose of defraying the costs incurred by the Department in receiving and assessing proposals and monitoring the implementation of proposals.</w:t>
      </w:r>
    </w:p>
    <w:p>
      <w:pPr>
        <w:pStyle w:val="Subsection"/>
      </w:pPr>
      <w:r>
        <w:tab/>
        <w:t>(3)</w:t>
      </w:r>
      <w:r>
        <w:tab/>
        <w:t>To the extent that regulations to which subsection (1) applies prescribe or provide for the determination of a fee or charge that includes an amount that is a tax, the regulations may impose the tax.</w:t>
      </w:r>
    </w:p>
    <w:p>
      <w:pPr>
        <w:pStyle w:val="Subsection"/>
      </w:pPr>
      <w:r>
        <w:tab/>
        <w:t>(4)</w:t>
      </w:r>
      <w:r>
        <w:tab/>
        <w:t xml:space="preserve">Nothing in this section is to be taken as limiting the operation of the </w:t>
      </w:r>
      <w:r>
        <w:rPr>
          <w:i/>
        </w:rPr>
        <w:t>Interpretation Act 1984</w:t>
      </w:r>
      <w:r>
        <w:t xml:space="preserve"> section 45A.</w:t>
      </w:r>
    </w:p>
    <w:p>
      <w:pPr>
        <w:pStyle w:val="Footnotesection"/>
      </w:pPr>
      <w:r>
        <w:tab/>
        <w:t>[Section 48AA inserted: No. 40 of 2020 s. 32; amended: No. 41 of 2020 s. 4.]</w:t>
      </w:r>
    </w:p>
    <w:p>
      <w:pPr>
        <w:pStyle w:val="Heading3"/>
        <w:keepLines/>
      </w:pPr>
      <w:bookmarkStart w:id="105" w:name="_Toc158980731"/>
      <w:bookmarkStart w:id="106" w:name="_Toc158981130"/>
      <w:bookmarkStart w:id="107" w:name="_Toc158985400"/>
      <w:r>
        <w:rPr>
          <w:rStyle w:val="CharDivNo"/>
        </w:rPr>
        <w:lastRenderedPageBreak/>
        <w:t>Division 3</w:t>
      </w:r>
      <w:r>
        <w:rPr>
          <w:snapToGrid w:val="0"/>
        </w:rPr>
        <w:t> — </w:t>
      </w:r>
      <w:r>
        <w:rPr>
          <w:rStyle w:val="CharDivText"/>
        </w:rPr>
        <w:t>Assessment of schemes</w:t>
      </w:r>
      <w:bookmarkEnd w:id="105"/>
      <w:bookmarkEnd w:id="106"/>
      <w:bookmarkEnd w:id="107"/>
    </w:p>
    <w:p>
      <w:pPr>
        <w:pStyle w:val="Footnoteheading"/>
        <w:keepNext/>
        <w:tabs>
          <w:tab w:val="left" w:pos="909"/>
        </w:tabs>
        <w:spacing w:before="80"/>
        <w:rPr>
          <w:snapToGrid w:val="0"/>
        </w:rPr>
      </w:pPr>
      <w:r>
        <w:rPr>
          <w:snapToGrid w:val="0"/>
        </w:rPr>
        <w:tab/>
        <w:t>[Heading inserted: No. 23 of 1996 s. 20.]</w:t>
      </w:r>
    </w:p>
    <w:p>
      <w:pPr>
        <w:pStyle w:val="Heading5"/>
      </w:pPr>
      <w:bookmarkStart w:id="108" w:name="_Toc158985401"/>
      <w:r>
        <w:rPr>
          <w:rStyle w:val="CharSectno"/>
        </w:rPr>
        <w:t>48AAA</w:t>
      </w:r>
      <w:r>
        <w:t>.</w:t>
      </w:r>
      <w:r>
        <w:tab/>
        <w:t>Certain schemes not required to be assessed</w:t>
      </w:r>
      <w:bookmarkEnd w:id="108"/>
    </w:p>
    <w:p>
      <w:pPr>
        <w:pStyle w:val="Subsection"/>
      </w:pPr>
      <w:r>
        <w:tab/>
        <w:t>(1)</w:t>
      </w:r>
      <w:r>
        <w:tab/>
        <w:t xml:space="preserve">In this section — </w:t>
      </w:r>
    </w:p>
    <w:p>
      <w:pPr>
        <w:pStyle w:val="Defstart"/>
      </w:pPr>
      <w:r>
        <w:tab/>
      </w:r>
      <w:r>
        <w:rPr>
          <w:rStyle w:val="CharDefText"/>
        </w:rPr>
        <w:t>relevant scheme</w:t>
      </w:r>
      <w:r>
        <w:t xml:space="preserve"> means a scheme of a kind referred to in section 3(1) the definition of </w:t>
      </w:r>
      <w:r>
        <w:rPr>
          <w:b/>
          <w:i/>
        </w:rPr>
        <w:t>scheme</w:t>
      </w:r>
      <w:r>
        <w:t xml:space="preserve"> paragraph (d), (f), (g) or (i).</w:t>
      </w:r>
    </w:p>
    <w:p>
      <w:pPr>
        <w:pStyle w:val="Subsection"/>
      </w:pPr>
      <w:r>
        <w:tab/>
        <w:t>(2)</w:t>
      </w:r>
      <w:r>
        <w:tab/>
        <w:t>The Governor may, on the recommendation of the Authority, make regulations prescribing classes of relevant schemes that are not required to be assessed under this Division.</w:t>
      </w:r>
    </w:p>
    <w:p>
      <w:pPr>
        <w:pStyle w:val="Subsection"/>
      </w:pPr>
      <w:r>
        <w:tab/>
        <w:t>(3)</w:t>
      </w:r>
      <w:r>
        <w:tab/>
        <w:t>The Authority must not make a recommendation under subsection (2) unless the Authority is satisfied that the classes of relevant schemes to be prescribed will not have a significant effect on the environment.</w:t>
      </w:r>
    </w:p>
    <w:p>
      <w:pPr>
        <w:pStyle w:val="Footnotesection"/>
      </w:pPr>
      <w:r>
        <w:tab/>
        <w:t>[Section 48AAA inserted: No. 26 of 2020 s. 56; amended: No. 45 of 2020 s. 103.]</w:t>
      </w:r>
    </w:p>
    <w:p>
      <w:pPr>
        <w:pStyle w:val="Heading5"/>
        <w:spacing w:before="180"/>
        <w:rPr>
          <w:snapToGrid w:val="0"/>
        </w:rPr>
      </w:pPr>
      <w:bookmarkStart w:id="109" w:name="_Toc158985402"/>
      <w:r>
        <w:rPr>
          <w:rStyle w:val="CharSectno"/>
        </w:rPr>
        <w:t>48A</w:t>
      </w:r>
      <w:r>
        <w:rPr>
          <w:snapToGrid w:val="0"/>
        </w:rPr>
        <w:t>.</w:t>
      </w:r>
      <w:r>
        <w:rPr>
          <w:snapToGrid w:val="0"/>
        </w:rPr>
        <w:tab/>
        <w:t>Authority to decide whether or not schemes to be assessed</w:t>
      </w:r>
      <w:bookmarkEnd w:id="109"/>
    </w:p>
    <w:p>
      <w:pPr>
        <w:pStyle w:val="Subsection"/>
        <w:keepNext/>
        <w:spacing w:before="140"/>
        <w:rPr>
          <w:snapToGrid w:val="0"/>
        </w:rPr>
      </w:pPr>
      <w:r>
        <w:rPr>
          <w:snapToGrid w:val="0"/>
        </w:rPr>
        <w:tab/>
        <w:t>(1)</w:t>
      </w:r>
      <w:r>
        <w:rPr>
          <w:snapToGrid w:val="0"/>
        </w:rPr>
        <w:tab/>
        <w:t>When a scheme is referred to the Authority under the relevant scheme Act, the Authority shall, if it considers that the scheme —</w:t>
      </w:r>
    </w:p>
    <w:p>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 or</w:t>
      </w:r>
    </w:p>
    <w:p>
      <w:pPr>
        <w:pStyle w:val="Indenta"/>
        <w:spacing w:before="60"/>
        <w:rPr>
          <w:snapToGrid w:val="0"/>
        </w:rPr>
      </w:pPr>
      <w:r>
        <w:rPr>
          <w:snapToGrid w:val="0"/>
        </w:rPr>
        <w:tab/>
        <w:t>(b)</w:t>
      </w:r>
      <w:r>
        <w:rPr>
          <w:snapToGrid w:val="0"/>
        </w:rPr>
        <w:tab/>
        <w:t>should be assessed by it under this Division —</w:t>
      </w:r>
    </w:p>
    <w:p>
      <w:pPr>
        <w:pStyle w:val="Indenti"/>
        <w:spacing w:before="60"/>
        <w:rPr>
          <w:snapToGrid w:val="0"/>
        </w:rPr>
      </w:pPr>
      <w:r>
        <w:rPr>
          <w:snapToGrid w:val="0"/>
        </w:rPr>
        <w:tab/>
        <w:t>(i)</w:t>
      </w:r>
      <w:r>
        <w:rPr>
          <w:snapToGrid w:val="0"/>
        </w:rPr>
        <w:tab/>
        <w:t xml:space="preserve">so inform in writing the responsible authority within 28 days after that referral and send within 60 days after that referral any instructions issued by the Authority under section 48C(1)(a) </w:t>
      </w:r>
      <w:r>
        <w:rPr>
          <w:snapToGrid w:val="0"/>
        </w:rPr>
        <w:lastRenderedPageBreak/>
        <w:t>concerning the scope and content of an environmental review of the scheme; and</w:t>
      </w:r>
    </w:p>
    <w:p>
      <w:pPr>
        <w:pStyle w:val="Indenti"/>
        <w:spacing w:before="60"/>
        <w:rPr>
          <w:snapToGrid w:val="0"/>
        </w:rPr>
      </w:pPr>
      <w:r>
        <w:rPr>
          <w:snapToGrid w:val="0"/>
        </w:rPr>
        <w:tab/>
        <w:t>(ii)</w:t>
      </w:r>
      <w:r>
        <w:rPr>
          <w:snapToGrid w:val="0"/>
        </w:rPr>
        <w:tab/>
        <w:t>assess under this Division changes in reservation and zoning proposed by the scheme;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keepNext/>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keepNext/>
        <w:rPr>
          <w:snapToGrid w:val="0"/>
        </w:rPr>
      </w:pPr>
      <w:r>
        <w:rPr>
          <w:snapToGrid w:val="0"/>
        </w:rPr>
        <w:tab/>
        <w:t>(b)</w:t>
      </w:r>
      <w:r>
        <w:rPr>
          <w:snapToGrid w:val="0"/>
        </w:rPr>
        <w:tab/>
        <w:t>with the agreement of the responsible Minister, advise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 xml:space="preserve">the </w:t>
      </w:r>
      <w:r>
        <w:t>responsible</w:t>
      </w:r>
      <w:r>
        <w:rPr>
          <w:snapToGrid w:val="0"/>
        </w:rPr>
        <w:t xml:space="preserve"> authority,</w:t>
      </w:r>
    </w:p>
    <w:p>
      <w:pPr>
        <w:pStyle w:val="Ednotesubpara"/>
        <w:rPr>
          <w:snapToGrid w:val="0"/>
        </w:rPr>
      </w:pPr>
      <w:r>
        <w:rPr>
          <w:snapToGrid w:val="0"/>
        </w:rPr>
        <w:tab/>
        <w:t>[(iii)</w:t>
      </w:r>
      <w:r>
        <w:rPr>
          <w:snapToGrid w:val="0"/>
        </w:rPr>
        <w:tab/>
        <w:t>deleted]</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[Section 48A inserted: No. 23 of 1996 s. 20; amended: No. 40 of 2020 s. 33.]</w:t>
      </w:r>
    </w:p>
    <w:p>
      <w:pPr>
        <w:pStyle w:val="Heading5"/>
        <w:spacing w:before="180"/>
        <w:rPr>
          <w:snapToGrid w:val="0"/>
        </w:rPr>
      </w:pPr>
      <w:bookmarkStart w:id="110" w:name="_Toc158985403"/>
      <w:r>
        <w:rPr>
          <w:rStyle w:val="CharSectno"/>
        </w:rPr>
        <w:t>48B</w:t>
      </w:r>
      <w:r>
        <w:rPr>
          <w:snapToGrid w:val="0"/>
        </w:rPr>
        <w:t>.</w:t>
      </w:r>
      <w:r>
        <w:rPr>
          <w:snapToGrid w:val="0"/>
        </w:rPr>
        <w:tab/>
        <w:t>Authority to keep public records of schemes referred to it</w:t>
      </w:r>
      <w:bookmarkEnd w:id="110"/>
    </w:p>
    <w:p>
      <w:pPr>
        <w:pStyle w:val="Subsection"/>
        <w:rPr>
          <w:snapToGrid w:val="0"/>
        </w:rPr>
      </w:pPr>
      <w:r>
        <w:rPr>
          <w:snapToGrid w:val="0"/>
        </w:rPr>
        <w:tab/>
        <w:t>(1)</w:t>
      </w:r>
      <w:r>
        <w:rPr>
          <w:snapToGrid w:val="0"/>
        </w:rPr>
        <w:tab/>
        <w:t>The Authority must keep a public record of each scheme referred to it under the relevant scheme Act and shall in that public record set out —</w:t>
      </w:r>
    </w:p>
    <w:p>
      <w:pPr>
        <w:pStyle w:val="Indenta"/>
        <w:rPr>
          <w:snapToGrid w:val="0"/>
        </w:rPr>
      </w:pPr>
      <w:r>
        <w:rPr>
          <w:snapToGrid w:val="0"/>
        </w:rPr>
        <w:tab/>
        <w:t>(a)</w:t>
      </w:r>
      <w:r>
        <w:rPr>
          <w:snapToGrid w:val="0"/>
        </w:rPr>
        <w:tab/>
        <w:t>whether or not that scheme is to be assessed under this Division; and</w:t>
      </w:r>
    </w:p>
    <w:p>
      <w:pPr>
        <w:pStyle w:val="Indenta"/>
        <w:rPr>
          <w:snapToGrid w:val="0"/>
        </w:rPr>
      </w:pPr>
      <w:r>
        <w:rPr>
          <w:snapToGrid w:val="0"/>
        </w:rPr>
        <w:lastRenderedPageBreak/>
        <w:tab/>
        <w:t>(b)</w:t>
      </w:r>
      <w:r>
        <w:rPr>
          <w:snapToGrid w:val="0"/>
        </w:rPr>
        <w:tab/>
        <w:t>if that scheme is to be assessed under this Division, any instructions issued by the Authority under section 48C(1)(a) concerning the scope and content of an environmental review of that scheme.</w:t>
      </w:r>
    </w:p>
    <w:p>
      <w:pPr>
        <w:pStyle w:val="Ednotesubsection"/>
      </w:pPr>
      <w:r>
        <w:tab/>
        <w:t>[(2)</w:t>
      </w:r>
      <w:r>
        <w:tab/>
        <w:t>deleted]</w:t>
      </w:r>
    </w:p>
    <w:p>
      <w:pPr>
        <w:pStyle w:val="Footnotesection"/>
        <w:ind w:left="890" w:hanging="890"/>
      </w:pPr>
      <w:r>
        <w:tab/>
        <w:t>[Section 48B inserted: No. 23 of 1996 s. 20; amended: No. 40 of 2020 s. 35.]</w:t>
      </w:r>
    </w:p>
    <w:p>
      <w:pPr>
        <w:pStyle w:val="Heading5"/>
        <w:rPr>
          <w:snapToGrid w:val="0"/>
        </w:rPr>
      </w:pPr>
      <w:bookmarkStart w:id="111" w:name="_Toc158985404"/>
      <w:r>
        <w:rPr>
          <w:rStyle w:val="CharSectno"/>
        </w:rPr>
        <w:t>48C</w:t>
      </w:r>
      <w:r>
        <w:rPr>
          <w:snapToGrid w:val="0"/>
        </w:rPr>
        <w:t>.</w:t>
      </w:r>
      <w:r>
        <w:rPr>
          <w:snapToGrid w:val="0"/>
        </w:rPr>
        <w:tab/>
        <w:t>Authority’s powers for assessing referred schemes</w:t>
      </w:r>
      <w:bookmarkEnd w:id="111"/>
    </w:p>
    <w:p>
      <w:pPr>
        <w:pStyle w:val="Subsection"/>
        <w:rPr>
          <w:snapToGrid w:val="0"/>
        </w:rPr>
      </w:pPr>
      <w:r>
        <w:rPr>
          <w:snapToGrid w:val="0"/>
        </w:rPr>
        <w:tab/>
        <w:t>(1)</w:t>
      </w:r>
      <w:r>
        <w:rPr>
          <w:snapToGrid w:val="0"/>
        </w:rPr>
        <w:tab/>
        <w:t>The Authority may, for the purpose of assessing under this Division a scheme referred to it under the relevant scheme Act —</w:t>
      </w:r>
    </w:p>
    <w:p>
      <w:pPr>
        <w:pStyle w:val="Indenta"/>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 and</w:t>
      </w:r>
    </w:p>
    <w:p>
      <w:pPr>
        <w:pStyle w:val="Indenta"/>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 and</w:t>
      </w:r>
    </w:p>
    <w:p>
      <w:pPr>
        <w:pStyle w:val="Indenta"/>
        <w:rPr>
          <w:snapToGrid w:val="0"/>
        </w:rPr>
      </w:pPr>
      <w:r>
        <w:rPr>
          <w:snapToGrid w:val="0"/>
        </w:rPr>
        <w:tab/>
        <w:t>(b)</w:t>
      </w:r>
      <w:r>
        <w:rPr>
          <w:snapToGrid w:val="0"/>
        </w:rPr>
        <w:tab/>
        <w:t>require any person to provide it with such information as is specified in that requirement; and</w:t>
      </w:r>
    </w:p>
    <w:p>
      <w:pPr>
        <w:pStyle w:val="Indenta"/>
        <w:rPr>
          <w:snapToGrid w:val="0"/>
        </w:rPr>
      </w:pPr>
      <w:r>
        <w:rPr>
          <w:snapToGrid w:val="0"/>
        </w:rPr>
        <w:tab/>
        <w:t>(c)</w:t>
      </w:r>
      <w:r>
        <w:rPr>
          <w:snapToGrid w:val="0"/>
        </w:rPr>
        <w:tab/>
        <w:t>make such investigations and inquiries as it thinks fit; and</w:t>
      </w:r>
    </w:p>
    <w:p>
      <w:pPr>
        <w:pStyle w:val="Indenta"/>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lastRenderedPageBreak/>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keepNext/>
        <w:rPr>
          <w:snapToGrid w:val="0"/>
        </w:rPr>
      </w:pPr>
      <w:r>
        <w:rPr>
          <w:snapToGrid w:val="0"/>
        </w:rPr>
        <w:tab/>
        <w:t>(3A)</w:t>
      </w:r>
      <w:r>
        <w:rPr>
          <w:snapToGrid w:val="0"/>
        </w:rPr>
        <w:tab/>
        <w:t xml:space="preserve">The </w:t>
      </w:r>
      <w:r>
        <w:t>Authority</w:t>
      </w:r>
      <w:r>
        <w:rPr>
          <w:snapToGrid w:val="0"/>
        </w:rPr>
        <w:t xml:space="preserve"> may cause to be published —</w:t>
      </w:r>
    </w:p>
    <w:p>
      <w:pPr>
        <w:pStyle w:val="Indenta"/>
      </w:pPr>
      <w:r>
        <w:tab/>
        <w:t>(a)</w:t>
      </w:r>
      <w:r>
        <w:tab/>
        <w:t>any report made in compliance with a requirement made under subsection (1)(a) or (aa); or</w:t>
      </w:r>
    </w:p>
    <w:p>
      <w:pPr>
        <w:pStyle w:val="Indenta"/>
      </w:pPr>
      <w:r>
        <w:tab/>
        <w:t>(b)</w:t>
      </w:r>
      <w:r>
        <w:tab/>
        <w:t>any information provided in compliance with a requirement made under subsection (1)(b).</w:t>
      </w:r>
    </w:p>
    <w:p>
      <w:pPr>
        <w:pStyle w:val="Subsection"/>
        <w:keepNext/>
      </w:pPr>
      <w:r>
        <w:tab/>
        <w:t>(4)</w:t>
      </w:r>
      <w:r>
        <w:tab/>
        <w:t xml:space="preserve">When publishing a report or information under subsection (3A) the Authority may — </w:t>
      </w:r>
    </w:p>
    <w:p>
      <w:pPr>
        <w:pStyle w:val="Indenta"/>
      </w:pPr>
      <w:r>
        <w:tab/>
        <w:t>(a)</w:t>
      </w:r>
      <w:r>
        <w:tab/>
        <w:t>declare the report or information to be available for public review; and</w:t>
      </w:r>
    </w:p>
    <w:p>
      <w:pPr>
        <w:pStyle w:val="Indenta"/>
      </w:pPr>
      <w:r>
        <w:tab/>
        <w:t>(b)</w:t>
      </w:r>
      <w:r>
        <w:tab/>
        <w:t>specify the period within which, the extent to which and the manner in which public authorities or persons may make submissions to the Authority in respect of the report or information.</w:t>
      </w:r>
    </w:p>
    <w:p>
      <w:pPr>
        <w:pStyle w:val="Subsection"/>
        <w:rPr>
          <w:snapToGrid w:val="0"/>
        </w:rPr>
      </w:pPr>
      <w:r>
        <w:rPr>
          <w:snapToGrid w:val="0"/>
        </w:rPr>
        <w:tab/>
        <w:t>(5)</w:t>
      </w:r>
      <w:r>
        <w:rPr>
          <w:snapToGrid w:val="0"/>
        </w:rPr>
        <w:tab/>
        <w:t>When any report or information is declared to be available for public review under subsection (4)(a) or made available for public review under the relevant scheme Act —</w:t>
      </w:r>
    </w:p>
    <w:p>
      <w:pPr>
        <w:pStyle w:val="Indenta"/>
        <w:spacing w:before="60"/>
        <w:rPr>
          <w:snapToGrid w:val="0"/>
        </w:rPr>
      </w:pPr>
      <w:r>
        <w:rPr>
          <w:snapToGrid w:val="0"/>
        </w:rPr>
        <w:tab/>
        <w:t>(a)</w:t>
      </w:r>
      <w:r>
        <w:rPr>
          <w:snapToGrid w:val="0"/>
        </w:rPr>
        <w:tab/>
        <w:t>the responsible authority shall —</w:t>
      </w:r>
    </w:p>
    <w:p>
      <w:pPr>
        <w:pStyle w:val="Indenti"/>
        <w:rPr>
          <w:snapToGrid w:val="0"/>
        </w:rPr>
      </w:pPr>
      <w:r>
        <w:rPr>
          <w:snapToGrid w:val="0"/>
        </w:rPr>
        <w:tab/>
        <w:t>(i)</w:t>
      </w:r>
      <w:r>
        <w:rPr>
          <w:snapToGrid w:val="0"/>
        </w:rPr>
        <w:tab/>
        <w:t xml:space="preserve">at its own expense, </w:t>
      </w:r>
      <w:r>
        <w:t xml:space="preserve">publish notice that </w:t>
      </w:r>
      <w:r>
        <w:rPr>
          <w:snapToGrid w:val="0"/>
        </w:rPr>
        <w:t>the report or information is available for public review; and</w:t>
      </w:r>
    </w:p>
    <w:p>
      <w:pPr>
        <w:pStyle w:val="Indenti"/>
        <w:spacing w:before="60"/>
        <w:rPr>
          <w:snapToGrid w:val="0"/>
        </w:rPr>
      </w:pPr>
      <w:r>
        <w:rPr>
          <w:snapToGrid w:val="0"/>
        </w:rPr>
        <w:tab/>
        <w:t>(ii)</w:t>
      </w:r>
      <w:r>
        <w:rPr>
          <w:snapToGrid w:val="0"/>
        </w:rPr>
        <w:tab/>
        <w:t>provide copies of the report or information to such persons at such places and times and at such prices as are prescribed;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 xml:space="preserve">the Authority may require the responsible authority to respond to any submissions made in respect of that </w:t>
      </w:r>
      <w:r>
        <w:rPr>
          <w:snapToGrid w:val="0"/>
        </w:rPr>
        <w:lastRenderedPageBreak/>
        <w:t>report or information in such manner as the Authority thinks fit.</w:t>
      </w:r>
    </w:p>
    <w:p>
      <w:pPr>
        <w:pStyle w:val="Subsection"/>
        <w:rPr>
          <w:snapToGrid w:val="0"/>
        </w:rPr>
      </w:pPr>
      <w:r>
        <w:rPr>
          <w:snapToGrid w:val="0"/>
        </w:rPr>
        <w:tab/>
        <w:t>(6)</w:t>
      </w:r>
      <w:r>
        <w:rPr>
          <w:snapToGrid w:val="0"/>
        </w:rPr>
        <w:tab/>
        <w:t xml:space="preserve">Despite </w:t>
      </w:r>
      <w:r>
        <w:t xml:space="preserve">subsections (3) to (5), </w:t>
      </w:r>
      <w:r>
        <w:rPr>
          <w:snapToGrid w:val="0"/>
        </w:rPr>
        <w:t>if a scheme Act provides for the timing and procedure of the public review of a scheme —</w:t>
      </w:r>
    </w:p>
    <w:p>
      <w:pPr>
        <w:pStyle w:val="Indenta"/>
        <w:spacing w:before="60"/>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spacing w:before="60"/>
        <w:rPr>
          <w:snapToGrid w:val="0"/>
        </w:rPr>
      </w:pPr>
      <w:r>
        <w:rPr>
          <w:snapToGrid w:val="0"/>
        </w:rPr>
        <w:tab/>
        <w:t>(b)</w:t>
      </w:r>
      <w:r>
        <w:rPr>
          <w:snapToGrid w:val="0"/>
        </w:rPr>
        <w:tab/>
        <w:t xml:space="preserve">the provisions of the scheme Act relating to that public review shall apply to the scheme with that environmental review incorporated in that report and </w:t>
      </w:r>
      <w:r>
        <w:t xml:space="preserve">subsections (3) to (5) </w:t>
      </w:r>
      <w:r>
        <w:rPr>
          <w:snapToGrid w:val="0"/>
        </w:rPr>
        <w:t>shall not so apply.</w:t>
      </w:r>
    </w:p>
    <w:p>
      <w:pPr>
        <w:pStyle w:val="Subsection"/>
        <w:keepNext/>
        <w:rPr>
          <w:snapToGrid w:val="0"/>
        </w:rPr>
      </w:pPr>
      <w:r>
        <w:rPr>
          <w:snapToGrid w:val="0"/>
        </w:rPr>
        <w:tab/>
        <w:t>(7)</w:t>
      </w:r>
      <w:r>
        <w:rPr>
          <w:snapToGrid w:val="0"/>
        </w:rPr>
        <w:tab/>
        <w:t>In subsection (6) —</w:t>
      </w:r>
    </w:p>
    <w:p>
      <w:pPr>
        <w:pStyle w:val="Defstart"/>
        <w:keepNext/>
      </w:pPr>
      <w:r>
        <w:rPr>
          <w:b/>
        </w:rPr>
        <w:tab/>
      </w:r>
      <w:r>
        <w:rPr>
          <w:rStyle w:val="CharDefText"/>
        </w:rPr>
        <w:t>public review</w:t>
      </w:r>
      <w:r>
        <w:t>, in relation to a scheme which is —</w:t>
      </w:r>
    </w:p>
    <w:p>
      <w:pPr>
        <w:pStyle w:val="Ednotepara"/>
        <w:spacing w:before="80"/>
      </w:pPr>
      <w:r>
        <w:tab/>
        <w:t>[(a), (aa)</w:t>
      </w:r>
      <w:r>
        <w:tab/>
        <w:t>deleted]</w:t>
      </w:r>
    </w:p>
    <w:p>
      <w:pPr>
        <w:pStyle w:val="Defpara"/>
      </w:pPr>
      <w:r>
        <w:tab/>
        <w:t>(ab)</w:t>
      </w:r>
      <w:r>
        <w:tab/>
        <w:t xml:space="preserve">prepared under the </w:t>
      </w:r>
      <w:r>
        <w:rPr>
          <w:i/>
        </w:rPr>
        <w:t>Hope Valley</w:t>
      </w:r>
      <w:r>
        <w:rPr>
          <w:i/>
        </w:rPr>
        <w:noBreakHyphen/>
        <w:t>Wattleup Redevelopment Act 2000</w:t>
      </w:r>
      <w:r>
        <w:t>, means the procedure referred to in sections 13 and 14 of that Act, or in section 17 of that Act as read with those sections; or</w:t>
      </w:r>
    </w:p>
    <w:p>
      <w:pPr>
        <w:pStyle w:val="Defpara"/>
      </w:pPr>
      <w:r>
        <w:tab/>
        <w:t>(b)</w:t>
      </w:r>
      <w:r>
        <w:tab/>
        <w:t xml:space="preserve">prepared under the </w:t>
      </w:r>
      <w:r>
        <w:rPr>
          <w:i/>
        </w:rPr>
        <w:t>Swan Valley Planning Act 2020</w:t>
      </w:r>
      <w:r>
        <w:t>, means the procedure referred to in sections 23 and 25(1) of that Act; or</w:t>
      </w:r>
    </w:p>
    <w:p>
      <w:pPr>
        <w:pStyle w:val="Defpara"/>
      </w:pPr>
      <w:r>
        <w:tab/>
        <w:t>(c)</w:t>
      </w:r>
      <w:r>
        <w:tab/>
        <w:t xml:space="preserve">a region planning scheme, or an amendment to a region planning scheme, means the procedure referred to in the </w:t>
      </w:r>
      <w:r>
        <w:rPr>
          <w:i/>
        </w:rPr>
        <w:t>Planning and Development Act 2005</w:t>
      </w:r>
      <w:r>
        <w:t xml:space="preserve"> section 43; or</w:t>
      </w:r>
    </w:p>
    <w:p>
      <w:pPr>
        <w:pStyle w:val="Defpara"/>
      </w:pPr>
      <w:r>
        <w:tab/>
        <w:t>(d)</w:t>
      </w:r>
      <w:r>
        <w:tab/>
        <w:t xml:space="preserve">a local planning scheme, or an amendment to a local planning scheme, means the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procedure </w:t>
      </w:r>
      <w:r>
        <w:lastRenderedPageBreak/>
        <w:t>referred to in sections 84 and 87(1), as read with section 32, of that Act; or</w:t>
      </w:r>
    </w:p>
    <w:p>
      <w:pPr>
        <w:pStyle w:val="Defpara"/>
      </w:pPr>
      <w:r>
        <w:tab/>
        <w:t>(f)</w:t>
      </w:r>
      <w:r>
        <w:tab/>
        <w:t xml:space="preserve">an improvement scheme, or an amendment to an improvement scheme, means the procedure referred to in the </w:t>
      </w:r>
      <w:r>
        <w:rPr>
          <w:i/>
        </w:rPr>
        <w:t>Planning and Development Act </w:t>
      </w:r>
      <w:r>
        <w:rPr>
          <w:i/>
          <w:iCs/>
        </w:rPr>
        <w:t>2005</w:t>
      </w:r>
      <w:r>
        <w:t xml:space="preserve"> sections 84 and 87(1) as read with section 122B(1) of that Act; or</w:t>
      </w:r>
    </w:p>
    <w:p>
      <w:pPr>
        <w:pStyle w:val="Defpara"/>
        <w:keepNext/>
      </w:pPr>
      <w:r>
        <w:tab/>
        <w:t>(g)</w:t>
      </w:r>
      <w:r>
        <w:tab/>
        <w:t xml:space="preserve">prepared under the </w:t>
      </w:r>
      <w:r>
        <w:rPr>
          <w:i/>
        </w:rPr>
        <w:t>Metropolitan Redevelopment Authority Act 2011</w:t>
      </w:r>
      <w:r>
        <w:t>, means a procedure referred to in sections 43 and 44 of that Act, or in section </w:t>
      </w:r>
      <w:r>
        <w:rPr>
          <w:iCs/>
        </w:rPr>
        <w:t>49 of that Act as read with those sections.</w:t>
      </w:r>
    </w:p>
    <w:p>
      <w:pPr>
        <w:pStyle w:val="Footnotesection"/>
        <w:keepLines w:val="0"/>
        <w:ind w:left="890" w:hanging="890"/>
      </w:pPr>
      <w:r>
        <w:tab/>
        <w:t xml:space="preserve">[Section 48C inserted: No. 23 of 1996 s. 20; amended: No. 38 of 1999 s. 71(3); No. 77 of 2000 s. 37(3); No. 25 of 2001 s. 69; No. 60 of 2003 s. 100; No. 38 of 2005 s. 15; No. 28 of 2010 s. 26; </w:t>
      </w:r>
      <w:r>
        <w:rPr>
          <w:spacing w:val="-4"/>
        </w:rPr>
        <w:t>No. 45 of 2011 s. 1</w:t>
      </w:r>
      <w:r>
        <w:t>37(7); No. 40 of 2020 s. 36; No. 45 of 2020 s. 104; No. 26 of 2020 s. 57.]</w:t>
      </w:r>
    </w:p>
    <w:p>
      <w:pPr>
        <w:pStyle w:val="Heading5"/>
        <w:rPr>
          <w:snapToGrid w:val="0"/>
        </w:rPr>
      </w:pPr>
      <w:bookmarkStart w:id="112" w:name="_Toc158985405"/>
      <w:r>
        <w:rPr>
          <w:rStyle w:val="CharSectno"/>
        </w:rPr>
        <w:t>48D</w:t>
      </w:r>
      <w:r>
        <w:rPr>
          <w:snapToGrid w:val="0"/>
        </w:rPr>
        <w:t>.</w:t>
      </w:r>
      <w:r>
        <w:rPr>
          <w:snapToGrid w:val="0"/>
        </w:rPr>
        <w:tab/>
        <w:t>Authority to report to Minister on schemes</w:t>
      </w:r>
      <w:bookmarkEnd w:id="112"/>
    </w:p>
    <w:p>
      <w:pPr>
        <w:pStyle w:val="Subsection"/>
        <w:keepNext/>
        <w:rPr>
          <w:snapToGrid w:val="0"/>
        </w:rPr>
      </w:pPr>
      <w:r>
        <w:rPr>
          <w:snapToGrid w:val="0"/>
        </w:rPr>
        <w:tab/>
        <w:t>(1)</w:t>
      </w:r>
      <w:r>
        <w:rPr>
          <w:snapToGrid w:val="0"/>
        </w:rPr>
        <w:tab/>
        <w:t>Subject to subsection (2), the Authority shall, within a period of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keepNext/>
        <w:keepLines/>
        <w:spacing w:before="180"/>
        <w:rPr>
          <w:snapToGrid w:val="0"/>
        </w:rPr>
      </w:pPr>
      <w:r>
        <w:rPr>
          <w:snapToGrid w:val="0"/>
        </w:rPr>
        <w:tab/>
      </w:r>
      <w:r>
        <w:rPr>
          <w:snapToGrid w:val="0"/>
        </w:rPr>
        <w:tab/>
        <w:t>whichever is the later, or such longer period as the Minister allows, report to the Minister on —</w:t>
      </w:r>
    </w:p>
    <w:p>
      <w:pPr>
        <w:pStyle w:val="Indenta"/>
        <w:rPr>
          <w:snapToGrid w:val="0"/>
        </w:rPr>
      </w:pPr>
      <w:r>
        <w:rPr>
          <w:snapToGrid w:val="0"/>
        </w:rPr>
        <w:tab/>
        <w:t>(c)</w:t>
      </w:r>
      <w:r>
        <w:rPr>
          <w:snapToGrid w:val="0"/>
        </w:rPr>
        <w:tab/>
        <w:t>the environmental factors relevant to that scheme; and</w:t>
      </w:r>
    </w:p>
    <w:p>
      <w:pPr>
        <w:pStyle w:val="Indenta"/>
      </w:pPr>
      <w:r>
        <w:tab/>
        <w:t>(d)</w:t>
      </w:r>
      <w:r>
        <w:tab/>
        <w:t xml:space="preserve">the Authority’s recommendations as to whether or not that scheme may be implemented and, if it recommends </w:t>
      </w:r>
      <w:r>
        <w:lastRenderedPageBreak/>
        <w:t>that the scheme be implemented, as to the conditions, if any, to which that scheme should be subject.</w:t>
      </w:r>
    </w:p>
    <w:p>
      <w:pPr>
        <w:pStyle w:val="Subsection"/>
        <w:spacing w:before="180"/>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keepNext/>
        <w:rPr>
          <w:snapToGrid w:val="0"/>
        </w:rPr>
      </w:pPr>
      <w:r>
        <w:rPr>
          <w:snapToGrid w:val="0"/>
        </w:rPr>
        <w:tab/>
        <w:t>(b)</w:t>
      </w:r>
      <w:r>
        <w:rPr>
          <w:snapToGrid w:val="0"/>
        </w:rPr>
        <w:tab/>
        <w:t>before such date,</w:t>
      </w:r>
    </w:p>
    <w:p>
      <w:pPr>
        <w:pStyle w:val="Subsection"/>
        <w:spacing w:before="180"/>
        <w:rPr>
          <w:snapToGrid w:val="0"/>
        </w:rPr>
      </w:pPr>
      <w:r>
        <w:rPr>
          <w:snapToGrid w:val="0"/>
        </w:rPr>
        <w:tab/>
      </w:r>
      <w:r>
        <w:rPr>
          <w:snapToGrid w:val="0"/>
        </w:rPr>
        <w:tab/>
        <w:t>as the Minister specifies in that direction, and the Authority shall comply with that direction.</w:t>
      </w:r>
    </w:p>
    <w:p>
      <w:pPr>
        <w:pStyle w:val="Subsection"/>
        <w:keepNext/>
        <w:keepLines/>
        <w:spacing w:before="180"/>
        <w:rPr>
          <w:snapToGrid w:val="0"/>
        </w:rPr>
      </w:pPr>
      <w:r>
        <w:rPr>
          <w:snapToGrid w:val="0"/>
        </w:rPr>
        <w:tab/>
        <w:t>(3)</w:t>
      </w:r>
      <w:r>
        <w:rPr>
          <w:snapToGrid w:val="0"/>
        </w:rPr>
        <w:tab/>
        <w:t>The Minister shall, as soon as the Minister is reasonably able to do so after receiving a report and any recommendations made under subsection (1) or in compliance with a direction given under subsection (2), simultaneously cause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w:t>
      </w:r>
    </w:p>
    <w:p>
      <w:pPr>
        <w:pStyle w:val="Indenti"/>
        <w:rPr>
          <w:snapToGrid w:val="0"/>
        </w:rPr>
      </w:pPr>
      <w:r>
        <w:rPr>
          <w:snapToGrid w:val="0"/>
        </w:rPr>
        <w:tab/>
        <w:t>(i)</w:t>
      </w:r>
      <w:r>
        <w:rPr>
          <w:snapToGrid w:val="0"/>
        </w:rPr>
        <w:tab/>
        <w:t>the responsible Minister; and</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 xml:space="preserve">the responsible authority in respect of the scheme to which that report </w:t>
      </w:r>
      <w:r>
        <w:t>relates.</w:t>
      </w:r>
    </w:p>
    <w:p>
      <w:pPr>
        <w:pStyle w:val="Footnotesection"/>
      </w:pPr>
      <w:r>
        <w:tab/>
        <w:t>[Section 48D inserted: No. 23 of 1996 s. 20; amended: No. 40 of 2020 s. 37 and 111(1).]</w:t>
      </w:r>
    </w:p>
    <w:p>
      <w:pPr>
        <w:pStyle w:val="Heading5"/>
        <w:rPr>
          <w:snapToGrid w:val="0"/>
        </w:rPr>
      </w:pPr>
      <w:bookmarkStart w:id="113" w:name="_Toc158985406"/>
      <w:r>
        <w:rPr>
          <w:rStyle w:val="CharSectno"/>
        </w:rPr>
        <w:lastRenderedPageBreak/>
        <w:t>48E</w:t>
      </w:r>
      <w:r>
        <w:rPr>
          <w:snapToGrid w:val="0"/>
        </w:rPr>
        <w:t>.</w:t>
      </w:r>
      <w:r>
        <w:rPr>
          <w:snapToGrid w:val="0"/>
        </w:rPr>
        <w:tab/>
        <w:t>Minister may direct Authority to assess etc. referred schemes</w:t>
      </w:r>
      <w:bookmarkEnd w:id="113"/>
    </w:p>
    <w:p>
      <w:pPr>
        <w:pStyle w:val="Subsection"/>
        <w:keepNext/>
        <w:rPr>
          <w:snapToGrid w:val="0"/>
        </w:rPr>
      </w:pPr>
      <w:r>
        <w:rPr>
          <w:snapToGrid w:val="0"/>
        </w:rPr>
        <w:tab/>
        <w:t>(1)</w:t>
      </w:r>
      <w:r>
        <w:rPr>
          <w:snapToGrid w:val="0"/>
        </w:rPr>
        <w:tab/>
        <w:t>Having consulted the Authority and obtained the agreement of the responsible Minister, the Minister may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keepNext/>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spacing w:before="140"/>
      </w:pPr>
      <w:r>
        <w:tab/>
        <w:t>[Section 48E inserted: No. 23 of 1996 s. 20.]</w:t>
      </w:r>
    </w:p>
    <w:p>
      <w:pPr>
        <w:pStyle w:val="Ednotesection"/>
      </w:pPr>
      <w:r>
        <w:t>[</w:t>
      </w:r>
      <w:r>
        <w:rPr>
          <w:b/>
        </w:rPr>
        <w:t>48F, 48G.</w:t>
      </w:r>
      <w:r>
        <w:tab/>
        <w:t>Deleted: No. 40 of 2020 s. 38.]</w:t>
      </w:r>
    </w:p>
    <w:p>
      <w:pPr>
        <w:pStyle w:val="Heading3"/>
        <w:keepLines/>
      </w:pPr>
      <w:bookmarkStart w:id="114" w:name="_Toc158980738"/>
      <w:bookmarkStart w:id="115" w:name="_Toc158981137"/>
      <w:bookmarkStart w:id="116" w:name="_Toc158985407"/>
      <w:r>
        <w:rPr>
          <w:rStyle w:val="CharDivNo"/>
        </w:rPr>
        <w:t>Division 4</w:t>
      </w:r>
      <w:r>
        <w:rPr>
          <w:snapToGrid w:val="0"/>
        </w:rPr>
        <w:t> — </w:t>
      </w:r>
      <w:r>
        <w:rPr>
          <w:rStyle w:val="CharDivText"/>
        </w:rPr>
        <w:t>Implementation of schemes</w:t>
      </w:r>
      <w:bookmarkEnd w:id="114"/>
      <w:bookmarkEnd w:id="115"/>
      <w:bookmarkEnd w:id="116"/>
    </w:p>
    <w:p>
      <w:pPr>
        <w:pStyle w:val="Footnoteheading"/>
        <w:keepNext/>
        <w:keepLines/>
        <w:tabs>
          <w:tab w:val="left" w:pos="909"/>
        </w:tabs>
        <w:rPr>
          <w:snapToGrid w:val="0"/>
        </w:rPr>
      </w:pPr>
      <w:r>
        <w:rPr>
          <w:snapToGrid w:val="0"/>
        </w:rPr>
        <w:tab/>
        <w:t>[Heading inserted: No. 23 of 1996 s. 20.]</w:t>
      </w:r>
    </w:p>
    <w:p>
      <w:pPr>
        <w:pStyle w:val="Heading5"/>
        <w:rPr>
          <w:snapToGrid w:val="0"/>
        </w:rPr>
      </w:pPr>
      <w:bookmarkStart w:id="117" w:name="_Toc158985408"/>
      <w:r>
        <w:rPr>
          <w:rStyle w:val="CharSectno"/>
        </w:rPr>
        <w:t>48EA</w:t>
      </w:r>
      <w:r>
        <w:rPr>
          <w:snapToGrid w:val="0"/>
        </w:rPr>
        <w:t>.</w:t>
      </w:r>
      <w:r>
        <w:rPr>
          <w:snapToGrid w:val="0"/>
        </w:rPr>
        <w:tab/>
        <w:t xml:space="preserve">Terms </w:t>
      </w:r>
      <w:r>
        <w:t>used</w:t>
      </w:r>
      <w:bookmarkEnd w:id="117"/>
    </w:p>
    <w:p>
      <w:pPr>
        <w:pStyle w:val="Subsection"/>
      </w:pPr>
      <w:r>
        <w:tab/>
      </w:r>
      <w:r>
        <w:tab/>
        <w:t xml:space="preserve">In this Division — </w:t>
      </w:r>
    </w:p>
    <w:p>
      <w:pPr>
        <w:pStyle w:val="Defstart"/>
      </w:pPr>
      <w:r>
        <w:tab/>
      </w:r>
      <w:r>
        <w:rPr>
          <w:rStyle w:val="CharDefText"/>
        </w:rPr>
        <w:t>implementation conditions</w:t>
      </w:r>
      <w:r>
        <w:t xml:space="preserve"> means the conditions, if any, agreed or decided in relation to a scheme under section 48F or 48J(d);</w:t>
      </w:r>
    </w:p>
    <w:p>
      <w:pPr>
        <w:pStyle w:val="Defstart"/>
      </w:pPr>
      <w:r>
        <w:tab/>
      </w:r>
      <w:r>
        <w:rPr>
          <w:rStyle w:val="CharDefText"/>
        </w:rPr>
        <w:t>implementation issue</w:t>
      </w:r>
      <w:r>
        <w:t xml:space="preserve"> means —</w:t>
      </w:r>
    </w:p>
    <w:p>
      <w:pPr>
        <w:pStyle w:val="Defpara"/>
      </w:pPr>
      <w:r>
        <w:tab/>
        <w:t>(a)</w:t>
      </w:r>
      <w:r>
        <w:tab/>
        <w:t>whether or not the scheme may be implemented; and</w:t>
      </w:r>
    </w:p>
    <w:p>
      <w:pPr>
        <w:pStyle w:val="Defpara"/>
      </w:pPr>
      <w:r>
        <w:lastRenderedPageBreak/>
        <w:tab/>
        <w:t>(b)</w:t>
      </w:r>
      <w:r>
        <w:tab/>
        <w:t>the conditions, if any, to which the scheme, if implemented, should be subject;</w:t>
      </w:r>
    </w:p>
    <w:p>
      <w:pPr>
        <w:pStyle w:val="Defstart"/>
      </w:pPr>
      <w:r>
        <w:tab/>
      </w:r>
      <w:r>
        <w:rPr>
          <w:rStyle w:val="CharDefText"/>
        </w:rPr>
        <w:t>scheme</w:t>
      </w:r>
      <w:r>
        <w:t xml:space="preserve"> means the scheme to which a report published under section 48D(3) relates.</w:t>
      </w:r>
    </w:p>
    <w:p>
      <w:pPr>
        <w:pStyle w:val="Footnotesection"/>
      </w:pPr>
      <w:r>
        <w:tab/>
        <w:t>[Section 48EA inserted: No. 40 of 2020 s. 39.]</w:t>
      </w:r>
    </w:p>
    <w:p>
      <w:pPr>
        <w:pStyle w:val="Heading5"/>
        <w:rPr>
          <w:snapToGrid w:val="0"/>
        </w:rPr>
      </w:pPr>
      <w:bookmarkStart w:id="118" w:name="_Toc158985409"/>
      <w:r>
        <w:rPr>
          <w:rStyle w:val="CharSectno"/>
        </w:rPr>
        <w:t>48F</w:t>
      </w:r>
      <w:r>
        <w:rPr>
          <w:snapToGrid w:val="0"/>
        </w:rPr>
        <w:t>.</w:t>
      </w:r>
      <w:r>
        <w:rPr>
          <w:snapToGrid w:val="0"/>
        </w:rPr>
        <w:tab/>
        <w:t xml:space="preserve">Procedure for agreeing or deciding on conditions to which </w:t>
      </w:r>
      <w:r>
        <w:t>schemes</w:t>
      </w:r>
      <w:r>
        <w:rPr>
          <w:snapToGrid w:val="0"/>
        </w:rPr>
        <w:t xml:space="preserve"> are to be subject</w:t>
      </w:r>
      <w:bookmarkEnd w:id="118"/>
    </w:p>
    <w:p>
      <w:pPr>
        <w:pStyle w:val="Subsection"/>
      </w:pPr>
      <w:r>
        <w:tab/>
        <w:t>(1)</w:t>
      </w:r>
      <w:r>
        <w:tab/>
        <w:t>After causing a report to be published under section 48D(3) the Minister must consult and, if possible, agree with the responsible Minister on the implementation issues.</w:t>
      </w:r>
    </w:p>
    <w:p>
      <w:pPr>
        <w:pStyle w:val="Subsection"/>
      </w:pPr>
      <w:r>
        <w:tab/>
        <w:t>(2)</w:t>
      </w:r>
      <w:r>
        <w:tab/>
        <w:t>If an agreement is made under this section, or a decision is made under section 48J(d), that the scheme may be implemented and as to the conditions, if any, to which the scheme should be subject, the Minister must —</w:t>
      </w:r>
    </w:p>
    <w:p>
      <w:pPr>
        <w:pStyle w:val="Indenta"/>
      </w:pPr>
      <w:r>
        <w:tab/>
        <w:t>(a)</w:t>
      </w:r>
      <w:r>
        <w:tab/>
        <w:t>cause copies of a statement which sets out the implementation issues agreed or decided on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any other Minister to whom a copy of the report has been given under section 48D(3)(b)(ii) and the responsible authority;</w:t>
      </w:r>
    </w:p>
    <w:p>
      <w:pPr>
        <w:pStyle w:val="Indenta"/>
      </w:pPr>
      <w:r>
        <w:tab/>
      </w:r>
      <w:r>
        <w:tab/>
        <w:t>and</w:t>
      </w:r>
    </w:p>
    <w:p>
      <w:pPr>
        <w:pStyle w:val="Indenta"/>
      </w:pPr>
      <w:r>
        <w:tab/>
        <w:t>(b)</w:t>
      </w:r>
      <w:r>
        <w:tab/>
        <w:t>cause that statement to be published as soon after the delivery referred to in paragraph (a) as is practicable.</w:t>
      </w:r>
    </w:p>
    <w:p>
      <w:pPr>
        <w:pStyle w:val="Subsection"/>
      </w:pPr>
      <w:r>
        <w:tab/>
        <w:t>(3)</w:t>
      </w:r>
      <w:r>
        <w:tab/>
        <w:t xml:space="preserve">Despite anything in this section or section 48J — </w:t>
      </w:r>
    </w:p>
    <w:p>
      <w:pPr>
        <w:pStyle w:val="Indenta"/>
      </w:pPr>
      <w:r>
        <w:tab/>
        <w:t>(a)</w:t>
      </w:r>
      <w:r>
        <w:tab/>
        <w:t>an agreement or decision on any of the implementation issues relating to the scheme cannot be made under this section or section 48J during the period of 21 days referred to in section 100(3a)(c); and</w:t>
      </w:r>
    </w:p>
    <w:p>
      <w:pPr>
        <w:pStyle w:val="Indenta"/>
      </w:pPr>
      <w:r>
        <w:lastRenderedPageBreak/>
        <w:tab/>
        <w:t>(b)</w:t>
      </w:r>
      <w:r>
        <w:tab/>
        <w:t>if an appeal is lodged under section 100(1)(e) in respect of the report, an agreement or decision on any of the implementation issues relating to the scheme cannot be made under this section or section 48J while the appeal is pending except for the purposes of section 101(2d)(a).</w:t>
      </w:r>
    </w:p>
    <w:p>
      <w:pPr>
        <w:pStyle w:val="Footnotesection"/>
      </w:pPr>
      <w:r>
        <w:tab/>
        <w:t>[Section 48F inserted: No. 40 of 2020 s. 39.]</w:t>
      </w:r>
    </w:p>
    <w:p>
      <w:pPr>
        <w:pStyle w:val="Heading5"/>
        <w:rPr>
          <w:snapToGrid w:val="0"/>
        </w:rPr>
      </w:pPr>
      <w:bookmarkStart w:id="119" w:name="_Toc158985410"/>
      <w:r>
        <w:rPr>
          <w:rStyle w:val="CharSectno"/>
        </w:rPr>
        <w:t>48G</w:t>
      </w:r>
      <w:r>
        <w:rPr>
          <w:snapToGrid w:val="0"/>
        </w:rPr>
        <w:t>.</w:t>
      </w:r>
      <w:r>
        <w:rPr>
          <w:snapToGrid w:val="0"/>
        </w:rPr>
        <w:tab/>
      </w:r>
      <w:r>
        <w:t>Review</w:t>
      </w:r>
      <w:r>
        <w:rPr>
          <w:snapToGrid w:val="0"/>
        </w:rPr>
        <w:t xml:space="preserve"> of conditions in statements published under section 48F</w:t>
      </w:r>
      <w:bookmarkEnd w:id="119"/>
    </w:p>
    <w:p>
      <w:pPr>
        <w:pStyle w:val="Subsection"/>
      </w:pPr>
      <w:r>
        <w:tab/>
        <w:t>(1)</w:t>
      </w:r>
      <w:r>
        <w:tab/>
        <w:t>A responsible authority may, after the publication of a statement under section 48F(2)(b) that sets out implementation conditions and before the responsible Minister or the Governor grants final approval of the scheme to which that statement relates, request the responsible Minister to initiate a review of any implementation conditions.</w:t>
      </w:r>
    </w:p>
    <w:p>
      <w:pPr>
        <w:pStyle w:val="Subsection"/>
      </w:pPr>
      <w:r>
        <w:tab/>
        <w:t>(2)</w:t>
      </w:r>
      <w:r>
        <w:tab/>
        <w:t>If the responsible Minister agrees to a request under subsection (1), the responsible Minister and the Minister must consult each other and attempt to agree on whether or not the implementation conditions should be altered and, if so, to what extent.</w:t>
      </w:r>
    </w:p>
    <w:p>
      <w:pPr>
        <w:pStyle w:val="Subsection"/>
      </w:pPr>
      <w:r>
        <w:tab/>
        <w:t>(3)</w:t>
      </w:r>
      <w:r>
        <w:tab/>
        <w:t>If implementation conditions are altered by agreement under this section or a decision under section 48J(e), the Minister must —</w:t>
      </w:r>
    </w:p>
    <w:p>
      <w:pPr>
        <w:pStyle w:val="Indenta"/>
      </w:pPr>
      <w:r>
        <w:tab/>
        <w:t>(a)</w:t>
      </w:r>
      <w:r>
        <w:tab/>
        <w:t>cause copies of a statement setting out those conditions as altered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w:t>
      </w:r>
    </w:p>
    <w:p>
      <w:pPr>
        <w:pStyle w:val="Indenta"/>
      </w:pPr>
      <w:r>
        <w:tab/>
      </w:r>
      <w:r>
        <w:tab/>
        <w:t>and</w:t>
      </w:r>
    </w:p>
    <w:p>
      <w:pPr>
        <w:pStyle w:val="Indenta"/>
      </w:pPr>
      <w:r>
        <w:tab/>
        <w:t>(b)</w:t>
      </w:r>
      <w:r>
        <w:tab/>
        <w:t>cause that statement to be published as soon after the service referred to in paragraph (a) as is practicable.</w:t>
      </w:r>
    </w:p>
    <w:p>
      <w:pPr>
        <w:pStyle w:val="Subsection"/>
      </w:pPr>
      <w:r>
        <w:lastRenderedPageBreak/>
        <w:tab/>
        <w:t>(4)</w:t>
      </w:r>
      <w:r>
        <w:tab/>
        <w:t>Conditions altered by agreement under this section or a decision under section 48J(e) are taken for the purposes of this Act to have been agreed under section 48F or decided under section 48J.</w:t>
      </w:r>
    </w:p>
    <w:p>
      <w:pPr>
        <w:pStyle w:val="Footnotesection"/>
      </w:pPr>
      <w:r>
        <w:tab/>
        <w:t>[Section 48G inserted: No. 40 of 2020 s. 39.]</w:t>
      </w:r>
    </w:p>
    <w:p>
      <w:pPr>
        <w:pStyle w:val="Heading5"/>
        <w:rPr>
          <w:snapToGrid w:val="0"/>
        </w:rPr>
      </w:pPr>
      <w:bookmarkStart w:id="120" w:name="_Toc158985411"/>
      <w:r>
        <w:rPr>
          <w:rStyle w:val="CharSectno"/>
        </w:rPr>
        <w:t>48H</w:t>
      </w:r>
      <w:r>
        <w:rPr>
          <w:snapToGrid w:val="0"/>
        </w:rPr>
        <w:t>.</w:t>
      </w:r>
      <w:r>
        <w:rPr>
          <w:snapToGrid w:val="0"/>
        </w:rPr>
        <w:tab/>
        <w:t>Control of implementation of assessed schemes</w:t>
      </w:r>
      <w:bookmarkEnd w:id="120"/>
    </w:p>
    <w:p>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implementation condition (referred to in this section </w:t>
      </w:r>
      <w:r>
        <w:t xml:space="preserve">as the </w:t>
      </w:r>
      <w:r>
        <w:rPr>
          <w:rStyle w:val="CharDefText"/>
        </w:rPr>
        <w:t>condition</w:t>
      </w:r>
      <w:r>
        <w:rPr>
          <w:snapToGrid w:val="0"/>
        </w:rPr>
        <w:t>) for the purpose of determining whether or not the condition has been or is being complied with.</w:t>
      </w:r>
    </w:p>
    <w:p>
      <w:pPr>
        <w:pStyle w:val="Subsection"/>
        <w:rPr>
          <w:snapToGrid w:val="0"/>
        </w:rPr>
      </w:pPr>
      <w:r>
        <w:rPr>
          <w:snapToGrid w:val="0"/>
        </w:rPr>
        <w:tab/>
        <w:t>(2)</w:t>
      </w:r>
      <w:r>
        <w:rPr>
          <w:snapToGrid w:val="0"/>
        </w:rPr>
        <w:tab/>
        <w:t>If the responsible authority finds under subsection (1) that the condition has not been or is not being complied with, it shall —</w:t>
      </w:r>
    </w:p>
    <w:p>
      <w:pPr>
        <w:pStyle w:val="Indenta"/>
        <w:spacing w:before="70"/>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spacing w:before="70"/>
        <w:rPr>
          <w:snapToGrid w:val="0"/>
        </w:rPr>
      </w:pPr>
      <w:r>
        <w:rPr>
          <w:snapToGrid w:val="0"/>
        </w:rPr>
        <w:tab/>
        <w:t>(b)</w:t>
      </w:r>
      <w:r>
        <w:rPr>
          <w:snapToGrid w:val="0"/>
        </w:rPr>
        <w:tab/>
        <w:t>report that non</w:t>
      </w:r>
      <w:r>
        <w:rPr>
          <w:snapToGrid w:val="0"/>
        </w:rPr>
        <w:noBreakHyphen/>
        <w:t>compliance to the responsible Minister.</w:t>
      </w:r>
    </w:p>
    <w:p>
      <w:pPr>
        <w:pStyle w:val="Subsection"/>
        <w:rPr>
          <w:snapToGrid w:val="0"/>
        </w:rPr>
      </w:pPr>
      <w:r>
        <w:rPr>
          <w:snapToGrid w:val="0"/>
        </w:rPr>
        <w:tab/>
        <w:t>(3)</w:t>
      </w:r>
      <w:r>
        <w:rPr>
          <w:snapToGrid w:val="0"/>
        </w:rPr>
        <w:tab/>
        <w:t>If non</w:t>
      </w:r>
      <w:r>
        <w:rPr>
          <w:snapToGrid w:val="0"/>
        </w:rPr>
        <w:noBreakHyphen/>
        <w:t xml:space="preserve">compliance with the condition is reported to the responsible Minister under subsection (2)(b) or otherwise becomes known to </w:t>
      </w:r>
      <w:r>
        <w:t>the responsible Minister</w:t>
      </w:r>
      <w:r>
        <w:rPr>
          <w:snapToGrid w:val="0"/>
        </w:rPr>
        <w:t>, the responsible Minister shall —</w:t>
      </w:r>
    </w:p>
    <w:p>
      <w:pPr>
        <w:pStyle w:val="Indenta"/>
        <w:spacing w:before="70"/>
        <w:rPr>
          <w:snapToGrid w:val="0"/>
        </w:rPr>
      </w:pPr>
      <w:r>
        <w:rPr>
          <w:snapToGrid w:val="0"/>
        </w:rPr>
        <w:tab/>
        <w:t>(a)</w:t>
      </w:r>
      <w:r>
        <w:rPr>
          <w:snapToGrid w:val="0"/>
        </w:rPr>
        <w:tab/>
        <w:t>advise the Minister of that non</w:t>
      </w:r>
      <w:r>
        <w:rPr>
          <w:snapToGrid w:val="0"/>
        </w:rPr>
        <w:noBreakHyphen/>
        <w:t>compliance; and</w:t>
      </w:r>
    </w:p>
    <w:p>
      <w:pPr>
        <w:pStyle w:val="Indenta"/>
        <w:spacing w:before="70"/>
        <w:rPr>
          <w:snapToGrid w:val="0"/>
        </w:rPr>
      </w:pPr>
      <w:r>
        <w:rPr>
          <w:snapToGrid w:val="0"/>
        </w:rPr>
        <w:tab/>
        <w:t>(b)</w:t>
      </w:r>
      <w:r>
        <w:rPr>
          <w:snapToGrid w:val="0"/>
        </w:rPr>
        <w:tab/>
        <w:t>cause such steps to be taken as are necessary to achieve compliance with the condition.</w:t>
      </w:r>
    </w:p>
    <w:p>
      <w:pPr>
        <w:pStyle w:val="Subsection"/>
        <w:rPr>
          <w:snapToGrid w:val="0"/>
        </w:rPr>
      </w:pPr>
      <w:r>
        <w:rPr>
          <w:snapToGrid w:val="0"/>
        </w:rPr>
        <w:tab/>
        <w:t>(4)</w:t>
      </w:r>
      <w:r>
        <w:rPr>
          <w:snapToGrid w:val="0"/>
        </w:rPr>
        <w:tab/>
        <w:t xml:space="preserve">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w:t>
      </w:r>
      <w:r>
        <w:rPr>
          <w:snapToGrid w:val="0"/>
        </w:rPr>
        <w:lastRenderedPageBreak/>
        <w:t>Minister considers to be necessary to achieve compliance with the condition.</w:t>
      </w:r>
    </w:p>
    <w:p>
      <w:pPr>
        <w:pStyle w:val="Footnotesection"/>
        <w:spacing w:before="180"/>
        <w:ind w:left="890" w:hanging="890"/>
      </w:pPr>
      <w:r>
        <w:tab/>
        <w:t>[Section 48H inserted: No. 23 of 1996 s. 20; amended: No. 40 of 2020 s. 40 and 111(1).]</w:t>
      </w:r>
    </w:p>
    <w:p>
      <w:pPr>
        <w:pStyle w:val="Heading5"/>
        <w:rPr>
          <w:snapToGrid w:val="0"/>
        </w:rPr>
      </w:pPr>
      <w:bookmarkStart w:id="121" w:name="_Toc158985412"/>
      <w:r>
        <w:rPr>
          <w:rStyle w:val="CharSectno"/>
        </w:rPr>
        <w:t>48I</w:t>
      </w:r>
      <w:r>
        <w:rPr>
          <w:snapToGrid w:val="0"/>
        </w:rPr>
        <w:t>.</w:t>
      </w:r>
      <w:r>
        <w:rPr>
          <w:snapToGrid w:val="0"/>
        </w:rPr>
        <w:tab/>
        <w:t>Which proposals under assessed schemes to be referred to Authority</w:t>
      </w:r>
      <w:bookmarkEnd w:id="121"/>
    </w:p>
    <w:p>
      <w:pPr>
        <w:pStyle w:val="Subsection"/>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rPr>
          <w:snapToGrid w:val="0"/>
        </w:rPr>
      </w:pPr>
      <w:r>
        <w:rPr>
          <w:snapToGrid w:val="0"/>
        </w:rPr>
        <w:tab/>
        <w:t>(3)</w:t>
      </w:r>
      <w:r>
        <w:rPr>
          <w:snapToGrid w:val="0"/>
        </w:rPr>
        <w:tab/>
        <w:t>If the responsible authority determines under subsection (1) that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lastRenderedPageBreak/>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keepNext/>
        <w:rPr>
          <w:snapToGrid w:val="0"/>
        </w:rPr>
      </w:pPr>
      <w:r>
        <w:rPr>
          <w:snapToGrid w:val="0"/>
        </w:rPr>
        <w:tab/>
        <w:t>(d)</w:t>
      </w:r>
      <w:r>
        <w:rPr>
          <w:snapToGrid w:val="0"/>
        </w:rPr>
        <w:tab/>
        <w:t>refuse to approve the implementation of the proposal.</w:t>
      </w:r>
    </w:p>
    <w:p>
      <w:pPr>
        <w:pStyle w:val="Footnotesection"/>
      </w:pPr>
      <w:r>
        <w:tab/>
        <w:t>[Section 48I inserted: No. 23 of 1996 s. 20.]</w:t>
      </w:r>
    </w:p>
    <w:p>
      <w:pPr>
        <w:pStyle w:val="Heading5"/>
        <w:rPr>
          <w:snapToGrid w:val="0"/>
        </w:rPr>
      </w:pPr>
      <w:bookmarkStart w:id="122" w:name="_Toc158985413"/>
      <w:r>
        <w:rPr>
          <w:rStyle w:val="CharSectno"/>
        </w:rPr>
        <w:t>48J</w:t>
      </w:r>
      <w:r>
        <w:rPr>
          <w:snapToGrid w:val="0"/>
        </w:rPr>
        <w:t>.</w:t>
      </w:r>
      <w:r>
        <w:rPr>
          <w:snapToGrid w:val="0"/>
        </w:rPr>
        <w:tab/>
        <w:t>Disputes between Minister and responsible Ministers, Governor to decide</w:t>
      </w:r>
      <w:bookmarkEnd w:id="122"/>
    </w:p>
    <w:p>
      <w:pPr>
        <w:pStyle w:val="Subsection"/>
        <w:rPr>
          <w:snapToGrid w:val="0"/>
        </w:rPr>
      </w:pPr>
      <w:r>
        <w:rPr>
          <w:snapToGrid w:val="0"/>
        </w:rPr>
        <w:tab/>
      </w:r>
      <w:r>
        <w:rPr>
          <w:snapToGrid w:val="0"/>
        </w:rPr>
        <w:tab/>
        <w:t>If the Minister and a responsible Minister cannot agree —</w:t>
      </w:r>
    </w:p>
    <w:p>
      <w:pPr>
        <w:pStyle w:val="Indenta"/>
        <w:rPr>
          <w:snapToGrid w:val="0"/>
        </w:rPr>
      </w:pPr>
      <w:r>
        <w:rPr>
          <w:snapToGrid w:val="0"/>
        </w:rPr>
        <w:tab/>
        <w:t>(a)</w:t>
      </w:r>
      <w:r>
        <w:rPr>
          <w:snapToGrid w:val="0"/>
        </w:rPr>
        <w:tab/>
        <w:t>on whether or not the Minister should give advice under section 48A(2)(b) in relation to a scheme; or</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 or</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 or</w:t>
      </w:r>
    </w:p>
    <w:p>
      <w:pPr>
        <w:pStyle w:val="Indenta"/>
      </w:pPr>
      <w:r>
        <w:tab/>
        <w:t>(d)</w:t>
      </w:r>
      <w:r>
        <w:tab/>
        <w:t>on an implementation issue; or</w:t>
      </w:r>
    </w:p>
    <w:p>
      <w:pPr>
        <w:pStyle w:val="Indenta"/>
        <w:rPr>
          <w:snapToGrid w:val="0"/>
        </w:rPr>
      </w:pPr>
      <w:r>
        <w:rPr>
          <w:snapToGrid w:val="0"/>
        </w:rPr>
        <w:tab/>
        <w:t>(e)</w:t>
      </w:r>
      <w:r>
        <w:rPr>
          <w:snapToGrid w:val="0"/>
        </w:rPr>
        <w:tab/>
        <w:t>on whether or not implementation conditions should be altered and, if so, to what extent,</w:t>
      </w:r>
    </w:p>
    <w:p>
      <w:pPr>
        <w:pStyle w:val="Subsection"/>
        <w:keepNext/>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[Section 48J inserted: No. 23 of 1996 s. 20; amended: No. 40 of 2020 s. 41.]</w:t>
      </w:r>
    </w:p>
    <w:p>
      <w:pPr>
        <w:pStyle w:val="Heading2"/>
      </w:pPr>
      <w:bookmarkStart w:id="123" w:name="_Toc158980745"/>
      <w:bookmarkStart w:id="124" w:name="_Toc158981144"/>
      <w:bookmarkStart w:id="125" w:name="_Toc158985414"/>
      <w:r>
        <w:rPr>
          <w:rStyle w:val="CharPartNo"/>
        </w:rPr>
        <w:lastRenderedPageBreak/>
        <w:t>Part V</w:t>
      </w:r>
      <w:r>
        <w:t xml:space="preserve"> — </w:t>
      </w:r>
      <w:r>
        <w:rPr>
          <w:rStyle w:val="CharPartText"/>
        </w:rPr>
        <w:t>Environmental regulation</w:t>
      </w:r>
      <w:bookmarkEnd w:id="123"/>
      <w:bookmarkEnd w:id="124"/>
      <w:bookmarkEnd w:id="125"/>
    </w:p>
    <w:p>
      <w:pPr>
        <w:pStyle w:val="Footnotesection"/>
      </w:pPr>
      <w:r>
        <w:tab/>
        <w:t>[Heading inserted: No. 54 of 2003 s. 35.]</w:t>
      </w:r>
    </w:p>
    <w:p>
      <w:pPr>
        <w:pStyle w:val="Heading3"/>
      </w:pPr>
      <w:bookmarkStart w:id="126" w:name="_Toc158980746"/>
      <w:bookmarkStart w:id="127" w:name="_Toc158981145"/>
      <w:bookmarkStart w:id="128" w:name="_Toc158985415"/>
      <w:r>
        <w:rPr>
          <w:rStyle w:val="CharDivNo"/>
        </w:rPr>
        <w:t>Division 1</w:t>
      </w:r>
      <w:r>
        <w:t xml:space="preserve"> — </w:t>
      </w:r>
      <w:r>
        <w:rPr>
          <w:rStyle w:val="CharDivText"/>
        </w:rPr>
        <w:t>Pollution and environmental harm offences</w:t>
      </w:r>
      <w:bookmarkEnd w:id="126"/>
      <w:bookmarkEnd w:id="127"/>
      <w:bookmarkEnd w:id="128"/>
    </w:p>
    <w:p>
      <w:pPr>
        <w:pStyle w:val="Footnotesection"/>
      </w:pPr>
      <w:r>
        <w:tab/>
        <w:t>[Heading inserted: No. 54 of 2003 s. 35.]</w:t>
      </w:r>
    </w:p>
    <w:p>
      <w:pPr>
        <w:pStyle w:val="Heading5"/>
      </w:pPr>
      <w:bookmarkStart w:id="129" w:name="_Toc158985416"/>
      <w:r>
        <w:rPr>
          <w:rStyle w:val="CharSectno"/>
        </w:rPr>
        <w:t>49</w:t>
      </w:r>
      <w:r>
        <w:t>.</w:t>
      </w:r>
      <w:r>
        <w:tab/>
        <w:t>Causing pollution and unreasonable emissions</w:t>
      </w:r>
      <w:bookmarkEnd w:id="129"/>
    </w:p>
    <w:p>
      <w:pPr>
        <w:pStyle w:val="Subsection"/>
      </w:pPr>
      <w:r>
        <w:tab/>
        <w:t>(1)</w:t>
      </w:r>
      <w:r>
        <w:tab/>
        <w:t>In this section —</w:t>
      </w:r>
    </w:p>
    <w:p>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pPr>
        <w:pStyle w:val="Subsection"/>
      </w:pPr>
      <w:r>
        <w:tab/>
        <w:t>(2)</w:t>
      </w:r>
      <w:r>
        <w:tab/>
        <w:t>A person who intentionally or with criminal negligence —</w:t>
      </w:r>
    </w:p>
    <w:p>
      <w:pPr>
        <w:pStyle w:val="Indenta"/>
      </w:pPr>
      <w:r>
        <w:tab/>
        <w:t>(a)</w:t>
      </w:r>
      <w:r>
        <w:tab/>
        <w:t>causes pollution; or</w:t>
      </w:r>
    </w:p>
    <w:p>
      <w:pPr>
        <w:pStyle w:val="Indenta"/>
      </w:pPr>
      <w:r>
        <w:tab/>
        <w:t>(b)</w:t>
      </w:r>
      <w:r>
        <w:tab/>
        <w:t>allows pollution to be caused,</w:t>
      </w:r>
    </w:p>
    <w:p>
      <w:pPr>
        <w:pStyle w:val="Subsection"/>
      </w:pPr>
      <w:r>
        <w:tab/>
      </w:r>
      <w:r>
        <w:tab/>
        <w:t>commits an offence.</w:t>
      </w:r>
    </w:p>
    <w:p>
      <w:pPr>
        <w:pStyle w:val="Subsection"/>
      </w:pPr>
      <w:r>
        <w:tab/>
        <w:t>(3)</w:t>
      </w:r>
      <w:r>
        <w:tab/>
        <w:t>A person who causes pollution or allows pollution to be caused commits an offence.</w:t>
      </w:r>
    </w:p>
    <w:p>
      <w:pPr>
        <w:pStyle w:val="Subsection"/>
        <w:spacing w:before="120"/>
      </w:pPr>
      <w:r>
        <w:tab/>
        <w:t>(4)</w:t>
      </w:r>
      <w:r>
        <w:tab/>
        <w:t>A person who intentionally or with criminal negligence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(5)</w:t>
      </w:r>
      <w:r>
        <w:tab/>
        <w:t>A person who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lastRenderedPageBreak/>
        <w:tab/>
        <w:t>(6)</w:t>
      </w:r>
      <w:r>
        <w:tab/>
        <w:t>A person charged with committing an offence against subsection (2) may be convicted of an offence against subsection (3) which is established by the evidence.</w:t>
      </w:r>
    </w:p>
    <w:p>
      <w:pPr>
        <w:pStyle w:val="Subsection"/>
      </w:pPr>
      <w:r>
        <w:tab/>
        <w:t>(7)</w:t>
      </w:r>
      <w:r>
        <w:tab/>
        <w:t>A person charged with committing an offence against subsection (4) may be convicted of an offence against subsection (5) which is established by the evidence.</w:t>
      </w:r>
    </w:p>
    <w:p>
      <w:pPr>
        <w:pStyle w:val="Footnotesection"/>
        <w:ind w:left="890" w:hanging="890"/>
      </w:pPr>
      <w:r>
        <w:tab/>
        <w:t>[Section 49 inserted: No. 14 of 1998 s. 6; amended: No. 54 of 2003 s. 36.]</w:t>
      </w:r>
    </w:p>
    <w:p>
      <w:pPr>
        <w:pStyle w:val="Heading5"/>
      </w:pPr>
      <w:bookmarkStart w:id="130" w:name="_Toc158985417"/>
      <w:r>
        <w:rPr>
          <w:rStyle w:val="CharSectno"/>
        </w:rPr>
        <w:t>49A</w:t>
      </w:r>
      <w:r>
        <w:t>.</w:t>
      </w:r>
      <w:r>
        <w:tab/>
        <w:t>Dumping waste</w:t>
      </w:r>
      <w:bookmarkEnd w:id="130"/>
    </w:p>
    <w:p>
      <w:pPr>
        <w:pStyle w:val="Subsection"/>
      </w:pPr>
      <w:r>
        <w:tab/>
        <w:t>(1)</w:t>
      </w:r>
      <w:r>
        <w:tab/>
        <w:t xml:space="preserve">In this section — </w:t>
      </w:r>
    </w:p>
    <w:p>
      <w:pPr>
        <w:pStyle w:val="Defstart"/>
      </w:pPr>
      <w:r>
        <w:tab/>
      </w:r>
      <w:r>
        <w:rPr>
          <w:rStyle w:val="CharDefText"/>
        </w:rPr>
        <w:t>place</w:t>
      </w:r>
      <w:r>
        <w:t xml:space="preserve"> includes water, a vehicle and a receptacle.</w:t>
      </w:r>
    </w:p>
    <w:p>
      <w:pPr>
        <w:pStyle w:val="Subsection"/>
      </w:pPr>
      <w:r>
        <w:tab/>
        <w:t>(2)</w:t>
      </w:r>
      <w:r>
        <w:tab/>
        <w:t>A person who discharges or abandons, or causes or allows to be discharged or abandoned, any solid or liquid waste in water to which the public has access commits an offence.</w:t>
      </w:r>
    </w:p>
    <w:p>
      <w:pPr>
        <w:pStyle w:val="Subsection"/>
      </w:pPr>
      <w:r>
        <w:tab/>
        <w:t>(3)</w:t>
      </w:r>
      <w:r>
        <w:tab/>
        <w:t>A person who discharges or abandons, or causes or allows to be discharged or abandoned, any solid or liquid waste on or in any place, other than water to which the public has access, commits an offence.</w:t>
      </w:r>
    </w:p>
    <w:p>
      <w:pPr>
        <w:pStyle w:val="Subsection"/>
      </w:pPr>
      <w:r>
        <w:tab/>
        <w:t>(4)</w:t>
      </w:r>
      <w:r>
        <w:tab/>
        <w:t>It is a defence to a charge under subsection (3) for a person to show that the waste was discharged or abandoned in the place concerned with the consent of the person who controlled and managed that place.</w:t>
      </w:r>
    </w:p>
    <w:p>
      <w:pPr>
        <w:pStyle w:val="Subsection"/>
      </w:pPr>
      <w:r>
        <w:tab/>
        <w:t>(5)</w:t>
      </w:r>
      <w:r>
        <w:tab/>
        <w:t xml:space="preserve">A person charged with committing an offence against subsection (2) or (3) may be convicted of an offence against the </w:t>
      </w:r>
      <w:r>
        <w:rPr>
          <w:i/>
        </w:rPr>
        <w:t>Litter Act 1979</w:t>
      </w:r>
      <w:r>
        <w:t xml:space="preserve"> section 23 which is established by the evidence.</w:t>
      </w:r>
    </w:p>
    <w:p>
      <w:pPr>
        <w:pStyle w:val="Footnotesection"/>
      </w:pPr>
      <w:r>
        <w:tab/>
        <w:t xml:space="preserve">[Section 49A inserted: No. 48 of 2010 s. 4.] </w:t>
      </w:r>
    </w:p>
    <w:p>
      <w:pPr>
        <w:pStyle w:val="Heading5"/>
      </w:pPr>
      <w:bookmarkStart w:id="131" w:name="_Toc158985418"/>
      <w:r>
        <w:rPr>
          <w:rStyle w:val="CharSectno"/>
        </w:rPr>
        <w:t>50</w:t>
      </w:r>
      <w:r>
        <w:t>.</w:t>
      </w:r>
      <w:r>
        <w:tab/>
        <w:t>Discharging waste in circumstances likely to cause pollution</w:t>
      </w:r>
      <w:bookmarkEnd w:id="131"/>
    </w:p>
    <w:p>
      <w:pPr>
        <w:pStyle w:val="Subsection"/>
      </w:pPr>
      <w:r>
        <w:tab/>
        <w:t>(1)</w:t>
      </w:r>
      <w:r>
        <w:tab/>
        <w:t>A person who intentionally or with criminal negligence —</w:t>
      </w:r>
    </w:p>
    <w:p>
      <w:pPr>
        <w:pStyle w:val="Indenta"/>
      </w:pPr>
      <w:r>
        <w:tab/>
        <w:t>(a)</w:t>
      </w:r>
      <w:r>
        <w:tab/>
        <w:t>causes waste to be placed; or</w:t>
      </w:r>
    </w:p>
    <w:p>
      <w:pPr>
        <w:pStyle w:val="Indenta"/>
        <w:keepNext/>
      </w:pPr>
      <w:r>
        <w:lastRenderedPageBreak/>
        <w:tab/>
        <w:t>(b)</w:t>
      </w:r>
      <w:r>
        <w:tab/>
        <w:t>allows waste to be placed,</w:t>
      </w:r>
    </w:p>
    <w:p>
      <w:pPr>
        <w:pStyle w:val="Subsection"/>
      </w:pPr>
      <w:r>
        <w:tab/>
      </w:r>
      <w:r>
        <w:tab/>
        <w:t>in any position from which the waste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pPr>
      <w:r>
        <w:tab/>
      </w:r>
      <w:r>
        <w:tab/>
        <w:t>commits an offence.</w:t>
      </w:r>
    </w:p>
    <w:p>
      <w:pPr>
        <w:pStyle w:val="Subsection"/>
      </w:pPr>
      <w:r>
        <w:tab/>
        <w:t>(2)</w:t>
      </w:r>
      <w:r>
        <w:tab/>
        <w:t>A person who causes or allows waste to be placed in any position from which the waste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pPr>
      <w:r>
        <w:tab/>
      </w:r>
      <w:r>
        <w:tab/>
        <w:t>commits an offence.</w:t>
      </w:r>
    </w:p>
    <w:p>
      <w:pPr>
        <w:pStyle w:val="Subsection"/>
      </w:pPr>
      <w:r>
        <w:tab/>
        <w:t>(3)</w:t>
      </w:r>
      <w:r>
        <w:tab/>
        <w:t>A person charged with committing an offence against subsection (1) may be convicted of an offence against subsection (2) or section 49A(2) or (3) which is established by the evidence.</w:t>
      </w:r>
    </w:p>
    <w:p>
      <w:pPr>
        <w:pStyle w:val="Subsection"/>
      </w:pPr>
      <w:r>
        <w:tab/>
        <w:t>(4)</w:t>
      </w:r>
      <w:r>
        <w:tab/>
        <w:t>A person charged with committing an offence against subsection (2) may be convicted of an offence against section 49A(2) or (3) which is established by the evidence.</w:t>
      </w:r>
    </w:p>
    <w:p>
      <w:pPr>
        <w:pStyle w:val="Footnotesection"/>
      </w:pPr>
      <w:r>
        <w:tab/>
        <w:t>[Section 50 inserted: No. 14 of 1998 s. 6; amended: No. 48 of 2010 s. 5.]</w:t>
      </w:r>
    </w:p>
    <w:p>
      <w:pPr>
        <w:pStyle w:val="Heading5"/>
        <w:rPr>
          <w:snapToGrid w:val="0"/>
        </w:rPr>
      </w:pPr>
      <w:bookmarkStart w:id="132" w:name="_Toc158985419"/>
      <w:r>
        <w:rPr>
          <w:rStyle w:val="CharSectno"/>
        </w:rPr>
        <w:t>50A</w:t>
      </w:r>
      <w:r>
        <w:rPr>
          <w:snapToGrid w:val="0"/>
        </w:rPr>
        <w:t>.</w:t>
      </w:r>
      <w:r>
        <w:rPr>
          <w:snapToGrid w:val="0"/>
        </w:rPr>
        <w:tab/>
        <w:t>Causing serious environmental harm</w:t>
      </w:r>
      <w:bookmarkEnd w:id="132"/>
    </w:p>
    <w:p>
      <w:pPr>
        <w:pStyle w:val="Subsection"/>
        <w:rPr>
          <w:snapToGrid w:val="0"/>
        </w:rPr>
      </w:pPr>
      <w:r>
        <w:rPr>
          <w:snapToGrid w:val="0"/>
        </w:rPr>
        <w:tab/>
        <w:t>(1)</w:t>
      </w:r>
      <w:r>
        <w:rPr>
          <w:snapToGrid w:val="0"/>
        </w:rPr>
        <w:tab/>
        <w:t>A person who, intentionally or with criminal negligence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causes serious environmental harm; or</w:t>
      </w:r>
    </w:p>
    <w:p>
      <w:pPr>
        <w:pStyle w:val="Indenta"/>
        <w:keepNext/>
        <w:keepLines/>
      </w:pPr>
      <w:r>
        <w:rPr>
          <w:snapToGrid w:val="0"/>
        </w:rPr>
        <w:lastRenderedPageBreak/>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pPr>
      <w:r>
        <w:tab/>
        <w:t>[Section 50A inserted: No. 54 of 2003 s. 37.]</w:t>
      </w:r>
    </w:p>
    <w:p>
      <w:pPr>
        <w:pStyle w:val="Heading5"/>
        <w:rPr>
          <w:snapToGrid w:val="0"/>
        </w:rPr>
      </w:pPr>
      <w:bookmarkStart w:id="133" w:name="_Toc158985420"/>
      <w:r>
        <w:rPr>
          <w:rStyle w:val="CharSectno"/>
        </w:rPr>
        <w:t>50B</w:t>
      </w:r>
      <w:r>
        <w:rPr>
          <w:snapToGrid w:val="0"/>
        </w:rPr>
        <w:t>.</w:t>
      </w:r>
      <w:r>
        <w:rPr>
          <w:snapToGrid w:val="0"/>
        </w:rPr>
        <w:tab/>
        <w:t>Causing material environmental harm</w:t>
      </w:r>
      <w:bookmarkEnd w:id="133"/>
    </w:p>
    <w:p>
      <w:pPr>
        <w:pStyle w:val="Subsection"/>
        <w:rPr>
          <w:snapToGrid w:val="0"/>
        </w:rPr>
      </w:pPr>
      <w:r>
        <w:rPr>
          <w:snapToGrid w:val="0"/>
        </w:rPr>
        <w:tab/>
        <w:t>(1)</w:t>
      </w:r>
      <w:r>
        <w:rPr>
          <w:snapToGrid w:val="0"/>
        </w:rPr>
        <w:tab/>
        <w:t>A person who intentionally or with criminal negligence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No. 54 of 2003 s. 37.]</w:t>
      </w:r>
    </w:p>
    <w:p>
      <w:pPr>
        <w:pStyle w:val="Heading5"/>
      </w:pPr>
      <w:bookmarkStart w:id="134" w:name="_Toc158985421"/>
      <w:r>
        <w:rPr>
          <w:rStyle w:val="CharSectno"/>
        </w:rPr>
        <w:t>50C</w:t>
      </w:r>
      <w:r>
        <w:rPr>
          <w:snapToGrid w:val="0"/>
        </w:rPr>
        <w:t>.</w:t>
      </w:r>
      <w:r>
        <w:rPr>
          <w:snapToGrid w:val="0"/>
        </w:rPr>
        <w:tab/>
      </w:r>
      <w:r>
        <w:t>Court may find accused guilty of alternative offences if charged with causing serious environmental harm</w:t>
      </w:r>
      <w:bookmarkEnd w:id="134"/>
    </w:p>
    <w:p>
      <w:pPr>
        <w:pStyle w:val="Subsection"/>
      </w:pPr>
      <w:r>
        <w:tab/>
      </w:r>
      <w:r>
        <w:tab/>
        <w:t>A person charged with committing an offence against section 50A may be convicted of an offence against section 50B(1) or (2) or 51C which is established by the evidence.</w:t>
      </w:r>
    </w:p>
    <w:p>
      <w:pPr>
        <w:pStyle w:val="Footnotesection"/>
        <w:ind w:left="890" w:hanging="890"/>
        <w:rPr>
          <w:rStyle w:val="CharSectno"/>
        </w:rPr>
      </w:pPr>
      <w:r>
        <w:rPr>
          <w:rStyle w:val="CharSectno"/>
        </w:rPr>
        <w:tab/>
        <w:t>[Section 50C inserted: No. 54 of 2003 s. 37.]</w:t>
      </w:r>
    </w:p>
    <w:p>
      <w:pPr>
        <w:pStyle w:val="Heading5"/>
      </w:pPr>
      <w:bookmarkStart w:id="135" w:name="_Toc158985422"/>
      <w:r>
        <w:rPr>
          <w:rStyle w:val="CharSectno"/>
        </w:rPr>
        <w:lastRenderedPageBreak/>
        <w:t>50D</w:t>
      </w:r>
      <w:r>
        <w:t>.</w:t>
      </w:r>
      <w:r>
        <w:tab/>
        <w:t>Regulations may require authorisation for conduct that might cause pollution or environmental harm</w:t>
      </w:r>
      <w:bookmarkEnd w:id="135"/>
    </w:p>
    <w:p>
      <w:pPr>
        <w:pStyle w:val="Subsection"/>
      </w:pPr>
      <w:r>
        <w:tab/>
        <w:t>(1)</w:t>
      </w:r>
      <w:r>
        <w:tab/>
        <w:t>In this section —</w:t>
      </w:r>
    </w:p>
    <w:p>
      <w:pPr>
        <w:pStyle w:val="Defstart"/>
      </w:pPr>
      <w:r>
        <w:tab/>
      </w:r>
      <w:r>
        <w:rPr>
          <w:rStyle w:val="CharDefText"/>
        </w:rPr>
        <w:t>authorisation</w:t>
      </w:r>
      <w:r>
        <w:t xml:space="preserve"> means a licence, permit, approval or exemption granted, issued or given under the regulations;</w:t>
      </w:r>
    </w:p>
    <w:p>
      <w:pPr>
        <w:pStyle w:val="Defstart"/>
      </w:pPr>
      <w:r>
        <w:tab/>
      </w:r>
      <w:r>
        <w:rPr>
          <w:rStyle w:val="CharDefText"/>
        </w:rPr>
        <w:t>conduct affecting the environment</w:t>
      </w:r>
      <w:r>
        <w:t xml:space="preserve"> means —</w:t>
      </w:r>
    </w:p>
    <w:p>
      <w:pPr>
        <w:pStyle w:val="Defpara"/>
      </w:pPr>
      <w:r>
        <w:tab/>
        <w:t>(a)</w:t>
      </w:r>
      <w:r>
        <w:tab/>
        <w:t>causing or allowing anything to be discharged, emitted or transmitted; or</w:t>
      </w:r>
    </w:p>
    <w:p>
      <w:pPr>
        <w:pStyle w:val="Defpara"/>
      </w:pPr>
      <w:r>
        <w:tab/>
        <w:t>(b)</w:t>
      </w:r>
      <w:r>
        <w:tab/>
        <w:t>causing or allowing the nature or volume of anything discharged, emitted or transmitted to be changed; or</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No. 54 of 2003 s. 37.]</w:t>
      </w:r>
    </w:p>
    <w:p>
      <w:pPr>
        <w:pStyle w:val="Heading5"/>
        <w:rPr>
          <w:snapToGrid w:val="0"/>
        </w:rPr>
      </w:pPr>
      <w:bookmarkStart w:id="136" w:name="_Toc158985423"/>
      <w:r>
        <w:rPr>
          <w:rStyle w:val="CharSectno"/>
        </w:rPr>
        <w:t>51</w:t>
      </w:r>
      <w:r>
        <w:rPr>
          <w:snapToGrid w:val="0"/>
        </w:rPr>
        <w:t>.</w:t>
      </w:r>
      <w:r>
        <w:rPr>
          <w:snapToGrid w:val="0"/>
        </w:rPr>
        <w:tab/>
        <w:t>Occupiers of premises, duties as to emissions</w:t>
      </w:r>
      <w:bookmarkEnd w:id="136"/>
      <w:r>
        <w:rPr>
          <w:snapToGrid w:val="0"/>
        </w:rPr>
        <w:t xml:space="preserve"> </w:t>
      </w:r>
    </w:p>
    <w:p>
      <w:pPr>
        <w:pStyle w:val="Subsection"/>
        <w:keepNext/>
        <w:keepLines/>
        <w:rPr>
          <w:snapToGrid w:val="0"/>
        </w:rPr>
      </w:pPr>
      <w:r>
        <w:rPr>
          <w:snapToGrid w:val="0"/>
        </w:rPr>
        <w:tab/>
      </w:r>
      <w:r>
        <w:rPr>
          <w:snapToGrid w:val="0"/>
        </w:rPr>
        <w:tab/>
        <w:t>The occupier of any premises who does not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lastRenderedPageBreak/>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ind w:left="890" w:hanging="890"/>
      </w:pPr>
      <w:r>
        <w:tab/>
        <w:t>[Section 51 amended: No. 54 of 2003 s. 38.]</w:t>
      </w:r>
    </w:p>
    <w:p>
      <w:pPr>
        <w:pStyle w:val="Heading3"/>
      </w:pPr>
      <w:bookmarkStart w:id="137" w:name="_Toc158980755"/>
      <w:bookmarkStart w:id="138" w:name="_Toc158981154"/>
      <w:bookmarkStart w:id="139" w:name="_Toc158985424"/>
      <w:r>
        <w:rPr>
          <w:rStyle w:val="CharDivNo"/>
        </w:rPr>
        <w:t>Division 2</w:t>
      </w:r>
      <w:r>
        <w:t xml:space="preserve"> — </w:t>
      </w:r>
      <w:r>
        <w:rPr>
          <w:rStyle w:val="CharDivText"/>
        </w:rPr>
        <w:t>Clearing of native vegetation</w:t>
      </w:r>
      <w:bookmarkEnd w:id="137"/>
      <w:bookmarkEnd w:id="138"/>
      <w:bookmarkEnd w:id="139"/>
    </w:p>
    <w:p>
      <w:pPr>
        <w:pStyle w:val="Footnoteheading"/>
        <w:tabs>
          <w:tab w:val="left" w:pos="851"/>
        </w:tabs>
      </w:pPr>
      <w:r>
        <w:tab/>
        <w:t>[Heading inserted: No. 54 of 2003 s. 110(1).]</w:t>
      </w:r>
    </w:p>
    <w:p>
      <w:pPr>
        <w:pStyle w:val="Heading5"/>
      </w:pPr>
      <w:bookmarkStart w:id="140" w:name="_Toc158985425"/>
      <w:r>
        <w:rPr>
          <w:rStyle w:val="CharSectno"/>
        </w:rPr>
        <w:t>51A</w:t>
      </w:r>
      <w:r>
        <w:t>.</w:t>
      </w:r>
      <w:r>
        <w:tab/>
        <w:t>Terms used</w:t>
      </w:r>
      <w:bookmarkEnd w:id="140"/>
    </w:p>
    <w:p>
      <w:pPr>
        <w:pStyle w:val="Subsection"/>
      </w:pPr>
      <w:r>
        <w:tab/>
      </w:r>
      <w:r>
        <w:tab/>
        <w:t>In this Division —</w:t>
      </w:r>
    </w:p>
    <w:p>
      <w:pPr>
        <w:pStyle w:val="Defstart"/>
      </w:pPr>
      <w:r>
        <w:tab/>
      </w:r>
      <w:r>
        <w:rPr>
          <w:rStyle w:val="CharDefText"/>
        </w:rPr>
        <w:t>agreement to reserve</w:t>
      </w:r>
      <w:r>
        <w:t xml:space="preserve"> means an agreement to reserve as referred to in the SLC Act section 30B(2);</w:t>
      </w:r>
    </w:p>
    <w:p>
      <w:pPr>
        <w:pStyle w:val="Defstart"/>
      </w:pPr>
      <w:r>
        <w:tab/>
      </w:r>
      <w:r>
        <w:rPr>
          <w:rStyle w:val="CharDefText"/>
        </w:rPr>
        <w:t>area permit</w:t>
      </w:r>
      <w:r>
        <w:t xml:space="preserve"> has the meaning given by section 51E(7);</w:t>
      </w:r>
    </w:p>
    <w:p>
      <w:pPr>
        <w:pStyle w:val="Defstart"/>
      </w:pPr>
      <w:r>
        <w:tab/>
      </w:r>
      <w:r>
        <w:rPr>
          <w:rStyle w:val="CharDefText"/>
        </w:rPr>
        <w:t>clearing</w:t>
      </w:r>
      <w:r>
        <w:t xml:space="preserve"> means —</w:t>
      </w:r>
    </w:p>
    <w:p>
      <w:pPr>
        <w:pStyle w:val="Defpara"/>
        <w:spacing w:before="60"/>
      </w:pPr>
      <w:r>
        <w:tab/>
        <w:t>(a)</w:t>
      </w:r>
      <w:r>
        <w:tab/>
        <w:t>the killing or destruction of; or</w:t>
      </w:r>
    </w:p>
    <w:p>
      <w:pPr>
        <w:pStyle w:val="Defpara"/>
        <w:spacing w:before="60"/>
      </w:pPr>
      <w:r>
        <w:tab/>
        <w:t>(b)</w:t>
      </w:r>
      <w:r>
        <w:tab/>
        <w:t>the removal of; or</w:t>
      </w:r>
    </w:p>
    <w:p>
      <w:pPr>
        <w:pStyle w:val="Defpara"/>
        <w:spacing w:before="60"/>
      </w:pPr>
      <w:r>
        <w:tab/>
        <w:t>(c)</w:t>
      </w:r>
      <w:r>
        <w:tab/>
        <w:t>the severing or ringbarking of trunks or stems of; or</w:t>
      </w:r>
    </w:p>
    <w:p>
      <w:pPr>
        <w:pStyle w:val="Defpara"/>
        <w:spacing w:before="60"/>
      </w:pPr>
      <w:r>
        <w:tab/>
        <w:t>(d)</w:t>
      </w:r>
      <w:r>
        <w:tab/>
        <w:t>the doing of any other substantial damage to,</w:t>
      </w:r>
    </w:p>
    <w:p>
      <w:pPr>
        <w:pStyle w:val="Defstart"/>
      </w:pPr>
      <w:r>
        <w:tab/>
        <w:t>some or all of the native vegetation in an area, and includes the draining or flooding of land, the burning of vegetation, the grazing of stock, or any other act or activity, that causes —</w:t>
      </w:r>
    </w:p>
    <w:p>
      <w:pPr>
        <w:pStyle w:val="Defpara"/>
        <w:spacing w:before="60"/>
      </w:pPr>
      <w:r>
        <w:tab/>
        <w:t>(e)</w:t>
      </w:r>
      <w:r>
        <w:tab/>
        <w:t>the killing or destruction of; or</w:t>
      </w:r>
    </w:p>
    <w:p>
      <w:pPr>
        <w:pStyle w:val="Defpara"/>
        <w:spacing w:before="60"/>
      </w:pPr>
      <w:r>
        <w:tab/>
        <w:t>(f)</w:t>
      </w:r>
      <w:r>
        <w:tab/>
        <w:t>the severing of trunks or stems of; or</w:t>
      </w:r>
    </w:p>
    <w:p>
      <w:pPr>
        <w:pStyle w:val="Defpara"/>
        <w:keepNext/>
        <w:spacing w:before="60"/>
      </w:pPr>
      <w:r>
        <w:tab/>
        <w:t>(g)</w:t>
      </w:r>
      <w:r>
        <w:tab/>
        <w:t>any other substantial damage to,</w:t>
      </w:r>
    </w:p>
    <w:p>
      <w:pPr>
        <w:pStyle w:val="Defstart"/>
      </w:pPr>
      <w:r>
        <w:tab/>
        <w:t>some or all of the native vegetation in an area;</w:t>
      </w:r>
    </w:p>
    <w:p>
      <w:pPr>
        <w:pStyle w:val="Defstart"/>
      </w:pPr>
      <w:r>
        <w:tab/>
      </w:r>
      <w:r>
        <w:rPr>
          <w:rStyle w:val="CharDefText"/>
        </w:rPr>
        <w:t>clearing principles</w:t>
      </w:r>
      <w:r>
        <w:t xml:space="preserve"> means the principles for clearing native vegetation set out in Schedule 5;</w:t>
      </w:r>
    </w:p>
    <w:p>
      <w:pPr>
        <w:pStyle w:val="Defstart"/>
      </w:pPr>
      <w:r>
        <w:tab/>
      </w:r>
      <w:r>
        <w:rPr>
          <w:rStyle w:val="CharDefText"/>
        </w:rPr>
        <w:t>conservation covenant</w:t>
      </w:r>
      <w:r>
        <w:t xml:space="preserve"> means a conservation covenant as referred to in the SLC Act section 30B(2);</w:t>
      </w:r>
    </w:p>
    <w:p>
      <w:pPr>
        <w:pStyle w:val="Defstart"/>
        <w:keepNext/>
      </w:pPr>
      <w:r>
        <w:lastRenderedPageBreak/>
        <w:tab/>
      </w:r>
      <w:r>
        <w:rPr>
          <w:rStyle w:val="CharDefText"/>
        </w:rPr>
        <w:t>environmentally sensitive area</w:t>
      </w:r>
      <w:r>
        <w:t xml:space="preserve"> means an area that is the subject of a declaration that is in force under section 51B;</w:t>
      </w:r>
    </w:p>
    <w:p>
      <w:pPr>
        <w:pStyle w:val="Defstart"/>
      </w:pPr>
      <w:r>
        <w:tab/>
      </w:r>
      <w:r>
        <w:rPr>
          <w:rStyle w:val="CharDefText"/>
        </w:rPr>
        <w:t>native vegetation</w:t>
      </w:r>
      <w:r>
        <w:t xml:space="preserve"> has the meaning given by section 3(1) but does not include vegetation that was intentionally sown, planted or propagated unless —</w:t>
      </w:r>
    </w:p>
    <w:p>
      <w:pPr>
        <w:pStyle w:val="Defpara"/>
        <w:spacing w:before="60"/>
      </w:pPr>
      <w:r>
        <w:tab/>
        <w:t>(a)</w:t>
      </w:r>
      <w:r>
        <w:tab/>
        <w:t>that vegetation was sown, planted or propagated as required under this Act or another written law; or</w:t>
      </w:r>
    </w:p>
    <w:p>
      <w:pPr>
        <w:pStyle w:val="Defpara"/>
      </w:pPr>
      <w:r>
        <w:tab/>
        <w:t>(b)</w:t>
      </w:r>
      <w:r>
        <w:tab/>
        <w:t>that vegetation is of a class declared by regulation to be included in this definition;</w:t>
      </w:r>
    </w:p>
    <w:p>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rStyle w:val="CharDefText"/>
        </w:rPr>
        <w:t>owner</w:t>
      </w:r>
      <w:r>
        <w:t xml:space="preserve"> of land means —</w:t>
      </w:r>
    </w:p>
    <w:p>
      <w:pPr>
        <w:pStyle w:val="Defpara"/>
      </w:pPr>
      <w:r>
        <w:tab/>
        <w:t>(a)</w:t>
      </w:r>
      <w:r>
        <w:tab/>
        <w:t>in relation to land alienated from the Crown, the holder (at law or in equity) of an estate in fee simple in the land; and</w:t>
      </w:r>
    </w:p>
    <w:p>
      <w:pPr>
        <w:pStyle w:val="Defpara"/>
      </w:pPr>
      <w:r>
        <w:tab/>
        <w:t>(b)</w:t>
      </w:r>
      <w:r>
        <w:tab/>
        <w:t>in relation to land that the Crown has lawfully agreed to alienate, the person who is entitled to the benefit of the agreement; and</w:t>
      </w:r>
    </w:p>
    <w:p>
      <w:pPr>
        <w:pStyle w:val="Defpara"/>
      </w:pPr>
      <w:r>
        <w:tab/>
        <w:t>(c)</w:t>
      </w:r>
      <w:r>
        <w:tab/>
        <w:t>in relation to land held under a lease lawfully granted by the Crown, the lessee; and</w:t>
      </w:r>
    </w:p>
    <w:p>
      <w:pPr>
        <w:pStyle w:val="Defpara"/>
      </w:pPr>
      <w:r>
        <w:tab/>
        <w:t>(d)</w:t>
      </w:r>
      <w:r>
        <w:tab/>
        <w:t>in relation to any other land, the public authority that has the care, control or management of the land or, if there is no such public authority, the Crown;</w:t>
      </w:r>
    </w:p>
    <w:p>
      <w:pPr>
        <w:pStyle w:val="Defstart"/>
      </w:pPr>
      <w:r>
        <w:tab/>
      </w:r>
      <w:r>
        <w:rPr>
          <w:rStyle w:val="CharDefText"/>
        </w:rPr>
        <w:t>purpose permit</w:t>
      </w:r>
      <w:r>
        <w:t xml:space="preserve"> has the meaning given by section 51E(8);</w:t>
      </w:r>
    </w:p>
    <w:p>
      <w:pPr>
        <w:pStyle w:val="Defstart"/>
      </w:pPr>
      <w:r>
        <w:tab/>
      </w:r>
      <w:r>
        <w:rPr>
          <w:rStyle w:val="CharDefText"/>
        </w:rPr>
        <w:t>SLC Act</w:t>
      </w:r>
      <w:r>
        <w:t xml:space="preserve"> means the </w:t>
      </w:r>
      <w:r>
        <w:rPr>
          <w:i/>
        </w:rPr>
        <w:t>Soil and Land Conservation Act 1945</w:t>
      </w:r>
      <w:r>
        <w:t>;</w:t>
      </w:r>
    </w:p>
    <w:p>
      <w:pPr>
        <w:pStyle w:val="Defstart"/>
      </w:pPr>
      <w:r>
        <w:tab/>
      </w:r>
      <w:r>
        <w:rPr>
          <w:rStyle w:val="CharDefText"/>
        </w:rPr>
        <w:t>soil conservation notice</w:t>
      </w:r>
      <w:r>
        <w:t xml:space="preserve"> has the same meaning as it has in the SLC Act Part V.</w:t>
      </w:r>
    </w:p>
    <w:p>
      <w:pPr>
        <w:pStyle w:val="Footnotesection"/>
        <w:ind w:left="890" w:hanging="890"/>
      </w:pPr>
      <w:r>
        <w:tab/>
        <w:t>[Section 51A inserted: No. 54 of 2003 s. 110(1); amended: No. 40 of 2020 s. 43.]</w:t>
      </w:r>
    </w:p>
    <w:p>
      <w:pPr>
        <w:pStyle w:val="Heading5"/>
      </w:pPr>
      <w:bookmarkStart w:id="141" w:name="_Toc158985426"/>
      <w:r>
        <w:rPr>
          <w:rStyle w:val="CharSectno"/>
        </w:rPr>
        <w:lastRenderedPageBreak/>
        <w:t>51B</w:t>
      </w:r>
      <w:r>
        <w:t>.</w:t>
      </w:r>
      <w:r>
        <w:tab/>
        <w:t>Declaration of environmentally sensitive areas by regulation</w:t>
      </w:r>
      <w:bookmarkEnd w:id="141"/>
    </w:p>
    <w:p>
      <w:pPr>
        <w:pStyle w:val="Subsection"/>
      </w:pPr>
      <w:r>
        <w:tab/>
        <w:t>(1)</w:t>
      </w:r>
      <w:r>
        <w:tab/>
        <w:t xml:space="preserve">Regulations may declare as an environmentally sensitive area for the purposes of this Part — </w:t>
      </w:r>
    </w:p>
    <w:p>
      <w:pPr>
        <w:pStyle w:val="Indenta"/>
      </w:pPr>
      <w:r>
        <w:tab/>
        <w:t>(a)</w:t>
      </w:r>
      <w:r>
        <w:tab/>
        <w:t>an area of the State specified in the regulations; or</w:t>
      </w:r>
    </w:p>
    <w:p>
      <w:pPr>
        <w:pStyle w:val="Indenta"/>
      </w:pPr>
      <w:r>
        <w:tab/>
        <w:t>(b)</w:t>
      </w:r>
      <w:r>
        <w:tab/>
        <w:t>an area of the State of a class specified in the regulations.</w:t>
      </w:r>
    </w:p>
    <w:p>
      <w:pPr>
        <w:pStyle w:val="Subsection"/>
      </w:pPr>
      <w:r>
        <w:tab/>
        <w:t>(2)</w:t>
      </w:r>
      <w:r>
        <w:tab/>
        <w:t xml:space="preserve">Before regulations are made declaring an area of the State as an environmentally sensitive area for the purposes of this Part — </w:t>
      </w:r>
    </w:p>
    <w:p>
      <w:pPr>
        <w:pStyle w:val="Indenta"/>
      </w:pPr>
      <w:r>
        <w:tab/>
        <w:t>(a)</w:t>
      </w:r>
      <w:r>
        <w:tab/>
        <w:t>the CEO must, in a prescribed manner, notify each owner or occupier of land in that area of the State of the proposed regulations and invite comments about the proposed regulations to be made within the period specified in the notification; and</w:t>
      </w:r>
    </w:p>
    <w:p>
      <w:pPr>
        <w:pStyle w:val="Indenta"/>
      </w:pPr>
      <w:r>
        <w:tab/>
        <w:t>(b)</w:t>
      </w:r>
      <w:r>
        <w:tab/>
        <w:t>the Minister must take into account any comments about the proposed regulations made by an owner or occupier of land in that area of the State pursuant to an invitation under paragraph (a).</w:t>
      </w:r>
    </w:p>
    <w:p>
      <w:pPr>
        <w:pStyle w:val="Subsection"/>
      </w:pPr>
      <w:r>
        <w:tab/>
        <w:t>(3)</w:t>
      </w:r>
      <w:r>
        <w:tab/>
        <w:t>Subsection (1) does not apply to regulations proposing to declare an area of the State as an environmentally sensitive area if a declaration of that area as an environmentally sensitive area already has effect under subsection (1).</w:t>
      </w:r>
    </w:p>
    <w:p>
      <w:pPr>
        <w:pStyle w:val="Subsection"/>
      </w:pPr>
      <w:r>
        <w:tab/>
        <w:t>(4)</w:t>
      </w:r>
      <w:r>
        <w:tab/>
        <w:t xml:space="preserve">The CEO must notify the agency (as defined in the </w:t>
      </w:r>
      <w:r>
        <w:rPr>
          <w:i/>
        </w:rPr>
        <w:t>Public Sector Management Act 1994</w:t>
      </w:r>
      <w:r>
        <w:t xml:space="preserve"> section 3(1)) principally assisting the Minister administering the </w:t>
      </w:r>
      <w:r>
        <w:rPr>
          <w:i/>
        </w:rPr>
        <w:t>Transfer of Land Act 1893</w:t>
      </w:r>
      <w:r>
        <w:t xml:space="preserve"> in its administration of the declaration or amendment of an environmentally sensitive area with a view to that agency including information as to the environmentally sensitive area in information disseminated by it as to property interests in land.</w:t>
      </w:r>
    </w:p>
    <w:p>
      <w:pPr>
        <w:pStyle w:val="Footnotesection"/>
      </w:pPr>
      <w:r>
        <w:tab/>
        <w:t>[Section 51B inserted: No. 40 of 2020 s. 44.]</w:t>
      </w:r>
    </w:p>
    <w:p>
      <w:pPr>
        <w:pStyle w:val="Heading5"/>
      </w:pPr>
      <w:bookmarkStart w:id="142" w:name="_Toc158985427"/>
      <w:r>
        <w:rPr>
          <w:rStyle w:val="CharSectno"/>
        </w:rPr>
        <w:lastRenderedPageBreak/>
        <w:t>51C</w:t>
      </w:r>
      <w:r>
        <w:t>.</w:t>
      </w:r>
      <w:r>
        <w:tab/>
        <w:t>Unauthorised clearing of native vegetation</w:t>
      </w:r>
      <w:bookmarkEnd w:id="142"/>
    </w:p>
    <w:p>
      <w:pPr>
        <w:pStyle w:val="Subsection"/>
      </w:pPr>
      <w:r>
        <w:tab/>
      </w:r>
      <w:r>
        <w:tab/>
        <w:t xml:space="preserve">A person who causes or allows clearing commits an offence unless — </w:t>
      </w:r>
    </w:p>
    <w:p>
      <w:pPr>
        <w:pStyle w:val="Indenta"/>
      </w:pPr>
      <w:r>
        <w:tab/>
        <w:t>(a)</w:t>
      </w:r>
      <w:r>
        <w:tab/>
        <w:t>the clearing is done in accordance with a clearing permit; or</w:t>
      </w:r>
    </w:p>
    <w:p>
      <w:pPr>
        <w:pStyle w:val="Indenta"/>
      </w:pPr>
      <w:r>
        <w:tab/>
        <w:t>(b)</w:t>
      </w:r>
      <w:r>
        <w:tab/>
        <w:t>the clearing is of a kind set out in Schedule 6; or</w:t>
      </w:r>
    </w:p>
    <w:p>
      <w:pPr>
        <w:pStyle w:val="Indenta"/>
      </w:pPr>
      <w:r>
        <w:tab/>
        <w:t>(c)</w:t>
      </w:r>
      <w:r>
        <w:tab/>
        <w:t>the clearing is of a kind prescribed for the purposes of this paragraph and is not done in an environmentally sensitive area; or</w:t>
      </w:r>
    </w:p>
    <w:p>
      <w:pPr>
        <w:pStyle w:val="Indenta"/>
      </w:pPr>
      <w:r>
        <w:tab/>
        <w:t>(d)</w:t>
      </w:r>
      <w:r>
        <w:tab/>
        <w:t>the clearing is done after the person has received notice under section 51DA(5) that the CEO has decided that the person should not be required to obtain a clearing permit for the clearing.</w:t>
      </w:r>
    </w:p>
    <w:p>
      <w:pPr>
        <w:pStyle w:val="Footnotesection"/>
      </w:pPr>
      <w:r>
        <w:tab/>
        <w:t>[Section 51C inserted: No. 40 of 2020 s. 44.]</w:t>
      </w:r>
    </w:p>
    <w:p>
      <w:pPr>
        <w:pStyle w:val="Heading5"/>
      </w:pPr>
      <w:bookmarkStart w:id="143" w:name="_Toc158985428"/>
      <w:r>
        <w:rPr>
          <w:rStyle w:val="CharSectno"/>
        </w:rPr>
        <w:t>51D</w:t>
      </w:r>
      <w:r>
        <w:t>.</w:t>
      </w:r>
      <w:r>
        <w:tab/>
        <w:t>Section 51C(a) does not apply to certain land</w:t>
      </w:r>
      <w:bookmarkEnd w:id="143"/>
    </w:p>
    <w:p>
      <w:pPr>
        <w:pStyle w:val="Subsection"/>
      </w:pPr>
      <w:r>
        <w:tab/>
        <w:t>(1)</w:t>
      </w:r>
      <w:r>
        <w:tab/>
        <w:t>In this section —</w:t>
      </w:r>
    </w:p>
    <w:p>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pPr>
        <w:pStyle w:val="Subsection"/>
      </w:pPr>
      <w:r>
        <w:tab/>
        <w:t>(2)</w:t>
      </w:r>
      <w:r>
        <w:tab/>
        <w:t>Section 51C(a) does not apply to clearing on land the subject of an agreement to reserve unless —</w:t>
      </w:r>
    </w:p>
    <w:p>
      <w:pPr>
        <w:pStyle w:val="Indenta"/>
      </w:pPr>
      <w:r>
        <w:tab/>
        <w:t>(a)</w:t>
      </w:r>
      <w:r>
        <w:tab/>
        <w:t>the clearing permit was granted with the written approval of the Commissioner; or</w:t>
      </w:r>
    </w:p>
    <w:p>
      <w:pPr>
        <w:pStyle w:val="Indenta"/>
      </w:pPr>
      <w:r>
        <w:tab/>
        <w:t>(b)</w:t>
      </w:r>
      <w:r>
        <w:tab/>
        <w:t>the clearing is done with the written approval of the Commissioner.</w:t>
      </w:r>
    </w:p>
    <w:p>
      <w:pPr>
        <w:pStyle w:val="Subsection"/>
      </w:pPr>
      <w:r>
        <w:tab/>
        <w:t>(3)</w:t>
      </w:r>
      <w:r>
        <w:tab/>
        <w:t>Section 51C(a) does not apply to clearing —</w:t>
      </w:r>
    </w:p>
    <w:p>
      <w:pPr>
        <w:pStyle w:val="Indenta"/>
      </w:pPr>
      <w:r>
        <w:tab/>
        <w:t>(a)</w:t>
      </w:r>
      <w:r>
        <w:tab/>
        <w:t>on land the subject of a conservation covenant; or</w:t>
      </w:r>
    </w:p>
    <w:p>
      <w:pPr>
        <w:pStyle w:val="Indenta"/>
      </w:pPr>
      <w:r>
        <w:tab/>
        <w:t>(b)</w:t>
      </w:r>
      <w:r>
        <w:tab/>
        <w:t>on land the subject of an environmental protection covenant; or</w:t>
      </w:r>
    </w:p>
    <w:p>
      <w:pPr>
        <w:pStyle w:val="Indenta"/>
        <w:keepNext/>
      </w:pPr>
      <w:r>
        <w:lastRenderedPageBreak/>
        <w:tab/>
        <w:t>(c)</w:t>
      </w:r>
      <w:r>
        <w:tab/>
        <w:t>in contravention of a soil conservation notice.</w:t>
      </w:r>
    </w:p>
    <w:p>
      <w:pPr>
        <w:pStyle w:val="Footnotesection"/>
      </w:pPr>
      <w:r>
        <w:tab/>
        <w:t>[Section 51D inserted: No. 40 of 2020 s. 44.]</w:t>
      </w:r>
    </w:p>
    <w:p>
      <w:pPr>
        <w:pStyle w:val="Heading5"/>
      </w:pPr>
      <w:bookmarkStart w:id="144" w:name="_Toc158985429"/>
      <w:r>
        <w:rPr>
          <w:rStyle w:val="CharSectno"/>
        </w:rPr>
        <w:t>51DA</w:t>
      </w:r>
      <w:r>
        <w:t>.</w:t>
      </w:r>
      <w:r>
        <w:tab/>
        <w:t>Referral of proposed clearing to CEO for decision on whether a clearing permit should be obtained</w:t>
      </w:r>
      <w:bookmarkEnd w:id="144"/>
    </w:p>
    <w:p>
      <w:pPr>
        <w:pStyle w:val="Subsection"/>
      </w:pPr>
      <w:r>
        <w:tab/>
        <w:t>(1)</w:t>
      </w:r>
      <w:r>
        <w:tab/>
        <w:t>This section applies to clearing unless —</w:t>
      </w:r>
    </w:p>
    <w:p>
      <w:pPr>
        <w:pStyle w:val="Indenta"/>
      </w:pPr>
      <w:r>
        <w:tab/>
        <w:t>(a)</w:t>
      </w:r>
      <w:r>
        <w:tab/>
        <w:t>it is on land the subject of an agreement to reserve; or</w:t>
      </w:r>
    </w:p>
    <w:p>
      <w:pPr>
        <w:pStyle w:val="Indenta"/>
        <w:keepNext/>
      </w:pPr>
      <w:r>
        <w:tab/>
        <w:t>(b)</w:t>
      </w:r>
      <w:r>
        <w:tab/>
        <w:t>it is on land the subject of a conservation covenant; or</w:t>
      </w:r>
    </w:p>
    <w:p>
      <w:pPr>
        <w:pStyle w:val="Indenta"/>
      </w:pPr>
      <w:r>
        <w:tab/>
        <w:t>(c)</w:t>
      </w:r>
      <w:r>
        <w:tab/>
        <w:t>it is on land the subject of an environmental protection covenant.</w:t>
      </w:r>
    </w:p>
    <w:p>
      <w:pPr>
        <w:pStyle w:val="Subsection"/>
      </w:pPr>
      <w:r>
        <w:tab/>
        <w:t>(2)</w:t>
      </w:r>
      <w:r>
        <w:tab/>
        <w:t xml:space="preserve">A person who proposes to do clearing to which this section applies (the </w:t>
      </w:r>
      <w:r>
        <w:rPr>
          <w:rStyle w:val="CharDefText"/>
        </w:rPr>
        <w:t>referrer</w:t>
      </w:r>
      <w:r>
        <w:t>) may refer the proposed clearing to the CEO in the form and in the manner approved by the CEO.</w:t>
      </w:r>
    </w:p>
    <w:p>
      <w:pPr>
        <w:pStyle w:val="Subsection"/>
      </w:pPr>
      <w:r>
        <w:tab/>
        <w:t>(3)</w:t>
      </w:r>
      <w:r>
        <w:tab/>
        <w:t>The CEO must consider proposed clearing referred under subsection (2) and decide whether or not the referrer should be required to obtain a clearing permit for the proposed clearing.</w:t>
      </w:r>
    </w:p>
    <w:p>
      <w:pPr>
        <w:pStyle w:val="Subsection"/>
      </w:pPr>
      <w:r>
        <w:tab/>
        <w:t>(4)</w:t>
      </w:r>
      <w:r>
        <w:tab/>
        <w:t xml:space="preserve">In making a decision under subsection (3) the CEO must have regard to — </w:t>
      </w:r>
    </w:p>
    <w:p>
      <w:pPr>
        <w:pStyle w:val="Indenta"/>
      </w:pPr>
      <w:r>
        <w:tab/>
        <w:t>(a)</w:t>
      </w:r>
      <w:r>
        <w:tab/>
        <w:t xml:space="preserve">whether the area proposed to be cleared (the </w:t>
      </w:r>
      <w:r>
        <w:rPr>
          <w:rStyle w:val="CharDefText"/>
        </w:rPr>
        <w:t>area</w:t>
      </w:r>
      <w:r>
        <w:t xml:space="preserve">) is small relative to the total remaining vegetation — </w:t>
      </w:r>
    </w:p>
    <w:p>
      <w:pPr>
        <w:pStyle w:val="Indenti"/>
      </w:pPr>
      <w:r>
        <w:tab/>
        <w:t>(i)</w:t>
      </w:r>
      <w:r>
        <w:tab/>
        <w:t>within the region in which the area is situated; or</w:t>
      </w:r>
    </w:p>
    <w:p>
      <w:pPr>
        <w:pStyle w:val="Indenti"/>
      </w:pPr>
      <w:r>
        <w:tab/>
        <w:t>(ii)</w:t>
      </w:r>
      <w:r>
        <w:tab/>
        <w:t>of the ecological community of which the vegetation proposed to be cleared forms part;</w:t>
      </w:r>
    </w:p>
    <w:p>
      <w:pPr>
        <w:pStyle w:val="Indenta"/>
      </w:pPr>
      <w:r>
        <w:tab/>
      </w:r>
      <w:r>
        <w:tab/>
        <w:t>and</w:t>
      </w:r>
    </w:p>
    <w:p>
      <w:pPr>
        <w:pStyle w:val="Indenta"/>
      </w:pPr>
      <w:r>
        <w:tab/>
        <w:t>(b)</w:t>
      </w:r>
      <w:r>
        <w:tab/>
        <w:t>whether there are any known or likely significant environmental values within the area; and</w:t>
      </w:r>
    </w:p>
    <w:p>
      <w:pPr>
        <w:pStyle w:val="Indenta"/>
      </w:pPr>
      <w:r>
        <w:tab/>
        <w:t>(c)</w:t>
      </w:r>
      <w:r>
        <w:tab/>
        <w:t>whether the state of scientific knowledge about vegetation within the region in which the area is situated is adequate; and</w:t>
      </w:r>
    </w:p>
    <w:p>
      <w:pPr>
        <w:pStyle w:val="Indenta"/>
      </w:pPr>
      <w:r>
        <w:lastRenderedPageBreak/>
        <w:tab/>
        <w:t>(d)</w:t>
      </w:r>
      <w:r>
        <w:tab/>
        <w:t>whether the issues that would arise as a result of the proposed clearing are likely to require conditions to manage or mitigate effects on the environment.</w:t>
      </w:r>
    </w:p>
    <w:p>
      <w:pPr>
        <w:pStyle w:val="Subsection"/>
      </w:pPr>
      <w:r>
        <w:tab/>
        <w:t>(5)</w:t>
      </w:r>
      <w:r>
        <w:tab/>
        <w:t>The CEO must give the referrer notice in writing of a decision made by the CEO under subsection (3).</w:t>
      </w:r>
    </w:p>
    <w:p>
      <w:pPr>
        <w:pStyle w:val="Subsection"/>
      </w:pPr>
      <w:r>
        <w:tab/>
        <w:t>(6)</w:t>
      </w:r>
      <w:r>
        <w:tab/>
        <w:t>If the CEO considers that the proposed clearing would contravene a soil conservation notice, no decision is to be made under subsection (3) and the CEO must give the referrer notice in writing that the proposed clearing cannot be done.</w:t>
      </w:r>
    </w:p>
    <w:p>
      <w:pPr>
        <w:pStyle w:val="Subsection"/>
      </w:pPr>
      <w:r>
        <w:tab/>
        <w:t>(7)</w:t>
      </w:r>
      <w:r>
        <w:tab/>
        <w:t xml:space="preserve">The CEO must publish — </w:t>
      </w:r>
    </w:p>
    <w:p>
      <w:pPr>
        <w:pStyle w:val="Indenta"/>
      </w:pPr>
      <w:r>
        <w:tab/>
        <w:t>(a)</w:t>
      </w:r>
      <w:r>
        <w:tab/>
        <w:t>the referral of proposed clearing under subsection (2); and</w:t>
      </w:r>
    </w:p>
    <w:p>
      <w:pPr>
        <w:pStyle w:val="Indenta"/>
      </w:pPr>
      <w:r>
        <w:tab/>
        <w:t>(b)</w:t>
      </w:r>
      <w:r>
        <w:tab/>
        <w:t>the notice given under subsection (5) or (6).</w:t>
      </w:r>
    </w:p>
    <w:p>
      <w:pPr>
        <w:pStyle w:val="Subsection"/>
      </w:pPr>
      <w:r>
        <w:tab/>
        <w:t>(8)</w:t>
      </w:r>
      <w:r>
        <w:tab/>
        <w:t xml:space="preserve">The referrer may, in writing, request the CEO to treat the referral of proposed clearing under subsection (2) as an application for a clearing permit under section 51E(1) if the referrer — </w:t>
      </w:r>
    </w:p>
    <w:p>
      <w:pPr>
        <w:pStyle w:val="Indenta"/>
      </w:pPr>
      <w:r>
        <w:tab/>
        <w:t>(a)</w:t>
      </w:r>
      <w:r>
        <w:tab/>
        <w:t>receives notice under subsection (5) that the CEO has decided that the referrer should be required to obtain a clearing permit for the proposed clearing; or</w:t>
      </w:r>
    </w:p>
    <w:p>
      <w:pPr>
        <w:pStyle w:val="Indenta"/>
      </w:pPr>
      <w:r>
        <w:tab/>
        <w:t>(b)</w:t>
      </w:r>
      <w:r>
        <w:tab/>
        <w:t>does not receive any notice under subsection (5) or (6) within the period of 21 days after referring the proposed clearing.</w:t>
      </w:r>
    </w:p>
    <w:p>
      <w:pPr>
        <w:pStyle w:val="Subsection"/>
      </w:pPr>
      <w:r>
        <w:tab/>
        <w:t>(9)</w:t>
      </w:r>
      <w:r>
        <w:tab/>
        <w:t xml:space="preserve">If a request is made under subsection (8), the referral may be dealt with under section 51E as an application that complies with section 51E(1) and (2) if — </w:t>
      </w:r>
    </w:p>
    <w:p>
      <w:pPr>
        <w:pStyle w:val="Indenta"/>
      </w:pPr>
      <w:r>
        <w:tab/>
        <w:t>(a)</w:t>
      </w:r>
      <w:r>
        <w:tab/>
        <w:t>the referral was made in the form and manner mentioned in subsection (2); and</w:t>
      </w:r>
    </w:p>
    <w:p>
      <w:pPr>
        <w:pStyle w:val="Indenta"/>
      </w:pPr>
      <w:r>
        <w:tab/>
        <w:t>(b)</w:t>
      </w:r>
      <w:r>
        <w:tab/>
        <w:t>the referral met the requirements set out in section 51E(1)(b) and (d) and (2); and</w:t>
      </w:r>
    </w:p>
    <w:p>
      <w:pPr>
        <w:pStyle w:val="Indenta"/>
        <w:keepNext/>
      </w:pPr>
      <w:r>
        <w:lastRenderedPageBreak/>
        <w:tab/>
        <w:t>(c)</w:t>
      </w:r>
      <w:r>
        <w:tab/>
        <w:t>the request is accompanied by the fee referred to in section 51E(1)(c).</w:t>
      </w:r>
    </w:p>
    <w:p>
      <w:pPr>
        <w:pStyle w:val="Footnotesection"/>
      </w:pPr>
      <w:r>
        <w:tab/>
        <w:t>[Section 51DA inserted: No. 40 of 2020 s. 44.]</w:t>
      </w:r>
    </w:p>
    <w:p>
      <w:pPr>
        <w:pStyle w:val="Heading5"/>
        <w:spacing w:before="200"/>
      </w:pPr>
      <w:bookmarkStart w:id="145" w:name="_Toc158985430"/>
      <w:r>
        <w:rPr>
          <w:rStyle w:val="CharSectno"/>
        </w:rPr>
        <w:t>51E</w:t>
      </w:r>
      <w:r>
        <w:t>.</w:t>
      </w:r>
      <w:r>
        <w:tab/>
        <w:t>How applications for clearing permits are made and dealt with</w:t>
      </w:r>
      <w:bookmarkEnd w:id="145"/>
    </w:p>
    <w:p>
      <w:pPr>
        <w:pStyle w:val="Subsection"/>
        <w:spacing w:before="140"/>
        <w:rPr>
          <w:snapToGrid w:val="0"/>
        </w:rPr>
      </w:pPr>
      <w:r>
        <w:rPr>
          <w:snapToGrid w:val="0"/>
        </w:rPr>
        <w:tab/>
        <w:t>(1)</w:t>
      </w:r>
      <w:r>
        <w:rPr>
          <w:snapToGrid w:val="0"/>
        </w:rPr>
        <w:tab/>
        <w:t xml:space="preserve">An </w:t>
      </w:r>
      <w:r>
        <w:t>application</w:t>
      </w:r>
      <w:r>
        <w:rPr>
          <w:snapToGrid w:val="0"/>
        </w:rPr>
        <w:t xml:space="preserve"> for a clearing permit </w:t>
      </w:r>
      <w:r>
        <w:t>must —</w:t>
      </w:r>
    </w:p>
    <w:p>
      <w:pPr>
        <w:pStyle w:val="Indenta"/>
        <w:spacing w:before="60"/>
        <w:rPr>
          <w:snapToGrid w:val="0"/>
        </w:rPr>
      </w:pPr>
      <w:r>
        <w:rPr>
          <w:snapToGrid w:val="0"/>
        </w:rPr>
        <w:tab/>
        <w:t>(a)</w:t>
      </w:r>
      <w:r>
        <w:rPr>
          <w:snapToGrid w:val="0"/>
        </w:rPr>
        <w:tab/>
        <w:t xml:space="preserve">be </w:t>
      </w:r>
      <w:r>
        <w:t>made</w:t>
      </w:r>
      <w:r>
        <w:rPr>
          <w:snapToGrid w:val="0"/>
        </w:rPr>
        <w:t xml:space="preserve"> in the form and in the manner approved by the CEO; and</w:t>
      </w:r>
    </w:p>
    <w:p>
      <w:pPr>
        <w:pStyle w:val="Indenta"/>
        <w:spacing w:before="60"/>
        <w:rPr>
          <w:snapToGrid w:val="0"/>
        </w:rPr>
      </w:pPr>
      <w:r>
        <w:rPr>
          <w:snapToGrid w:val="0"/>
        </w:rPr>
        <w:tab/>
        <w:t>(b)</w:t>
      </w:r>
      <w:r>
        <w:rPr>
          <w:snapToGrid w:val="0"/>
        </w:rPr>
        <w:tab/>
        <w:t>indicate whether it relates to —</w:t>
      </w:r>
    </w:p>
    <w:p>
      <w:pPr>
        <w:pStyle w:val="Indenti"/>
        <w:spacing w:before="60"/>
        <w:rPr>
          <w:snapToGrid w:val="0"/>
        </w:rPr>
      </w:pPr>
      <w:r>
        <w:rPr>
          <w:snapToGrid w:val="0"/>
        </w:rPr>
        <w:tab/>
        <w:t>(i)</w:t>
      </w:r>
      <w:r>
        <w:rPr>
          <w:snapToGrid w:val="0"/>
        </w:rPr>
        <w:tab/>
        <w:t>the clearing of a particular area specified in the application; or</w:t>
      </w:r>
    </w:p>
    <w:p>
      <w:pPr>
        <w:pStyle w:val="Indenti"/>
        <w:spacing w:before="60"/>
        <w:rPr>
          <w:snapToGrid w:val="0"/>
        </w:rPr>
      </w:pPr>
      <w:r>
        <w:rPr>
          <w:snapToGrid w:val="0"/>
        </w:rPr>
        <w:tab/>
        <w:t>(ii)</w:t>
      </w:r>
      <w:r>
        <w:rPr>
          <w:snapToGrid w:val="0"/>
        </w:rPr>
        <w:tab/>
        <w:t>the clearing of different areas from time to time for a purpose specified in the application;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pPr>
      <w:r>
        <w:tab/>
        <w:t>(d)</w:t>
      </w:r>
      <w:r>
        <w:tab/>
        <w:t>contain or be accompanied by any information required as indicated in the form or in material accompanying the form.</w:t>
      </w:r>
    </w:p>
    <w:p>
      <w:pPr>
        <w:pStyle w:val="Subsection"/>
      </w:pPr>
      <w:r>
        <w:tab/>
        <w:t>(1A)</w:t>
      </w:r>
      <w:r>
        <w:tab/>
        <w:t>If the CEO requires further information to determine the application, the CEO may, by written notice given to the applicant, require the applicant to give the CEO further specified information within a specified time.</w:t>
      </w:r>
    </w:p>
    <w:p>
      <w:pPr>
        <w:pStyle w:val="Subsection"/>
        <w:spacing w:before="140"/>
        <w:rPr>
          <w:snapToGrid w:val="0"/>
        </w:rPr>
      </w:pPr>
      <w:r>
        <w:tab/>
        <w:t>(2)</w:t>
      </w:r>
      <w:r>
        <w:tab/>
      </w:r>
      <w:r>
        <w:rPr>
          <w:snapToGrid w:val="0"/>
        </w:rPr>
        <w:t xml:space="preserve">An </w:t>
      </w:r>
      <w:r>
        <w:t>application</w:t>
      </w:r>
      <w:r>
        <w:rPr>
          <w:snapToGrid w:val="0"/>
        </w:rPr>
        <w:t xml:space="preserve"> for a clearing permit can only be made —</w:t>
      </w:r>
    </w:p>
    <w:p>
      <w:pPr>
        <w:pStyle w:val="Indenta"/>
        <w:spacing w:before="60"/>
        <w:rPr>
          <w:snapToGrid w:val="0"/>
        </w:rPr>
      </w:pPr>
      <w:r>
        <w:rPr>
          <w:snapToGrid w:val="0"/>
        </w:rPr>
        <w:tab/>
        <w:t>(a)</w:t>
      </w:r>
      <w:r>
        <w:rPr>
          <w:snapToGrid w:val="0"/>
        </w:rPr>
        <w:tab/>
      </w:r>
      <w:r>
        <w:t>if it relates to</w:t>
      </w:r>
      <w:r>
        <w:rPr>
          <w:snapToGrid w:val="0"/>
        </w:rPr>
        <w:t xml:space="preserve"> clearing referred to in subsection (1)(b)(i) —</w:t>
      </w:r>
    </w:p>
    <w:p>
      <w:pPr>
        <w:pStyle w:val="Indenti"/>
        <w:spacing w:before="60"/>
        <w:rPr>
          <w:snapToGrid w:val="0"/>
        </w:rPr>
      </w:pPr>
      <w:r>
        <w:rPr>
          <w:snapToGrid w:val="0"/>
        </w:rPr>
        <w:tab/>
        <w:t>(i)</w:t>
      </w:r>
      <w:r>
        <w:rPr>
          <w:snapToGrid w:val="0"/>
        </w:rPr>
        <w:tab/>
        <w:t>by the owner of the land on which the clearing is proposed to be done or a person acting on the owner’s behalf; or</w:t>
      </w:r>
    </w:p>
    <w:p>
      <w:pPr>
        <w:pStyle w:val="Indenti"/>
        <w:keepNext/>
        <w:rPr>
          <w:snapToGrid w:val="0"/>
        </w:rPr>
      </w:pPr>
      <w:r>
        <w:rPr>
          <w:snapToGrid w:val="0"/>
        </w:rPr>
        <w:lastRenderedPageBreak/>
        <w:tab/>
        <w:t>(ii)</w:t>
      </w:r>
      <w:r>
        <w:rPr>
          <w:snapToGrid w:val="0"/>
        </w:rPr>
        <w:tab/>
        <w:t>by a person who satisfies the CEO that the person is likely to become the owner of the land on which the clearing is proposed to be done;</w:t>
      </w:r>
    </w:p>
    <w:p>
      <w:pPr>
        <w:pStyle w:val="Indenta"/>
      </w:pPr>
      <w:r>
        <w:tab/>
      </w:r>
      <w:r>
        <w:tab/>
        <w:t>or</w:t>
      </w:r>
    </w:p>
    <w:p>
      <w:pPr>
        <w:pStyle w:val="Indenta"/>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pPr>
      <w:r>
        <w:tab/>
        <w:t>(3)</w:t>
      </w:r>
      <w:r>
        <w:tab/>
        <w:t>If an application does not comply with subsections (1) and (2), or further information is not provided in accordance with subsection (1A), the CEO must decline to deal with the application and advise the applicant accordingly.</w:t>
      </w:r>
    </w:p>
    <w:p>
      <w:pPr>
        <w:pStyle w:val="Subsection"/>
      </w:pPr>
      <w:r>
        <w:tab/>
        <w:t>(4)</w:t>
      </w:r>
      <w:r>
        <w:tab/>
        <w:t>If, under subsection (3), the CEO declines to deal with the application, the CEO does not have to perform any function under any of subsections (4A) to (12) in relation to the application.</w:t>
      </w:r>
    </w:p>
    <w:p>
      <w:pPr>
        <w:pStyle w:val="Subsection"/>
      </w:pPr>
      <w:r>
        <w:tab/>
        <w:t>(4A)</w:t>
      </w:r>
      <w:r>
        <w:tab/>
        <w:t>The CEO must invite comments on the application within a period specified by the CEO from any public authority or person which or who has, in the opinion of the CEO, a direct interest in the subject matter of the application.</w:t>
      </w:r>
    </w:p>
    <w:p>
      <w:pPr>
        <w:pStyle w:val="Subsection"/>
      </w:pPr>
      <w:r>
        <w:tab/>
        <w:t>(4B)</w:t>
      </w:r>
      <w:r>
        <w:tab/>
        <w:t xml:space="preserve">The CEO must publish — </w:t>
      </w:r>
    </w:p>
    <w:p>
      <w:pPr>
        <w:pStyle w:val="Indenta"/>
      </w:pPr>
      <w:r>
        <w:tab/>
        <w:t>(a)</w:t>
      </w:r>
      <w:r>
        <w:tab/>
        <w:t>the application; and</w:t>
      </w:r>
    </w:p>
    <w:p>
      <w:pPr>
        <w:pStyle w:val="Indenta"/>
      </w:pPr>
      <w:r>
        <w:tab/>
        <w:t>(b)</w:t>
      </w:r>
      <w:r>
        <w:tab/>
        <w:t>the information mentioned in subsection (1)(d).</w:t>
      </w:r>
    </w:p>
    <w:p>
      <w:pPr>
        <w:pStyle w:val="Subsection"/>
      </w:pPr>
      <w:r>
        <w:tab/>
        <w:t>(4C)</w:t>
      </w:r>
      <w:r>
        <w:tab/>
        <w:t xml:space="preserve">When publishing the application and information under subsection (4B) the CEO must — </w:t>
      </w:r>
    </w:p>
    <w:p>
      <w:pPr>
        <w:pStyle w:val="Indenta"/>
      </w:pPr>
      <w:r>
        <w:tab/>
        <w:t>(a)</w:t>
      </w:r>
      <w:r>
        <w:tab/>
        <w:t>invite any person who wishes to comment on the application and information to do so; and</w:t>
      </w:r>
    </w:p>
    <w:p>
      <w:pPr>
        <w:pStyle w:val="Indenta"/>
      </w:pPr>
      <w:r>
        <w:tab/>
        <w:t>(b)</w:t>
      </w:r>
      <w:r>
        <w:tab/>
        <w:t>specify the period within which comments can be made.</w:t>
      </w:r>
    </w:p>
    <w:p>
      <w:pPr>
        <w:pStyle w:val="Subsection"/>
      </w:pPr>
      <w:r>
        <w:tab/>
        <w:t>(5)</w:t>
      </w:r>
      <w:r>
        <w:tab/>
        <w:t xml:space="preserve">The CEO must, subject to this Division — </w:t>
      </w:r>
    </w:p>
    <w:p>
      <w:pPr>
        <w:pStyle w:val="Indenta"/>
      </w:pPr>
      <w:r>
        <w:tab/>
        <w:t>(a)</w:t>
      </w:r>
      <w:r>
        <w:tab/>
        <w:t>grant a clearing permit subject to such of the conditions referred to in section 51H as the CEO specifies in the permit; or</w:t>
      </w:r>
    </w:p>
    <w:p>
      <w:pPr>
        <w:pStyle w:val="Indenta"/>
      </w:pPr>
      <w:r>
        <w:lastRenderedPageBreak/>
        <w:tab/>
        <w:t>(b)</w:t>
      </w:r>
      <w:r>
        <w:tab/>
        <w:t>refuse to grant a clearing permit.</w:t>
      </w:r>
    </w:p>
    <w:p>
      <w:pPr>
        <w:pStyle w:val="Subsection"/>
        <w:keepNext/>
        <w:keepLines/>
      </w:pPr>
      <w:r>
        <w:tab/>
        <w:t>(5A)</w:t>
      </w:r>
      <w:r>
        <w:tab/>
        <w:t>In determining whether to grant a clearing permit and the conditions to which the clearing permit is to be subject, the CEO must take into account any comments made pursuant to an invitation under subsection (4A) or (4C) in respect of the application.</w:t>
      </w:r>
    </w:p>
    <w:p>
      <w:pPr>
        <w:pStyle w:val="Subsection"/>
      </w:pPr>
      <w:r>
        <w:tab/>
        <w:t>(6)</w:t>
      </w:r>
      <w:r>
        <w:tab/>
        <w:t>The CEO must give the applicant written notice of the refusal to grant a clearing permit. </w:t>
      </w:r>
    </w:p>
    <w:p>
      <w:pPr>
        <w:pStyle w:val="Subsection"/>
        <w:rPr>
          <w:snapToGrid w:val="0"/>
        </w:rPr>
      </w:pPr>
      <w:r>
        <w:tab/>
        <w:t>(7)</w:t>
      </w:r>
      <w:r>
        <w:tab/>
        <w:t>If a clearing permit relates to</w:t>
      </w:r>
      <w:r>
        <w:rPr>
          <w:snapToGrid w:val="0"/>
        </w:rPr>
        <w:t xml:space="preserve"> clearing referred to in subsection (1)(b)(i), it —</w:t>
      </w:r>
    </w:p>
    <w:p>
      <w:pPr>
        <w:pStyle w:val="Indenta"/>
        <w:rPr>
          <w:snapToGrid w:val="0"/>
        </w:rPr>
      </w:pPr>
      <w:r>
        <w:rPr>
          <w:snapToGrid w:val="0"/>
        </w:rPr>
        <w:tab/>
        <w:t>(a)</w:t>
      </w:r>
      <w:r>
        <w:rPr>
          <w:snapToGrid w:val="0"/>
        </w:rPr>
        <w:tab/>
        <w:t>may be granted under subsection (5) for all or some of the clearing applied for; and</w:t>
      </w:r>
    </w:p>
    <w:p>
      <w:pPr>
        <w:pStyle w:val="Indenta"/>
      </w:pPr>
      <w:r>
        <w:rPr>
          <w:snapToGrid w:val="0"/>
        </w:rPr>
        <w:tab/>
        <w:t>(b)</w:t>
      </w:r>
      <w:r>
        <w:rPr>
          <w:snapToGrid w:val="0"/>
        </w:rPr>
        <w:tab/>
      </w:r>
      <w:r>
        <w:t>is to describe the boundaries of the area that may be cleared; and</w:t>
      </w:r>
    </w:p>
    <w:p>
      <w:pPr>
        <w:pStyle w:val="Indenta"/>
      </w:pPr>
      <w:r>
        <w:tab/>
        <w:t>(c)</w:t>
      </w:r>
      <w:r>
        <w:tab/>
        <w:t xml:space="preserve">is referred to for the purposes of this Division as an </w:t>
      </w:r>
      <w:r>
        <w:rPr>
          <w:rStyle w:val="CharDefText"/>
        </w:rPr>
        <w:t>area permit</w:t>
      </w:r>
      <w:r>
        <w:t>.</w:t>
      </w:r>
    </w:p>
    <w:p>
      <w:pPr>
        <w:pStyle w:val="Subsection"/>
        <w:rPr>
          <w:snapToGrid w:val="0"/>
        </w:rPr>
      </w:pPr>
      <w:r>
        <w:tab/>
        <w:t>(8)</w:t>
      </w:r>
      <w:r>
        <w:tab/>
        <w:t>If a clearing permit relates to</w:t>
      </w:r>
      <w:r>
        <w:rPr>
          <w:snapToGrid w:val="0"/>
        </w:rPr>
        <w:t xml:space="preserve"> clearing referred to in subsection (1)(b)(ii), it —</w:t>
      </w:r>
    </w:p>
    <w:p>
      <w:pPr>
        <w:pStyle w:val="Indenta"/>
      </w:pPr>
      <w:r>
        <w:tab/>
        <w:t>(a)</w:t>
      </w:r>
      <w:r>
        <w:tab/>
        <w:t>is to describe the purpose for which the clearing may be done; and</w:t>
      </w:r>
    </w:p>
    <w:p>
      <w:pPr>
        <w:pStyle w:val="Indenta"/>
      </w:pPr>
      <w:r>
        <w:tab/>
        <w:t>(b)</w:t>
      </w:r>
      <w:r>
        <w:tab/>
        <w:t>is to describe the principles and criteria that are to be applied, and the strategies and procedures that are to be followed, in relation to the clearing; and</w:t>
      </w:r>
    </w:p>
    <w:p>
      <w:pPr>
        <w:pStyle w:val="Indenta"/>
      </w:pPr>
      <w:r>
        <w:tab/>
        <w:t>(c)</w:t>
      </w:r>
      <w:r>
        <w:tab/>
        <w:t xml:space="preserve">is referred to for the purposes of this Division as a </w:t>
      </w:r>
      <w:r>
        <w:rPr>
          <w:rStyle w:val="CharDefText"/>
          <w:snapToGrid w:val="0"/>
        </w:rPr>
        <w:t>purpose permit</w:t>
      </w:r>
      <w:r>
        <w:t>.</w:t>
      </w:r>
    </w:p>
    <w:p>
      <w:pPr>
        <w:pStyle w:val="Subsection"/>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pPr>
      <w:r>
        <w:lastRenderedPageBreak/>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pPr>
      <w:r>
        <w:tab/>
        <w:t>(10A)</w:t>
      </w:r>
      <w:r>
        <w:tab/>
        <w:t xml:space="preserve">The CEO must publish notice of — </w:t>
      </w:r>
    </w:p>
    <w:p>
      <w:pPr>
        <w:pStyle w:val="Indenta"/>
      </w:pPr>
      <w:r>
        <w:tab/>
        <w:t>(a)</w:t>
      </w:r>
      <w:r>
        <w:tab/>
        <w:t>the grant of a clearing permit; or</w:t>
      </w:r>
    </w:p>
    <w:p>
      <w:pPr>
        <w:pStyle w:val="Indenta"/>
      </w:pPr>
      <w:r>
        <w:tab/>
        <w:t>(b)</w:t>
      </w:r>
      <w:r>
        <w:tab/>
        <w:t>a refusal to grant a clearing permit.</w:t>
      </w:r>
    </w:p>
    <w:p>
      <w:pPr>
        <w:pStyle w:val="Subsection"/>
      </w:pPr>
      <w:r>
        <w:tab/>
        <w:t>(11)</w:t>
      </w:r>
      <w:r>
        <w:tab/>
        <w:t>A reference in subsection (5), (5A), (6), (7)(a) or (10A) or in section 51P(2) or 101A to granting or refusing to grant a clearing permit includes a reference to giving or refusing to give an undertaking mentioned in subsection (9).</w:t>
      </w:r>
    </w:p>
    <w:p>
      <w:pPr>
        <w:pStyle w:val="Subsection"/>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No. 54 of 2003 s. 110(1); amended: No. 40 of 2020 s. 45.]</w:t>
      </w:r>
    </w:p>
    <w:p>
      <w:pPr>
        <w:pStyle w:val="Heading5"/>
      </w:pPr>
      <w:bookmarkStart w:id="146" w:name="_Toc158985431"/>
      <w:r>
        <w:rPr>
          <w:rStyle w:val="CharSectno"/>
        </w:rPr>
        <w:t>51F</w:t>
      </w:r>
      <w:r>
        <w:t>.</w:t>
      </w:r>
      <w:r>
        <w:tab/>
        <w:t>Effect of referred proposal on decisions about clearing</w:t>
      </w:r>
      <w:bookmarkEnd w:id="146"/>
    </w:p>
    <w:p>
      <w:pPr>
        <w:pStyle w:val="Subsection"/>
      </w:pPr>
      <w:r>
        <w:tab/>
        <w:t>(1)</w:t>
      </w:r>
      <w:r>
        <w:tab/>
        <w:t xml:space="preserve">In this section — </w:t>
      </w:r>
    </w:p>
    <w:p>
      <w:pPr>
        <w:pStyle w:val="Defstart"/>
      </w:pPr>
      <w:r>
        <w:tab/>
      </w:r>
      <w:r>
        <w:rPr>
          <w:rStyle w:val="CharDefText"/>
        </w:rPr>
        <w:t>clearing decision</w:t>
      </w:r>
      <w:r>
        <w:t xml:space="preserve"> means — </w:t>
      </w:r>
    </w:p>
    <w:p>
      <w:pPr>
        <w:pStyle w:val="Defpara"/>
      </w:pPr>
      <w:r>
        <w:tab/>
        <w:t>(a)</w:t>
      </w:r>
      <w:r>
        <w:tab/>
        <w:t>a decision under section 51DA(3) as to whether or not a clearing permit is needed for proposed clearing; or</w:t>
      </w:r>
    </w:p>
    <w:p>
      <w:pPr>
        <w:pStyle w:val="Defpara"/>
      </w:pPr>
      <w:r>
        <w:tab/>
        <w:t>(b)</w:t>
      </w:r>
      <w:r>
        <w:tab/>
        <w:t>a decision under section 51E(5) to grant or refuse to grant a clearing permit for proposed clearing.</w:t>
      </w:r>
    </w:p>
    <w:p>
      <w:pPr>
        <w:pStyle w:val="Subsection"/>
      </w:pPr>
      <w:r>
        <w:tab/>
        <w:t>(2)</w:t>
      </w:r>
      <w:r>
        <w:tab/>
        <w:t>For the purposes of this section, proposed clearing is related to a referred proposal if the clearing, while not part of the referred proposal, is connected or associated with it in such a way that the clearing would not need to be done if the implementation of the referred proposal did not proceed.</w:t>
      </w:r>
    </w:p>
    <w:p>
      <w:pPr>
        <w:pStyle w:val="Subsection"/>
      </w:pPr>
      <w:r>
        <w:lastRenderedPageBreak/>
        <w:tab/>
        <w:t>(3)</w:t>
      </w:r>
      <w:r>
        <w:tab/>
        <w:t xml:space="preserve">Despite subsection (2), clearing that is proposed so that tests, surveys, investigations or other work — </w:t>
      </w:r>
    </w:p>
    <w:p>
      <w:pPr>
        <w:pStyle w:val="Indenta"/>
      </w:pPr>
      <w:r>
        <w:tab/>
        <w:t>(a)</w:t>
      </w:r>
      <w:r>
        <w:tab/>
        <w:t>can be done to comply with a requirement made under section 40(2)(a), (aa) or (b); or</w:t>
      </w:r>
    </w:p>
    <w:p>
      <w:pPr>
        <w:pStyle w:val="Indenta"/>
      </w:pPr>
      <w:r>
        <w:tab/>
        <w:t>(b)</w:t>
      </w:r>
      <w:r>
        <w:tab/>
        <w:t>can be done under section 40(2a),</w:t>
      </w:r>
    </w:p>
    <w:p>
      <w:pPr>
        <w:pStyle w:val="Subsection"/>
      </w:pPr>
      <w:r>
        <w:tab/>
      </w:r>
      <w:r>
        <w:tab/>
        <w:t>for the purposes of assessing a referred proposal is not related to the referred proposal for the purposes of this section.</w:t>
      </w:r>
    </w:p>
    <w:p>
      <w:pPr>
        <w:pStyle w:val="Subsection"/>
      </w:pPr>
      <w:r>
        <w:tab/>
        <w:t>(4)</w:t>
      </w:r>
      <w:r>
        <w:tab/>
        <w:t>While any decision</w:t>
      </w:r>
      <w:r>
        <w:noBreakHyphen/>
        <w:t>making authority is precluded by section 41 from making a decision that could have the effect of causing or allowing a referred proposal to be implemented, the CEO must not make a clearing decision concerning proposed clearing that is related to the referred proposal.</w:t>
      </w:r>
    </w:p>
    <w:p>
      <w:pPr>
        <w:pStyle w:val="Subsection"/>
        <w:keepLines/>
      </w:pPr>
      <w:r>
        <w:tab/>
        <w:t>(5)</w:t>
      </w:r>
      <w:r>
        <w:tab/>
        <w:t>The CEO must not make a clearing decision concerning proposed clearing that is related to a referred proposal if the decision is contrary to, or otherwise than in accordance with, a Ministerial statement.</w:t>
      </w:r>
    </w:p>
    <w:p>
      <w:pPr>
        <w:pStyle w:val="Subsection"/>
      </w:pPr>
      <w:r>
        <w:tab/>
        <w:t>(6)</w:t>
      </w:r>
      <w:r>
        <w:tab/>
        <w:t>Subsections (4) and (5) do not apply if the proposed clearing is for the purpose of doing minor or preliminary work to which the Authority has consented under section 41A(3).</w:t>
      </w:r>
    </w:p>
    <w:p>
      <w:pPr>
        <w:pStyle w:val="Subsection"/>
      </w:pPr>
      <w:r>
        <w:tab/>
        <w:t>(7)</w:t>
      </w:r>
      <w:r>
        <w:tab/>
        <w:t>If a decision</w:t>
      </w:r>
      <w:r>
        <w:noBreakHyphen/>
        <w:t>making authority makes a decision that has the effect of preventing the implementation of a proposal to which proposed clearing is related, the CEO does not have to make a clearing decision concerning the proposed clearing while the decision</w:t>
      </w:r>
      <w:r>
        <w:noBreakHyphen/>
        <w:t>making authority’s decision has effect.</w:t>
      </w:r>
    </w:p>
    <w:p>
      <w:pPr>
        <w:pStyle w:val="Footnotesection"/>
      </w:pPr>
      <w:r>
        <w:tab/>
        <w:t>[Section 51F inserted: No. 40 of 2020 s. 46.]</w:t>
      </w:r>
    </w:p>
    <w:p>
      <w:pPr>
        <w:pStyle w:val="Heading5"/>
      </w:pPr>
      <w:bookmarkStart w:id="147" w:name="_Toc158985432"/>
      <w:r>
        <w:rPr>
          <w:rStyle w:val="CharSectno"/>
        </w:rPr>
        <w:t>51G</w:t>
      </w:r>
      <w:r>
        <w:t>.</w:t>
      </w:r>
      <w:r>
        <w:tab/>
        <w:t>Duration of clearing permits</w:t>
      </w:r>
      <w:bookmarkEnd w:id="147"/>
    </w:p>
    <w:p>
      <w:pPr>
        <w:pStyle w:val="Subsection"/>
        <w:keepNext/>
        <w:keepLines/>
      </w:pPr>
      <w:r>
        <w:tab/>
      </w:r>
      <w:r>
        <w:tab/>
        <w:t>Subject to this Act, a clearing</w:t>
      </w:r>
      <w:r>
        <w:rPr>
          <w:snapToGrid w:val="0"/>
        </w:rPr>
        <w:t xml:space="preserve"> permit</w:t>
      </w:r>
      <w:r>
        <w:t xml:space="preserve"> continues in force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keepNext/>
      </w:pPr>
      <w:r>
        <w:rPr>
          <w:snapToGrid w:val="0"/>
        </w:rPr>
        <w:lastRenderedPageBreak/>
        <w:tab/>
        <w:t>(b)</w:t>
      </w:r>
      <w:r>
        <w:rPr>
          <w:snapToGrid w:val="0"/>
        </w:rPr>
        <w:tab/>
      </w:r>
      <w:r>
        <w:t>if it is</w:t>
      </w:r>
      <w:r>
        <w:rPr>
          <w:snapToGrid w:val="0"/>
        </w:rPr>
        <w:t xml:space="preserve"> a purpose permit, </w:t>
      </w:r>
      <w:r>
        <w:t>for 5 years,</w:t>
      </w:r>
    </w:p>
    <w:p>
      <w:pPr>
        <w:pStyle w:val="Subsection"/>
        <w:spacing w:before="120"/>
      </w:pPr>
      <w:r>
        <w:tab/>
      </w:r>
      <w:r>
        <w:tab/>
        <w:t>from the date on which it is granted unless another period is specified in the permit.</w:t>
      </w:r>
    </w:p>
    <w:p>
      <w:pPr>
        <w:pStyle w:val="Footnotesection"/>
        <w:spacing w:before="100"/>
      </w:pPr>
      <w:r>
        <w:tab/>
        <w:t>[Section 51G inserted: No. 54 of 2003 s. 110(1).]</w:t>
      </w:r>
    </w:p>
    <w:p>
      <w:pPr>
        <w:pStyle w:val="Heading5"/>
        <w:rPr>
          <w:snapToGrid w:val="0"/>
        </w:rPr>
      </w:pPr>
      <w:bookmarkStart w:id="148" w:name="_Toc158985433"/>
      <w:r>
        <w:rPr>
          <w:rStyle w:val="CharSectno"/>
        </w:rPr>
        <w:t>51H</w:t>
      </w:r>
      <w:r>
        <w:t>.</w:t>
      </w:r>
      <w:r>
        <w:tab/>
        <w:t>Clearing</w:t>
      </w:r>
      <w:r>
        <w:rPr>
          <w:snapToGrid w:val="0"/>
        </w:rPr>
        <w:t xml:space="preserve"> permit conditions</w:t>
      </w:r>
      <w:bookmarkEnd w:id="148"/>
    </w:p>
    <w:p>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directly or indirectly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keepNext/>
      </w:pPr>
      <w:r>
        <w:tab/>
        <w:t>(3)</w:t>
      </w:r>
      <w:r>
        <w:tab/>
        <w:t>The CEO is not to attach —</w:t>
      </w:r>
    </w:p>
    <w:p>
      <w:pPr>
        <w:pStyle w:val="Indenta"/>
        <w:spacing w:before="60"/>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spacing w:before="60"/>
      </w:pPr>
      <w:r>
        <w:tab/>
        <w:t>(b)</w:t>
      </w:r>
      <w:r>
        <w:tab/>
        <w:t>subject to section </w:t>
      </w:r>
      <w:r>
        <w:rPr>
          <w:snapToGrid w:val="0"/>
        </w:rPr>
        <w:t>51P,</w:t>
      </w:r>
      <w:r>
        <w:t xml:space="preserve"> a condition that would be inconsistent with an approved policy.</w:t>
      </w:r>
    </w:p>
    <w:p>
      <w:pPr>
        <w:pStyle w:val="Footnotesection"/>
        <w:spacing w:before="100"/>
      </w:pPr>
      <w:r>
        <w:tab/>
        <w:t>[Section 51H inserted: No. 54 of 2003 s. 110(1); amended: No. 40 of 2020 s. 47.]</w:t>
      </w:r>
    </w:p>
    <w:p>
      <w:pPr>
        <w:pStyle w:val="Heading5"/>
      </w:pPr>
      <w:bookmarkStart w:id="149" w:name="_Toc158985434"/>
      <w:r>
        <w:rPr>
          <w:rStyle w:val="CharSectno"/>
        </w:rPr>
        <w:t>51I</w:t>
      </w:r>
      <w:r>
        <w:t>.</w:t>
      </w:r>
      <w:r>
        <w:tab/>
        <w:t>Some kinds of conditions</w:t>
      </w:r>
      <w:bookmarkEnd w:id="149"/>
    </w:p>
    <w:p>
      <w:pPr>
        <w:pStyle w:val="Subsection"/>
      </w:pPr>
      <w:r>
        <w:tab/>
        <w:t>(1)</w:t>
      </w:r>
      <w:r>
        <w:tab/>
        <w:t xml:space="preserve">A condition may specify activities that are authorised, or not authorised, by the </w:t>
      </w:r>
      <w:r>
        <w:rPr>
          <w:snapToGrid w:val="0"/>
        </w:rPr>
        <w:t>clearing permit.</w:t>
      </w:r>
    </w:p>
    <w:p>
      <w:pPr>
        <w:pStyle w:val="Subsection"/>
        <w:keepNext/>
      </w:pPr>
      <w:r>
        <w:lastRenderedPageBreak/>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pPr>
        <w:pStyle w:val="Indenta"/>
        <w:keepNext/>
        <w:spacing w:before="60"/>
      </w:pPr>
      <w:r>
        <w:tab/>
        <w:t>(a)</w:t>
      </w:r>
      <w:r>
        <w:tab/>
        <w:t>take specified measures for the purpose of —</w:t>
      </w:r>
    </w:p>
    <w:p>
      <w:pPr>
        <w:pStyle w:val="Indenti"/>
        <w:spacing w:before="60"/>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other land in order to directly or indirectly offset the loss of the cleared vegetation;</w:t>
      </w:r>
    </w:p>
    <w:p>
      <w:pPr>
        <w:pStyle w:val="Indenta"/>
      </w:pPr>
      <w:r>
        <w:tab/>
        <w:t>(c)</w:t>
      </w:r>
      <w:r>
        <w:tab/>
        <w:t>contribute moneys to be used for the purpose of establishing or maintaining vegetation on other land;</w:t>
      </w:r>
    </w:p>
    <w:p>
      <w:pPr>
        <w:pStyle w:val="Indenta"/>
      </w:pPr>
      <w:r>
        <w:tab/>
        <w:t>(ca)</w:t>
      </w:r>
      <w:r>
        <w:tab/>
        <w:t>give an environmental undertaking in relation to specified other land;</w:t>
      </w:r>
    </w:p>
    <w:p>
      <w:pPr>
        <w:pStyle w:val="Indenta"/>
      </w:pPr>
      <w:r>
        <w:tab/>
        <w:t>(cb)</w:t>
      </w:r>
      <w:r>
        <w:tab/>
        <w:t>arrange for an environmental protection covenant to be given by a specified person other than the permit holder in relation to specified other land;</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keepNext/>
        <w:keepLines/>
      </w:pPr>
      <w:r>
        <w:lastRenderedPageBreak/>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(2A)</w:t>
      </w:r>
      <w:r>
        <w:tab/>
        <w:t>If a condition of a clearing permit requires the holder of the permit to give or arrange the giving of an environmental undertaking as referred to in subsection (2)(ca) or (cb), the condition can require that the holder of the permit not cause or allow clearing on any land on which clearing is authorised by the permit until the environmental undertaking is given.</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In this section —</w:t>
      </w:r>
    </w:p>
    <w:p>
      <w:pPr>
        <w:pStyle w:val="Defstart"/>
      </w:pPr>
      <w:r>
        <w:tab/>
      </w:r>
      <w:r>
        <w:rPr>
          <w:rStyle w:val="CharDefText"/>
        </w:rPr>
        <w:t>establish</w:t>
      </w:r>
      <w:r>
        <w:t xml:space="preserve"> includes conserve;</w:t>
      </w:r>
    </w:p>
    <w:p>
      <w:pPr>
        <w:pStyle w:val="Defstart"/>
      </w:pPr>
      <w:r>
        <w:tab/>
      </w:r>
      <w:r>
        <w:rPr>
          <w:rStyle w:val="CharDefText"/>
        </w:rPr>
        <w:t>give</w:t>
      </w:r>
      <w:r>
        <w:t xml:space="preserve"> includes enter into;</w:t>
      </w:r>
    </w:p>
    <w:p>
      <w:pPr>
        <w:pStyle w:val="Defstart"/>
      </w:pPr>
      <w:r>
        <w:tab/>
      </w:r>
      <w:r>
        <w:rPr>
          <w:rStyle w:val="CharDefText"/>
        </w:rPr>
        <w:t>other land</w:t>
      </w:r>
      <w:r>
        <w:t xml:space="preserve"> means land other than land cleared under the clearing permit;</w:t>
      </w:r>
    </w:p>
    <w:p>
      <w:pPr>
        <w:pStyle w:val="Defstart"/>
      </w:pPr>
      <w:r>
        <w:tab/>
      </w:r>
      <w:r>
        <w:rPr>
          <w:rStyle w:val="CharDefText"/>
        </w:rPr>
        <w:t>specified</w:t>
      </w:r>
      <w:r>
        <w:t xml:space="preserve"> means specified by the CEO in the clearing permit concerned.</w:t>
      </w:r>
    </w:p>
    <w:p>
      <w:pPr>
        <w:pStyle w:val="Footnotesection"/>
      </w:pPr>
      <w:r>
        <w:tab/>
        <w:t>[Section 51I inserted: No. 54 of 2003 s. 110(1); amended: No. 40 of 2020 s. 48.]</w:t>
      </w:r>
    </w:p>
    <w:p>
      <w:pPr>
        <w:pStyle w:val="Heading5"/>
        <w:rPr>
          <w:snapToGrid w:val="0"/>
        </w:rPr>
      </w:pPr>
      <w:bookmarkStart w:id="150" w:name="_Toc158985435"/>
      <w:r>
        <w:rPr>
          <w:rStyle w:val="CharSectno"/>
        </w:rPr>
        <w:t>51J</w:t>
      </w:r>
      <w:r>
        <w:t>.</w:t>
      </w:r>
      <w:r>
        <w:tab/>
        <w:t>Contravening clearing</w:t>
      </w:r>
      <w:r>
        <w:rPr>
          <w:snapToGrid w:val="0"/>
        </w:rPr>
        <w:t xml:space="preserve"> permit conditions</w:t>
      </w:r>
      <w:bookmarkEnd w:id="150"/>
    </w:p>
    <w:p>
      <w:pPr>
        <w:pStyle w:val="Subsection"/>
      </w:pPr>
      <w:r>
        <w:tab/>
        <w:t>(1)</w:t>
      </w:r>
      <w:r>
        <w:tab/>
        <w:t>The holder of a clearing permit who contravenes a condition to which the permit is subject commits an offence.</w:t>
      </w:r>
    </w:p>
    <w:p>
      <w:pPr>
        <w:pStyle w:val="Subsection"/>
        <w:keepNext/>
      </w:pPr>
      <w:r>
        <w:tab/>
        <w:t>(2)</w:t>
      </w:r>
      <w:r>
        <w:tab/>
        <w:t xml:space="preserve">If a clearing permit is subject to a condition referred to in section 51I(2)(ca), a reference in this Division to a </w:t>
      </w:r>
      <w:r>
        <w:lastRenderedPageBreak/>
        <w:t>contravention of a condition includes a reference to a contravention of the environmental undertaking given or entered into by the permit holder.</w:t>
      </w:r>
    </w:p>
    <w:p>
      <w:pPr>
        <w:pStyle w:val="Footnotesection"/>
        <w:keepLines w:val="0"/>
      </w:pPr>
      <w:r>
        <w:tab/>
        <w:t>[Section 51J inserted: No. 54 of 2003 s. 110(1); amended: No. 40 of 2020 s. 49.]</w:t>
      </w:r>
    </w:p>
    <w:p>
      <w:pPr>
        <w:pStyle w:val="Heading5"/>
        <w:rPr>
          <w:snapToGrid w:val="0"/>
        </w:rPr>
      </w:pPr>
      <w:bookmarkStart w:id="151" w:name="_Toc158985436"/>
      <w:r>
        <w:rPr>
          <w:rStyle w:val="CharSectno"/>
        </w:rPr>
        <w:t>51K</w:t>
      </w:r>
      <w:r>
        <w:t>.</w:t>
      </w:r>
      <w:r>
        <w:tab/>
        <w:t xml:space="preserve">Amending </w:t>
      </w:r>
      <w:r>
        <w:rPr>
          <w:snapToGrid w:val="0"/>
        </w:rPr>
        <w:t>clearing permit</w:t>
      </w:r>
      <w:bookmarkEnd w:id="151"/>
    </w:p>
    <w:p>
      <w:pPr>
        <w:pStyle w:val="Subsection"/>
      </w:pPr>
      <w:r>
        <w:tab/>
        <w:t>(1)</w:t>
      </w:r>
      <w:r>
        <w:tab/>
        <w:t>The CEO may amend a clearing</w:t>
      </w:r>
      <w:r>
        <w:rPr>
          <w:snapToGrid w:val="0"/>
        </w:rPr>
        <w:t xml:space="preserve"> permit</w:t>
      </w:r>
      <w:r>
        <w:t xml:space="preserve"> by —</w:t>
      </w:r>
    </w:p>
    <w:p>
      <w:pPr>
        <w:pStyle w:val="Indenta"/>
      </w:pPr>
      <w:r>
        <w:tab/>
        <w:t>(a)</w:t>
      </w:r>
      <w:r>
        <w:tab/>
        <w:t>removing or varying any condition to which the</w:t>
      </w:r>
      <w:r>
        <w:rPr>
          <w:snapToGrid w:val="0"/>
        </w:rPr>
        <w:t xml:space="preserve"> clearing permit</w:t>
      </w:r>
      <w:r>
        <w:t xml:space="preserve"> is subject; or</w:t>
      </w:r>
    </w:p>
    <w:p>
      <w:pPr>
        <w:pStyle w:val="Indenta"/>
      </w:pPr>
      <w:r>
        <w:tab/>
        <w:t>(b)</w:t>
      </w:r>
      <w:r>
        <w:tab/>
        <w:t>subjecting the clearing</w:t>
      </w:r>
      <w:r>
        <w:rPr>
          <w:snapToGrid w:val="0"/>
        </w:rPr>
        <w:t xml:space="preserve"> permit </w:t>
      </w:r>
      <w:r>
        <w:t>to a new condition; or</w:t>
      </w:r>
    </w:p>
    <w:p>
      <w:pPr>
        <w:pStyle w:val="Indenta"/>
      </w:pPr>
      <w:r>
        <w:tab/>
        <w:t>(c)</w:t>
      </w:r>
      <w:r>
        <w:tab/>
        <w:t>in the case of an area permit, redescribing the boundaries of the area that may be cleared under the permit or of land to which a condition referred to in section 51I(2)(b), (ca) or (cb) applies; or</w:t>
      </w:r>
    </w:p>
    <w:p>
      <w:pPr>
        <w:pStyle w:val="Indenta"/>
      </w:pPr>
      <w:r>
        <w:tab/>
        <w:t>(ca)</w:t>
      </w:r>
      <w:r>
        <w:tab/>
        <w:t>in the case of a purpose permit, adding, deleting, modifying or redescribing a purpose for which clearing may be done under the permit; or</w:t>
      </w:r>
    </w:p>
    <w:p>
      <w:pPr>
        <w:pStyle w:val="Indenta"/>
      </w:pPr>
      <w:r>
        <w:tab/>
        <w:t>(d)</w:t>
      </w:r>
      <w:r>
        <w:tab/>
        <w:t>in the case of a purpose permit, redescribing any of the principles or criteria that are to be applied, or the strategies or procedures that are to be followed, in relation to the clearing; or</w:t>
      </w:r>
    </w:p>
    <w:p>
      <w:pPr>
        <w:pStyle w:val="Indenta"/>
        <w:keepNext/>
        <w:keepLines/>
      </w:pPr>
      <w:r>
        <w:tab/>
        <w:t>(e)</w:t>
      </w:r>
      <w:r>
        <w:tab/>
        <w:t>correcting in the clearing</w:t>
      </w:r>
      <w:r>
        <w:rPr>
          <w:snapToGrid w:val="0"/>
        </w:rPr>
        <w:t xml:space="preserve"> permit </w:t>
      </w:r>
      <w:r>
        <w:t>—</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r>
      <w:r>
        <w:tab/>
        <w:t>or</w:t>
      </w:r>
    </w:p>
    <w:p>
      <w:pPr>
        <w:pStyle w:val="Indenta"/>
      </w:pPr>
      <w:r>
        <w:tab/>
        <w:t>(f)</w:t>
      </w:r>
      <w:r>
        <w:tab/>
        <w:t>making an administrative change to the format of the clearing</w:t>
      </w:r>
      <w:r>
        <w:rPr>
          <w:snapToGrid w:val="0"/>
        </w:rPr>
        <w:t xml:space="preserve"> permit </w:t>
      </w:r>
      <w:r>
        <w:t>which does not alter the obligations of the permit holder; or</w:t>
      </w:r>
    </w:p>
    <w:p>
      <w:pPr>
        <w:pStyle w:val="Indenta"/>
      </w:pPr>
      <w:r>
        <w:lastRenderedPageBreak/>
        <w:tab/>
        <w:t>(g)</w:t>
      </w:r>
      <w:r>
        <w:tab/>
        <w:t>amending the</w:t>
      </w:r>
      <w:r>
        <w:rPr>
          <w:snapToGrid w:val="0"/>
        </w:rPr>
        <w:t xml:space="preserve"> clearing permit</w:t>
      </w:r>
      <w:r>
        <w:t xml:space="preserve"> in conformity with an approved policy or with an exemption conferred under this Act; or</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 </w:t>
      </w:r>
    </w:p>
    <w:p>
      <w:pPr>
        <w:pStyle w:val="Indenta"/>
      </w:pPr>
      <w:r>
        <w:tab/>
        <w:t>(a)</w:t>
      </w:r>
      <w:r>
        <w:tab/>
        <w:t>on application by the holder of the permit; or</w:t>
      </w:r>
    </w:p>
    <w:p>
      <w:pPr>
        <w:pStyle w:val="Indenta"/>
      </w:pPr>
      <w:r>
        <w:tab/>
        <w:t>(b)</w:t>
      </w:r>
      <w:r>
        <w:tab/>
        <w:t>on the initiative of the CEO.</w:t>
      </w:r>
    </w:p>
    <w:p>
      <w:pPr>
        <w:pStyle w:val="Footnotesection"/>
      </w:pPr>
      <w:r>
        <w:tab/>
        <w:t>[Section 51K inserted: No. 54 of 2003 s. 110(1); amended: No. 40 of 2020 s. 50.]</w:t>
      </w:r>
    </w:p>
    <w:p>
      <w:pPr>
        <w:pStyle w:val="Heading5"/>
      </w:pPr>
      <w:bookmarkStart w:id="152" w:name="_Toc158985437"/>
      <w:r>
        <w:rPr>
          <w:rStyle w:val="CharSectno"/>
        </w:rPr>
        <w:t>51KA</w:t>
      </w:r>
      <w:r>
        <w:t>.</w:t>
      </w:r>
      <w:r>
        <w:tab/>
        <w:t>Application to amend clearing permit</w:t>
      </w:r>
      <w:bookmarkEnd w:id="152"/>
    </w:p>
    <w:p>
      <w:pPr>
        <w:pStyle w:val="Subsection"/>
      </w:pPr>
      <w:r>
        <w:tab/>
        <w:t>(1)</w:t>
      </w:r>
      <w:r>
        <w:tab/>
        <w:t>An application under section 51K(2)(a) for an amendment to a clearing permit must —</w:t>
      </w:r>
    </w:p>
    <w:p>
      <w:pPr>
        <w:pStyle w:val="Indenta"/>
      </w:pPr>
      <w:r>
        <w:tab/>
        <w:t>(a)</w:t>
      </w:r>
      <w:r>
        <w:tab/>
        <w:t>be made in the manner and form approved by the CEO; and</w:t>
      </w:r>
    </w:p>
    <w:p>
      <w:pPr>
        <w:pStyle w:val="Indenta"/>
        <w:keepNext/>
      </w:pPr>
      <w:r>
        <w:tab/>
        <w:t>(b)</w:t>
      </w:r>
      <w:r>
        <w:tab/>
        <w:t>be accompanied by the fee prescribed by or determined under the regulations; and</w:t>
      </w:r>
    </w:p>
    <w:p>
      <w:pPr>
        <w:pStyle w:val="Indenta"/>
      </w:pPr>
      <w:r>
        <w:tab/>
        <w:t>(c)</w:t>
      </w:r>
      <w:r>
        <w:tab/>
        <w:t>contain or be accompanied by any information required as indicated in the form or in material accompanying the form.</w:t>
      </w:r>
    </w:p>
    <w:p>
      <w:pPr>
        <w:pStyle w:val="Subsection"/>
      </w:pPr>
      <w:r>
        <w:tab/>
        <w:t>(2)</w:t>
      </w:r>
      <w:r>
        <w:tab/>
        <w:t>If the CEO requires further information to determine the application, the CEO may, by written notice given to the applicant, require the applicant to give the CEO further specified information within a specified time.</w:t>
      </w:r>
    </w:p>
    <w:p>
      <w:pPr>
        <w:pStyle w:val="Subsection"/>
      </w:pPr>
      <w:r>
        <w:tab/>
        <w:t>(3)</w:t>
      </w:r>
      <w:r>
        <w:tab/>
        <w:t xml:space="preserve">If an application for an amendment to a clearing permit does not comply with subsection (1), or further information is not provided in accordance with subsection (2), the CEO must decline to deal with the application and advise the applicant accordingly. </w:t>
      </w:r>
    </w:p>
    <w:p>
      <w:pPr>
        <w:pStyle w:val="Subsection"/>
      </w:pPr>
      <w:r>
        <w:lastRenderedPageBreak/>
        <w:tab/>
        <w:t>(4)</w:t>
      </w:r>
      <w:r>
        <w:tab/>
        <w:t>On an application under section 51K(2)(a) for an amendment to a clearing permit the CEO must, subject to this Division —</w:t>
      </w:r>
    </w:p>
    <w:p>
      <w:pPr>
        <w:pStyle w:val="Indenta"/>
      </w:pPr>
      <w:r>
        <w:tab/>
        <w:t>(a)</w:t>
      </w:r>
      <w:r>
        <w:tab/>
        <w:t>amend the clearing permit; or</w:t>
      </w:r>
    </w:p>
    <w:p>
      <w:pPr>
        <w:pStyle w:val="Indenta"/>
      </w:pPr>
      <w:r>
        <w:tab/>
        <w:t>(b)</w:t>
      </w:r>
      <w:r>
        <w:tab/>
        <w:t>refuse to amend the clearing permit.</w:t>
      </w:r>
    </w:p>
    <w:p>
      <w:pPr>
        <w:pStyle w:val="Subsection"/>
      </w:pPr>
      <w:r>
        <w:tab/>
        <w:t>(5)</w:t>
      </w:r>
      <w:r>
        <w:tab/>
        <w:t>The CEO must give the applicant written notice of the following actions under this section—</w:t>
      </w:r>
    </w:p>
    <w:p>
      <w:pPr>
        <w:pStyle w:val="Indenta"/>
      </w:pPr>
      <w:r>
        <w:tab/>
        <w:t>(a)</w:t>
      </w:r>
      <w:r>
        <w:tab/>
        <w:t xml:space="preserve">an amendment of a clearing permit; </w:t>
      </w:r>
    </w:p>
    <w:p>
      <w:pPr>
        <w:pStyle w:val="Indenta"/>
      </w:pPr>
      <w:r>
        <w:tab/>
        <w:t>(b)</w:t>
      </w:r>
      <w:r>
        <w:tab/>
        <w:t>a refusal to amend a clearing permit.</w:t>
      </w:r>
    </w:p>
    <w:p>
      <w:pPr>
        <w:pStyle w:val="Subsection"/>
      </w:pPr>
      <w:r>
        <w:tab/>
        <w:t>(6)</w:t>
      </w:r>
      <w:r>
        <w:tab/>
        <w:t>Without limiting subsection (5)(a), notice of an amendment can be given in the form of a revised clearing</w:t>
      </w:r>
      <w:r>
        <w:rPr>
          <w:snapToGrid w:val="0"/>
        </w:rPr>
        <w:t xml:space="preserve"> permit</w:t>
      </w:r>
      <w:r>
        <w:t>.</w:t>
      </w:r>
    </w:p>
    <w:p>
      <w:pPr>
        <w:pStyle w:val="Subsection"/>
      </w:pPr>
      <w:r>
        <w:tab/>
        <w:t>(7)</w:t>
      </w:r>
      <w:r>
        <w:tab/>
        <w:t xml:space="preserve">The CEO must publish notice of a decision under this section to — </w:t>
      </w:r>
    </w:p>
    <w:p>
      <w:pPr>
        <w:pStyle w:val="Indenta"/>
      </w:pPr>
      <w:r>
        <w:tab/>
        <w:t>(a)</w:t>
      </w:r>
      <w:r>
        <w:tab/>
        <w:t>amend a clearing permit; or</w:t>
      </w:r>
    </w:p>
    <w:p>
      <w:pPr>
        <w:pStyle w:val="Indenta"/>
      </w:pPr>
      <w:r>
        <w:tab/>
        <w:t>(b)</w:t>
      </w:r>
      <w:r>
        <w:tab/>
        <w:t>refuse to amend a clearing permit.</w:t>
      </w:r>
    </w:p>
    <w:p>
      <w:pPr>
        <w:pStyle w:val="Footnotesection"/>
      </w:pPr>
      <w:r>
        <w:tab/>
        <w:t>[Section 51KA inserted: No. 40 of 2020 s. 51.]</w:t>
      </w:r>
    </w:p>
    <w:p>
      <w:pPr>
        <w:pStyle w:val="Heading5"/>
      </w:pPr>
      <w:bookmarkStart w:id="153" w:name="_Toc158985438"/>
      <w:r>
        <w:rPr>
          <w:rStyle w:val="CharSectno"/>
        </w:rPr>
        <w:t>51KB</w:t>
      </w:r>
      <w:r>
        <w:t>.</w:t>
      </w:r>
      <w:r>
        <w:tab/>
        <w:t>Effect of referred proposal on application to amend clearing permit</w:t>
      </w:r>
      <w:bookmarkEnd w:id="153"/>
    </w:p>
    <w:p>
      <w:pPr>
        <w:pStyle w:val="Subsection"/>
      </w:pPr>
      <w:r>
        <w:tab/>
        <w:t>(1)</w:t>
      </w:r>
      <w:r>
        <w:tab/>
        <w:t xml:space="preserve">For the purposes of this section, an amendment of a clearing permit (a </w:t>
      </w:r>
      <w:r>
        <w:rPr>
          <w:rStyle w:val="CharDefText"/>
        </w:rPr>
        <w:t>proposed amendment</w:t>
      </w:r>
      <w:r>
        <w:t>) is related to a referred proposal if the proposed amendment is connected or associated with the referred proposal in such a way that the proposed amendment would not need to be made if the implementation of the referred proposal did not proceed.</w:t>
      </w:r>
    </w:p>
    <w:p>
      <w:pPr>
        <w:pStyle w:val="Subsection"/>
      </w:pPr>
      <w:r>
        <w:tab/>
        <w:t>(2)</w:t>
      </w:r>
      <w:r>
        <w:tab/>
        <w:t>While any decision</w:t>
      </w:r>
      <w:r>
        <w:noBreakHyphen/>
        <w:t>making authority is precluded by section 41 from making a decision in relation to a referred proposal, the CEO must not make a proposed amendment that is related to the referred proposal.</w:t>
      </w:r>
    </w:p>
    <w:p>
      <w:pPr>
        <w:pStyle w:val="Subsection"/>
      </w:pPr>
      <w:r>
        <w:tab/>
        <w:t>(3)</w:t>
      </w:r>
      <w:r>
        <w:tab/>
        <w:t>The CEO must not make a proposed amendment that is related to a referred proposal if the proposed amendment is contrary to, or otherwise than in accordance with, a Ministerial statement.</w:t>
      </w:r>
    </w:p>
    <w:p>
      <w:pPr>
        <w:pStyle w:val="Subsection"/>
      </w:pPr>
      <w:r>
        <w:lastRenderedPageBreak/>
        <w:tab/>
        <w:t>(4)</w:t>
      </w:r>
      <w:r>
        <w:tab/>
        <w:t>If a decision</w:t>
      </w:r>
      <w:r>
        <w:noBreakHyphen/>
        <w:t>making authority makes a decision that has the effect of preventing the implementation of a referred proposal to which a proposed amendment is related, the CEO does not have to make a decision as to the proposed amendment while the decision</w:t>
      </w:r>
      <w:r>
        <w:noBreakHyphen/>
        <w:t>making authority’s decision has effect.</w:t>
      </w:r>
    </w:p>
    <w:p>
      <w:pPr>
        <w:pStyle w:val="Footnotesection"/>
      </w:pPr>
      <w:r>
        <w:tab/>
        <w:t>[Section 51KB inserted: No. 40 of 2020 s. 51.]</w:t>
      </w:r>
    </w:p>
    <w:p>
      <w:pPr>
        <w:pStyle w:val="Heading5"/>
        <w:spacing w:before="240"/>
      </w:pPr>
      <w:bookmarkStart w:id="154" w:name="_Toc158985439"/>
      <w:r>
        <w:rPr>
          <w:rStyle w:val="CharSectno"/>
        </w:rPr>
        <w:t>51L</w:t>
      </w:r>
      <w:r>
        <w:t>.</w:t>
      </w:r>
      <w:r>
        <w:tab/>
        <w:t>Revoking or suspending clearing</w:t>
      </w:r>
      <w:r>
        <w:rPr>
          <w:snapToGrid w:val="0"/>
        </w:rPr>
        <w:t xml:space="preserve"> permit</w:t>
      </w:r>
      <w:bookmarkEnd w:id="154"/>
    </w:p>
    <w:p>
      <w:pPr>
        <w:pStyle w:val="Subsection"/>
      </w:pPr>
      <w:r>
        <w:tab/>
        <w:t>(1)</w:t>
      </w:r>
      <w:r>
        <w:tab/>
        <w:t>The CEO may revoke or suspend a clearing</w:t>
      </w:r>
      <w:r>
        <w:rPr>
          <w:snapToGrid w:val="0"/>
        </w:rPr>
        <w:t xml:space="preserve"> permit</w:t>
      </w:r>
      <w:r>
        <w:t>.</w:t>
      </w:r>
    </w:p>
    <w:p>
      <w:pPr>
        <w:pStyle w:val="Subsection"/>
      </w:pPr>
      <w:r>
        <w:tab/>
        <w:t>(2)</w:t>
      </w:r>
      <w:r>
        <w:tab/>
        <w:t>The grounds for revocation or suspension of a clearing</w:t>
      </w:r>
      <w:r>
        <w:rPr>
          <w:snapToGrid w:val="0"/>
        </w:rPr>
        <w:t xml:space="preserve"> permit</w:t>
      </w:r>
      <w:r>
        <w:t xml:space="preserve"> are that —</w:t>
      </w:r>
    </w:p>
    <w:p>
      <w:pPr>
        <w:pStyle w:val="Indenta"/>
      </w:pPr>
      <w:r>
        <w:tab/>
        <w:t>(a)</w:t>
      </w:r>
      <w:r>
        <w:tab/>
        <w:t>the CEO is satisfied that there has been a contravention of any of the conditions to which the clearing</w:t>
      </w:r>
      <w:r>
        <w:rPr>
          <w:snapToGrid w:val="0"/>
        </w:rPr>
        <w:t xml:space="preserve"> permit </w:t>
      </w:r>
      <w:r>
        <w:t>is subject; or</w:t>
      </w:r>
    </w:p>
    <w:p>
      <w:pPr>
        <w:pStyle w:val="Indenta"/>
      </w:pPr>
      <w:r>
        <w:tab/>
        <w:t>(b)</w:t>
      </w:r>
      <w:r>
        <w:tab/>
        <w:t>where a person has become the holder of the clearing permit by operation of section 51N, the CEO is satisfied that the person is unwilling or unable to comply with the conditions to which the permit is subject; or</w:t>
      </w:r>
    </w:p>
    <w:p>
      <w:pPr>
        <w:pStyle w:val="Indenta"/>
        <w:spacing w:before="60"/>
      </w:pPr>
      <w:r>
        <w:tab/>
        <w:t>(c)</w:t>
      </w:r>
      <w:r>
        <w:tab/>
        <w:t>information contained in or supporting the application was false or misleading in a material respect.</w:t>
      </w:r>
    </w:p>
    <w:p>
      <w:pPr>
        <w:pStyle w:val="Ednotepara"/>
        <w:spacing w:before="80"/>
      </w:pPr>
      <w:r>
        <w:tab/>
        <w:t>[(d)</w:t>
      </w:r>
      <w:r>
        <w:tab/>
        <w:t>deleted]</w:t>
      </w:r>
    </w:p>
    <w:p>
      <w:pPr>
        <w:pStyle w:val="Footnotesection"/>
        <w:ind w:left="890" w:hanging="890"/>
      </w:pPr>
      <w:r>
        <w:tab/>
        <w:t>[Section 51L inserted: No. 54 of 2003 s. 110(1); amended: No. 40 of 2020 s. 52.]</w:t>
      </w:r>
    </w:p>
    <w:p>
      <w:pPr>
        <w:pStyle w:val="Heading5"/>
        <w:spacing w:before="240"/>
      </w:pPr>
      <w:bookmarkStart w:id="155" w:name="_Toc158985440"/>
      <w:r>
        <w:rPr>
          <w:rStyle w:val="CharSectno"/>
        </w:rPr>
        <w:t>51M</w:t>
      </w:r>
      <w:r>
        <w:t>.</w:t>
      </w:r>
      <w:r>
        <w:tab/>
        <w:t>Procedure for CEO when amending, revoking or suspending clearing permit</w:t>
      </w:r>
      <w:bookmarkEnd w:id="155"/>
    </w:p>
    <w:p>
      <w:pPr>
        <w:pStyle w:val="Subsection"/>
      </w:pPr>
      <w:r>
        <w:tab/>
        <w:t>(1)</w:t>
      </w:r>
      <w:r>
        <w:tab/>
        <w:t>This section applies to the amendment of a clearing permit under section 51K(2)(b), or the revocation or suspension of a clearing permit under section 51L(1).</w:t>
      </w:r>
    </w:p>
    <w:p>
      <w:pPr>
        <w:pStyle w:val="Subsection"/>
      </w:pPr>
      <w:r>
        <w:tab/>
        <w:t>(2)</w:t>
      </w:r>
      <w:r>
        <w:tab/>
        <w:t xml:space="preserve">Before amending, revoking or suspending a clearing permit (the </w:t>
      </w:r>
      <w:r>
        <w:rPr>
          <w:rStyle w:val="CharDefText"/>
        </w:rPr>
        <w:t>proposed action</w:t>
      </w:r>
      <w:r>
        <w:t>) the CEO must give the holder of the permit a written notice under this subsection.</w:t>
      </w:r>
    </w:p>
    <w:p>
      <w:pPr>
        <w:pStyle w:val="Subsection"/>
        <w:spacing w:before="120"/>
      </w:pPr>
      <w:r>
        <w:lastRenderedPageBreak/>
        <w:tab/>
        <w:t>(3)</w:t>
      </w:r>
      <w:r>
        <w:tab/>
        <w:t xml:space="preserve">The notice must — </w:t>
      </w:r>
    </w:p>
    <w:p>
      <w:pPr>
        <w:pStyle w:val="Indenta"/>
        <w:spacing w:before="60"/>
      </w:pPr>
      <w:r>
        <w:tab/>
        <w:t>(a)</w:t>
      </w:r>
      <w:r>
        <w:tab/>
        <w:t>state details of the proposed action; and</w:t>
      </w:r>
    </w:p>
    <w:p>
      <w:pPr>
        <w:pStyle w:val="Indenta"/>
        <w:spacing w:before="60"/>
      </w:pPr>
      <w:r>
        <w:tab/>
        <w:t>(b)</w:t>
      </w:r>
      <w:r>
        <w:tab/>
        <w:t>invite the holder to make representations to the CEO to show why the action should not be taken; and</w:t>
      </w:r>
    </w:p>
    <w:p>
      <w:pPr>
        <w:pStyle w:val="Indenta"/>
        <w:spacing w:before="60"/>
      </w:pPr>
      <w:r>
        <w:tab/>
        <w:t>(c)</w:t>
      </w:r>
      <w:r>
        <w:tab/>
        <w:t>state the period (at least 28 days after the notice is given to the holder) within which representations may be made.</w:t>
      </w:r>
    </w:p>
    <w:p>
      <w:pPr>
        <w:pStyle w:val="Subsection"/>
        <w:spacing w:before="120"/>
      </w:pPr>
      <w:r>
        <w:tab/>
        <w:t>(4)</w:t>
      </w:r>
      <w:r>
        <w:tab/>
        <w:t>The representations must be made in writing.</w:t>
      </w:r>
    </w:p>
    <w:p>
      <w:pPr>
        <w:pStyle w:val="Subsection"/>
        <w:keepNext/>
        <w:spacing w:before="120"/>
      </w:pPr>
      <w:r>
        <w:tab/>
        <w:t>(5)</w:t>
      </w:r>
      <w:r>
        <w:tab/>
        <w:t>Subject to subsection (8), the CEO may take the proposed action —</w:t>
      </w:r>
    </w:p>
    <w:p>
      <w:pPr>
        <w:pStyle w:val="Indenta"/>
        <w:spacing w:before="60"/>
      </w:pPr>
      <w:r>
        <w:tab/>
        <w:t>(a)</w:t>
      </w:r>
      <w:r>
        <w:tab/>
        <w:t>at any time after the holder of the clearing</w:t>
      </w:r>
      <w:r>
        <w:rPr>
          <w:snapToGrid w:val="0"/>
        </w:rPr>
        <w:t xml:space="preserve"> permit advises </w:t>
      </w:r>
      <w:r>
        <w:t>the CEO in writing that the holder does not intend to make any representations or any further representations; or</w:t>
      </w:r>
    </w:p>
    <w:p>
      <w:pPr>
        <w:pStyle w:val="Indenta"/>
      </w:pPr>
      <w:r>
        <w:tab/>
        <w:t>(b)</w:t>
      </w:r>
      <w:r>
        <w:tab/>
        <w:t xml:space="preserve">if such </w:t>
      </w:r>
      <w:r>
        <w:rPr>
          <w:snapToGrid w:val="0"/>
        </w:rPr>
        <w:t>advice</w:t>
      </w:r>
      <w:r>
        <w:t xml:space="preserve"> is not given, after the end of the period stated in the notice within which representations may be made.</w:t>
      </w:r>
    </w:p>
    <w:p>
      <w:pPr>
        <w:pStyle w:val="Subsection"/>
      </w:pPr>
      <w:r>
        <w:tab/>
        <w:t>(6)</w:t>
      </w:r>
      <w:r>
        <w:tab/>
        <w:t>The CEO must consider any representations properly made by the holder of the clearing</w:t>
      </w:r>
      <w:r>
        <w:rPr>
          <w:snapToGrid w:val="0"/>
        </w:rPr>
        <w:t xml:space="preserve"> permit</w:t>
      </w:r>
      <w:r>
        <w:t>.</w:t>
      </w:r>
    </w:p>
    <w:p>
      <w:pPr>
        <w:pStyle w:val="Subsection"/>
      </w:pPr>
      <w:r>
        <w:tab/>
        <w:t>(7)</w:t>
      </w:r>
      <w:r>
        <w:tab/>
        <w:t>If the proposed action is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the permit, by force of this subsection, ceases to have effect until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pPr>
      <w:r>
        <w:lastRenderedPageBreak/>
        <w:tab/>
        <w:t>(8)</w:t>
      </w:r>
      <w:r>
        <w:tab/>
        <w:t>Subsections (1) to (7) do not apply to anything done by the CEO under section 110(1) to give effect to a decision of the Minister under section 107(2) or 109(3) on an appeal.</w:t>
      </w:r>
    </w:p>
    <w:p>
      <w:pPr>
        <w:pStyle w:val="Ednotesubsection"/>
      </w:pPr>
      <w:r>
        <w:tab/>
        <w:t>[(9)</w:t>
      </w:r>
      <w:r>
        <w:tab/>
        <w:t>deleted]</w:t>
      </w:r>
    </w:p>
    <w:p>
      <w:pPr>
        <w:pStyle w:val="Subsection"/>
      </w:pPr>
      <w:r>
        <w:tab/>
        <w:t>(10)</w:t>
      </w:r>
      <w:r>
        <w:tab/>
        <w:t>The CEO must give the holder of the clearing</w:t>
      </w:r>
      <w:r>
        <w:rPr>
          <w:snapToGrid w:val="0"/>
        </w:rPr>
        <w:t xml:space="preserve"> permit </w:t>
      </w:r>
      <w:r>
        <w:t>written notice of any amendment, revocation or suspension of the permit.</w:t>
      </w:r>
    </w:p>
    <w:p>
      <w:pPr>
        <w:pStyle w:val="Subsection"/>
      </w:pPr>
      <w:r>
        <w:tab/>
        <w:t>(11)</w:t>
      </w:r>
      <w:r>
        <w:tab/>
        <w:t>Without limiting subsection (10), notice of an amendment can be given in the form of a revised clearing</w:t>
      </w:r>
      <w:r>
        <w:rPr>
          <w:snapToGrid w:val="0"/>
        </w:rPr>
        <w:t xml:space="preserve"> permit</w:t>
      </w:r>
      <w:r>
        <w:t>.</w:t>
      </w:r>
    </w:p>
    <w:p>
      <w:pPr>
        <w:pStyle w:val="Subsection"/>
      </w:pPr>
      <w:r>
        <w:tab/>
        <w:t>(12)</w:t>
      </w:r>
      <w:r>
        <w:tab/>
        <w:t>The CEO must publish notice of the amendment, revocation or suspension of a clearing permit.</w:t>
      </w:r>
    </w:p>
    <w:p>
      <w:pPr>
        <w:pStyle w:val="Footnotesection"/>
      </w:pPr>
      <w:r>
        <w:tab/>
        <w:t>[Section 51M inserted: No. 54 of 2003 s. 110(1); amended: No. 40 of 2020 s. 53.]</w:t>
      </w:r>
    </w:p>
    <w:p>
      <w:pPr>
        <w:pStyle w:val="Heading5"/>
      </w:pPr>
      <w:bookmarkStart w:id="156" w:name="_Toc158985441"/>
      <w:r>
        <w:rPr>
          <w:rStyle w:val="CharSectno"/>
        </w:rPr>
        <w:t>51MA</w:t>
      </w:r>
      <w:r>
        <w:t>.</w:t>
      </w:r>
      <w:r>
        <w:tab/>
        <w:t>Surrendering clearing permit</w:t>
      </w:r>
      <w:bookmarkEnd w:id="156"/>
    </w:p>
    <w:p>
      <w:pPr>
        <w:pStyle w:val="Subsection"/>
      </w:pPr>
      <w:r>
        <w:tab/>
        <w:t>(1)</w:t>
      </w:r>
      <w:r>
        <w:tab/>
        <w:t>The holder of a clearing permit may apply to the CEO to surrender the permit.</w:t>
      </w:r>
    </w:p>
    <w:p>
      <w:pPr>
        <w:pStyle w:val="Subsection"/>
      </w:pPr>
      <w:r>
        <w:tab/>
        <w:t>(2)</w:t>
      </w:r>
      <w:r>
        <w:tab/>
        <w:t>An application to surrender a clearing permit must —</w:t>
      </w:r>
    </w:p>
    <w:p>
      <w:pPr>
        <w:pStyle w:val="Indenta"/>
      </w:pPr>
      <w:r>
        <w:tab/>
        <w:t>(a)</w:t>
      </w:r>
      <w:r>
        <w:tab/>
        <w:t>be made in the form and in the manner approved by the CEO; and</w:t>
      </w:r>
    </w:p>
    <w:p>
      <w:pPr>
        <w:pStyle w:val="Indenta"/>
      </w:pPr>
      <w:r>
        <w:tab/>
        <w:t>(b)</w:t>
      </w:r>
      <w:r>
        <w:tab/>
        <w:t>contain or be accompanied by any information required as indicated in the form or in material accompanying the form; and</w:t>
      </w:r>
    </w:p>
    <w:p>
      <w:pPr>
        <w:pStyle w:val="Indenta"/>
      </w:pPr>
      <w:r>
        <w:tab/>
        <w:t>(c)</w:t>
      </w:r>
      <w:r>
        <w:tab/>
        <w:t>be accompanied by the fee prescribed by or determined under the regulations.</w:t>
      </w:r>
    </w:p>
    <w:p>
      <w:pPr>
        <w:pStyle w:val="Subsection"/>
      </w:pPr>
      <w:r>
        <w:tab/>
        <w:t>(3)</w:t>
      </w:r>
      <w:r>
        <w:tab/>
        <w:t>If the CEO requires further information to determine the application, the CEO may, by written notice given to the applicant, require the applicant to give the CEO further specified information within a specified time.</w:t>
      </w:r>
    </w:p>
    <w:p>
      <w:pPr>
        <w:pStyle w:val="Subsection"/>
      </w:pPr>
      <w:r>
        <w:tab/>
        <w:t>(4)</w:t>
      </w:r>
      <w:r>
        <w:tab/>
        <w:t xml:space="preserve">If the application does not comply with subsection (2), or further information is not provided in accordance with </w:t>
      </w:r>
      <w:r>
        <w:lastRenderedPageBreak/>
        <w:t>subsection (3), the CEO must decline to deal with the application and advise the applicant accordingly.</w:t>
      </w:r>
    </w:p>
    <w:p>
      <w:pPr>
        <w:pStyle w:val="Subsection"/>
      </w:pPr>
      <w:r>
        <w:tab/>
        <w:t>(5)</w:t>
      </w:r>
      <w:r>
        <w:tab/>
        <w:t>If, under subsection (4), the CEO declines to deal with the application, the CEO does not have to perform any function under subsections (6) to (10) in relation to the application.</w:t>
      </w:r>
    </w:p>
    <w:p>
      <w:pPr>
        <w:pStyle w:val="Subsection"/>
      </w:pPr>
      <w:r>
        <w:tab/>
        <w:t>(6)</w:t>
      </w:r>
      <w:r>
        <w:tab/>
        <w:t>The CEO must publish the application.</w:t>
      </w:r>
    </w:p>
    <w:p>
      <w:pPr>
        <w:pStyle w:val="Subsection"/>
      </w:pPr>
      <w:r>
        <w:tab/>
        <w:t>(7)</w:t>
      </w:r>
      <w:r>
        <w:tab/>
        <w:t>The CEO must consider the application and must —</w:t>
      </w:r>
    </w:p>
    <w:p>
      <w:pPr>
        <w:pStyle w:val="Indenta"/>
      </w:pPr>
      <w:r>
        <w:tab/>
        <w:t>(a)</w:t>
      </w:r>
      <w:r>
        <w:tab/>
        <w:t>accept the surrender; or</w:t>
      </w:r>
    </w:p>
    <w:p>
      <w:pPr>
        <w:pStyle w:val="Indenta"/>
      </w:pPr>
      <w:r>
        <w:tab/>
        <w:t>(b)</w:t>
      </w:r>
      <w:r>
        <w:tab/>
        <w:t>if not satisfied that the conditions of the clearing permit have been complied with, refuse to accept the surrender.</w:t>
      </w:r>
    </w:p>
    <w:p>
      <w:pPr>
        <w:pStyle w:val="Subsection"/>
      </w:pPr>
      <w:r>
        <w:tab/>
        <w:t>(8)</w:t>
      </w:r>
      <w:r>
        <w:tab/>
        <w:t>The CEO must give the holder of the clearing permit written notice of the CEO’s decision on the application.</w:t>
      </w:r>
    </w:p>
    <w:p>
      <w:pPr>
        <w:pStyle w:val="Subsection"/>
      </w:pPr>
      <w:r>
        <w:tab/>
        <w:t>(9)</w:t>
      </w:r>
      <w:r>
        <w:tab/>
        <w:t>If the CEO accepts the surrender the clearing permit ceases to be in force when the notice under subsection (8) is given.</w:t>
      </w:r>
    </w:p>
    <w:p>
      <w:pPr>
        <w:pStyle w:val="Subsection"/>
      </w:pPr>
      <w:r>
        <w:tab/>
        <w:t>(10)</w:t>
      </w:r>
      <w:r>
        <w:tab/>
        <w:t xml:space="preserve">The CEO must publish notice of — </w:t>
      </w:r>
    </w:p>
    <w:p>
      <w:pPr>
        <w:pStyle w:val="Indenta"/>
      </w:pPr>
      <w:r>
        <w:tab/>
        <w:t>(a)</w:t>
      </w:r>
      <w:r>
        <w:tab/>
        <w:t>acceptance of the surrender; or</w:t>
      </w:r>
    </w:p>
    <w:p>
      <w:pPr>
        <w:pStyle w:val="Indenta"/>
        <w:keepNext/>
      </w:pPr>
      <w:r>
        <w:tab/>
        <w:t>(b)</w:t>
      </w:r>
      <w:r>
        <w:tab/>
        <w:t>refusal to accept the surrender.</w:t>
      </w:r>
    </w:p>
    <w:p>
      <w:pPr>
        <w:pStyle w:val="Footnotesection"/>
      </w:pPr>
      <w:r>
        <w:tab/>
        <w:t>[Section 51MA inserted: No. 40 of 2020 s. 54.]</w:t>
      </w:r>
    </w:p>
    <w:p>
      <w:pPr>
        <w:pStyle w:val="Heading5"/>
      </w:pPr>
      <w:bookmarkStart w:id="157" w:name="_Toc158985442"/>
      <w:r>
        <w:rPr>
          <w:rStyle w:val="CharSectno"/>
        </w:rPr>
        <w:t>51N</w:t>
      </w:r>
      <w:r>
        <w:t>.</w:t>
      </w:r>
      <w:r>
        <w:tab/>
        <w:t>Continuation of area permit on change of ownership</w:t>
      </w:r>
      <w:bookmarkEnd w:id="157"/>
    </w:p>
    <w:p>
      <w:pPr>
        <w:pStyle w:val="Subsection"/>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pPr>
      <w:r>
        <w:lastRenderedPageBreak/>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spacing w:before="80"/>
        <w:ind w:left="890" w:hanging="890"/>
      </w:pPr>
      <w:r>
        <w:tab/>
        <w:t>[Section 51N inserted: No. 54 of 2003 s. 110(1).]</w:t>
      </w:r>
    </w:p>
    <w:p>
      <w:pPr>
        <w:pStyle w:val="Heading5"/>
        <w:rPr>
          <w:snapToGrid w:val="0"/>
        </w:rPr>
      </w:pPr>
      <w:bookmarkStart w:id="158" w:name="_Toc158985443"/>
      <w:r>
        <w:rPr>
          <w:rStyle w:val="CharSectno"/>
        </w:rPr>
        <w:t>51O</w:t>
      </w:r>
      <w:r>
        <w:t>.</w:t>
      </w:r>
      <w:r>
        <w:tab/>
        <w:t>P</w:t>
      </w:r>
      <w:r>
        <w:rPr>
          <w:snapToGrid w:val="0"/>
        </w:rPr>
        <w:t>rinciples and instruments to be considered when making decisions as to clearing permits</w:t>
      </w:r>
      <w:bookmarkEnd w:id="158"/>
    </w:p>
    <w:p>
      <w:pPr>
        <w:pStyle w:val="Subsection"/>
        <w:rPr>
          <w:snapToGrid w:val="0"/>
        </w:rPr>
      </w:pPr>
      <w:r>
        <w:rPr>
          <w:snapToGrid w:val="0"/>
        </w:rPr>
        <w:tab/>
        <w:t>(1)</w:t>
      </w:r>
      <w:r>
        <w:rPr>
          <w:snapToGrid w:val="0"/>
        </w:rPr>
        <w:tab/>
        <w:t>In this section —</w:t>
      </w:r>
    </w:p>
    <w:p>
      <w:pPr>
        <w:pStyle w:val="Defstart"/>
      </w:pPr>
      <w:r>
        <w:tab/>
      </w:r>
      <w:r>
        <w:rPr>
          <w:rStyle w:val="CharDefText"/>
        </w:rPr>
        <w:t>clearing matter</w:t>
      </w:r>
      <w:r>
        <w:t xml:space="preserve"> means —</w:t>
      </w:r>
    </w:p>
    <w:p>
      <w:pPr>
        <w:pStyle w:val="Defpara"/>
      </w:pPr>
      <w:r>
        <w:tab/>
        <w:t>(a)</w:t>
      </w:r>
      <w:r>
        <w:tab/>
        <w:t>an application for a clearing permit; or</w:t>
      </w:r>
    </w:p>
    <w:p>
      <w:pPr>
        <w:pStyle w:val="Defpara"/>
      </w:pPr>
      <w:r>
        <w:tab/>
        <w:t>(b)</w:t>
      </w:r>
      <w:r>
        <w:tab/>
        <w:t>an amendment of a clearing permit;</w:t>
      </w:r>
    </w:p>
    <w:p>
      <w:pPr>
        <w:pStyle w:val="Defstart"/>
      </w:pPr>
      <w:r>
        <w:tab/>
      </w:r>
      <w:r>
        <w:rPr>
          <w:rStyle w:val="CharDefText"/>
        </w:rPr>
        <w:t>decision</w:t>
      </w:r>
      <w:r>
        <w:t xml:space="preserve"> means a decision about a clearing matter.</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under section 51Q.</w:t>
      </w:r>
    </w:p>
    <w:p>
      <w:pPr>
        <w:pStyle w:val="Subsection"/>
        <w:rPr>
          <w:snapToGrid w:val="0"/>
        </w:rPr>
      </w:pPr>
      <w:r>
        <w:rPr>
          <w:snapToGrid w:val="0"/>
        </w:rPr>
        <w:tab/>
        <w:t>(4)</w:t>
      </w:r>
      <w:r>
        <w:rPr>
          <w:snapToGrid w:val="0"/>
        </w:rPr>
        <w:tab/>
        <w:t xml:space="preserve">In considering a clearing matter the CEO shall have regard to any </w:t>
      </w:r>
      <w:r>
        <w:t xml:space="preserve">development approval, </w:t>
      </w:r>
      <w:r>
        <w:rPr>
          <w:snapToGrid w:val="0"/>
        </w:rPr>
        <w:t>planning instrument</w:t>
      </w:r>
      <w:r>
        <w:t>, or other matter, that the CEO considers relevant</w:t>
      </w:r>
      <w:r>
        <w:rPr>
          <w:snapToGrid w:val="0"/>
        </w:rPr>
        <w:t>.</w:t>
      </w:r>
    </w:p>
    <w:p>
      <w:pPr>
        <w:pStyle w:val="Footnotesection"/>
        <w:spacing w:before="100"/>
      </w:pPr>
      <w:r>
        <w:tab/>
        <w:t>[Section 51O inserted: No. 54 of 2003 s. 110(1); amended: No. 38 of 2005 s. 15; No. 40 of 2020 s. 55.]</w:t>
      </w:r>
    </w:p>
    <w:p>
      <w:pPr>
        <w:pStyle w:val="Heading5"/>
        <w:rPr>
          <w:snapToGrid w:val="0"/>
        </w:rPr>
      </w:pPr>
      <w:bookmarkStart w:id="159" w:name="_Toc158985444"/>
      <w:r>
        <w:rPr>
          <w:rStyle w:val="CharSectno"/>
        </w:rPr>
        <w:lastRenderedPageBreak/>
        <w:t>51P</w:t>
      </w:r>
      <w:r>
        <w:rPr>
          <w:snapToGrid w:val="0"/>
        </w:rPr>
        <w:t>.</w:t>
      </w:r>
      <w:r>
        <w:rPr>
          <w:snapToGrid w:val="0"/>
        </w:rPr>
        <w:tab/>
        <w:t>Relationship between clearing permits and approved policies</w:t>
      </w:r>
      <w:bookmarkEnd w:id="159"/>
    </w:p>
    <w:p>
      <w:pPr>
        <w:pStyle w:val="Subsection"/>
        <w:rPr>
          <w:snapToGrid w:val="0"/>
        </w:rPr>
      </w:pPr>
      <w:r>
        <w:rPr>
          <w:snapToGrid w:val="0"/>
        </w:rPr>
        <w:tab/>
        <w:t>(1)</w:t>
      </w:r>
      <w:r>
        <w:rPr>
          <w:snapToGrid w:val="0"/>
        </w:rPr>
        <w:tab/>
        <w:t>In considering —</w:t>
      </w:r>
    </w:p>
    <w:p>
      <w:pPr>
        <w:pStyle w:val="Indenta"/>
        <w:rPr>
          <w:snapToGrid w:val="0"/>
        </w:rPr>
      </w:pPr>
      <w:r>
        <w:rPr>
          <w:snapToGrid w:val="0"/>
        </w:rPr>
        <w:tab/>
        <w:t>(a)</w:t>
      </w:r>
      <w:r>
        <w:rPr>
          <w:snapToGrid w:val="0"/>
        </w:rPr>
        <w:tab/>
        <w:t>an application for a clearing permit; or</w:t>
      </w:r>
    </w:p>
    <w:p>
      <w:pPr>
        <w:pStyle w:val="Indenta"/>
        <w:keepLines/>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Subsection"/>
      </w:pPr>
      <w:r>
        <w:tab/>
        <w:t>(4)</w:t>
      </w:r>
      <w:r>
        <w:tab/>
        <w:t>Without limiting section 51F(5) or 51KB(3), subsection (3) does not authorise the imposition of a condition that is contrary to, or not in accordance with, a Ministerial statement.</w:t>
      </w:r>
    </w:p>
    <w:p>
      <w:pPr>
        <w:pStyle w:val="Footnotesection"/>
      </w:pPr>
      <w:r>
        <w:tab/>
        <w:t>[Section 51P inserted: No. 54 of 2003 s. 110(1); amended: No. 40 of 2020 s. 56.]</w:t>
      </w:r>
    </w:p>
    <w:p>
      <w:pPr>
        <w:pStyle w:val="Heading5"/>
        <w:rPr>
          <w:snapToGrid w:val="0"/>
        </w:rPr>
      </w:pPr>
      <w:bookmarkStart w:id="160" w:name="_Toc158985445"/>
      <w:r>
        <w:rPr>
          <w:rStyle w:val="CharSectno"/>
        </w:rPr>
        <w:lastRenderedPageBreak/>
        <w:t>51Q</w:t>
      </w:r>
      <w:r>
        <w:t>.</w:t>
      </w:r>
      <w:r>
        <w:tab/>
        <w:t>CEO to keep a record of clearing</w:t>
      </w:r>
      <w:r>
        <w:rPr>
          <w:snapToGrid w:val="0"/>
        </w:rPr>
        <w:t xml:space="preserve"> permits and related matters</w:t>
      </w:r>
      <w:bookmarkEnd w:id="160"/>
    </w:p>
    <w:p>
      <w:pPr>
        <w:pStyle w:val="Subsection"/>
      </w:pPr>
      <w:r>
        <w:tab/>
      </w:r>
      <w:r>
        <w:tab/>
        <w:t xml:space="preserve">The CEO must keep a public record of — </w:t>
      </w:r>
    </w:p>
    <w:p>
      <w:pPr>
        <w:pStyle w:val="Indenta"/>
      </w:pPr>
      <w:r>
        <w:tab/>
        <w:t>(a)</w:t>
      </w:r>
      <w:r>
        <w:tab/>
        <w:t>such particulars of the following as are prescribed —</w:t>
      </w:r>
    </w:p>
    <w:p>
      <w:pPr>
        <w:pStyle w:val="Indenti"/>
      </w:pPr>
      <w:r>
        <w:tab/>
        <w:t>(i)</w:t>
      </w:r>
      <w:r>
        <w:tab/>
        <w:t>applications for clearing permits and amendments of clearing permits;</w:t>
      </w:r>
    </w:p>
    <w:p>
      <w:pPr>
        <w:pStyle w:val="Indenti"/>
      </w:pPr>
      <w:r>
        <w:tab/>
        <w:t>(ii)</w:t>
      </w:r>
      <w:r>
        <w:tab/>
        <w:t>clearing permits and amendments of clearing permits;</w:t>
      </w:r>
    </w:p>
    <w:p>
      <w:pPr>
        <w:pStyle w:val="Indenti"/>
      </w:pPr>
      <w:r>
        <w:tab/>
        <w:t>(iii)</w:t>
      </w:r>
      <w:r>
        <w:tab/>
        <w:t>the surrender, suspension and revocation of clearing permits;</w:t>
      </w:r>
    </w:p>
    <w:p>
      <w:pPr>
        <w:pStyle w:val="Indenti"/>
      </w:pPr>
      <w:r>
        <w:tab/>
        <w:t>(iv)</w:t>
      </w:r>
      <w:r>
        <w:tab/>
        <w:t>undertakings mentioned in section 51E(9);</w:t>
      </w:r>
    </w:p>
    <w:p>
      <w:pPr>
        <w:pStyle w:val="Indenti"/>
      </w:pPr>
      <w:r>
        <w:tab/>
        <w:t>(v)</w:t>
      </w:r>
      <w:r>
        <w:tab/>
        <w:t>notifications received under section 51N(1);</w:t>
      </w:r>
    </w:p>
    <w:p>
      <w:pPr>
        <w:pStyle w:val="Indenti"/>
      </w:pPr>
      <w:r>
        <w:tab/>
        <w:t>(vi)</w:t>
      </w:r>
      <w:r>
        <w:tab/>
        <w:t>environmental protection covenants;</w:t>
      </w:r>
    </w:p>
    <w:p>
      <w:pPr>
        <w:pStyle w:val="Indenta"/>
      </w:pPr>
      <w:r>
        <w:tab/>
      </w:r>
      <w:r>
        <w:tab/>
        <w:t>and</w:t>
      </w:r>
    </w:p>
    <w:p>
      <w:pPr>
        <w:pStyle w:val="Indenta"/>
      </w:pPr>
      <w:r>
        <w:tab/>
        <w:t>(b)</w:t>
      </w:r>
      <w:r>
        <w:tab/>
        <w:t>such other information and documents relating to clearing permits as are prescribed.</w:t>
      </w:r>
    </w:p>
    <w:p>
      <w:pPr>
        <w:pStyle w:val="Footnotesection"/>
      </w:pPr>
      <w:r>
        <w:tab/>
        <w:t>[Section 51Q inserted: No. 40 of 2020 s. 57.]</w:t>
      </w:r>
    </w:p>
    <w:p>
      <w:pPr>
        <w:pStyle w:val="Heading5"/>
      </w:pPr>
      <w:bookmarkStart w:id="161" w:name="_Toc158985446"/>
      <w:r>
        <w:rPr>
          <w:rStyle w:val="CharSectno"/>
        </w:rPr>
        <w:t>51R</w:t>
      </w:r>
      <w:r>
        <w:t>.</w:t>
      </w:r>
      <w:r>
        <w:tab/>
        <w:t>Evidentiary matters</w:t>
      </w:r>
      <w:bookmarkEnd w:id="161"/>
    </w:p>
    <w:p>
      <w:pPr>
        <w:pStyle w:val="Ednotesubsection"/>
      </w:pPr>
      <w:r>
        <w:tab/>
        <w:t>[(1), (2)</w:t>
      </w:r>
      <w:r>
        <w:tab/>
        <w:t>deleted]</w:t>
      </w:r>
    </w:p>
    <w:p>
      <w:pPr>
        <w:pStyle w:val="Subsection"/>
        <w:rPr>
          <w:snapToGrid w:val="0"/>
        </w:rPr>
      </w:pPr>
      <w:r>
        <w:tab/>
        <w:t>(3)</w:t>
      </w:r>
      <w:r>
        <w:tab/>
      </w:r>
      <w:r>
        <w:rPr>
          <w:snapToGrid w:val="0"/>
        </w:rPr>
        <w:t>Where, in a prosecution for an offence under this Division involving clearing, it is proved that clearing has taken place on land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rPr>
          <w:snapToGrid w:val="0"/>
        </w:rPr>
      </w:pPr>
      <w:r>
        <w:rPr>
          <w:snapToGrid w:val="0"/>
        </w:rPr>
        <w:tab/>
        <w:t>(4)</w:t>
      </w:r>
      <w:r>
        <w:rPr>
          <w:snapToGrid w:val="0"/>
        </w:rPr>
        <w:tab/>
        <w:t>Subsection (3) does not affect the liability of any other person for the offence concerned.</w:t>
      </w:r>
    </w:p>
    <w:p>
      <w:pPr>
        <w:pStyle w:val="Subsection"/>
        <w:rPr>
          <w:snapToGrid w:val="0"/>
        </w:rPr>
      </w:pPr>
      <w:r>
        <w:lastRenderedPageBreak/>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rPr>
          <w:snapToGrid w:val="0"/>
        </w:rPr>
      </w:pPr>
      <w:r>
        <w:rPr>
          <w:snapToGrid w:val="0"/>
        </w:rPr>
        <w:tab/>
        <w:t>(6)</w:t>
      </w:r>
      <w:r>
        <w:rPr>
          <w:snapToGrid w:val="0"/>
        </w:rPr>
        <w:tab/>
        <w:t>For the purposes of this Division, if —</w:t>
      </w:r>
    </w:p>
    <w:p>
      <w:pPr>
        <w:pStyle w:val="Indenta"/>
        <w:rPr>
          <w:snapToGrid w:val="0"/>
        </w:rPr>
      </w:pPr>
      <w:r>
        <w:rPr>
          <w:snapToGrid w:val="0"/>
        </w:rPr>
        <w:tab/>
        <w:t>(a)</w:t>
      </w:r>
      <w:r>
        <w:rPr>
          <w:snapToGrid w:val="0"/>
        </w:rPr>
        <w:tab/>
        <w:t>land is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spacing w:before="180"/>
        <w:rPr>
          <w:snapToGrid w:val="0"/>
        </w:rPr>
      </w:pPr>
      <w:r>
        <w:rPr>
          <w:snapToGrid w:val="0"/>
        </w:rPr>
        <w:tab/>
      </w:r>
      <w:r>
        <w:rPr>
          <w:snapToGrid w:val="0"/>
        </w:rPr>
        <w:tab/>
        <w:t>the permit holder is to be regarded as having caused the contravention unless the contrary is proved.</w:t>
      </w:r>
    </w:p>
    <w:p>
      <w:pPr>
        <w:pStyle w:val="Subsection"/>
        <w:rPr>
          <w:snapToGrid w:val="0"/>
        </w:rPr>
      </w:pPr>
      <w:r>
        <w:rPr>
          <w:snapToGrid w:val="0"/>
        </w:rPr>
        <w:tab/>
        <w:t>(7)</w:t>
      </w:r>
      <w:r>
        <w:rPr>
          <w:snapToGrid w:val="0"/>
        </w:rPr>
        <w:tab/>
        <w:t>In subsection (6)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51R inserted: No. 54 of 2003 s. 110(1); amended: No. 84 of 2004 s. 80; No. 40 of 2020 s. 58.]</w:t>
      </w:r>
    </w:p>
    <w:p>
      <w:pPr>
        <w:pStyle w:val="Heading5"/>
      </w:pPr>
      <w:bookmarkStart w:id="162" w:name="_Toc158985447"/>
      <w:r>
        <w:rPr>
          <w:rStyle w:val="CharSectno"/>
        </w:rPr>
        <w:t>51S</w:t>
      </w:r>
      <w:r>
        <w:rPr>
          <w:snapToGrid w:val="0"/>
        </w:rPr>
        <w:t>.</w:t>
      </w:r>
      <w:r>
        <w:rPr>
          <w:snapToGrid w:val="0"/>
        </w:rPr>
        <w:tab/>
      </w:r>
      <w:r>
        <w:t>Clearing injunctions</w:t>
      </w:r>
      <w:bookmarkEnd w:id="162"/>
    </w:p>
    <w:p>
      <w:pPr>
        <w:pStyle w:val="Subsection"/>
      </w:pPr>
      <w:r>
        <w:tab/>
        <w:t>(1)</w:t>
      </w:r>
      <w:r>
        <w:tab/>
        <w:t>In this section —</w:t>
      </w:r>
    </w:p>
    <w:p>
      <w:pPr>
        <w:pStyle w:val="Defstart"/>
      </w:pPr>
      <w:r>
        <w:tab/>
      </w:r>
      <w:r>
        <w:rPr>
          <w:rStyle w:val="CharDefText"/>
        </w:rPr>
        <w:t>contravention</w:t>
      </w:r>
      <w:r>
        <w:t xml:space="preserve"> includes the continuation of a contravention;</w:t>
      </w:r>
    </w:p>
    <w:p>
      <w:pPr>
        <w:pStyle w:val="Defstart"/>
      </w:pPr>
      <w:r>
        <w:tab/>
      </w:r>
      <w:r>
        <w:rPr>
          <w:rStyle w:val="CharDefText"/>
        </w:rPr>
        <w:t>court</w:t>
      </w:r>
      <w:r>
        <w:t xml:space="preserve"> means the Supreme Court;</w:t>
      </w:r>
    </w:p>
    <w:p>
      <w:pPr>
        <w:pStyle w:val="Defstart"/>
      </w:pPr>
      <w:r>
        <w:tab/>
      </w:r>
      <w:r>
        <w:rPr>
          <w:rStyle w:val="CharDefText"/>
        </w:rPr>
        <w:t>improper conduct</w:t>
      </w:r>
      <w:r>
        <w:t xml:space="preserve"> means an act or omission constituting a contravention of, or involvement in a contravention of, section 51C or 51J;</w:t>
      </w:r>
    </w:p>
    <w:p>
      <w:pPr>
        <w:pStyle w:val="Defstart"/>
        <w:keepNext/>
      </w:pPr>
      <w:r>
        <w:lastRenderedPageBreak/>
        <w:tab/>
      </w:r>
      <w:r>
        <w:rPr>
          <w:rStyle w:val="CharDefText"/>
        </w:rPr>
        <w:t>involvement in a contravention</w:t>
      </w:r>
      <w:r>
        <w:t xml:space="preserve"> means —</w:t>
      </w:r>
    </w:p>
    <w:p>
      <w:pPr>
        <w:pStyle w:val="Defpara"/>
      </w:pPr>
      <w:r>
        <w:tab/>
        <w:t>(a)</w:t>
      </w:r>
      <w:r>
        <w:tab/>
        <w:t>aiding, abetting, counselling, or procuring the contravention; or</w:t>
      </w:r>
    </w:p>
    <w:p>
      <w:pPr>
        <w:pStyle w:val="Defpara"/>
      </w:pPr>
      <w:r>
        <w:tab/>
        <w:t>(b)</w:t>
      </w:r>
      <w:r>
        <w:tab/>
        <w:t>inducing the contravention, whether by threats or promises or otherwise; or</w:t>
      </w:r>
    </w:p>
    <w:p>
      <w:pPr>
        <w:pStyle w:val="Defpara"/>
      </w:pPr>
      <w:r>
        <w:tab/>
        <w:t>(c)</w:t>
      </w:r>
      <w:r>
        <w:tab/>
        <w:t>being in any way, directly or indirectly, knowingly concerned in, or party to, the contravention; or</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pPr>
        <w:pStyle w:val="Subsection"/>
      </w:pPr>
      <w:r>
        <w:tab/>
        <w:t>(3)</w:t>
      </w:r>
      <w:r>
        <w:tab/>
        <w:t>The CEO may apply for a clearing injunction.</w:t>
      </w:r>
    </w:p>
    <w:p>
      <w:pPr>
        <w:pStyle w:val="Subsection"/>
      </w:pPr>
      <w:r>
        <w:tab/>
        <w:t>(4)</w:t>
      </w:r>
      <w:r>
        <w:tab/>
        <w:t>A clearing injunction may be granted if the court is satisfied that it would be appropriate to grant the injunction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 or</w:t>
      </w:r>
    </w:p>
    <w:p>
      <w:pPr>
        <w:pStyle w:val="Indenta"/>
      </w:pPr>
      <w:r>
        <w:lastRenderedPageBreak/>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No. 54 of 2003 s. 110(1).]</w:t>
      </w:r>
    </w:p>
    <w:p>
      <w:pPr>
        <w:pStyle w:val="Heading5"/>
      </w:pPr>
      <w:bookmarkStart w:id="163" w:name="_Toc158985448"/>
      <w:r>
        <w:rPr>
          <w:rStyle w:val="CharSectno"/>
        </w:rPr>
        <w:t>51T</w:t>
      </w:r>
      <w:r>
        <w:t>.</w:t>
      </w:r>
      <w:r>
        <w:tab/>
        <w:t>Other laws as to clearing vegetation not affected by this Division</w:t>
      </w:r>
      <w:bookmarkEnd w:id="163"/>
    </w:p>
    <w:p>
      <w:pPr>
        <w:pStyle w:val="Subsection"/>
      </w:pPr>
      <w:r>
        <w:tab/>
      </w:r>
      <w:r>
        <w:tab/>
        <w:t>Despite section 5, the operation of any other enactment under which a permit, permission, licence, approval or other authorisation is required in relation to the clearing of vegetation is not affected by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No. 54 of 2003 s. 110(1).]</w:t>
      </w:r>
    </w:p>
    <w:p>
      <w:pPr>
        <w:pStyle w:val="Heading3"/>
      </w:pPr>
      <w:bookmarkStart w:id="164" w:name="_Toc158980780"/>
      <w:bookmarkStart w:id="165" w:name="_Toc158981179"/>
      <w:bookmarkStart w:id="166" w:name="_Toc158985449"/>
      <w:r>
        <w:rPr>
          <w:rStyle w:val="CharDivNo"/>
        </w:rPr>
        <w:t>Division 3</w:t>
      </w:r>
      <w:r>
        <w:t xml:space="preserve"> — </w:t>
      </w:r>
      <w:r>
        <w:rPr>
          <w:rStyle w:val="CharDivText"/>
        </w:rPr>
        <w:t>Prescribed premises, works approvals and licences</w:t>
      </w:r>
      <w:bookmarkEnd w:id="164"/>
      <w:bookmarkEnd w:id="165"/>
      <w:bookmarkEnd w:id="166"/>
    </w:p>
    <w:p>
      <w:pPr>
        <w:pStyle w:val="Footnotesection"/>
      </w:pPr>
      <w:r>
        <w:tab/>
        <w:t>[Heading inserted: No. 54 of 2003 s. 39.]</w:t>
      </w:r>
    </w:p>
    <w:p>
      <w:pPr>
        <w:pStyle w:val="Heading5"/>
        <w:rPr>
          <w:snapToGrid w:val="0"/>
        </w:rPr>
      </w:pPr>
      <w:bookmarkStart w:id="167" w:name="_Toc158985450"/>
      <w:r>
        <w:rPr>
          <w:rStyle w:val="CharSectno"/>
        </w:rPr>
        <w:t>52</w:t>
      </w:r>
      <w:r>
        <w:rPr>
          <w:snapToGrid w:val="0"/>
        </w:rPr>
        <w:t>.</w:t>
      </w:r>
      <w:r>
        <w:rPr>
          <w:snapToGrid w:val="0"/>
        </w:rPr>
        <w:tab/>
        <w:t>Changing premises to become prescribed premises requires approval</w:t>
      </w:r>
      <w:bookmarkEnd w:id="167"/>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No. 54 of 2003 s. 70.]</w:t>
      </w:r>
    </w:p>
    <w:p>
      <w:pPr>
        <w:pStyle w:val="Heading5"/>
        <w:rPr>
          <w:snapToGrid w:val="0"/>
        </w:rPr>
      </w:pPr>
      <w:bookmarkStart w:id="168" w:name="_Toc158985451"/>
      <w:r>
        <w:rPr>
          <w:rStyle w:val="CharSectno"/>
        </w:rPr>
        <w:t>53</w:t>
      </w:r>
      <w:r>
        <w:rPr>
          <w:snapToGrid w:val="0"/>
        </w:rPr>
        <w:t>.</w:t>
      </w:r>
      <w:r>
        <w:rPr>
          <w:snapToGrid w:val="0"/>
        </w:rPr>
        <w:tab/>
        <w:t>Prescribed premises, restrictions as to changes to etc.</w:t>
      </w:r>
      <w:bookmarkEnd w:id="168"/>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w:t>
      </w:r>
      <w:r>
        <w:lastRenderedPageBreak/>
        <w:t>volume of the waste, noise, odour or electromagnetic radiation emitted</w:t>
      </w:r>
      <w:r>
        <w:rPr>
          <w:snapToGrid w:val="0"/>
        </w:rPr>
        <w:t>, from the prescribed premises —</w:t>
      </w:r>
    </w:p>
    <w:p>
      <w:pPr>
        <w:pStyle w:val="Indenta"/>
        <w:rPr>
          <w:snapToGrid w:val="0"/>
        </w:rPr>
      </w:pPr>
      <w:r>
        <w:rPr>
          <w:snapToGrid w:val="0"/>
        </w:rPr>
        <w:tab/>
        <w:t>(a)</w:t>
      </w:r>
      <w:r>
        <w:rPr>
          <w:snapToGrid w:val="0"/>
        </w:rPr>
        <w:tab/>
        <w:t>alters the method of operation of any trade, or of any process used in any trade, carried on at the prescribed premises; or</w:t>
      </w:r>
    </w:p>
    <w:p>
      <w:pPr>
        <w:pStyle w:val="Indenta"/>
        <w:rPr>
          <w:snapToGrid w:val="0"/>
        </w:rPr>
      </w:pPr>
      <w:r>
        <w:rPr>
          <w:snapToGrid w:val="0"/>
        </w:rPr>
        <w:tab/>
        <w:t>(b)</w:t>
      </w:r>
      <w:r>
        <w:rPr>
          <w:snapToGrid w:val="0"/>
        </w:rPr>
        <w:tab/>
        <w:t>constructs, installs or alters any equipment on the prescribed premises for —</w:t>
      </w:r>
    </w:p>
    <w:p>
      <w:pPr>
        <w:pStyle w:val="Indenti"/>
        <w:rPr>
          <w:snapToGrid w:val="0"/>
        </w:rPr>
      </w:pPr>
      <w:r>
        <w:rPr>
          <w:snapToGrid w:val="0"/>
        </w:rPr>
        <w:tab/>
        <w:t>(i)</w:t>
      </w:r>
      <w:r>
        <w:rPr>
          <w:snapToGrid w:val="0"/>
        </w:rPr>
        <w:tab/>
        <w:t>the storage, handling, transport or treatment of waste prior to, and for the purpose of, the discharge of waste; or</w:t>
      </w:r>
    </w:p>
    <w:p>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rPr>
          <w:snapToGrid w:val="0"/>
        </w:rPr>
      </w:pPr>
      <w:r>
        <w:rPr>
          <w:snapToGrid w:val="0"/>
        </w:rPr>
        <w:tab/>
      </w:r>
      <w:r>
        <w:rPr>
          <w:snapToGrid w:val="0"/>
        </w:rPr>
        <w:tab/>
        <w:t>into the environment; or</w:t>
      </w:r>
    </w:p>
    <w:p>
      <w:pPr>
        <w:pStyle w:val="Indenta"/>
        <w:rPr>
          <w:snapToGrid w:val="0"/>
        </w:rPr>
      </w:pPr>
      <w:r>
        <w:rPr>
          <w:snapToGrid w:val="0"/>
        </w:rPr>
        <w:tab/>
        <w:t>(c)</w:t>
      </w:r>
      <w:r>
        <w:rPr>
          <w:snapToGrid w:val="0"/>
        </w:rPr>
        <w:tab/>
        <w:t>alters the type of materials or products used or produced in any trade carried on at the prescribed premises; or</w:t>
      </w:r>
    </w:p>
    <w:p>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w:t>
      </w:r>
    </w:p>
    <w:p>
      <w:pPr>
        <w:pStyle w:val="Indenta"/>
        <w:rPr>
          <w:snapToGrid w:val="0"/>
        </w:rPr>
      </w:pPr>
      <w:r>
        <w:rPr>
          <w:snapToGrid w:val="0"/>
        </w:rPr>
        <w:tab/>
        <w:t>(f)</w:t>
      </w:r>
      <w:r>
        <w:rPr>
          <w:snapToGrid w:val="0"/>
        </w:rPr>
        <w:tab/>
        <w:t>in accordance with —</w:t>
      </w:r>
    </w:p>
    <w:p>
      <w:pPr>
        <w:pStyle w:val="Indenti"/>
        <w:rPr>
          <w:snapToGrid w:val="0"/>
        </w:rPr>
      </w:pPr>
      <w:r>
        <w:rPr>
          <w:snapToGrid w:val="0"/>
        </w:rPr>
        <w:tab/>
        <w:t>(i)</w:t>
      </w:r>
      <w:r>
        <w:rPr>
          <w:snapToGrid w:val="0"/>
        </w:rPr>
        <w:tab/>
        <w:t>a works approval; or</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lastRenderedPageBreak/>
        <w:tab/>
        <w:t>(g)</w:t>
      </w:r>
      <w:r>
        <w:rPr>
          <w:snapToGrid w:val="0"/>
        </w:rPr>
        <w:tab/>
        <w:t>only in the course of and for the purpose of general maintenance required to maintain the efficient operation of any pollution control equipment or procedure.</w:t>
      </w:r>
    </w:p>
    <w:p>
      <w:pPr>
        <w:pStyle w:val="Subsection"/>
        <w:rPr>
          <w:snapToGrid w:val="0"/>
        </w:rPr>
      </w:pPr>
      <w:r>
        <w:rPr>
          <w:snapToGrid w:val="0"/>
        </w:rPr>
        <w:tab/>
        <w:t>(2)</w:t>
      </w:r>
      <w:r>
        <w:rPr>
          <w:snapToGrid w:val="0"/>
        </w:rPr>
        <w:tab/>
        <w:t>Subject to this Act, the occupier of any prescribed premises who in or on the prescribed premises —</w:t>
      </w:r>
    </w:p>
    <w:p>
      <w:pPr>
        <w:pStyle w:val="Indenta"/>
        <w:spacing w:before="100"/>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keepNext/>
        <w:spacing w:before="100"/>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w:t>
      </w:r>
    </w:p>
    <w:p>
      <w:pPr>
        <w:pStyle w:val="Indenta"/>
        <w:spacing w:before="100"/>
        <w:rPr>
          <w:snapToGrid w:val="0"/>
        </w:rPr>
      </w:pPr>
      <w:r>
        <w:rPr>
          <w:snapToGrid w:val="0"/>
        </w:rPr>
        <w:tab/>
        <w:t>(c)</w:t>
      </w:r>
      <w:r>
        <w:rPr>
          <w:snapToGrid w:val="0"/>
        </w:rPr>
        <w:tab/>
        <w:t>in accordance with —</w:t>
      </w:r>
    </w:p>
    <w:p>
      <w:pPr>
        <w:pStyle w:val="Indenti"/>
        <w:spacing w:before="100"/>
        <w:rPr>
          <w:snapToGrid w:val="0"/>
        </w:rPr>
      </w:pPr>
      <w:r>
        <w:rPr>
          <w:snapToGrid w:val="0"/>
        </w:rPr>
        <w:tab/>
        <w:t>(i)</w:t>
      </w:r>
      <w:r>
        <w:rPr>
          <w:snapToGrid w:val="0"/>
        </w:rPr>
        <w:tab/>
        <w:t>a works approval; or</w:t>
      </w:r>
    </w:p>
    <w:p>
      <w:pPr>
        <w:pStyle w:val="Indenti"/>
        <w:spacing w:before="100"/>
        <w:rPr>
          <w:snapToGrid w:val="0"/>
        </w:rPr>
      </w:pPr>
      <w:r>
        <w:rPr>
          <w:snapToGrid w:val="0"/>
        </w:rPr>
        <w:tab/>
        <w:t>(ii)</w:t>
      </w:r>
      <w:r>
        <w:rPr>
          <w:snapToGrid w:val="0"/>
        </w:rPr>
        <w:tab/>
        <w:t>a licence; or</w:t>
      </w:r>
    </w:p>
    <w:p>
      <w:pPr>
        <w:pStyle w:val="Indenti"/>
        <w:spacing w:before="100"/>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spacing w:before="100"/>
        <w:rPr>
          <w:snapToGrid w:val="0"/>
        </w:rPr>
      </w:pPr>
      <w:r>
        <w:rPr>
          <w:snapToGrid w:val="0"/>
        </w:rPr>
        <w:tab/>
      </w:r>
      <w:r>
        <w:rPr>
          <w:snapToGrid w:val="0"/>
        </w:rPr>
        <w:tab/>
        <w:t>as the case requires; or</w:t>
      </w:r>
    </w:p>
    <w:p>
      <w:pPr>
        <w:pStyle w:val="Indenta"/>
        <w:spacing w:before="10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ind w:left="890" w:hanging="890"/>
      </w:pPr>
      <w:r>
        <w:tab/>
        <w:t>[Section 53 amended: No. 54 of 2003 s. 40 and 71.]</w:t>
      </w:r>
    </w:p>
    <w:p>
      <w:pPr>
        <w:pStyle w:val="Heading5"/>
        <w:rPr>
          <w:snapToGrid w:val="0"/>
        </w:rPr>
      </w:pPr>
      <w:bookmarkStart w:id="169" w:name="_Toc158985452"/>
      <w:r>
        <w:rPr>
          <w:rStyle w:val="CharSectno"/>
        </w:rPr>
        <w:lastRenderedPageBreak/>
        <w:t>54</w:t>
      </w:r>
      <w:r>
        <w:rPr>
          <w:snapToGrid w:val="0"/>
        </w:rPr>
        <w:t>.</w:t>
      </w:r>
      <w:r>
        <w:rPr>
          <w:snapToGrid w:val="0"/>
        </w:rPr>
        <w:tab/>
        <w:t>Works approvals, applying for, granting, refusing etc.</w:t>
      </w:r>
      <w:bookmarkEnd w:id="169"/>
    </w:p>
    <w:p>
      <w:pPr>
        <w:pStyle w:val="Subsection"/>
        <w:keepNext/>
        <w:keepLines/>
        <w:rPr>
          <w:snapToGrid w:val="0"/>
        </w:rPr>
      </w:pPr>
      <w:r>
        <w:rPr>
          <w:snapToGrid w:val="0"/>
        </w:rPr>
        <w:tab/>
        <w:t>(1)</w:t>
      </w:r>
      <w:r>
        <w:rPr>
          <w:snapToGrid w:val="0"/>
        </w:rPr>
        <w:tab/>
        <w:t>An application for a works approval shall be —</w:t>
      </w:r>
    </w:p>
    <w:p>
      <w:pPr>
        <w:pStyle w:val="Indenta"/>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spacing w:before="140"/>
      </w:pPr>
      <w:r>
        <w:lastRenderedPageBreak/>
        <w:tab/>
        <w:t>(3a)</w:t>
      </w:r>
      <w:r>
        <w:tab/>
        <w:t>The CEO is to give the applicant</w:t>
      </w:r>
      <w:r>
        <w:rPr>
          <w:snapToGrid w:val="0"/>
        </w:rPr>
        <w:t xml:space="preserve"> </w:t>
      </w:r>
      <w:r>
        <w:t>written notice of the refusal to grant a works approval.</w:t>
      </w:r>
    </w:p>
    <w:p>
      <w:pPr>
        <w:pStyle w:val="Subsection"/>
        <w:spacing w:before="140"/>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spacing w:before="60"/>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spacing w:before="60"/>
        <w:rPr>
          <w:snapToGrid w:val="0"/>
        </w:rPr>
      </w:pPr>
      <w:r>
        <w:tab/>
        <w:t>(b)</w:t>
      </w:r>
      <w:r>
        <w:tab/>
        <w:t xml:space="preserve">contrary to, or </w:t>
      </w:r>
      <w:r>
        <w:rPr>
          <w:snapToGrid w:val="0"/>
        </w:rPr>
        <w:t>otherwise than in accordance with, an implementation agreement or decision.</w:t>
      </w:r>
    </w:p>
    <w:p>
      <w:pPr>
        <w:pStyle w:val="Subsection"/>
        <w:spacing w:before="140"/>
      </w:pPr>
      <w:r>
        <w:tab/>
        <w:t>(5A)</w:t>
      </w:r>
      <w:r>
        <w:tab/>
        <w:t>Subsection (4) does not apply if the application is for a works approval for the purpose of doing minor or preliminary work to which the Authority has consented under section 41A(3).</w:t>
      </w:r>
    </w:p>
    <w:p>
      <w:pPr>
        <w:pStyle w:val="Subsection"/>
        <w:spacing w:before="14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spacing w:before="100"/>
      </w:pPr>
      <w:r>
        <w:tab/>
        <w:t>[Section 54 amended: No. 54 of 2003 s. 72 and 140(2); No. 40 of 2010 s. 16.]</w:t>
      </w:r>
    </w:p>
    <w:p>
      <w:pPr>
        <w:pStyle w:val="Heading5"/>
        <w:rPr>
          <w:snapToGrid w:val="0"/>
        </w:rPr>
      </w:pPr>
      <w:bookmarkStart w:id="170" w:name="_Toc158985453"/>
      <w:r>
        <w:rPr>
          <w:rStyle w:val="CharSectno"/>
        </w:rPr>
        <w:t>55</w:t>
      </w:r>
      <w:r>
        <w:rPr>
          <w:snapToGrid w:val="0"/>
        </w:rPr>
        <w:t>.</w:t>
      </w:r>
      <w:r>
        <w:rPr>
          <w:snapToGrid w:val="0"/>
        </w:rPr>
        <w:tab/>
        <w:t>Contravening conditions of works approvals</w:t>
      </w:r>
      <w:bookmarkEnd w:id="170"/>
    </w:p>
    <w:p>
      <w:pPr>
        <w:pStyle w:val="Subsection"/>
        <w:spacing w:before="140"/>
        <w:rPr>
          <w:snapToGrid w:val="0"/>
        </w:rPr>
      </w:pPr>
      <w:r>
        <w:rPr>
          <w:snapToGrid w:val="0"/>
        </w:rPr>
        <w:tab/>
        <w:t>(1)</w:t>
      </w:r>
      <w:r>
        <w:rPr>
          <w:snapToGrid w:val="0"/>
        </w:rPr>
        <w:tab/>
        <w:t>The occupier of any premises to which a works approval relates (in this section called</w:t>
      </w:r>
      <w:r>
        <w:t xml:space="preserve"> the </w:t>
      </w:r>
      <w:r>
        <w:rPr>
          <w:rStyle w:val="CharDefText"/>
        </w:rPr>
        <w:t>relevant premises</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spacing w:before="140"/>
        <w:rPr>
          <w:snapToGrid w:val="0"/>
        </w:rPr>
      </w:pPr>
      <w:r>
        <w:rPr>
          <w:snapToGrid w:val="0"/>
        </w:rPr>
        <w:tab/>
        <w:t>(2)</w:t>
      </w:r>
      <w:r>
        <w:rPr>
          <w:snapToGrid w:val="0"/>
        </w:rPr>
        <w:tab/>
        <w:t>If —</w:t>
      </w:r>
    </w:p>
    <w:p>
      <w:pPr>
        <w:pStyle w:val="Indenta"/>
        <w:spacing w:before="60"/>
        <w:rPr>
          <w:snapToGrid w:val="0"/>
        </w:rPr>
      </w:pPr>
      <w:r>
        <w:rPr>
          <w:snapToGrid w:val="0"/>
        </w:rPr>
        <w:tab/>
        <w:t>(a)</w:t>
      </w:r>
      <w:r>
        <w:rPr>
          <w:snapToGrid w:val="0"/>
        </w:rPr>
        <w:tab/>
        <w:t>the relevant premises are shared by a corporation and a subsidiary or subsidiaries of the corporation; and</w:t>
      </w:r>
    </w:p>
    <w:p>
      <w:pPr>
        <w:pStyle w:val="Indenta"/>
        <w:spacing w:before="60"/>
        <w:rPr>
          <w:snapToGrid w:val="0"/>
        </w:rPr>
      </w:pPr>
      <w:r>
        <w:rPr>
          <w:snapToGrid w:val="0"/>
        </w:rPr>
        <w:lastRenderedPageBreak/>
        <w:tab/>
        <w:t>(b)</w:t>
      </w:r>
      <w:r>
        <w:rPr>
          <w:snapToGrid w:val="0"/>
        </w:rPr>
        <w:tab/>
        <w:t>the corporation or a subsidiary referred to in paragraph (a) is an occupier of the relevant premises; and</w:t>
      </w:r>
    </w:p>
    <w:p>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spacing w:before="120"/>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55 amended: No. 10 of 2001 s. 71; No. 54 of 2003 s. 73.]</w:t>
      </w:r>
    </w:p>
    <w:p>
      <w:pPr>
        <w:pStyle w:val="Heading5"/>
        <w:spacing w:before="240"/>
        <w:rPr>
          <w:snapToGrid w:val="0"/>
        </w:rPr>
      </w:pPr>
      <w:bookmarkStart w:id="171" w:name="_Toc158985454"/>
      <w:r>
        <w:rPr>
          <w:rStyle w:val="CharSectno"/>
        </w:rPr>
        <w:t>56</w:t>
      </w:r>
      <w:r>
        <w:rPr>
          <w:snapToGrid w:val="0"/>
        </w:rPr>
        <w:t>.</w:t>
      </w:r>
      <w:r>
        <w:rPr>
          <w:snapToGrid w:val="0"/>
        </w:rPr>
        <w:tab/>
        <w:t>Occupiers of prescribed premises to be licensed for emissions etc.</w:t>
      </w:r>
      <w:bookmarkEnd w:id="171"/>
    </w:p>
    <w:p>
      <w:pPr>
        <w:pStyle w:val="Subsection"/>
        <w:rPr>
          <w:snapToGrid w:val="0"/>
        </w:rPr>
      </w:pPr>
      <w:r>
        <w:rPr>
          <w:snapToGrid w:val="0"/>
        </w:rPr>
        <w:tab/>
        <w:t>(1)</w:t>
      </w:r>
      <w:r>
        <w:rPr>
          <w:snapToGrid w:val="0"/>
        </w:rPr>
        <w:tab/>
        <w:t>Subject to this Act, the occupier of any prescribed premises who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2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keepNext/>
      </w:pPr>
      <w:r>
        <w:lastRenderedPageBreak/>
        <w:tab/>
        <w:t>(2)</w:t>
      </w:r>
      <w:r>
        <w:tab/>
        <w:t>Subsection (1) does not apply if the emission is caused, increased or altered —</w:t>
      </w:r>
    </w:p>
    <w:p>
      <w:pPr>
        <w:pStyle w:val="Indenta"/>
      </w:pPr>
      <w:r>
        <w:tab/>
        <w:t>(a)</w:t>
      </w:r>
      <w:r>
        <w:tab/>
        <w:t>as a result of anything done in accordance with a works approval; and</w:t>
      </w:r>
    </w:p>
    <w:p>
      <w:pPr>
        <w:pStyle w:val="Indenta"/>
        <w:keepNext/>
        <w:keepLines/>
      </w:pPr>
      <w:r>
        <w:tab/>
        <w:t>(b)</w:t>
      </w:r>
      <w:r>
        <w:tab/>
        <w:t>while the works approval is in force.</w:t>
      </w:r>
    </w:p>
    <w:p>
      <w:pPr>
        <w:pStyle w:val="Footnotesection"/>
        <w:ind w:left="890" w:hanging="890"/>
      </w:pPr>
      <w:r>
        <w:tab/>
        <w:t>[Section 56 amended: No. 54 of 2003 s. 41 and 74.]</w:t>
      </w:r>
    </w:p>
    <w:p>
      <w:pPr>
        <w:pStyle w:val="Heading5"/>
        <w:rPr>
          <w:snapToGrid w:val="0"/>
        </w:rPr>
      </w:pPr>
      <w:bookmarkStart w:id="172" w:name="_Toc158985455"/>
      <w:r>
        <w:rPr>
          <w:rStyle w:val="CharSectno"/>
        </w:rPr>
        <w:t>57</w:t>
      </w:r>
      <w:r>
        <w:rPr>
          <w:snapToGrid w:val="0"/>
        </w:rPr>
        <w:t>.</w:t>
      </w:r>
      <w:r>
        <w:rPr>
          <w:snapToGrid w:val="0"/>
        </w:rPr>
        <w:tab/>
        <w:t>Licences, applying for, granting, refusing etc.</w:t>
      </w:r>
      <w:bookmarkEnd w:id="172"/>
    </w:p>
    <w:p>
      <w:pPr>
        <w:pStyle w:val="Subsection"/>
        <w:keepNext/>
        <w:rPr>
          <w:snapToGrid w:val="0"/>
        </w:rPr>
      </w:pPr>
      <w:r>
        <w:rPr>
          <w:snapToGrid w:val="0"/>
        </w:rPr>
        <w:tab/>
        <w:t>(1)</w:t>
      </w:r>
      <w:r>
        <w:rPr>
          <w:snapToGrid w:val="0"/>
        </w:rPr>
        <w:tab/>
        <w:t>An application for a licence shall be —</w:t>
      </w:r>
    </w:p>
    <w:p>
      <w:pPr>
        <w:pStyle w:val="Indenta"/>
        <w:spacing w:before="100"/>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spacing w:before="10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10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spacing w:before="100"/>
        <w:rPr>
          <w:snapToGrid w:val="0"/>
        </w:rPr>
      </w:pPr>
      <w:r>
        <w:rPr>
          <w:snapToGrid w:val="0"/>
        </w:rPr>
        <w:tab/>
        <w:t>(a)</w:t>
      </w:r>
      <w:r>
        <w:rPr>
          <w:snapToGrid w:val="0"/>
        </w:rPr>
        <w:tab/>
        <w:t>if that application —</w:t>
      </w:r>
    </w:p>
    <w:p>
      <w:pPr>
        <w:pStyle w:val="Indenti"/>
        <w:spacing w:before="100"/>
        <w:rPr>
          <w:snapToGrid w:val="0"/>
        </w:rPr>
      </w:pPr>
      <w:r>
        <w:rPr>
          <w:snapToGrid w:val="0"/>
        </w:rPr>
        <w:tab/>
        <w:t>(i)</w:t>
      </w:r>
      <w:r>
        <w:rPr>
          <w:snapToGrid w:val="0"/>
        </w:rPr>
        <w:tab/>
        <w:t>does not comply with that subsection; or</w:t>
      </w:r>
    </w:p>
    <w:p>
      <w:pPr>
        <w:pStyle w:val="Indenti"/>
        <w:spacing w:before="100"/>
        <w:rPr>
          <w:snapToGrid w:val="0"/>
        </w:rPr>
      </w:pPr>
      <w:r>
        <w:rPr>
          <w:snapToGrid w:val="0"/>
        </w:rPr>
        <w:tab/>
        <w:t>(ii)</w:t>
      </w:r>
      <w:r>
        <w:rPr>
          <w:snapToGrid w:val="0"/>
        </w:rPr>
        <w:tab/>
        <w:t>relates to a matter in respect of which a works approval —</w:t>
      </w:r>
    </w:p>
    <w:p>
      <w:pPr>
        <w:pStyle w:val="IndentI0"/>
        <w:spacing w:before="10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t>(to the extent to which that completion and those conditions are relevant to that application)</w:t>
      </w:r>
      <w:r>
        <w:rPr>
          <w:snapToGrid w:val="0"/>
        </w:rPr>
        <w:t>; or</w:t>
      </w:r>
    </w:p>
    <w:p>
      <w:pPr>
        <w:pStyle w:val="IndentI0"/>
        <w:spacing w:before="100"/>
        <w:rPr>
          <w:snapToGrid w:val="0"/>
        </w:rPr>
      </w:pPr>
      <w:r>
        <w:rPr>
          <w:snapToGrid w:val="0"/>
        </w:rPr>
        <w:lastRenderedPageBreak/>
        <w:tab/>
        <w:t>(B)</w:t>
      </w:r>
      <w:r>
        <w:rPr>
          <w:snapToGrid w:val="0"/>
        </w:rPr>
        <w:tab/>
        <w:t>is required to be, and has not been, granted and the works concerned have not been completed,</w:t>
      </w:r>
    </w:p>
    <w:p>
      <w:pPr>
        <w:pStyle w:val="Indenta"/>
        <w:spacing w:before="100"/>
        <w:rPr>
          <w:snapToGrid w:val="0"/>
        </w:rPr>
      </w:pPr>
      <w:r>
        <w:rPr>
          <w:snapToGrid w:val="0"/>
        </w:rPr>
        <w:tab/>
      </w:r>
      <w:r>
        <w:rPr>
          <w:snapToGrid w:val="0"/>
        </w:rPr>
        <w:tab/>
        <w:t>decline to deal with that application and advise the applicant accordingly; or</w:t>
      </w:r>
    </w:p>
    <w:p>
      <w:pPr>
        <w:pStyle w:val="Indenta"/>
        <w:spacing w:before="100"/>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keepNext/>
        <w:rPr>
          <w:snapToGrid w:val="0"/>
        </w:rPr>
      </w:pPr>
      <w:r>
        <w:rPr>
          <w:snapToGrid w:val="0"/>
        </w:rPr>
        <w:lastRenderedPageBreak/>
        <w:tab/>
        <w:t>(ii)</w:t>
      </w:r>
      <w:r>
        <w:rPr>
          <w:snapToGrid w:val="0"/>
        </w:rPr>
        <w:tab/>
        <w:t>refuse to grant the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(4AA)</w:t>
      </w:r>
      <w:r>
        <w:tab/>
        <w:t>Subsection (4) does not apply if the application is for a licence for the purpose of doing minor or preliminary work to which the Authority has consented under section 41A(3).</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xml:space="preserve">, </w:t>
      </w:r>
      <w:r>
        <w:lastRenderedPageBreak/>
        <w:t>the CEO does not have to perform any duty imposed under subsection (3) while that decision has effect.</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designated area</w:t>
      </w:r>
      <w:r>
        <w:t xml:space="preserve"> means —</w:t>
      </w:r>
    </w:p>
    <w:p>
      <w:pPr>
        <w:pStyle w:val="Defpara"/>
        <w:spacing w:before="70"/>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 or</w:t>
      </w:r>
    </w:p>
    <w:p>
      <w:pPr>
        <w:pStyle w:val="Defpara"/>
        <w:spacing w:before="70"/>
      </w:pPr>
      <w:r>
        <w:tab/>
        <w:t>(b)</w:t>
      </w:r>
      <w:r>
        <w:tab/>
        <w:t xml:space="preserve">Underground Water Pollution Control Area constituted under the </w:t>
      </w:r>
      <w:r>
        <w:rPr>
          <w:i/>
        </w:rPr>
        <w:t>Metropolitan Water Supply, Sewerage, and Drainage Act 1909</w:t>
      </w:r>
      <w:r>
        <w:t>; or</w:t>
      </w:r>
    </w:p>
    <w:p>
      <w:pPr>
        <w:pStyle w:val="Defpara"/>
      </w:pPr>
      <w:r>
        <w:tab/>
        <w:t>(c)</w:t>
      </w:r>
      <w:r>
        <w:tab/>
        <w:t xml:space="preserve">watercourse or wetland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26B, or irrigation district constituted under section 28, of the </w:t>
      </w:r>
      <w:r>
        <w:rPr>
          <w:i/>
        </w:rPr>
        <w:t>Rights in Water and Irrigation Act 1914</w:t>
      </w:r>
      <w:r>
        <w:t>;</w:t>
      </w:r>
    </w:p>
    <w:p>
      <w:pPr>
        <w:pStyle w:val="Defstart"/>
        <w:keepNex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Footnotesection"/>
      </w:pPr>
      <w:r>
        <w:tab/>
        <w:t>[Section 57 amended: No. 73 of 1995 s. 188; No. 49 of 2000 s. 84; No. 54 of 2003 s. 75 and 140(2); No. 38 of 2007 s. 194; No. 40 of 2010 s. 17; No. 25 of 2012 s. 211.]</w:t>
      </w:r>
    </w:p>
    <w:p>
      <w:pPr>
        <w:pStyle w:val="Heading5"/>
        <w:spacing w:before="240"/>
        <w:rPr>
          <w:snapToGrid w:val="0"/>
        </w:rPr>
      </w:pPr>
      <w:bookmarkStart w:id="173" w:name="_Toc158985456"/>
      <w:r>
        <w:rPr>
          <w:rStyle w:val="CharSectno"/>
        </w:rPr>
        <w:t>58</w:t>
      </w:r>
      <w:r>
        <w:rPr>
          <w:snapToGrid w:val="0"/>
        </w:rPr>
        <w:t>.</w:t>
      </w:r>
      <w:r>
        <w:rPr>
          <w:snapToGrid w:val="0"/>
        </w:rPr>
        <w:tab/>
        <w:t>Contravening licence conditions</w:t>
      </w:r>
      <w:bookmarkEnd w:id="173"/>
    </w:p>
    <w:p>
      <w:pPr>
        <w:pStyle w:val="Subsection"/>
        <w:spacing w:before="180"/>
      </w:pPr>
      <w:r>
        <w:tab/>
        <w:t>(1)</w:t>
      </w:r>
      <w:r>
        <w:tab/>
        <w:t>A holder of a licence who contravenes a condition to which the licence is subject commits an offence.</w:t>
      </w:r>
    </w:p>
    <w:p>
      <w:pPr>
        <w:pStyle w:val="Subsection"/>
        <w:spacing w:before="18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keepNext/>
        <w:spacing w:before="180"/>
        <w:rPr>
          <w:snapToGrid w:val="0"/>
        </w:rPr>
      </w:pPr>
      <w:r>
        <w:rPr>
          <w:snapToGrid w:val="0"/>
        </w:rPr>
        <w:lastRenderedPageBreak/>
        <w:tab/>
        <w:t>(3)</w:t>
      </w:r>
      <w:r>
        <w:rPr>
          <w:snapToGrid w:val="0"/>
        </w:rPr>
        <w:tab/>
        <w:t>If —</w:t>
      </w:r>
    </w:p>
    <w:p>
      <w:pPr>
        <w:pStyle w:val="Indenta"/>
        <w:rPr>
          <w:snapToGrid w:val="0"/>
        </w:rPr>
      </w:pPr>
      <w:r>
        <w:rPr>
          <w:snapToGrid w:val="0"/>
        </w:rPr>
        <w:tab/>
        <w:t>(a)</w:t>
      </w:r>
      <w:r>
        <w:rPr>
          <w:snapToGrid w:val="0"/>
        </w:rPr>
        <w:tab/>
        <w:t>premises are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keepNext/>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keepNex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58 amended: No. 10 of 2001 s. 72; No. 54 of 2003 s. 76.]</w:t>
      </w:r>
    </w:p>
    <w:p>
      <w:pPr>
        <w:pStyle w:val="Heading5"/>
      </w:pPr>
      <w:bookmarkStart w:id="174" w:name="_Toc158985457"/>
      <w:r>
        <w:rPr>
          <w:rStyle w:val="CharSectno"/>
        </w:rPr>
        <w:t>59</w:t>
      </w:r>
      <w:r>
        <w:t>.</w:t>
      </w:r>
      <w:r>
        <w:tab/>
        <w:t>Amending works approval or licence</w:t>
      </w:r>
      <w:bookmarkEnd w:id="174"/>
    </w:p>
    <w:p>
      <w:pPr>
        <w:pStyle w:val="Subsection"/>
        <w:keepNext/>
      </w:pPr>
      <w:r>
        <w:tab/>
        <w:t>(1)</w:t>
      </w:r>
      <w:r>
        <w:tab/>
        <w:t>The CEO may amend a works approval or licence by —</w:t>
      </w:r>
    </w:p>
    <w:p>
      <w:pPr>
        <w:pStyle w:val="Indenta"/>
      </w:pPr>
      <w:r>
        <w:tab/>
        <w:t>(a)</w:t>
      </w:r>
      <w:r>
        <w:tab/>
        <w:t>removing or varying any condition to which the works approval or licence is subject; or</w:t>
      </w:r>
    </w:p>
    <w:p>
      <w:pPr>
        <w:pStyle w:val="Indenta"/>
      </w:pPr>
      <w:r>
        <w:tab/>
        <w:t>(b)</w:t>
      </w:r>
      <w:r>
        <w:tab/>
        <w:t>subjecting the works approval or licence to a new condition; or</w:t>
      </w:r>
    </w:p>
    <w:p>
      <w:pPr>
        <w:pStyle w:val="Indenta"/>
      </w:pPr>
      <w:r>
        <w:tab/>
        <w:t>(c)</w:t>
      </w:r>
      <w:r>
        <w:tab/>
        <w:t>redescribing the boundaries or area of the premises to which the works approval or licence applies; or</w:t>
      </w:r>
    </w:p>
    <w:p>
      <w:pPr>
        <w:pStyle w:val="Indenta"/>
      </w:pPr>
      <w:r>
        <w:tab/>
        <w:t>(d)</w:t>
      </w:r>
      <w:r>
        <w:tab/>
        <w:t>redescribing the purpose for which the premises to which the works approval or licence applies are used; or</w:t>
      </w:r>
    </w:p>
    <w:p>
      <w:pPr>
        <w:pStyle w:val="Indenta"/>
        <w:keepNext/>
      </w:pPr>
      <w:r>
        <w:lastRenderedPageBreak/>
        <w:tab/>
        <w:t>(e)</w:t>
      </w:r>
      <w:r>
        <w:tab/>
        <w:t>correcting in the works approval or licence —</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r>
      <w:r>
        <w:tab/>
        <w:t>or</w:t>
      </w:r>
    </w:p>
    <w:p>
      <w:pPr>
        <w:pStyle w:val="Indenta"/>
      </w:pPr>
      <w:r>
        <w:tab/>
        <w:t>(f)</w:t>
      </w:r>
      <w:r>
        <w:tab/>
        <w:t>making an administrative change to the format of the works approval or licence which does not alter the obligations of the occupier of the premises to which the works approval or licence relates; or</w:t>
      </w:r>
    </w:p>
    <w:p>
      <w:pPr>
        <w:pStyle w:val="Indenta"/>
      </w:pPr>
      <w:r>
        <w:tab/>
        <w:t>(g)</w:t>
      </w:r>
      <w:r>
        <w:tab/>
        <w:t>adding a discharge point or emission point; or</w:t>
      </w:r>
    </w:p>
    <w:p>
      <w:pPr>
        <w:pStyle w:val="Indenta"/>
      </w:pPr>
      <w:r>
        <w:tab/>
        <w:t>(h)</w:t>
      </w:r>
      <w:r>
        <w:tab/>
        <w:t>deleting any discharge point or emission point which is no longer in use; or</w:t>
      </w:r>
    </w:p>
    <w:p>
      <w:pPr>
        <w:pStyle w:val="Indenta"/>
      </w:pPr>
      <w:r>
        <w:tab/>
        <w:t>(i)</w:t>
      </w:r>
      <w:r>
        <w:tab/>
        <w:t>amending the works approval or licence in conformity with an approved policy or prescribed standard or with an exemption conferred under this Act; or</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pPr>
      <w:r>
        <w:tab/>
        <w:t>(2)</w:t>
      </w:r>
      <w:r>
        <w:tab/>
        <w:t>A works approval or licence may be amended on application by the holder of the works approval or licence or on the initiative of the CEO.</w:t>
      </w:r>
    </w:p>
    <w:p>
      <w:pPr>
        <w:pStyle w:val="Footnotesection"/>
      </w:pPr>
      <w:r>
        <w:tab/>
        <w:t>[Section 59 inserted: No. 54 of 2003 s. 77.]</w:t>
      </w:r>
    </w:p>
    <w:p>
      <w:pPr>
        <w:pStyle w:val="Heading5"/>
      </w:pPr>
      <w:bookmarkStart w:id="175" w:name="_Toc158985458"/>
      <w:r>
        <w:rPr>
          <w:rStyle w:val="CharSectno"/>
        </w:rPr>
        <w:t>59A</w:t>
      </w:r>
      <w:r>
        <w:t>.</w:t>
      </w:r>
      <w:r>
        <w:tab/>
        <w:t>Revoking or suspending works approval or licence</w:t>
      </w:r>
      <w:bookmarkEnd w:id="175"/>
    </w:p>
    <w:p>
      <w:pPr>
        <w:pStyle w:val="Subsection"/>
      </w:pPr>
      <w:r>
        <w:tab/>
        <w:t>(1)</w:t>
      </w:r>
      <w:r>
        <w:tab/>
        <w:t>The CEO may revoke or suspend a works approval or licence.</w:t>
      </w:r>
    </w:p>
    <w:p>
      <w:pPr>
        <w:pStyle w:val="Subsection"/>
        <w:keepNext/>
      </w:pPr>
      <w:r>
        <w:lastRenderedPageBreak/>
        <w:tab/>
        <w:t>(2)</w:t>
      </w:r>
      <w:r>
        <w:tab/>
        <w:t>The grounds for revocation or suspension of a works approval or licence are that —</w:t>
      </w:r>
    </w:p>
    <w:p>
      <w:pPr>
        <w:pStyle w:val="Indenta"/>
      </w:pPr>
      <w:r>
        <w:tab/>
        <w:t>(a)</w:t>
      </w:r>
      <w:r>
        <w:tab/>
        <w:t>the CEO is satisfied that there has been a breach of any of the conditions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r>
      <w:r>
        <w:tab/>
        <w:t>or</w:t>
      </w:r>
    </w:p>
    <w:p>
      <w:pPr>
        <w:pStyle w:val="Indenta"/>
      </w:pPr>
      <w:r>
        <w:tab/>
        <w:t>(b)</w:t>
      </w:r>
      <w:r>
        <w:tab/>
        <w:t>the premises to which the licence relates are exempted by the regulations from requiring a licence; or</w:t>
      </w:r>
    </w:p>
    <w:p>
      <w:pPr>
        <w:pStyle w:val="Indenta"/>
      </w:pPr>
      <w:r>
        <w:tab/>
        <w:t>(c)</w:t>
      </w:r>
      <w:r>
        <w:tab/>
        <w:t>information contained in or supporting the application was false or misleading in a material respect; or</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No. 54 of 2003 s. 77.]</w:t>
      </w:r>
    </w:p>
    <w:p>
      <w:pPr>
        <w:pStyle w:val="Heading5"/>
      </w:pPr>
      <w:bookmarkStart w:id="176" w:name="_Toc158985459"/>
      <w:r>
        <w:rPr>
          <w:rStyle w:val="CharSectno"/>
        </w:rPr>
        <w:t>59B</w:t>
      </w:r>
      <w:r>
        <w:t>.</w:t>
      </w:r>
      <w:r>
        <w:tab/>
        <w:t>Procedure for amending, revoking or suspending works approval or licence</w:t>
      </w:r>
      <w:bookmarkEnd w:id="176"/>
    </w:p>
    <w:p>
      <w:pPr>
        <w:pStyle w:val="Subsection"/>
      </w:pPr>
      <w:r>
        <w:tab/>
        <w:t>(1)</w:t>
      </w:r>
      <w:r>
        <w:tab/>
        <w:t>An application for an amendment to a works approval or licence or to surrender a works approval or licence is to —</w:t>
      </w:r>
    </w:p>
    <w:p>
      <w:pPr>
        <w:pStyle w:val="Indenta"/>
      </w:pPr>
      <w:r>
        <w:tab/>
        <w:t>(a)</w:t>
      </w:r>
      <w:r>
        <w:tab/>
        <w:t>be made in the manner and form approved by the CEO; and</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lastRenderedPageBreak/>
        <w:tab/>
        <w:t>(2)</w:t>
      </w:r>
      <w:r>
        <w:tab/>
        <w:t>Before amending, revoking or suspending a works approval or licence the CEO is to give the holder of the works approval or licence a written notice under this section.</w:t>
      </w:r>
    </w:p>
    <w:p>
      <w:pPr>
        <w:pStyle w:val="Subsection"/>
      </w:pPr>
      <w:r>
        <w:tab/>
        <w:t>(3)</w:t>
      </w:r>
      <w:r>
        <w:tab/>
        <w:t>The notice is to —</w:t>
      </w:r>
    </w:p>
    <w:p>
      <w:pPr>
        <w:pStyle w:val="Indenta"/>
      </w:pPr>
      <w:r>
        <w:tab/>
        <w:t>(a)</w:t>
      </w:r>
      <w:r>
        <w:tab/>
        <w:t>state details of the proposed action; and</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keepNext/>
      </w:pPr>
      <w:r>
        <w:tab/>
        <w:t>(5)</w:t>
      </w:r>
      <w:r>
        <w:tab/>
        <w:t>Subject to subsection (7), the CEO may take the proposed action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If the proposed amendment, revocation or suspension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lastRenderedPageBreak/>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No. 54 of 2003 s. 77.]</w:t>
      </w:r>
    </w:p>
    <w:p>
      <w:pPr>
        <w:pStyle w:val="Heading5"/>
        <w:rPr>
          <w:snapToGrid w:val="0"/>
        </w:rPr>
      </w:pPr>
      <w:bookmarkStart w:id="177" w:name="_Toc158985460"/>
      <w:r>
        <w:rPr>
          <w:rStyle w:val="CharSectno"/>
        </w:rPr>
        <w:t>60</w:t>
      </w:r>
      <w:r>
        <w:rPr>
          <w:snapToGrid w:val="0"/>
        </w:rPr>
        <w:t>.</w:t>
      </w:r>
      <w:r>
        <w:rPr>
          <w:snapToGrid w:val="0"/>
        </w:rPr>
        <w:tab/>
        <w:t>Relationship between works approvals or licences and approved policies</w:t>
      </w:r>
      <w:bookmarkEnd w:id="177"/>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tab/>
        <w:t>(3)</w:t>
      </w:r>
      <w:r>
        <w:tab/>
        <w:t>Despite anything in this section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lastRenderedPageBreak/>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No. 54 of 2003 s. 42, 78 and 140(2).]</w:t>
      </w:r>
    </w:p>
    <w:p>
      <w:pPr>
        <w:pStyle w:val="Heading5"/>
        <w:rPr>
          <w:snapToGrid w:val="0"/>
        </w:rPr>
      </w:pPr>
      <w:bookmarkStart w:id="178" w:name="_Toc158985461"/>
      <w:r>
        <w:rPr>
          <w:rStyle w:val="CharSectno"/>
        </w:rPr>
        <w:t>61</w:t>
      </w:r>
      <w:r>
        <w:t>.</w:t>
      </w:r>
      <w:r>
        <w:tab/>
      </w:r>
      <w:r>
        <w:rPr>
          <w:snapToGrid w:val="0"/>
        </w:rPr>
        <w:t>Duty of persons becoming occupiers of prescribed premises</w:t>
      </w:r>
      <w:bookmarkEnd w:id="178"/>
    </w:p>
    <w:p>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pPr>
        <w:pStyle w:val="Subsection"/>
        <w:spacing w:before="120"/>
      </w:pPr>
      <w:r>
        <w:tab/>
        <w:t>(2)</w:t>
      </w:r>
      <w:r>
        <w:tab/>
        <w:t xml:space="preserve">In this section, the day on which the new occupier becomes the occupier of the premises is referred to as the </w:t>
      </w:r>
      <w:r>
        <w:rPr>
          <w:rStyle w:val="CharDefText"/>
        </w:rPr>
        <w:t>relevant day</w:t>
      </w:r>
      <w:r>
        <w:t>.</w:t>
      </w:r>
    </w:p>
    <w:p>
      <w:pPr>
        <w:pStyle w:val="Subsection"/>
        <w:spacing w:before="120"/>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pPr>
        <w:pStyle w:val="Indenta"/>
        <w:rPr>
          <w:snapToGrid w:val="0"/>
        </w:rPr>
      </w:pPr>
      <w:r>
        <w:rPr>
          <w:snapToGrid w:val="0"/>
        </w:rPr>
        <w:tab/>
        <w:t>(a)</w:t>
      </w:r>
      <w:r>
        <w:rPr>
          <w:snapToGrid w:val="0"/>
        </w:rPr>
        <w:tab/>
        <w:t>under section 64 for the transfer of the existing authorisation to the new occupier; or</w:t>
      </w:r>
    </w:p>
    <w:p>
      <w:pPr>
        <w:pStyle w:val="Indenta"/>
        <w:rPr>
          <w:snapToGrid w:val="0"/>
        </w:rPr>
      </w:pPr>
      <w:r>
        <w:rPr>
          <w:snapToGrid w:val="0"/>
        </w:rPr>
        <w:tab/>
        <w:t>(b)</w:t>
      </w:r>
      <w:r>
        <w:rPr>
          <w:snapToGrid w:val="0"/>
        </w:rPr>
        <w:tab/>
        <w:t>under section 54 or 57 for a works approval or licence.</w:t>
      </w:r>
    </w:p>
    <w:p>
      <w:pPr>
        <w:pStyle w:val="Subsection"/>
        <w:rPr>
          <w:snapToGrid w:val="0"/>
        </w:rPr>
      </w:pPr>
      <w:r>
        <w:rPr>
          <w:snapToGrid w:val="0"/>
        </w:rPr>
        <w:tab/>
        <w:t>(4)</w:t>
      </w:r>
      <w:r>
        <w:rPr>
          <w:snapToGrid w:val="0"/>
        </w:rPr>
        <w:tab/>
        <w:t>If subsection (3) is not complied with, the new occupier commits an offence.</w:t>
      </w:r>
    </w:p>
    <w:p>
      <w:pPr>
        <w:pStyle w:val="Subsection"/>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rPr>
          <w:snapToGrid w:val="0"/>
        </w:rPr>
      </w:pPr>
      <w:r>
        <w:rPr>
          <w:snapToGrid w:val="0"/>
        </w:rPr>
        <w:lastRenderedPageBreak/>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No. 54 of 2003 s. 79.]</w:t>
      </w:r>
    </w:p>
    <w:p>
      <w:pPr>
        <w:pStyle w:val="Heading5"/>
      </w:pPr>
      <w:bookmarkStart w:id="179" w:name="_Toc158985462"/>
      <w:r>
        <w:rPr>
          <w:rStyle w:val="CharSectno"/>
        </w:rPr>
        <w:t>62</w:t>
      </w:r>
      <w:r>
        <w:t>.</w:t>
      </w:r>
      <w:r>
        <w:tab/>
        <w:t>Works approval and licence conditions</w:t>
      </w:r>
      <w:bookmarkEnd w:id="179"/>
    </w:p>
    <w:p>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pPr>
      <w:r>
        <w:tab/>
        <w:t>(3)</w:t>
      </w:r>
      <w:r>
        <w:tab/>
        <w:t>Subject to section 60 a condition is not to be inconsistent with an approved policy or a prescribed standard.</w:t>
      </w:r>
    </w:p>
    <w:p>
      <w:pPr>
        <w:pStyle w:val="Footnotesection"/>
      </w:pPr>
      <w:r>
        <w:tab/>
        <w:t>[Section 62 inserted: No. 54 of 2003 s. 79.]</w:t>
      </w:r>
    </w:p>
    <w:p>
      <w:pPr>
        <w:pStyle w:val="Heading5"/>
        <w:spacing w:before="180"/>
      </w:pPr>
      <w:bookmarkStart w:id="180" w:name="_Toc158985463"/>
      <w:r>
        <w:rPr>
          <w:rStyle w:val="CharSectno"/>
        </w:rPr>
        <w:t>62A</w:t>
      </w:r>
      <w:r>
        <w:t>.</w:t>
      </w:r>
      <w:r>
        <w:tab/>
        <w:t>Some kinds of conditions</w:t>
      </w:r>
      <w:bookmarkEnd w:id="180"/>
    </w:p>
    <w:p>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pPr>
        <w:pStyle w:val="Indenta"/>
      </w:pPr>
      <w:r>
        <w:tab/>
        <w:t>(a)</w:t>
      </w:r>
      <w:r>
        <w:tab/>
        <w:t>design, construct or operate any facilities or plant in accordance with specified criteria;</w:t>
      </w:r>
    </w:p>
    <w:p>
      <w:pPr>
        <w:pStyle w:val="Indenta"/>
      </w:pPr>
      <w:r>
        <w:tab/>
        <w:t>(b)</w:t>
      </w:r>
      <w:r>
        <w:tab/>
        <w:t xml:space="preserve">install or operate any equipment for preventing, controlling, abating or monitoring pollution or </w:t>
      </w:r>
      <w:r>
        <w:lastRenderedPageBreak/>
        <w:t>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spacing w:before="60"/>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pPr>
      <w:r>
        <w:tab/>
        <w:t>(k)</w:t>
      </w:r>
      <w:r>
        <w:tab/>
        <w:t>if practicable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keepNext/>
      </w:pPr>
      <w:r>
        <w:lastRenderedPageBreak/>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An occupier of premises who, being required under a condition attached to a works approval or licence to provide a report on monitoring data, or analysis of it, to the CEO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spacing w:before="120"/>
      </w:pPr>
      <w:r>
        <w:tab/>
      </w:r>
      <w:r>
        <w:tab/>
        <w:t>from those premises into the environment, and to the characteristics of the environment.</w:t>
      </w:r>
    </w:p>
    <w:p>
      <w:pPr>
        <w:pStyle w:val="Subsection"/>
        <w:keepNext/>
        <w:spacing w:before="120"/>
      </w:pPr>
      <w:r>
        <w:tab/>
        <w:t>(4)</w:t>
      </w:r>
      <w:r>
        <w:tab/>
        <w:t>In this section —</w:t>
      </w:r>
    </w:p>
    <w:p>
      <w:pPr>
        <w:pStyle w:val="Defstart"/>
        <w:keepNext/>
      </w:pPr>
      <w:r>
        <w:tab/>
      </w:r>
      <w:r>
        <w:rPr>
          <w:rStyle w:val="CharDefText"/>
        </w:rPr>
        <w:t>specified</w:t>
      </w:r>
      <w:r>
        <w:t xml:space="preserve"> means specified by the CEO in the works approval or licence concerned.</w:t>
      </w:r>
    </w:p>
    <w:p>
      <w:pPr>
        <w:pStyle w:val="Footnotesection"/>
        <w:spacing w:before="100"/>
      </w:pPr>
      <w:r>
        <w:tab/>
        <w:t>[Section 62A inserted: No. 54 of 2003 s. 79.]</w:t>
      </w:r>
    </w:p>
    <w:p>
      <w:pPr>
        <w:pStyle w:val="Heading5"/>
        <w:spacing w:before="200"/>
        <w:rPr>
          <w:snapToGrid w:val="0"/>
        </w:rPr>
      </w:pPr>
      <w:bookmarkStart w:id="181" w:name="_Toc158985464"/>
      <w:r>
        <w:rPr>
          <w:rStyle w:val="CharSectno"/>
        </w:rPr>
        <w:lastRenderedPageBreak/>
        <w:t>63</w:t>
      </w:r>
      <w:r>
        <w:rPr>
          <w:snapToGrid w:val="0"/>
        </w:rPr>
        <w:t>.</w:t>
      </w:r>
      <w:r>
        <w:rPr>
          <w:snapToGrid w:val="0"/>
        </w:rPr>
        <w:tab/>
        <w:t>Duration of works approvals and licences</w:t>
      </w:r>
      <w:bookmarkEnd w:id="181"/>
    </w:p>
    <w:p>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spacing w:before="200"/>
      </w:pPr>
      <w:bookmarkStart w:id="182" w:name="_Toc158985465"/>
      <w:r>
        <w:rPr>
          <w:rStyle w:val="CharSectno"/>
        </w:rPr>
        <w:t>63A</w:t>
      </w:r>
      <w:r>
        <w:t>.</w:t>
      </w:r>
      <w:r>
        <w:tab/>
        <w:t>CEO to keep and publish record of works approvals and licences</w:t>
      </w:r>
      <w:bookmarkEnd w:id="182"/>
      <w:r>
        <w:t xml:space="preserve"> </w:t>
      </w:r>
    </w:p>
    <w:p>
      <w:pPr>
        <w:pStyle w:val="Subsection"/>
        <w:spacing w:before="140"/>
      </w:pPr>
      <w:r>
        <w:tab/>
        <w:t>(1)</w:t>
      </w:r>
      <w:r>
        <w:tab/>
        <w:t>The CEO is to keep a record of such particulars of —</w:t>
      </w:r>
    </w:p>
    <w:p>
      <w:pPr>
        <w:pStyle w:val="Indenta"/>
        <w:spacing w:before="60"/>
      </w:pPr>
      <w:r>
        <w:tab/>
        <w:t>(a)</w:t>
      </w:r>
      <w:r>
        <w:tab/>
        <w:t>works approvals and licences; and</w:t>
      </w:r>
    </w:p>
    <w:p>
      <w:pPr>
        <w:pStyle w:val="Indenta"/>
        <w:spacing w:before="60"/>
      </w:pPr>
      <w:r>
        <w:tab/>
        <w:t>(b)</w:t>
      </w:r>
      <w:r>
        <w:tab/>
        <w:t>applications for works approvals and licences; and</w:t>
      </w:r>
    </w:p>
    <w:p>
      <w:pPr>
        <w:pStyle w:val="Indenta"/>
        <w:spacing w:before="60"/>
      </w:pPr>
      <w:r>
        <w:tab/>
        <w:t>(c)</w:t>
      </w:r>
      <w:r>
        <w:tab/>
        <w:t>applications for renewal of works approvals and licences; and</w:t>
      </w:r>
    </w:p>
    <w:p>
      <w:pPr>
        <w:pStyle w:val="Indenta"/>
        <w:spacing w:before="60"/>
      </w:pPr>
      <w:r>
        <w:tab/>
        <w:t>(d)</w:t>
      </w:r>
      <w:r>
        <w:tab/>
        <w:t>transfers of works approvals and licences,</w:t>
      </w:r>
    </w:p>
    <w:p>
      <w:pPr>
        <w:pStyle w:val="Subsection"/>
        <w:spacing w:before="120"/>
      </w:pPr>
      <w:r>
        <w:tab/>
      </w:r>
      <w:r>
        <w:tab/>
        <w:t>as are prescribed.</w:t>
      </w:r>
    </w:p>
    <w:p>
      <w:pPr>
        <w:pStyle w:val="Subsection"/>
        <w:spacing w:before="140"/>
      </w:pPr>
      <w:r>
        <w:tab/>
        <w:t>(2)</w:t>
      </w:r>
      <w:r>
        <w:tab/>
      </w:r>
      <w:r>
        <w:rPr>
          <w:snapToGrid w:val="0"/>
        </w:rPr>
        <w:t>The</w:t>
      </w:r>
      <w:r>
        <w:t xml:space="preserve"> CEO is to publish from time to time in a prescribed manner prescribed particulars of the record.</w:t>
      </w:r>
    </w:p>
    <w:p>
      <w:pPr>
        <w:pStyle w:val="Footnotesection"/>
        <w:spacing w:before="100"/>
      </w:pPr>
      <w:r>
        <w:tab/>
        <w:t>[Section 63A inserted: No. 54 of 2003 s. 43.]</w:t>
      </w:r>
    </w:p>
    <w:p>
      <w:pPr>
        <w:pStyle w:val="Heading5"/>
        <w:spacing w:before="200"/>
        <w:rPr>
          <w:snapToGrid w:val="0"/>
        </w:rPr>
      </w:pPr>
      <w:bookmarkStart w:id="183" w:name="_Toc158985466"/>
      <w:r>
        <w:rPr>
          <w:rStyle w:val="CharSectno"/>
        </w:rPr>
        <w:t>64</w:t>
      </w:r>
      <w:r>
        <w:rPr>
          <w:snapToGrid w:val="0"/>
        </w:rPr>
        <w:t>.</w:t>
      </w:r>
      <w:r>
        <w:rPr>
          <w:snapToGrid w:val="0"/>
        </w:rPr>
        <w:tab/>
        <w:t>Transfer of works approvals and licences</w:t>
      </w:r>
      <w:bookmarkEnd w:id="183"/>
    </w:p>
    <w:p>
      <w:pPr>
        <w:pStyle w:val="Subsection"/>
        <w:spacing w:before="120"/>
        <w:rPr>
          <w:snapToGrid w:val="0"/>
        </w:rPr>
      </w:pPr>
      <w:r>
        <w:rPr>
          <w:snapToGrid w:val="0"/>
        </w:rPr>
        <w:tab/>
        <w:t>(1)</w:t>
      </w:r>
      <w:r>
        <w:rPr>
          <w:snapToGrid w:val="0"/>
        </w:rPr>
        <w:tab/>
        <w:t>An application for the transfer of a works approval or licence shall be —</w:t>
      </w:r>
    </w:p>
    <w:p>
      <w:pPr>
        <w:pStyle w:val="Indenta"/>
        <w:spacing w:before="6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 and</w:t>
      </w:r>
    </w:p>
    <w:p>
      <w:pPr>
        <w:pStyle w:val="Indenta"/>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rPr>
          <w:snapToGrid w:val="0"/>
        </w:rPr>
      </w:pPr>
      <w:r>
        <w:rPr>
          <w:snapToGrid w:val="0"/>
        </w:rPr>
        <w:lastRenderedPageBreak/>
        <w:tab/>
        <w:t>(2)</w:t>
      </w:r>
      <w:r>
        <w:rPr>
          <w:snapToGrid w:val="0"/>
        </w:rPr>
        <w:tab/>
        <w:t xml:space="preserve">On receiving an application made under subsection (1), the </w:t>
      </w:r>
      <w:r>
        <w:t>CEO</w:t>
      </w:r>
      <w:r>
        <w:rPr>
          <w:snapToGrid w:val="0"/>
        </w:rPr>
        <w:t xml:space="preserve"> shall, subject to section 60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No. 54 of 2003 s. 80 and 140(2).]</w:t>
      </w:r>
    </w:p>
    <w:p>
      <w:pPr>
        <w:pStyle w:val="Heading3"/>
        <w:keepLines/>
      </w:pPr>
      <w:bookmarkStart w:id="184" w:name="_Toc158980798"/>
      <w:bookmarkStart w:id="185" w:name="_Toc158981197"/>
      <w:bookmarkStart w:id="186" w:name="_Toc158985467"/>
      <w:r>
        <w:rPr>
          <w:rStyle w:val="CharDivNo"/>
        </w:rPr>
        <w:t>Division 4</w:t>
      </w:r>
      <w:r>
        <w:t xml:space="preserve"> — </w:t>
      </w:r>
      <w:r>
        <w:rPr>
          <w:rStyle w:val="CharDivText"/>
        </w:rPr>
        <w:t>Notices, orders and directions</w:t>
      </w:r>
      <w:bookmarkEnd w:id="184"/>
      <w:bookmarkEnd w:id="185"/>
      <w:bookmarkEnd w:id="186"/>
    </w:p>
    <w:p>
      <w:pPr>
        <w:pStyle w:val="Footnotesection"/>
        <w:keepNext/>
      </w:pPr>
      <w:r>
        <w:tab/>
        <w:t>[Heading inserted: No. 54 of 2003 s. 44.]</w:t>
      </w:r>
    </w:p>
    <w:p>
      <w:pPr>
        <w:pStyle w:val="Heading5"/>
      </w:pPr>
      <w:bookmarkStart w:id="187" w:name="_Toc158985468"/>
      <w:r>
        <w:rPr>
          <w:rStyle w:val="CharSectno"/>
        </w:rPr>
        <w:t>64A</w:t>
      </w:r>
      <w:r>
        <w:t>.</w:t>
      </w:r>
      <w:r>
        <w:tab/>
        <w:t>CEO to keep records of notices</w:t>
      </w:r>
      <w:bookmarkEnd w:id="187"/>
    </w:p>
    <w:p>
      <w:pPr>
        <w:pStyle w:val="Subsection"/>
      </w:pPr>
      <w:r>
        <w:tab/>
      </w:r>
      <w:r>
        <w:tab/>
        <w:t>The CEO must keep a public record of such particulars of notices given under this Division as are prescribed.</w:t>
      </w:r>
    </w:p>
    <w:p>
      <w:pPr>
        <w:pStyle w:val="Footnotesection"/>
      </w:pPr>
      <w:r>
        <w:tab/>
        <w:t>[Section 64A inserted: No. 40 of 2020 s. 61.]</w:t>
      </w:r>
    </w:p>
    <w:p>
      <w:pPr>
        <w:pStyle w:val="Heading5"/>
        <w:rPr>
          <w:snapToGrid w:val="0"/>
        </w:rPr>
      </w:pPr>
      <w:bookmarkStart w:id="188" w:name="_Toc158985469"/>
      <w:r>
        <w:rPr>
          <w:rStyle w:val="CharSectno"/>
        </w:rPr>
        <w:t>65</w:t>
      </w:r>
      <w:r>
        <w:rPr>
          <w:snapToGrid w:val="0"/>
        </w:rPr>
        <w:t>.</w:t>
      </w:r>
      <w:r>
        <w:rPr>
          <w:snapToGrid w:val="0"/>
        </w:rPr>
        <w:tab/>
        <w:t>Environmental protection notices, issue and effect of</w:t>
      </w:r>
      <w:bookmarkEnd w:id="188"/>
    </w:p>
    <w:p>
      <w:pPr>
        <w:pStyle w:val="Subsection"/>
      </w:pPr>
      <w:r>
        <w:tab/>
        <w:t>(1)</w:t>
      </w:r>
      <w:r>
        <w:tab/>
        <w:t>If the CEO suspects on reasonable grounds that —</w:t>
      </w:r>
    </w:p>
    <w:p>
      <w:pPr>
        <w:pStyle w:val="Indenta"/>
      </w:pPr>
      <w:r>
        <w:tab/>
        <w:t>(a)</w:t>
      </w:r>
      <w:r>
        <w:tab/>
        <w:t>there is, or is likely to be, an emission from any premises, and the emission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r>
      <w:r>
        <w:tab/>
        <w:t>or</w:t>
      </w:r>
    </w:p>
    <w:p>
      <w:pPr>
        <w:pStyle w:val="Indenta"/>
      </w:pPr>
      <w:r>
        <w:tab/>
        <w:t>(b)</w:t>
      </w:r>
      <w:r>
        <w:tab/>
        <w:t>a person is doing, or is likely to do, an act in contravention of section 50A or 50B on any premises; or</w:t>
      </w:r>
    </w:p>
    <w:p>
      <w:pPr>
        <w:pStyle w:val="Indenta"/>
      </w:pPr>
      <w:r>
        <w:lastRenderedPageBreak/>
        <w:tab/>
        <w:t>(c)</w:t>
      </w:r>
      <w:r>
        <w:tab/>
        <w:t>an activity on premises does not comply with a standard required by or under an approved policy or a prescribed standard,</w:t>
      </w:r>
    </w:p>
    <w:p>
      <w:pPr>
        <w:pStyle w:val="Subsection"/>
      </w:pPr>
      <w:r>
        <w:tab/>
      </w:r>
      <w:r>
        <w:tab/>
        <w:t xml:space="preserve">the CEO may cause to be given to the owner or the occupier, or both the owner and the occupier, of the premises a notice (an </w:t>
      </w:r>
      <w:r>
        <w:rPr>
          <w:rStyle w:val="CharDefText"/>
        </w:rPr>
        <w:t>environmental protection notice</w:t>
      </w:r>
      <w:r>
        <w:t>)</w:t>
      </w:r>
      <w:r>
        <w:rPr>
          <w:b/>
        </w:rPr>
        <w:t xml:space="preserve"> </w:t>
      </w:r>
      <w:r>
        <w:t>in respect of the premises.</w:t>
      </w:r>
    </w:p>
    <w:p>
      <w:pPr>
        <w:pStyle w:val="Subsection"/>
      </w:pPr>
      <w:r>
        <w:tab/>
        <w:t>(1a)</w:t>
      </w:r>
      <w:r>
        <w:tab/>
        <w:t>An environmental protection notice may require a person bound by it to do any one or more of the following —</w:t>
      </w:r>
    </w:p>
    <w:p>
      <w:pPr>
        <w:pStyle w:val="Indenta"/>
      </w:pPr>
      <w:r>
        <w:tab/>
        <w:t>(a)</w:t>
      </w:r>
      <w:r>
        <w:tab/>
        <w:t>investigate the extent and nature of —</w:t>
      </w:r>
    </w:p>
    <w:p>
      <w:pPr>
        <w:pStyle w:val="Indenti"/>
      </w:pPr>
      <w:r>
        <w:tab/>
        <w:t>(i)</w:t>
      </w:r>
      <w:r>
        <w:tab/>
        <w:t>the emission and its consequences; or</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prepare and implement a plan for the prevention, control or abatement of —</w:t>
      </w:r>
    </w:p>
    <w:p>
      <w:pPr>
        <w:pStyle w:val="Indenti"/>
      </w:pPr>
      <w:r>
        <w:tab/>
        <w:t>(i)</w:t>
      </w:r>
      <w:r>
        <w:tab/>
        <w:t>the emission; or</w:t>
      </w:r>
    </w:p>
    <w:p>
      <w:pPr>
        <w:pStyle w:val="Indenti"/>
      </w:pPr>
      <w:r>
        <w:tab/>
        <w:t>(ii)</w:t>
      </w:r>
      <w:r>
        <w:tab/>
        <w:t>the pollution; or</w:t>
      </w:r>
    </w:p>
    <w:p>
      <w:pPr>
        <w:pStyle w:val="Indenti"/>
      </w:pPr>
      <w:r>
        <w:tab/>
        <w:t>(iii)</w:t>
      </w:r>
      <w:r>
        <w:tab/>
        <w:t>the environmental harm;</w:t>
      </w:r>
    </w:p>
    <w:p>
      <w:pPr>
        <w:pStyle w:val="Indenta"/>
      </w:pPr>
      <w:r>
        <w:tab/>
        <w:t>(c)</w:t>
      </w:r>
      <w:r>
        <w:tab/>
        <w:t>take such measures as the CEO considers necessary to —</w:t>
      </w:r>
    </w:p>
    <w:p>
      <w:pPr>
        <w:pStyle w:val="Indenti"/>
      </w:pPr>
      <w:r>
        <w:tab/>
        <w:t>(i)</w:t>
      </w:r>
      <w:r>
        <w:tab/>
        <w:t>prevent, control or abate the emission; or</w:t>
      </w:r>
    </w:p>
    <w:p>
      <w:pPr>
        <w:pStyle w:val="Indenti"/>
      </w:pPr>
      <w:r>
        <w:tab/>
        <w:t>(ii)</w:t>
      </w:r>
      <w:r>
        <w:tab/>
        <w:t>prevent, control or abate the pollution; or</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keepNext/>
      </w:pPr>
      <w:r>
        <w:lastRenderedPageBreak/>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An environmental protection notice —</w:t>
      </w:r>
    </w:p>
    <w:p>
      <w:pPr>
        <w:pStyle w:val="Indenta"/>
      </w:pPr>
      <w:r>
        <w:tab/>
        <w:t>(a)</w:t>
      </w:r>
      <w:r>
        <w:tab/>
        <w:t>is to specify —</w:t>
      </w:r>
    </w:p>
    <w:p>
      <w:pPr>
        <w:pStyle w:val="Indenti"/>
      </w:pPr>
      <w:r>
        <w:tab/>
        <w:t>(i)</w:t>
      </w:r>
      <w:r>
        <w:tab/>
        <w:t>the name and address of the person on whom it is served; and</w:t>
      </w:r>
    </w:p>
    <w:p>
      <w:pPr>
        <w:pStyle w:val="Indenti"/>
      </w:pPr>
      <w:r>
        <w:tab/>
        <w:t>(ii)</w:t>
      </w:r>
      <w:r>
        <w:tab/>
        <w:t>the reason for which it is served; and</w:t>
      </w:r>
    </w:p>
    <w:p>
      <w:pPr>
        <w:pStyle w:val="Indenti"/>
      </w:pPr>
      <w:r>
        <w:tab/>
        <w:t>(iii)</w:t>
      </w:r>
      <w:r>
        <w:tab/>
        <w:t>a description of the relevant premises and the location of the premises sufficient to identify both; and</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keepNext/>
        <w:keepLines/>
      </w:pPr>
      <w:r>
        <w:tab/>
        <w:t>(b)</w:t>
      </w:r>
      <w:r>
        <w:tab/>
        <w:t>is to describe —</w:t>
      </w:r>
    </w:p>
    <w:p>
      <w:pPr>
        <w:pStyle w:val="Indenti"/>
      </w:pPr>
      <w:r>
        <w:tab/>
        <w:t>(i)</w:t>
      </w:r>
      <w:r>
        <w:tab/>
        <w:t>the form of the investigation to be undertaken; and</w:t>
      </w:r>
    </w:p>
    <w:p>
      <w:pPr>
        <w:pStyle w:val="Indenti"/>
      </w:pPr>
      <w:r>
        <w:tab/>
        <w:t>(ii)</w:t>
      </w:r>
      <w:r>
        <w:tab/>
        <w:t>the form of the plan to be prepared and implemented; and</w:t>
      </w:r>
    </w:p>
    <w:p>
      <w:pPr>
        <w:pStyle w:val="Indenti"/>
      </w:pPr>
      <w:r>
        <w:tab/>
        <w:t>(iii)</w:t>
      </w:r>
      <w:r>
        <w:tab/>
        <w:t>the measures to be taken; and</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rPr>
          <w:snapToGrid w:val="0"/>
        </w:rPr>
      </w:pPr>
      <w:r>
        <w:rPr>
          <w:snapToGrid w:val="0"/>
        </w:rPr>
        <w:lastRenderedPageBreak/>
        <w:tab/>
        <w:t>(3)</w:t>
      </w:r>
      <w:r>
        <w:rPr>
          <w:snapToGrid w:val="0"/>
        </w:rPr>
        <w:tab/>
      </w:r>
      <w:r>
        <w:t>An environmental protection notice</w:t>
      </w:r>
      <w:r>
        <w:rPr>
          <w:snapToGrid w:val="0"/>
        </w:rPr>
        <w:t>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keepNext/>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spacing w:before="140"/>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spacing w:before="140"/>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by subsection (4), afford the person a reasonable opportunity to show cause in writing why that power should not be exercised in respect </w:t>
      </w:r>
      <w:r>
        <w:t>of the person</w:t>
      </w:r>
      <w:r>
        <w:rPr>
          <w:snapToGrid w:val="0"/>
        </w:rPr>
        <w:t>.</w:t>
      </w:r>
    </w:p>
    <w:p>
      <w:pPr>
        <w:pStyle w:val="Subsection"/>
        <w:spacing w:before="140"/>
        <w:rPr>
          <w:snapToGrid w:val="0"/>
        </w:rPr>
      </w:pPr>
      <w:r>
        <w:rPr>
          <w:snapToGrid w:val="0"/>
        </w:rPr>
        <w:lastRenderedPageBreak/>
        <w:tab/>
        <w:t>(7)</w:t>
      </w:r>
      <w:r>
        <w:rPr>
          <w:snapToGrid w:val="0"/>
        </w:rPr>
        <w:tab/>
        <w:t xml:space="preserve">An opportunity is not a reasonable opportunity within the meaning of subsection (6) unless the relevant person is informed in writing of </w:t>
      </w:r>
      <w:r>
        <w:t>the person’s</w:t>
      </w:r>
      <w:r>
        <w:rPr>
          <w:snapToGrid w:val="0"/>
        </w:rPr>
        <w:t xml:space="preserve"> right to show cause under that subsection not less than 21 days before the day on which the </w:t>
      </w:r>
      <w:r>
        <w:t>CEO</w:t>
      </w:r>
      <w:r>
        <w:rPr>
          <w:snapToGrid w:val="0"/>
        </w:rPr>
        <w:t xml:space="preserve"> exercises the power in question.</w:t>
      </w:r>
    </w:p>
    <w:p>
      <w:pPr>
        <w:pStyle w:val="Subsection"/>
        <w:spacing w:before="140"/>
        <w:rPr>
          <w:snapToGrid w:val="0"/>
        </w:rPr>
      </w:pPr>
      <w:r>
        <w:rPr>
          <w:snapToGrid w:val="0"/>
        </w:rPr>
        <w:tab/>
        <w:t>(8)</w:t>
      </w:r>
      <w:r>
        <w:rPr>
          <w:snapToGrid w:val="0"/>
        </w:rPr>
        <w:tab/>
        <w:t>In this section —</w:t>
      </w:r>
    </w:p>
    <w:p>
      <w:pPr>
        <w:pStyle w:val="Defstart"/>
      </w:pPr>
      <w:r>
        <w:rPr>
          <w:b/>
        </w:rPr>
        <w:tab/>
      </w:r>
      <w:r>
        <w:rPr>
          <w:rStyle w:val="CharDefText"/>
        </w:rPr>
        <w:t>specified</w:t>
      </w:r>
      <w:r>
        <w:t xml:space="preserve"> means specified in the environmental protection notice concerned.</w:t>
      </w:r>
    </w:p>
    <w:p>
      <w:pPr>
        <w:pStyle w:val="Footnotesection"/>
        <w:ind w:left="890" w:hanging="890"/>
      </w:pPr>
      <w:r>
        <w:tab/>
        <w:t>[Section 65 amended: No. 14 of 1998 s. 7; No. 54 of 2003 s. 45(1)</w:t>
      </w:r>
      <w:r>
        <w:noBreakHyphen/>
        <w:t>(3), 46 and 140(2); No. 40 of 2020 s. 111(1).]</w:t>
      </w:r>
    </w:p>
    <w:p>
      <w:pPr>
        <w:pStyle w:val="Heading5"/>
        <w:rPr>
          <w:snapToGrid w:val="0"/>
        </w:rPr>
      </w:pPr>
      <w:bookmarkStart w:id="189" w:name="_Toc158985470"/>
      <w:r>
        <w:rPr>
          <w:rStyle w:val="CharSectno"/>
        </w:rPr>
        <w:t>66</w:t>
      </w:r>
      <w:r>
        <w:rPr>
          <w:snapToGrid w:val="0"/>
        </w:rPr>
        <w:t>.</w:t>
      </w:r>
      <w:r>
        <w:rPr>
          <w:snapToGrid w:val="0"/>
        </w:rPr>
        <w:tab/>
        <w:t>Environmental protection notices, registration of etc. on land titles</w:t>
      </w:r>
      <w:bookmarkEnd w:id="189"/>
    </w:p>
    <w:p>
      <w:pPr>
        <w:pStyle w:val="Subsection"/>
        <w:keepNext/>
        <w:spacing w:before="14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spacing w:before="14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w:t>
      </w:r>
      <w:r>
        <w:rPr>
          <w:snapToGrid w:val="0"/>
        </w:rPr>
        <w:lastRenderedPageBreak/>
        <w:t xml:space="preserve">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spacing w:before="120"/>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Ednotesubsection"/>
      </w:pPr>
      <w:r>
        <w:tab/>
        <w:t>[(5)</w:t>
      </w:r>
      <w:r>
        <w:tab/>
        <w:t>deleted]</w:t>
      </w:r>
    </w:p>
    <w:p>
      <w:pPr>
        <w:pStyle w:val="Footnotesection"/>
        <w:spacing w:before="80"/>
        <w:ind w:left="890" w:hanging="890"/>
      </w:pPr>
      <w:r>
        <w:tab/>
        <w:t>[Section 66 amended: No. 84 of 1994 s. 46; No. 81 of 1996 s. 153(1); No. 31 of 1997 s. 27; No. 54 of 2003 s. 46, 47 and 140(2); No. 40 of 2020 s. 62.]</w:t>
      </w:r>
    </w:p>
    <w:p>
      <w:pPr>
        <w:pStyle w:val="Heading5"/>
        <w:spacing w:before="200"/>
        <w:rPr>
          <w:snapToGrid w:val="0"/>
        </w:rPr>
      </w:pPr>
      <w:bookmarkStart w:id="190" w:name="_Toc158985471"/>
      <w:r>
        <w:rPr>
          <w:rStyle w:val="CharSectno"/>
        </w:rPr>
        <w:t>67</w:t>
      </w:r>
      <w:r>
        <w:rPr>
          <w:snapToGrid w:val="0"/>
        </w:rPr>
        <w:t>.</w:t>
      </w:r>
      <w:r>
        <w:rPr>
          <w:snapToGrid w:val="0"/>
        </w:rPr>
        <w:tab/>
        <w:t>Duties of person ceasing to be owner etc. of land subject to notice registered under s. 66</w:t>
      </w:r>
      <w:bookmarkEnd w:id="190"/>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t>
      </w:r>
      <w:r>
        <w:t>as soon as practicable after ceasing</w:t>
      </w:r>
      <w:r>
        <w:rPr>
          <w:snapToGrid w:val="0"/>
        </w:rPr>
        <w:t xml:space="preserve"> to be such an owner or occupier, notify in writing —</w:t>
      </w:r>
    </w:p>
    <w:p>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w:t>
      </w:r>
      <w:r>
        <w:t xml:space="preserve">that </w:t>
      </w:r>
      <w:r>
        <w:rPr>
          <w:snapToGrid w:val="0"/>
        </w:rPr>
        <w:t>owner or occupier in the ownership or occupation or both, as the case requires, of that land; and</w:t>
      </w:r>
    </w:p>
    <w:p>
      <w:pPr>
        <w:pStyle w:val="Indenta"/>
        <w:rPr>
          <w:snapToGrid w:val="0"/>
        </w:rPr>
      </w:pPr>
      <w:r>
        <w:rPr>
          <w:snapToGrid w:val="0"/>
        </w:rPr>
        <w:tab/>
        <w:t>(b)</w:t>
      </w:r>
      <w:r>
        <w:rPr>
          <w:snapToGrid w:val="0"/>
        </w:rPr>
        <w:tab/>
        <w:t xml:space="preserve">each person who succeeds </w:t>
      </w:r>
      <w:r>
        <w:t xml:space="preserve">that </w:t>
      </w:r>
      <w:r>
        <w:rPr>
          <w:snapToGrid w:val="0"/>
        </w:rPr>
        <w:t xml:space="preserve">owner or occupier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No. 54 of 2003 s. 46 and 140(2); No. 40 of 2020 s. 111(1).]</w:t>
      </w:r>
    </w:p>
    <w:p>
      <w:pPr>
        <w:pStyle w:val="Heading5"/>
        <w:rPr>
          <w:snapToGrid w:val="0"/>
        </w:rPr>
      </w:pPr>
      <w:bookmarkStart w:id="191" w:name="_Toc158985472"/>
      <w:r>
        <w:rPr>
          <w:rStyle w:val="CharSectno"/>
        </w:rPr>
        <w:lastRenderedPageBreak/>
        <w:t>68</w:t>
      </w:r>
      <w:r>
        <w:rPr>
          <w:snapToGrid w:val="0"/>
        </w:rPr>
        <w:t>.</w:t>
      </w:r>
      <w:r>
        <w:rPr>
          <w:snapToGrid w:val="0"/>
        </w:rPr>
        <w:tab/>
        <w:t>Restriction on subdividing etc. land subject to notice registered under s. 66</w:t>
      </w:r>
      <w:bookmarkEnd w:id="191"/>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No. 84 of 1994 s. 46; No. 54 of 2003 s. 46 and 140(2); No. 38 of 2005 s. 15.]</w:t>
      </w:r>
    </w:p>
    <w:p>
      <w:pPr>
        <w:pStyle w:val="Heading5"/>
      </w:pPr>
      <w:bookmarkStart w:id="192" w:name="_Toc158985473"/>
      <w:r>
        <w:rPr>
          <w:rStyle w:val="CharSectno"/>
        </w:rPr>
        <w:t>68A</w:t>
      </w:r>
      <w:r>
        <w:t>.</w:t>
      </w:r>
      <w:r>
        <w:tab/>
        <w:t>Closure notices, issue and effect of</w:t>
      </w:r>
      <w:bookmarkEnd w:id="192"/>
    </w:p>
    <w:p>
      <w:pPr>
        <w:pStyle w:val="Subsection"/>
      </w:pPr>
      <w:r>
        <w:tab/>
        <w:t>(1)</w:t>
      </w:r>
      <w:r>
        <w:tab/>
        <w:t>In this section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relevant premises</w:t>
      </w:r>
      <w:r>
        <w:t>, in relation to an authorisation, means premises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rStyle w:val="CharDefText"/>
        </w:rPr>
        <w:t>specified</w:t>
      </w:r>
      <w:r>
        <w:t xml:space="preserve"> means specified by the CEO in the closure notice concerned.</w:t>
      </w:r>
    </w:p>
    <w:p>
      <w:pPr>
        <w:pStyle w:val="Subsection"/>
        <w:spacing w:before="180"/>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pPr>
        <w:pStyle w:val="Subsection"/>
        <w:spacing w:before="180"/>
      </w:pPr>
      <w:r>
        <w:lastRenderedPageBreak/>
        <w:tab/>
        <w:t>(3)</w:t>
      </w:r>
      <w:r>
        <w:tab/>
        <w:t>If the authorisation is still in force, the closure notice is to be given to the person who holds the authorisation.</w:t>
      </w:r>
    </w:p>
    <w:p>
      <w:pPr>
        <w:pStyle w:val="Subsection"/>
        <w:spacing w:before="180"/>
      </w:pPr>
      <w:r>
        <w:tab/>
        <w:t>(4)</w:t>
      </w:r>
      <w:r>
        <w:tab/>
        <w:t>If the authorisation is not still in force, the closure notice is to be given to the person who held the authorisation or to the occupier or owner of the relevant premises.</w:t>
      </w:r>
    </w:p>
    <w:p>
      <w:pPr>
        <w:pStyle w:val="Subsection"/>
        <w:spacing w:before="180"/>
      </w:pPr>
      <w:r>
        <w:tab/>
        <w:t>(5)</w:t>
      </w:r>
      <w:r>
        <w:tab/>
        <w:t>If a person who is the owner of the relevant premises is not given the closure notice under subsection (3) or (4), a copy of the notice must be given to that person.</w:t>
      </w:r>
    </w:p>
    <w:p>
      <w:pPr>
        <w:pStyle w:val="Subsection"/>
        <w:spacing w:before="180"/>
      </w:pPr>
      <w:r>
        <w:tab/>
        <w:t>(6)</w:t>
      </w:r>
      <w:r>
        <w:tab/>
        <w:t>If a person who is the occupier of the relevant premises is not given the closure notice under subsection (3) or (4), a copy of the notice may be given to that person.</w:t>
      </w:r>
    </w:p>
    <w:p>
      <w:pPr>
        <w:pStyle w:val="Subsection"/>
        <w:spacing w:before="180"/>
      </w:pPr>
      <w:r>
        <w:tab/>
        <w:t>(7)</w:t>
      </w:r>
      <w:r>
        <w:tab/>
        <w:t>A closure notice may require any person bound by it to do any one or more of the following in relation to the relevant premises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keepNext/>
      </w:pPr>
      <w:r>
        <w:tab/>
        <w:t>(8)</w:t>
      </w:r>
      <w:r>
        <w:tab/>
        <w:t>A closure notice is to specify —</w:t>
      </w:r>
    </w:p>
    <w:p>
      <w:pPr>
        <w:pStyle w:val="Indenta"/>
      </w:pPr>
      <w:r>
        <w:tab/>
        <w:t>(a)</w:t>
      </w:r>
      <w:r>
        <w:tab/>
        <w:t>the name and address of the person to whom it is given; and</w:t>
      </w:r>
    </w:p>
    <w:p>
      <w:pPr>
        <w:pStyle w:val="Indenta"/>
      </w:pPr>
      <w:r>
        <w:tab/>
        <w:t>(b)</w:t>
      </w:r>
      <w:r>
        <w:tab/>
        <w:t>the reason for which it is given; and</w:t>
      </w:r>
    </w:p>
    <w:p>
      <w:pPr>
        <w:pStyle w:val="Indenta"/>
      </w:pPr>
      <w:r>
        <w:tab/>
        <w:t>(c)</w:t>
      </w:r>
      <w:r>
        <w:tab/>
        <w:t>a description of the relevant premises and the location of the premises sufficient to identify both; and</w:t>
      </w:r>
    </w:p>
    <w:p>
      <w:pPr>
        <w:pStyle w:val="Indenta"/>
        <w:keepNext/>
      </w:pPr>
      <w:r>
        <w:lastRenderedPageBreak/>
        <w:tab/>
        <w:t>(d)</w:t>
      </w:r>
      <w:r>
        <w:tab/>
        <w:t>the things referred to in subsection (7) that are required to be done; and</w:t>
      </w:r>
    </w:p>
    <w:p>
      <w:pPr>
        <w:pStyle w:val="Indenta"/>
      </w:pPr>
      <w:r>
        <w:tab/>
        <w:t>(e)</w:t>
      </w:r>
      <w:r>
        <w:tab/>
        <w:t>the period (if any) within which the things are to be done.</w:t>
      </w:r>
    </w:p>
    <w:p>
      <w:pPr>
        <w:pStyle w:val="Subsection"/>
        <w:rPr>
          <w:snapToGrid w:val="0"/>
        </w:rPr>
      </w:pPr>
      <w:r>
        <w:rPr>
          <w:snapToGrid w:val="0"/>
        </w:rPr>
        <w:tab/>
        <w:t>(9)</w:t>
      </w:r>
      <w:r>
        <w:rPr>
          <w:snapToGrid w:val="0"/>
        </w:rPr>
        <w:tab/>
        <w:t>A closure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If action required by a closure notice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No. 54 of 2003 s. 81; amended: No. 77 of 2006 s. 4.]</w:t>
      </w:r>
    </w:p>
    <w:p>
      <w:pPr>
        <w:pStyle w:val="Heading5"/>
        <w:keepNext w:val="0"/>
        <w:keepLines w:val="0"/>
        <w:rPr>
          <w:snapToGrid w:val="0"/>
        </w:rPr>
      </w:pPr>
      <w:bookmarkStart w:id="193" w:name="_Toc158985474"/>
      <w:r>
        <w:rPr>
          <w:rStyle w:val="CharSectno"/>
        </w:rPr>
        <w:t>69</w:t>
      </w:r>
      <w:r>
        <w:rPr>
          <w:snapToGrid w:val="0"/>
        </w:rPr>
        <w:t>.</w:t>
      </w:r>
      <w:r>
        <w:rPr>
          <w:snapToGrid w:val="0"/>
        </w:rPr>
        <w:tab/>
        <w:t>Stop orders, issue and effect of</w:t>
      </w:r>
      <w:bookmarkEnd w:id="193"/>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keepNext/>
        <w:keepLines/>
        <w:rPr>
          <w:snapToGrid w:val="0"/>
        </w:rPr>
      </w:pPr>
      <w:r>
        <w:rPr>
          <w:snapToGrid w:val="0"/>
        </w:rPr>
        <w:lastRenderedPageBreak/>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keepNext/>
        <w:keepLines/>
        <w:rPr>
          <w:snapToGrid w:val="0"/>
        </w:rPr>
      </w:pPr>
      <w:r>
        <w:rPr>
          <w:snapToGrid w:val="0"/>
        </w:rPr>
        <w:tab/>
      </w:r>
      <w:r>
        <w:rPr>
          <w:snapToGrid w:val="0"/>
        </w:rPr>
        <w:tab/>
        <w:t>he may by notice served on the person referred to in paragraph (a) order that person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rPr>
          <w:snapToGrid w:val="0"/>
        </w:rPr>
      </w:pPr>
      <w:r>
        <w:rPr>
          <w:snapToGrid w:val="0"/>
        </w:rPr>
        <w:tab/>
        <w:t>(2)</w:t>
      </w:r>
      <w:r>
        <w:rPr>
          <w:snapToGrid w:val="0"/>
        </w:rPr>
        <w:tab/>
        <w:t>The Minister may, on serving a notice under subsection (1), cause to be taken such steps as the Minister considers are necessary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rPr>
          <w:snapToGrid w:val="0"/>
        </w:rPr>
      </w:pPr>
      <w:r>
        <w:rPr>
          <w:snapToGrid w:val="0"/>
        </w:rPr>
        <w:tab/>
        <w:t>(3)</w:t>
      </w:r>
      <w:r>
        <w:rPr>
          <w:snapToGrid w:val="0"/>
        </w:rPr>
        <w:tab/>
        <w:t xml:space="preserve">The cost of taking any steps under subsection (2) is a debt due to the Crown by the person referred to in subsection (1)(a) and may be recovered from </w:t>
      </w:r>
      <w:r>
        <w:t>the person</w:t>
      </w:r>
      <w:r>
        <w:rPr>
          <w:snapToGrid w:val="0"/>
        </w:rPr>
        <w:t xml:space="preserve"> by the Minister by action in a court of competent jurisdiction and shall, if so recovered, be credited to the Consolidated Account.</w:t>
      </w:r>
    </w:p>
    <w:p>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the Minister is satisfied that steps have been taken to ensure that the conditions referred to in subsection (1)(b) will not arise again, revoke that order.</w:t>
      </w:r>
    </w:p>
    <w:p>
      <w:pPr>
        <w:pStyle w:val="Subsection"/>
        <w:keepNext/>
        <w:rPr>
          <w:snapToGrid w:val="0"/>
        </w:rPr>
      </w:pPr>
      <w:r>
        <w:rPr>
          <w:snapToGrid w:val="0"/>
        </w:rPr>
        <w:lastRenderedPageBreak/>
        <w:tab/>
        <w:t>(5)</w:t>
      </w:r>
      <w:r>
        <w:rPr>
          <w:snapToGrid w:val="0"/>
        </w:rPr>
        <w:tab/>
        <w:t xml:space="preserve">A person who does not comply with an order made against </w:t>
      </w:r>
      <w:r>
        <w:t>the person</w:t>
      </w:r>
      <w:r>
        <w:rPr>
          <w:snapToGrid w:val="0"/>
        </w:rPr>
        <w:t xml:space="preserve"> under subsection (1) commits an offence.</w:t>
      </w:r>
    </w:p>
    <w:p>
      <w:pPr>
        <w:pStyle w:val="Footnotesection"/>
        <w:rPr>
          <w:spacing w:val="-2"/>
        </w:rPr>
      </w:pPr>
      <w:r>
        <w:rPr>
          <w:spacing w:val="-2"/>
        </w:rPr>
        <w:tab/>
        <w:t>[Section 69 amended: No. 6 of 1993 s. 11; No. 49 of 1996 s. 64; No. 54 of 2003 s. 46 and 48; No. 77 of 2006 s. 4; No. 40 of 2020 s. 111(1).]</w:t>
      </w:r>
    </w:p>
    <w:p>
      <w:pPr>
        <w:pStyle w:val="Heading5"/>
      </w:pPr>
      <w:bookmarkStart w:id="194" w:name="_Toc158985475"/>
      <w:r>
        <w:rPr>
          <w:rStyle w:val="CharSectno"/>
        </w:rPr>
        <w:t>70</w:t>
      </w:r>
      <w:r>
        <w:t>.</w:t>
      </w:r>
      <w:r>
        <w:tab/>
        <w:t>Vegetation conservation notices, issue and effect of</w:t>
      </w:r>
      <w:bookmarkEnd w:id="194"/>
    </w:p>
    <w:p>
      <w:pPr>
        <w:pStyle w:val="Subsection"/>
        <w:keepNext/>
        <w:keepLines/>
      </w:pPr>
      <w:r>
        <w:tab/>
        <w:t>(1)</w:t>
      </w:r>
      <w:r>
        <w:tab/>
        <w:t>In this section —</w:t>
      </w:r>
    </w:p>
    <w:p>
      <w:pPr>
        <w:pStyle w:val="Defstart"/>
      </w:pPr>
      <w:r>
        <w:tab/>
      </w:r>
      <w:r>
        <w:rPr>
          <w:rStyle w:val="CharDefText"/>
        </w:rPr>
        <w:t>specified</w:t>
      </w:r>
      <w:r>
        <w:t xml:space="preserve"> means specified by the CEO in the vegetation conservation notice concerned;</w:t>
      </w:r>
    </w:p>
    <w:p>
      <w:pPr>
        <w:pStyle w:val="Defstart"/>
        <w:keepNext/>
      </w:pPr>
      <w:r>
        <w:tab/>
      </w:r>
      <w:r>
        <w:rPr>
          <w:rStyle w:val="CharDefText"/>
        </w:rPr>
        <w:t>unlawful clearing</w:t>
      </w:r>
      <w:r>
        <w:t xml:space="preserve"> means — </w:t>
      </w:r>
    </w:p>
    <w:p>
      <w:pPr>
        <w:pStyle w:val="Defpara"/>
      </w:pPr>
      <w:r>
        <w:tab/>
        <w:t>(a)</w:t>
      </w:r>
      <w:r>
        <w:tab/>
        <w:t>anything constituting a contravention of section 51C or 51J; or</w:t>
      </w:r>
    </w:p>
    <w:p>
      <w:pPr>
        <w:pStyle w:val="Defpara"/>
      </w:pPr>
      <w:r>
        <w:tab/>
        <w:t>(b)</w:t>
      </w:r>
      <w:r>
        <w:tab/>
        <w:t>anything constituting a contravention of an environmental protection covenant;</w:t>
      </w:r>
    </w:p>
    <w:p>
      <w:pPr>
        <w:pStyle w:val="Defstart"/>
      </w:pPr>
      <w:r>
        <w:tab/>
      </w:r>
      <w:r>
        <w:rPr>
          <w:rStyle w:val="CharDefText"/>
        </w:rPr>
        <w:t>watercourse</w:t>
      </w:r>
      <w:r>
        <w:t xml:space="preserve"> has the meaning given in Schedule 5 clause 2;</w:t>
      </w:r>
    </w:p>
    <w:p>
      <w:pPr>
        <w:pStyle w:val="Defstart"/>
      </w:pPr>
      <w:r>
        <w:tab/>
      </w:r>
      <w:r>
        <w:rPr>
          <w:rStyle w:val="CharDefText"/>
        </w:rPr>
        <w:t>wetland</w:t>
      </w:r>
      <w:r>
        <w:t xml:space="preserve"> has the meaning given in Schedule 5 clause 2.</w:t>
      </w:r>
    </w:p>
    <w:p>
      <w:pPr>
        <w:pStyle w:val="Subsection"/>
        <w:rPr>
          <w:snapToGrid w:val="0"/>
        </w:rPr>
      </w:pPr>
      <w:r>
        <w:tab/>
        <w:t>(2)</w:t>
      </w:r>
      <w:r>
        <w:tab/>
      </w:r>
      <w:r>
        <w:rPr>
          <w:snapToGrid w:val="0"/>
        </w:rPr>
        <w:t xml:space="preserve">If the </w:t>
      </w:r>
      <w:r>
        <w:t>CEO suspects on reasonable grounds</w:t>
      </w:r>
      <w:r>
        <w:rPr>
          <w:snapToGrid w:val="0"/>
        </w:rPr>
        <w:t>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A vegetation conservation notice may be given to one or more of the following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lastRenderedPageBreak/>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 xml:space="preserve">A vegetation </w:t>
      </w:r>
      <w:r>
        <w:t>conservation</w:t>
      </w:r>
      <w:r>
        <w:rPr>
          <w:snapToGrid w:val="0"/>
        </w:rPr>
        <w:t xml:space="preserve"> notice must specify —</w:t>
      </w:r>
    </w:p>
    <w:p>
      <w:pPr>
        <w:pStyle w:val="Indenta"/>
      </w:pPr>
      <w:r>
        <w:tab/>
        <w:t>(a)</w:t>
      </w:r>
      <w:r>
        <w:tab/>
        <w:t>the name and address of the person to whom it is given; and</w:t>
      </w:r>
    </w:p>
    <w:p>
      <w:pPr>
        <w:pStyle w:val="Indenta"/>
      </w:pPr>
      <w:r>
        <w:tab/>
        <w:t>(b)</w:t>
      </w:r>
      <w:r>
        <w:tab/>
        <w:t>the reason for which it is given.</w:t>
      </w:r>
    </w:p>
    <w:p>
      <w:pPr>
        <w:pStyle w:val="Subsection"/>
        <w:rPr>
          <w:snapToGrid w:val="0"/>
        </w:rPr>
      </w:pPr>
      <w:r>
        <w:rPr>
          <w:snapToGrid w:val="0"/>
        </w:rPr>
        <w:tab/>
        <w:t>(4A)</w:t>
      </w:r>
      <w:r>
        <w:rPr>
          <w:snapToGrid w:val="0"/>
        </w:rPr>
        <w:tab/>
        <w:t xml:space="preserve">A </w:t>
      </w:r>
      <w:r>
        <w:t>vegetation</w:t>
      </w:r>
      <w:r>
        <w:rPr>
          <w:snapToGrid w:val="0"/>
        </w:rPr>
        <w:t xml:space="preserve"> conservation notice given under subsection (2)(b) may require any person bound by it — </w:t>
      </w:r>
    </w:p>
    <w:p>
      <w:pPr>
        <w:pStyle w:val="Indenta"/>
      </w:pPr>
      <w:r>
        <w:tab/>
        <w:t>(a)</w:t>
      </w:r>
      <w:r>
        <w:tab/>
        <w:t xml:space="preserve">to take, within or for the duration of a specified period, such specified measures (the </w:t>
      </w:r>
      <w:r>
        <w:rPr>
          <w:rStyle w:val="CharDefText"/>
        </w:rPr>
        <w:t>required action</w:t>
      </w:r>
      <w:r>
        <w:t>) as the CEO considers necessary for one or more of the following purposes —</w:t>
      </w:r>
    </w:p>
    <w:p>
      <w:pPr>
        <w:pStyle w:val="Indenti"/>
        <w:rPr>
          <w:snapToGrid w:val="0"/>
        </w:rPr>
      </w:pPr>
      <w:r>
        <w:rPr>
          <w:snapToGrid w:val="0"/>
        </w:rPr>
        <w:tab/>
        <w:t>(i)</w:t>
      </w:r>
      <w:r>
        <w:rPr>
          <w:snapToGrid w:val="0"/>
        </w:rPr>
        <w:tab/>
        <w:t>to repair any damage caused by the clearing;</w:t>
      </w:r>
    </w:p>
    <w:p>
      <w:pPr>
        <w:pStyle w:val="Indenti"/>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rPr>
          <w:snapToGrid w:val="0"/>
        </w:rPr>
      </w:pPr>
      <w:r>
        <w:rPr>
          <w:snapToGrid w:val="0"/>
        </w:rPr>
        <w:tab/>
        <w:t>(iii)</w:t>
      </w:r>
      <w:r>
        <w:rPr>
          <w:snapToGrid w:val="0"/>
        </w:rPr>
        <w:tab/>
        <w:t>to prevent the erosion, drift or movement of sand, soil, dust or water;</w:t>
      </w:r>
    </w:p>
    <w:p>
      <w:pPr>
        <w:pStyle w:val="Indenti"/>
        <w:rPr>
          <w:snapToGrid w:val="0"/>
        </w:rPr>
      </w:pPr>
      <w:r>
        <w:rPr>
          <w:snapToGrid w:val="0"/>
        </w:rPr>
        <w:tab/>
        <w:t>(iv)</w:t>
      </w:r>
      <w:r>
        <w:rPr>
          <w:snapToGrid w:val="0"/>
        </w:rPr>
        <w:tab/>
        <w:t>to ensure that specified land, or a specified watercourse or wetland, will not be damaged or detrimentally affected, or further damaged or detrimentally affected, by the clearing;</w:t>
      </w:r>
    </w:p>
    <w:p>
      <w:pPr>
        <w:pStyle w:val="Indenta"/>
      </w:pPr>
      <w:r>
        <w:tab/>
      </w:r>
      <w:r>
        <w:tab/>
        <w:t>and</w:t>
      </w:r>
    </w:p>
    <w:p>
      <w:pPr>
        <w:pStyle w:val="Indenta"/>
      </w:pPr>
      <w:r>
        <w:tab/>
        <w:t>(b)</w:t>
      </w:r>
      <w:r>
        <w:tab/>
        <w:t>to monitor, keep records of and report to the CEO on the required action.</w:t>
      </w:r>
    </w:p>
    <w:p>
      <w:pPr>
        <w:pStyle w:val="Subsection"/>
      </w:pPr>
      <w:r>
        <w:tab/>
        <w:t>(5)</w:t>
      </w:r>
      <w:r>
        <w:tab/>
        <w:t xml:space="preserve">Before </w:t>
      </w:r>
      <w:r>
        <w:rPr>
          <w:snapToGrid w:val="0"/>
        </w:rPr>
        <w:t xml:space="preserve">a vegetation conservation notice containing a requirement under subsection (4A)(a) is given to a person the CEO must, </w:t>
      </w:r>
      <w:r>
        <w:t xml:space="preserve">by written notice given to the person, invite the person to make submissions to the CEO within the period </w:t>
      </w:r>
      <w:r>
        <w:lastRenderedPageBreak/>
        <w:t>specified in the notice on any matter relevant to the determination of whether or not the person should have to take the required action.</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A vegetation conservation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If the required action, or any of it,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No. 54 of 2003 s. 111(1); amended: No. 77 of 2006 s. 4; No. 40 of 2020 s. 64.]</w:t>
      </w:r>
    </w:p>
    <w:p>
      <w:pPr>
        <w:pStyle w:val="Heading5"/>
        <w:rPr>
          <w:snapToGrid w:val="0"/>
        </w:rPr>
      </w:pPr>
      <w:bookmarkStart w:id="195" w:name="_Toc158985476"/>
      <w:r>
        <w:rPr>
          <w:rStyle w:val="CharSectno"/>
        </w:rPr>
        <w:lastRenderedPageBreak/>
        <w:t>71</w:t>
      </w:r>
      <w:r>
        <w:rPr>
          <w:snapToGrid w:val="0"/>
        </w:rPr>
        <w:t>.</w:t>
      </w:r>
      <w:r>
        <w:rPr>
          <w:snapToGrid w:val="0"/>
        </w:rPr>
        <w:tab/>
        <w:t>Environmental protection directions, issue and effect of</w:t>
      </w:r>
      <w:bookmarkEnd w:id="195"/>
    </w:p>
    <w:p>
      <w:pPr>
        <w:pStyle w:val="Subsection"/>
        <w:keepNext/>
        <w:rPr>
          <w:snapToGrid w:val="0"/>
        </w:rPr>
      </w:pPr>
      <w:r>
        <w:rPr>
          <w:snapToGrid w:val="0"/>
        </w:rPr>
        <w:tab/>
        <w:t>(1)</w:t>
      </w:r>
      <w:r>
        <w:rPr>
          <w:snapToGrid w:val="0"/>
        </w:rPr>
        <w:tab/>
        <w:t xml:space="preserve">Subject to this section, the </w:t>
      </w:r>
      <w:r>
        <w:t>CEO</w:t>
      </w:r>
      <w:r>
        <w:rPr>
          <w:snapToGrid w:val="0"/>
        </w:rPr>
        <w:t xml:space="preserve"> may —</w:t>
      </w:r>
    </w:p>
    <w:p>
      <w:pPr>
        <w:pStyle w:val="Indenta"/>
        <w:spacing w:before="60"/>
        <w:rPr>
          <w:snapToGrid w:val="0"/>
        </w:rPr>
      </w:pPr>
      <w:r>
        <w:rPr>
          <w:snapToGrid w:val="0"/>
        </w:rPr>
        <w:tab/>
        <w:t>(a)</w:t>
      </w:r>
      <w:r>
        <w:rPr>
          <w:snapToGrid w:val="0"/>
        </w:rPr>
        <w:tab/>
        <w:t xml:space="preserve">if </w:t>
      </w:r>
      <w:r>
        <w:t>the CEO</w:t>
      </w:r>
      <w:r>
        <w:rPr>
          <w:snapToGrid w:val="0"/>
        </w:rPr>
        <w:t xml:space="preserv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 xml:space="preserve">direct by radio broadcast or in such other manner as </w:t>
      </w:r>
      <w:r>
        <w:t>the CEO</w:t>
      </w:r>
      <w:r>
        <w:rPr>
          <w:snapToGrid w:val="0"/>
        </w:rPr>
        <w:t xml:space="preserve"> considers expedient that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keepNext/>
        <w:rPr>
          <w:snapToGrid w:val="0"/>
        </w:rPr>
      </w:pPr>
      <w:r>
        <w:rPr>
          <w:snapToGrid w:val="0"/>
        </w:rPr>
        <w:tab/>
        <w:t>(2)</w:t>
      </w:r>
      <w:r>
        <w:rPr>
          <w:snapToGrid w:val="0"/>
        </w:rPr>
        <w:tab/>
        <w:t xml:space="preserve">The </w:t>
      </w:r>
      <w:r>
        <w:t>CEO</w:t>
      </w:r>
      <w:r>
        <w:rPr>
          <w:snapToGrid w:val="0"/>
        </w:rPr>
        <w:t xml:space="preserve"> may —</w:t>
      </w:r>
    </w:p>
    <w:p>
      <w:pPr>
        <w:pStyle w:val="Indenta"/>
        <w:spacing w:before="60"/>
        <w:rPr>
          <w:snapToGrid w:val="0"/>
        </w:rPr>
      </w:pPr>
      <w:r>
        <w:rPr>
          <w:snapToGrid w:val="0"/>
        </w:rPr>
        <w:tab/>
        <w:t>(a)</w:t>
      </w:r>
      <w:r>
        <w:rPr>
          <w:snapToGrid w:val="0"/>
        </w:rPr>
        <w:tab/>
        <w:t>with the approval of the Minister, amend; or</w:t>
      </w:r>
    </w:p>
    <w:p>
      <w:pPr>
        <w:pStyle w:val="Indenta"/>
        <w:keepNext/>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pPr>
        <w:pStyle w:val="Indenta"/>
        <w:rPr>
          <w:snapToGrid w:val="0"/>
        </w:rPr>
      </w:pPr>
      <w:r>
        <w:rPr>
          <w:snapToGrid w:val="0"/>
        </w:rPr>
        <w:tab/>
        <w:t>(a)</w:t>
      </w:r>
      <w:r>
        <w:rPr>
          <w:snapToGrid w:val="0"/>
        </w:rPr>
        <w:tab/>
        <w:t>is revoked under subsection (2); or</w:t>
      </w:r>
    </w:p>
    <w:p>
      <w:pPr>
        <w:pStyle w:val="Indenta"/>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rPr>
          <w:snapToGrid w:val="0"/>
        </w:rPr>
      </w:pPr>
      <w:r>
        <w:rPr>
          <w:snapToGrid w:val="0"/>
        </w:rPr>
        <w:lastRenderedPageBreak/>
        <w:tab/>
        <w:t>(5)</w:t>
      </w:r>
      <w:r>
        <w:rPr>
          <w:snapToGrid w:val="0"/>
        </w:rPr>
        <w:tab/>
        <w:t>A person who carries on a specified industry, trade or activity in contravention of a direction given under subsection (1) commits an offence.</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specified</w:t>
      </w:r>
      <w:r>
        <w:t xml:space="preserve"> means specified in the relevant direction given under subsection (1).</w:t>
      </w:r>
    </w:p>
    <w:p>
      <w:pPr>
        <w:pStyle w:val="Footnotesection"/>
      </w:pPr>
      <w:r>
        <w:tab/>
        <w:t>[Section 71 amended: No. 54 of 2003 s. 49 and 140(2); No. 40 of 2020 s. 111(1).]</w:t>
      </w:r>
    </w:p>
    <w:p>
      <w:pPr>
        <w:pStyle w:val="Heading5"/>
        <w:rPr>
          <w:snapToGrid w:val="0"/>
        </w:rPr>
      </w:pPr>
      <w:bookmarkStart w:id="196" w:name="_Toc158985477"/>
      <w:r>
        <w:rPr>
          <w:rStyle w:val="CharSectno"/>
        </w:rPr>
        <w:t>72</w:t>
      </w:r>
      <w:r>
        <w:rPr>
          <w:snapToGrid w:val="0"/>
        </w:rPr>
        <w:t>.</w:t>
      </w:r>
      <w:r>
        <w:rPr>
          <w:snapToGrid w:val="0"/>
        </w:rPr>
        <w:tab/>
        <w:t>Duty to notify CEO of discharges of waste</w:t>
      </w:r>
      <w:bookmarkEnd w:id="196"/>
    </w:p>
    <w:p>
      <w:pPr>
        <w:pStyle w:val="Subsection"/>
        <w:rPr>
          <w:snapToGrid w:val="0"/>
        </w:rPr>
      </w:pPr>
      <w:r>
        <w:rPr>
          <w:snapToGrid w:val="0"/>
        </w:rPr>
        <w:tab/>
        <w:t>(1)</w:t>
      </w:r>
      <w:r>
        <w:rPr>
          <w:snapToGrid w:val="0"/>
        </w:rPr>
        <w:tab/>
        <w:t>Subject to subsection (2), if a discharge of waste —</w:t>
      </w:r>
    </w:p>
    <w:p>
      <w:pPr>
        <w:pStyle w:val="Indenta"/>
        <w:rPr>
          <w:snapToGrid w:val="0"/>
        </w:rPr>
      </w:pPr>
      <w:r>
        <w:rPr>
          <w:snapToGrid w:val="0"/>
        </w:rPr>
        <w:tab/>
        <w:t>(a)</w:t>
      </w:r>
      <w:r>
        <w:rPr>
          <w:snapToGrid w:val="0"/>
        </w:rPr>
        <w:tab/>
        <w:t>occurs as a result of an emergency, accident or malfunction; or</w:t>
      </w:r>
    </w:p>
    <w:p>
      <w:pPr>
        <w:pStyle w:val="Indenta"/>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keepNext/>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rPr>
          <w:snapToGrid w:val="0"/>
        </w:rPr>
      </w:pPr>
      <w:r>
        <w:rPr>
          <w:snapToGrid w:val="0"/>
        </w:rPr>
        <w:lastRenderedPageBreak/>
        <w:tab/>
        <w:t>(4)</w:t>
      </w:r>
      <w:r>
        <w:rPr>
          <w:snapToGrid w:val="0"/>
        </w:rPr>
        <w:tab/>
        <w:t>An occupier who contravenes subsection (3) commits an offence.</w:t>
      </w:r>
    </w:p>
    <w:p>
      <w:pPr>
        <w:pStyle w:val="Subsection"/>
        <w:keepNext/>
        <w:keepLines/>
        <w:rPr>
          <w:snapToGrid w:val="0"/>
        </w:rPr>
      </w:pPr>
      <w:r>
        <w:rPr>
          <w:snapToGrid w:val="0"/>
        </w:rPr>
        <w:tab/>
        <w:t>(5)</w:t>
      </w:r>
      <w:r>
        <w:rPr>
          <w:snapToGrid w:val="0"/>
        </w:rPr>
        <w:tab/>
        <w:t>In subsection (3) —</w:t>
      </w:r>
    </w:p>
    <w:p>
      <w:pPr>
        <w:pStyle w:val="Defstart"/>
        <w:keepNext/>
        <w:keepLines/>
      </w:pPr>
      <w:r>
        <w:tab/>
      </w:r>
      <w:r>
        <w:rPr>
          <w:rStyle w:val="CharDefText"/>
        </w:rPr>
        <w:t>relevant NEPM</w:t>
      </w:r>
      <w:r>
        <w:t xml:space="preserve"> means an NEPM that is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ind w:left="890" w:hanging="890"/>
      </w:pPr>
      <w:r>
        <w:tab/>
        <w:t>[Section 72 amended: No. 14 of 1998 s. 31; No. 54 of 2003 s. 46(2), 50 and 140(2).]</w:t>
      </w:r>
    </w:p>
    <w:p>
      <w:pPr>
        <w:pStyle w:val="Heading5"/>
        <w:rPr>
          <w:snapToGrid w:val="0"/>
        </w:rPr>
      </w:pPr>
      <w:bookmarkStart w:id="197" w:name="_Toc158985478"/>
      <w:r>
        <w:rPr>
          <w:rStyle w:val="CharSectno"/>
        </w:rPr>
        <w:t>73</w:t>
      </w:r>
      <w:r>
        <w:rPr>
          <w:snapToGrid w:val="0"/>
        </w:rPr>
        <w:t>.</w:t>
      </w:r>
      <w:r>
        <w:rPr>
          <w:snapToGrid w:val="0"/>
        </w:rPr>
        <w:tab/>
        <w:t>Powers to deal with etc. discharges of waste, pollution and environmental harm</w:t>
      </w:r>
      <w:bookmarkEnd w:id="197"/>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inspector or authorised person may, with the approval of the CEO, take the action referred to in subsection (1a).</w:t>
      </w:r>
    </w:p>
    <w:p>
      <w:pPr>
        <w:pStyle w:val="Subsection"/>
      </w:pPr>
      <w:r>
        <w:tab/>
        <w:t>(1a)</w:t>
      </w:r>
      <w:r>
        <w:tab/>
        <w:t xml:space="preserve">The </w:t>
      </w:r>
      <w:r>
        <w:rPr>
          <w:snapToGrid w:val="0"/>
        </w:rPr>
        <w:t>inspector</w:t>
      </w:r>
      <w:r>
        <w:t xml:space="preserve"> or authorised person may, with such assistance as the inspector or authorised person considers appropriate —</w:t>
      </w:r>
    </w:p>
    <w:p>
      <w:pPr>
        <w:pStyle w:val="Indenta"/>
      </w:pPr>
      <w:r>
        <w:tab/>
        <w:t>(a)</w:t>
      </w:r>
      <w:r>
        <w:tab/>
        <w:t>remove, disperse, destroy, dispose of or otherwise deal with the waste which has been or is being discharged; or</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spacing w:before="200"/>
      </w:pPr>
      <w:r>
        <w:tab/>
      </w:r>
      <w:r>
        <w:tab/>
        <w:t>as the case requires.</w:t>
      </w:r>
    </w:p>
    <w:p>
      <w:pPr>
        <w:pStyle w:val="Ednotesubsection"/>
      </w:pPr>
      <w:r>
        <w:lastRenderedPageBreak/>
        <w:tab/>
        <w:t>[(2)</w:t>
      </w:r>
      <w:r>
        <w:tab/>
        <w:t>deleted]</w:t>
      </w:r>
    </w:p>
    <w:p>
      <w:pPr>
        <w:pStyle w:val="Subsection"/>
        <w:keepNext/>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If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CEO may cause —</w:t>
      </w:r>
    </w:p>
    <w:p>
      <w:pPr>
        <w:pStyle w:val="Indenta"/>
      </w:pPr>
      <w:r>
        <w:tab/>
        <w:t>(d)</w:t>
      </w:r>
      <w:r>
        <w:tab/>
        <w:t>the waste to be removed, dispersed, destroyed, disposed of or otherwise dealt with; or</w:t>
      </w:r>
    </w:p>
    <w:p>
      <w:pPr>
        <w:pStyle w:val="Indenta"/>
      </w:pPr>
      <w:r>
        <w:lastRenderedPageBreak/>
        <w:tab/>
        <w:t>(e)</w:t>
      </w:r>
      <w:r>
        <w:tab/>
        <w:t>the condition of pollution to be prevented from arising or, if that condition arises, that condition to be controlled or abated; or</w:t>
      </w:r>
    </w:p>
    <w:p>
      <w:pPr>
        <w:pStyle w:val="Indenta"/>
      </w:pPr>
      <w:r>
        <w:tab/>
        <w:t>(f)</w:t>
      </w:r>
      <w:r>
        <w:tab/>
        <w:t>the act to be prevented from occurring or, if the environmental harm arises, that environmental harm to be controlled or abated.</w:t>
      </w:r>
    </w:p>
    <w:p>
      <w:pPr>
        <w:pStyle w:val="Subsection"/>
      </w:pPr>
      <w:r>
        <w:tab/>
        <w:t>(4a)</w:t>
      </w:r>
      <w:r>
        <w:tab/>
        <w:t>The CEO may recover the cost of the removal, dispersal, destruction, disposal or other dealing, or of the prevention, control or abatement, as the case requires, referred to in subsection (4) from the person who —</w:t>
      </w:r>
    </w:p>
    <w:p>
      <w:pPr>
        <w:pStyle w:val="Indenta"/>
      </w:pPr>
      <w:r>
        <w:tab/>
        <w:t>(a)</w:t>
      </w:r>
      <w:r>
        <w:tab/>
        <w:t>was the occupier of the premises at the time of the discharge referred to in subsection (4)(a); or</w:t>
      </w:r>
    </w:p>
    <w:p>
      <w:pPr>
        <w:pStyle w:val="Indenta"/>
        <w:keepNext/>
        <w:keepLines/>
      </w:pPr>
      <w:r>
        <w:tab/>
        <w:t>(b)</w:t>
      </w:r>
      <w:r>
        <w:tab/>
        <w:t>caused or allowed to be caused —</w:t>
      </w:r>
    </w:p>
    <w:p>
      <w:pPr>
        <w:pStyle w:val="Indenti"/>
        <w:spacing w:before="60"/>
      </w:pPr>
      <w:r>
        <w:tab/>
        <w:t>(i)</w:t>
      </w:r>
      <w:r>
        <w:tab/>
        <w:t>that discharge; or</w:t>
      </w:r>
    </w:p>
    <w:p>
      <w:pPr>
        <w:pStyle w:val="Indenti"/>
        <w:spacing w:before="60"/>
      </w:pPr>
      <w:r>
        <w:tab/>
        <w:t>(ii)</w:t>
      </w:r>
      <w:r>
        <w:tab/>
        <w:t>the likelihood of the relevant condition referred to in subsection (4)(b) arising or the arising of that condition; or</w:t>
      </w:r>
    </w:p>
    <w:p>
      <w:pPr>
        <w:pStyle w:val="Indenti"/>
        <w:spacing w:before="60"/>
      </w:pPr>
      <w:r>
        <w:tab/>
        <w:t>(iii)</w:t>
      </w:r>
      <w:r>
        <w:tab/>
        <w:t>the likelihood of the relevant act referred to in subsection (4)(c) occurring or the occurrence of that act,</w:t>
      </w:r>
    </w:p>
    <w:p>
      <w:pPr>
        <w:pStyle w:val="Subsection"/>
        <w:spacing w:before="120"/>
      </w:pPr>
      <w:r>
        <w:tab/>
      </w:r>
      <w:r>
        <w:tab/>
        <w:t>by action in a court of competent jurisdiction as a debt due to the Crown.</w:t>
      </w:r>
    </w:p>
    <w:p>
      <w:pPr>
        <w:pStyle w:val="Subsection"/>
      </w:pPr>
      <w:r>
        <w:tab/>
        <w:t>(4b)</w:t>
      </w:r>
      <w:r>
        <w:tab/>
        <w:t xml:space="preserve">Any cost recovered under subsection (4a) is to be paid into the </w:t>
      </w:r>
      <w:r>
        <w:rPr>
          <w:snapToGrid w:val="0"/>
        </w:rPr>
        <w:t>Consolidated Account</w:t>
      </w:r>
      <w:r>
        <w:t>.</w:t>
      </w:r>
    </w:p>
    <w:p>
      <w:pPr>
        <w:pStyle w:val="Footnotesection"/>
        <w:keepLines w:val="0"/>
        <w:ind w:left="890" w:hanging="890"/>
      </w:pPr>
      <w:r>
        <w:tab/>
        <w:t>[Section 73 amended: No. 6 of 1993 s. 11; No. 73 of 1994 s. 4; No. 14 of 1998 s. 8; No. 54 of 2003 s. 51(1)</w:t>
      </w:r>
      <w:r>
        <w:noBreakHyphen/>
        <w:t>(5) and 140(2); No. 77 of 2006 s. 4.]</w:t>
      </w:r>
    </w:p>
    <w:p>
      <w:pPr>
        <w:pStyle w:val="Heading5"/>
        <w:spacing w:before="240"/>
      </w:pPr>
      <w:bookmarkStart w:id="198" w:name="_Toc158985479"/>
      <w:r>
        <w:rPr>
          <w:rStyle w:val="CharSectno"/>
        </w:rPr>
        <w:t>73A</w:t>
      </w:r>
      <w:r>
        <w:t>.</w:t>
      </w:r>
      <w:r>
        <w:tab/>
        <w:t>Prevention notices, issue and effect of</w:t>
      </w:r>
      <w:bookmarkEnd w:id="198"/>
    </w:p>
    <w:p>
      <w:pPr>
        <w:pStyle w:val="Subsection"/>
      </w:pPr>
      <w:r>
        <w:tab/>
        <w:t>(1)</w:t>
      </w:r>
      <w:r>
        <w:tab/>
        <w:t>If an inspector or authorised person reasonably suspects that —</w:t>
      </w:r>
    </w:p>
    <w:p>
      <w:pPr>
        <w:pStyle w:val="Indenta"/>
        <w:spacing w:before="60"/>
      </w:pPr>
      <w:r>
        <w:tab/>
        <w:t>(a)</w:t>
      </w:r>
      <w:r>
        <w:tab/>
        <w:t xml:space="preserve">any waste has been or is being discharged from any premises otherwise than in accordance with a works </w:t>
      </w:r>
      <w:r>
        <w:lastRenderedPageBreak/>
        <w:t>approval, licence or requirement contained in a closure notice or an environmental protection notice; or</w:t>
      </w:r>
    </w:p>
    <w:p>
      <w:pPr>
        <w:pStyle w:val="Indenta"/>
        <w:spacing w:before="60"/>
      </w:pPr>
      <w:r>
        <w:tab/>
        <w:t>(b)</w:t>
      </w:r>
      <w:r>
        <w:tab/>
        <w:t>a condition of pollution is likely to arise or has arisen; or</w:t>
      </w:r>
    </w:p>
    <w:p>
      <w:pPr>
        <w:pStyle w:val="Indenta"/>
        <w:spacing w:before="60"/>
      </w:pPr>
      <w:r>
        <w:tab/>
        <w:t>(c)</w:t>
      </w:r>
      <w:r>
        <w:tab/>
        <w:t>a person has done, is doing, or is likely to do, an act in contravention of section 50A or 50B,</w:t>
      </w:r>
    </w:p>
    <w:p>
      <w:pPr>
        <w:pStyle w:val="Subsection"/>
        <w:spacing w:before="120"/>
      </w:pPr>
      <w:r>
        <w:tab/>
      </w:r>
      <w:r>
        <w:tab/>
        <w:t xml:space="preserve">the inspector or authorised person may, with the approval of the CEO, give a notice (a </w:t>
      </w:r>
      <w:r>
        <w:rPr>
          <w:rStyle w:val="CharDefText"/>
        </w:rPr>
        <w:t>prevention notice</w:t>
      </w:r>
      <w:r>
        <w:t>)</w:t>
      </w:r>
      <w:r>
        <w:rPr>
          <w:b/>
        </w:rPr>
        <w:t xml:space="preserve"> </w:t>
      </w:r>
      <w:r>
        <w:t>to such person as the inspector or authorised  person considers appropriate.</w:t>
      </w:r>
    </w:p>
    <w:p>
      <w:pPr>
        <w:pStyle w:val="Subsection"/>
      </w:pPr>
      <w:r>
        <w:tab/>
        <w:t>(2)</w:t>
      </w:r>
      <w:r>
        <w:tab/>
        <w:t>A prevention notice may require the person to whom the notice is given —</w:t>
      </w:r>
    </w:p>
    <w:p>
      <w:pPr>
        <w:pStyle w:val="Indenta"/>
        <w:spacing w:before="60"/>
      </w:pPr>
      <w:r>
        <w:tab/>
        <w:t>(a)</w:t>
      </w:r>
      <w:r>
        <w:tab/>
        <w:t>to remove, disperse, destroy, dispose of or otherwise deal with the waste which has been or is being discharged; or</w:t>
      </w:r>
    </w:p>
    <w:p>
      <w:pPr>
        <w:pStyle w:val="Indenta"/>
      </w:pPr>
      <w:r>
        <w:tab/>
        <w:t>(b)</w:t>
      </w:r>
      <w:r>
        <w:tab/>
        <w:t>to prevent the condition of pollution from arising or control or abate that condition if it arises; or</w:t>
      </w:r>
    </w:p>
    <w:p>
      <w:pPr>
        <w:pStyle w:val="Indenta"/>
        <w:keepNext/>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When a person has complied with any requirements contained in a prevention notice given to the person under subsection (1), the CEO is to, if the person was not —</w:t>
      </w:r>
    </w:p>
    <w:p>
      <w:pPr>
        <w:pStyle w:val="Indenta"/>
      </w:pPr>
      <w:r>
        <w:tab/>
        <w:t>(a)</w:t>
      </w:r>
      <w:r>
        <w:tab/>
        <w:t>the occupier of the premises from which the relevant waste was discharged at the time of that discharge; or</w:t>
      </w:r>
    </w:p>
    <w:p>
      <w:pPr>
        <w:pStyle w:val="Indenta"/>
      </w:pPr>
      <w:r>
        <w:tab/>
        <w:t>(b)</w:t>
      </w:r>
      <w:r>
        <w:tab/>
        <w:t>the person who caused or allowed to be caused —</w:t>
      </w:r>
    </w:p>
    <w:p>
      <w:pPr>
        <w:pStyle w:val="Indenti"/>
      </w:pPr>
      <w:r>
        <w:rPr>
          <w:spacing w:val="-4"/>
        </w:rPr>
        <w:tab/>
        <w:t>(i)</w:t>
      </w:r>
      <w:r>
        <w:rPr>
          <w:spacing w:val="-4"/>
        </w:rPr>
        <w:tab/>
        <w:t>the discharge referred to in paragraph (a); or</w:t>
      </w:r>
    </w:p>
    <w:p>
      <w:pPr>
        <w:pStyle w:val="Indenti"/>
      </w:pPr>
      <w:r>
        <w:tab/>
        <w:t>(ii)</w:t>
      </w:r>
      <w:r>
        <w:tab/>
        <w:t>the likelihood of the relevant condition referred to in subsection (1)(b) arising or the arising of that condition; or</w:t>
      </w:r>
    </w:p>
    <w:p>
      <w:pPr>
        <w:pStyle w:val="Indenti"/>
        <w:keepNext/>
      </w:pPr>
      <w:r>
        <w:lastRenderedPageBreak/>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keepNext/>
      </w:pPr>
      <w:r>
        <w:tab/>
        <w:t>(4)</w:t>
      </w:r>
      <w:r>
        <w:tab/>
        <w:t>When the CEO has reimbursed any cost under subsection (3), the CEO may recover that cost from the person who —</w:t>
      </w:r>
    </w:p>
    <w:p>
      <w:pPr>
        <w:pStyle w:val="Indenta"/>
      </w:pPr>
      <w:r>
        <w:tab/>
        <w:t>(a)</w:t>
      </w:r>
      <w: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lastRenderedPageBreak/>
        <w:tab/>
        <w:t>(8)</w:t>
      </w:r>
      <w:r>
        <w:tab/>
        <w:t>A person charged with committing an offence against subsection (6) may be convicted of an offence against subsection (7) which is established by the evidence.</w:t>
      </w:r>
    </w:p>
    <w:p>
      <w:pPr>
        <w:pStyle w:val="Footnotesection"/>
      </w:pPr>
      <w:r>
        <w:tab/>
        <w:t>[Section 73A inserted: No. 54 of 2003 s. 52; amended: No. 77 of 2006 s. 4.]</w:t>
      </w:r>
    </w:p>
    <w:p>
      <w:pPr>
        <w:pStyle w:val="Heading5"/>
        <w:rPr>
          <w:snapToGrid w:val="0"/>
        </w:rPr>
      </w:pPr>
      <w:bookmarkStart w:id="199" w:name="_Toc158985480"/>
      <w:r>
        <w:rPr>
          <w:rStyle w:val="CharSectno"/>
        </w:rPr>
        <w:t>73B</w:t>
      </w:r>
      <w:r>
        <w:t>.</w:t>
      </w:r>
      <w:r>
        <w:tab/>
        <w:t>Breach of notice issued under s. 65, 70 or 73A, damages for</w:t>
      </w:r>
      <w:bookmarkEnd w:id="199"/>
    </w:p>
    <w:p>
      <w:pPr>
        <w:pStyle w:val="Subsection"/>
        <w:keepNext/>
        <w:keepLines/>
        <w:rPr>
          <w:snapToGrid w:val="0"/>
        </w:rPr>
      </w:pPr>
      <w:r>
        <w:rPr>
          <w:snapToGrid w:val="0"/>
        </w:rPr>
        <w:tab/>
        <w:t>(1)</w:t>
      </w:r>
      <w:r>
        <w:rPr>
          <w:snapToGrid w:val="0"/>
        </w:rPr>
        <w:tab/>
        <w:t>In this section —</w:t>
      </w:r>
    </w:p>
    <w:p>
      <w:pPr>
        <w:pStyle w:val="Defstart"/>
      </w:pPr>
      <w:r>
        <w:tab/>
      </w:r>
      <w:r>
        <w:rPr>
          <w:rStyle w:val="CharDefText"/>
          <w:snapToGrid/>
        </w:rPr>
        <w:t>notice</w:t>
      </w:r>
      <w:r>
        <w:t xml:space="preserve"> means —</w:t>
      </w:r>
    </w:p>
    <w:p>
      <w:pPr>
        <w:pStyle w:val="Defpara"/>
      </w:pPr>
      <w:r>
        <w:tab/>
        <w:t>(a)</w:t>
      </w:r>
      <w:r>
        <w:tab/>
        <w:t>an environmental protection notice; or</w:t>
      </w:r>
    </w:p>
    <w:p>
      <w:pPr>
        <w:pStyle w:val="Defpara"/>
      </w:pPr>
      <w:r>
        <w:tab/>
        <w:t>(b)</w:t>
      </w:r>
      <w:r>
        <w:tab/>
        <w:t>a vegetation conservation notice; or</w:t>
      </w:r>
    </w:p>
    <w:p>
      <w:pPr>
        <w:pStyle w:val="Defpara"/>
      </w:pPr>
      <w:r>
        <w:tab/>
        <w:t>(c)</w:t>
      </w:r>
      <w:r>
        <w:tab/>
        <w:t>a prevention notice.</w:t>
      </w:r>
    </w:p>
    <w:p>
      <w:pPr>
        <w:pStyle w:val="Subsection"/>
      </w:pPr>
      <w:r>
        <w:tab/>
        <w:t>(2)</w:t>
      </w:r>
      <w:r>
        <w:tab/>
        <w:t>If —</w:t>
      </w:r>
    </w:p>
    <w:p>
      <w:pPr>
        <w:pStyle w:val="Indenta"/>
      </w:pPr>
      <w:r>
        <w:tab/>
        <w:t>(a)</w:t>
      </w:r>
      <w:r>
        <w:tab/>
        <w:t>a person bound by a notice fails to comply with it; and</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spacing w:before="120"/>
      </w:pPr>
      <w:r>
        <w:tab/>
      </w:r>
      <w:r>
        <w:tab/>
        <w:t>then, by reason of the person’s failure to comply, the owner or occupier of the damaged property has a right of action in tort against the person in respect of the damage.</w:t>
      </w:r>
    </w:p>
    <w:p>
      <w:pPr>
        <w:pStyle w:val="Footnotesection"/>
      </w:pPr>
      <w:r>
        <w:tab/>
        <w:t>[Section 73B inserted: No. 54 of 2003 s. 52.]</w:t>
      </w:r>
    </w:p>
    <w:p>
      <w:pPr>
        <w:pStyle w:val="Heading3"/>
      </w:pPr>
      <w:bookmarkStart w:id="200" w:name="_Toc158980812"/>
      <w:bookmarkStart w:id="201" w:name="_Toc158981211"/>
      <w:bookmarkStart w:id="202" w:name="_Toc158985481"/>
      <w:r>
        <w:rPr>
          <w:rStyle w:val="CharDivNo"/>
        </w:rPr>
        <w:t>Division 5</w:t>
      </w:r>
      <w:r>
        <w:t xml:space="preserve"> — </w:t>
      </w:r>
      <w:r>
        <w:rPr>
          <w:rStyle w:val="CharDivText"/>
        </w:rPr>
        <w:t>Miscellaneous</w:t>
      </w:r>
      <w:bookmarkEnd w:id="200"/>
      <w:bookmarkEnd w:id="201"/>
      <w:bookmarkEnd w:id="202"/>
    </w:p>
    <w:p>
      <w:pPr>
        <w:pStyle w:val="Footnotesection"/>
      </w:pPr>
      <w:r>
        <w:tab/>
        <w:t>[Heading inserted: No. 54 of 2003 s. 53.]</w:t>
      </w:r>
    </w:p>
    <w:p>
      <w:pPr>
        <w:pStyle w:val="Heading5"/>
        <w:rPr>
          <w:snapToGrid w:val="0"/>
        </w:rPr>
      </w:pPr>
      <w:bookmarkStart w:id="203" w:name="_Toc158985482"/>
      <w:r>
        <w:rPr>
          <w:rStyle w:val="CharSectno"/>
        </w:rPr>
        <w:t>74</w:t>
      </w:r>
      <w:r>
        <w:rPr>
          <w:snapToGrid w:val="0"/>
        </w:rPr>
        <w:t>.</w:t>
      </w:r>
      <w:r>
        <w:rPr>
          <w:snapToGrid w:val="0"/>
        </w:rPr>
        <w:tab/>
        <w:t>Defences to certain offences</w:t>
      </w:r>
      <w:bookmarkEnd w:id="203"/>
    </w:p>
    <w:p>
      <w:pPr>
        <w:pStyle w:val="Subsection"/>
        <w:keepNext/>
        <w:spacing w:before="140"/>
        <w:rPr>
          <w:snapToGrid w:val="0"/>
        </w:rPr>
      </w:pPr>
      <w:r>
        <w:rPr>
          <w:snapToGrid w:val="0"/>
        </w:rPr>
        <w:tab/>
        <w:t>(1)</w:t>
      </w:r>
      <w:r>
        <w:rPr>
          <w:snapToGrid w:val="0"/>
        </w:rPr>
        <w:tab/>
        <w:t xml:space="preserve">Subject to section 58 and subsection (2), it shall be a defence to proceedings for an offence under this Part in respect of </w:t>
      </w:r>
      <w:r>
        <w:t xml:space="preserve">an </w:t>
      </w:r>
      <w:r>
        <w:lastRenderedPageBreak/>
        <w:t>emission or an act causing environmental harm</w:t>
      </w:r>
      <w:r>
        <w:rPr>
          <w:snapToGrid w:val="0"/>
        </w:rPr>
        <w:t xml:space="preserve"> if the person charged with that offence proves that —</w:t>
      </w:r>
    </w:p>
    <w:p>
      <w:pPr>
        <w:pStyle w:val="Indenta"/>
        <w:spacing w:before="60"/>
        <w:rPr>
          <w:snapToGrid w:val="0"/>
        </w:rPr>
      </w:pPr>
      <w:r>
        <w:rPr>
          <w:snapToGrid w:val="0"/>
        </w:rPr>
        <w:tab/>
        <w:t>(a)</w:t>
      </w:r>
      <w:r>
        <w:rPr>
          <w:snapToGrid w:val="0"/>
        </w:rPr>
        <w:tab/>
        <w:t xml:space="preserve">that </w:t>
      </w:r>
      <w:r>
        <w:t>emission or act</w:t>
      </w:r>
      <w:r>
        <w:rPr>
          <w:snapToGrid w:val="0"/>
        </w:rPr>
        <w:t xml:space="preserve"> occurred —</w:t>
      </w:r>
    </w:p>
    <w:p>
      <w:pPr>
        <w:pStyle w:val="Indenti"/>
        <w:spacing w:before="60"/>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keepNext/>
        <w:keepLines/>
        <w:spacing w:before="60"/>
        <w:rPr>
          <w:snapToGrid w:val="0"/>
        </w:rPr>
      </w:pPr>
      <w:r>
        <w:rPr>
          <w:snapToGrid w:val="0"/>
        </w:rPr>
        <w:tab/>
        <w:t>(ii)</w:t>
      </w:r>
      <w:r>
        <w:rPr>
          <w:snapToGrid w:val="0"/>
        </w:rPr>
        <w:tab/>
        <w:t>as a result of an accident caused otherwise than by the negligence of that person,</w:t>
      </w:r>
    </w:p>
    <w:p>
      <w:pPr>
        <w:pStyle w:val="Indenta"/>
        <w:spacing w:before="60"/>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spacing w:before="60"/>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spacing w:before="140"/>
      </w:pPr>
      <w:r>
        <w:t>(1AA)</w:t>
      </w:r>
      <w:r>
        <w:tab/>
        <w:t xml:space="preserve">Subject to section 58 and subsection (2), it shall be a defence to proceedings for an offence under section 49A(2) or (3) if the person charged with the offence proves that — </w:t>
      </w:r>
    </w:p>
    <w:p>
      <w:pPr>
        <w:pStyle w:val="Indenta"/>
        <w:spacing w:before="60"/>
      </w:pPr>
      <w:r>
        <w:tab/>
        <w:t>(a)</w:t>
      </w:r>
      <w:r>
        <w:tab/>
        <w:t xml:space="preserve">the waste was discharged or abandoned — </w:t>
      </w:r>
    </w:p>
    <w:p>
      <w:pPr>
        <w:pStyle w:val="Indenti"/>
        <w:spacing w:before="60"/>
      </w:pPr>
      <w:r>
        <w:tab/>
        <w:t>(i)</w:t>
      </w:r>
      <w:r>
        <w:tab/>
        <w:t>for the purpose of preventing danger to human life or health or irreversible damage to a significant proportion of the environment; or</w:t>
      </w:r>
    </w:p>
    <w:p>
      <w:pPr>
        <w:pStyle w:val="Indenti"/>
      </w:pPr>
      <w:r>
        <w:tab/>
        <w:t>(ii)</w:t>
      </w:r>
      <w:r>
        <w:tab/>
        <w:t>as a result of an accident caused otherwise than by the negligence of that person;</w:t>
      </w:r>
    </w:p>
    <w:p>
      <w:pPr>
        <w:pStyle w:val="Indenta"/>
      </w:pPr>
      <w:r>
        <w:tab/>
      </w:r>
      <w:r>
        <w:tab/>
        <w:t>and</w:t>
      </w:r>
    </w:p>
    <w:p>
      <w:pPr>
        <w:pStyle w:val="Indenta"/>
      </w:pPr>
      <w:r>
        <w:tab/>
        <w:t>(b)</w:t>
      </w:r>
      <w:r>
        <w:tab/>
        <w:t>as soon as was reasonably practicable after the waste was discharged or abandoned that person notified particulars of the discharge or abandonment in writing to the CEO.</w:t>
      </w:r>
    </w:p>
    <w:p>
      <w:pPr>
        <w:pStyle w:val="Subsection"/>
        <w:keepNext/>
        <w:rPr>
          <w:snapToGrid w:val="0"/>
        </w:rPr>
      </w:pPr>
      <w:r>
        <w:rPr>
          <w:snapToGrid w:val="0"/>
        </w:rPr>
        <w:lastRenderedPageBreak/>
        <w:tab/>
        <w:t>(1a)</w:t>
      </w:r>
      <w:r>
        <w:rPr>
          <w:snapToGrid w:val="0"/>
        </w:rPr>
        <w:tab/>
        <w:t>Subject to subsection (2), it shall be a defence to proceedings for a Tier 1 offence if the person charged with that offence proves that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w:t>
      </w:r>
      <w:r>
        <w:t xml:space="preserve">subsection (1), (1AA) </w:t>
      </w:r>
      <w:r>
        <w:rPr>
          <w:snapToGrid w:val="0"/>
        </w:rPr>
        <w:t xml:space="preserve">or (1a) is not available to a person unless he notifies the </w:t>
      </w:r>
      <w:r>
        <w:t>CEO</w:t>
      </w:r>
      <w:r>
        <w:rPr>
          <w:snapToGrid w:val="0"/>
        </w:rPr>
        <w:t xml:space="preserve"> of his intention to rely on that defence within 21 days after the day on which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ind w:left="890" w:hanging="890"/>
      </w:pPr>
      <w:r>
        <w:tab/>
        <w:t>[Section 74 amended: No. 73 of 1994 s. 4; No. 14 of 1998 s. 9; No. 54 of 2003 s. 54 and 140(2); No. 48 of 2010 s. 6.]</w:t>
      </w:r>
    </w:p>
    <w:p>
      <w:pPr>
        <w:pStyle w:val="Heading5"/>
      </w:pPr>
      <w:bookmarkStart w:id="204" w:name="_Toc158985483"/>
      <w:r>
        <w:rPr>
          <w:rStyle w:val="CharSectno"/>
        </w:rPr>
        <w:t>74A</w:t>
      </w:r>
      <w:r>
        <w:t>.</w:t>
      </w:r>
      <w:r>
        <w:tab/>
        <w:t>Defences to offences of causing pollution etc.: authority of this Act</w:t>
      </w:r>
      <w:bookmarkEnd w:id="204"/>
    </w:p>
    <w:p>
      <w:pPr>
        <w:pStyle w:val="Subsection"/>
      </w:pPr>
      <w:r>
        <w:tab/>
      </w:r>
      <w:r>
        <w:tab/>
        <w:t>It is a defence to proceedings under this Part for causing pollution, in respect of an emission, or for causing serious environmental harm or material environmental harm, or for discharging or abandoning waste in water to which the public has access if the person charged with that offence proves that the pollution, emission, environmental harm, discharge or abandonment occurred —</w:t>
      </w:r>
    </w:p>
    <w:p>
      <w:pPr>
        <w:pStyle w:val="Indenta"/>
      </w:pPr>
      <w:r>
        <w:tab/>
        <w:t>(a)</w:t>
      </w:r>
      <w:r>
        <w:tab/>
        <w:t>in the implementation of a proposal in accordance with an implementation agreement or decision; or</w:t>
      </w:r>
    </w:p>
    <w:p>
      <w:pPr>
        <w:pStyle w:val="Indenta"/>
        <w:keepNext/>
      </w:pPr>
      <w:r>
        <w:lastRenderedPageBreak/>
        <w:tab/>
        <w:t>(b)</w:t>
      </w:r>
      <w:r>
        <w:tab/>
        <w:t>in accordance with —</w:t>
      </w:r>
    </w:p>
    <w:p>
      <w:pPr>
        <w:pStyle w:val="Indenti"/>
      </w:pPr>
      <w:r>
        <w:tab/>
        <w:t>(i)</w:t>
      </w:r>
      <w:r>
        <w:tab/>
        <w:t>a prescribed standard; or</w:t>
      </w:r>
    </w:p>
    <w:p>
      <w:pPr>
        <w:pStyle w:val="Indenti"/>
      </w:pPr>
      <w:r>
        <w:tab/>
        <w:t>(ii)</w:t>
      </w:r>
      <w:r>
        <w:tab/>
        <w:t>a clearing permit; or</w:t>
      </w:r>
    </w:p>
    <w:p>
      <w:pPr>
        <w:pStyle w:val="Indenti"/>
      </w:pPr>
      <w:r>
        <w:tab/>
        <w:t>(iii)</w:t>
      </w:r>
      <w:r>
        <w:tab/>
        <w:t>a works approval; or</w:t>
      </w:r>
    </w:p>
    <w:p>
      <w:pPr>
        <w:pStyle w:val="Indenti"/>
      </w:pPr>
      <w:r>
        <w:tab/>
        <w:t>(iv)</w:t>
      </w:r>
      <w:r>
        <w:tab/>
        <w:t>a licence; or</w:t>
      </w:r>
    </w:p>
    <w:p>
      <w:pPr>
        <w:pStyle w:val="Indenti"/>
      </w:pPr>
      <w:r>
        <w:tab/>
        <w:t>(v)</w:t>
      </w:r>
      <w:r>
        <w:tab/>
        <w:t>a requirement contained in a closure notice, an environmental protection notice, a vegetation conservation notice or a prevention notice; or</w:t>
      </w:r>
    </w:p>
    <w:p>
      <w:pPr>
        <w:pStyle w:val="Indenti"/>
      </w:pPr>
      <w:r>
        <w:tab/>
        <w:t>(vi)</w:t>
      </w:r>
      <w:r>
        <w:tab/>
        <w:t>an approved policy; or</w:t>
      </w:r>
    </w:p>
    <w:p>
      <w:pPr>
        <w:pStyle w:val="Indenti"/>
      </w:pPr>
      <w:r>
        <w:tab/>
        <w:t>(vii)</w:t>
      </w:r>
      <w:r>
        <w:tab/>
        <w:t>a declaration under section 6; or</w:t>
      </w:r>
    </w:p>
    <w:p>
      <w:pPr>
        <w:pStyle w:val="Indenti"/>
      </w:pPr>
      <w:r>
        <w:tab/>
        <w:t>(viii)</w:t>
      </w:r>
      <w:r>
        <w:tab/>
        <w:t>an exemption under section 75; or</w:t>
      </w:r>
    </w:p>
    <w:p>
      <w:pPr>
        <w:pStyle w:val="Indenti"/>
      </w:pPr>
      <w:r>
        <w:tab/>
        <w:t>(ix)</w:t>
      </w:r>
      <w:r>
        <w:tab/>
        <w:t>a licence, permit, approval or exemption granted, issued or given under the regulations;</w:t>
      </w:r>
    </w:p>
    <w:p>
      <w:pPr>
        <w:pStyle w:val="Indenta"/>
      </w:pPr>
      <w:r>
        <w:tab/>
      </w:r>
      <w:r>
        <w:tab/>
        <w:t>or</w:t>
      </w:r>
    </w:p>
    <w:p>
      <w:pPr>
        <w:pStyle w:val="Indenta"/>
        <w:keepNext/>
      </w:pPr>
      <w:r>
        <w:tab/>
        <w:t>(c)</w:t>
      </w:r>
      <w:r>
        <w:tab/>
        <w:t>in the exercise of any power conferred under this Act.</w:t>
      </w:r>
    </w:p>
    <w:p>
      <w:pPr>
        <w:pStyle w:val="Footnotesection"/>
        <w:ind w:left="890" w:hanging="890"/>
      </w:pPr>
      <w:r>
        <w:tab/>
        <w:t>[Section 74A inserted: No. 54 of 2003 s. 55; amended: No. 48 of 2010 s. 7.]</w:t>
      </w:r>
    </w:p>
    <w:p>
      <w:pPr>
        <w:pStyle w:val="Heading5"/>
      </w:pPr>
      <w:bookmarkStart w:id="205" w:name="_Toc158985484"/>
      <w:r>
        <w:rPr>
          <w:rStyle w:val="CharSectno"/>
        </w:rPr>
        <w:t>74B</w:t>
      </w:r>
      <w:r>
        <w:t>.</w:t>
      </w:r>
      <w:r>
        <w:tab/>
        <w:t>Other defences to environmental harm offences</w:t>
      </w:r>
      <w:bookmarkEnd w:id="205"/>
    </w:p>
    <w:p>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keepNext/>
        <w:keepLines/>
        <w:spacing w:before="120"/>
      </w:pPr>
      <w:r>
        <w:tab/>
        <w:t>(2)</w:t>
      </w:r>
      <w:r>
        <w:tab/>
        <w:t>For the purposes of subsection (1) an act was authorised if it was —</w:t>
      </w:r>
    </w:p>
    <w:p>
      <w:pPr>
        <w:pStyle w:val="Indenta"/>
        <w:spacing w:before="60"/>
      </w:pPr>
      <w:r>
        <w:tab/>
        <w:t>(a)</w:t>
      </w:r>
      <w:r>
        <w:tab/>
        <w:t>done in accordance with an authorisation, approval, requirement or exemption given in the exercise of a power under another written law; or</w:t>
      </w:r>
    </w:p>
    <w:p>
      <w:pPr>
        <w:pStyle w:val="Indenta"/>
        <w:spacing w:before="60"/>
      </w:pPr>
      <w:r>
        <w:tab/>
        <w:t>(b)</w:t>
      </w:r>
      <w:r>
        <w:tab/>
        <w:t>done in the exercise by a public authority, or a member, officer or employee of a public authority, of a function conferred under another written law; or</w:t>
      </w:r>
    </w:p>
    <w:p>
      <w:pPr>
        <w:pStyle w:val="Indenta"/>
      </w:pPr>
      <w:r>
        <w:lastRenderedPageBreak/>
        <w:tab/>
        <w:t>(c)</w:t>
      </w:r>
      <w:r>
        <w:tab/>
        <w:t xml:space="preserve">an act of a kind that the chief executive officer of the department of the Public Service principally assisting in the administration of the </w:t>
      </w:r>
      <w:r>
        <w:rPr>
          <w:i/>
        </w:rPr>
        <w:t>Biosecurity and Agriculture Management Act 2007</w:t>
      </w:r>
      <w:r>
        <w:t xml:space="preserve"> has specified, by order published in the </w:t>
      </w:r>
      <w:r>
        <w:rPr>
          <w:i/>
        </w:rPr>
        <w:t>Gazette</w:t>
      </w:r>
      <w:r>
        <w:t>, to be a normal agricultural activity for the purposes of this paragraph; or</w:t>
      </w:r>
    </w:p>
    <w:p>
      <w:pPr>
        <w:pStyle w:val="Indenta"/>
      </w:pPr>
      <w:r>
        <w:tab/>
        <w:t>(d)</w:t>
      </w:r>
      <w:r>
        <w:tab/>
        <w:t xml:space="preserve">an agricultural activity (including the management or harvesting of a plantation) done in compliance with a code of practice relating to an activity of that kind — </w:t>
      </w:r>
    </w:p>
    <w:p>
      <w:pPr>
        <w:pStyle w:val="Indenti"/>
      </w:pPr>
      <w:r>
        <w:tab/>
        <w:t>(i)</w:t>
      </w:r>
      <w:r>
        <w:tab/>
        <w:t>issued under section 122A; or</w:t>
      </w:r>
    </w:p>
    <w:p>
      <w:pPr>
        <w:pStyle w:val="Indenti"/>
      </w:pPr>
      <w:r>
        <w:tab/>
        <w:t>(ii)</w:t>
      </w:r>
      <w:r>
        <w:tab/>
        <w:t>made or approved under any other written law;</w:t>
      </w:r>
    </w:p>
    <w:p>
      <w:pPr>
        <w:pStyle w:val="Indenta"/>
      </w:pPr>
      <w:r>
        <w:tab/>
      </w:r>
      <w:r>
        <w:tab/>
        <w:t>or</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No. 54 of 2003 s. 55; amended: No. 54 of 2011 s. 4.]</w:t>
      </w:r>
    </w:p>
    <w:p>
      <w:pPr>
        <w:pStyle w:val="Heading5"/>
        <w:rPr>
          <w:snapToGrid w:val="0"/>
        </w:rPr>
      </w:pPr>
      <w:bookmarkStart w:id="206" w:name="_Toc158985485"/>
      <w:r>
        <w:rPr>
          <w:rStyle w:val="CharSectno"/>
        </w:rPr>
        <w:t>75</w:t>
      </w:r>
      <w:r>
        <w:rPr>
          <w:snapToGrid w:val="0"/>
        </w:rPr>
        <w:t>.</w:t>
      </w:r>
      <w:r>
        <w:rPr>
          <w:snapToGrid w:val="0"/>
        </w:rPr>
        <w:tab/>
        <w:t>Discharges or emissions in emergencies</w:t>
      </w:r>
      <w:bookmarkEnd w:id="206"/>
    </w:p>
    <w:p>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pPr>
        <w:pStyle w:val="Indenta"/>
        <w:rPr>
          <w:snapToGrid w:val="0"/>
        </w:rPr>
      </w:pPr>
      <w:r>
        <w:rPr>
          <w:snapToGrid w:val="0"/>
        </w:rPr>
        <w:tab/>
        <w:t>(a)</w:t>
      </w:r>
      <w:r>
        <w:rPr>
          <w:snapToGrid w:val="0"/>
        </w:rPr>
        <w:tab/>
        <w:t>meeting a temporary emergency; or</w:t>
      </w:r>
    </w:p>
    <w:p>
      <w:pPr>
        <w:pStyle w:val="Indenta"/>
        <w:keepNext/>
        <w:keepLines/>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rPr>
          <w:snapToGrid w:val="0"/>
        </w:rPr>
      </w:pPr>
      <w:r>
        <w:rPr>
          <w:snapToGrid w:val="0"/>
        </w:rPr>
        <w:tab/>
      </w:r>
      <w:r>
        <w:rPr>
          <w:snapToGrid w:val="0"/>
        </w:rPr>
        <w:tab/>
        <w:t xml:space="preserve">on </w:t>
      </w:r>
      <w:r>
        <w:t>the CEO’s</w:t>
      </w:r>
      <w:r>
        <w:rPr>
          <w:snapToGrid w:val="0"/>
        </w:rPr>
        <w:t xml:space="preserve"> own initiative or at the instance of another person exempt the occupier of those premises from compliance with this Part for such period not exceeding 14 days, and subject to such conditions, as </w:t>
      </w:r>
      <w:r>
        <w:t>the CEO</w:t>
      </w:r>
      <w:r>
        <w:rPr>
          <w:snapToGrid w:val="0"/>
        </w:rPr>
        <w:t xml:space="preserve"> specifies in that exemption.</w:t>
      </w:r>
    </w:p>
    <w:p>
      <w:pPr>
        <w:pStyle w:val="Subsection"/>
        <w:rPr>
          <w:snapToGrid w:val="0"/>
        </w:rPr>
      </w:pPr>
      <w:r>
        <w:rPr>
          <w:snapToGrid w:val="0"/>
        </w:rPr>
        <w:lastRenderedPageBreak/>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w:t>
      </w:r>
      <w:r>
        <w:t>the CEO</w:t>
      </w:r>
      <w:r>
        <w:rPr>
          <w:snapToGrid w:val="0"/>
        </w:rPr>
        <w:t xml:space="preserv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No. 54 of 2003 s. 56 and 140(2); No. 40 of 2020 s. 111(1).]</w:t>
      </w:r>
    </w:p>
    <w:p>
      <w:pPr>
        <w:pStyle w:val="Heading5"/>
        <w:rPr>
          <w:snapToGrid w:val="0"/>
        </w:rPr>
      </w:pPr>
      <w:bookmarkStart w:id="207" w:name="_Toc158985486"/>
      <w:r>
        <w:rPr>
          <w:rStyle w:val="CharSectno"/>
        </w:rPr>
        <w:t>76</w:t>
      </w:r>
      <w:r>
        <w:rPr>
          <w:snapToGrid w:val="0"/>
        </w:rPr>
        <w:t>.</w:t>
      </w:r>
      <w:r>
        <w:rPr>
          <w:snapToGrid w:val="0"/>
        </w:rPr>
        <w:tab/>
        <w:t>Miscellaneous offences</w:t>
      </w:r>
      <w:bookmarkEnd w:id="207"/>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the person is exempted under the regulations from compliance with this subsection and so constructs, manufactures, assembles or sells in accordance with any condition to which that exemption is subject.</w:t>
      </w:r>
    </w:p>
    <w:p>
      <w:pPr>
        <w:pStyle w:val="Subsection"/>
        <w:keepNext/>
        <w:rPr>
          <w:snapToGrid w:val="0"/>
        </w:rPr>
      </w:pPr>
      <w:r>
        <w:rPr>
          <w:snapToGrid w:val="0"/>
        </w:rPr>
        <w:tab/>
        <w:t>(2)</w:t>
      </w:r>
      <w:r>
        <w:rPr>
          <w:snapToGrid w:val="0"/>
        </w:rPr>
        <w:tab/>
        <w:t xml:space="preserve">A person who constructs, manufactures, assembles, sells or installs or offers to install any equipment required by or under this Act to be fitted or equipped with any device so as to prevent or minimise discharges of any matter into the atmosphere or any </w:t>
      </w:r>
      <w:r>
        <w:rPr>
          <w:snapToGrid w:val="0"/>
        </w:rPr>
        <w:lastRenderedPageBreak/>
        <w:t>waters without that equipment being so fitted or equipped commits an offence.</w:t>
      </w:r>
    </w:p>
    <w:p>
      <w:pPr>
        <w:pStyle w:val="Footnotesection"/>
      </w:pPr>
      <w:r>
        <w:tab/>
        <w:t>[Section 76 amended: No. 40 of 2020 s. 111(1).]</w:t>
      </w:r>
    </w:p>
    <w:p>
      <w:pPr>
        <w:pStyle w:val="Heading5"/>
        <w:rPr>
          <w:snapToGrid w:val="0"/>
        </w:rPr>
      </w:pPr>
      <w:bookmarkStart w:id="208" w:name="_Toc158985487"/>
      <w:r>
        <w:rPr>
          <w:rStyle w:val="CharSectno"/>
        </w:rPr>
        <w:t>77</w:t>
      </w:r>
      <w:r>
        <w:rPr>
          <w:snapToGrid w:val="0"/>
        </w:rPr>
        <w:t>.</w:t>
      </w:r>
      <w:r>
        <w:rPr>
          <w:snapToGrid w:val="0"/>
        </w:rPr>
        <w:tab/>
        <w:t>Vehicles and vessels, duties of owners etc. of</w:t>
      </w:r>
      <w:bookmarkEnd w:id="208"/>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2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rPr>
          <w:snapToGrid w:val="0"/>
        </w:rPr>
      </w:pPr>
      <w:bookmarkStart w:id="209" w:name="_Toc158985488"/>
      <w:r>
        <w:rPr>
          <w:rStyle w:val="CharSectno"/>
        </w:rPr>
        <w:t>78</w:t>
      </w:r>
      <w:r>
        <w:rPr>
          <w:snapToGrid w:val="0"/>
        </w:rPr>
        <w:t>.</w:t>
      </w:r>
      <w:r>
        <w:rPr>
          <w:snapToGrid w:val="0"/>
        </w:rPr>
        <w:tab/>
        <w:t>Interfering with anti</w:t>
      </w:r>
      <w:r>
        <w:rPr>
          <w:snapToGrid w:val="0"/>
        </w:rPr>
        <w:noBreakHyphen/>
        <w:t>pollution devices on vehicles or vessels</w:t>
      </w:r>
      <w:bookmarkEnd w:id="209"/>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keepNext/>
        <w:rPr>
          <w:snapToGrid w:val="0"/>
        </w:rPr>
      </w:pPr>
      <w:r>
        <w:rPr>
          <w:snapToGrid w:val="0"/>
        </w:rPr>
        <w:tab/>
        <w:t>(b)</w:t>
      </w:r>
      <w:r>
        <w:rPr>
          <w:snapToGrid w:val="0"/>
        </w:rPr>
        <w:tab/>
        <w:t xml:space="preserve">adjusts or modifies, or causes or allows to be adjusted or modified, a device fitted to, or a part of, a vehicle or vessel, if that adjustment or modification results in the discharge into the atmosphere or any waters by the vehicle or vessel of any matter or in the emission of any </w:t>
      </w:r>
      <w:r>
        <w:rPr>
          <w:snapToGrid w:val="0"/>
        </w:rPr>
        <w:lastRenderedPageBreak/>
        <w:t>noise by the vehicle or vessel that does not comply with the prescribed standard,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pPr>
        <w:pStyle w:val="Indenta"/>
        <w:rPr>
          <w:snapToGrid w:val="0"/>
        </w:rPr>
      </w:pPr>
      <w:r>
        <w:rPr>
          <w:snapToGrid w:val="0"/>
        </w:rPr>
        <w:tab/>
        <w:t>(a)</w:t>
      </w:r>
      <w:r>
        <w:rPr>
          <w:snapToGrid w:val="0"/>
        </w:rPr>
        <w:tab/>
        <w:t>for the purpose of servicing, repairing or replacing that device or part or of improving its efficiency in minimising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the discharge of matter or the emission of noise;</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as a temporary measure for the purpose of facilitating the service or repair of a vehicle or vessel.</w:t>
      </w:r>
    </w:p>
    <w:p>
      <w:pPr>
        <w:pStyle w:val="Subsection"/>
        <w:keepLines/>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210" w:name="_Toc158985489"/>
      <w:r>
        <w:rPr>
          <w:rStyle w:val="CharSectno"/>
        </w:rPr>
        <w:t>79</w:t>
      </w:r>
      <w:r>
        <w:rPr>
          <w:snapToGrid w:val="0"/>
        </w:rPr>
        <w:t>.</w:t>
      </w:r>
      <w:r>
        <w:rPr>
          <w:snapToGrid w:val="0"/>
        </w:rPr>
        <w:tab/>
        <w:t>Unreasonable noise emissions from premises</w:t>
      </w:r>
      <w:bookmarkEnd w:id="210"/>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w:t>
      </w:r>
    </w:p>
    <w:p>
      <w:pPr>
        <w:pStyle w:val="Indenta"/>
        <w:rPr>
          <w:snapToGrid w:val="0"/>
        </w:rPr>
      </w:pPr>
      <w:r>
        <w:rPr>
          <w:snapToGrid w:val="0"/>
        </w:rPr>
        <w:tab/>
        <w:t>(a)</w:t>
      </w:r>
      <w:r>
        <w:rPr>
          <w:snapToGrid w:val="0"/>
        </w:rPr>
        <w:tab/>
        <w:t>any 3 or more persons, each of whom is the occupier of premises and claims to be directly affected by that alleged offence; or</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lastRenderedPageBreak/>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pPr>
        <w:pStyle w:val="Indenta"/>
        <w:rPr>
          <w:snapToGrid w:val="0"/>
        </w:rPr>
      </w:pPr>
      <w:r>
        <w:rPr>
          <w:snapToGrid w:val="0"/>
        </w:rPr>
        <w:tab/>
        <w:t>(a)</w:t>
      </w:r>
      <w:r>
        <w:rPr>
          <w:snapToGrid w:val="0"/>
        </w:rPr>
        <w:tab/>
        <w:t>less than 3 persons were affected by that alleged offence; or</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 xml:space="preserve">the enjoyment of the premises occupied by </w:t>
      </w:r>
      <w:r>
        <w:t>the person</w:t>
      </w:r>
      <w:r>
        <w:rPr>
          <w:snapToGrid w:val="0"/>
        </w:rPr>
        <w:t xml:space="preserve"> was affected by that alleged offence in a degree substantially greater than was the case with other premises so affected,</w:t>
      </w:r>
    </w:p>
    <w:p>
      <w:pPr>
        <w:pStyle w:val="Subsection"/>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spacing w:before="100"/>
      </w:pPr>
      <w:r>
        <w:tab/>
        <w:t>[Section 79 amended: No. 84 of 2004 s. 80 and 82; No. 40 of 2020 s. 111(1).]</w:t>
      </w:r>
    </w:p>
    <w:p>
      <w:pPr>
        <w:pStyle w:val="Heading5"/>
        <w:rPr>
          <w:snapToGrid w:val="0"/>
        </w:rPr>
      </w:pPr>
      <w:bookmarkStart w:id="211" w:name="_Toc158985490"/>
      <w:r>
        <w:rPr>
          <w:rStyle w:val="CharSectno"/>
        </w:rPr>
        <w:t>80</w:t>
      </w:r>
      <w:r>
        <w:rPr>
          <w:snapToGrid w:val="0"/>
        </w:rPr>
        <w:t>.</w:t>
      </w:r>
      <w:r>
        <w:rPr>
          <w:snapToGrid w:val="0"/>
        </w:rPr>
        <w:tab/>
        <w:t>Installing equipment emitting unreasonable noise</w:t>
      </w:r>
      <w:bookmarkEnd w:id="211"/>
    </w:p>
    <w:p>
      <w:pPr>
        <w:pStyle w:val="Subsection"/>
        <w:rPr>
          <w:snapToGrid w:val="0"/>
        </w:rPr>
      </w:pPr>
      <w:r>
        <w:rPr>
          <w:snapToGrid w:val="0"/>
        </w:rPr>
        <w:tab/>
        <w:t>(1)</w:t>
      </w:r>
      <w:r>
        <w:rPr>
          <w:snapToGrid w:val="0"/>
        </w:rPr>
        <w:tab/>
        <w:t>A person who installs on or in any premises any equipment which, when operated, emits unreasonable noise and which the person knows or, if the person had exercised reasonable care, would have known so to emit when so installed and operated, commits an offence.</w:t>
      </w:r>
    </w:p>
    <w:p>
      <w:pPr>
        <w:pStyle w:val="Subsection"/>
        <w:rPr>
          <w:snapToGrid w:val="0"/>
        </w:rPr>
      </w:pPr>
      <w:r>
        <w:rPr>
          <w:snapToGrid w:val="0"/>
        </w:rPr>
        <w:tab/>
        <w:t>(2)</w:t>
      </w:r>
      <w:r>
        <w:rPr>
          <w:snapToGrid w:val="0"/>
        </w:rPr>
        <w:tab/>
        <w:t xml:space="preserve">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w:t>
      </w:r>
      <w:r>
        <w:t>the occupier</w:t>
      </w:r>
      <w:r>
        <w:rPr>
          <w:snapToGrid w:val="0"/>
        </w:rPr>
        <w:t xml:space="preserve"> in respect of </w:t>
      </w:r>
      <w:r>
        <w:rPr>
          <w:snapToGrid w:val="0"/>
        </w:rPr>
        <w:lastRenderedPageBreak/>
        <w:t>the first</w:t>
      </w:r>
      <w:r>
        <w:rPr>
          <w:snapToGrid w:val="0"/>
        </w:rPr>
        <w:noBreakHyphen/>
        <w:t>mentioned offence, from the other person by action in a court of competent jurisdiction.</w:t>
      </w:r>
    </w:p>
    <w:p>
      <w:pPr>
        <w:pStyle w:val="Footnotesection"/>
      </w:pPr>
      <w:r>
        <w:tab/>
        <w:t>[Section 80 amended: No. 40 of 2020 s. 111(1).]</w:t>
      </w:r>
    </w:p>
    <w:p>
      <w:pPr>
        <w:pStyle w:val="Heading5"/>
        <w:spacing w:before="180"/>
        <w:rPr>
          <w:snapToGrid w:val="0"/>
        </w:rPr>
      </w:pPr>
      <w:bookmarkStart w:id="212" w:name="_Toc158985491"/>
      <w:r>
        <w:rPr>
          <w:rStyle w:val="CharSectno"/>
        </w:rPr>
        <w:t>81</w:t>
      </w:r>
      <w:r>
        <w:rPr>
          <w:snapToGrid w:val="0"/>
        </w:rPr>
        <w:t>.</w:t>
      </w:r>
      <w:r>
        <w:rPr>
          <w:snapToGrid w:val="0"/>
        </w:rPr>
        <w:tab/>
        <w:t>Noise abatement, powers for</w:t>
      </w:r>
      <w:bookmarkEnd w:id="212"/>
    </w:p>
    <w:p>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pPr>
        <w:pStyle w:val="Indenta"/>
        <w:rPr>
          <w:snapToGrid w:val="0"/>
        </w:rPr>
      </w:pPr>
      <w:r>
        <w:rPr>
          <w:snapToGrid w:val="0"/>
        </w:rPr>
        <w:tab/>
        <w:t>(a)</w:t>
      </w:r>
      <w:r>
        <w:rPr>
          <w:snapToGrid w:val="0"/>
        </w:rPr>
        <w:tab/>
        <w:t xml:space="preserve">direct, either orally or in writing as </w:t>
      </w:r>
      <w:r>
        <w:t xml:space="preserve">the </w:t>
      </w:r>
      <w:r>
        <w:rPr>
          <w:snapToGrid w:val="0"/>
        </w:rPr>
        <w:t>authorised person or police officer considers appropriate —</w:t>
      </w:r>
    </w:p>
    <w:p>
      <w:pPr>
        <w:pStyle w:val="Indenti"/>
        <w:keepNext/>
        <w:rPr>
          <w:snapToGrid w:val="0"/>
        </w:rPr>
      </w:pPr>
      <w:r>
        <w:rPr>
          <w:snapToGrid w:val="0"/>
        </w:rPr>
        <w:tab/>
        <w:t>(i)</w:t>
      </w:r>
      <w:r>
        <w:rPr>
          <w:snapToGrid w:val="0"/>
        </w:rPr>
        <w:tab/>
        <w:t xml:space="preserve">the person whom </w:t>
      </w:r>
      <w:r>
        <w:t xml:space="preserve">the </w:t>
      </w:r>
      <w:r>
        <w:rPr>
          <w:snapToGrid w:val="0"/>
        </w:rPr>
        <w:t>authorised person or police officer believes to be the occupier of those premises to cause the emission of that unreasonable noise to cease; or</w:t>
      </w:r>
    </w:p>
    <w:p>
      <w:pPr>
        <w:pStyle w:val="Indenti"/>
        <w:rPr>
          <w:snapToGrid w:val="0"/>
        </w:rPr>
      </w:pPr>
      <w:r>
        <w:rPr>
          <w:snapToGrid w:val="0"/>
        </w:rPr>
        <w:tab/>
        <w:t>(ii)</w:t>
      </w:r>
      <w:r>
        <w:rPr>
          <w:snapToGrid w:val="0"/>
        </w:rPr>
        <w:tab/>
        <w:t xml:space="preserve">any person whom </w:t>
      </w:r>
      <w:r>
        <w:t xml:space="preserve">the </w:t>
      </w:r>
      <w:r>
        <w:rPr>
          <w:snapToGrid w:val="0"/>
        </w:rPr>
        <w:t>authorised person or police officer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lastRenderedPageBreak/>
        <w:tab/>
        <w:t>(4)</w:t>
      </w:r>
      <w:r>
        <w:rPr>
          <w:snapToGrid w:val="0"/>
        </w:rPr>
        <w:tab/>
        <w:t>A direction given under subsection (1) shall have effect for such period not exceeding 7 days as is specified in that direction, but may within that period be revoked by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Footnotesection"/>
      </w:pPr>
      <w:r>
        <w:tab/>
        <w:t>[Section 81 amended: No. 40 of 2020 s. 111(1).]</w:t>
      </w:r>
    </w:p>
    <w:p>
      <w:pPr>
        <w:pStyle w:val="Heading5"/>
        <w:rPr>
          <w:snapToGrid w:val="0"/>
        </w:rPr>
      </w:pPr>
      <w:bookmarkStart w:id="213" w:name="_Toc158985492"/>
      <w:r>
        <w:rPr>
          <w:rStyle w:val="CharSectno"/>
        </w:rPr>
        <w:t>81A</w:t>
      </w:r>
      <w:r>
        <w:rPr>
          <w:snapToGrid w:val="0"/>
        </w:rPr>
        <w:t>.</w:t>
      </w:r>
      <w:r>
        <w:rPr>
          <w:snapToGrid w:val="0"/>
        </w:rPr>
        <w:tab/>
        <w:t>Seizing noisy equipment</w:t>
      </w:r>
      <w:bookmarkEnd w:id="213"/>
    </w:p>
    <w:p>
      <w:pPr>
        <w:pStyle w:val="Subsection"/>
        <w:keepNext/>
        <w:rPr>
          <w:snapToGrid w:val="0"/>
        </w:rPr>
      </w:pPr>
      <w:r>
        <w:rPr>
          <w:snapToGrid w:val="0"/>
        </w:rPr>
        <w:tab/>
        <w:t>(1)</w:t>
      </w:r>
      <w:r>
        <w:rPr>
          <w:snapToGrid w:val="0"/>
        </w:rPr>
        <w:tab/>
        <w:t>Where an authorised person or a police officer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keepNext/>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pPr>
      <w:r>
        <w:tab/>
        <w:t>(2b)</w:t>
      </w:r>
      <w:r>
        <w:tab/>
        <w:t xml:space="preserve">A person is not to be required to pay costs under subsection (2a) if that person shows to the satisfaction of the CEO that the </w:t>
      </w:r>
      <w:r>
        <w:rPr>
          <w:snapToGrid w:val="0"/>
        </w:rPr>
        <w:lastRenderedPageBreak/>
        <w:t>person</w:t>
      </w:r>
      <w:r>
        <w:t xml:space="preserve"> did not use or cause or allow to be used the equipment in the way that caused the equipment to emit the unreasonable noise that resulted in the seizure of the equipment.</w:t>
      </w:r>
    </w:p>
    <w:p>
      <w:pPr>
        <w:pStyle w:val="Subsection"/>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keepNext/>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keepNext/>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[Section 81A inserted: No. 50 of 1996 s. 9; amended: No. 54 of 2003 s. 127; No. 40 of 2020 s. 111(1).]</w:t>
      </w:r>
    </w:p>
    <w:p>
      <w:pPr>
        <w:pStyle w:val="Heading5"/>
        <w:rPr>
          <w:snapToGrid w:val="0"/>
        </w:rPr>
      </w:pPr>
      <w:bookmarkStart w:id="214" w:name="_Toc158985493"/>
      <w:r>
        <w:rPr>
          <w:rStyle w:val="CharSectno"/>
        </w:rPr>
        <w:t>82</w:t>
      </w:r>
      <w:r>
        <w:rPr>
          <w:snapToGrid w:val="0"/>
        </w:rPr>
        <w:t>.</w:t>
      </w:r>
      <w:r>
        <w:rPr>
          <w:snapToGrid w:val="0"/>
        </w:rPr>
        <w:tab/>
        <w:t>Ancillary powers for s. 81 and 81A</w:t>
      </w:r>
      <w:bookmarkEnd w:id="214"/>
    </w:p>
    <w:p>
      <w:pPr>
        <w:pStyle w:val="Subsection"/>
        <w:rPr>
          <w:snapToGrid w:val="0"/>
        </w:rPr>
      </w:pPr>
      <w:r>
        <w:rPr>
          <w:snapToGrid w:val="0"/>
        </w:rPr>
        <w:tab/>
        <w:t>(1)</w:t>
      </w:r>
      <w:r>
        <w:rPr>
          <w:snapToGrid w:val="0"/>
        </w:rPr>
        <w:tab/>
        <w:t xml:space="preserve">An authorised person or police officer may, for the purpose of enabling </w:t>
      </w:r>
      <w:r>
        <w:t xml:space="preserve">the </w:t>
      </w:r>
      <w:r>
        <w:rPr>
          <w:snapToGrid w:val="0"/>
        </w:rPr>
        <w:t>authorised person or police officer to give a direction, or to take or cause to be taken any measures, under section 81(1) or 81A in respect of noise emitted from any premises or to ascertain whether or not an offence under section 81(2) has been committed on any premises —</w:t>
      </w:r>
    </w:p>
    <w:p>
      <w:pPr>
        <w:pStyle w:val="Indenta"/>
        <w:rPr>
          <w:snapToGrid w:val="0"/>
        </w:rPr>
      </w:pPr>
      <w:r>
        <w:rPr>
          <w:snapToGrid w:val="0"/>
        </w:rPr>
        <w:tab/>
        <w:t>(a)</w:t>
      </w:r>
      <w:r>
        <w:rPr>
          <w:snapToGrid w:val="0"/>
        </w:rPr>
        <w:tab/>
        <w:t xml:space="preserve">enter those premises, with the aid of such other authorised persons or police officers as </w:t>
      </w:r>
      <w:r>
        <w:t xml:space="preserve">the </w:t>
      </w:r>
      <w:r>
        <w:rPr>
          <w:snapToGrid w:val="0"/>
        </w:rPr>
        <w:t xml:space="preserve">authorised person or police officer considers necessary and, subject to subsection (3), with the use of reasonable force, at any time when </w:t>
      </w:r>
      <w:r>
        <w:t xml:space="preserve">the </w:t>
      </w:r>
      <w:r>
        <w:rPr>
          <w:snapToGrid w:val="0"/>
        </w:rPr>
        <w:t>authorised person or police officer considers on reasonable grounds that an unreasonable noise has been or is being emitted from those premises; and</w:t>
      </w:r>
    </w:p>
    <w:p>
      <w:pPr>
        <w:pStyle w:val="Indenta"/>
        <w:rPr>
          <w:snapToGrid w:val="0"/>
        </w:rPr>
      </w:pPr>
      <w:r>
        <w:rPr>
          <w:snapToGrid w:val="0"/>
        </w:rPr>
        <w:lastRenderedPageBreak/>
        <w:tab/>
        <w:t>(b)</w:t>
      </w:r>
      <w:r>
        <w:rPr>
          <w:snapToGrid w:val="0"/>
        </w:rPr>
        <w:tab/>
        <w:t xml:space="preserve">whether or not </w:t>
      </w:r>
      <w:r>
        <w:t xml:space="preserve">the </w:t>
      </w:r>
      <w:r>
        <w:rPr>
          <w:snapToGrid w:val="0"/>
        </w:rPr>
        <w:t>authorised person or police officer enters those premises, require any person —</w:t>
      </w:r>
    </w:p>
    <w:p>
      <w:pPr>
        <w:pStyle w:val="Indenti"/>
        <w:rPr>
          <w:snapToGrid w:val="0"/>
        </w:rPr>
      </w:pPr>
      <w:r>
        <w:rPr>
          <w:snapToGrid w:val="0"/>
        </w:rPr>
        <w:tab/>
        <w:t>(i)</w:t>
      </w:r>
      <w:r>
        <w:rPr>
          <w:snapToGrid w:val="0"/>
        </w:rPr>
        <w:tab/>
        <w:t xml:space="preserve">who </w:t>
      </w:r>
      <w:r>
        <w:t xml:space="preserve">the </w:t>
      </w:r>
      <w:r>
        <w:rPr>
          <w:snapToGrid w:val="0"/>
        </w:rPr>
        <w:t>authorised person or police officer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 xml:space="preserve">to whom </w:t>
      </w:r>
      <w:r>
        <w:t xml:space="preserve">the </w:t>
      </w:r>
      <w:r>
        <w:rPr>
          <w:snapToGrid w:val="0"/>
        </w:rPr>
        <w:t xml:space="preserve">authorised person or police officer has given an oral or written warning of the obligation of that person to furnish </w:t>
      </w:r>
      <w:r>
        <w:t xml:space="preserve">the </w:t>
      </w:r>
      <w:r>
        <w:rPr>
          <w:snapToGrid w:val="0"/>
        </w:rPr>
        <w:t>authorised person or police officer with the name and address of that person and with the name and address of the occupier of those premises,</w:t>
      </w:r>
    </w:p>
    <w:p>
      <w:pPr>
        <w:pStyle w:val="Indenta"/>
        <w:rPr>
          <w:snapToGrid w:val="0"/>
        </w:rPr>
      </w:pPr>
      <w:r>
        <w:rPr>
          <w:snapToGrid w:val="0"/>
        </w:rPr>
        <w:tab/>
      </w:r>
      <w:r>
        <w:rPr>
          <w:snapToGrid w:val="0"/>
        </w:rPr>
        <w:tab/>
        <w:t xml:space="preserve">to furnish </w:t>
      </w:r>
      <w:r>
        <w:t xml:space="preserve">the </w:t>
      </w:r>
      <w:r>
        <w:rPr>
          <w:snapToGrid w:val="0"/>
        </w:rPr>
        <w:t>authorised person or police officer with the names and addresses referred to in subparagraph (ii).</w:t>
      </w:r>
    </w:p>
    <w:p>
      <w:pPr>
        <w:pStyle w:val="Subsection"/>
        <w:rPr>
          <w:snapToGrid w:val="0"/>
        </w:rPr>
      </w:pPr>
      <w:r>
        <w:rPr>
          <w:snapToGrid w:val="0"/>
        </w:rPr>
        <w:tab/>
        <w:t>(2)</w:t>
      </w:r>
      <w:r>
        <w:rPr>
          <w:snapToGrid w:val="0"/>
        </w:rPr>
        <w:tab/>
        <w:t>A person who does not comply with a requirement made under subsection (1)(b) commits an offence.</w:t>
      </w:r>
    </w:p>
    <w:p>
      <w:pPr>
        <w:pStyle w:val="Subsection"/>
        <w:rPr>
          <w:snapToGrid w:val="0"/>
        </w:rPr>
      </w:pPr>
      <w:r>
        <w:rPr>
          <w:snapToGrid w:val="0"/>
        </w:rPr>
        <w:tab/>
        <w:t>(3)</w:t>
      </w:r>
      <w:r>
        <w:rPr>
          <w:snapToGrid w:val="0"/>
        </w:rPr>
        <w:tab/>
        <w:t xml:space="preserve">An authorised person shall not, if </w:t>
      </w:r>
      <w:r>
        <w:t xml:space="preserve">the </w:t>
      </w:r>
      <w:r>
        <w:rPr>
          <w:snapToGrid w:val="0"/>
        </w:rPr>
        <w:t xml:space="preserve">authorised person exercises the power referred to in subsection (1)(a), use force in so doing unless </w:t>
      </w:r>
      <w:r>
        <w:t xml:space="preserve">the </w:t>
      </w:r>
      <w:r>
        <w:rPr>
          <w:snapToGrid w:val="0"/>
        </w:rPr>
        <w:t>authorised person is, or is accompanied by, a police officer.</w:t>
      </w:r>
    </w:p>
    <w:p>
      <w:pPr>
        <w:pStyle w:val="Footnotesection"/>
      </w:pPr>
      <w:r>
        <w:tab/>
        <w:t>[Section 82 amended: No. 50 of 1996 s. 10; No. 40 of 2020 s. 111(1).]</w:t>
      </w:r>
    </w:p>
    <w:p>
      <w:pPr>
        <w:pStyle w:val="Heading5"/>
        <w:rPr>
          <w:snapToGrid w:val="0"/>
        </w:rPr>
      </w:pPr>
      <w:bookmarkStart w:id="215" w:name="_Toc158985494"/>
      <w:r>
        <w:rPr>
          <w:rStyle w:val="CharSectno"/>
        </w:rPr>
        <w:t>83</w:t>
      </w:r>
      <w:r>
        <w:rPr>
          <w:snapToGrid w:val="0"/>
        </w:rPr>
        <w:t>.</w:t>
      </w:r>
      <w:r>
        <w:rPr>
          <w:snapToGrid w:val="0"/>
        </w:rPr>
        <w:tab/>
        <w:t>Duty to give assistance and information to officials</w:t>
      </w:r>
      <w:bookmarkEnd w:id="215"/>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pPr>
        <w:pStyle w:val="Indenta"/>
        <w:rPr>
          <w:snapToGrid w:val="0"/>
        </w:rPr>
      </w:pPr>
      <w:r>
        <w:rPr>
          <w:snapToGrid w:val="0"/>
        </w:rPr>
        <w:tab/>
        <w:t>(a)</w:t>
      </w:r>
      <w:r>
        <w:rPr>
          <w:snapToGrid w:val="0"/>
          <w:spacing w:val="-4"/>
        </w:rPr>
        <w:tab/>
        <w:t xml:space="preserve">the authorised person or police officer requires of </w:t>
      </w:r>
      <w:r>
        <w:t>that occupier or person</w:t>
      </w:r>
      <w:r>
        <w:rPr>
          <w:snapToGrid w:val="0"/>
          <w:spacing w:val="-4"/>
        </w:rPr>
        <w:t>; and</w:t>
      </w:r>
    </w:p>
    <w:p>
      <w:pPr>
        <w:pStyle w:val="Indenta"/>
        <w:rPr>
          <w:snapToGrid w:val="0"/>
        </w:rPr>
      </w:pPr>
      <w:r>
        <w:rPr>
          <w:snapToGrid w:val="0"/>
        </w:rPr>
        <w:tab/>
        <w:t>(b)</w:t>
      </w:r>
      <w:r>
        <w:rPr>
          <w:snapToGrid w:val="0"/>
        </w:rPr>
        <w:tab/>
        <w:t xml:space="preserve">that occupier or person is capable of furnishing with respect to the exercise of the powers, and the discharge </w:t>
      </w:r>
      <w:r>
        <w:rPr>
          <w:snapToGrid w:val="0"/>
        </w:rPr>
        <w:lastRenderedPageBreak/>
        <w:t>of the duties, of the authorised person or police officer under this Part commits an offence.</w:t>
      </w:r>
    </w:p>
    <w:p>
      <w:pPr>
        <w:pStyle w:val="Footnotesection"/>
      </w:pPr>
      <w:r>
        <w:tab/>
        <w:t>[Section 83 amended: No. 50 of 1996 s. 11; No. 40 of 2020 s. 111(1).]</w:t>
      </w:r>
    </w:p>
    <w:p>
      <w:pPr>
        <w:pStyle w:val="Heading5"/>
        <w:rPr>
          <w:snapToGrid w:val="0"/>
        </w:rPr>
      </w:pPr>
      <w:bookmarkStart w:id="216" w:name="_Toc158985495"/>
      <w:r>
        <w:rPr>
          <w:rStyle w:val="CharSectno"/>
        </w:rPr>
        <w:t>84</w:t>
      </w:r>
      <w:r>
        <w:rPr>
          <w:snapToGrid w:val="0"/>
        </w:rPr>
        <w:t>.</w:t>
      </w:r>
      <w:r>
        <w:rPr>
          <w:snapToGrid w:val="0"/>
        </w:rPr>
        <w:tab/>
        <w:t>Excessive noise emissions from vehicles or vessels</w:t>
      </w:r>
      <w:bookmarkEnd w:id="216"/>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217" w:name="_Toc158985496"/>
      <w:r>
        <w:rPr>
          <w:rStyle w:val="CharSectno"/>
        </w:rPr>
        <w:t>85</w:t>
      </w:r>
      <w:r>
        <w:rPr>
          <w:snapToGrid w:val="0"/>
        </w:rPr>
        <w:t>.</w:t>
      </w:r>
      <w:r>
        <w:rPr>
          <w:snapToGrid w:val="0"/>
        </w:rPr>
        <w:tab/>
        <w:t>Excessive noise emissions from equipment</w:t>
      </w:r>
      <w:bookmarkEnd w:id="217"/>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218" w:name="_Toc158985497"/>
      <w:r>
        <w:rPr>
          <w:rStyle w:val="CharSectno"/>
        </w:rPr>
        <w:lastRenderedPageBreak/>
        <w:t>86</w:t>
      </w:r>
      <w:r>
        <w:rPr>
          <w:snapToGrid w:val="0"/>
        </w:rPr>
        <w:t>.</w:t>
      </w:r>
      <w:r>
        <w:rPr>
          <w:snapToGrid w:val="0"/>
        </w:rPr>
        <w:tab/>
        <w:t>Manufacture, sale etc. of products emitting excessive noise</w:t>
      </w:r>
      <w:bookmarkEnd w:id="218"/>
    </w:p>
    <w:p>
      <w:pPr>
        <w:pStyle w:val="Subsection"/>
        <w:keepNext/>
        <w:rPr>
          <w:snapToGrid w:val="0"/>
        </w:rPr>
      </w:pPr>
      <w:r>
        <w:rPr>
          <w:snapToGrid w:val="0"/>
        </w:rPr>
        <w:tab/>
        <w:t>(1)</w:t>
      </w:r>
      <w:r>
        <w:rPr>
          <w:snapToGrid w:val="0"/>
        </w:rPr>
        <w:tab/>
        <w:t>The occupier of any premises where there is manufactured, assembled, supplied, distributed, stored or sold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keepNext/>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keepNext/>
        <w:rPr>
          <w:snapToGrid w:val="0"/>
        </w:rPr>
      </w:pPr>
      <w:r>
        <w:rPr>
          <w:snapToGrid w:val="0"/>
        </w:rPr>
        <w:tab/>
        <w:t>(2)</w:t>
      </w:r>
      <w:r>
        <w:rPr>
          <w:snapToGrid w:val="0"/>
        </w:rPr>
        <w:tab/>
        <w:t>The occupier of any premises where there is sold any equipment which is required by or under this Act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rPr>
          <w:snapToGrid w:val="0"/>
        </w:rPr>
      </w:pPr>
      <w:r>
        <w:rPr>
          <w:snapToGrid w:val="0"/>
        </w:rPr>
        <w:tab/>
        <w:t>(4)</w:t>
      </w:r>
      <w:r>
        <w:rPr>
          <w:snapToGrid w:val="0"/>
        </w:rPr>
        <w:tab/>
        <w:t xml:space="preserve">A person who is convicted of an offence under subsection (1) in respect of any equipment, vehicle or vessel may, if the person did not cause the deficiency in the equipment, vehicle or vessel </w:t>
      </w:r>
      <w:r>
        <w:rPr>
          <w:snapToGrid w:val="0"/>
        </w:rPr>
        <w:lastRenderedPageBreak/>
        <w:t>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Footnotesection"/>
      </w:pPr>
      <w:r>
        <w:tab/>
        <w:t>[Section 86 amended: No. 40 of 2020 s. 111(1).]</w:t>
      </w:r>
    </w:p>
    <w:p>
      <w:pPr>
        <w:pStyle w:val="Heading2"/>
      </w:pPr>
      <w:bookmarkStart w:id="219" w:name="_Toc158980829"/>
      <w:bookmarkStart w:id="220" w:name="_Toc158981228"/>
      <w:bookmarkStart w:id="221" w:name="_Toc158985498"/>
      <w:r>
        <w:rPr>
          <w:rStyle w:val="CharPartNo"/>
        </w:rPr>
        <w:lastRenderedPageBreak/>
        <w:t>Part VA</w:t>
      </w:r>
      <w:r>
        <w:rPr>
          <w:rStyle w:val="CharDivNo"/>
        </w:rPr>
        <w:t xml:space="preserve"> </w:t>
      </w:r>
      <w:r>
        <w:t>—</w:t>
      </w:r>
      <w:r>
        <w:rPr>
          <w:rStyle w:val="CharDivText"/>
        </w:rPr>
        <w:t xml:space="preserve"> </w:t>
      </w:r>
      <w:r>
        <w:rPr>
          <w:rStyle w:val="CharPartText"/>
        </w:rPr>
        <w:t>Financial assurances</w:t>
      </w:r>
      <w:bookmarkEnd w:id="219"/>
      <w:bookmarkEnd w:id="220"/>
      <w:bookmarkEnd w:id="221"/>
    </w:p>
    <w:p>
      <w:pPr>
        <w:pStyle w:val="Footnotesection"/>
      </w:pPr>
      <w:r>
        <w:tab/>
        <w:t>[Heading inserted: No. 54 of 2003 s. 87.]</w:t>
      </w:r>
    </w:p>
    <w:p>
      <w:pPr>
        <w:pStyle w:val="Heading5"/>
      </w:pPr>
      <w:bookmarkStart w:id="222" w:name="_Toc158985499"/>
      <w:r>
        <w:rPr>
          <w:rStyle w:val="CharSectno"/>
        </w:rPr>
        <w:t>86A</w:t>
      </w:r>
      <w:r>
        <w:t>.</w:t>
      </w:r>
      <w:r>
        <w:tab/>
        <w:t>Terms used</w:t>
      </w:r>
      <w:bookmarkEnd w:id="222"/>
    </w:p>
    <w:p>
      <w:pPr>
        <w:pStyle w:val="Subsection"/>
      </w:pPr>
      <w:r>
        <w:tab/>
      </w:r>
      <w:r>
        <w:tab/>
        <w:t>In this Part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financial assurance requirement</w:t>
      </w:r>
      <w:r>
        <w:t xml:space="preserve"> means a requirement to provide a financial assurance imposed —</w:t>
      </w:r>
    </w:p>
    <w:p>
      <w:pPr>
        <w:pStyle w:val="Defpara"/>
      </w:pPr>
      <w:r>
        <w:tab/>
        <w:t>(a)</w:t>
      </w:r>
      <w:r>
        <w:tab/>
        <w:t>as an implementation condition; or</w:t>
      </w:r>
    </w:p>
    <w:p>
      <w:pPr>
        <w:pStyle w:val="Defpara"/>
      </w:pPr>
      <w:r>
        <w:tab/>
        <w:t>(b)</w:t>
      </w:r>
      <w:r>
        <w:tab/>
        <w:t>as a condition of an authorisation; or</w:t>
      </w:r>
    </w:p>
    <w:p>
      <w:pPr>
        <w:pStyle w:val="Defpara"/>
      </w:pPr>
      <w:r>
        <w:tab/>
        <w:t>(c)</w:t>
      </w:r>
      <w:r>
        <w:tab/>
        <w:t>under section 86B(2);</w:t>
      </w:r>
    </w:p>
    <w:p>
      <w:pPr>
        <w:pStyle w:val="Defstart"/>
      </w:pPr>
      <w:r>
        <w:tab/>
      </w:r>
      <w:r>
        <w:rPr>
          <w:rStyle w:val="CharDefText"/>
        </w:rPr>
        <w:t>responsible person</w:t>
      </w:r>
      <w:r>
        <w:t xml:space="preserve"> means —</w:t>
      </w:r>
    </w:p>
    <w:p>
      <w:pPr>
        <w:pStyle w:val="Defpara"/>
      </w:pPr>
      <w:r>
        <w:tab/>
        <w:t>(a)</w:t>
      </w:r>
      <w:r>
        <w:tab/>
        <w:t>in relation to a proposal, the proponent; or</w:t>
      </w:r>
    </w:p>
    <w:p>
      <w:pPr>
        <w:pStyle w:val="Defpara"/>
      </w:pPr>
      <w:r>
        <w:tab/>
        <w:t>(b)</w:t>
      </w:r>
      <w:r>
        <w:tab/>
        <w:t>in relation to an authorisation, the holder of the authorisation or, in the case of a declaration or exemption, a person required to comply with a condition of the exemption; or</w:t>
      </w:r>
    </w:p>
    <w:p>
      <w:pPr>
        <w:pStyle w:val="Defpara"/>
      </w:pPr>
      <w:r>
        <w:tab/>
        <w:t>(c)</w:t>
      </w:r>
      <w:r>
        <w:tab/>
        <w:t>in relation to a closure notice, the person bound by the notice; or</w:t>
      </w:r>
    </w:p>
    <w:p>
      <w:pPr>
        <w:pStyle w:val="Defpara"/>
      </w:pPr>
      <w:r>
        <w:tab/>
        <w:t>(d)</w:t>
      </w:r>
      <w:r>
        <w:tab/>
        <w:t>in relation to an environmental protection notice, the person bound by the notice; or</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No. 54 of 2003 s. 87.]</w:t>
      </w:r>
    </w:p>
    <w:p>
      <w:pPr>
        <w:pStyle w:val="Heading5"/>
      </w:pPr>
      <w:bookmarkStart w:id="223" w:name="_Toc158985500"/>
      <w:r>
        <w:rPr>
          <w:rStyle w:val="CharSectno"/>
        </w:rPr>
        <w:lastRenderedPageBreak/>
        <w:t>86B</w:t>
      </w:r>
      <w:r>
        <w:t>.</w:t>
      </w:r>
      <w:r>
        <w:tab/>
        <w:t>Financial assurance requirements, imposition and effect of</w:t>
      </w:r>
      <w:bookmarkEnd w:id="223"/>
    </w:p>
    <w:p>
      <w:pPr>
        <w:pStyle w:val="Subsection"/>
        <w:spacing w:before="180"/>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spacing w:before="180"/>
      </w:pPr>
      <w:r>
        <w:tab/>
        <w:t>(2)</w:t>
      </w:r>
      <w:r>
        <w:tab/>
        <w:t>The CEO may by written notice require —</w:t>
      </w:r>
    </w:p>
    <w:p>
      <w:pPr>
        <w:pStyle w:val="Indenta"/>
      </w:pPr>
      <w:r>
        <w:tab/>
        <w:t>(a)</w:t>
      </w:r>
      <w:r>
        <w:tab/>
        <w:t>a person bound by a closure notice; or</w:t>
      </w:r>
    </w:p>
    <w:p>
      <w:pPr>
        <w:pStyle w:val="Indenta"/>
      </w:pPr>
      <w:r>
        <w:tab/>
        <w:t>(b)</w:t>
      </w:r>
      <w:r>
        <w:tab/>
        <w:t>a person bound by an environmental protection notice; or</w:t>
      </w:r>
    </w:p>
    <w:p>
      <w:pPr>
        <w:pStyle w:val="Indenta"/>
      </w:pPr>
      <w:r>
        <w:tab/>
        <w:t>(c)</w:t>
      </w:r>
      <w:r>
        <w:tab/>
        <w:t>a person bound by a vegetation conservation notice; or</w:t>
      </w:r>
    </w:p>
    <w:p>
      <w:pPr>
        <w:pStyle w:val="Indenta"/>
      </w:pPr>
      <w:r>
        <w:tab/>
        <w:t>(d)</w:t>
      </w:r>
      <w:r>
        <w:tab/>
        <w:t>a person to whom a prevention notice is given,</w:t>
      </w:r>
    </w:p>
    <w:p>
      <w:pPr>
        <w:pStyle w:val="Subsection"/>
        <w:spacing w:before="180"/>
      </w:pPr>
      <w:r>
        <w:tab/>
      </w:r>
      <w:r>
        <w:tab/>
        <w:t>to provide a financial assurance of a kind specified in the notice within a time specified in the notice.</w:t>
      </w:r>
    </w:p>
    <w:p>
      <w:pPr>
        <w:pStyle w:val="Subsection"/>
        <w:spacing w:before="180"/>
      </w:pPr>
      <w:r>
        <w:tab/>
        <w:t>(3)</w:t>
      </w:r>
      <w:r>
        <w:tab/>
        <w:t>A person who fails to comply with a requirement under subsection (2) commits an offence.</w:t>
      </w:r>
    </w:p>
    <w:p>
      <w:pPr>
        <w:pStyle w:val="Subsection"/>
        <w:spacing w:before="180"/>
      </w:pPr>
      <w:r>
        <w:tab/>
        <w:t>(4)</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spacing w:before="180"/>
      </w:pPr>
      <w:r>
        <w:tab/>
        <w:t>(5)</w:t>
      </w:r>
      <w:r>
        <w:tab/>
        <w:t>The CEO may require a financial assurance to be provided before an authorisation is declared, granted, amended or suspended.</w:t>
      </w:r>
    </w:p>
    <w:p>
      <w:pPr>
        <w:pStyle w:val="Subsection"/>
        <w:spacing w:before="180"/>
      </w:pPr>
      <w:r>
        <w:tab/>
        <w:t>(6)</w:t>
      </w:r>
      <w:r>
        <w:tab/>
        <w:t>A financial assurance requirement may provide for the procedures under which the financial assurance may be called on or used.</w:t>
      </w:r>
    </w:p>
    <w:p>
      <w:pPr>
        <w:pStyle w:val="Subsection"/>
        <w:keepLines/>
      </w:pPr>
      <w:r>
        <w:lastRenderedPageBreak/>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ind w:left="890" w:hanging="890"/>
      </w:pPr>
      <w:r>
        <w:tab/>
        <w:t>[Section 86B inserted: No. 54 of 2003 s. 87.]</w:t>
      </w:r>
    </w:p>
    <w:p>
      <w:pPr>
        <w:pStyle w:val="Heading5"/>
      </w:pPr>
      <w:bookmarkStart w:id="224" w:name="_Toc158985501"/>
      <w:r>
        <w:rPr>
          <w:rStyle w:val="CharSectno"/>
        </w:rPr>
        <w:t>86C</w:t>
      </w:r>
      <w:r>
        <w:t>.</w:t>
      </w:r>
      <w:r>
        <w:tab/>
        <w:t>Minister’s consent needed to impose etc. financial assurance requirement</w:t>
      </w:r>
      <w:bookmarkEnd w:id="224"/>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In determining whether to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spacing w:before="120"/>
      </w:pPr>
      <w:r>
        <w:tab/>
      </w:r>
      <w:r>
        <w:tab/>
        <w:t>is to have regard to —</w:t>
      </w:r>
    </w:p>
    <w:p>
      <w:pPr>
        <w:pStyle w:val="Indenta"/>
        <w:spacing w:before="70"/>
      </w:pPr>
      <w:r>
        <w:tab/>
        <w:t>(c)</w:t>
      </w:r>
      <w:r>
        <w:tab/>
        <w:t>the degree of risk of pollution or environmental harm associated with the implementation of the authorisation; and</w:t>
      </w:r>
    </w:p>
    <w:p>
      <w:pPr>
        <w:pStyle w:val="Indenta"/>
        <w:spacing w:before="70"/>
      </w:pPr>
      <w:r>
        <w:tab/>
        <w:t>(d)</w:t>
      </w:r>
      <w:r>
        <w:tab/>
        <w:t>the likelihood of action being required to deal with waste or prevent, control or abate pollution or environmental harm arising from acts associated with the implementation of the authorisation; and</w:t>
      </w:r>
    </w:p>
    <w:p>
      <w:pPr>
        <w:pStyle w:val="Indenta"/>
        <w:spacing w:before="70"/>
      </w:pPr>
      <w:r>
        <w:tab/>
        <w:t>(e)</w:t>
      </w:r>
      <w:r>
        <w:tab/>
        <w:t>the environmental record of the responsible person or proposed responsible person; and</w:t>
      </w:r>
    </w:p>
    <w:p>
      <w:pPr>
        <w:pStyle w:val="Indenta"/>
        <w:spacing w:before="70"/>
      </w:pPr>
      <w:r>
        <w:tab/>
        <w:t>(f)</w:t>
      </w:r>
      <w:r>
        <w:tab/>
        <w:t>other financial assurances required to be held by the responsible person or proposed responsible person under this Act and other written laws; and</w:t>
      </w:r>
    </w:p>
    <w:p>
      <w:pPr>
        <w:pStyle w:val="Indenta"/>
        <w:spacing w:before="70"/>
      </w:pPr>
      <w:r>
        <w:tab/>
        <w:t>(g)</w:t>
      </w:r>
      <w:r>
        <w:tab/>
        <w:t>any other matters prescribed.</w:t>
      </w:r>
    </w:p>
    <w:p>
      <w:pPr>
        <w:pStyle w:val="Subsection"/>
        <w:keepNext/>
      </w:pPr>
      <w:r>
        <w:lastRenderedPageBreak/>
        <w:tab/>
        <w:t>(3)</w:t>
      </w:r>
      <w:r>
        <w:tab/>
        <w:t>In determining whether to —</w:t>
      </w:r>
    </w:p>
    <w:p>
      <w:pPr>
        <w:pStyle w:val="Indenta"/>
      </w:pPr>
      <w:r>
        <w:tab/>
        <w:t>(a)</w:t>
      </w:r>
      <w:r>
        <w:tab/>
        <w:t>seek the consent of the Minister to the imposition of a financial assurance requirement under section 86B(2) or continuation under section 86B(7), the CEO; and</w:t>
      </w:r>
    </w:p>
    <w:p>
      <w:pPr>
        <w:pStyle w:val="Indenta"/>
        <w:keepNext/>
        <w:keepLines/>
      </w:pPr>
      <w:r>
        <w:tab/>
        <w:t>(b)</w:t>
      </w:r>
      <w:r>
        <w:tab/>
        <w:t>consent to the imposition or continuation, the Minister,</w:t>
      </w:r>
    </w:p>
    <w:p>
      <w:pPr>
        <w:pStyle w:val="Subsection"/>
        <w:keepNext/>
      </w:pPr>
      <w:r>
        <w:tab/>
      </w:r>
      <w:r>
        <w:tab/>
        <w:t>is to have regard to —</w:t>
      </w:r>
    </w:p>
    <w:p>
      <w:pPr>
        <w:pStyle w:val="Indenta"/>
      </w:pPr>
      <w:r>
        <w:tab/>
        <w:t>(c)</w:t>
      </w:r>
      <w:r>
        <w:tab/>
        <w:t>the extent of action required under the closure notice, environmental protection notice or prevention notice; and</w:t>
      </w:r>
    </w:p>
    <w:p>
      <w:pPr>
        <w:pStyle w:val="Indenta"/>
      </w:pPr>
      <w:r>
        <w:tab/>
        <w:t>(d)</w:t>
      </w:r>
      <w:r>
        <w:tab/>
        <w:t>the environmental record of the responsible person; and</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No. 54 of 2003 s. 87.]</w:t>
      </w:r>
    </w:p>
    <w:p>
      <w:pPr>
        <w:pStyle w:val="Heading5"/>
      </w:pPr>
      <w:bookmarkStart w:id="225" w:name="_Toc158985502"/>
      <w:r>
        <w:rPr>
          <w:rStyle w:val="CharSectno"/>
        </w:rPr>
        <w:t>86D</w:t>
      </w:r>
      <w:r>
        <w:t>.</w:t>
      </w:r>
      <w:r>
        <w:tab/>
        <w:t>Amount of financial assurance</w:t>
      </w:r>
      <w:bookmarkEnd w:id="225"/>
    </w:p>
    <w:p>
      <w:pPr>
        <w:pStyle w:val="Subsection"/>
      </w:pPr>
      <w:r>
        <w:tab/>
      </w:r>
      <w:r>
        <w:tab/>
        <w:t>The amount of the financial assurance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No. 54 of 2003 s. 87.]</w:t>
      </w:r>
    </w:p>
    <w:p>
      <w:pPr>
        <w:pStyle w:val="Heading5"/>
      </w:pPr>
      <w:bookmarkStart w:id="226" w:name="_Toc158985503"/>
      <w:r>
        <w:rPr>
          <w:rStyle w:val="CharSectno"/>
        </w:rPr>
        <w:lastRenderedPageBreak/>
        <w:t>86E</w:t>
      </w:r>
      <w:r>
        <w:t>.</w:t>
      </w:r>
      <w:r>
        <w:tab/>
        <w:t>Claim on or realising of financial assurance</w:t>
      </w:r>
      <w:bookmarkEnd w:id="226"/>
    </w:p>
    <w:p>
      <w:pPr>
        <w:pStyle w:val="Subsection"/>
        <w:keepNext/>
        <w:keepLines/>
      </w:pPr>
      <w:r>
        <w:tab/>
        <w:t>(1)</w:t>
      </w:r>
      <w:r>
        <w:tab/>
        <w:t>This section applies if —</w:t>
      </w:r>
    </w:p>
    <w:p>
      <w:pPr>
        <w:pStyle w:val="Indenta"/>
      </w:pPr>
      <w:r>
        <w:tab/>
        <w:t>(a)</w:t>
      </w:r>
      <w:r>
        <w:tab/>
        <w:t>the Minister incurs costs in taking action under section 48(7) or 69(2); or</w:t>
      </w:r>
    </w:p>
    <w:p>
      <w:pPr>
        <w:pStyle w:val="Indenta"/>
        <w:keepNext/>
      </w:pPr>
      <w:r>
        <w:tab/>
        <w:t>(b)</w:t>
      </w:r>
      <w:r>
        <w:tab/>
        <w:t>an authorised person or inspector incurs costs in taking action under section 73(1); or</w:t>
      </w:r>
    </w:p>
    <w:p>
      <w:pPr>
        <w:pStyle w:val="Indenta"/>
      </w:pPr>
      <w:r>
        <w:tab/>
        <w:t>(c)</w:t>
      </w:r>
      <w:r>
        <w:tab/>
        <w:t>the CEO incurs costs in taking action under section 68A(11)(a), 70(10)(a)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The notice is to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lastRenderedPageBreak/>
        <w:tab/>
        <w:t>(6)</w:t>
      </w:r>
      <w:r>
        <w:tab/>
        <w:t>After the end of the period stated in the notice, the Minister or the CEO is to consider any representations properly made by the responsible person.</w:t>
      </w:r>
    </w:p>
    <w:p>
      <w:pPr>
        <w:pStyle w:val="Subsection"/>
        <w:keepLines/>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No. 54 of 2003 s. 87; amended: No. 77 of 2006 s. 4; No. 40 of 2020 s. 69.]</w:t>
      </w:r>
    </w:p>
    <w:p>
      <w:pPr>
        <w:pStyle w:val="Heading5"/>
        <w:spacing w:before="180"/>
      </w:pPr>
      <w:bookmarkStart w:id="227" w:name="_Toc158985504"/>
      <w:r>
        <w:rPr>
          <w:rStyle w:val="CharSectno"/>
        </w:rPr>
        <w:t>86F</w:t>
      </w:r>
      <w:r>
        <w:t>.</w:t>
      </w:r>
      <w:r>
        <w:tab/>
        <w:t>Lapsing of financial assurance requirement</w:t>
      </w:r>
      <w:bookmarkEnd w:id="227"/>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No. 54 of 2003 s. 87.]</w:t>
      </w:r>
    </w:p>
    <w:p>
      <w:pPr>
        <w:pStyle w:val="Heading5"/>
      </w:pPr>
      <w:bookmarkStart w:id="228" w:name="_Toc158985505"/>
      <w:r>
        <w:rPr>
          <w:rStyle w:val="CharSectno"/>
        </w:rPr>
        <w:t>86G</w:t>
      </w:r>
      <w:r>
        <w:t>.</w:t>
      </w:r>
      <w:r>
        <w:tab/>
        <w:t>Use of financial assurance not to affect other action</w:t>
      </w:r>
      <w:bookmarkEnd w:id="228"/>
    </w:p>
    <w:p>
      <w:pPr>
        <w:pStyle w:val="Subsection"/>
      </w:pPr>
      <w:r>
        <w:tab/>
        <w:t>(1)</w:t>
      </w:r>
      <w:r>
        <w:tab/>
        <w:t>Subject to subsections (3) and (4), a financial assurance may be called on and used, despite and without affecting —</w:t>
      </w:r>
    </w:p>
    <w:p>
      <w:pPr>
        <w:pStyle w:val="Indenta"/>
        <w:spacing w:before="60"/>
      </w:pPr>
      <w:r>
        <w:tab/>
        <w:t>(a)</w:t>
      </w:r>
      <w:r>
        <w:tab/>
        <w:t>any liability of the responsible person to any penalty for an offence for a contravention to which the financial assurance relates; and</w:t>
      </w:r>
    </w:p>
    <w:p>
      <w:pPr>
        <w:pStyle w:val="Indenta"/>
      </w:pPr>
      <w:r>
        <w:lastRenderedPageBreak/>
        <w:tab/>
        <w:t>(b)</w:t>
      </w:r>
      <w:r>
        <w:tab/>
        <w:t>any other action that might be taken or is required to be taken in relation to any contravention or other circumstances to which the financial assurance relates.</w:t>
      </w:r>
    </w:p>
    <w:p>
      <w:pPr>
        <w:pStyle w:val="Subsection"/>
      </w:pPr>
      <w:r>
        <w:tab/>
        <w:t>(2)</w:t>
      </w:r>
      <w:r>
        <w:tab/>
        <w:t>If the amount of financial assurance claimed or realised does not cover all the costs concerned, the Minister or CEO may recover the excess from the responsible person under section 48(8), 68A(11)(b), 69(3), 70(10)(b), 73(4a) or 73A(4), as the case requires.</w:t>
      </w:r>
    </w:p>
    <w:p>
      <w:pPr>
        <w:pStyle w:val="Subsection"/>
        <w:keepNext/>
      </w:pPr>
      <w:r>
        <w:tab/>
        <w:t>(3)</w:t>
      </w:r>
      <w:r>
        <w:tab/>
        <w:t>The Minister is not entitled —</w:t>
      </w:r>
    </w:p>
    <w:p>
      <w:pPr>
        <w:pStyle w:val="Indenta"/>
      </w:pPr>
      <w:r>
        <w:tab/>
        <w:t>(a)</w:t>
      </w:r>
      <w:r>
        <w:tab/>
        <w:t>to recover costs under section 48(5) or 69(3)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to recover costs under section 68A(11)(b), 70(10)(b), 73(4a) or 73A(4)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68A(11)(b), 70(10)(b), 73(4a) or 73A(4).</w:t>
      </w:r>
    </w:p>
    <w:p>
      <w:pPr>
        <w:pStyle w:val="Footnotesection"/>
      </w:pPr>
      <w:r>
        <w:tab/>
        <w:t>[Section 86G inserted: No. 54 of 2003 s. 87; amended: No. 40 of 2020 s. 70.]</w:t>
      </w:r>
    </w:p>
    <w:p>
      <w:pPr>
        <w:pStyle w:val="Heading2"/>
      </w:pPr>
      <w:bookmarkStart w:id="229" w:name="_Toc158980837"/>
      <w:bookmarkStart w:id="230" w:name="_Toc158981236"/>
      <w:bookmarkStart w:id="231" w:name="_Toc158985506"/>
      <w:r>
        <w:rPr>
          <w:rStyle w:val="CharPartNo"/>
        </w:rPr>
        <w:lastRenderedPageBreak/>
        <w:t>Part VI</w:t>
      </w:r>
      <w:r>
        <w:rPr>
          <w:rStyle w:val="CharDivNo"/>
        </w:rPr>
        <w:t> </w:t>
      </w:r>
      <w:r>
        <w:t>—</w:t>
      </w:r>
      <w:r>
        <w:rPr>
          <w:rStyle w:val="CharDivText"/>
        </w:rPr>
        <w:t> </w:t>
      </w:r>
      <w:r>
        <w:rPr>
          <w:rStyle w:val="CharPartText"/>
        </w:rPr>
        <w:t>Enforcement</w:t>
      </w:r>
      <w:bookmarkEnd w:id="229"/>
      <w:bookmarkEnd w:id="230"/>
      <w:bookmarkEnd w:id="231"/>
    </w:p>
    <w:p>
      <w:pPr>
        <w:pStyle w:val="Heading5"/>
        <w:spacing w:before="180"/>
        <w:rPr>
          <w:snapToGrid w:val="0"/>
        </w:rPr>
      </w:pPr>
      <w:bookmarkStart w:id="232" w:name="_Toc158985507"/>
      <w:r>
        <w:rPr>
          <w:rStyle w:val="CharSectno"/>
        </w:rPr>
        <w:t>87</w:t>
      </w:r>
      <w:r>
        <w:rPr>
          <w:snapToGrid w:val="0"/>
        </w:rPr>
        <w:t>.</w:t>
      </w:r>
      <w:r>
        <w:rPr>
          <w:snapToGrid w:val="0"/>
        </w:rPr>
        <w:tab/>
        <w:t>Authorised persons, appointment of</w:t>
      </w:r>
      <w:bookmarkEnd w:id="232"/>
    </w:p>
    <w:p>
      <w:pPr>
        <w:pStyle w:val="Subsection"/>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pPr>
        <w:pStyle w:val="Indenta"/>
        <w:rPr>
          <w:snapToGrid w:val="0"/>
        </w:rPr>
      </w:pPr>
      <w:r>
        <w:rPr>
          <w:snapToGrid w:val="0"/>
        </w:rPr>
        <w:tab/>
        <w:t>(a)</w:t>
      </w:r>
      <w:r>
        <w:rPr>
          <w:snapToGrid w:val="0"/>
        </w:rPr>
        <w:tab/>
        <w:t>which of those powers those persons or members are entitled to exercise; or</w:t>
      </w:r>
    </w:p>
    <w:p>
      <w:pPr>
        <w:pStyle w:val="Indenta"/>
        <w:spacing w:before="60"/>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rPr>
          <w:snapToGrid w:val="0"/>
        </w:rPr>
      </w:pPr>
      <w:r>
        <w:rPr>
          <w:snapToGrid w:val="0"/>
        </w:rPr>
        <w:tab/>
        <w:t>(3)</w:t>
      </w:r>
      <w:r>
        <w:rPr>
          <w:snapToGrid w:val="0"/>
        </w:rPr>
        <w:tab/>
        <w:t xml:space="preserve">An authorised person shall produce the authority issued to </w:t>
      </w:r>
      <w:r>
        <w:t xml:space="preserve">the </w:t>
      </w:r>
      <w:r>
        <w:rPr>
          <w:snapToGrid w:val="0"/>
        </w:rPr>
        <w:t>authorised person under subsection (2) whenever required to do so —</w:t>
      </w:r>
    </w:p>
    <w:p>
      <w:pPr>
        <w:pStyle w:val="Indenta"/>
        <w:spacing w:before="60"/>
        <w:rPr>
          <w:snapToGrid w:val="0"/>
        </w:rPr>
      </w:pPr>
      <w:r>
        <w:rPr>
          <w:snapToGrid w:val="0"/>
        </w:rPr>
        <w:tab/>
        <w:t>(a)</w:t>
      </w:r>
      <w:r>
        <w:rPr>
          <w:snapToGrid w:val="0"/>
        </w:rPr>
        <w:tab/>
        <w:t xml:space="preserve">by a person in respect of whom </w:t>
      </w:r>
      <w:r>
        <w:t xml:space="preserve">the </w:t>
      </w:r>
      <w:r>
        <w:rPr>
          <w:snapToGrid w:val="0"/>
        </w:rPr>
        <w:t>authorised person has exercised, is exercising, or is about to exercise any of the powers —</w:t>
      </w:r>
    </w:p>
    <w:p>
      <w:pPr>
        <w:pStyle w:val="Indenti"/>
        <w:spacing w:before="60"/>
        <w:rPr>
          <w:snapToGrid w:val="0"/>
        </w:rPr>
      </w:pPr>
      <w:r>
        <w:rPr>
          <w:snapToGrid w:val="0"/>
        </w:rPr>
        <w:tab/>
        <w:t>(i)</w:t>
      </w:r>
      <w:r>
        <w:rPr>
          <w:snapToGrid w:val="0"/>
        </w:rPr>
        <w:tab/>
        <w:t xml:space="preserve">conferred on </w:t>
      </w:r>
      <w:r>
        <w:t xml:space="preserve">the </w:t>
      </w:r>
      <w:r>
        <w:rPr>
          <w:snapToGrid w:val="0"/>
        </w:rPr>
        <w:t>authorised person by or under this Act; and</w:t>
      </w:r>
    </w:p>
    <w:p>
      <w:pPr>
        <w:pStyle w:val="Indenti"/>
        <w:spacing w:before="60"/>
        <w:rPr>
          <w:snapToGrid w:val="0"/>
        </w:rPr>
      </w:pPr>
      <w:r>
        <w:rPr>
          <w:snapToGrid w:val="0"/>
        </w:rPr>
        <w:tab/>
        <w:t>(ii)</w:t>
      </w:r>
      <w:r>
        <w:rPr>
          <w:snapToGrid w:val="0"/>
        </w:rPr>
        <w:tab/>
        <w:t xml:space="preserve">which </w:t>
      </w:r>
      <w:r>
        <w:t xml:space="preserve">the </w:t>
      </w:r>
      <w:r>
        <w:rPr>
          <w:snapToGrid w:val="0"/>
        </w:rPr>
        <w:t>authorised person is entitled to exercise;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lastRenderedPageBreak/>
        <w:tab/>
        <w:t>(b)</w:t>
      </w:r>
      <w:r>
        <w:rPr>
          <w:snapToGrid w:val="0"/>
        </w:rPr>
        <w:tab/>
        <w:t>on applying for admission to any premises or place which an authorised person is empowered by this Act to enter.</w:t>
      </w:r>
    </w:p>
    <w:p>
      <w:pPr>
        <w:pStyle w:val="Subsection"/>
        <w:spacing w:before="120"/>
        <w:rPr>
          <w:snapToGrid w:val="0"/>
        </w:rPr>
      </w:pPr>
      <w:r>
        <w:rPr>
          <w:snapToGrid w:val="0"/>
        </w:rPr>
        <w:tab/>
        <w:t>(4)</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 xml:space="preserve">affect or prejudice the application to the person of any Act referred to in paragraph (a) if it applied to </w:t>
      </w:r>
      <w:r>
        <w:t>the person</w:t>
      </w:r>
      <w:r>
        <w:rPr>
          <w:snapToGrid w:val="0"/>
        </w:rPr>
        <w:t xml:space="preserve"> at the time of </w:t>
      </w:r>
      <w:r>
        <w:t xml:space="preserve">the </w:t>
      </w:r>
      <w:r>
        <w:rPr>
          <w:snapToGrid w:val="0"/>
        </w:rPr>
        <w:t>appointment.</w:t>
      </w:r>
    </w:p>
    <w:p>
      <w:pPr>
        <w:pStyle w:val="Footnotesection"/>
      </w:pPr>
      <w:r>
        <w:tab/>
        <w:t>[Section 87 amended: No. 32 of 1994 s. 19; No. 54 of 2003 s. 140(2); No. 40 of 2020 s. 111(1).]</w:t>
      </w:r>
    </w:p>
    <w:p>
      <w:pPr>
        <w:pStyle w:val="Heading5"/>
        <w:rPr>
          <w:snapToGrid w:val="0"/>
        </w:rPr>
      </w:pPr>
      <w:bookmarkStart w:id="233" w:name="_Toc158985508"/>
      <w:r>
        <w:rPr>
          <w:rStyle w:val="CharSectno"/>
        </w:rPr>
        <w:t>88</w:t>
      </w:r>
      <w:r>
        <w:rPr>
          <w:snapToGrid w:val="0"/>
        </w:rPr>
        <w:t>.</w:t>
      </w:r>
      <w:r>
        <w:rPr>
          <w:snapToGrid w:val="0"/>
        </w:rPr>
        <w:tab/>
        <w:t>Inspectors, appointment and purposes of</w:t>
      </w:r>
      <w:bookmarkEnd w:id="233"/>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pPr>
        <w:pStyle w:val="Indenta"/>
        <w:rPr>
          <w:snapToGrid w:val="0"/>
        </w:rPr>
      </w:pPr>
      <w:r>
        <w:rPr>
          <w:snapToGrid w:val="0"/>
        </w:rPr>
        <w:tab/>
        <w:t>(a)</w:t>
      </w:r>
      <w:r>
        <w:rPr>
          <w:snapToGrid w:val="0"/>
        </w:rPr>
        <w:tab/>
        <w:t>taking measurements and collecting samples of any waste before, during or after its discharge into the environment; and</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 and</w:t>
      </w:r>
    </w:p>
    <w:p>
      <w:pPr>
        <w:pStyle w:val="Indenta"/>
        <w:rPr>
          <w:snapToGrid w:val="0"/>
        </w:rPr>
      </w:pPr>
      <w:r>
        <w:rPr>
          <w:snapToGrid w:val="0"/>
        </w:rPr>
        <w:tab/>
        <w:t>(c)</w:t>
      </w:r>
      <w:r>
        <w:rPr>
          <w:snapToGrid w:val="0"/>
        </w:rPr>
        <w:tab/>
        <w:t>recording, measuring, testing or analysing noise, odour and electromagnetic radiation emissions; and</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 and</w:t>
      </w:r>
    </w:p>
    <w:p>
      <w:pPr>
        <w:pStyle w:val="Indenta"/>
        <w:rPr>
          <w:snapToGrid w:val="0"/>
        </w:rPr>
      </w:pPr>
      <w:r>
        <w:rPr>
          <w:snapToGrid w:val="0"/>
        </w:rPr>
        <w:lastRenderedPageBreak/>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 xml:space="preserve">performing such other functions as are conferred or imposed on </w:t>
      </w:r>
      <w:r>
        <w:t>the CEO</w:t>
      </w:r>
      <w:r>
        <w:rPr>
          <w:snapToGrid w:val="0"/>
        </w:rPr>
        <w:t xml:space="preserve"> by or under this Act.</w:t>
      </w:r>
    </w:p>
    <w:p>
      <w:pPr>
        <w:pStyle w:val="Subsection"/>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rPr>
          <w:snapToGrid w:val="0"/>
        </w:rPr>
      </w:pPr>
      <w:r>
        <w:rPr>
          <w:snapToGrid w:val="0"/>
        </w:rPr>
        <w:tab/>
        <w:t>(4)</w:t>
      </w:r>
      <w:r>
        <w:rPr>
          <w:snapToGrid w:val="0"/>
        </w:rPr>
        <w:tab/>
        <w:t xml:space="preserve">An inspector shall produce the authority issued to </w:t>
      </w:r>
      <w:r>
        <w:t xml:space="preserve">the </w:t>
      </w:r>
      <w:r>
        <w:rPr>
          <w:snapToGrid w:val="0"/>
        </w:rPr>
        <w:t>inspector under subsection (3) whenever required to do so —</w:t>
      </w:r>
    </w:p>
    <w:p>
      <w:pPr>
        <w:pStyle w:val="Indenta"/>
        <w:rPr>
          <w:snapToGrid w:val="0"/>
        </w:rPr>
      </w:pPr>
      <w:r>
        <w:rPr>
          <w:snapToGrid w:val="0"/>
        </w:rPr>
        <w:tab/>
        <w:t>(a)</w:t>
      </w:r>
      <w:r>
        <w:rPr>
          <w:snapToGrid w:val="0"/>
        </w:rPr>
        <w:tab/>
        <w:t xml:space="preserve">by a person in respect of whom </w:t>
      </w:r>
      <w:r>
        <w:t xml:space="preserve">the </w:t>
      </w:r>
      <w:r>
        <w:rPr>
          <w:snapToGrid w:val="0"/>
        </w:rPr>
        <w:t>inspector has exercised, is exercising or is about to exercise any of the powers —</w:t>
      </w:r>
    </w:p>
    <w:p>
      <w:pPr>
        <w:pStyle w:val="Indenti"/>
        <w:rPr>
          <w:snapToGrid w:val="0"/>
        </w:rPr>
      </w:pPr>
      <w:r>
        <w:rPr>
          <w:snapToGrid w:val="0"/>
        </w:rPr>
        <w:tab/>
        <w:t>(i)</w:t>
      </w:r>
      <w:r>
        <w:rPr>
          <w:snapToGrid w:val="0"/>
        </w:rPr>
        <w:tab/>
        <w:t xml:space="preserve">which are conferred on </w:t>
      </w:r>
      <w:r>
        <w:t xml:space="preserve">the </w:t>
      </w:r>
      <w:r>
        <w:rPr>
          <w:snapToGrid w:val="0"/>
        </w:rPr>
        <w:t>inspector by or under this Act; and</w:t>
      </w:r>
    </w:p>
    <w:p>
      <w:pPr>
        <w:pStyle w:val="Indenti"/>
        <w:rPr>
          <w:snapToGrid w:val="0"/>
        </w:rPr>
      </w:pPr>
      <w:r>
        <w:rPr>
          <w:snapToGrid w:val="0"/>
        </w:rPr>
        <w:tab/>
        <w:t>(ii)</w:t>
      </w:r>
      <w:r>
        <w:rPr>
          <w:snapToGrid w:val="0"/>
        </w:rPr>
        <w:tab/>
        <w:t xml:space="preserve">which </w:t>
      </w:r>
      <w:r>
        <w:t xml:space="preserve">the </w:t>
      </w:r>
      <w:r>
        <w:rPr>
          <w:snapToGrid w:val="0"/>
        </w:rPr>
        <w:t>inspector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rPr>
          <w:snapToGrid w:val="0"/>
        </w:rPr>
      </w:pPr>
      <w:r>
        <w:rPr>
          <w:snapToGrid w:val="0"/>
        </w:rPr>
        <w:tab/>
        <w:t>(5)</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lastRenderedPageBreak/>
        <w:tab/>
        <w:t>(b)</w:t>
      </w:r>
      <w:r>
        <w:rPr>
          <w:snapToGrid w:val="0"/>
        </w:rPr>
        <w:tab/>
        <w:t xml:space="preserve">affect or prejudice the application to the person of any Act referred to in paragraph (a) if it applied to </w:t>
      </w:r>
      <w:r>
        <w:t>the person</w:t>
      </w:r>
      <w:r>
        <w:rPr>
          <w:snapToGrid w:val="0"/>
        </w:rPr>
        <w:t xml:space="preserve"> at the time of </w:t>
      </w:r>
      <w:r>
        <w:t xml:space="preserve">the </w:t>
      </w:r>
      <w:r>
        <w:rPr>
          <w:snapToGrid w:val="0"/>
        </w:rPr>
        <w:t>appointment.</w:t>
      </w:r>
    </w:p>
    <w:p>
      <w:pPr>
        <w:pStyle w:val="Subsection"/>
        <w:keepNext/>
        <w:rPr>
          <w:snapToGrid w:val="0"/>
        </w:rPr>
      </w:pPr>
      <w:r>
        <w:rPr>
          <w:snapToGrid w:val="0"/>
        </w:rPr>
        <w:tab/>
        <w:t>(6)</w:t>
      </w:r>
      <w:r>
        <w:rPr>
          <w:snapToGrid w:val="0"/>
        </w:rPr>
        <w:tab/>
        <w:t>In subsection (1) —</w:t>
      </w:r>
    </w:p>
    <w:p>
      <w:pPr>
        <w:pStyle w:val="Defstart"/>
      </w:pPr>
      <w:r>
        <w:rPr>
          <w:b/>
        </w:rPr>
        <w:tab/>
      </w:r>
      <w:r>
        <w:rPr>
          <w:rStyle w:val="CharDefText"/>
        </w:rPr>
        <w:t>approved</w:t>
      </w:r>
      <w:r>
        <w:t xml:space="preserve"> means approved by the CEO.</w:t>
      </w:r>
    </w:p>
    <w:p>
      <w:pPr>
        <w:pStyle w:val="Footnotesection"/>
      </w:pPr>
      <w:r>
        <w:tab/>
        <w:t>[Section 88 amended: No. 32 of 1994 s. 19; No. 54 of 2003 s. 140(2); No. 40 of 2020 s. 111(1).]</w:t>
      </w:r>
    </w:p>
    <w:p>
      <w:pPr>
        <w:pStyle w:val="Heading5"/>
        <w:rPr>
          <w:snapToGrid w:val="0"/>
        </w:rPr>
      </w:pPr>
      <w:bookmarkStart w:id="234" w:name="_Toc158985509"/>
      <w:r>
        <w:rPr>
          <w:rStyle w:val="CharSectno"/>
        </w:rPr>
        <w:t>89</w:t>
      </w:r>
      <w:r>
        <w:rPr>
          <w:snapToGrid w:val="0"/>
        </w:rPr>
        <w:t>.</w:t>
      </w:r>
      <w:r>
        <w:rPr>
          <w:snapToGrid w:val="0"/>
        </w:rPr>
        <w:tab/>
        <w:t>Entry powers of inspectors</w:t>
      </w:r>
      <w:bookmarkEnd w:id="234"/>
    </w:p>
    <w:p>
      <w:pPr>
        <w:pStyle w:val="Subsection"/>
        <w:rPr>
          <w:snapToGrid w:val="0"/>
        </w:rPr>
      </w:pPr>
      <w:r>
        <w:rPr>
          <w:snapToGrid w:val="0"/>
        </w:rPr>
        <w:tab/>
        <w:t>(1)</w:t>
      </w:r>
      <w:r>
        <w:rPr>
          <w:snapToGrid w:val="0"/>
        </w:rPr>
        <w:tab/>
        <w:t>An inspector may with such assistance as he may require enter —</w:t>
      </w:r>
    </w:p>
    <w:p>
      <w:pPr>
        <w:pStyle w:val="Indenta"/>
        <w:rPr>
          <w:snapToGrid w:val="0"/>
        </w:rPr>
      </w:pPr>
      <w:r>
        <w:rPr>
          <w:snapToGrid w:val="0"/>
        </w:rPr>
        <w:tab/>
        <w:t>(a)</w:t>
      </w:r>
      <w:r>
        <w:rPr>
          <w:snapToGrid w:val="0"/>
        </w:rPr>
        <w:tab/>
        <w:t>at any time any premises used as a factory or any premises in which an industry, trade or process is being carried on; or</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 or</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pPr>
        <w:pStyle w:val="Indenta"/>
        <w:rPr>
          <w:snapToGrid w:val="0"/>
        </w:rPr>
      </w:pPr>
      <w:r>
        <w:rPr>
          <w:snapToGrid w:val="0"/>
        </w:rPr>
        <w:tab/>
        <w:t>(d)</w:t>
      </w:r>
      <w:r>
        <w:rPr>
          <w:snapToGrid w:val="0"/>
        </w:rPr>
        <w:tab/>
        <w:t>the prescribing of any matter under this Act or for the preparation of a draft policy; or</w:t>
      </w:r>
    </w:p>
    <w:p>
      <w:pPr>
        <w:pStyle w:val="Indenta"/>
        <w:rPr>
          <w:snapToGrid w:val="0"/>
        </w:rPr>
      </w:pPr>
      <w:r>
        <w:rPr>
          <w:snapToGrid w:val="0"/>
        </w:rPr>
        <w:tab/>
        <w:t>(e)</w:t>
      </w:r>
      <w:r>
        <w:rPr>
          <w:snapToGrid w:val="0"/>
        </w:rPr>
        <w:tab/>
        <w:t>the assessment of a proposal or scheme and the preparation of a report thereon; or</w:t>
      </w:r>
    </w:p>
    <w:p>
      <w:pPr>
        <w:pStyle w:val="Indenta"/>
        <w:rPr>
          <w:snapToGrid w:val="0"/>
        </w:rPr>
      </w:pPr>
      <w:r>
        <w:rPr>
          <w:snapToGrid w:val="0"/>
        </w:rPr>
        <w:tab/>
        <w:t>(f)</w:t>
      </w:r>
      <w:r>
        <w:rPr>
          <w:snapToGrid w:val="0"/>
        </w:rPr>
        <w:tab/>
        <w:t>determining whether or not there has been compliance with or contravention of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lastRenderedPageBreak/>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pPr>
        <w:pStyle w:val="Indenta"/>
      </w:pPr>
      <w:r>
        <w:tab/>
        <w:t>(a)</w:t>
      </w:r>
      <w:r>
        <w:tab/>
        <w:t>reasonably believes that waste is being, or has recently been, discharged from that house or land into the environment; or</w:t>
      </w:r>
    </w:p>
    <w:p>
      <w:pPr>
        <w:pStyle w:val="Indenta"/>
      </w:pPr>
      <w:r>
        <w:tab/>
        <w:t>(aa)</w:t>
      </w:r>
      <w:r>
        <w:tab/>
        <w:t>reasonably believes that the house or land is contaminated; or</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pPr>
        <w:pStyle w:val="Indenta"/>
        <w:spacing w:before="60"/>
        <w:rPr>
          <w:snapToGrid w:val="0"/>
        </w:rPr>
      </w:pPr>
      <w:r>
        <w:rPr>
          <w:snapToGrid w:val="0"/>
        </w:rPr>
        <w:tab/>
        <w:t>(a)</w:t>
      </w:r>
      <w:r>
        <w:rPr>
          <w:snapToGrid w:val="0"/>
        </w:rPr>
        <w:tab/>
        <w:t>to assess the effect of a proposed discharge of waste; or</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lastRenderedPageBreak/>
        <w:tab/>
      </w:r>
      <w:r>
        <w:rPr>
          <w:snapToGrid w:val="0"/>
        </w:rPr>
        <w:tab/>
        <w:t>and to do all such acts and things as may be necessary therefor or in relation thereto.</w:t>
      </w:r>
    </w:p>
    <w:p>
      <w:pPr>
        <w:pStyle w:val="Subsection"/>
        <w:rPr>
          <w:snapToGrid w:val="0"/>
        </w:rPr>
      </w:pPr>
      <w:r>
        <w:rPr>
          <w:snapToGrid w:val="0"/>
        </w:rPr>
        <w:tab/>
        <w:t>(4)</w:t>
      </w:r>
      <w:r>
        <w:rPr>
          <w:snapToGrid w:val="0"/>
        </w:rPr>
        <w:tab/>
        <w:t>Before exercising in relation to any land which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by subsection (3), an inspector shall not less than 14 days before the proposed exercise of that power give notice to the occupier of that land or, if there is no such occupier, to any person who appears to be the owner of that land specifying —</w:t>
      </w:r>
    </w:p>
    <w:p>
      <w:pPr>
        <w:pStyle w:val="Indenta"/>
        <w:spacing w:before="100"/>
        <w:rPr>
          <w:snapToGrid w:val="0"/>
        </w:rPr>
      </w:pPr>
      <w:r>
        <w:rPr>
          <w:snapToGrid w:val="0"/>
        </w:rPr>
        <w:tab/>
        <w:t>(c)</w:t>
      </w:r>
      <w:r>
        <w:rPr>
          <w:snapToGrid w:val="0"/>
        </w:rPr>
        <w:tab/>
        <w:t>the part of that land on which entry is to be made; and</w:t>
      </w:r>
    </w:p>
    <w:p>
      <w:pPr>
        <w:pStyle w:val="Indenta"/>
        <w:spacing w:before="100"/>
        <w:rPr>
          <w:snapToGrid w:val="0"/>
        </w:rPr>
      </w:pPr>
      <w:r>
        <w:rPr>
          <w:snapToGrid w:val="0"/>
        </w:rPr>
        <w:tab/>
        <w:t>(d)</w:t>
      </w:r>
      <w:r>
        <w:rPr>
          <w:snapToGrid w:val="0"/>
        </w:rPr>
        <w:tab/>
        <w:t>the work proposed to be carried out on the part referred to in paragraph (c); and</w:t>
      </w:r>
    </w:p>
    <w:p>
      <w:pPr>
        <w:pStyle w:val="Indenta"/>
        <w:spacing w:before="100"/>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ind w:left="890" w:hanging="890"/>
      </w:pPr>
      <w:r>
        <w:tab/>
        <w:t>[Section 89 amended: No. 23 of 1996 s. 21; No. 14 of 1998 s. 10 and 32; No. 54 of 2003 s. 22 and 57; No. 60 of 2003 s. 100 (as amended: No. 40 of 2005 s. 13(4) and (5)); No. 40 of 2020 s. 111(1).]</w:t>
      </w:r>
    </w:p>
    <w:p>
      <w:pPr>
        <w:pStyle w:val="Heading5"/>
      </w:pPr>
      <w:bookmarkStart w:id="235" w:name="_Toc158985510"/>
      <w:r>
        <w:rPr>
          <w:rStyle w:val="CharSectno"/>
        </w:rPr>
        <w:t>89A</w:t>
      </w:r>
      <w:r>
        <w:t>.</w:t>
      </w:r>
      <w:r>
        <w:tab/>
        <w:t>Use of assistance and force</w:t>
      </w:r>
      <w:bookmarkEnd w:id="235"/>
    </w:p>
    <w:p>
      <w:pPr>
        <w:pStyle w:val="Subsection"/>
      </w:pPr>
      <w:r>
        <w:tab/>
        <w:t>(1)</w:t>
      </w:r>
      <w:r>
        <w:tab/>
        <w:t>An inspector may use assistance and force that is reasonably necessary in the circumstances when exercising a power under section 89 but cannot use force against a person.</w:t>
      </w:r>
    </w:p>
    <w:p>
      <w:pPr>
        <w:pStyle w:val="Subsection"/>
      </w:pPr>
      <w:r>
        <w:tab/>
        <w:t>(2)</w:t>
      </w:r>
      <w:r>
        <w:tab/>
        <w:t>If the use of reasonable force is likely to cause significant damage to property, the inspector is not entitled to use force without the prior authority of the CEO in the particular case.</w:t>
      </w:r>
    </w:p>
    <w:p>
      <w:pPr>
        <w:pStyle w:val="Subsection"/>
      </w:pPr>
      <w:r>
        <w:lastRenderedPageBreak/>
        <w:tab/>
        <w:t>(3)</w:t>
      </w:r>
      <w:r>
        <w:tab/>
        <w:t>An inspector may request a police officer or other person to assist the inspector in exercising a power under this Part, and that person may assist the inspector in the exercise of the power.</w:t>
      </w:r>
    </w:p>
    <w:p>
      <w:pPr>
        <w:pStyle w:val="Subsection"/>
        <w:keepNext/>
      </w:pPr>
      <w:r>
        <w:tab/>
        <w:t>(4)</w:t>
      </w:r>
      <w:r>
        <w:tab/>
        <w:t xml:space="preserve">A person while assisting an inspector at the request of the inspector and in accordance with this Act — </w:t>
      </w:r>
    </w:p>
    <w:p>
      <w:pPr>
        <w:pStyle w:val="Indenta"/>
      </w:pPr>
      <w:r>
        <w:tab/>
        <w:t>(a)</w:t>
      </w:r>
      <w:r>
        <w:tab/>
        <w:t>has the same powers as are conferred on an inspector under this Part; and</w:t>
      </w:r>
    </w:p>
    <w:p>
      <w:pPr>
        <w:pStyle w:val="Indenta"/>
      </w:pPr>
      <w:r>
        <w:tab/>
        <w:t>(b)</w:t>
      </w:r>
      <w:r>
        <w:tab/>
        <w:t>is subject to the same responsibilities as an inspector under this Part but is not required to give notice under section 89(4); and</w:t>
      </w:r>
    </w:p>
    <w:p>
      <w:pPr>
        <w:pStyle w:val="Indenta"/>
      </w:pPr>
      <w:r>
        <w:tab/>
        <w:t>(c)</w:t>
      </w:r>
      <w:r>
        <w:tab/>
        <w:t>has the same protection from liability as an inspector.</w:t>
      </w:r>
    </w:p>
    <w:p>
      <w:pPr>
        <w:pStyle w:val="Subsection"/>
      </w:pPr>
      <w:r>
        <w:tab/>
        <w:t>(5)</w:t>
      </w:r>
      <w:r>
        <w:tab/>
        <w:t>Nothing in this section derogates from the powers of a police officer.</w:t>
      </w:r>
    </w:p>
    <w:p>
      <w:pPr>
        <w:pStyle w:val="Footnotesection"/>
      </w:pPr>
      <w:r>
        <w:tab/>
        <w:t>[Section 89A inserted: No. 40 of 2020 s. 73.]</w:t>
      </w:r>
    </w:p>
    <w:p>
      <w:pPr>
        <w:pStyle w:val="Heading5"/>
        <w:rPr>
          <w:snapToGrid w:val="0"/>
        </w:rPr>
      </w:pPr>
      <w:bookmarkStart w:id="236" w:name="_Toc158985511"/>
      <w:r>
        <w:rPr>
          <w:rStyle w:val="CharSectno"/>
        </w:rPr>
        <w:t>90</w:t>
      </w:r>
      <w:r>
        <w:rPr>
          <w:snapToGrid w:val="0"/>
        </w:rPr>
        <w:t>.</w:t>
      </w:r>
      <w:r>
        <w:rPr>
          <w:snapToGrid w:val="0"/>
        </w:rPr>
        <w:tab/>
      </w:r>
      <w:r>
        <w:t>Powers</w:t>
      </w:r>
      <w:r>
        <w:rPr>
          <w:snapToGrid w:val="0"/>
        </w:rPr>
        <w:t xml:space="preserve"> of inspectors to obtain information</w:t>
      </w:r>
      <w:bookmarkEnd w:id="236"/>
    </w:p>
    <w:p>
      <w:pPr>
        <w:pStyle w:val="Subsection"/>
        <w:rPr>
          <w:snapToGrid w:val="0"/>
        </w:rPr>
      </w:pPr>
      <w:r>
        <w:rPr>
          <w:snapToGrid w:val="0"/>
        </w:rPr>
        <w:tab/>
        <w:t>(1)</w:t>
      </w:r>
      <w:r>
        <w:rPr>
          <w:snapToGrid w:val="0"/>
        </w:rPr>
        <w:tab/>
        <w:t>An </w:t>
      </w:r>
      <w:r>
        <w:t>inspector</w:t>
      </w:r>
      <w:r>
        <w:rPr>
          <w:snapToGrid w:val="0"/>
        </w:rPr>
        <w:t xml:space="preserve"> may</w:t>
      </w:r>
      <w:r>
        <w:t> —</w:t>
      </w:r>
    </w:p>
    <w:p>
      <w:pPr>
        <w:pStyle w:val="Indenta"/>
      </w:pPr>
      <w:r>
        <w:tab/>
        <w:t>(a)</w:t>
      </w:r>
      <w:r>
        <w:tab/>
        <w:t>direct the occupier of any premises from which there has been, is, or is likely to be, an emission, or onto which any waste has been or is being discharged, to produce to the inspector —</w:t>
      </w:r>
    </w:p>
    <w:p>
      <w:pPr>
        <w:pStyle w:val="Indenti"/>
      </w:pPr>
      <w:r>
        <w:tab/>
        <w:t>(i)</w:t>
      </w:r>
      <w:r>
        <w:tab/>
        <w:t>any books or other sources of information relating to that emission or to any manufacturing, industrial or trade processes carried on at those premises; or</w:t>
      </w:r>
    </w:p>
    <w:p>
      <w:pPr>
        <w:pStyle w:val="Indenti"/>
      </w:pPr>
      <w:r>
        <w:tab/>
        <w:t>(ii)</w:t>
      </w:r>
      <w:r>
        <w:tab/>
        <w:t>any data from any monitoring equipment or monitoring programme in respect of that emission;</w:t>
      </w:r>
    </w:p>
    <w:p>
      <w:pPr>
        <w:pStyle w:val="Indenta"/>
        <w:rPr>
          <w:snapToGrid w:val="0"/>
        </w:rPr>
      </w:pPr>
      <w:r>
        <w:rPr>
          <w:snapToGrid w:val="0"/>
        </w:rPr>
        <w:tab/>
      </w:r>
      <w:r>
        <w:rPr>
          <w:snapToGrid w:val="0"/>
        </w:rPr>
        <w:tab/>
        <w:t>or</w:t>
      </w:r>
    </w:p>
    <w:p>
      <w:pPr>
        <w:pStyle w:val="Indenta"/>
      </w:pPr>
      <w:r>
        <w:tab/>
        <w:t>(b)</w:t>
      </w:r>
      <w:r>
        <w:tab/>
        <w:t>direct any person to produce to the inspector any books or other sources of information in the custody or possession of that person relating to —</w:t>
      </w:r>
    </w:p>
    <w:p>
      <w:pPr>
        <w:pStyle w:val="Indenti"/>
        <w:rPr>
          <w:snapToGrid w:val="0"/>
        </w:rPr>
      </w:pPr>
      <w:r>
        <w:rPr>
          <w:snapToGrid w:val="0"/>
        </w:rPr>
        <w:lastRenderedPageBreak/>
        <w:tab/>
      </w:r>
      <w:r>
        <w:t>(i)</w:t>
      </w:r>
      <w:r>
        <w:tab/>
        <w:t>any emission; or</w:t>
      </w:r>
    </w:p>
    <w:p>
      <w:pPr>
        <w:pStyle w:val="Indenti"/>
        <w:rPr>
          <w:snapToGrid w:val="0"/>
        </w:rPr>
      </w:pPr>
      <w:r>
        <w:rPr>
          <w:snapToGrid w:val="0"/>
        </w:rPr>
        <w:tab/>
        <w:t>(ii)</w:t>
      </w:r>
      <w:r>
        <w:rPr>
          <w:snapToGrid w:val="0"/>
        </w:rPr>
        <w:tab/>
        <w:t xml:space="preserve">the manufacture, sale or distribution for sale of any prescribed equipment or </w:t>
      </w:r>
      <w:r>
        <w:t>material.</w:t>
      </w:r>
    </w:p>
    <w:p>
      <w:pPr>
        <w:pStyle w:val="Subsection"/>
        <w:rPr>
          <w:snapToGrid w:val="0"/>
        </w:rPr>
      </w:pPr>
      <w:r>
        <w:rPr>
          <w:snapToGrid w:val="0"/>
        </w:rPr>
        <w:tab/>
        <w:t>(2)</w:t>
      </w:r>
      <w:r>
        <w:rPr>
          <w:snapToGrid w:val="0"/>
        </w:rPr>
        <w:tab/>
        <w:t xml:space="preserve">An inspector may </w:t>
      </w:r>
      <w:r>
        <w:t>direct</w:t>
      </w:r>
      <w:r>
        <w:rPr>
          <w:snapToGrid w:val="0"/>
        </w:rPr>
        <w:t xml:space="preserve"> a person to produce to the inspector any </w:t>
      </w:r>
      <w:r>
        <w:t>licence</w:t>
      </w:r>
      <w:r>
        <w:rPr>
          <w:snapToGrid w:val="0"/>
        </w:rPr>
        <w:t>, registration, permit, approval, certificate or authority granted and issued under this Act to the person or alleged by the person to have been so granted and issued.</w:t>
      </w:r>
    </w:p>
    <w:p>
      <w:pPr>
        <w:pStyle w:val="Subsection"/>
        <w:keepNext/>
        <w:rPr>
          <w:snapToGrid w:val="0"/>
        </w:rPr>
      </w:pPr>
      <w:r>
        <w:rPr>
          <w:snapToGrid w:val="0"/>
        </w:rPr>
        <w:tab/>
        <w:t>(3)</w:t>
      </w:r>
      <w:r>
        <w:rPr>
          <w:snapToGrid w:val="0"/>
        </w:rPr>
        <w:tab/>
        <w:t xml:space="preserve">An </w:t>
      </w:r>
      <w:r>
        <w:t>inspector</w:t>
      </w:r>
      <w:r>
        <w:rPr>
          <w:snapToGrid w:val="0"/>
        </w:rPr>
        <w:t xml:space="preserve"> may —</w:t>
      </w:r>
    </w:p>
    <w:p>
      <w:pPr>
        <w:pStyle w:val="Indenta"/>
      </w:pPr>
      <w:r>
        <w:tab/>
        <w:t>(a)</w:t>
      </w:r>
      <w:r>
        <w:tab/>
        <w:t>conduct any examination or inquiry the inspector considers necessary to ascertain whether there has been compliance with the Act; and</w:t>
      </w:r>
    </w:p>
    <w:p>
      <w:pPr>
        <w:pStyle w:val="Indenta"/>
      </w:pPr>
      <w:r>
        <w:tab/>
        <w:t>(b)</w:t>
      </w:r>
      <w:r>
        <w:tab/>
        <w:t xml:space="preserve">question any person to ascertain whether or not there has been compliance with this Act and direct that person to do either or both of the following — </w:t>
      </w:r>
    </w:p>
    <w:p>
      <w:pPr>
        <w:pStyle w:val="Indenti"/>
      </w:pPr>
      <w:r>
        <w:tab/>
        <w:t>(i)</w:t>
      </w:r>
      <w:r>
        <w:tab/>
        <w:t>answer any question put to the person;</w:t>
      </w:r>
    </w:p>
    <w:p>
      <w:pPr>
        <w:pStyle w:val="Indenti"/>
      </w:pPr>
      <w:r>
        <w:tab/>
        <w:t>(ii)</w:t>
      </w:r>
      <w:r>
        <w:tab/>
        <w:t>produce any books or other sources of information in the custody or possession of that person relating to compliance with the Act.</w:t>
      </w:r>
    </w:p>
    <w:p>
      <w:pPr>
        <w:pStyle w:val="Subsection"/>
        <w:keepNext/>
      </w:pPr>
      <w:r>
        <w:tab/>
        <w:t>(4)</w:t>
      </w:r>
      <w:r>
        <w:tab/>
        <w:t>A direction given under subsection (1), (2) or (3)(b)(ii) —</w:t>
      </w:r>
    </w:p>
    <w:p>
      <w:pPr>
        <w:pStyle w:val="Indenta"/>
      </w:pPr>
      <w:r>
        <w:tab/>
        <w:t>(a)</w:t>
      </w:r>
      <w:r>
        <w:tab/>
        <w:t>must be given in writing to the person required to produce the document, books or other sources of information or data; and</w:t>
      </w:r>
    </w:p>
    <w:p>
      <w:pPr>
        <w:pStyle w:val="Indenta"/>
      </w:pPr>
      <w:r>
        <w:tab/>
        <w:t>(b)</w:t>
      </w:r>
      <w:r>
        <w:tab/>
        <w:t>must specify the time at which, or the period within which, the document, books or other sources of information or data are to be produced to the inspector; and</w:t>
      </w:r>
    </w:p>
    <w:p>
      <w:pPr>
        <w:pStyle w:val="Indenta"/>
      </w:pPr>
      <w:r>
        <w:tab/>
        <w:t>(c)</w:t>
      </w:r>
      <w:r>
        <w:tab/>
        <w:t xml:space="preserve">may require that the document, books or other sources of information or data be produced to the inspector — </w:t>
      </w:r>
    </w:p>
    <w:p>
      <w:pPr>
        <w:pStyle w:val="Indenti"/>
      </w:pPr>
      <w:r>
        <w:tab/>
        <w:t>(i)</w:t>
      </w:r>
      <w:r>
        <w:tab/>
        <w:t>at a place specified in the direction; and</w:t>
      </w:r>
    </w:p>
    <w:p>
      <w:pPr>
        <w:pStyle w:val="Indenti"/>
      </w:pPr>
      <w:r>
        <w:tab/>
        <w:t>(ii)</w:t>
      </w:r>
      <w:r>
        <w:tab/>
        <w:t>by a means specified in the direction.</w:t>
      </w:r>
    </w:p>
    <w:p>
      <w:pPr>
        <w:pStyle w:val="Subsection"/>
        <w:keepNext/>
      </w:pPr>
      <w:r>
        <w:lastRenderedPageBreak/>
        <w:tab/>
        <w:t>(5)</w:t>
      </w:r>
      <w:r>
        <w:tab/>
        <w:t>A direction under subsection (3)(b)(i) —</w:t>
      </w:r>
    </w:p>
    <w:p>
      <w:pPr>
        <w:pStyle w:val="Indenta"/>
      </w:pPr>
      <w:r>
        <w:tab/>
        <w:t>(a)</w:t>
      </w:r>
      <w:r>
        <w:tab/>
        <w:t>may be given orally or in writing; and</w:t>
      </w:r>
    </w:p>
    <w:p>
      <w:pPr>
        <w:pStyle w:val="Indenta"/>
      </w:pPr>
      <w:r>
        <w:tab/>
        <w:t>(b)</w:t>
      </w:r>
      <w:r>
        <w:tab/>
        <w:t>must specify the time at which, or period within which, the answer must be given to the inspector; and</w:t>
      </w:r>
    </w:p>
    <w:p>
      <w:pPr>
        <w:pStyle w:val="Indenta"/>
        <w:keepNext/>
      </w:pPr>
      <w:r>
        <w:tab/>
        <w:t>(c)</w:t>
      </w:r>
      <w:r>
        <w:tab/>
        <w:t xml:space="preserve">may require any of the following — </w:t>
      </w:r>
    </w:p>
    <w:p>
      <w:pPr>
        <w:pStyle w:val="Indenti"/>
      </w:pPr>
      <w:r>
        <w:tab/>
        <w:t>(i)</w:t>
      </w:r>
      <w:r>
        <w:tab/>
        <w:t xml:space="preserve">that the answer be given orally or in writing; </w:t>
      </w:r>
    </w:p>
    <w:p>
      <w:pPr>
        <w:pStyle w:val="Indenti"/>
      </w:pPr>
      <w:r>
        <w:tab/>
        <w:t>(ii)</w:t>
      </w:r>
      <w:r>
        <w:tab/>
        <w:t xml:space="preserve">if the answer is directed to be given in writing, be given by means specified in the direction; </w:t>
      </w:r>
    </w:p>
    <w:p>
      <w:pPr>
        <w:pStyle w:val="Indenti"/>
      </w:pPr>
      <w:r>
        <w:tab/>
        <w:t>(iii)</w:t>
      </w:r>
      <w:r>
        <w:tab/>
        <w:t>that the answer be verified by a statutory declaration.</w:t>
      </w:r>
    </w:p>
    <w:p>
      <w:pPr>
        <w:pStyle w:val="Subsection"/>
      </w:pPr>
      <w:r>
        <w:tab/>
        <w:t>(6)</w:t>
      </w:r>
      <w:r>
        <w:tab/>
        <w:t>A person who does not comply with a direction given to the person under subsection (1), (2) or (3) commits an offence.</w:t>
      </w:r>
    </w:p>
    <w:p>
      <w:pPr>
        <w:pStyle w:val="Subsection"/>
        <w:keepNext/>
      </w:pPr>
      <w:r>
        <w:tab/>
        <w:t>(7)</w:t>
      </w:r>
      <w:r>
        <w:tab/>
        <w:t>An inspector may do any of the following in relation to any books or other sources of information or data produced to the inspector in compliance with a direction under this section —</w:t>
      </w:r>
    </w:p>
    <w:p>
      <w:pPr>
        <w:pStyle w:val="Indenta"/>
      </w:pPr>
      <w:r>
        <w:tab/>
        <w:t>(a)</w:t>
      </w:r>
      <w:r>
        <w:tab/>
        <w:t>examine them;</w:t>
      </w:r>
    </w:p>
    <w:p>
      <w:pPr>
        <w:pStyle w:val="Indenta"/>
      </w:pPr>
      <w:r>
        <w:tab/>
        <w:t>(b)</w:t>
      </w:r>
      <w:r>
        <w:tab/>
        <w:t>take copies of or data or extracts from them;</w:t>
      </w:r>
    </w:p>
    <w:p>
      <w:pPr>
        <w:pStyle w:val="Indenta"/>
      </w:pPr>
      <w:r>
        <w:tab/>
        <w:t>(c)</w:t>
      </w:r>
      <w:r>
        <w:tab/>
        <w:t>download or print them out.</w:t>
      </w:r>
    </w:p>
    <w:p>
      <w:pPr>
        <w:pStyle w:val="Subsection"/>
      </w:pPr>
      <w:r>
        <w:tab/>
        <w:t>(8)</w:t>
      </w:r>
      <w:r>
        <w:tab/>
        <w:t>An inspector may record an answer given orally under this section, including by making an audiovisual recording.</w:t>
      </w:r>
    </w:p>
    <w:p>
      <w:pPr>
        <w:pStyle w:val="Footnotesection"/>
      </w:pPr>
      <w:r>
        <w:tab/>
        <w:t>[Section 90 inserted: No. 40 of 2020 s. 73.]</w:t>
      </w:r>
    </w:p>
    <w:p>
      <w:pPr>
        <w:pStyle w:val="Heading5"/>
        <w:rPr>
          <w:snapToGrid w:val="0"/>
        </w:rPr>
      </w:pPr>
      <w:bookmarkStart w:id="237" w:name="_Toc158985512"/>
      <w:r>
        <w:rPr>
          <w:rStyle w:val="CharSectno"/>
        </w:rPr>
        <w:t>91</w:t>
      </w:r>
      <w:r>
        <w:rPr>
          <w:snapToGrid w:val="0"/>
        </w:rPr>
        <w:t>.</w:t>
      </w:r>
      <w:r>
        <w:rPr>
          <w:snapToGrid w:val="0"/>
        </w:rPr>
        <w:tab/>
        <w:t>Entry powers of inspectors for s. 86</w:t>
      </w:r>
      <w:bookmarkEnd w:id="237"/>
    </w:p>
    <w:p>
      <w:pPr>
        <w:pStyle w:val="Subsection"/>
        <w:rPr>
          <w:snapToGrid w:val="0"/>
        </w:rPr>
      </w:pPr>
      <w:r>
        <w:rPr>
          <w:snapToGrid w:val="0"/>
        </w:rPr>
        <w:tab/>
        <w:t>(1)</w:t>
      </w:r>
      <w:r>
        <w:rPr>
          <w:snapToGrid w:val="0"/>
        </w:rPr>
        <w:tab/>
        <w:t>An inspector may at any reasonable time enter any premises used wholly or principally for or in connection with —</w:t>
      </w:r>
    </w:p>
    <w:p>
      <w:pPr>
        <w:pStyle w:val="Indenta"/>
        <w:spacing w:before="70"/>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keepNext/>
        <w:spacing w:before="70"/>
        <w:rPr>
          <w:snapToGrid w:val="0"/>
        </w:rPr>
      </w:pPr>
      <w:r>
        <w:rPr>
          <w:snapToGrid w:val="0"/>
        </w:rPr>
        <w:tab/>
        <w:t>(b)</w:t>
      </w:r>
      <w:r>
        <w:rPr>
          <w:snapToGrid w:val="0"/>
        </w:rPr>
        <w:tab/>
        <w:t>the sale of any equipment to which section 86(2) applies,</w:t>
      </w:r>
    </w:p>
    <w:p>
      <w:pPr>
        <w:pStyle w:val="Subsection"/>
        <w:spacing w:before="120"/>
        <w:rPr>
          <w:snapToGrid w:val="0"/>
        </w:rPr>
      </w:pPr>
      <w:r>
        <w:rPr>
          <w:snapToGrid w:val="0"/>
        </w:rPr>
        <w:tab/>
      </w:r>
      <w:r>
        <w:rPr>
          <w:snapToGrid w:val="0"/>
        </w:rPr>
        <w:tab/>
        <w:t xml:space="preserve">for the purpose of determining whether or not that equipment, vehicle or vessel complies with any requirement made by or </w:t>
      </w:r>
      <w:r>
        <w:rPr>
          <w:snapToGrid w:val="0"/>
        </w:rPr>
        <w:lastRenderedPageBreak/>
        <w:t>under this Act and may for that purpose make any inspection, measurement or test in respect of any such equipment, vehicle or vessel in or on those premises.</w:t>
      </w:r>
    </w:p>
    <w:p>
      <w:pPr>
        <w:pStyle w:val="Subsection"/>
        <w:rPr>
          <w:snapToGrid w:val="0"/>
        </w:rPr>
      </w:pPr>
      <w:r>
        <w:rPr>
          <w:snapToGrid w:val="0"/>
        </w:rPr>
        <w:tab/>
        <w:t>(2)</w:t>
      </w:r>
      <w:r>
        <w:rPr>
          <w:snapToGrid w:val="0"/>
        </w:rPr>
        <w:tab/>
        <w:t xml:space="preserve">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w:t>
      </w:r>
      <w:r>
        <w:t>the inspector’s</w:t>
      </w:r>
      <w:r>
        <w:rPr>
          <w:snapToGrid w:val="0"/>
        </w:rPr>
        <w:t xml:space="preserve"> intention to make any inspection, measurement or test under subsection (1) of the vehicle or vessel before doing so.</w:t>
      </w:r>
    </w:p>
    <w:p>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Footnotesection"/>
      </w:pPr>
      <w:r>
        <w:tab/>
        <w:t>[Section 91 amended: No. 40 of 2020 s. 111(1).]</w:t>
      </w:r>
    </w:p>
    <w:p>
      <w:pPr>
        <w:pStyle w:val="Heading5"/>
      </w:pPr>
      <w:bookmarkStart w:id="238" w:name="_Toc158985513"/>
      <w:r>
        <w:rPr>
          <w:rStyle w:val="CharSectno"/>
        </w:rPr>
        <w:t>91A</w:t>
      </w:r>
      <w:r>
        <w:t>.</w:t>
      </w:r>
      <w:r>
        <w:tab/>
        <w:t>Stopping etc. vehicles and vessels, powers of inspectors and authorised persons as to</w:t>
      </w:r>
      <w:bookmarkEnd w:id="238"/>
    </w:p>
    <w:p>
      <w:pPr>
        <w:pStyle w:val="Subsection"/>
      </w:pPr>
      <w:r>
        <w:tab/>
        <w:t>(1)</w:t>
      </w:r>
      <w:r>
        <w:tab/>
        <w:t xml:space="preserve">An inspector or an authorised person may at any time stop, enter, search and inspect any vehicle or vessel if the </w:t>
      </w:r>
      <w:r>
        <w:rPr>
          <w:snapToGrid w:val="0"/>
        </w:rPr>
        <w:t>inspector or authorised person</w:t>
      </w:r>
      <w:r>
        <w:t xml:space="preserve"> has reasonable grounds for believing that an offence under this Act is being, has been or is likely to be committed.</w:t>
      </w:r>
    </w:p>
    <w:p>
      <w:pPr>
        <w:pStyle w:val="Subsection"/>
        <w:keepNext/>
      </w:pPr>
      <w:r>
        <w:tab/>
        <w:t>(2)</w:t>
      </w:r>
      <w:r>
        <w:tab/>
        <w:t>A person who, being in charge of a vehicle or vessel and being informed by a person that the person is an inspector or an authorised person, fails to stop the vehicle or vessel when so required by that person commits an offence.</w:t>
      </w:r>
    </w:p>
    <w:p>
      <w:pPr>
        <w:pStyle w:val="Footnotesection"/>
      </w:pPr>
      <w:r>
        <w:tab/>
        <w:t xml:space="preserve">[Section 91A inserted: No. 48 of 2010 s. 8; amended: No. 40 of 2020 s. 111(1) and (2).] </w:t>
      </w:r>
    </w:p>
    <w:p>
      <w:pPr>
        <w:pStyle w:val="Heading5"/>
        <w:keepLines w:val="0"/>
        <w:rPr>
          <w:snapToGrid w:val="0"/>
        </w:rPr>
      </w:pPr>
      <w:bookmarkStart w:id="239" w:name="_Toc158985514"/>
      <w:r>
        <w:rPr>
          <w:rStyle w:val="CharSectno"/>
        </w:rPr>
        <w:lastRenderedPageBreak/>
        <w:t>92</w:t>
      </w:r>
      <w:r>
        <w:rPr>
          <w:snapToGrid w:val="0"/>
        </w:rPr>
        <w:t>.</w:t>
      </w:r>
      <w:r>
        <w:rPr>
          <w:snapToGrid w:val="0"/>
        </w:rPr>
        <w:tab/>
        <w:t>Inspectors may require details of certain occupiers and others</w:t>
      </w:r>
      <w:bookmarkEnd w:id="239"/>
    </w:p>
    <w:p>
      <w:pPr>
        <w:pStyle w:val="Subsection"/>
        <w:rPr>
          <w:snapToGrid w:val="0"/>
        </w:rPr>
      </w:pPr>
      <w:r>
        <w:rPr>
          <w:snapToGrid w:val="0"/>
        </w:rPr>
        <w:tab/>
        <w:t>(1)</w:t>
      </w:r>
      <w:r>
        <w:rPr>
          <w:snapToGrid w:val="0"/>
        </w:rPr>
        <w:tab/>
        <w:t>An inspector may by notice in writing require any person who appears to the inspector to be the occupier of any premises —</w:t>
      </w:r>
    </w:p>
    <w:p>
      <w:pPr>
        <w:pStyle w:val="Indenta"/>
      </w:pPr>
      <w:r>
        <w:tab/>
        <w:t>(a)</w:t>
      </w:r>
      <w:r>
        <w:tab/>
        <w:t>on or from which there has been, is, or is likely to be, an emission; or</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keepNext/>
        <w:rPr>
          <w:snapToGrid w:val="0"/>
        </w:rPr>
      </w:pPr>
      <w:r>
        <w:rPr>
          <w:snapToGrid w:val="0"/>
        </w:rPr>
        <w:lastRenderedPageBreak/>
        <w:tab/>
        <w:t>(4)</w:t>
      </w:r>
      <w:r>
        <w:rPr>
          <w:snapToGrid w:val="0"/>
        </w:rPr>
        <w:tab/>
        <w:t>A person who —</w:t>
      </w:r>
    </w:p>
    <w:p>
      <w:pPr>
        <w:pStyle w:val="Indenta"/>
        <w:spacing w:before="60"/>
        <w:rPr>
          <w:snapToGrid w:val="0"/>
        </w:rPr>
      </w:pPr>
      <w:r>
        <w:rPr>
          <w:snapToGrid w:val="0"/>
        </w:rPr>
        <w:tab/>
        <w:t>(a)</w:t>
      </w:r>
      <w:r>
        <w:rPr>
          <w:snapToGrid w:val="0"/>
        </w:rPr>
        <w:tab/>
        <w:t>does not comply with a requirement made under subsection (1), (2) or (3); or</w:t>
      </w:r>
    </w:p>
    <w:p>
      <w:pPr>
        <w:pStyle w:val="Indenta"/>
        <w:spacing w:before="60"/>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No. 14 of 1998 s. 12 and 34; No. 54 of 2003 s. 59.]</w:t>
      </w:r>
    </w:p>
    <w:p>
      <w:pPr>
        <w:pStyle w:val="Heading5"/>
      </w:pPr>
      <w:bookmarkStart w:id="240" w:name="_Toc158985515"/>
      <w:r>
        <w:rPr>
          <w:rStyle w:val="CharSectno"/>
        </w:rPr>
        <w:t>92A</w:t>
      </w:r>
      <w:r>
        <w:t>.</w:t>
      </w:r>
      <w:r>
        <w:tab/>
        <w:t>Seizing evidence etc.</w:t>
      </w:r>
      <w:bookmarkEnd w:id="240"/>
    </w:p>
    <w:p>
      <w:pPr>
        <w:pStyle w:val="Subsection"/>
      </w:pPr>
      <w:r>
        <w:tab/>
        <w:t>(1)</w:t>
      </w:r>
      <w:r>
        <w:tab/>
        <w:t>An inspector may seize any thing that the inspector suspects on reasonable grounds —</w:t>
      </w:r>
    </w:p>
    <w:p>
      <w:pPr>
        <w:pStyle w:val="Indenta"/>
        <w:spacing w:before="60"/>
      </w:pPr>
      <w:r>
        <w:tab/>
        <w:t>(a)</w:t>
      </w:r>
      <w:r>
        <w:tab/>
        <w:t xml:space="preserve">is, or is </w:t>
      </w:r>
      <w:r>
        <w:rPr>
          <w:snapToGrid w:val="0"/>
        </w:rPr>
        <w:t>intended</w:t>
      </w:r>
      <w:r>
        <w:t xml:space="preserve"> to be, involved in the commission of an offence against this Act; or</w:t>
      </w:r>
    </w:p>
    <w:p>
      <w:pPr>
        <w:pStyle w:val="Indenta"/>
        <w:spacing w:before="60"/>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If for any reason, it is not practicable to comply with subsection (2), the inspector is to —</w:t>
      </w:r>
    </w:p>
    <w:p>
      <w:pPr>
        <w:pStyle w:val="Indenta"/>
        <w:spacing w:before="60"/>
      </w:pPr>
      <w:r>
        <w:tab/>
        <w:t>(a)</w:t>
      </w:r>
      <w:r>
        <w:tab/>
        <w:t xml:space="preserve">leave the </w:t>
      </w:r>
      <w:r>
        <w:rPr>
          <w:snapToGrid w:val="0"/>
        </w:rPr>
        <w:t>receipt</w:t>
      </w:r>
      <w:r>
        <w:t xml:space="preserve"> at the place of seizure; and</w:t>
      </w:r>
    </w:p>
    <w:p>
      <w:pPr>
        <w:pStyle w:val="Indenta"/>
        <w:spacing w:before="60"/>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No. 14 of 1998 s. 13.]</w:t>
      </w:r>
    </w:p>
    <w:p>
      <w:pPr>
        <w:pStyle w:val="Heading5"/>
        <w:spacing w:before="260"/>
      </w:pPr>
      <w:bookmarkStart w:id="241" w:name="_Toc158985516"/>
      <w:r>
        <w:rPr>
          <w:rStyle w:val="CharSectno"/>
        </w:rPr>
        <w:t>92B</w:t>
      </w:r>
      <w:r>
        <w:t>.</w:t>
      </w:r>
      <w:r>
        <w:tab/>
        <w:t>Dealing with seized things</w:t>
      </w:r>
      <w:bookmarkEnd w:id="241"/>
    </w:p>
    <w:p>
      <w:pPr>
        <w:pStyle w:val="Subsection"/>
        <w:keepNext/>
        <w:spacing w:before="120"/>
      </w:pPr>
      <w:r>
        <w:tab/>
        <w:t>(1)</w:t>
      </w:r>
      <w:r>
        <w:tab/>
        <w:t xml:space="preserve">If any thing is seized under section 92A and, in the opinion of the CEO, the thing is likely to cause pollution or environmental harm or perish if no action is taken to deal with it, the CEO may </w:t>
      </w:r>
      <w:r>
        <w:lastRenderedPageBreak/>
        <w:t>sell, treat, preserve, destroy, dispose of or otherwise deal with the thing in the prescribed way.</w:t>
      </w:r>
    </w:p>
    <w:p>
      <w:pPr>
        <w:pStyle w:val="Subsection"/>
        <w:spacing w:before="120"/>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If —</w:t>
      </w:r>
    </w:p>
    <w:p>
      <w:pPr>
        <w:pStyle w:val="Indenta"/>
      </w:pPr>
      <w:r>
        <w:tab/>
        <w:t>(a)</w:t>
      </w:r>
      <w:r>
        <w:tab/>
        <w:t>any thing is seized by an inspector in connection with a suspected offence; and</w:t>
      </w:r>
    </w:p>
    <w:p>
      <w:pPr>
        <w:pStyle w:val="Indenta"/>
      </w:pPr>
      <w:r>
        <w:tab/>
        <w:t>(b)</w:t>
      </w:r>
      <w:r>
        <w:tab/>
        <w:t>the thing is sold under subsection (1);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pPr>
      <w:r>
        <w:tab/>
        <w:t>(5)</w:t>
      </w:r>
      <w:r>
        <w:tab/>
        <w:t>The costs and expenses referred to in subsection (4) may be —</w:t>
      </w:r>
    </w:p>
    <w:p>
      <w:pPr>
        <w:pStyle w:val="Indenta"/>
      </w:pPr>
      <w:r>
        <w:tab/>
        <w:t>(a)</w:t>
      </w:r>
      <w:r>
        <w:tab/>
        <w:t>awarded by order under section 99Y; or</w:t>
      </w:r>
    </w:p>
    <w:p>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No. 14 of 1998 s. 13; amended: No. 54 of 2003 s. 60 and 140(2); No. 77 of 2006 s. 4.]</w:t>
      </w:r>
    </w:p>
    <w:p>
      <w:pPr>
        <w:pStyle w:val="Heading5"/>
      </w:pPr>
      <w:bookmarkStart w:id="242" w:name="_Toc158985517"/>
      <w:r>
        <w:rPr>
          <w:rStyle w:val="CharSectno"/>
        </w:rPr>
        <w:t>92C</w:t>
      </w:r>
      <w:r>
        <w:t>.</w:t>
      </w:r>
      <w:r>
        <w:tab/>
        <w:t>Returning seized things</w:t>
      </w:r>
      <w:bookmarkEnd w:id="242"/>
    </w:p>
    <w:p>
      <w:pPr>
        <w:pStyle w:val="Subsection"/>
        <w:keepNext/>
      </w:pPr>
      <w:r>
        <w:tab/>
        <w:t>(1)</w:t>
      </w:r>
      <w:r>
        <w:tab/>
        <w:t xml:space="preserve">The CEO may at any time before a prosecution involving the thing seized is started authorise the return of the thing seized to </w:t>
      </w:r>
      <w:r>
        <w:lastRenderedPageBreak/>
        <w:t>its owner or person entitled to the possession of the thing or the person from whom the thing was seized.</w:t>
      </w:r>
    </w:p>
    <w:p>
      <w:pPr>
        <w:pStyle w:val="Subsection"/>
        <w:keepLines/>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pPr>
        <w:pStyle w:val="Indenta"/>
      </w:pPr>
      <w:r>
        <w:tab/>
        <w:t>(a)</w:t>
      </w:r>
      <w:r>
        <w:tab/>
        <w:t>12 months from the time it was seized; or</w:t>
      </w:r>
    </w:p>
    <w:p>
      <w:pPr>
        <w:pStyle w:val="Indenta"/>
        <w:keepNext/>
        <w:keepLines/>
      </w:pPr>
      <w:r>
        <w:tab/>
        <w:t>(b)</w:t>
      </w:r>
      <w:r>
        <w:tab/>
        <w:t>if a prosecution for an offence involving the thing is started within that 12 months — the prosecution for the offence and any appeal from the prosecution.</w:t>
      </w:r>
    </w:p>
    <w:p>
      <w:pPr>
        <w:pStyle w:val="Footnotesection"/>
        <w:ind w:left="890" w:hanging="890"/>
      </w:pPr>
      <w:r>
        <w:tab/>
        <w:t>[Section 92C inserted: No. 14 of 1998 s. 13; amended: No. 54 of 2003 s. 140(2).]</w:t>
      </w:r>
    </w:p>
    <w:p>
      <w:pPr>
        <w:pStyle w:val="Heading5"/>
      </w:pPr>
      <w:bookmarkStart w:id="243" w:name="_Toc158985518"/>
      <w:r>
        <w:rPr>
          <w:rStyle w:val="CharSectno"/>
        </w:rPr>
        <w:t>92D</w:t>
      </w:r>
      <w:r>
        <w:t>.</w:t>
      </w:r>
      <w:r>
        <w:tab/>
        <w:t xml:space="preserve">Forfeiture of </w:t>
      </w:r>
      <w:r>
        <w:rPr>
          <w:rStyle w:val="CharSectno"/>
        </w:rPr>
        <w:t>abandoned</w:t>
      </w:r>
      <w:r>
        <w:t xml:space="preserve"> property</w:t>
      </w:r>
      <w:bookmarkEnd w:id="243"/>
    </w:p>
    <w:p>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keepNext/>
      </w:pPr>
      <w:r>
        <w:lastRenderedPageBreak/>
        <w:tab/>
        <w:t>(2)</w:t>
      </w:r>
      <w:r>
        <w:tab/>
        <w:t>If after the expiration of 3 months from the day on which notice has been given under subsection (1) the thing has not been claimed by its owner the thing is forfeited to the Crown.</w:t>
      </w:r>
    </w:p>
    <w:p>
      <w:pPr>
        <w:pStyle w:val="Footnotesection"/>
        <w:ind w:left="890" w:hanging="890"/>
      </w:pPr>
      <w:r>
        <w:tab/>
        <w:t>[Section 92D inserted: No. 14 of 1998 s. 13; amended: No. 54 of 2003 s. 140(2).]</w:t>
      </w:r>
    </w:p>
    <w:p>
      <w:pPr>
        <w:pStyle w:val="Heading5"/>
      </w:pPr>
      <w:bookmarkStart w:id="244" w:name="_Toc158985519"/>
      <w:r>
        <w:rPr>
          <w:rStyle w:val="CharSectno"/>
        </w:rPr>
        <w:t>92E</w:t>
      </w:r>
      <w:r>
        <w:t>.</w:t>
      </w:r>
      <w:r>
        <w:tab/>
        <w:t>Person not to inte</w:t>
      </w:r>
      <w:r>
        <w:rPr>
          <w:rStyle w:val="CharSectno"/>
        </w:rPr>
        <w:t>r</w:t>
      </w:r>
      <w:r>
        <w:t xml:space="preserve">fere with </w:t>
      </w:r>
      <w:r>
        <w:rPr>
          <w:rStyle w:val="CharSectno"/>
        </w:rPr>
        <w:t>seized</w:t>
      </w:r>
      <w:r>
        <w:t xml:space="preserve"> things</w:t>
      </w:r>
      <w:bookmarkEnd w:id="244"/>
    </w:p>
    <w:p>
      <w:pPr>
        <w:pStyle w:val="Subsection"/>
      </w:pPr>
      <w:r>
        <w:tab/>
        <w:t>(1)</w:t>
      </w:r>
      <w:r>
        <w:tab/>
        <w:t>A person must not remove, damage or interfere with any thing seized under this Act unless the person is authorised to do so by the CEO or an inspector.</w:t>
      </w:r>
    </w:p>
    <w:p>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ind w:left="890" w:hanging="890"/>
      </w:pPr>
      <w:r>
        <w:tab/>
        <w:t>[Section 92E inserted: No. 14 of 1998 s. 13; amended: No. 54 of 2003 s. 140(2).]</w:t>
      </w:r>
    </w:p>
    <w:p>
      <w:pPr>
        <w:pStyle w:val="Ednotesection"/>
      </w:pPr>
      <w:r>
        <w:t>[</w:t>
      </w:r>
      <w:r>
        <w:rPr>
          <w:b/>
        </w:rPr>
        <w:t>92F.</w:t>
      </w:r>
      <w:r>
        <w:tab/>
        <w:t>Deleted: No. 40 of 2020 s. 74.]</w:t>
      </w:r>
    </w:p>
    <w:p>
      <w:pPr>
        <w:pStyle w:val="Heading5"/>
      </w:pPr>
      <w:bookmarkStart w:id="245" w:name="_Toc158985520"/>
      <w:r>
        <w:rPr>
          <w:rStyle w:val="CharSectno"/>
        </w:rPr>
        <w:t>92G</w:t>
      </w:r>
      <w:r>
        <w:t>.</w:t>
      </w:r>
      <w:r>
        <w:tab/>
        <w:t>Inspector to try to minimise damage</w:t>
      </w:r>
      <w:bookmarkEnd w:id="245"/>
    </w:p>
    <w:p>
      <w:pPr>
        <w:pStyle w:val="Subsection"/>
      </w:pPr>
      <w:r>
        <w:tab/>
      </w:r>
      <w:r>
        <w:tab/>
        <w:t>In exercising any power under this Part, an inspector is to try, as far as is practicable, to minimise damage to any property.</w:t>
      </w:r>
    </w:p>
    <w:p>
      <w:pPr>
        <w:pStyle w:val="Footnotesection"/>
      </w:pPr>
      <w:r>
        <w:tab/>
        <w:t>[Section 92G inserted: No. 14 of 1998 s. 13.]</w:t>
      </w:r>
    </w:p>
    <w:p>
      <w:pPr>
        <w:pStyle w:val="Heading5"/>
      </w:pPr>
      <w:bookmarkStart w:id="246" w:name="_Toc158985521"/>
      <w:r>
        <w:rPr>
          <w:rStyle w:val="CharSectno"/>
        </w:rPr>
        <w:t>92H</w:t>
      </w:r>
      <w:r>
        <w:t>.</w:t>
      </w:r>
      <w:r>
        <w:tab/>
        <w:t>Compensation for loss etc. due to enforcement action</w:t>
      </w:r>
      <w:bookmarkEnd w:id="246"/>
    </w:p>
    <w:p>
      <w:pPr>
        <w:pStyle w:val="Subsection"/>
      </w:pPr>
      <w:r>
        <w:tab/>
        <w:t>(1)</w:t>
      </w:r>
      <w:r>
        <w:tab/>
        <w:t>A person who suffers loss or damage as a result of the exercise of —</w:t>
      </w:r>
    </w:p>
    <w:p>
      <w:pPr>
        <w:pStyle w:val="Indenta"/>
      </w:pPr>
      <w:r>
        <w:tab/>
        <w:t>(a)</w:t>
      </w:r>
      <w:r>
        <w:tab/>
        <w:t>the power of entry conferred on an inspector by section 89(1) or (3); or</w:t>
      </w:r>
    </w:p>
    <w:p>
      <w:pPr>
        <w:pStyle w:val="Indenta"/>
        <w:keepNext/>
      </w:pPr>
      <w:r>
        <w:lastRenderedPageBreak/>
        <w:tab/>
        <w:t>(b)</w:t>
      </w:r>
      <w:r>
        <w:tab/>
        <w:t>the powers in respect of seizure conferred on an inspector by section 92A or 92B,</w:t>
      </w:r>
    </w:p>
    <w:p>
      <w:pPr>
        <w:pStyle w:val="Subsection"/>
        <w:spacing w:before="120"/>
      </w:pPr>
      <w:r>
        <w:tab/>
      </w:r>
      <w:r>
        <w:tab/>
        <w:t>may within one year of the exercise of that power apply to the CEO for compensation for that loss or damage.</w:t>
      </w:r>
    </w:p>
    <w:p>
      <w:pPr>
        <w:pStyle w:val="Subsection"/>
      </w:pPr>
      <w:r>
        <w:tab/>
        <w:t>(2)</w:t>
      </w:r>
      <w:r>
        <w:tab/>
        <w:t>No compensation is payable pursuant to an application under subsection (1) unless the CEO is of the opinion that, in the circumstances of the case, it is just to pay compensation.</w:t>
      </w:r>
    </w:p>
    <w:p>
      <w:pPr>
        <w:pStyle w:val="Subsection"/>
        <w:keepLines/>
      </w:pPr>
      <w:r>
        <w:tab/>
        <w:t>(3)</w:t>
      </w:r>
      <w:r>
        <w:tab/>
        <w:t>The amount of compensation payable is to be determined by agreement between the person applying for that compensation and the CEO or, in default of any such agreement, by the Magistrates Court on the application of the person so applying or of the CEO.</w:t>
      </w:r>
    </w:p>
    <w:p>
      <w:pPr>
        <w:pStyle w:val="Footnotesection"/>
        <w:spacing w:before="100"/>
      </w:pPr>
      <w:r>
        <w:tab/>
        <w:t>[Section 92H inserted: No. 14 of 1998 s. 13; amended: No. 54 of 2003 s. 140(2); No. 59 of 2004 s. 141; No. 40 of 2020 s. 75.]</w:t>
      </w:r>
    </w:p>
    <w:p>
      <w:pPr>
        <w:pStyle w:val="Heading5"/>
        <w:rPr>
          <w:snapToGrid w:val="0"/>
        </w:rPr>
      </w:pPr>
      <w:bookmarkStart w:id="247" w:name="_Toc158985522"/>
      <w:r>
        <w:rPr>
          <w:rStyle w:val="CharSectno"/>
        </w:rPr>
        <w:t>93</w:t>
      </w:r>
      <w:r>
        <w:rPr>
          <w:snapToGrid w:val="0"/>
        </w:rPr>
        <w:t>.</w:t>
      </w:r>
      <w:r>
        <w:rPr>
          <w:snapToGrid w:val="0"/>
        </w:rPr>
        <w:tab/>
        <w:t>Obstructing etc. inspectors or authorised persons</w:t>
      </w:r>
      <w:bookmarkEnd w:id="247"/>
    </w:p>
    <w:p>
      <w:pPr>
        <w:pStyle w:val="Subsection"/>
        <w:keepNext/>
        <w:keepLines/>
        <w:rPr>
          <w:snapToGrid w:val="0"/>
        </w:rPr>
      </w:pPr>
      <w:r>
        <w:rPr>
          <w:snapToGrid w:val="0"/>
        </w:rPr>
        <w:tab/>
      </w:r>
      <w:r>
        <w:rPr>
          <w:snapToGrid w:val="0"/>
        </w:rPr>
        <w:tab/>
        <w:t>A person who —</w:t>
      </w:r>
    </w:p>
    <w:p>
      <w:pPr>
        <w:pStyle w:val="Indenta"/>
        <w:spacing w:before="60"/>
        <w:rPr>
          <w:snapToGrid w:val="0"/>
        </w:rPr>
      </w:pPr>
      <w:r>
        <w:rPr>
          <w:snapToGrid w:val="0"/>
        </w:rPr>
        <w:tab/>
        <w:t>(a)</w:t>
      </w:r>
      <w:r>
        <w:rPr>
          <w:snapToGrid w:val="0"/>
        </w:rPr>
        <w:tab/>
        <w:t>delays or obstructs a police officer, inspector or authorised person; or</w:t>
      </w:r>
    </w:p>
    <w:p>
      <w:pPr>
        <w:pStyle w:val="Indenta"/>
        <w:spacing w:before="60"/>
        <w:rPr>
          <w:snapToGrid w:val="0"/>
        </w:rPr>
      </w:pPr>
      <w:r>
        <w:rPr>
          <w:snapToGrid w:val="0"/>
        </w:rPr>
        <w:tab/>
        <w:t>(b)</w:t>
      </w:r>
      <w:r>
        <w:rPr>
          <w:snapToGrid w:val="0"/>
        </w:rPr>
        <w:tab/>
        <w:t>does not comply with any reasonable requirement made by a police officer, inspector or authorised person; or</w:t>
      </w:r>
    </w:p>
    <w:p>
      <w:pPr>
        <w:pStyle w:val="Indenta"/>
        <w:spacing w:before="60"/>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keepNext/>
        <w:spacing w:before="120"/>
        <w:rPr>
          <w:snapToGrid w:val="0"/>
        </w:rPr>
      </w:pPr>
      <w:r>
        <w:rPr>
          <w:snapToGrid w:val="0"/>
        </w:rPr>
        <w:tab/>
      </w:r>
      <w:r>
        <w:rPr>
          <w:snapToGrid w:val="0"/>
        </w:rPr>
        <w:tab/>
        <w:t xml:space="preserve">in the exercise by the police officer, inspector or authorised person of any </w:t>
      </w:r>
      <w:r>
        <w:t>power conferred by</w:t>
      </w:r>
      <w:r>
        <w:rPr>
          <w:snapToGrid w:val="0"/>
        </w:rPr>
        <w:t xml:space="preserve"> this Act commits an offence.</w:t>
      </w:r>
    </w:p>
    <w:p>
      <w:pPr>
        <w:pStyle w:val="Footnotesection"/>
      </w:pPr>
      <w:r>
        <w:tab/>
        <w:t>[Section 93 amended: No. 40 of 2020 s. 111(1).]</w:t>
      </w:r>
    </w:p>
    <w:p>
      <w:pPr>
        <w:pStyle w:val="Heading5"/>
        <w:rPr>
          <w:snapToGrid w:val="0"/>
        </w:rPr>
      </w:pPr>
      <w:bookmarkStart w:id="248" w:name="_Toc158985523"/>
      <w:r>
        <w:rPr>
          <w:rStyle w:val="CharSectno"/>
        </w:rPr>
        <w:t>94</w:t>
      </w:r>
      <w:r>
        <w:rPr>
          <w:snapToGrid w:val="0"/>
        </w:rPr>
        <w:t>.</w:t>
      </w:r>
      <w:r>
        <w:rPr>
          <w:snapToGrid w:val="0"/>
        </w:rPr>
        <w:tab/>
        <w:t>Analysts, appointment of</w:t>
      </w:r>
      <w:bookmarkEnd w:id="248"/>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lastRenderedPageBreak/>
        <w:tab/>
        <w:t>(2)</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 xml:space="preserve">affect or prejudice the application to the person of any Act referred to in paragraph (a) if it applied to </w:t>
      </w:r>
      <w:r>
        <w:t>the person</w:t>
      </w:r>
      <w:r>
        <w:rPr>
          <w:snapToGrid w:val="0"/>
        </w:rPr>
        <w:t xml:space="preserve"> at the time of </w:t>
      </w:r>
      <w:r>
        <w:t xml:space="preserve">the </w:t>
      </w:r>
      <w:r>
        <w:rPr>
          <w:snapToGrid w:val="0"/>
        </w:rPr>
        <w:t>appointment.</w:t>
      </w:r>
    </w:p>
    <w:p>
      <w:pPr>
        <w:pStyle w:val="Footnotesection"/>
      </w:pPr>
      <w:r>
        <w:tab/>
        <w:t>[Section 94 amended: No. 32 of 1994 s. 19; No. 54 of 2003 s. 140(2); No. 40 of 2020 s. 111(1).]</w:t>
      </w:r>
    </w:p>
    <w:p>
      <w:pPr>
        <w:pStyle w:val="Heading5"/>
        <w:rPr>
          <w:snapToGrid w:val="0"/>
        </w:rPr>
      </w:pPr>
      <w:bookmarkStart w:id="249" w:name="_Toc158985524"/>
      <w:r>
        <w:rPr>
          <w:rStyle w:val="CharSectno"/>
        </w:rPr>
        <w:t>95</w:t>
      </w:r>
      <w:r>
        <w:rPr>
          <w:snapToGrid w:val="0"/>
        </w:rPr>
        <w:t>.</w:t>
      </w:r>
      <w:r>
        <w:rPr>
          <w:snapToGrid w:val="0"/>
        </w:rPr>
        <w:tab/>
        <w:t>CEO may require information about industrial processes etc.</w:t>
      </w:r>
      <w:bookmarkEnd w:id="249"/>
    </w:p>
    <w:p>
      <w:pPr>
        <w:pStyle w:val="Subsection"/>
        <w:spacing w:before="180"/>
        <w:rPr>
          <w:snapToGrid w:val="0"/>
        </w:rPr>
      </w:pPr>
      <w:r>
        <w:rPr>
          <w:snapToGrid w:val="0"/>
        </w:rPr>
        <w:tab/>
        <w:t>(1)</w:t>
      </w:r>
      <w:r>
        <w:rPr>
          <w:snapToGrid w:val="0"/>
        </w:rPr>
        <w:tab/>
        <w:t xml:space="preserve">The </w:t>
      </w:r>
      <w:r>
        <w:t>CEO</w:t>
      </w:r>
      <w:r>
        <w:rPr>
          <w:snapToGrid w:val="0"/>
        </w:rPr>
        <w:t xml:space="preserve"> may, if </w:t>
      </w:r>
      <w:r>
        <w:t>the CEO</w:t>
      </w:r>
      <w:r>
        <w:rPr>
          <w:snapToGrid w:val="0"/>
        </w:rPr>
        <w:t xml:space="preserv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pPr>
        <w:pStyle w:val="Indenta"/>
        <w:spacing w:before="60"/>
        <w:rPr>
          <w:snapToGrid w:val="0"/>
        </w:rPr>
      </w:pPr>
      <w:r>
        <w:rPr>
          <w:snapToGrid w:val="0"/>
        </w:rPr>
        <w:tab/>
        <w:t>(a)</w:t>
      </w:r>
      <w:r>
        <w:rPr>
          <w:snapToGrid w:val="0"/>
        </w:rPr>
        <w:tab/>
        <w:t>any manufacturing, industrial or trade process carried on in or on those premises; or</w:t>
      </w:r>
    </w:p>
    <w:p>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80"/>
        <w:rPr>
          <w:snapToGrid w:val="0"/>
        </w:rPr>
      </w:pPr>
      <w:r>
        <w:rPr>
          <w:snapToGrid w:val="0"/>
        </w:rPr>
        <w:tab/>
      </w:r>
      <w:r>
        <w:rPr>
          <w:snapToGrid w:val="0"/>
        </w:rPr>
        <w:tab/>
        <w:t>as is specified in that notice.</w:t>
      </w:r>
    </w:p>
    <w:p>
      <w:pPr>
        <w:pStyle w:val="Subsection"/>
        <w:spacing w:before="180"/>
        <w:rPr>
          <w:snapToGrid w:val="0"/>
        </w:rPr>
      </w:pPr>
      <w:r>
        <w:rPr>
          <w:snapToGrid w:val="0"/>
        </w:rPr>
        <w:tab/>
        <w:t>(2)</w:t>
      </w:r>
      <w:r>
        <w:rPr>
          <w:snapToGrid w:val="0"/>
        </w:rPr>
        <w:tab/>
        <w:t xml:space="preserve">Any person who does not comply with any requirement made to </w:t>
      </w:r>
      <w:r>
        <w:t>the person</w:t>
      </w:r>
      <w:r>
        <w:rPr>
          <w:snapToGrid w:val="0"/>
        </w:rPr>
        <w:t xml:space="preserve"> under subsection (1) commits an offence.</w:t>
      </w:r>
    </w:p>
    <w:p>
      <w:pPr>
        <w:pStyle w:val="Footnotesection"/>
      </w:pPr>
      <w:r>
        <w:tab/>
        <w:t>[Section 95 amended: No. 54 of 2003 s. 61 and 140(2); No. 40 of 2020 s. 111(1).]</w:t>
      </w:r>
    </w:p>
    <w:p>
      <w:pPr>
        <w:pStyle w:val="Heading5"/>
        <w:keepLines w:val="0"/>
        <w:rPr>
          <w:snapToGrid w:val="0"/>
        </w:rPr>
      </w:pPr>
      <w:bookmarkStart w:id="250" w:name="_Toc158985525"/>
      <w:r>
        <w:rPr>
          <w:rStyle w:val="CharSectno"/>
        </w:rPr>
        <w:lastRenderedPageBreak/>
        <w:t>96</w:t>
      </w:r>
      <w:r>
        <w:rPr>
          <w:snapToGrid w:val="0"/>
        </w:rPr>
        <w:t>.</w:t>
      </w:r>
      <w:r>
        <w:rPr>
          <w:snapToGrid w:val="0"/>
        </w:rPr>
        <w:tab/>
        <w:t>CEO may require information about vehicles or vessels</w:t>
      </w:r>
      <w:bookmarkEnd w:id="250"/>
    </w:p>
    <w:p>
      <w:pPr>
        <w:pStyle w:val="Subsection"/>
        <w:spacing w:before="18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pPr>
        <w:pStyle w:val="Indenta"/>
        <w:spacing w:before="60"/>
        <w:rPr>
          <w:snapToGrid w:val="0"/>
        </w:rPr>
      </w:pPr>
      <w:r>
        <w:rPr>
          <w:snapToGrid w:val="0"/>
        </w:rPr>
        <w:tab/>
        <w:t>(a)</w:t>
      </w:r>
      <w:r>
        <w:rPr>
          <w:snapToGrid w:val="0"/>
        </w:rPr>
        <w:tab/>
        <w:t>who constructs, manufactures, assembles or sells any new vehicle or vessel; and</w:t>
      </w:r>
    </w:p>
    <w:p>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pPr>
        <w:pStyle w:val="Indenti"/>
        <w:rPr>
          <w:snapToGrid w:val="0"/>
        </w:rPr>
      </w:pPr>
      <w:r>
        <w:rPr>
          <w:snapToGrid w:val="0"/>
        </w:rPr>
        <w:tab/>
        <w:t>(i)</w:t>
      </w:r>
      <w:r>
        <w:rPr>
          <w:snapToGrid w:val="0"/>
        </w:rPr>
        <w:tab/>
        <w:t>relating to any such emission obtained by the use of any equipment; or</w:t>
      </w:r>
    </w:p>
    <w:p>
      <w:pPr>
        <w:pStyle w:val="Indenti"/>
        <w:keepNext/>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keepNext/>
        <w:rPr>
          <w:snapToGrid w:val="0"/>
        </w:rPr>
      </w:pPr>
      <w:r>
        <w:rPr>
          <w:snapToGrid w:val="0"/>
        </w:rPr>
        <w:tab/>
        <w:t>(3)</w:t>
      </w:r>
      <w:r>
        <w:rPr>
          <w:snapToGrid w:val="0"/>
        </w:rPr>
        <w:tab/>
        <w:t xml:space="preserve">A person who does not comply with a requirement made to </w:t>
      </w:r>
      <w:r>
        <w:t>the person</w:t>
      </w:r>
      <w:r>
        <w:rPr>
          <w:snapToGrid w:val="0"/>
        </w:rPr>
        <w:t xml:space="preserve"> under subsection (1) commits an offence.</w:t>
      </w:r>
    </w:p>
    <w:p>
      <w:pPr>
        <w:pStyle w:val="Footnotesection"/>
      </w:pPr>
      <w:r>
        <w:tab/>
        <w:t>[Section 96 amended: No. 57 of 1997 s. 54(4); No. 54 of 2003 s. 62 and 140(2); No. 40 of 2020 s. 111(1).]</w:t>
      </w:r>
    </w:p>
    <w:p>
      <w:pPr>
        <w:pStyle w:val="Heading5"/>
        <w:rPr>
          <w:snapToGrid w:val="0"/>
        </w:rPr>
      </w:pPr>
      <w:bookmarkStart w:id="251" w:name="_Toc158985526"/>
      <w:r>
        <w:rPr>
          <w:rStyle w:val="CharSectno"/>
        </w:rPr>
        <w:lastRenderedPageBreak/>
        <w:t>97</w:t>
      </w:r>
      <w:r>
        <w:rPr>
          <w:snapToGrid w:val="0"/>
        </w:rPr>
        <w:t>.</w:t>
      </w:r>
      <w:r>
        <w:rPr>
          <w:snapToGrid w:val="0"/>
        </w:rPr>
        <w:tab/>
      </w:r>
      <w:r>
        <w:t>CEO</w:t>
      </w:r>
      <w:r>
        <w:rPr>
          <w:snapToGrid w:val="0"/>
        </w:rPr>
        <w:t xml:space="preserve"> may require vehicles, vessels and equipment to be made available for testing</w:t>
      </w:r>
      <w:bookmarkEnd w:id="251"/>
    </w:p>
    <w:p>
      <w:pPr>
        <w:pStyle w:val="Subsection"/>
        <w:keepNext/>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has possession of any equipment to which section 86(2) applies,</w:t>
      </w:r>
    </w:p>
    <w:p>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keepNext/>
        <w:rPr>
          <w:snapToGrid w:val="0"/>
        </w:rPr>
      </w:pPr>
      <w:r>
        <w:rPr>
          <w:snapToGrid w:val="0"/>
        </w:rPr>
        <w:tab/>
        <w:t>(2)</w:t>
      </w:r>
      <w:r>
        <w:rPr>
          <w:snapToGrid w:val="0"/>
        </w:rPr>
        <w:tab/>
        <w:t xml:space="preserve">A person who does not comply with a requirement made to </w:t>
      </w:r>
      <w:r>
        <w:t>the person</w:t>
      </w:r>
      <w:r>
        <w:rPr>
          <w:snapToGrid w:val="0"/>
        </w:rPr>
        <w:t xml:space="preserve"> under subsection (1) commits an offence.</w:t>
      </w:r>
    </w:p>
    <w:p>
      <w:pPr>
        <w:pStyle w:val="Footnotesection"/>
      </w:pPr>
      <w:r>
        <w:tab/>
        <w:t>[Section 97 amended: No. 54 of 2003 s. 140(2); No. 40 of 2020 s. 111(1).]</w:t>
      </w:r>
    </w:p>
    <w:p>
      <w:pPr>
        <w:pStyle w:val="Heading5"/>
        <w:rPr>
          <w:snapToGrid w:val="0"/>
        </w:rPr>
      </w:pPr>
      <w:bookmarkStart w:id="252" w:name="_Toc158985527"/>
      <w:r>
        <w:rPr>
          <w:rStyle w:val="CharSectno"/>
        </w:rPr>
        <w:t>98</w:t>
      </w:r>
      <w:r>
        <w:rPr>
          <w:snapToGrid w:val="0"/>
        </w:rPr>
        <w:t>.</w:t>
      </w:r>
      <w:r>
        <w:rPr>
          <w:snapToGrid w:val="0"/>
        </w:rPr>
        <w:tab/>
        <w:t>Police officers’ powers for inspecting etc. vehicles and vessels</w:t>
      </w:r>
      <w:bookmarkEnd w:id="252"/>
    </w:p>
    <w:p>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253" w:name="_Toc158985528"/>
      <w:r>
        <w:rPr>
          <w:rStyle w:val="CharSectno"/>
        </w:rPr>
        <w:t>99</w:t>
      </w:r>
      <w:r>
        <w:rPr>
          <w:snapToGrid w:val="0"/>
        </w:rPr>
        <w:t>.</w:t>
      </w:r>
      <w:r>
        <w:rPr>
          <w:snapToGrid w:val="0"/>
        </w:rPr>
        <w:tab/>
        <w:t>Police officers may stop audible alarms</w:t>
      </w:r>
      <w:bookmarkEnd w:id="253"/>
    </w:p>
    <w:p>
      <w:pPr>
        <w:pStyle w:val="Subsection"/>
        <w:keepNext/>
        <w:keepLines/>
        <w:rPr>
          <w:snapToGrid w:val="0"/>
        </w:rPr>
      </w:pPr>
      <w:r>
        <w:rPr>
          <w:snapToGrid w:val="0"/>
        </w:rPr>
        <w:tab/>
        <w:t>(1)</w:t>
      </w:r>
      <w:r>
        <w:rPr>
          <w:snapToGrid w:val="0"/>
        </w:rPr>
        <w:tab/>
        <w:t>If a police officer is satisfied that an alarm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keepNext/>
        <w:rPr>
          <w:snapToGrid w:val="0"/>
        </w:rPr>
      </w:pPr>
      <w:r>
        <w:rPr>
          <w:snapToGrid w:val="0"/>
        </w:rPr>
        <w:lastRenderedPageBreak/>
        <w:tab/>
        <w:t>(b)</w:t>
      </w:r>
      <w:r>
        <w:rPr>
          <w:snapToGrid w:val="0"/>
        </w:rPr>
        <w:tab/>
        <w:t>is emitting unreasonable noise,</w:t>
      </w:r>
    </w:p>
    <w:p>
      <w:pPr>
        <w:pStyle w:val="Subsection"/>
        <w:keepNext/>
        <w:rPr>
          <w:snapToGrid w:val="0"/>
        </w:rPr>
      </w:pPr>
      <w:r>
        <w:rPr>
          <w:snapToGrid w:val="0"/>
        </w:rPr>
        <w:tab/>
      </w:r>
      <w:r>
        <w:rPr>
          <w:snapToGrid w:val="0"/>
        </w:rPr>
        <w:tab/>
      </w:r>
      <w:r>
        <w:t>the police officer</w:t>
      </w:r>
      <w:r>
        <w:rPr>
          <w:snapToGrid w:val="0"/>
        </w:rPr>
        <w:t xml:space="preserve"> may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 xml:space="preserve">take all such steps as appear to </w:t>
      </w:r>
      <w:r>
        <w:t>the police officer</w:t>
      </w:r>
      <w:r>
        <w:rPr>
          <w:snapToGrid w:val="0"/>
        </w:rPr>
        <w:t xml:space="preserve"> to be reasonably necessary for or in connection with stopping the alarm from sounding,</w:t>
      </w:r>
    </w:p>
    <w:p>
      <w:pPr>
        <w:pStyle w:val="Subsection"/>
        <w:rPr>
          <w:snapToGrid w:val="0"/>
        </w:rPr>
      </w:pPr>
      <w:r>
        <w:rPr>
          <w:snapToGrid w:val="0"/>
        </w:rPr>
        <w:tab/>
      </w:r>
      <w:r>
        <w:rPr>
          <w:snapToGrid w:val="0"/>
        </w:rPr>
        <w:tab/>
        <w:t xml:space="preserve">with the aid of such assistants as </w:t>
      </w:r>
      <w:r>
        <w:t>the police officer</w:t>
      </w:r>
      <w:r>
        <w:rPr>
          <w:snapToGrid w:val="0"/>
        </w:rPr>
        <w:t xml:space="preserve"> considers necessary and with the use of reasonable force.</w:t>
      </w:r>
    </w:p>
    <w:p>
      <w:pPr>
        <w:pStyle w:val="Subsection"/>
        <w:rPr>
          <w:snapToGrid w:val="0"/>
        </w:rPr>
      </w:pPr>
      <w:r>
        <w:rPr>
          <w:snapToGrid w:val="0"/>
        </w:rPr>
        <w:tab/>
        <w:t>(2)</w:t>
      </w:r>
      <w:r>
        <w:rPr>
          <w:snapToGrid w:val="0"/>
        </w:rPr>
        <w:tab/>
        <w:t xml:space="preserve">A police officer who has exercised the powers conferred by subsection (1) shall cause such persons or public authorities as appear to </w:t>
      </w:r>
      <w:r>
        <w:t>the police officer</w:t>
      </w:r>
      <w:r>
        <w:rPr>
          <w:snapToGrid w:val="0"/>
        </w:rPr>
        <w:t xml:space="preserve"> to be appropriate in the circumstances to be informed promptly of that exercise.</w:t>
      </w:r>
    </w:p>
    <w:p>
      <w:pPr>
        <w:pStyle w:val="Subsection"/>
        <w:keepNext/>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Ednotesubsection"/>
      </w:pPr>
      <w:r>
        <w:tab/>
        <w:t>[(4)</w:t>
      </w:r>
      <w:r>
        <w:tab/>
        <w:t>deleted]</w:t>
      </w:r>
    </w:p>
    <w:p>
      <w:pPr>
        <w:pStyle w:val="Footnotesection"/>
      </w:pPr>
      <w:r>
        <w:tab/>
        <w:t>[Section 99 amended: No. 6 of 1993 s. 11; No. 49 of 1996 s. 64; No. 57 of 1997 s. 54(5) and (6); No. 54 of 2003 s. 128 and 140(2); No. 77 of 2006 s. 4; No. 40 of 2020 s. 76 and 111(1).]</w:t>
      </w:r>
    </w:p>
    <w:p>
      <w:pPr>
        <w:pStyle w:val="Heading2"/>
      </w:pPr>
      <w:bookmarkStart w:id="254" w:name="_Toc158980860"/>
      <w:bookmarkStart w:id="255" w:name="_Toc158981259"/>
      <w:bookmarkStart w:id="256" w:name="_Toc158985529"/>
      <w:r>
        <w:rPr>
          <w:rStyle w:val="CharPartNo"/>
        </w:rPr>
        <w:lastRenderedPageBreak/>
        <w:t>Part VIA</w:t>
      </w:r>
      <w:r>
        <w:t xml:space="preserve"> — </w:t>
      </w:r>
      <w:r>
        <w:rPr>
          <w:rStyle w:val="CharPartText"/>
        </w:rPr>
        <w:t>Legal proceedings and penalties</w:t>
      </w:r>
      <w:bookmarkEnd w:id="254"/>
      <w:bookmarkEnd w:id="255"/>
      <w:bookmarkEnd w:id="256"/>
    </w:p>
    <w:p>
      <w:pPr>
        <w:pStyle w:val="Footnoteheading"/>
        <w:tabs>
          <w:tab w:val="left" w:pos="909"/>
        </w:tabs>
      </w:pPr>
      <w:r>
        <w:tab/>
        <w:t>[Heading inserted: No. 14 of 1998 s. 14.]</w:t>
      </w:r>
    </w:p>
    <w:p>
      <w:pPr>
        <w:pStyle w:val="Heading3"/>
      </w:pPr>
      <w:bookmarkStart w:id="257" w:name="_Toc158980861"/>
      <w:bookmarkStart w:id="258" w:name="_Toc158981260"/>
      <w:bookmarkStart w:id="259" w:name="_Toc158985530"/>
      <w:r>
        <w:rPr>
          <w:rStyle w:val="CharDivNo"/>
        </w:rPr>
        <w:t>Division 1</w:t>
      </w:r>
      <w:r>
        <w:t> — </w:t>
      </w:r>
      <w:r>
        <w:rPr>
          <w:rStyle w:val="CharDivText"/>
        </w:rPr>
        <w:t>Prescribed offences and modified penalties</w:t>
      </w:r>
      <w:bookmarkEnd w:id="257"/>
      <w:bookmarkEnd w:id="258"/>
      <w:bookmarkEnd w:id="259"/>
    </w:p>
    <w:p>
      <w:pPr>
        <w:pStyle w:val="Footnoteheading"/>
        <w:tabs>
          <w:tab w:val="left" w:pos="909"/>
        </w:tabs>
      </w:pPr>
      <w:r>
        <w:tab/>
        <w:t>[Heading inserted: No. 40 of 2020 s. 77.]</w:t>
      </w:r>
    </w:p>
    <w:p>
      <w:pPr>
        <w:pStyle w:val="Heading5"/>
      </w:pPr>
      <w:bookmarkStart w:id="260" w:name="_Toc158985531"/>
      <w:r>
        <w:rPr>
          <w:rStyle w:val="CharSectno"/>
        </w:rPr>
        <w:t>99AA</w:t>
      </w:r>
      <w:r>
        <w:t>.</w:t>
      </w:r>
      <w:r>
        <w:tab/>
        <w:t>Term used: prescribed offence</w:t>
      </w:r>
      <w:bookmarkEnd w:id="260"/>
    </w:p>
    <w:p>
      <w:pPr>
        <w:pStyle w:val="Subsection"/>
      </w:pPr>
      <w:r>
        <w:tab/>
      </w:r>
      <w:r>
        <w:tab/>
        <w:t xml:space="preserve">In this Division — </w:t>
      </w:r>
    </w:p>
    <w:p>
      <w:pPr>
        <w:pStyle w:val="Defstart"/>
      </w:pPr>
      <w:r>
        <w:tab/>
      </w:r>
      <w:r>
        <w:rPr>
          <w:rStyle w:val="CharDefText"/>
        </w:rPr>
        <w:t>prescribed offence</w:t>
      </w:r>
      <w:r>
        <w:t xml:space="preserve"> means — </w:t>
      </w:r>
    </w:p>
    <w:p>
      <w:pPr>
        <w:pStyle w:val="Defpara"/>
      </w:pPr>
      <w:r>
        <w:tab/>
        <w:t>(a)</w:t>
      </w:r>
      <w:r>
        <w:tab/>
        <w:t>a Tier 1 offence under a section listed in the Table; or</w:t>
      </w:r>
    </w:p>
    <w:p>
      <w:pPr>
        <w:pStyle w:val="Defpara"/>
      </w:pPr>
      <w:r>
        <w:tab/>
        <w:t>(b)</w:t>
      </w:r>
      <w:r>
        <w:tab/>
        <w:t>a Tier 2 offence.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6(7)</w:t>
            </w:r>
          </w:p>
        </w:tc>
        <w:tc>
          <w:tcPr>
            <w:tcW w:w="3034" w:type="dxa"/>
          </w:tcPr>
          <w:p>
            <w:pPr>
              <w:pStyle w:val="TableNAm"/>
            </w:pPr>
            <w:r>
              <w:t>s. 47(1)</w:t>
            </w:r>
          </w:p>
        </w:tc>
      </w:tr>
      <w:tr>
        <w:tc>
          <w:tcPr>
            <w:tcW w:w="3033" w:type="dxa"/>
          </w:tcPr>
          <w:p>
            <w:pPr>
              <w:pStyle w:val="TableNAm"/>
            </w:pPr>
            <w:r>
              <w:t>s. 47(4)</w:t>
            </w:r>
          </w:p>
        </w:tc>
        <w:tc>
          <w:tcPr>
            <w:tcW w:w="3034" w:type="dxa"/>
          </w:tcPr>
          <w:p>
            <w:pPr>
              <w:pStyle w:val="TableNAm"/>
            </w:pPr>
            <w:r>
              <w:t>s. 48(9)</w:t>
            </w:r>
          </w:p>
        </w:tc>
      </w:tr>
      <w:tr>
        <w:tc>
          <w:tcPr>
            <w:tcW w:w="3033" w:type="dxa"/>
          </w:tcPr>
          <w:p>
            <w:pPr>
              <w:pStyle w:val="TableNAm"/>
            </w:pPr>
            <w:r>
              <w:t>s. 49(3)</w:t>
            </w:r>
          </w:p>
        </w:tc>
        <w:tc>
          <w:tcPr>
            <w:tcW w:w="3034" w:type="dxa"/>
          </w:tcPr>
          <w:p>
            <w:pPr>
              <w:pStyle w:val="TableNAm"/>
            </w:pPr>
            <w:r>
              <w:t>s. 50(2)</w:t>
            </w:r>
          </w:p>
        </w:tc>
      </w:tr>
      <w:tr>
        <w:tc>
          <w:tcPr>
            <w:tcW w:w="3033" w:type="dxa"/>
          </w:tcPr>
          <w:p>
            <w:pPr>
              <w:pStyle w:val="TableNAm"/>
            </w:pPr>
            <w:r>
              <w:t>s. 50A(2)</w:t>
            </w:r>
          </w:p>
        </w:tc>
        <w:tc>
          <w:tcPr>
            <w:tcW w:w="3034" w:type="dxa"/>
          </w:tcPr>
          <w:p>
            <w:pPr>
              <w:pStyle w:val="TableNAm"/>
            </w:pPr>
            <w:r>
              <w:t>s. 51C</w:t>
            </w:r>
          </w:p>
        </w:tc>
      </w:tr>
      <w:tr>
        <w:tc>
          <w:tcPr>
            <w:tcW w:w="3033" w:type="dxa"/>
          </w:tcPr>
          <w:p>
            <w:pPr>
              <w:pStyle w:val="TableNAm"/>
            </w:pPr>
            <w:r>
              <w:t>s. 69(5)</w:t>
            </w:r>
          </w:p>
        </w:tc>
        <w:tc>
          <w:tcPr>
            <w:tcW w:w="3034" w:type="dxa"/>
          </w:tcPr>
          <w:p>
            <w:pPr>
              <w:pStyle w:val="TableNAm"/>
            </w:pPr>
            <w:r>
              <w:t>s. 71(5)</w:t>
            </w:r>
          </w:p>
        </w:tc>
      </w:tr>
    </w:tbl>
    <w:p>
      <w:pPr>
        <w:pStyle w:val="Footnotesection"/>
      </w:pPr>
      <w:r>
        <w:tab/>
        <w:t>[Section 99AA inserted: No. 40 of 2020 s. 78.]</w:t>
      </w:r>
    </w:p>
    <w:p>
      <w:pPr>
        <w:pStyle w:val="Heading5"/>
      </w:pPr>
      <w:bookmarkStart w:id="261" w:name="_Toc158985532"/>
      <w:r>
        <w:rPr>
          <w:rStyle w:val="CharSectno"/>
        </w:rPr>
        <w:t>99A</w:t>
      </w:r>
      <w:r>
        <w:t>.</w:t>
      </w:r>
      <w:r>
        <w:tab/>
        <w:t>Modified penalty notice, issue of</w:t>
      </w:r>
      <w:bookmarkEnd w:id="261"/>
    </w:p>
    <w:p>
      <w:pPr>
        <w:pStyle w:val="Subsection"/>
      </w:pPr>
      <w:r>
        <w:tab/>
        <w:t>(1)</w:t>
      </w:r>
      <w:r>
        <w:tab/>
        <w:t xml:space="preserve">This section applies to a person if the CEO is of the opinion that — </w:t>
      </w:r>
    </w:p>
    <w:p>
      <w:pPr>
        <w:pStyle w:val="Indenta"/>
      </w:pPr>
      <w:r>
        <w:tab/>
        <w:t>(a)</w:t>
      </w:r>
      <w:r>
        <w:tab/>
        <w:t>the person has committed a prescribed offence; and</w:t>
      </w:r>
    </w:p>
    <w:p>
      <w:pPr>
        <w:pStyle w:val="Indenta"/>
      </w:pPr>
      <w:r>
        <w:tab/>
        <w:t>(b)</w:t>
      </w:r>
      <w:r>
        <w:tab/>
        <w:t>there is sufficient evidence to support the allegation of the offence; and</w:t>
      </w:r>
    </w:p>
    <w:p>
      <w:pPr>
        <w:pStyle w:val="Indenta"/>
      </w:pPr>
      <w:r>
        <w:tab/>
        <w:t>(c)</w:t>
      </w:r>
      <w:r>
        <w:tab/>
        <w:t xml:space="preserve">having regard to the nature and particulars of the alleged offence and to the particulars of the circumstances </w:t>
      </w:r>
      <w:r>
        <w:lastRenderedPageBreak/>
        <w:t>relating to the alleged offence, the alleged offence can adequately be dealt with under this Division.</w:t>
      </w:r>
    </w:p>
    <w:p>
      <w:pPr>
        <w:pStyle w:val="Subsection"/>
      </w:pPr>
      <w:r>
        <w:tab/>
        <w:t>(1A)</w:t>
      </w:r>
      <w:r>
        <w:tab/>
        <w:t xml:space="preserve">For the purposes of subsection (1)(c), the CEO must have regard to — </w:t>
      </w:r>
    </w:p>
    <w:p>
      <w:pPr>
        <w:pStyle w:val="Indenta"/>
      </w:pPr>
      <w:r>
        <w:tab/>
        <w:t>(a)</w:t>
      </w:r>
      <w:r>
        <w:tab/>
        <w:t>the potential or actual effect on the environment of any occurrence giving rise to the allegation of the offence; and</w:t>
      </w:r>
    </w:p>
    <w:p>
      <w:pPr>
        <w:pStyle w:val="Indenta"/>
      </w:pPr>
      <w:r>
        <w:tab/>
        <w:t>(b)</w:t>
      </w:r>
      <w:r>
        <w:tab/>
        <w:t>in the case of a prescribed offence other than an offence under section 49A(2) or (3), whether, as soon as was reasonably practicable after the occurrence giving rise to the allegation of the offence, the alleged offender notified particulars of the occurrence in writing to the CEO; and</w:t>
      </w:r>
    </w:p>
    <w:p>
      <w:pPr>
        <w:pStyle w:val="Indenta"/>
      </w:pPr>
      <w:r>
        <w:tab/>
        <w:t>(c)</w:t>
      </w:r>
      <w:r>
        <w:tab/>
        <w:t>in the case of a prescribed offence other than an offence under section 49A(2) or (3), whether, after the occurrence giving rise to the allegation of the offence, the alleged offender took all reasonable and practicable steps to minimise and remedy any adverse environmental effects of that occurrence; and</w:t>
      </w:r>
    </w:p>
    <w:p>
      <w:pPr>
        <w:pStyle w:val="Indenta"/>
      </w:pPr>
      <w:r>
        <w:tab/>
        <w:t>(d)</w:t>
      </w:r>
      <w:r>
        <w:tab/>
        <w:t>whether the alleged offender cooperated with officers and employees of the Department and provided information and assistance when so requested; and</w:t>
      </w:r>
    </w:p>
    <w:p>
      <w:pPr>
        <w:pStyle w:val="Indenta"/>
      </w:pPr>
      <w:r>
        <w:tab/>
        <w:t>(e)</w:t>
      </w:r>
      <w:r>
        <w:tab/>
        <w:t>whether the alleged offender has taken reasonable steps to ensure that the circumstances giving rise to the allegation of the offence do not reoccur.</w:t>
      </w:r>
    </w:p>
    <w:p>
      <w:pPr>
        <w:pStyle w:val="Subsection"/>
      </w:pPr>
      <w:r>
        <w:tab/>
        <w:t>(2)</w:t>
      </w:r>
      <w:r>
        <w:tab/>
        <w:t>If the CEO makes a determination that a person alleged to have committed a prescribed offence is a person to whom this section applies, the CEO is to —</w:t>
      </w:r>
    </w:p>
    <w:p>
      <w:pPr>
        <w:pStyle w:val="Indenta"/>
      </w:pPr>
      <w:r>
        <w:tab/>
        <w:t>(a)</w:t>
      </w:r>
      <w:r>
        <w:tab/>
        <w:t>issue a certificate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lastRenderedPageBreak/>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No. 14 of 1998 s. 14; amended: No. 54 of 2003 s. 129 and 140(2); No. 48 of 2010 s. 9; No. 40 of 2020 s. 79.]</w:t>
      </w:r>
    </w:p>
    <w:p>
      <w:pPr>
        <w:pStyle w:val="Heading5"/>
      </w:pPr>
      <w:bookmarkStart w:id="262" w:name="_Toc158985533"/>
      <w:r>
        <w:rPr>
          <w:rStyle w:val="CharSectno"/>
        </w:rPr>
        <w:t>99B</w:t>
      </w:r>
      <w:r>
        <w:t>.</w:t>
      </w:r>
      <w:r>
        <w:tab/>
        <w:t>Content of modified penalty notice</w:t>
      </w:r>
      <w:bookmarkEnd w:id="262"/>
    </w:p>
    <w:p>
      <w:pPr>
        <w:pStyle w:val="Subsection"/>
      </w:pPr>
      <w:r>
        <w:tab/>
        <w:t>(1)</w:t>
      </w:r>
      <w:r>
        <w:tab/>
        <w:t>A modified penalty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keepNext/>
      </w:pPr>
      <w:r>
        <w:tab/>
        <w:t>(2)</w:t>
      </w:r>
      <w:r>
        <w:tab/>
        <w:t>In a modified penalty notice the amount specified as the modified penalty for the alleged offence referred to in the notice is to be the amount that was —</w:t>
      </w:r>
    </w:p>
    <w:p>
      <w:pPr>
        <w:pStyle w:val="Indenta"/>
        <w:keepNext/>
      </w:pPr>
      <w:r>
        <w:tab/>
        <w:t>(a)</w:t>
      </w:r>
      <w:r>
        <w:tab/>
        <w:t xml:space="preserve">if the alleged offender has not previously been convicted of an offence of that kind and has not previously paid a modified penalty under this Division in respect of an </w:t>
      </w:r>
      <w:r>
        <w:lastRenderedPageBreak/>
        <w:t>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pPr>
      <w:r>
        <w:tab/>
      </w:r>
      <w:r>
        <w:tab/>
        <w:t>at the time the alleged offence is believed to have been committed.</w:t>
      </w:r>
    </w:p>
    <w:p>
      <w:pPr>
        <w:pStyle w:val="Subsection"/>
      </w:pPr>
      <w:r>
        <w:tab/>
        <w:t>(3)</w:t>
      </w:r>
      <w:r>
        <w:tab/>
        <w:t>The CEO may, in writing, appoint persons or classes of persons to be designated persons for the purposes of this section.</w:t>
      </w:r>
    </w:p>
    <w:p>
      <w:pPr>
        <w:pStyle w:val="Footnotesection"/>
      </w:pPr>
      <w:r>
        <w:tab/>
        <w:t>[Section 99B inserted: No. 14 of 1998 s. 14; amended: No. 54 of 2003 s. 140(2); No. 84 of 2004 s. 80.]</w:t>
      </w:r>
    </w:p>
    <w:p>
      <w:pPr>
        <w:pStyle w:val="Heading5"/>
      </w:pPr>
      <w:bookmarkStart w:id="263" w:name="_Toc158985534"/>
      <w:r>
        <w:rPr>
          <w:rStyle w:val="CharSectno"/>
        </w:rPr>
        <w:t>99C</w:t>
      </w:r>
      <w:r>
        <w:t>.</w:t>
      </w:r>
      <w:r>
        <w:tab/>
        <w:t>Extending time to pay modified penalty</w:t>
      </w:r>
      <w:bookmarkEnd w:id="263"/>
    </w:p>
    <w:p>
      <w:pPr>
        <w:pStyle w:val="Subsection"/>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No. 14 of 1998 s. 14; amended: No. 54 of 2003 s. 140(2).]</w:t>
      </w:r>
    </w:p>
    <w:p>
      <w:pPr>
        <w:pStyle w:val="Heading5"/>
      </w:pPr>
      <w:bookmarkStart w:id="264" w:name="_Toc158985535"/>
      <w:r>
        <w:rPr>
          <w:rStyle w:val="CharSectno"/>
        </w:rPr>
        <w:t>99D</w:t>
      </w:r>
      <w:r>
        <w:t>.</w:t>
      </w:r>
      <w:r>
        <w:tab/>
        <w:t>Withdrawing modified penalty notice</w:t>
      </w:r>
      <w:bookmarkEnd w:id="264"/>
    </w:p>
    <w:p>
      <w:pPr>
        <w:pStyle w:val="Subsection"/>
        <w:keepNext/>
      </w:pPr>
      <w:r>
        <w:tab/>
        <w:t>(1)</w:t>
      </w:r>
      <w:r>
        <w:tab/>
        <w:t>Within one year after a modified penalty notice was given to an alleged offender in respect of an offence the CEO may, if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lastRenderedPageBreak/>
        <w:tab/>
        <w:t>(2)</w:t>
      </w:r>
      <w:r>
        <w:tab/>
        <w:t>A notice under this section may be served personally or by registered post.</w:t>
      </w:r>
    </w:p>
    <w:p>
      <w:pPr>
        <w:pStyle w:val="Footnotesection"/>
      </w:pPr>
      <w:r>
        <w:tab/>
        <w:t>[Section 99D inserted: No. 14 of 1998 s. 14; amended: No. 54 of 2003 s. 140(2).]</w:t>
      </w:r>
    </w:p>
    <w:p>
      <w:pPr>
        <w:pStyle w:val="Heading5"/>
      </w:pPr>
      <w:bookmarkStart w:id="265" w:name="_Toc158985536"/>
      <w:r>
        <w:rPr>
          <w:rStyle w:val="CharSectno"/>
        </w:rPr>
        <w:t>99E</w:t>
      </w:r>
      <w:r>
        <w:t>.</w:t>
      </w:r>
      <w:r>
        <w:tab/>
        <w:t>Consequence of paying modified penalty</w:t>
      </w:r>
      <w:bookmarkEnd w:id="265"/>
    </w:p>
    <w:p>
      <w:pPr>
        <w:pStyle w:val="Subsection"/>
      </w:pPr>
      <w:r>
        <w:tab/>
        <w:t>(1)</w:t>
      </w:r>
      <w:r>
        <w:tab/>
      </w:r>
      <w:r>
        <w:rPr>
          <w:snapToGrid w:val="0"/>
        </w:rPr>
        <w:t>Subsections (</w:t>
      </w:r>
      <w:r>
        <w:t>2) and</w:t>
      </w:r>
      <w:r>
        <w:rPr>
          <w:b/>
        </w:rPr>
        <w:t xml:space="preserve"> </w:t>
      </w:r>
      <w:r>
        <w:t>(3) apply if the modified penalty specified in a modified penalty notice has been paid within 28 days or such further time as is allowed.</w:t>
      </w:r>
    </w:p>
    <w:p>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 xml:space="preserve">If this subsection applies, the CEO must publish — </w:t>
      </w:r>
    </w:p>
    <w:p>
      <w:pPr>
        <w:pStyle w:val="Indenta"/>
      </w:pPr>
      <w:r>
        <w:tab/>
        <w:t>(a)</w:t>
      </w:r>
      <w:r>
        <w:tab/>
        <w:t>a notice of payment of the modified penalty; and</w:t>
      </w:r>
    </w:p>
    <w:p>
      <w:pPr>
        <w:pStyle w:val="Indenta"/>
      </w:pPr>
      <w:r>
        <w:tab/>
        <w:t>(b)</w:t>
      </w:r>
      <w:r>
        <w:tab/>
        <w:t>such particulars as are prescribed.</w:t>
      </w:r>
    </w:p>
    <w:p>
      <w:pPr>
        <w:pStyle w:val="Subsection"/>
      </w:pPr>
      <w:r>
        <w:tab/>
        <w:t>(4)</w:t>
      </w:r>
      <w:r>
        <w:tab/>
        <w:t>Payment of a modified penalty is not to be regarded as an admission for the purposes of any proceedings, whether civil or criminal.</w:t>
      </w:r>
    </w:p>
    <w:p>
      <w:pPr>
        <w:pStyle w:val="Footnotesection"/>
        <w:ind w:left="890" w:hanging="890"/>
      </w:pPr>
      <w:r>
        <w:tab/>
        <w:t>[Section 99E inserted: No. 14 of 1998 s. 14; amended: No. 54 of 2003 s. 140(2); No. 77 of 2006 Sch. 1 cl. 59(1); No. 40 of 2020 s. 80.]</w:t>
      </w:r>
    </w:p>
    <w:p>
      <w:pPr>
        <w:pStyle w:val="Heading5"/>
      </w:pPr>
      <w:bookmarkStart w:id="266" w:name="_Toc158985537"/>
      <w:r>
        <w:rPr>
          <w:rStyle w:val="CharSectno"/>
        </w:rPr>
        <w:t>99F</w:t>
      </w:r>
      <w:r>
        <w:t>.</w:t>
      </w:r>
      <w:r>
        <w:tab/>
        <w:t>Register of modified penalty notices etc.</w:t>
      </w:r>
      <w:bookmarkEnd w:id="266"/>
    </w:p>
    <w:p>
      <w:pPr>
        <w:pStyle w:val="Subsection"/>
        <w:keepNext/>
        <w:keepLines/>
      </w:pPr>
      <w:r>
        <w:tab/>
        <w:t>(1)</w:t>
      </w:r>
      <w:r>
        <w:tab/>
        <w:t>The CEO is to maintain a register of —</w:t>
      </w:r>
    </w:p>
    <w:p>
      <w:pPr>
        <w:pStyle w:val="Indenta"/>
      </w:pPr>
      <w:r>
        <w:tab/>
        <w:t>(a)</w:t>
      </w:r>
      <w:r>
        <w:tab/>
        <w:t>certificates and modified penalty notices issued under section 99A(2); and</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lastRenderedPageBreak/>
        <w:tab/>
        <w:t>(2)</w:t>
      </w:r>
      <w:r>
        <w:tab/>
        <w:t>The register is to be available for public inspection under such conditions and at such places and times as are prescribed.</w:t>
      </w:r>
    </w:p>
    <w:p>
      <w:pPr>
        <w:pStyle w:val="Footnotesection"/>
      </w:pPr>
      <w:r>
        <w:tab/>
        <w:t>[Section 99F inserted: No. 14 of 1998 s. 14; amended: No. 54 of 2003 s. 140(2).]</w:t>
      </w:r>
    </w:p>
    <w:p>
      <w:pPr>
        <w:pStyle w:val="Heading5"/>
      </w:pPr>
      <w:bookmarkStart w:id="267" w:name="_Toc158985538"/>
      <w:r>
        <w:rPr>
          <w:rStyle w:val="CharSectno"/>
        </w:rPr>
        <w:t>99G</w:t>
      </w:r>
      <w:r>
        <w:t>.</w:t>
      </w:r>
      <w:r>
        <w:tab/>
        <w:t>Application of penalties collected</w:t>
      </w:r>
      <w:bookmarkEnd w:id="267"/>
    </w:p>
    <w:p>
      <w:pPr>
        <w:pStyle w:val="Subsection"/>
      </w:pPr>
      <w:r>
        <w:tab/>
      </w:r>
      <w:r>
        <w:tab/>
        <w:t>An amount paid as a modified penalty is to be dealt with as if it were a fine imposed by a court as a penalty for an offence.</w:t>
      </w:r>
    </w:p>
    <w:p>
      <w:pPr>
        <w:pStyle w:val="Footnotesection"/>
        <w:ind w:left="890" w:hanging="890"/>
      </w:pPr>
      <w:r>
        <w:tab/>
        <w:t>[Section 99G inserted: No. 14 of 1998 s. 14.]</w:t>
      </w:r>
    </w:p>
    <w:p>
      <w:pPr>
        <w:pStyle w:val="Heading3"/>
      </w:pPr>
      <w:bookmarkStart w:id="268" w:name="_Toc158980870"/>
      <w:bookmarkStart w:id="269" w:name="_Toc158981269"/>
      <w:bookmarkStart w:id="270" w:name="_Toc158985539"/>
      <w:r>
        <w:rPr>
          <w:rStyle w:val="CharDivNo"/>
        </w:rPr>
        <w:t>Division 2</w:t>
      </w:r>
      <w:r>
        <w:t xml:space="preserve"> — </w:t>
      </w:r>
      <w:r>
        <w:rPr>
          <w:rStyle w:val="CharDivText"/>
        </w:rPr>
        <w:t>Infringement notice offences</w:t>
      </w:r>
      <w:bookmarkEnd w:id="268"/>
      <w:bookmarkEnd w:id="269"/>
      <w:bookmarkEnd w:id="270"/>
    </w:p>
    <w:p>
      <w:pPr>
        <w:pStyle w:val="Footnoteheading"/>
        <w:tabs>
          <w:tab w:val="left" w:pos="909"/>
        </w:tabs>
      </w:pPr>
      <w:r>
        <w:tab/>
        <w:t>[Heading inserted: No. 14 of 1998 s. 14.]</w:t>
      </w:r>
    </w:p>
    <w:p>
      <w:pPr>
        <w:pStyle w:val="Heading5"/>
      </w:pPr>
      <w:bookmarkStart w:id="271" w:name="_Toc158985540"/>
      <w:r>
        <w:rPr>
          <w:rStyle w:val="CharSectno"/>
        </w:rPr>
        <w:t>99H</w:t>
      </w:r>
      <w:r>
        <w:t>.</w:t>
      </w:r>
      <w:r>
        <w:tab/>
        <w:t>Terms used</w:t>
      </w:r>
      <w:bookmarkEnd w:id="271"/>
    </w:p>
    <w:p>
      <w:pPr>
        <w:pStyle w:val="Subsection"/>
      </w:pPr>
      <w:r>
        <w:tab/>
      </w:r>
      <w:r>
        <w:tab/>
        <w:t>In this Division —</w:t>
      </w:r>
    </w:p>
    <w:p>
      <w:pPr>
        <w:pStyle w:val="Defstart"/>
      </w:pPr>
      <w:r>
        <w:tab/>
      </w:r>
      <w:r>
        <w:rPr>
          <w:rStyle w:val="CharDefText"/>
        </w:rPr>
        <w:t>designated person</w:t>
      </w:r>
      <w:r>
        <w:t>, in section 99K, 99M or 99N, means a person appointed under section 99I to be a designated person for the purposes of the section in which the term is used;</w:t>
      </w:r>
    </w:p>
    <w:p>
      <w:pPr>
        <w:pStyle w:val="Defstart"/>
        <w:keepNext/>
      </w:pPr>
      <w:r>
        <w:tab/>
      </w:r>
      <w:r>
        <w:rPr>
          <w:rStyle w:val="CharDefText"/>
        </w:rPr>
        <w:t>infringement notice offence</w:t>
      </w:r>
      <w:r>
        <w:t xml:space="preserve"> means a Tier 3 offence, or an offence against the regulations, that is prescribed by the regulations for the purposes of this Division.</w:t>
      </w:r>
    </w:p>
    <w:p>
      <w:pPr>
        <w:pStyle w:val="Footnotesection"/>
      </w:pPr>
      <w:r>
        <w:tab/>
        <w:t>[Section 99H inserted: No. 14 of 1998 s. 14.]</w:t>
      </w:r>
    </w:p>
    <w:p>
      <w:pPr>
        <w:pStyle w:val="Heading5"/>
      </w:pPr>
      <w:bookmarkStart w:id="272" w:name="_Toc158985541"/>
      <w:r>
        <w:rPr>
          <w:rStyle w:val="CharSectno"/>
        </w:rPr>
        <w:t>99I</w:t>
      </w:r>
      <w:r>
        <w:t>.</w:t>
      </w:r>
      <w:r>
        <w:tab/>
        <w:t>Designated persons for s. 99K, 99M or 99N, appointment of</w:t>
      </w:r>
      <w:bookmarkEnd w:id="272"/>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pPr>
      <w:r>
        <w:tab/>
        <w:t>(2)</w:t>
      </w:r>
      <w:r>
        <w:tab/>
        <w:t>A person who is authorised to give infringement notices under section 99J is not eligible to be a designated person for the purposes of section 99K, 99M or 99N.</w:t>
      </w:r>
    </w:p>
    <w:p>
      <w:pPr>
        <w:pStyle w:val="Footnotesection"/>
      </w:pPr>
      <w:r>
        <w:tab/>
        <w:t>[Section 99I inserted: No. 14 of 1998 s. 14; amended: No. 54 of 2003 s. 140(2).]</w:t>
      </w:r>
    </w:p>
    <w:p>
      <w:pPr>
        <w:pStyle w:val="Heading5"/>
      </w:pPr>
      <w:bookmarkStart w:id="273" w:name="_Toc158985542"/>
      <w:r>
        <w:rPr>
          <w:rStyle w:val="CharSectno"/>
        </w:rPr>
        <w:lastRenderedPageBreak/>
        <w:t>99J</w:t>
      </w:r>
      <w:r>
        <w:t>.</w:t>
      </w:r>
      <w:r>
        <w:tab/>
        <w:t>Infringement notice, issue of</w:t>
      </w:r>
      <w:bookmarkEnd w:id="273"/>
    </w:p>
    <w:p>
      <w:pPr>
        <w:pStyle w:val="Subsection"/>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give an infringement notice to the alleged offender.</w:t>
      </w:r>
    </w:p>
    <w:p>
      <w:pPr>
        <w:pStyle w:val="Subsection"/>
      </w:pPr>
      <w:r>
        <w:tab/>
        <w:t>(2)</w:t>
      </w:r>
      <w:r>
        <w:tab/>
        <w:t>An infringement notice may be served personally or by registered post.</w:t>
      </w:r>
    </w:p>
    <w:p>
      <w:pPr>
        <w:pStyle w:val="Subsection"/>
        <w:keepNext/>
      </w:pPr>
      <w:r>
        <w:tab/>
        <w:t>(3)</w:t>
      </w:r>
      <w:r>
        <w:tab/>
      </w:r>
      <w:r>
        <w:rPr>
          <w:snapToGrid w:val="0"/>
        </w:rPr>
        <w:t>The infringement notice must be served within 12 months after the day on which the alleged infringement notice offence is believed to have been committed.</w:t>
      </w:r>
    </w:p>
    <w:p>
      <w:pPr>
        <w:pStyle w:val="Footnotesection"/>
      </w:pPr>
      <w:r>
        <w:tab/>
        <w:t>[Section 99J inserted: No. 14 of 1998 s. 14; amended: No. 54 of 2003 s. 130; No. 40 of 2020 s. 81.]</w:t>
      </w:r>
    </w:p>
    <w:p>
      <w:pPr>
        <w:pStyle w:val="Heading5"/>
        <w:spacing w:before="260"/>
      </w:pPr>
      <w:bookmarkStart w:id="274" w:name="_Toc158985543"/>
      <w:r>
        <w:rPr>
          <w:rStyle w:val="CharSectno"/>
        </w:rPr>
        <w:t>99K</w:t>
      </w:r>
      <w:r>
        <w:t>.</w:t>
      </w:r>
      <w:r>
        <w:tab/>
        <w:t>Content of infringement notice</w:t>
      </w:r>
      <w:bookmarkEnd w:id="274"/>
    </w:p>
    <w:p>
      <w:pPr>
        <w:pStyle w:val="Subsection"/>
        <w:keepNext/>
      </w:pPr>
      <w:r>
        <w:tab/>
        <w:t>(1)</w:t>
      </w:r>
      <w:r>
        <w:tab/>
        <w:t>An infringement notice is to be in the prescribed form and is to —</w:t>
      </w:r>
    </w:p>
    <w:p>
      <w:pPr>
        <w:pStyle w:val="Indenta"/>
      </w:pPr>
      <w:r>
        <w:tab/>
        <w:t>(a)</w:t>
      </w:r>
      <w:r>
        <w:tab/>
        <w:t>contain a description of the alleged offence; and</w:t>
      </w:r>
    </w:p>
    <w:p>
      <w:pPr>
        <w:pStyle w:val="Indenta"/>
        <w:spacing w:before="100"/>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spacing w:before="100"/>
      </w:pPr>
      <w:r>
        <w:tab/>
        <w:t>(c)</w:t>
      </w:r>
      <w:r>
        <w:tab/>
        <w:t>inform the alleged offender as to who are designated persons for the purposes of receiving payment of modified penalties.</w:t>
      </w:r>
    </w:p>
    <w:p>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spacing w:before="200"/>
      </w:pPr>
      <w:r>
        <w:lastRenderedPageBreak/>
        <w:tab/>
        <w:t>(3)</w:t>
      </w:r>
      <w:r>
        <w:tab/>
        <w:t>The modified penalty that may be prescribed for an infringement notice offence is not to exceed —</w:t>
      </w:r>
    </w:p>
    <w:p>
      <w:pPr>
        <w:pStyle w:val="Indenta"/>
        <w:spacing w:before="100"/>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spacing w:before="100"/>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No. 14 of 1998 s. 14; amended: No. 54 of 2003 s. 131; No. 84 of 2004 s. 80.]</w:t>
      </w:r>
    </w:p>
    <w:p>
      <w:pPr>
        <w:pStyle w:val="Heading5"/>
        <w:spacing w:before="280"/>
      </w:pPr>
      <w:bookmarkStart w:id="275" w:name="_Toc158985544"/>
      <w:r>
        <w:rPr>
          <w:rStyle w:val="CharSectno"/>
        </w:rPr>
        <w:t>99L</w:t>
      </w:r>
      <w:r>
        <w:t>.</w:t>
      </w:r>
      <w:r>
        <w:tab/>
        <w:t>Some prior convictions and payments of modified penalties to be disregarded for s. 99K(3)</w:t>
      </w:r>
      <w:bookmarkEnd w:id="275"/>
    </w:p>
    <w:p>
      <w:pPr>
        <w:pStyle w:val="Subsection"/>
        <w:spacing w:before="200"/>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No. 14 of 1998 s. 14.]</w:t>
      </w:r>
    </w:p>
    <w:p>
      <w:pPr>
        <w:pStyle w:val="Heading5"/>
      </w:pPr>
      <w:bookmarkStart w:id="276" w:name="_Toc158985545"/>
      <w:r>
        <w:rPr>
          <w:rStyle w:val="CharSectno"/>
        </w:rPr>
        <w:lastRenderedPageBreak/>
        <w:t>99M</w:t>
      </w:r>
      <w:r>
        <w:t>.</w:t>
      </w:r>
      <w:r>
        <w:tab/>
        <w:t>Extending time to pay modified penalty</w:t>
      </w:r>
      <w:bookmarkEnd w:id="276"/>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No. 14 of 1998 s. 14.]</w:t>
      </w:r>
    </w:p>
    <w:p>
      <w:pPr>
        <w:pStyle w:val="Heading5"/>
      </w:pPr>
      <w:bookmarkStart w:id="277" w:name="_Toc158985546"/>
      <w:r>
        <w:rPr>
          <w:rStyle w:val="CharSectno"/>
        </w:rPr>
        <w:t>99N</w:t>
      </w:r>
      <w:r>
        <w:t>.</w:t>
      </w:r>
      <w:r>
        <w:tab/>
        <w:t>Withdrawing infringement notice</w:t>
      </w:r>
      <w:bookmarkEnd w:id="277"/>
    </w:p>
    <w:p>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Subsection"/>
      </w:pPr>
      <w:r>
        <w:tab/>
        <w:t>(3)</w:t>
      </w:r>
      <w:r>
        <w:tab/>
        <w:t>A notice under this section may be served personally or by registered post.</w:t>
      </w:r>
    </w:p>
    <w:p>
      <w:pPr>
        <w:pStyle w:val="Footnotesection"/>
        <w:ind w:left="890" w:hanging="890"/>
      </w:pPr>
      <w:r>
        <w:tab/>
        <w:t>[Section 99N inserted: No. 14 of 1998 s. 14.]</w:t>
      </w:r>
    </w:p>
    <w:p>
      <w:pPr>
        <w:pStyle w:val="Heading5"/>
      </w:pPr>
      <w:bookmarkStart w:id="278" w:name="_Toc158985547"/>
      <w:r>
        <w:rPr>
          <w:rStyle w:val="CharSectno"/>
        </w:rPr>
        <w:t>99O</w:t>
      </w:r>
      <w:r>
        <w:t>.</w:t>
      </w:r>
      <w:r>
        <w:tab/>
        <w:t>Consequence of paying modified penalty</w:t>
      </w:r>
      <w:bookmarkEnd w:id="278"/>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No. 14 of 1998 s. 14.]</w:t>
      </w:r>
    </w:p>
    <w:p>
      <w:pPr>
        <w:pStyle w:val="Heading5"/>
      </w:pPr>
      <w:bookmarkStart w:id="279" w:name="_Toc158985548"/>
      <w:r>
        <w:rPr>
          <w:rStyle w:val="CharSectno"/>
        </w:rPr>
        <w:lastRenderedPageBreak/>
        <w:t>99P</w:t>
      </w:r>
      <w:r>
        <w:t>.</w:t>
      </w:r>
      <w:r>
        <w:tab/>
        <w:t>Application of penalties collected</w:t>
      </w:r>
      <w:bookmarkEnd w:id="279"/>
    </w:p>
    <w:p>
      <w:pPr>
        <w:pStyle w:val="Subsection"/>
      </w:pPr>
      <w:r>
        <w:tab/>
      </w:r>
      <w:r>
        <w:tab/>
        <w:t>An amount paid as a modified penalty is, subject to section 99N(2)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No. 14 of 1998 s. 14.]</w:t>
      </w:r>
    </w:p>
    <w:p>
      <w:pPr>
        <w:pStyle w:val="Heading3"/>
      </w:pPr>
      <w:bookmarkStart w:id="280" w:name="_Toc158980880"/>
      <w:bookmarkStart w:id="281" w:name="_Toc158981279"/>
      <w:bookmarkStart w:id="282" w:name="_Toc158985549"/>
      <w:r>
        <w:rPr>
          <w:rStyle w:val="CharDivNo"/>
        </w:rPr>
        <w:t>Division 3</w:t>
      </w:r>
      <w:r>
        <w:t xml:space="preserve"> — </w:t>
      </w:r>
      <w:r>
        <w:rPr>
          <w:rStyle w:val="CharDivText"/>
        </w:rPr>
        <w:t>Penalties</w:t>
      </w:r>
      <w:bookmarkEnd w:id="280"/>
      <w:bookmarkEnd w:id="281"/>
      <w:bookmarkEnd w:id="282"/>
    </w:p>
    <w:p>
      <w:pPr>
        <w:pStyle w:val="Footnoteheading"/>
        <w:tabs>
          <w:tab w:val="left" w:pos="909"/>
        </w:tabs>
      </w:pPr>
      <w:r>
        <w:tab/>
        <w:t>[Heading inserted: No. 14 of 1998 s. 14.]</w:t>
      </w:r>
    </w:p>
    <w:p>
      <w:pPr>
        <w:pStyle w:val="Heading5"/>
        <w:spacing w:before="180"/>
      </w:pPr>
      <w:bookmarkStart w:id="283" w:name="_Toc158985550"/>
      <w:r>
        <w:rPr>
          <w:rStyle w:val="CharSectno"/>
        </w:rPr>
        <w:t>99Q</w:t>
      </w:r>
      <w:r>
        <w:t>.</w:t>
      </w:r>
      <w:r>
        <w:tab/>
        <w:t>Penalties</w:t>
      </w:r>
      <w:bookmarkEnd w:id="283"/>
    </w:p>
    <w:p>
      <w:pPr>
        <w:pStyle w:val="Subsection"/>
      </w:pPr>
      <w:r>
        <w:tab/>
        <w:t>(1)</w:t>
      </w:r>
      <w:r>
        <w:tab/>
        <w:t>An individual who is convicted of an offence under a section specified in —</w:t>
      </w:r>
    </w:p>
    <w:p>
      <w:pPr>
        <w:pStyle w:val="Indenta"/>
        <w:spacing w:before="60"/>
      </w:pPr>
      <w:r>
        <w:tab/>
        <w:t>(a)</w:t>
      </w:r>
      <w:r>
        <w:tab/>
        <w:t>column 2 of Division 1 of Part 1 of Schedule 1; or</w:t>
      </w:r>
    </w:p>
    <w:p>
      <w:pPr>
        <w:pStyle w:val="Indenta"/>
        <w:spacing w:before="60"/>
      </w:pPr>
      <w:r>
        <w:tab/>
        <w:t>(b)</w:t>
      </w:r>
      <w:r>
        <w:tab/>
        <w:t>column 2 of Division 1 of Part 2 of Schedule 1,</w:t>
      </w:r>
    </w:p>
    <w:p>
      <w:pPr>
        <w:pStyle w:val="Subsection"/>
      </w:pPr>
      <w:r>
        <w:tab/>
      </w:r>
      <w:r>
        <w:tab/>
        <w:t>is liable to a penalty not exceeding the penalty specified opposite to that section in column 3 of that Division.</w:t>
      </w:r>
    </w:p>
    <w:p>
      <w:pPr>
        <w:pStyle w:val="Subsection"/>
      </w:pPr>
      <w:r>
        <w:tab/>
        <w:t>(2)</w:t>
      </w:r>
      <w:r>
        <w:tab/>
        <w:t>A body corporate which is convicted of an offence under a section specified in —</w:t>
      </w:r>
    </w:p>
    <w:p>
      <w:pPr>
        <w:pStyle w:val="Indenta"/>
        <w:spacing w:before="60"/>
      </w:pPr>
      <w:r>
        <w:tab/>
        <w:t>(a)</w:t>
      </w:r>
      <w:r>
        <w:tab/>
        <w:t>column 2 of Division 2 of Part 1 of Schedule 1; or</w:t>
      </w:r>
    </w:p>
    <w:p>
      <w:pPr>
        <w:pStyle w:val="Indenta"/>
        <w:keepNext/>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pPr>
      <w:r>
        <w:tab/>
        <w:t>(3)</w:t>
      </w:r>
      <w:r>
        <w:tab/>
        <w:t>A person, being either an individual or a body corporate, who or which is convicted of an offence under a section specified in —</w:t>
      </w:r>
    </w:p>
    <w:p>
      <w:pPr>
        <w:pStyle w:val="Indenta"/>
      </w:pPr>
      <w:r>
        <w:tab/>
        <w:t>(a)</w:t>
      </w:r>
      <w:r>
        <w:tab/>
        <w:t>column 2 of Division 3 of Part 2 of Schedule 1; or</w:t>
      </w:r>
    </w:p>
    <w:p>
      <w:pPr>
        <w:pStyle w:val="Indenta"/>
        <w:keepNext/>
      </w:pPr>
      <w:r>
        <w:lastRenderedPageBreak/>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ind w:left="890" w:hanging="890"/>
      </w:pPr>
      <w:r>
        <w:tab/>
        <w:t>[Section 99Q inserted: No. 14 of 1998 s. 14.]</w:t>
      </w:r>
    </w:p>
    <w:p>
      <w:pPr>
        <w:pStyle w:val="Heading5"/>
        <w:keepNext w:val="0"/>
        <w:keepLines w:val="0"/>
      </w:pPr>
      <w:bookmarkStart w:id="284" w:name="_Toc158985551"/>
      <w:r>
        <w:rPr>
          <w:rStyle w:val="CharSectno"/>
        </w:rPr>
        <w:t>99R</w:t>
      </w:r>
      <w:r>
        <w:t>.</w:t>
      </w:r>
      <w:r>
        <w:tab/>
        <w:t>Daily penalty</w:t>
      </w:r>
      <w:bookmarkEnd w:id="284"/>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spacing w:before="100"/>
      </w:pPr>
      <w:r>
        <w:tab/>
        <w:t>[Section 99R inserted: No. 14 of 1998 s. 14; amended: No. 54 of 2003 s. 140(2).]</w:t>
      </w:r>
    </w:p>
    <w:p>
      <w:pPr>
        <w:pStyle w:val="Heading5"/>
      </w:pPr>
      <w:bookmarkStart w:id="285" w:name="_Toc158985552"/>
      <w:r>
        <w:rPr>
          <w:rStyle w:val="CharSectno"/>
        </w:rPr>
        <w:lastRenderedPageBreak/>
        <w:t>99S</w:t>
      </w:r>
      <w:r>
        <w:t>.</w:t>
      </w:r>
      <w:r>
        <w:tab/>
        <w:t>Attempt and accessory after the fact</w:t>
      </w:r>
      <w:bookmarkEnd w:id="285"/>
    </w:p>
    <w:p>
      <w:pPr>
        <w:pStyle w:val="Subsection"/>
        <w:spacing w:before="140"/>
      </w:pPr>
      <w:r>
        <w:tab/>
      </w:r>
      <w:r>
        <w:tab/>
        <w:t xml:space="preserve">A person who attempts to commit, or becomes an accessory after the fact to, an offence (in this section called the </w:t>
      </w:r>
      <w:r>
        <w:rPr>
          <w:rStyle w:val="CharDefText"/>
        </w:rPr>
        <w:t>principal offence</w:t>
      </w:r>
      <w:r>
        <w:t>) commits —</w:t>
      </w:r>
    </w:p>
    <w:p>
      <w:pPr>
        <w:pStyle w:val="Indenta"/>
        <w:spacing w:before="60"/>
        <w:ind w:left="1613" w:hanging="1613"/>
      </w:pPr>
      <w:r>
        <w:tab/>
        <w:t>(a)</w:t>
      </w:r>
      <w:r>
        <w:tab/>
        <w:t>if the principal offence is a Tier 1 offence, a Tier 1 offence;</w:t>
      </w:r>
    </w:p>
    <w:p>
      <w:pPr>
        <w:pStyle w:val="Indenta"/>
        <w:spacing w:before="60"/>
        <w:ind w:left="1613" w:hanging="1613"/>
      </w:pPr>
      <w:r>
        <w:tab/>
        <w:t>(b)</w:t>
      </w:r>
      <w:r>
        <w:tab/>
        <w:t>if the principal offence is a Tier 2 offence, a Tier 2 offence;</w:t>
      </w:r>
    </w:p>
    <w:p>
      <w:pPr>
        <w:pStyle w:val="Indenta"/>
        <w:spacing w:before="60"/>
      </w:pPr>
      <w:r>
        <w:tab/>
        <w:t>(c)</w:t>
      </w:r>
      <w:r>
        <w:tab/>
        <w:t>if the principal offence is a Tier 3 offence, a Tier 3 offence,</w:t>
      </w:r>
    </w:p>
    <w:p>
      <w:pPr>
        <w:pStyle w:val="Subsection"/>
        <w:spacing w:before="120"/>
      </w:pPr>
      <w:r>
        <w:tab/>
      </w:r>
      <w:r>
        <w:tab/>
        <w:t>and is liable on conviction, unless the Act specifies otherwise, to the penalty to which a person convicted of the principal offence is liable.</w:t>
      </w:r>
    </w:p>
    <w:p>
      <w:pPr>
        <w:pStyle w:val="Footnotesection"/>
        <w:spacing w:before="100"/>
      </w:pPr>
      <w:r>
        <w:tab/>
        <w:t>[Section 99S inserted: No. 14 of 1998 s. 14.]</w:t>
      </w:r>
    </w:p>
    <w:p>
      <w:pPr>
        <w:pStyle w:val="Heading3"/>
      </w:pPr>
      <w:bookmarkStart w:id="286" w:name="_Toc158980884"/>
      <w:bookmarkStart w:id="287" w:name="_Toc158981283"/>
      <w:bookmarkStart w:id="288" w:name="_Toc158985553"/>
      <w:r>
        <w:rPr>
          <w:rStyle w:val="CharDivNo"/>
        </w:rPr>
        <w:t>Division 4</w:t>
      </w:r>
      <w:r>
        <w:t xml:space="preserve"> — </w:t>
      </w:r>
      <w:r>
        <w:rPr>
          <w:rStyle w:val="CharDivText"/>
        </w:rPr>
        <w:t>Additional powers available to the court</w:t>
      </w:r>
      <w:bookmarkEnd w:id="286"/>
      <w:bookmarkEnd w:id="287"/>
      <w:bookmarkEnd w:id="288"/>
    </w:p>
    <w:p>
      <w:pPr>
        <w:pStyle w:val="Footnoteheading"/>
        <w:tabs>
          <w:tab w:val="left" w:pos="909"/>
        </w:tabs>
        <w:spacing w:before="100"/>
      </w:pPr>
      <w:r>
        <w:tab/>
        <w:t>[Heading inserted: No. 14 of 1998 s. 14.]</w:t>
      </w:r>
    </w:p>
    <w:p>
      <w:pPr>
        <w:pStyle w:val="Heading5"/>
      </w:pPr>
      <w:bookmarkStart w:id="289" w:name="_Toc158985554"/>
      <w:r>
        <w:rPr>
          <w:rStyle w:val="CharSectno"/>
        </w:rPr>
        <w:t>99T</w:t>
      </w:r>
      <w:r>
        <w:t>.</w:t>
      </w:r>
      <w:r>
        <w:tab/>
        <w:t>Term used: convicted</w:t>
      </w:r>
      <w:bookmarkEnd w:id="289"/>
    </w:p>
    <w:p>
      <w:pPr>
        <w:pStyle w:val="Subsection"/>
        <w:spacing w:before="140"/>
      </w:pPr>
      <w:r>
        <w:tab/>
      </w:r>
      <w:r>
        <w:tab/>
        <w:t>For the purposes of this Division —</w:t>
      </w:r>
    </w:p>
    <w:p>
      <w:pPr>
        <w:pStyle w:val="Indenta"/>
        <w:spacing w:before="60"/>
      </w:pPr>
      <w:r>
        <w:tab/>
        <w:t>(a)</w:t>
      </w:r>
      <w:r>
        <w:tab/>
      </w:r>
      <w:r>
        <w:rPr>
          <w:rStyle w:val="CharDefText"/>
        </w:rPr>
        <w:t>convicted</w:t>
      </w:r>
      <w:r>
        <w:t xml:space="preserve"> has the same meaning as in the </w:t>
      </w:r>
      <w:r>
        <w:rPr>
          <w:i/>
        </w:rPr>
        <w:t>Sentencing Act 1995</w:t>
      </w:r>
      <w:r>
        <w:t>; and</w:t>
      </w:r>
    </w:p>
    <w:p>
      <w:pPr>
        <w:pStyle w:val="Indenta"/>
        <w:spacing w:before="60"/>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spacing w:before="100"/>
      </w:pPr>
      <w:r>
        <w:tab/>
        <w:t>[Section 99T inserted: No. 14 of 1998 s. 14.]</w:t>
      </w:r>
    </w:p>
    <w:p>
      <w:pPr>
        <w:pStyle w:val="Heading5"/>
      </w:pPr>
      <w:bookmarkStart w:id="290" w:name="_Toc158985555"/>
      <w:r>
        <w:rPr>
          <w:rStyle w:val="CharSectno"/>
        </w:rPr>
        <w:t>99U</w:t>
      </w:r>
      <w:r>
        <w:t>.</w:t>
      </w:r>
      <w:r>
        <w:tab/>
        <w:t>Orders generally</w:t>
      </w:r>
      <w:bookmarkEnd w:id="290"/>
    </w:p>
    <w:p>
      <w:pPr>
        <w:pStyle w:val="Subsection"/>
      </w:pPr>
      <w:r>
        <w:tab/>
        <w:t>(1)</w:t>
      </w:r>
      <w:r>
        <w:tab/>
        <w:t>One or more orders may be made under this Division against a person convicted of an offence against this Act.</w:t>
      </w:r>
    </w:p>
    <w:p>
      <w:pPr>
        <w:pStyle w:val="Subsection"/>
        <w:ind w:left="878" w:hanging="878"/>
      </w:pPr>
      <w:r>
        <w:tab/>
        <w:t>(2)</w:t>
      </w:r>
      <w:r>
        <w:tab/>
        <w:t>Orders may be made under this Division in addition to any penalty that may be imposed in relation to the offence.</w:t>
      </w:r>
    </w:p>
    <w:p>
      <w:pPr>
        <w:pStyle w:val="Subsection"/>
        <w:ind w:left="878" w:hanging="878"/>
      </w:pPr>
      <w:r>
        <w:lastRenderedPageBreak/>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No. 14 of 1998 s. 14; amended: No. 69 of 2000 s. 13(1).]</w:t>
      </w:r>
    </w:p>
    <w:p>
      <w:pPr>
        <w:pStyle w:val="Heading5"/>
      </w:pPr>
      <w:bookmarkStart w:id="291" w:name="_Toc158985556"/>
      <w:r>
        <w:rPr>
          <w:rStyle w:val="CharSectno"/>
        </w:rPr>
        <w:t>99V</w:t>
      </w:r>
      <w:r>
        <w:t>.</w:t>
      </w:r>
      <w:r>
        <w:tab/>
        <w:t>Orders for forfeiture</w:t>
      </w:r>
      <w:bookmarkEnd w:id="291"/>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No. 14 of 1998 s. 14; amended: No. 54 of 2003 s. 140(2).]</w:t>
      </w:r>
    </w:p>
    <w:p>
      <w:pPr>
        <w:pStyle w:val="Heading5"/>
      </w:pPr>
      <w:bookmarkStart w:id="292" w:name="_Toc158985557"/>
      <w:r>
        <w:rPr>
          <w:rStyle w:val="CharSectno"/>
        </w:rPr>
        <w:t>99W</w:t>
      </w:r>
      <w:r>
        <w:t>.</w:t>
      </w:r>
      <w:r>
        <w:tab/>
        <w:t>Disposal of forfeited things</w:t>
      </w:r>
      <w:bookmarkEnd w:id="292"/>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 xml:space="preserve">If the thing is not sold, or if the proceeds of the sale are insufficient to defray the costs and expenses of seizing, storing, treating, selling, destroying, disposing of or otherwise dealing with the thing and an order for costs or expenses incurred in </w:t>
      </w:r>
      <w:r>
        <w:lastRenderedPageBreak/>
        <w:t>respect of the thing has not been made under section 99Y(1)(a)(i) —</w:t>
      </w:r>
    </w:p>
    <w:p>
      <w:pPr>
        <w:pStyle w:val="Indenta"/>
      </w:pPr>
      <w:r>
        <w:tab/>
        <w:t>(a)</w:t>
      </w:r>
      <w:r>
        <w:tab/>
        <w:t>those costs and expenses or the unsatisfied balance of them; and</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No. 14 of 1998 s. 14; amended: No. 77 of 2006 s. 4.]</w:t>
      </w:r>
    </w:p>
    <w:p>
      <w:pPr>
        <w:pStyle w:val="Heading5"/>
      </w:pPr>
      <w:bookmarkStart w:id="293" w:name="_Toc158985558"/>
      <w:r>
        <w:rPr>
          <w:rStyle w:val="CharSectno"/>
        </w:rPr>
        <w:t>99X</w:t>
      </w:r>
      <w:r>
        <w:t>.</w:t>
      </w:r>
      <w:r>
        <w:tab/>
        <w:t>Orders for prevention, restoration etc.</w:t>
      </w:r>
      <w:bookmarkEnd w:id="293"/>
    </w:p>
    <w:p>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pPr>
        <w:pStyle w:val="Indenta"/>
      </w:pPr>
      <w:r>
        <w:tab/>
        <w:t>(a)</w:t>
      </w:r>
      <w:r>
        <w:tab/>
        <w:t>to prevent, control, abate or mitigate any harm to the environment caused by the commission of the offence; or</w:t>
      </w:r>
    </w:p>
    <w:p>
      <w:pPr>
        <w:pStyle w:val="Indenta"/>
      </w:pPr>
      <w:r>
        <w:tab/>
        <w:t>(b)</w:t>
      </w:r>
      <w:r>
        <w:tab/>
        <w:t>to make good any resulting environmental damage; or</w:t>
      </w:r>
    </w:p>
    <w:p>
      <w:pPr>
        <w:pStyle w:val="Indenta"/>
      </w:pPr>
      <w:r>
        <w:tab/>
        <w:t>(c)</w:t>
      </w:r>
      <w:r>
        <w:tab/>
        <w:t>to prevent the continuance or recurrence of the offence.</w:t>
      </w:r>
    </w:p>
    <w:p>
      <w:pPr>
        <w:pStyle w:val="Subsection"/>
      </w:pPr>
      <w:r>
        <w:tab/>
        <w:t>(2)</w:t>
      </w:r>
      <w:r>
        <w:tab/>
        <w:t>A court is not to make an order under subsection (1) unless the prosecutor applies for the order.</w:t>
      </w:r>
    </w:p>
    <w:p>
      <w:pPr>
        <w:pStyle w:val="Subsection"/>
      </w:pPr>
      <w:r>
        <w:tab/>
        <w:t>(3)</w:t>
      </w:r>
      <w:r>
        <w:tab/>
        <w:t>The court may, in an order under this section, impose any other requirements the court considers necessary or expedient for enforcement of the order.</w:t>
      </w:r>
    </w:p>
    <w:p>
      <w:pPr>
        <w:pStyle w:val="Subsection"/>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pPr>
      <w:r>
        <w:lastRenderedPageBreak/>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keepNext/>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No. 14 of 1998 s. 14; amended: No. 54 of 2003 s. 140(2).]</w:t>
      </w:r>
    </w:p>
    <w:p>
      <w:pPr>
        <w:pStyle w:val="Heading5"/>
      </w:pPr>
      <w:bookmarkStart w:id="294" w:name="_Toc158985559"/>
      <w:r>
        <w:rPr>
          <w:rStyle w:val="CharSectno"/>
        </w:rPr>
        <w:t>99Y</w:t>
      </w:r>
      <w:r>
        <w:t>.</w:t>
      </w:r>
      <w:r>
        <w:tab/>
        <w:t>Orders for costs, expenses and compensation</w:t>
      </w:r>
      <w:bookmarkEnd w:id="294"/>
    </w:p>
    <w:p>
      <w:pPr>
        <w:pStyle w:val="Subsection"/>
      </w:pPr>
      <w:r>
        <w:tab/>
        <w:t>(1)</w:t>
      </w:r>
      <w:r>
        <w:tab/>
        <w:t>If a court convicts a person of an offence against this Act, the court may, if it appears to the court that —</w:t>
      </w:r>
    </w:p>
    <w:p>
      <w:pPr>
        <w:pStyle w:val="Indenta"/>
      </w:pPr>
      <w:r>
        <w:tab/>
        <w:t>(a)</w:t>
      </w:r>
      <w:r>
        <w:tab/>
        <w:t>the CEO or a public authority has reasonably incurred costs and expenses in connection with —</w:t>
      </w:r>
    </w:p>
    <w:p>
      <w:pPr>
        <w:pStyle w:val="Indenti"/>
      </w:pPr>
      <w:r>
        <w:tab/>
        <w:t>(i)</w:t>
      </w:r>
      <w:r>
        <w:tab/>
        <w:t>seizing, storing, treating, selling, destroying, disposing of or otherwise dealing with a thing seized under this Act in relation to the offence; or</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pPr>
      <w:r>
        <w:tab/>
      </w:r>
      <w:r>
        <w:tab/>
        <w:t xml:space="preserve">order the offender to pay to the CEO, public authority or person the reasonable costs and expenses so incurred, or compensation </w:t>
      </w:r>
      <w:r>
        <w:lastRenderedPageBreak/>
        <w:t>for the loss or damage so suffered, as the case may be, in such amount as does not exceed the prescribed amount and is fixed by the order.</w:t>
      </w:r>
    </w:p>
    <w:p>
      <w:pPr>
        <w:pStyle w:val="Subsection"/>
      </w:pPr>
      <w:r>
        <w:tab/>
        <w:t>(2)</w:t>
      </w:r>
      <w:r>
        <w:tab/>
        <w:t>The court may make an order under subsection (1) at the time of imposing a penalty for the offence or upon application at a later time.</w:t>
      </w:r>
    </w:p>
    <w:p>
      <w:pPr>
        <w:pStyle w:val="Footnotesection"/>
        <w:keepLines w:val="0"/>
      </w:pPr>
      <w:r>
        <w:tab/>
        <w:t>[Section 99Y inserted: No. 14 of 1998 s. 14; amended: No. 54 of 2003 s. 140(2).]</w:t>
      </w:r>
    </w:p>
    <w:p>
      <w:pPr>
        <w:pStyle w:val="Heading5"/>
      </w:pPr>
      <w:bookmarkStart w:id="295" w:name="_Toc158985560"/>
      <w:r>
        <w:rPr>
          <w:rStyle w:val="CharSectno"/>
        </w:rPr>
        <w:t>99Z</w:t>
      </w:r>
      <w:r>
        <w:t>.</w:t>
      </w:r>
      <w:r>
        <w:tab/>
        <w:t>Orders regarding monetary benefits</w:t>
      </w:r>
      <w:bookmarkEnd w:id="295"/>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keepNext/>
      </w:pPr>
      <w:r>
        <w:tab/>
        <w:t>(2)</w:t>
      </w:r>
      <w:r>
        <w:tab/>
        <w:t>In this section —</w:t>
      </w:r>
    </w:p>
    <w:p>
      <w:pPr>
        <w:pStyle w:val="Defstart"/>
      </w:pPr>
      <w:r>
        <w:tab/>
      </w:r>
      <w:r>
        <w:rPr>
          <w:rStyle w:val="CharDefText"/>
        </w:rPr>
        <w:t>monetary benefits</w:t>
      </w:r>
      <w:r>
        <w:t xml:space="preserve"> means — </w:t>
      </w:r>
    </w:p>
    <w:p>
      <w:pPr>
        <w:pStyle w:val="Defpara"/>
      </w:pPr>
      <w:r>
        <w:tab/>
        <w:t>(a)</w:t>
      </w:r>
      <w:r>
        <w:tab/>
        <w:t>monetary, financial or economic benefits of any kind; and</w:t>
      </w:r>
    </w:p>
    <w:p>
      <w:pPr>
        <w:pStyle w:val="Defpara"/>
        <w:keepLines/>
      </w:pPr>
      <w:r>
        <w:tab/>
        <w:t>(b)</w:t>
      </w:r>
      <w:r>
        <w:tab/>
        <w:t>monetary savings, or a reduction in expenditure, achieved by the avoidance of charges, fees or other costs that would have been incurred by the offender if the offender had not committed the offence.</w:t>
      </w:r>
    </w:p>
    <w:p>
      <w:pPr>
        <w:pStyle w:val="Footnotesection"/>
      </w:pPr>
      <w:r>
        <w:tab/>
        <w:t>[Section 99Z inserted: No. 14 of 1998 s. 14; amended: No. 40 of 2020 s. 82.]</w:t>
      </w:r>
    </w:p>
    <w:p>
      <w:pPr>
        <w:pStyle w:val="Heading5"/>
      </w:pPr>
      <w:bookmarkStart w:id="296" w:name="_Toc158985561"/>
      <w:r>
        <w:rPr>
          <w:rStyle w:val="CharSectno"/>
        </w:rPr>
        <w:t>99ZA</w:t>
      </w:r>
      <w:r>
        <w:t>.</w:t>
      </w:r>
      <w:r>
        <w:tab/>
        <w:t>Orders requiring public notice to be given etc.</w:t>
      </w:r>
      <w:bookmarkEnd w:id="296"/>
    </w:p>
    <w:p>
      <w:pPr>
        <w:pStyle w:val="Subsection"/>
      </w:pPr>
      <w:r>
        <w:tab/>
        <w:t>(1)</w:t>
      </w:r>
      <w:r>
        <w:tab/>
        <w:t>If a court convicts a person of any offence against this Act, the court may do any one or more of the following —</w:t>
      </w:r>
    </w:p>
    <w:p>
      <w:pPr>
        <w:pStyle w:val="Indenta"/>
      </w:pPr>
      <w:r>
        <w:tab/>
        <w:t>(a)</w:t>
      </w:r>
      <w:r>
        <w:tab/>
        <w:t xml:space="preserve">order the offender to take specified action to publicise the offence and its environmental and other </w:t>
      </w:r>
      <w:r>
        <w:lastRenderedPageBreak/>
        <w:t>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pPr>
      <w:r>
        <w:tab/>
        <w:t>(3)</w:t>
      </w:r>
      <w:r>
        <w:tab/>
        <w:t>The court may, in an order under this section, fix a period for compliance and impose any other requirements the court considers necessary or expedient for enforcement of the order.</w:t>
      </w:r>
    </w:p>
    <w:p>
      <w:pPr>
        <w:pStyle w:val="Subsection"/>
        <w:keepNext/>
      </w:pPr>
      <w:r>
        <w:tab/>
        <w:t>(4)</w:t>
      </w:r>
      <w:r>
        <w:tab/>
        <w:t>If the offender fails to comply with an order under subsection (1)(a) or (b), the CEO may take action to carry out the order as far as may be practicable, including action to publicise or notify —</w:t>
      </w:r>
    </w:p>
    <w:p>
      <w:pPr>
        <w:pStyle w:val="Indenta"/>
      </w:pPr>
      <w:r>
        <w:tab/>
        <w:t>(a)</w:t>
      </w:r>
      <w:r>
        <w:tab/>
        <w:t>the original contravention, its environmental and other consequences, and any other penalties imposed on the offender; and</w:t>
      </w:r>
    </w:p>
    <w:p>
      <w:pPr>
        <w:pStyle w:val="Indenta"/>
      </w:pPr>
      <w:r>
        <w:tab/>
        <w:t>(b)</w:t>
      </w:r>
      <w:r>
        <w:tab/>
        <w:t>the failure to comply with the order.</w:t>
      </w:r>
    </w:p>
    <w:p>
      <w:pPr>
        <w:pStyle w:val="Subsection"/>
      </w:pPr>
      <w:r>
        <w:tab/>
        <w:t>(5)</w:t>
      </w:r>
      <w:r>
        <w:tab/>
        <w:t>The reasonable cost of taking action referred to in subsection (4) is recoverable by the CEO as a debt due in a court of competent jurisdiction.</w:t>
      </w:r>
    </w:p>
    <w:p>
      <w:pPr>
        <w:pStyle w:val="Footnotesection"/>
        <w:ind w:left="890" w:hanging="890"/>
      </w:pPr>
      <w:r>
        <w:tab/>
        <w:t>[Section 99ZA inserted: No. 14 of 1998 s. 14; amended: No. 54 of 2003 s. 140(2).]</w:t>
      </w:r>
    </w:p>
    <w:p>
      <w:pPr>
        <w:pStyle w:val="Heading5"/>
      </w:pPr>
      <w:bookmarkStart w:id="297" w:name="_Toc158985562"/>
      <w:r>
        <w:rPr>
          <w:rStyle w:val="CharSectno"/>
        </w:rPr>
        <w:lastRenderedPageBreak/>
        <w:t>99ZB</w:t>
      </w:r>
      <w:r>
        <w:t>.</w:t>
      </w:r>
      <w:r>
        <w:tab/>
        <w:t>Enforcing orders to pay moneys</w:t>
      </w:r>
      <w:bookmarkEnd w:id="297"/>
    </w:p>
    <w:p>
      <w:pPr>
        <w:pStyle w:val="Subsection"/>
        <w:spacing w:before="120"/>
      </w:pPr>
      <w:r>
        <w:tab/>
        <w:t>(1)</w:t>
      </w:r>
      <w:r>
        <w:tab/>
        <w:t>If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pPr>
      <w:r>
        <w:tab/>
      </w:r>
      <w:r>
        <w:tab/>
        <w:t>the amount may be recovered as a judgment debt in a court of competent jurisdiction, unless an order is made under subsection (2).</w:t>
      </w:r>
    </w:p>
    <w:p>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keepNext/>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No. 14 of 1998 s. 14; amended: No. 54 of 2003 s. 140(2).]</w:t>
      </w:r>
    </w:p>
    <w:p>
      <w:pPr>
        <w:pStyle w:val="Heading2"/>
      </w:pPr>
      <w:bookmarkStart w:id="298" w:name="_Toc158980894"/>
      <w:bookmarkStart w:id="299" w:name="_Toc158981293"/>
      <w:bookmarkStart w:id="300" w:name="_Toc158985563"/>
      <w:r>
        <w:rPr>
          <w:rStyle w:val="CharPartNo"/>
        </w:rPr>
        <w:lastRenderedPageBreak/>
        <w:t>Part VII</w:t>
      </w:r>
      <w:r>
        <w:rPr>
          <w:rStyle w:val="CharDivNo"/>
        </w:rPr>
        <w:t> </w:t>
      </w:r>
      <w:r>
        <w:t>—</w:t>
      </w:r>
      <w:r>
        <w:rPr>
          <w:rStyle w:val="CharDivText"/>
        </w:rPr>
        <w:t> </w:t>
      </w:r>
      <w:r>
        <w:rPr>
          <w:rStyle w:val="CharPartText"/>
        </w:rPr>
        <w:t>Appeals</w:t>
      </w:r>
      <w:bookmarkEnd w:id="298"/>
      <w:bookmarkEnd w:id="299"/>
      <w:bookmarkEnd w:id="300"/>
    </w:p>
    <w:p>
      <w:pPr>
        <w:pStyle w:val="Heading5"/>
        <w:spacing w:before="180"/>
        <w:rPr>
          <w:snapToGrid w:val="0"/>
        </w:rPr>
      </w:pPr>
      <w:bookmarkStart w:id="301" w:name="_Toc158985564"/>
      <w:r>
        <w:rPr>
          <w:rStyle w:val="CharSectno"/>
        </w:rPr>
        <w:t>100</w:t>
      </w:r>
      <w:r>
        <w:rPr>
          <w:snapToGrid w:val="0"/>
        </w:rPr>
        <w:t>.</w:t>
      </w:r>
      <w:r>
        <w:rPr>
          <w:snapToGrid w:val="0"/>
        </w:rPr>
        <w:tab/>
        <w:t>Appeals against Authority’s decisions etc. as to proposals and schemes</w:t>
      </w:r>
      <w:bookmarkEnd w:id="301"/>
    </w:p>
    <w:p>
      <w:pPr>
        <w:pStyle w:val="Subsection"/>
      </w:pPr>
      <w:r>
        <w:tab/>
        <w:t>(1)</w:t>
      </w:r>
      <w:r>
        <w:tab/>
        <w:t>Any decision</w:t>
      </w:r>
      <w:r>
        <w:noBreakHyphen/>
        <w:t>making authority, responsible authority, proponent or other person that disagrees with —</w:t>
      </w:r>
    </w:p>
    <w:p>
      <w:pPr>
        <w:pStyle w:val="Indenta"/>
        <w:spacing w:before="60"/>
      </w:pPr>
      <w:r>
        <w:tab/>
        <w:t>(a)</w:t>
      </w:r>
      <w:r>
        <w:tab/>
        <w:t>a recorded decision of the Authority that a proposal is not to be assessed, other than a decision that includes a recommendation that the proposal be dealt with under Part V Division 2; or</w:t>
      </w:r>
    </w:p>
    <w:p>
      <w:pPr>
        <w:pStyle w:val="Ednotepara"/>
        <w:spacing w:before="60"/>
      </w:pPr>
      <w:r>
        <w:tab/>
        <w:t>[(b), (c)</w:t>
      </w:r>
      <w:r>
        <w:tab/>
        <w:t>deleted]</w:t>
      </w:r>
    </w:p>
    <w:p>
      <w:pPr>
        <w:pStyle w:val="Indenta"/>
        <w:spacing w:before="60"/>
      </w:pPr>
      <w:r>
        <w:tab/>
        <w:t>(d)</w:t>
      </w:r>
      <w:r>
        <w:tab/>
        <w:t>the content of, or any recommendation in, the report prepared under section 44 in respect of a proposal; or</w:t>
      </w:r>
    </w:p>
    <w:p>
      <w:pPr>
        <w:pStyle w:val="Indenta"/>
        <w:spacing w:before="60"/>
      </w:pPr>
      <w:r>
        <w:tab/>
        <w:t>(e)</w:t>
      </w:r>
      <w:r>
        <w:tab/>
        <w:t>the content of, or any recommendation in, the report prepared under section 48D in respect of a scheme,</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rStyle w:val="CharDefText"/>
        </w:rPr>
        <w:t>recorded</w:t>
      </w:r>
      <w:r>
        <w:t xml:space="preserve"> means set out in a public record under section 39(1).</w:t>
      </w:r>
    </w:p>
    <w:p>
      <w:pPr>
        <w:pStyle w:val="Ednotesubsection"/>
      </w:pPr>
      <w:r>
        <w:tab/>
        <w:t>[(2)</w:t>
      </w:r>
      <w:r>
        <w:tab/>
        <w:t>deleted]</w:t>
      </w:r>
    </w:p>
    <w:p>
      <w:pPr>
        <w:pStyle w:val="Subsection"/>
      </w:pPr>
      <w:r>
        <w:tab/>
        <w:t>(3)</w:t>
      </w:r>
      <w:r>
        <w:tab/>
        <w:t xml:space="preserve">Any proponent that disagrees with any conditions or procedures agreed under section 45(3) or (4) (or under section 45(3) or (4) as applied by section 46(8)) </w:t>
      </w:r>
      <w:r>
        <w:rPr>
          <w:snapToGrid w:val="0"/>
        </w:rPr>
        <w:t xml:space="preserve">may lodge with the </w:t>
      </w:r>
      <w:r>
        <w:t>Minister</w:t>
      </w:r>
      <w:r>
        <w:rPr>
          <w:snapToGrid w:val="0"/>
        </w:rPr>
        <w:t xml:space="preserve"> an appeal in writing setting out the grounds of that appeal.</w:t>
      </w:r>
    </w:p>
    <w:p>
      <w:pPr>
        <w:pStyle w:val="Subsection"/>
        <w:keepNext/>
      </w:pPr>
      <w:r>
        <w:tab/>
        <w:t>(3a)</w:t>
      </w:r>
      <w:r>
        <w:tab/>
        <w:t>An appeal may be lodged —</w:t>
      </w:r>
    </w:p>
    <w:p>
      <w:pPr>
        <w:pStyle w:val="Indenta"/>
        <w:spacing w:before="60"/>
      </w:pPr>
      <w:r>
        <w:tab/>
        <w:t>(a)</w:t>
      </w:r>
      <w:r>
        <w:tab/>
        <w:t>under subsection (1)(a), within 21 days of the making available of the public record; or</w:t>
      </w:r>
    </w:p>
    <w:p>
      <w:pPr>
        <w:pStyle w:val="Indenta"/>
        <w:spacing w:before="60"/>
      </w:pPr>
      <w:r>
        <w:tab/>
        <w:t>(b)</w:t>
      </w:r>
      <w:r>
        <w:tab/>
        <w:t>under subsection (1)(d), within 21 days of the publication of the report under section 44(3)(a); or</w:t>
      </w:r>
    </w:p>
    <w:p>
      <w:pPr>
        <w:pStyle w:val="Indenta"/>
        <w:spacing w:before="60"/>
      </w:pPr>
      <w:r>
        <w:tab/>
        <w:t>(c)</w:t>
      </w:r>
      <w:r>
        <w:tab/>
        <w:t>under subsection (1)(e), within 21 days of the publication of the report under section 48D(3)(a); or</w:t>
      </w:r>
    </w:p>
    <w:p>
      <w:pPr>
        <w:pStyle w:val="Indenta"/>
      </w:pPr>
      <w:r>
        <w:lastRenderedPageBreak/>
        <w:tab/>
        <w:t>(d)</w:t>
      </w:r>
      <w:r>
        <w:tab/>
        <w:t xml:space="preserve">under subsection (3), within 14 days after the publication of the Ministerial statement </w:t>
      </w:r>
      <w:r>
        <w:rPr>
          <w:snapToGrid w:val="0"/>
        </w:rPr>
        <w:t>setting out the agreement</w:t>
      </w:r>
      <w:r>
        <w:t>.</w:t>
      </w:r>
    </w:p>
    <w:p>
      <w:pPr>
        <w:pStyle w:val="Ednotepara"/>
      </w:pPr>
      <w:r>
        <w:tab/>
        <w:t>[(e)</w:t>
      </w:r>
      <w:r>
        <w:tab/>
        <w:t>deleted]</w:t>
      </w:r>
    </w:p>
    <w:p>
      <w:pPr>
        <w:pStyle w:val="Subsection"/>
        <w:rPr>
          <w:snapToGrid w:val="0"/>
        </w:rPr>
      </w:pPr>
      <w:r>
        <w:rPr>
          <w:snapToGrid w:val="0"/>
        </w:rPr>
        <w:tab/>
        <w:t>(4)</w:t>
      </w:r>
      <w:r>
        <w:rPr>
          <w:snapToGrid w:val="0"/>
        </w:rPr>
        <w:tab/>
        <w:t>A proponent who is aggrieved by —</w:t>
      </w:r>
    </w:p>
    <w:p>
      <w:pPr>
        <w:pStyle w:val="Indenta"/>
        <w:rPr>
          <w:snapToGrid w:val="0"/>
        </w:rPr>
      </w:pPr>
      <w:r>
        <w:rPr>
          <w:snapToGrid w:val="0"/>
        </w:rPr>
        <w:tab/>
        <w:t>(a)</w:t>
      </w:r>
      <w:r>
        <w:rPr>
          <w:snapToGrid w:val="0"/>
        </w:rPr>
        <w:tab/>
        <w:t>a notice served on the proponent under</w:t>
      </w:r>
      <w:r>
        <w:t xml:space="preserve"> section 48(7)(b)</w:t>
      </w:r>
      <w:r>
        <w:rPr>
          <w:snapToGrid w:val="0"/>
        </w:rPr>
        <w:t>; or</w:t>
      </w:r>
    </w:p>
    <w:p>
      <w:pPr>
        <w:pStyle w:val="Indenta"/>
        <w:rPr>
          <w:snapToGrid w:val="0"/>
        </w:rPr>
      </w:pPr>
      <w:r>
        <w:rPr>
          <w:snapToGrid w:val="0"/>
        </w:rPr>
        <w:tab/>
        <w:t>(b)</w:t>
      </w:r>
      <w:r>
        <w:rPr>
          <w:snapToGrid w:val="0"/>
        </w:rPr>
        <w:tab/>
        <w:t>the taking of any steps under section 48(7)(c)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[Section 100 amended: No. 73 of 1994 s. 4; No. 23 of 1996 s. 22; No. 54 of 2003 s. 23; No. 40 of 2010 s. 6; No. 40 of 2020 s. 84.]</w:t>
      </w:r>
    </w:p>
    <w:p>
      <w:pPr>
        <w:pStyle w:val="Heading5"/>
        <w:rPr>
          <w:snapToGrid w:val="0"/>
        </w:rPr>
      </w:pPr>
      <w:bookmarkStart w:id="302" w:name="_Toc158985565"/>
      <w:r>
        <w:rPr>
          <w:rStyle w:val="CharSectno"/>
        </w:rPr>
        <w:t>101</w:t>
      </w:r>
      <w:r>
        <w:rPr>
          <w:snapToGrid w:val="0"/>
        </w:rPr>
        <w:t>.</w:t>
      </w:r>
      <w:r>
        <w:rPr>
          <w:snapToGrid w:val="0"/>
        </w:rPr>
        <w:tab/>
        <w:t>Minister’s powers on appeals under s. 100</w:t>
      </w:r>
      <w:bookmarkEnd w:id="302"/>
    </w:p>
    <w:p>
      <w:pPr>
        <w:pStyle w:val="Subsection"/>
        <w:rPr>
          <w:snapToGrid w:val="0"/>
        </w:rPr>
      </w:pPr>
      <w:r>
        <w:rPr>
          <w:snapToGrid w:val="0"/>
        </w:rPr>
        <w:tab/>
        <w:t>(1)</w:t>
      </w:r>
      <w:r>
        <w:rPr>
          <w:snapToGrid w:val="0"/>
        </w:rPr>
        <w:tab/>
      </w:r>
      <w:r>
        <w:t>When an appeal is lodged under section 100(1) or (4)</w:t>
      </w:r>
      <w:r>
        <w:rPr>
          <w:snapToGrid w:val="0"/>
        </w:rPr>
        <w:t>, the Minister may —</w:t>
      </w:r>
    </w:p>
    <w:p>
      <w:pPr>
        <w:pStyle w:val="Indenta"/>
        <w:rPr>
          <w:snapToGrid w:val="0"/>
        </w:rPr>
      </w:pPr>
      <w:r>
        <w:rPr>
          <w:snapToGrid w:val="0"/>
        </w:rPr>
        <w:tab/>
        <w:t>(a)</w:t>
      </w:r>
      <w:r>
        <w:rPr>
          <w:snapToGrid w:val="0"/>
        </w:rPr>
        <w:tab/>
        <w:t>in the case of any appeal so lodged but subject to section 109(3)(a), dismiss the appeal; or</w:t>
      </w:r>
    </w:p>
    <w:p>
      <w:pPr>
        <w:pStyle w:val="Indenta"/>
      </w:pPr>
      <w:r>
        <w:tab/>
        <w:t>(b)</w:t>
      </w:r>
      <w:r>
        <w:tab/>
        <w:t>in the case of an appeal referred to in section 100(1)(a), remit the proposal to the Authority for the making of a fresh decision as to whether or not the proposal is to be assessed; or</w:t>
      </w:r>
    </w:p>
    <w:p>
      <w:pPr>
        <w:pStyle w:val="Indenta"/>
      </w:pPr>
      <w:r>
        <w:tab/>
        <w:t>(c)</w:t>
      </w:r>
      <w:r>
        <w:tab/>
        <w:t>in the case of an appeal referred to in section 100(1)(a), remit the proposal to the Authority for assessment and for that purpose make a direction under section 43; or</w:t>
      </w:r>
    </w:p>
    <w:p>
      <w:pPr>
        <w:pStyle w:val="Indenta"/>
        <w:keepNext/>
      </w:pPr>
      <w:r>
        <w:tab/>
        <w:t>(d)</w:t>
      </w:r>
      <w:r>
        <w:tab/>
        <w:t>in the case of an appeal referred to in section 100(1)(d) —</w:t>
      </w:r>
    </w:p>
    <w:p>
      <w:pPr>
        <w:pStyle w:val="Indenti"/>
      </w:pPr>
      <w:r>
        <w:tab/>
        <w:t>(i)</w:t>
      </w:r>
      <w:r>
        <w:tab/>
        <w:t xml:space="preserve">remit the proposal to the Authority for assessment, further assessment or reassessment, </w:t>
      </w:r>
      <w:r>
        <w:lastRenderedPageBreak/>
        <w:t>as the case requires, and for that purpose make a direction under section 43; or</w:t>
      </w:r>
    </w:p>
    <w:p>
      <w:pPr>
        <w:pStyle w:val="Indenti"/>
      </w:pPr>
      <w:r>
        <w:tab/>
        <w:t>(ii)</w:t>
      </w:r>
      <w:r>
        <w:tab/>
        <w:t>vary the Authority’s recommendations by changing the implementation conditions;</w:t>
      </w:r>
    </w:p>
    <w:p>
      <w:pPr>
        <w:pStyle w:val="Indenta"/>
      </w:pPr>
      <w:r>
        <w:rPr>
          <w:snapToGrid w:val="0"/>
        </w:rPr>
        <w:tab/>
      </w:r>
      <w:r>
        <w:rPr>
          <w:snapToGrid w:val="0"/>
        </w:rPr>
        <w:tab/>
        <w:t>or</w:t>
      </w:r>
    </w:p>
    <w:p>
      <w:pPr>
        <w:pStyle w:val="Ednotepara"/>
        <w:spacing w:before="80"/>
      </w:pPr>
      <w:r>
        <w:tab/>
        <w:t>[(da)</w:t>
      </w:r>
      <w:r>
        <w:tab/>
        <w:t>deleted]</w:t>
      </w:r>
    </w:p>
    <w:p>
      <w:pPr>
        <w:pStyle w:val="Indenta"/>
      </w:pPr>
      <w:r>
        <w:tab/>
        <w:t>(db)</w:t>
      </w:r>
      <w:r>
        <w:tab/>
        <w:t>in the case of an appeal referred to in section 100(1)(e), deal with that appeal under subsections (2d) and (2e);</w:t>
      </w:r>
      <w:r>
        <w:rPr>
          <w:snapToGrid w:val="0"/>
        </w:rPr>
        <w:t xml:space="preserve"> or</w:t>
      </w:r>
    </w:p>
    <w:p>
      <w:pPr>
        <w:pStyle w:val="Indenta"/>
        <w:rPr>
          <w:snapToGrid w:val="0"/>
        </w:rPr>
      </w:pPr>
      <w:r>
        <w:rPr>
          <w:snapToGrid w:val="0"/>
        </w:rPr>
        <w:tab/>
        <w:t>(e)</w:t>
      </w:r>
      <w:r>
        <w:rPr>
          <w:snapToGrid w:val="0"/>
        </w:rPr>
        <w:tab/>
        <w:t>in the case of an appeal against a notice served under section 48(7)(b), set aside or alter that notice; or</w:t>
      </w:r>
    </w:p>
    <w:p>
      <w:pPr>
        <w:pStyle w:val="Indenta"/>
        <w:rPr>
          <w:snapToGrid w:val="0"/>
        </w:rPr>
      </w:pPr>
      <w:r>
        <w:rPr>
          <w:snapToGrid w:val="0"/>
        </w:rPr>
        <w:tab/>
        <w:t>(f)</w:t>
      </w:r>
      <w:r>
        <w:rPr>
          <w:snapToGrid w:val="0"/>
        </w:rPr>
        <w:tab/>
        <w:t xml:space="preserve">in the case of an appeal against the taking of any steps under </w:t>
      </w:r>
      <w:r>
        <w:t xml:space="preserve">section 48(7)(c) </w:t>
      </w:r>
      <w:r>
        <w:rPr>
          <w:snapToGrid w:val="0"/>
        </w:rPr>
        <w:t>or (d), prohibit the taking of any one or more of those steps, alter any of those steps or substitute a different step for any of those steps,</w:t>
      </w:r>
    </w:p>
    <w:p>
      <w:pPr>
        <w:pStyle w:val="Subsection"/>
        <w:rPr>
          <w:snapToGrid w:val="0"/>
        </w:rPr>
      </w:pPr>
      <w:r>
        <w:rPr>
          <w:snapToGrid w:val="0"/>
        </w:rPr>
        <w:tab/>
      </w:r>
      <w:r>
        <w:rPr>
          <w:snapToGrid w:val="0"/>
        </w:rPr>
        <w:tab/>
        <w:t>and the decision of the Minister under this subsection is final and without appeal.</w:t>
      </w:r>
    </w:p>
    <w:p>
      <w:pPr>
        <w:pStyle w:val="Subsection"/>
      </w:pPr>
      <w:r>
        <w:tab/>
        <w:t>(1a)</w:t>
      </w:r>
      <w:r>
        <w:tab/>
        <w:t>When an appeal is lodged under section 100(3), sections 106, 109 and 110 apply to and in relation to the appeal as if the appeal were an appeal from a decision of the Minister.</w:t>
      </w:r>
    </w:p>
    <w:p>
      <w:pPr>
        <w:pStyle w:val="Subsection"/>
        <w:rPr>
          <w:snapToGrid w:val="0"/>
        </w:rPr>
      </w:pPr>
      <w:r>
        <w:rPr>
          <w:snapToGrid w:val="0"/>
        </w:rPr>
        <w:tab/>
        <w:t>(2)</w:t>
      </w:r>
      <w:r>
        <w:rPr>
          <w:snapToGrid w:val="0"/>
        </w:rPr>
        <w:tab/>
        <w:t>When the Minister remits under subsection (1)(b)</w:t>
      </w:r>
      <w:r>
        <w:t xml:space="preserve">, (c) or (d) </w:t>
      </w:r>
      <w:r>
        <w:rPr>
          <w:snapToGrid w:val="0"/>
        </w:rPr>
        <w:t>a proposal to the Authority for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rPr>
          <w:snapToGrid w:val="0"/>
        </w:rPr>
      </w:pPr>
      <w:r>
        <w:rPr>
          <w:snapToGrid w:val="0"/>
        </w:rPr>
        <w:tab/>
      </w:r>
      <w:r>
        <w:rPr>
          <w:snapToGrid w:val="0"/>
        </w:rPr>
        <w:tab/>
        <w:t xml:space="preserve">within such period as the Minister specifies in </w:t>
      </w:r>
      <w:r>
        <w:t xml:space="preserve">the </w:t>
      </w:r>
      <w:r>
        <w:rPr>
          <w:snapToGrid w:val="0"/>
        </w:rPr>
        <w:t>remittal.</w:t>
      </w:r>
    </w:p>
    <w:p>
      <w:pPr>
        <w:pStyle w:val="Ednotesubsection"/>
      </w:pPr>
      <w:r>
        <w:tab/>
        <w:t>[(2a)</w:t>
      </w:r>
      <w:r>
        <w:noBreakHyphen/>
        <w:t>(2c)</w:t>
      </w:r>
      <w:r>
        <w:tab/>
        <w:t>deleted]</w:t>
      </w:r>
    </w:p>
    <w:p>
      <w:pPr>
        <w:pStyle w:val="Subsection"/>
        <w:keepNext/>
        <w:keepLines/>
        <w:rPr>
          <w:snapToGrid w:val="0"/>
        </w:rPr>
      </w:pPr>
      <w:r>
        <w:rPr>
          <w:snapToGrid w:val="0"/>
        </w:rPr>
        <w:lastRenderedPageBreak/>
        <w:tab/>
        <w:t>(2d)</w:t>
      </w:r>
      <w:r>
        <w:rPr>
          <w:snapToGrid w:val="0"/>
        </w:rPr>
        <w:tab/>
        <w:t>When an appeal is lodged under section 100</w:t>
      </w:r>
      <w:r>
        <w:t>(1)(e)</w:t>
      </w:r>
      <w:r>
        <w:rPr>
          <w:snapToGrid w:val="0"/>
        </w:rPr>
        <w:t>, the Minister shall —</w:t>
      </w:r>
    </w:p>
    <w:p>
      <w:pPr>
        <w:pStyle w:val="Indenta"/>
        <w:rPr>
          <w:snapToGrid w:val="0"/>
        </w:rPr>
      </w:pPr>
      <w:r>
        <w:rPr>
          <w:snapToGrid w:val="0"/>
        </w:rPr>
        <w:tab/>
        <w:t>(a)</w:t>
      </w:r>
      <w:r>
        <w:rPr>
          <w:snapToGrid w:val="0"/>
        </w:rPr>
        <w:tab/>
        <w:t xml:space="preserve">if the Minister considers that the decision of the appeal could affect the content of any condition to which the relevant scheme might be subject, having consulted the responsible Minister under section 48F(1) in respect of that condition and, if possible, agreed with </w:t>
      </w:r>
      <w:r>
        <w:t>the responsible Minister</w:t>
      </w:r>
      <w:r>
        <w:rPr>
          <w:snapToGrid w:val="0"/>
        </w:rPr>
        <w:t xml:space="preserve"> on that condition, decide the appeal in accordance with that agreement or, in the absence of any such agreement, with the relevant decision under section 48J; or</w:t>
      </w:r>
    </w:p>
    <w:p>
      <w:pPr>
        <w:pStyle w:val="Indenta"/>
        <w:keepNext/>
        <w:keepLines/>
        <w:rPr>
          <w:snapToGrid w:val="0"/>
        </w:rPr>
      </w:pPr>
      <w:r>
        <w:rPr>
          <w:snapToGrid w:val="0"/>
        </w:rPr>
        <w:tab/>
        <w:t>(b)</w:t>
      </w:r>
      <w:r>
        <w:rPr>
          <w:snapToGrid w:val="0"/>
        </w:rPr>
        <w:tab/>
        <w:t>if the Minister does not consider that the decision of the appeal could affect the content of any such condition, decide the appeal without consulting the responsible Minister under section 48F(1).</w:t>
      </w:r>
    </w:p>
    <w:p>
      <w:pPr>
        <w:pStyle w:val="Subsection"/>
        <w:rPr>
          <w:snapToGrid w:val="0"/>
        </w:rPr>
      </w:pPr>
      <w:r>
        <w:rPr>
          <w:snapToGrid w:val="0"/>
        </w:rPr>
        <w:tab/>
        <w:t>(2e)</w:t>
      </w:r>
      <w:r>
        <w:rPr>
          <w:snapToGrid w:val="0"/>
        </w:rPr>
        <w:tab/>
        <w:t>A decision of the Minister under subsection (2d) is final and without appeal.</w:t>
      </w:r>
    </w:p>
    <w:p>
      <w:pPr>
        <w:pStyle w:val="Subsection"/>
        <w:rPr>
          <w:snapToGrid w:val="0"/>
        </w:rPr>
      </w:pPr>
      <w:r>
        <w:rPr>
          <w:snapToGrid w:val="0"/>
        </w:rPr>
        <w:tab/>
        <w:t>(3)</w:t>
      </w:r>
      <w:r>
        <w:rPr>
          <w:snapToGrid w:val="0"/>
        </w:rPr>
        <w:tab/>
        <w:t>The lodging of an appeal —</w:t>
      </w:r>
    </w:p>
    <w:p>
      <w:pPr>
        <w:pStyle w:val="Indenta"/>
      </w:pPr>
      <w:r>
        <w:tab/>
        <w:t>(a)</w:t>
      </w:r>
      <w:r>
        <w:tab/>
        <w:t>referred to in section 100(1)(a) does not affect the relevant decision; or</w:t>
      </w:r>
    </w:p>
    <w:p>
      <w:pPr>
        <w:pStyle w:val="Indenta"/>
        <w:rPr>
          <w:snapToGrid w:val="0"/>
        </w:rPr>
      </w:pPr>
      <w:r>
        <w:rPr>
          <w:snapToGrid w:val="0"/>
        </w:rPr>
        <w:tab/>
        <w:t>(b)</w:t>
      </w:r>
      <w:r>
        <w:rPr>
          <w:snapToGrid w:val="0"/>
        </w:rPr>
        <w:tab/>
        <w:t>referred to in section 100</w:t>
      </w:r>
      <w:r>
        <w:t>(1)(d) or (e)</w:t>
      </w:r>
      <w:r>
        <w:rPr>
          <w:snapToGrid w:val="0"/>
        </w:rPr>
        <w:t xml:space="preserve"> has the effect described in section 45(10) or 48F(3), as the case requires; or</w:t>
      </w:r>
    </w:p>
    <w:p>
      <w:pPr>
        <w:pStyle w:val="Indenta"/>
      </w:pPr>
      <w:r>
        <w:tab/>
        <w:t>(c)</w:t>
      </w:r>
      <w:r>
        <w:tab/>
        <w:t>referred to in section 100(3) as to conditions or procedures agreed under section 45(3) or (4) otherwise than as applied by section 46(8) prevents the implementation of the proposal concerned; or</w:t>
      </w:r>
    </w:p>
    <w:p>
      <w:pPr>
        <w:pStyle w:val="Indenta"/>
      </w:pPr>
      <w:r>
        <w:tab/>
        <w:t>(d)</w:t>
      </w:r>
      <w:r>
        <w:tab/>
        <w:t>referred to in section 100(3) as to conditions or procedures agreed under section 45(3) or (4) as applied by section 46(8) does not prevent the implementation, or continued implementation, of the proposal concerned subject to the implementation conditions; or</w:t>
      </w:r>
    </w:p>
    <w:p>
      <w:pPr>
        <w:pStyle w:val="Indenta"/>
        <w:rPr>
          <w:snapToGrid w:val="0"/>
        </w:rPr>
      </w:pPr>
      <w:r>
        <w:rPr>
          <w:snapToGrid w:val="0"/>
        </w:rPr>
        <w:lastRenderedPageBreak/>
        <w:tab/>
        <w:t>(e)</w:t>
      </w:r>
      <w:r>
        <w:rPr>
          <w:snapToGrid w:val="0"/>
        </w:rPr>
        <w:tab/>
        <w:t>against a notice served under section 48(7)(b) suspends the operation of that notice; or</w:t>
      </w:r>
    </w:p>
    <w:p>
      <w:pPr>
        <w:pStyle w:val="Indenta"/>
        <w:spacing w:before="120"/>
        <w:rPr>
          <w:snapToGrid w:val="0"/>
        </w:rPr>
      </w:pPr>
      <w:r>
        <w:rPr>
          <w:snapToGrid w:val="0"/>
        </w:rPr>
        <w:tab/>
        <w:t>(f)</w:t>
      </w:r>
      <w:r>
        <w:rPr>
          <w:snapToGrid w:val="0"/>
        </w:rPr>
        <w:tab/>
        <w:t xml:space="preserve">against the taking of any steps under </w:t>
      </w:r>
      <w:r>
        <w:t>section </w:t>
      </w:r>
      <w:r>
        <w:rPr>
          <w:snapToGrid w:val="0"/>
        </w:rPr>
        <w:t>48</w:t>
      </w:r>
      <w:r>
        <w:t xml:space="preserve">(7)(c) </w:t>
      </w:r>
      <w:r>
        <w:rPr>
          <w:snapToGrid w:val="0"/>
        </w:rPr>
        <w:t>or (d) does not prevent the taking of those steps,</w:t>
      </w:r>
    </w:p>
    <w:p>
      <w:pPr>
        <w:pStyle w:val="Subsection"/>
        <w:rPr>
          <w:snapToGrid w:val="0"/>
          <w:spacing w:val="-2"/>
        </w:rPr>
      </w:pPr>
      <w:r>
        <w:rPr>
          <w:snapToGrid w:val="0"/>
        </w:rPr>
        <w:tab/>
      </w:r>
      <w:r>
        <w:rPr>
          <w:snapToGrid w:val="0"/>
          <w:spacing w:val="-2"/>
        </w:rPr>
        <w:tab/>
        <w:t>during the period commencing with that lodging and ending with the decision of the Minister under</w:t>
      </w:r>
      <w:r>
        <w:t xml:space="preserve"> subsection (1) or (2d) or section 107(2).</w:t>
      </w:r>
    </w:p>
    <w:p>
      <w:pPr>
        <w:pStyle w:val="Subsection"/>
        <w:rPr>
          <w:snapToGrid w:val="0"/>
        </w:rPr>
      </w:pPr>
      <w:r>
        <w:rPr>
          <w:snapToGrid w:val="0"/>
        </w:rPr>
        <w:tab/>
        <w:t>(4)</w:t>
      </w:r>
      <w:r>
        <w:rPr>
          <w:snapToGrid w:val="0"/>
        </w:rPr>
        <w:tab/>
        <w:t xml:space="preserve">In giving a decision under subsection (1)(f), the Minister may order that </w:t>
      </w:r>
      <w:r>
        <w:t xml:space="preserve">section 48(8) </w:t>
      </w:r>
      <w:r>
        <w:rPr>
          <w:snapToGrid w:val="0"/>
        </w:rPr>
        <w:t>does not apply to any steps to which the decision relates and that order has effect according to its tenor.</w:t>
      </w:r>
    </w:p>
    <w:p>
      <w:pPr>
        <w:pStyle w:val="Footnotesection"/>
        <w:spacing w:before="80"/>
        <w:ind w:left="890" w:hanging="890"/>
      </w:pPr>
      <w:r>
        <w:tab/>
        <w:t>[Section 101 amended: No. 23 of 1996 s. 23; No. 57 of 1997 s. 54(7) and (8); No. 54 of 2003 s. 24; No. 40 of 2010 s. 7; No. 40 of 2020 s. 85 and 111(1).]</w:t>
      </w:r>
    </w:p>
    <w:p>
      <w:pPr>
        <w:pStyle w:val="Heading5"/>
      </w:pPr>
      <w:bookmarkStart w:id="303" w:name="_Toc158985566"/>
      <w:r>
        <w:rPr>
          <w:rStyle w:val="CharSectno"/>
        </w:rPr>
        <w:t>101A</w:t>
      </w:r>
      <w:r>
        <w:t>.</w:t>
      </w:r>
      <w:r>
        <w:tab/>
        <w:t>Appeals against decisions as to clearing permits</w:t>
      </w:r>
      <w:bookmarkEnd w:id="303"/>
    </w:p>
    <w:p>
      <w:pPr>
        <w:pStyle w:val="Subsection"/>
        <w:keepNext/>
        <w:rPr>
          <w:snapToGrid w:val="0"/>
        </w:rPr>
      </w:pPr>
      <w:r>
        <w:rPr>
          <w:snapToGrid w:val="0"/>
        </w:rPr>
        <w:tab/>
        <w:t>(1)</w:t>
      </w:r>
      <w:r>
        <w:rPr>
          <w:snapToGrid w:val="0"/>
        </w:rPr>
        <w:tab/>
        <w:t xml:space="preserve">Subject to </w:t>
      </w:r>
      <w:r>
        <w:t>section</w:t>
      </w:r>
      <w:r>
        <w:rPr>
          <w:snapToGrid w:val="0"/>
        </w:rPr>
        <w:t> 105, an applicant for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 xml:space="preserve">may within </w:t>
      </w:r>
      <w:r>
        <w:t>21 days</w:t>
      </w:r>
      <w:r>
        <w:rPr>
          <w:snapToGrid w:val="0"/>
        </w:rPr>
        <w:t xml:space="preserve"> of being notified of that refusal or specification, as the case requires, lodge with the Minister an appeal in writing setting out the grounds of that appeal.</w:t>
      </w:r>
    </w:p>
    <w:p>
      <w:pPr>
        <w:pStyle w:val="Subsection"/>
        <w:keepNext/>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w:t>
      </w:r>
      <w:r>
        <w:t>21 days</w:t>
      </w:r>
      <w:r>
        <w:rPr>
          <w:snapToGrid w:val="0"/>
        </w:rPr>
        <w:t xml:space="preserve"> of being notified of </w:t>
      </w:r>
      <w:r>
        <w:rPr>
          <w:snapToGrid w:val="0"/>
        </w:rPr>
        <w:lastRenderedPageBreak/>
        <w:t>that amendment, revocation or suspension lodge with the Minister an appeal in writing setting out the grounds of that appeal.</w:t>
      </w:r>
    </w:p>
    <w:p>
      <w:pPr>
        <w:pStyle w:val="Subsection"/>
        <w:keepNext/>
        <w:rPr>
          <w:snapToGrid w:val="0"/>
          <w:spacing w:val="-4"/>
        </w:rPr>
      </w:pPr>
      <w:r>
        <w:rPr>
          <w:snapToGrid w:val="0"/>
        </w:rPr>
        <w:tab/>
        <w:t>(3)</w:t>
      </w:r>
      <w:r>
        <w:rPr>
          <w:snapToGrid w:val="0"/>
          <w:spacing w:val="-4"/>
        </w:rPr>
        <w:tab/>
        <w:t>A person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keepNext/>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setting out the grounds of that appeal.</w:t>
      </w:r>
    </w:p>
    <w:p>
      <w:pPr>
        <w:pStyle w:val="Subsection"/>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pPr>
      <w:r>
        <w:tab/>
        <w:t>(5)</w:t>
      </w:r>
      <w:r>
        <w:tab/>
        <w:t>Subsections (1)(a)(ii) and (b), (3)(a) and (4) do not apply in relation to the grant of a permit pursuant to an undertaking mentioned in section 51E(9).</w:t>
      </w:r>
    </w:p>
    <w:p>
      <w:pPr>
        <w:pStyle w:val="Subsection"/>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pPr>
      <w:r>
        <w:tab/>
        <w:t>(8)</w:t>
      </w:r>
      <w:r>
        <w:tab/>
        <w:t>Pending the determination of the relevant appeal lodged under subsection (3) in respect of an amendment, the amendment continues to have effect.</w:t>
      </w:r>
    </w:p>
    <w:p>
      <w:pPr>
        <w:pStyle w:val="Subsection"/>
      </w:pPr>
      <w:r>
        <w:lastRenderedPageBreak/>
        <w:tab/>
        <w:t>(9)</w:t>
      </w:r>
      <w:r>
        <w:tab/>
        <w:t>Pending the determination of the relevant appeal lodged under subsection (4), the clearing permit shall be deemed not to have been granted.</w:t>
      </w:r>
    </w:p>
    <w:p>
      <w:pPr>
        <w:pStyle w:val="Footnotesection"/>
        <w:ind w:left="890" w:hanging="890"/>
      </w:pPr>
      <w:r>
        <w:tab/>
        <w:t>[Section 101A inserted: No. 54 of 2003 s. 112; amended: No. 40 of 2010 s. 10.]</w:t>
      </w:r>
    </w:p>
    <w:p>
      <w:pPr>
        <w:pStyle w:val="Heading5"/>
        <w:rPr>
          <w:snapToGrid w:val="0"/>
        </w:rPr>
      </w:pPr>
      <w:bookmarkStart w:id="304" w:name="_Toc158985567"/>
      <w:r>
        <w:rPr>
          <w:rStyle w:val="CharSectno"/>
        </w:rPr>
        <w:t>102</w:t>
      </w:r>
      <w:r>
        <w:rPr>
          <w:snapToGrid w:val="0"/>
        </w:rPr>
        <w:t>.</w:t>
      </w:r>
      <w:r>
        <w:rPr>
          <w:snapToGrid w:val="0"/>
        </w:rPr>
        <w:tab/>
        <w:t>Appeals against decisions as to works approvals and licences</w:t>
      </w:r>
      <w:bookmarkEnd w:id="304"/>
    </w:p>
    <w:p>
      <w:pPr>
        <w:pStyle w:val="Subsection"/>
        <w:keepNext/>
        <w:keepLines/>
        <w:rPr>
          <w:snapToGrid w:val="0"/>
        </w:rPr>
      </w:pPr>
      <w:r>
        <w:rPr>
          <w:snapToGrid w:val="0"/>
        </w:rPr>
        <w:tab/>
        <w:t>(1)</w:t>
      </w:r>
      <w:r>
        <w:rPr>
          <w:snapToGrid w:val="0"/>
        </w:rPr>
        <w:tab/>
        <w:t>Subject to section 105, an applicant for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 or</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rPr>
        <w:tab/>
        <w:t xml:space="preserve">a works approval or licence or transfer of a works approval or licence who is aggrieved by the specification by the </w:t>
      </w:r>
      <w:r>
        <w:t>CEO</w:t>
      </w:r>
      <w:r>
        <w:rPr>
          <w:snapToGrid w:val="0"/>
        </w:rPr>
        <w:t xml:space="preserve"> of any condition in the works approval or licence under section 54(3), 57(3) or 64(2),</w:t>
      </w:r>
    </w:p>
    <w:p>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spacing w:val="-4"/>
        </w:rPr>
      </w:pPr>
      <w:r>
        <w:tab/>
        <w:t>(3)</w:t>
      </w:r>
      <w:r>
        <w:tab/>
      </w:r>
      <w:r>
        <w:rPr>
          <w:snapToGrid w:val="0"/>
          <w:spacing w:val="-4"/>
        </w:rPr>
        <w:t xml:space="preserve">A </w:t>
      </w:r>
      <w:r>
        <w:t>person</w:t>
      </w:r>
      <w:r>
        <w:rPr>
          <w:snapToGrid w:val="0"/>
          <w:spacing w:val="-4"/>
        </w:rPr>
        <w:t xml:space="preserve">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rPr>
          <w:snapToGrid w:val="0"/>
        </w:rPr>
      </w:pPr>
      <w:r>
        <w:rPr>
          <w:snapToGrid w:val="0"/>
        </w:rPr>
        <w:lastRenderedPageBreak/>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w:t>
      </w:r>
      <w:r>
        <w:t>setting</w:t>
      </w:r>
      <w:r>
        <w:rPr>
          <w:snapToGrid w:val="0"/>
        </w:rPr>
        <w:t xml:space="preserve"> out the grounds of that appeal.</w:t>
      </w:r>
    </w:p>
    <w:p>
      <w:pPr>
        <w:pStyle w:val="Subsection"/>
        <w:spacing w:before="120"/>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spacing w:before="120"/>
      </w:pPr>
      <w:r>
        <w:tab/>
        <w:t>(5)</w:t>
      </w:r>
      <w:r>
        <w:tab/>
        <w:t>Pending the determination of the relevant appeal lodged under subsection (2) in respect of an amendment, the amendment shall be deemed not to have been made.</w:t>
      </w:r>
    </w:p>
    <w:p>
      <w:pPr>
        <w:pStyle w:val="Subsection"/>
        <w:spacing w:before="120"/>
        <w:rPr>
          <w:snapToGrid w:val="0"/>
        </w:rPr>
      </w:pPr>
      <w:r>
        <w:tab/>
        <w:t>(6)</w:t>
      </w:r>
      <w:r>
        <w:tab/>
        <w:t>Pending the determination of the relevant appeal lodged under subsection (3) in respect of an amendment, the amendment continues to have effect.</w:t>
      </w:r>
    </w:p>
    <w:p>
      <w:pPr>
        <w:pStyle w:val="Footnotesection"/>
        <w:spacing w:before="100"/>
      </w:pPr>
      <w:r>
        <w:tab/>
        <w:t>[Section 102 amended: No. 54 of 2003 s. 82, 99 and 140(2); No. 40 of 2010 s. 11.]</w:t>
      </w:r>
    </w:p>
    <w:p>
      <w:pPr>
        <w:pStyle w:val="Heading5"/>
        <w:rPr>
          <w:snapToGrid w:val="0"/>
        </w:rPr>
      </w:pPr>
      <w:bookmarkStart w:id="305" w:name="_Toc158985568"/>
      <w:r>
        <w:rPr>
          <w:rStyle w:val="CharSectno"/>
        </w:rPr>
        <w:t>103</w:t>
      </w:r>
      <w:r>
        <w:rPr>
          <w:snapToGrid w:val="0"/>
        </w:rPr>
        <w:t>.</w:t>
      </w:r>
      <w:r>
        <w:rPr>
          <w:snapToGrid w:val="0"/>
        </w:rPr>
        <w:tab/>
        <w:t>Appeals against decisions as to notices issued under s. 65, 68A, 70 or 73A</w:t>
      </w:r>
      <w:bookmarkEnd w:id="305"/>
    </w:p>
    <w:p>
      <w:pPr>
        <w:pStyle w:val="Subsection"/>
        <w:spacing w:before="120"/>
      </w:pPr>
      <w:r>
        <w:tab/>
        <w:t>(1)</w:t>
      </w:r>
      <w:r>
        <w:tab/>
        <w:t>Subject to section 105, a person who is aggrieved by —</w:t>
      </w:r>
    </w:p>
    <w:p>
      <w:pPr>
        <w:pStyle w:val="Indenta"/>
        <w:spacing w:before="60"/>
      </w:pPr>
      <w:r>
        <w:tab/>
        <w:t>(a)</w:t>
      </w:r>
      <w:r>
        <w:tab/>
        <w:t>a requirement contained in a closure notice, environmental protection notice, vegetation conservation notice or prevention notice given to that person; or</w:t>
      </w:r>
    </w:p>
    <w:p>
      <w:pPr>
        <w:pStyle w:val="Indenta"/>
        <w:spacing w:before="60"/>
      </w:pPr>
      <w:r>
        <w:tab/>
        <w:t>(b)</w:t>
      </w:r>
      <w:r>
        <w:tab/>
        <w:t>an amendment contained in a notice given to that person under section 65(4) or under section 65(4) as applied by section 68A(10) or 70(8),</w:t>
      </w:r>
    </w:p>
    <w:p>
      <w:pPr>
        <w:pStyle w:val="Subsection"/>
        <w:spacing w:before="120"/>
      </w:pPr>
      <w:r>
        <w:tab/>
      </w:r>
      <w:r>
        <w:tab/>
        <w:t>may within 21 days of being given that notice lodge with the Minister an appeal in writing setting out the grounds of that appeal.</w:t>
      </w:r>
    </w:p>
    <w:p>
      <w:pPr>
        <w:pStyle w:val="Subsection"/>
        <w:keepLines/>
        <w:spacing w:before="120"/>
        <w:rPr>
          <w:snapToGrid w:val="0"/>
        </w:rPr>
      </w:pPr>
      <w:r>
        <w:rPr>
          <w:snapToGrid w:val="0"/>
        </w:rPr>
        <w:lastRenderedPageBreak/>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spacing w:before="120"/>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spacing w:before="100"/>
      </w:pPr>
      <w:r>
        <w:tab/>
        <w:t>[Section 103 amended: No. 54 of 2003 s. 63.]</w:t>
      </w:r>
    </w:p>
    <w:p>
      <w:pPr>
        <w:pStyle w:val="Heading5"/>
        <w:rPr>
          <w:snapToGrid w:val="0"/>
        </w:rPr>
      </w:pPr>
      <w:bookmarkStart w:id="306" w:name="_Toc158985569"/>
      <w:r>
        <w:rPr>
          <w:rStyle w:val="CharSectno"/>
        </w:rPr>
        <w:t>104</w:t>
      </w:r>
      <w:r>
        <w:rPr>
          <w:snapToGrid w:val="0"/>
        </w:rPr>
        <w:t>.</w:t>
      </w:r>
      <w:r>
        <w:rPr>
          <w:snapToGrid w:val="0"/>
        </w:rPr>
        <w:tab/>
        <w:t>Appeals against CEO’s requirements under s. 96 or 97</w:t>
      </w:r>
      <w:bookmarkEnd w:id="306"/>
    </w:p>
    <w:p>
      <w:pPr>
        <w:pStyle w:val="Subsection"/>
        <w:rPr>
          <w:snapToGrid w:val="0"/>
        </w:rPr>
      </w:pPr>
      <w:r>
        <w:rPr>
          <w:snapToGrid w:val="0"/>
        </w:rPr>
        <w:tab/>
        <w:t>(1)</w:t>
      </w:r>
      <w:r>
        <w:rPr>
          <w:snapToGrid w:val="0"/>
        </w:rPr>
        <w:tab/>
        <w:t xml:space="preserve">A person who is aggrieved by a requirement contained in a notice served on </w:t>
      </w:r>
      <w:r>
        <w:t>the person</w:t>
      </w:r>
      <w:r>
        <w:rPr>
          <w:snapToGrid w:val="0"/>
        </w:rPr>
        <w:t xml:space="preserve"> under section 96(1) or 97(1) may within 21 days of that service lodge with the Minister an appeal in writing setting out the grounds of that appeal.</w:t>
      </w:r>
    </w:p>
    <w:p>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Footnotesection"/>
      </w:pPr>
      <w:r>
        <w:tab/>
        <w:t>[Section 104 amended: No. 40 of 2020 s. 111(1).]</w:t>
      </w:r>
    </w:p>
    <w:p>
      <w:pPr>
        <w:pStyle w:val="Heading5"/>
        <w:rPr>
          <w:snapToGrid w:val="0"/>
        </w:rPr>
      </w:pPr>
      <w:bookmarkStart w:id="307" w:name="_Toc158985570"/>
      <w:r>
        <w:rPr>
          <w:rStyle w:val="CharSectno"/>
        </w:rPr>
        <w:t>105</w:t>
      </w:r>
      <w:r>
        <w:rPr>
          <w:snapToGrid w:val="0"/>
        </w:rPr>
        <w:t>.</w:t>
      </w:r>
      <w:r>
        <w:rPr>
          <w:snapToGrid w:val="0"/>
        </w:rPr>
        <w:tab/>
        <w:t>Matters that cannot be appealed</w:t>
      </w:r>
      <w:bookmarkEnd w:id="307"/>
    </w:p>
    <w:p>
      <w:pPr>
        <w:pStyle w:val="Subsection"/>
        <w:rPr>
          <w:snapToGrid w:val="0"/>
        </w:rPr>
      </w:pPr>
      <w:r>
        <w:rPr>
          <w:snapToGrid w:val="0"/>
        </w:rPr>
        <w:tab/>
      </w:r>
      <w:r>
        <w:rPr>
          <w:snapToGrid w:val="0"/>
        </w:rPr>
        <w:tab/>
        <w:t>An appeal shall not be lodged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 or</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ind w:left="890" w:hanging="890"/>
      </w:pPr>
      <w:r>
        <w:tab/>
        <w:t>[Section 105 amended: No. 54 of 2003 s. 83, 113 and 140(2).]</w:t>
      </w:r>
    </w:p>
    <w:p>
      <w:pPr>
        <w:pStyle w:val="Heading5"/>
        <w:keepLines w:val="0"/>
      </w:pPr>
      <w:bookmarkStart w:id="308" w:name="_Toc158985571"/>
      <w:r>
        <w:rPr>
          <w:rStyle w:val="CharSectno"/>
        </w:rPr>
        <w:lastRenderedPageBreak/>
        <w:t>106</w:t>
      </w:r>
      <w:r>
        <w:t>.</w:t>
      </w:r>
      <w:r>
        <w:tab/>
        <w:t>Preliminary procedure on appeals</w:t>
      </w:r>
      <w:bookmarkEnd w:id="308"/>
    </w:p>
    <w:p>
      <w:pPr>
        <w:pStyle w:val="Subsection"/>
      </w:pPr>
      <w:r>
        <w:tab/>
        <w:t>(1)</w:t>
      </w:r>
      <w:r>
        <w:tab/>
        <w:t xml:space="preserve">When an </w:t>
      </w:r>
      <w:r>
        <w:rPr>
          <w:snapToGrid w:val="0"/>
        </w:rPr>
        <w:t>appeal</w:t>
      </w:r>
      <w:r>
        <w:t xml:space="preserve"> is lodged under this Part, the Appeals Convenor —</w:t>
      </w:r>
    </w:p>
    <w:p>
      <w:pPr>
        <w:pStyle w:val="Indenta"/>
      </w:pPr>
      <w:r>
        <w:tab/>
        <w:t>(a)</w:t>
      </w:r>
      <w:r>
        <w:tab/>
        <w:t>if the appeal is lodged under section 100, shall request the Authority to report to the Minister on the appeal; and</w:t>
      </w:r>
    </w:p>
    <w:p>
      <w:pPr>
        <w:pStyle w:val="Indenta"/>
      </w:pPr>
      <w:r>
        <w:tab/>
        <w:t>(b)</w:t>
      </w:r>
      <w:r>
        <w:tab/>
        <w:t>if the appeal is lodged under section 101A, 102, 103 or 104, shall request the CEO to report to the Minister on the appeal; and</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pPr>
      <w:r>
        <w:tab/>
        <w:t>(2)</w:t>
      </w:r>
      <w:r>
        <w:tab/>
        <w:t>When an appeal is lodged under this Part, the Minister —</w:t>
      </w:r>
    </w:p>
    <w:p>
      <w:pPr>
        <w:pStyle w:val="Indenta"/>
      </w:pPr>
      <w:r>
        <w:tab/>
        <w:t>(a)</w:t>
      </w:r>
      <w:r>
        <w:tab/>
        <w:t>may, in any case; or</w:t>
      </w:r>
    </w:p>
    <w:p>
      <w:pPr>
        <w:pStyle w:val="Indenta"/>
      </w:pPr>
      <w:r>
        <w:tab/>
        <w:t>(b)</w:t>
      </w:r>
      <w:r>
        <w:tab/>
        <w:t>shall, if the decision appealed against is a decision of the Minister,</w:t>
      </w:r>
    </w:p>
    <w:p>
      <w:pPr>
        <w:pStyle w:val="Subsection"/>
      </w:pPr>
      <w:r>
        <w:tab/>
      </w:r>
      <w:r>
        <w:tab/>
        <w:t>appoint an appeals committee to consider and report to the Minister on the appeal.</w:t>
      </w:r>
    </w:p>
    <w:p>
      <w:pPr>
        <w:pStyle w:val="Subsection"/>
      </w:pPr>
      <w:r>
        <w:tab/>
        <w:t>(3)</w:t>
      </w:r>
      <w:r>
        <w:tab/>
        <w:t>Subsection (2) does not apply to an appeal referred to in section 101(2d).</w:t>
      </w:r>
    </w:p>
    <w:p>
      <w:pPr>
        <w:pStyle w:val="Subsection"/>
      </w:pPr>
      <w:r>
        <w:tab/>
        <w:t>(4)</w:t>
      </w:r>
      <w:r>
        <w:tab/>
        <w:t>Subsection (1) does not apply if an appeals committee has been appointed.</w:t>
      </w:r>
    </w:p>
    <w:p>
      <w:pPr>
        <w:pStyle w:val="Subsection"/>
      </w:pPr>
      <w:r>
        <w:tab/>
        <w:t>(5)</w:t>
      </w:r>
      <w:r>
        <w:tab/>
        <w:t>If an appeal is lodged under section 100 by a person other than a decision</w:t>
      </w:r>
      <w:r>
        <w:noBreakHyphen/>
        <w:t>making authority and the decision</w:t>
      </w:r>
      <w:r>
        <w:noBreakHyphen/>
        <w:t xml:space="preserve">making authority has made submissions to the Minister in respect of the proposal to which the appeal relates — </w:t>
      </w:r>
    </w:p>
    <w:p>
      <w:pPr>
        <w:pStyle w:val="Indenta"/>
      </w:pPr>
      <w:r>
        <w:tab/>
        <w:t>(a)</w:t>
      </w:r>
      <w:r>
        <w:tab/>
        <w:t>the Appeals Convenor must have regard to those submissions when reporting on, and otherwise dealing with, the appeal; and</w:t>
      </w:r>
    </w:p>
    <w:p>
      <w:pPr>
        <w:pStyle w:val="Indenta"/>
      </w:pPr>
      <w:r>
        <w:lastRenderedPageBreak/>
        <w:tab/>
        <w:t>(b)</w:t>
      </w:r>
      <w:r>
        <w:tab/>
        <w:t>if an appeals committee has been appointed, it must have regard to those submissions when considering and reporting to the Minister on the appeal.</w:t>
      </w:r>
    </w:p>
    <w:p>
      <w:pPr>
        <w:pStyle w:val="Footnotesection"/>
        <w:ind w:left="890" w:hanging="890"/>
      </w:pPr>
      <w:r>
        <w:tab/>
        <w:t>[Section 106 inserted: No. 54 of 2003 s. 100; amended: No. 40 of 2010 s. 8; No. 40 of 2020 s. 88(2).]</w:t>
      </w:r>
    </w:p>
    <w:p>
      <w:pPr>
        <w:pStyle w:val="Heading5"/>
        <w:rPr>
          <w:snapToGrid w:val="0"/>
        </w:rPr>
      </w:pPr>
      <w:bookmarkStart w:id="309" w:name="_Toc158985572"/>
      <w:r>
        <w:rPr>
          <w:rStyle w:val="CharSectno"/>
        </w:rPr>
        <w:t>107</w:t>
      </w:r>
      <w:r>
        <w:rPr>
          <w:snapToGrid w:val="0"/>
        </w:rPr>
        <w:t>.</w:t>
      </w:r>
      <w:r>
        <w:rPr>
          <w:snapToGrid w:val="0"/>
        </w:rPr>
        <w:tab/>
      </w:r>
      <w:r>
        <w:t>Minister’s powers on appeal</w:t>
      </w:r>
      <w:bookmarkEnd w:id="309"/>
    </w:p>
    <w:p>
      <w:pPr>
        <w:pStyle w:val="Ednotesubsection"/>
      </w:pPr>
      <w:r>
        <w:tab/>
        <w:t>[(1)</w:t>
      </w:r>
      <w:r>
        <w:tab/>
        <w:t>deleted]</w:t>
      </w:r>
    </w:p>
    <w:p>
      <w:pPr>
        <w:pStyle w:val="Subsection"/>
        <w:rPr>
          <w:snapToGrid w:val="0"/>
        </w:rPr>
      </w:pPr>
      <w:r>
        <w:rPr>
          <w:snapToGrid w:val="0"/>
        </w:rPr>
        <w:tab/>
        <w:t>(2)</w:t>
      </w:r>
      <w:r>
        <w:rPr>
          <w:snapToGrid w:val="0"/>
        </w:rPr>
        <w:tab/>
        <w:t xml:space="preserve">On receiving a report or reports </w:t>
      </w:r>
      <w:r>
        <w:t xml:space="preserve">mentioned in section 106(1)(a), (b) or (d), </w:t>
      </w:r>
      <w:r>
        <w:rPr>
          <w:snapToGrid w:val="0"/>
        </w:rPr>
        <w:t>the Minister may allow or dismiss the appeal to which that report relates and the decision of the Minister under this subsection shall be final and without appeal.</w:t>
      </w:r>
    </w:p>
    <w:p>
      <w:pPr>
        <w:pStyle w:val="Subsection"/>
        <w:keepNext/>
        <w:keepLines/>
        <w:rPr>
          <w:snapToGrid w:val="0"/>
        </w:rPr>
      </w:pPr>
      <w:r>
        <w:rPr>
          <w:snapToGrid w:val="0"/>
        </w:rPr>
        <w:tab/>
        <w:t>(3)</w:t>
      </w:r>
      <w:r>
        <w:rPr>
          <w:snapToGrid w:val="0"/>
        </w:rPr>
        <w:tab/>
        <w:t>Subsection (2) does not apply to an appeal referred to in</w:t>
      </w:r>
      <w:r>
        <w:t xml:space="preserve"> section 101(2d).</w:t>
      </w:r>
    </w:p>
    <w:p>
      <w:pPr>
        <w:pStyle w:val="Footnotesection"/>
      </w:pPr>
      <w:r>
        <w:tab/>
        <w:t>[Section 107 amended: No. 23 of 1996 s. 25; No. 14 of 1998 s. 24; No. 54 of 2003 s. 101; No. 40 of 2010 s. 9; No. 40 of 2020 s. 89.]</w:t>
      </w:r>
    </w:p>
    <w:p>
      <w:pPr>
        <w:pStyle w:val="Heading5"/>
      </w:pPr>
      <w:bookmarkStart w:id="310" w:name="_Toc158985573"/>
      <w:r>
        <w:rPr>
          <w:rStyle w:val="CharSectno"/>
        </w:rPr>
        <w:t>107A</w:t>
      </w:r>
      <w:r>
        <w:t>.</w:t>
      </w:r>
      <w:r>
        <w:tab/>
        <w:t>Appeals Convenor, appointment of</w:t>
      </w:r>
      <w:bookmarkEnd w:id="310"/>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If —</w:t>
      </w:r>
    </w:p>
    <w:p>
      <w:pPr>
        <w:pStyle w:val="Indenta"/>
      </w:pPr>
      <w:r>
        <w:tab/>
        <w:t>(a)</w:t>
      </w:r>
      <w:r>
        <w:tab/>
        <w:t>the Appeals Convenor is unable to act by reason of illness, absence or other cause; or</w:t>
      </w:r>
    </w:p>
    <w:p>
      <w:pPr>
        <w:pStyle w:val="Indenta"/>
        <w:keepNext/>
      </w:pPr>
      <w:r>
        <w:lastRenderedPageBreak/>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No. 54 of 2003 s. 102.]</w:t>
      </w:r>
    </w:p>
    <w:p>
      <w:pPr>
        <w:pStyle w:val="Heading5"/>
      </w:pPr>
      <w:bookmarkStart w:id="311" w:name="_Toc158985574"/>
      <w:r>
        <w:rPr>
          <w:rStyle w:val="CharSectno"/>
        </w:rPr>
        <w:t>107B</w:t>
      </w:r>
      <w:r>
        <w:t>.</w:t>
      </w:r>
      <w:r>
        <w:tab/>
        <w:t>Functions of Appeals Convenor</w:t>
      </w:r>
      <w:bookmarkEnd w:id="311"/>
    </w:p>
    <w:p>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the Appeals Convenor’s functions.</w:t>
      </w:r>
    </w:p>
    <w:p>
      <w:pPr>
        <w:pStyle w:val="Subsection"/>
      </w:pPr>
      <w:r>
        <w:tab/>
        <w:t>(4)</w:t>
      </w:r>
      <w:r>
        <w:tab/>
        <w:t>If an appeal under section 100, 101A, 101B(1), 102, 103 or 104(1), as enacted at any time, is lodged with the Appeals Convenor, it is taken to have been lodged with the Minister.</w:t>
      </w:r>
    </w:p>
    <w:p>
      <w:pPr>
        <w:pStyle w:val="Subsection"/>
        <w:keepNext/>
      </w:pPr>
      <w:r>
        <w:lastRenderedPageBreak/>
        <w:tab/>
        <w:t>(5)</w:t>
      </w:r>
      <w:r>
        <w:tab/>
        <w:t xml:space="preserve">Subsection (4) extends, and is taken to have always extended, to appeals lodged before the coming into operation of the </w:t>
      </w:r>
      <w:r>
        <w:rPr>
          <w:i/>
        </w:rPr>
        <w:t>Environmental Protection Amendment Act 2020</w:t>
      </w:r>
      <w:r>
        <w:t xml:space="preserve"> section 90.</w:t>
      </w:r>
    </w:p>
    <w:p>
      <w:pPr>
        <w:pStyle w:val="Footnotesection"/>
        <w:keepLines w:val="0"/>
        <w:spacing w:before="100"/>
        <w:ind w:left="890" w:hanging="890"/>
      </w:pPr>
      <w:r>
        <w:tab/>
        <w:t>[Section 107B inserted: No. 54 of 2003 s. 102; amended: No. 40 of 2020 s. 90 and 111(1).]</w:t>
      </w:r>
    </w:p>
    <w:p>
      <w:pPr>
        <w:pStyle w:val="Heading5"/>
      </w:pPr>
      <w:bookmarkStart w:id="312" w:name="_Toc158985575"/>
      <w:r>
        <w:rPr>
          <w:rStyle w:val="CharSectno"/>
        </w:rPr>
        <w:t>107C</w:t>
      </w:r>
      <w:r>
        <w:t>.</w:t>
      </w:r>
      <w:r>
        <w:tab/>
        <w:t>Appeals panel, appointment of</w:t>
      </w:r>
      <w:bookmarkEnd w:id="312"/>
      <w:r>
        <w:t xml:space="preserve"> </w:t>
      </w:r>
    </w:p>
    <w:p>
      <w:pPr>
        <w:pStyle w:val="Subsection"/>
        <w:spacing w:before="140"/>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spacing w:before="140"/>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spacing w:before="140"/>
      </w:pPr>
      <w:r>
        <w:tab/>
        <w:t>(3)</w:t>
      </w:r>
      <w:r>
        <w:tab/>
        <w:t>A member of an appeals panel shall be paid remuneration and allowances as if the member were a member of an appeals committee.</w:t>
      </w:r>
    </w:p>
    <w:p>
      <w:pPr>
        <w:pStyle w:val="Footnotesection"/>
        <w:spacing w:before="100"/>
      </w:pPr>
      <w:r>
        <w:tab/>
        <w:t>[Section 107C inserted: No. 54 of 2003 s. 102.]</w:t>
      </w:r>
    </w:p>
    <w:p>
      <w:pPr>
        <w:pStyle w:val="Heading5"/>
      </w:pPr>
      <w:bookmarkStart w:id="313" w:name="_Toc158985576"/>
      <w:r>
        <w:rPr>
          <w:rStyle w:val="CharSectno"/>
        </w:rPr>
        <w:t>107D</w:t>
      </w:r>
      <w:r>
        <w:t>.</w:t>
      </w:r>
      <w:r>
        <w:tab/>
        <w:t>Administrative procedures for appeals</w:t>
      </w:r>
      <w:bookmarkEnd w:id="313"/>
    </w:p>
    <w:p>
      <w:pPr>
        <w:pStyle w:val="Subsection"/>
      </w:pPr>
      <w:r>
        <w:tab/>
        <w:t>(1)</w:t>
      </w:r>
      <w:r>
        <w:tab/>
        <w:t>The Appeals Convenor may, with the approval of the Minister —</w:t>
      </w:r>
    </w:p>
    <w:p>
      <w:pPr>
        <w:pStyle w:val="Indenta"/>
        <w:spacing w:before="60"/>
      </w:pPr>
      <w:r>
        <w:tab/>
        <w:t>(a)</w:t>
      </w:r>
      <w:r>
        <w:tab/>
        <w:t>draw up administrative procedures as to —</w:t>
      </w:r>
    </w:p>
    <w:p>
      <w:pPr>
        <w:pStyle w:val="Indenti"/>
        <w:spacing w:before="60"/>
      </w:pPr>
      <w:r>
        <w:tab/>
        <w:t>(i)</w:t>
      </w:r>
      <w:r>
        <w:tab/>
        <w:t>the conduct of appeals; and</w:t>
      </w:r>
    </w:p>
    <w:p>
      <w:pPr>
        <w:pStyle w:val="Indenti"/>
        <w:spacing w:before="60"/>
      </w:pPr>
      <w:r>
        <w:tab/>
        <w:t>(ii)</w:t>
      </w:r>
      <w:r>
        <w:tab/>
        <w:t>the appointment, composition and duties of an appeals panel;</w:t>
      </w:r>
    </w:p>
    <w:p>
      <w:pPr>
        <w:pStyle w:val="Indenta"/>
        <w:spacing w:before="60"/>
      </w:pPr>
      <w:r>
        <w:tab/>
      </w:r>
      <w:r>
        <w:tab/>
        <w:t>and</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pPr>
      <w:r>
        <w:lastRenderedPageBreak/>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No. 54 of 2003 s. 102.]</w:t>
      </w:r>
    </w:p>
    <w:p>
      <w:pPr>
        <w:pStyle w:val="Heading5"/>
        <w:rPr>
          <w:snapToGrid w:val="0"/>
        </w:rPr>
      </w:pPr>
      <w:bookmarkStart w:id="314" w:name="_Toc158985577"/>
      <w:r>
        <w:rPr>
          <w:rStyle w:val="CharSectno"/>
        </w:rPr>
        <w:t>108</w:t>
      </w:r>
      <w:r>
        <w:rPr>
          <w:snapToGrid w:val="0"/>
        </w:rPr>
        <w:t>.</w:t>
      </w:r>
      <w:r>
        <w:rPr>
          <w:snapToGrid w:val="0"/>
        </w:rPr>
        <w:tab/>
        <w:t>Appeals committees, composition and remuneration of</w:t>
      </w:r>
      <w:bookmarkEnd w:id="314"/>
      <w:r>
        <w:rPr>
          <w:snapToGrid w:val="0"/>
        </w:rPr>
        <w:t xml:space="preserve"> </w:t>
      </w:r>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w:t>
      </w:r>
      <w:r>
        <w:t>Public Sector Commissioner</w:t>
      </w:r>
      <w:r>
        <w:rPr>
          <w:snapToGrid w:val="0"/>
        </w:rPr>
        <w:t xml:space="preserve"> from time to time determines in respect of </w:t>
      </w:r>
      <w:r>
        <w:t>the member</w:t>
      </w:r>
      <w:r>
        <w:rPr>
          <w:snapToGrid w:val="0"/>
        </w:rPr>
        <w:t xml:space="preserve">,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w:t>
      </w:r>
      <w:r>
        <w:t xml:space="preserve"> Public Sector Commissioner</w:t>
      </w:r>
      <w:r>
        <w:rPr>
          <w:snapToGrid w:val="0"/>
        </w:rPr>
        <w:t>.</w:t>
      </w:r>
    </w:p>
    <w:p>
      <w:pPr>
        <w:pStyle w:val="Footnotesection"/>
        <w:ind w:left="890" w:hanging="890"/>
      </w:pPr>
      <w:r>
        <w:tab/>
        <w:t>[Section 108 amended: No. 32 of 1994 s. 19; No. 57 of 1997 s. 54(9); No. 14 of 1998 s. 37; No. 39 of 2010 s. 89; No. 40 of 2020 s. 111(1).]</w:t>
      </w:r>
    </w:p>
    <w:p>
      <w:pPr>
        <w:pStyle w:val="Heading5"/>
        <w:rPr>
          <w:snapToGrid w:val="0"/>
        </w:rPr>
      </w:pPr>
      <w:bookmarkStart w:id="315" w:name="_Toc158985578"/>
      <w:r>
        <w:rPr>
          <w:rStyle w:val="CharSectno"/>
        </w:rPr>
        <w:t>109</w:t>
      </w:r>
      <w:r>
        <w:rPr>
          <w:snapToGrid w:val="0"/>
        </w:rPr>
        <w:t>.</w:t>
      </w:r>
      <w:r>
        <w:rPr>
          <w:snapToGrid w:val="0"/>
        </w:rPr>
        <w:tab/>
        <w:t>Procedure of appeals committees</w:t>
      </w:r>
      <w:bookmarkEnd w:id="315"/>
    </w:p>
    <w:p>
      <w:pPr>
        <w:pStyle w:val="Subsection"/>
        <w:rPr>
          <w:snapToGrid w:val="0"/>
        </w:rPr>
      </w:pPr>
      <w:r>
        <w:rPr>
          <w:snapToGrid w:val="0"/>
        </w:rPr>
        <w:tab/>
        <w:t>(1)</w:t>
      </w:r>
      <w:r>
        <w:rPr>
          <w:snapToGrid w:val="0"/>
        </w:rPr>
        <w:tab/>
        <w:t>In considering an appeal, an appeals committee —</w:t>
      </w:r>
    </w:p>
    <w:p>
      <w:pPr>
        <w:pStyle w:val="Indenta"/>
      </w:pPr>
      <w:r>
        <w:tab/>
        <w:t>(a)</w:t>
      </w:r>
      <w:r>
        <w:tab/>
        <w:t>shall consult —</w:t>
      </w:r>
    </w:p>
    <w:p>
      <w:pPr>
        <w:pStyle w:val="Indenti"/>
      </w:pPr>
      <w:r>
        <w:tab/>
        <w:t>(i)</w:t>
      </w:r>
      <w:r>
        <w:tab/>
        <w:t>the CEO in the case of an appeal against a decision of the CEO; and</w:t>
      </w:r>
    </w:p>
    <w:p>
      <w:pPr>
        <w:pStyle w:val="Indenti"/>
      </w:pPr>
      <w:r>
        <w:tab/>
        <w:t>(ii)</w:t>
      </w:r>
      <w:r>
        <w:tab/>
        <w:t>the Authority in the case of an appeal against a decision of the Minister or the Authority; and</w:t>
      </w:r>
    </w:p>
    <w:p>
      <w:pPr>
        <w:pStyle w:val="Indenti"/>
        <w:keepNext/>
        <w:keepLines/>
        <w:spacing w:before="60"/>
      </w:pPr>
      <w:r>
        <w:tab/>
        <w:t>(iii)</w:t>
      </w:r>
      <w:r>
        <w:tab/>
        <w:t>the appellant;</w:t>
      </w:r>
    </w:p>
    <w:p>
      <w:pPr>
        <w:pStyle w:val="Indenta"/>
        <w:spacing w:before="60"/>
      </w:pPr>
      <w:r>
        <w:tab/>
      </w:r>
      <w:r>
        <w:tab/>
        <w:t>and</w:t>
      </w:r>
    </w:p>
    <w:p>
      <w:pPr>
        <w:pStyle w:val="Indenta"/>
        <w:spacing w:before="60"/>
      </w:pPr>
      <w:r>
        <w:tab/>
        <w:t>(aa)</w:t>
      </w:r>
      <w:r>
        <w:tab/>
        <w:t>may consult such other persons as it considers necessary; and</w:t>
      </w:r>
    </w:p>
    <w:p>
      <w:pPr>
        <w:pStyle w:val="Indenta"/>
        <w:keepLines/>
        <w:spacing w:before="60"/>
        <w:rPr>
          <w:snapToGrid w:val="0"/>
        </w:rPr>
      </w:pPr>
      <w:r>
        <w:rPr>
          <w:snapToGrid w:val="0"/>
        </w:rPr>
        <w:lastRenderedPageBreak/>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spacing w:before="120"/>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spacing w:before="120"/>
        <w:rPr>
          <w:snapToGrid w:val="0"/>
        </w:rPr>
      </w:pPr>
      <w:r>
        <w:rPr>
          <w:snapToGrid w:val="0"/>
        </w:rPr>
        <w:tab/>
      </w:r>
      <w:r>
        <w:rPr>
          <w:snapToGrid w:val="0"/>
        </w:rPr>
        <w:tab/>
        <w:t>those recommendations and the decision of the Minister under this subsection shall be final and without appeal.</w:t>
      </w:r>
    </w:p>
    <w:p>
      <w:pPr>
        <w:pStyle w:val="Subsection"/>
        <w:spacing w:before="120"/>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spacing w:before="80"/>
        <w:ind w:left="890" w:hanging="890"/>
      </w:pPr>
      <w:r>
        <w:tab/>
        <w:t>[Section 109 amended: No. 54 of 2003 s. 84, 103 and 114.]</w:t>
      </w:r>
    </w:p>
    <w:p>
      <w:pPr>
        <w:pStyle w:val="Heading5"/>
        <w:rPr>
          <w:snapToGrid w:val="0"/>
        </w:rPr>
      </w:pPr>
      <w:bookmarkStart w:id="316" w:name="_Toc158985579"/>
      <w:r>
        <w:rPr>
          <w:rStyle w:val="CharSectno"/>
        </w:rPr>
        <w:lastRenderedPageBreak/>
        <w:t>110</w:t>
      </w:r>
      <w:r>
        <w:rPr>
          <w:snapToGrid w:val="0"/>
        </w:rPr>
        <w:t>.</w:t>
      </w:r>
      <w:r>
        <w:rPr>
          <w:snapToGrid w:val="0"/>
        </w:rPr>
        <w:tab/>
        <w:t>Minister’s decisions on appeals, implementation and publication of</w:t>
      </w:r>
      <w:bookmarkEnd w:id="316"/>
    </w:p>
    <w:p>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rPr>
          <w:snapToGrid w:val="0"/>
        </w:rPr>
      </w:pPr>
      <w:r>
        <w:rPr>
          <w:snapToGrid w:val="0"/>
        </w:rPr>
        <w:tab/>
        <w:t>(2)</w:t>
      </w:r>
      <w:r>
        <w:rPr>
          <w:snapToGrid w:val="0"/>
        </w:rPr>
        <w:tab/>
        <w:t>The Minister shall cause such details of decisions under this Part in respect of appeals to be published in such manner as is prescribed.</w:t>
      </w:r>
    </w:p>
    <w:p>
      <w:pPr>
        <w:pStyle w:val="Subsection"/>
      </w:pPr>
      <w:r>
        <w:tab/>
        <w:t>(3)</w:t>
      </w:r>
      <w:r>
        <w:tab/>
        <w:t>If implementation conditions are changed on an appeal under section 100(3), a statement setting out the implementation conditions as changed must be published by the Minister and section 45(8)(b) applies.</w:t>
      </w:r>
    </w:p>
    <w:p>
      <w:pPr>
        <w:pStyle w:val="Footnotesection"/>
        <w:spacing w:before="80"/>
        <w:ind w:left="890" w:hanging="890"/>
      </w:pPr>
      <w:r>
        <w:tab/>
        <w:t>[Section 110 amended: No. 23 of 1996 s. 26; No. 54 of 2003 s. 140(2); No. 40 of 2020 s. 91.]</w:t>
      </w:r>
    </w:p>
    <w:p>
      <w:pPr>
        <w:pStyle w:val="Heading2"/>
      </w:pPr>
      <w:bookmarkStart w:id="317" w:name="_Toc158980911"/>
      <w:bookmarkStart w:id="318" w:name="_Toc158981310"/>
      <w:bookmarkStart w:id="319" w:name="_Toc158985580"/>
      <w:r>
        <w:rPr>
          <w:rStyle w:val="CharPartNo"/>
        </w:rPr>
        <w:lastRenderedPageBreak/>
        <w:t>Part VIIA</w:t>
      </w:r>
      <w:r>
        <w:t xml:space="preserve"> — </w:t>
      </w:r>
      <w:r>
        <w:rPr>
          <w:rStyle w:val="CharPartText"/>
        </w:rPr>
        <w:t>Landfill levy</w:t>
      </w:r>
      <w:bookmarkEnd w:id="317"/>
      <w:bookmarkEnd w:id="318"/>
      <w:bookmarkEnd w:id="319"/>
    </w:p>
    <w:p>
      <w:pPr>
        <w:pStyle w:val="Footnoteheading"/>
        <w:tabs>
          <w:tab w:val="left" w:pos="909"/>
        </w:tabs>
      </w:pPr>
      <w:r>
        <w:tab/>
        <w:t>[Heading inserted: No. 14 of 1998 s. 20.]</w:t>
      </w:r>
    </w:p>
    <w:p>
      <w:pPr>
        <w:pStyle w:val="Heading3"/>
      </w:pPr>
      <w:bookmarkStart w:id="320" w:name="_Toc158980912"/>
      <w:bookmarkStart w:id="321" w:name="_Toc158981311"/>
      <w:bookmarkStart w:id="322" w:name="_Toc158985581"/>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320"/>
      <w:bookmarkEnd w:id="321"/>
      <w:bookmarkEnd w:id="322"/>
    </w:p>
    <w:p>
      <w:pPr>
        <w:pStyle w:val="Footnoteheading"/>
        <w:tabs>
          <w:tab w:val="left" w:pos="909"/>
        </w:tabs>
      </w:pPr>
      <w:r>
        <w:tab/>
        <w:t>[Heading inserted: No. 14 of 1998 s. 20.]</w:t>
      </w:r>
    </w:p>
    <w:p>
      <w:pPr>
        <w:pStyle w:val="Heading5"/>
      </w:pPr>
      <w:bookmarkStart w:id="323" w:name="_Toc158985582"/>
      <w:r>
        <w:rPr>
          <w:rStyle w:val="CharSectno"/>
        </w:rPr>
        <w:t>110A</w:t>
      </w:r>
      <w:r>
        <w:t>.</w:t>
      </w:r>
      <w:r>
        <w:tab/>
        <w:t>Terms used</w:t>
      </w:r>
      <w:bookmarkEnd w:id="323"/>
    </w:p>
    <w:p>
      <w:pPr>
        <w:pStyle w:val="Subsection"/>
      </w:pPr>
      <w:r>
        <w:tab/>
      </w:r>
      <w:r>
        <w:tab/>
        <w:t>In this Part —</w:t>
      </w:r>
    </w:p>
    <w:p>
      <w:pPr>
        <w:pStyle w:val="Defstart"/>
      </w:pPr>
      <w:r>
        <w:rPr>
          <w:b/>
        </w:rPr>
        <w:tab/>
      </w:r>
      <w:r>
        <w:rPr>
          <w:rStyle w:val="CharDefText"/>
        </w:rPr>
        <w:t>Account</w:t>
      </w:r>
      <w:r>
        <w:t xml:space="preserve"> means the Waste Management and Recycling Account established under section 110H;</w:t>
      </w:r>
    </w:p>
    <w:p>
      <w:pPr>
        <w:pStyle w:val="Defstart"/>
      </w:pPr>
      <w:r>
        <w:tab/>
      </w:r>
      <w:r>
        <w:rPr>
          <w:rStyle w:val="CharDefText"/>
        </w:rPr>
        <w:t>levy</w:t>
      </w:r>
      <w:r>
        <w:t xml:space="preserve"> means a levy imposed under the </w:t>
      </w:r>
      <w:r>
        <w:rPr>
          <w:i/>
        </w:rPr>
        <w:t>Environmental Protection (Landfill) Levy Act 1998</w:t>
      </w:r>
      <w:r>
        <w:t>.</w:t>
      </w:r>
    </w:p>
    <w:p>
      <w:pPr>
        <w:pStyle w:val="Footnotesection"/>
      </w:pPr>
      <w:r>
        <w:tab/>
        <w:t>[Section 110A inserted: No. 14 of 1998 s. 20; amended: No. 77 of 2006 Sch. 1 cl. 59(2).]</w:t>
      </w:r>
    </w:p>
    <w:p>
      <w:pPr>
        <w:pStyle w:val="Heading5"/>
      </w:pPr>
      <w:bookmarkStart w:id="324" w:name="_Toc158985583"/>
      <w:r>
        <w:rPr>
          <w:rStyle w:val="CharSectno"/>
        </w:rPr>
        <w:t>110B</w:t>
      </w:r>
      <w:r>
        <w:t>.</w:t>
      </w:r>
      <w:r>
        <w:tab/>
        <w:t>Payment of levy</w:t>
      </w:r>
      <w:bookmarkEnd w:id="324"/>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No. 14 of 1998 s. 20.]</w:t>
      </w:r>
    </w:p>
    <w:p>
      <w:pPr>
        <w:pStyle w:val="Heading5"/>
      </w:pPr>
      <w:bookmarkStart w:id="325" w:name="_Toc158985584"/>
      <w:r>
        <w:rPr>
          <w:rStyle w:val="CharSectno"/>
        </w:rPr>
        <w:t>110C</w:t>
      </w:r>
      <w:r>
        <w:t>.</w:t>
      </w:r>
      <w:r>
        <w:tab/>
        <w:t>Financial assurance</w:t>
      </w:r>
      <w:bookmarkEnd w:id="325"/>
    </w:p>
    <w:p>
      <w:pPr>
        <w:pStyle w:val="Subsection"/>
      </w:pPr>
      <w:r>
        <w:tab/>
      </w:r>
      <w:r>
        <w:tab/>
        <w:t>The regulations may make provision —</w:t>
      </w:r>
    </w:p>
    <w:p>
      <w:pPr>
        <w:pStyle w:val="Indenta"/>
      </w:pPr>
      <w:r>
        <w:tab/>
        <w:t>(a)</w:t>
      </w:r>
      <w:r>
        <w:tab/>
        <w:t>empowering the CEO to require a licensee to provide a financial assurance for the purpose of securing or guaranteeing payment of a levy; and</w:t>
      </w:r>
    </w:p>
    <w:p>
      <w:pPr>
        <w:pStyle w:val="Indenta"/>
      </w:pPr>
      <w:r>
        <w:tab/>
        <w:t>(b)</w:t>
      </w:r>
      <w:r>
        <w:tab/>
        <w:t>with respect to the form, amount, maintenance and termination of the financial assurance; and</w:t>
      </w:r>
    </w:p>
    <w:p>
      <w:pPr>
        <w:pStyle w:val="Indenta"/>
      </w:pPr>
      <w:r>
        <w:lastRenderedPageBreak/>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No. 14 of 1998 s. 20; amended: No. 54 of 2003 s. 140(2).]</w:t>
      </w:r>
    </w:p>
    <w:p>
      <w:pPr>
        <w:pStyle w:val="Heading5"/>
      </w:pPr>
      <w:bookmarkStart w:id="326" w:name="_Toc158985585"/>
      <w:r>
        <w:rPr>
          <w:rStyle w:val="CharSectno"/>
        </w:rPr>
        <w:t>110D</w:t>
      </w:r>
      <w:r>
        <w:t>.</w:t>
      </w:r>
      <w:r>
        <w:tab/>
        <w:t>Payment by instalments</w:t>
      </w:r>
      <w:bookmarkEnd w:id="326"/>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If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No. 14 of 1998 s. 20.]</w:t>
      </w:r>
    </w:p>
    <w:p>
      <w:pPr>
        <w:pStyle w:val="Heading5"/>
      </w:pPr>
      <w:bookmarkStart w:id="327" w:name="_Toc158985586"/>
      <w:r>
        <w:rPr>
          <w:rStyle w:val="CharSectno"/>
        </w:rPr>
        <w:t>110E</w:t>
      </w:r>
      <w:r>
        <w:t>.</w:t>
      </w:r>
      <w:r>
        <w:tab/>
        <w:t>Penalty for non</w:t>
      </w:r>
      <w:r>
        <w:noBreakHyphen/>
        <w:t>payment</w:t>
      </w:r>
      <w:bookmarkEnd w:id="327"/>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No. 14 of 1998 s. 20.]</w:t>
      </w:r>
    </w:p>
    <w:p>
      <w:pPr>
        <w:pStyle w:val="Heading5"/>
        <w:spacing w:before="180"/>
      </w:pPr>
      <w:bookmarkStart w:id="328" w:name="_Toc158985587"/>
      <w:r>
        <w:rPr>
          <w:rStyle w:val="CharSectno"/>
        </w:rPr>
        <w:lastRenderedPageBreak/>
        <w:t>110F</w:t>
      </w:r>
      <w:r>
        <w:t>.</w:t>
      </w:r>
      <w:r>
        <w:tab/>
        <w:t>Recovery of levy</w:t>
      </w:r>
      <w:bookmarkEnd w:id="328"/>
    </w:p>
    <w:p>
      <w:pPr>
        <w:pStyle w:val="Subsection"/>
      </w:pPr>
      <w:r>
        <w:tab/>
      </w:r>
      <w:r>
        <w:tab/>
        <w:t>The following amounts may be recovered by the Minister in a court of competent jurisdiction as debts due to the Minister —</w:t>
      </w:r>
    </w:p>
    <w:p>
      <w:pPr>
        <w:pStyle w:val="Indenta"/>
        <w:spacing w:before="60"/>
      </w:pPr>
      <w:r>
        <w:tab/>
        <w:t>(a)</w:t>
      </w:r>
      <w:r>
        <w:tab/>
        <w:t>a levy that is due and payable; and</w:t>
      </w:r>
    </w:p>
    <w:p>
      <w:pPr>
        <w:pStyle w:val="Indenta"/>
        <w:spacing w:before="60"/>
      </w:pPr>
      <w:r>
        <w:tab/>
        <w:t>(b)</w:t>
      </w:r>
      <w:r>
        <w:tab/>
        <w:t>an amount payable under section 110E.</w:t>
      </w:r>
    </w:p>
    <w:p>
      <w:pPr>
        <w:pStyle w:val="Footnotesection"/>
      </w:pPr>
      <w:r>
        <w:tab/>
        <w:t>[Section 110F inserted: No. 14 of 1998 s. 20.]</w:t>
      </w:r>
    </w:p>
    <w:p>
      <w:pPr>
        <w:pStyle w:val="Heading5"/>
        <w:spacing w:before="180"/>
      </w:pPr>
      <w:bookmarkStart w:id="329" w:name="_Toc158985588"/>
      <w:r>
        <w:rPr>
          <w:rStyle w:val="CharSectno"/>
        </w:rPr>
        <w:t>110G</w:t>
      </w:r>
      <w:r>
        <w:t>.</w:t>
      </w:r>
      <w:r>
        <w:tab/>
        <w:t>Evading levy</w:t>
      </w:r>
      <w:bookmarkEnd w:id="329"/>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No. 14 of 1998 s. 20.]</w:t>
      </w:r>
    </w:p>
    <w:p>
      <w:pPr>
        <w:pStyle w:val="Heading3"/>
      </w:pPr>
      <w:bookmarkStart w:id="330" w:name="_Toc158980920"/>
      <w:bookmarkStart w:id="331" w:name="_Toc158981319"/>
      <w:bookmarkStart w:id="332" w:name="_Toc158985589"/>
      <w:r>
        <w:rPr>
          <w:rStyle w:val="CharDivNo"/>
        </w:rPr>
        <w:t>Division 2</w:t>
      </w:r>
      <w:r>
        <w:t xml:space="preserve"> — </w:t>
      </w:r>
      <w:r>
        <w:rPr>
          <w:rStyle w:val="CharDivText"/>
        </w:rPr>
        <w:t>Waste Management and Recycling Account</w:t>
      </w:r>
      <w:bookmarkEnd w:id="330"/>
      <w:bookmarkEnd w:id="331"/>
      <w:bookmarkEnd w:id="332"/>
    </w:p>
    <w:p>
      <w:pPr>
        <w:pStyle w:val="Footnotesection"/>
      </w:pPr>
      <w:r>
        <w:tab/>
        <w:t>[Heading inserted: No. 14 of 1998 s. 20; amended: No. 77 of 2006 Sch. 1 cl. 59(3).]</w:t>
      </w:r>
    </w:p>
    <w:p>
      <w:pPr>
        <w:pStyle w:val="Heading5"/>
      </w:pPr>
      <w:bookmarkStart w:id="333" w:name="_Toc158985590"/>
      <w:r>
        <w:rPr>
          <w:rStyle w:val="CharSectno"/>
        </w:rPr>
        <w:t>110H</w:t>
      </w:r>
      <w:r>
        <w:t>.</w:t>
      </w:r>
      <w:r>
        <w:tab/>
        <w:t>Waste Management and Recycling Account</w:t>
      </w:r>
      <w:bookmarkEnd w:id="333"/>
    </w:p>
    <w:p>
      <w:pPr>
        <w:pStyle w:val="Subsection"/>
      </w:pPr>
      <w:r>
        <w:tab/>
        <w:t>(1)</w:t>
      </w:r>
      <w:r>
        <w:tab/>
        <w:t>An account called the Waste Management and Recycling Account is to be established —</w:t>
      </w:r>
    </w:p>
    <w:p>
      <w:pPr>
        <w:pStyle w:val="Indenta"/>
        <w:spacing w:before="60"/>
      </w:pPr>
      <w:r>
        <w:tab/>
        <w:t>(a)</w:t>
      </w:r>
      <w:r>
        <w:tab/>
        <w:t xml:space="preserve">as an agency special purpose account under section 16 of the </w:t>
      </w:r>
      <w:r>
        <w:rPr>
          <w:i/>
          <w:iCs/>
        </w:rPr>
        <w:t>Financial Management Act 2006</w:t>
      </w:r>
      <w:r>
        <w:t>; or</w:t>
      </w:r>
    </w:p>
    <w:p>
      <w:pPr>
        <w:pStyle w:val="Indenta"/>
        <w:spacing w:before="60"/>
      </w:pPr>
      <w:r>
        <w:tab/>
        <w:t>(b)</w:t>
      </w:r>
      <w:r>
        <w:tab/>
        <w:t>with the approval of the Treasurer, at a bank as defined in section 3 of that Act.</w:t>
      </w:r>
    </w:p>
    <w:p>
      <w:pPr>
        <w:pStyle w:val="Subsection"/>
      </w:pPr>
      <w:r>
        <w:tab/>
        <w:t>(2)</w:t>
      </w:r>
      <w:r>
        <w:tab/>
        <w:t>The Account is to be administered by the Minister.</w:t>
      </w:r>
    </w:p>
    <w:p>
      <w:pPr>
        <w:pStyle w:val="Subsection"/>
        <w:keepNext/>
      </w:pPr>
      <w:r>
        <w:lastRenderedPageBreak/>
        <w:tab/>
        <w:t>(3)</w:t>
      </w:r>
      <w:r>
        <w:tab/>
        <w:t>The Account is to be credited with —</w:t>
      </w:r>
    </w:p>
    <w:p>
      <w:pPr>
        <w:pStyle w:val="Indenta"/>
        <w:spacing w:before="60"/>
      </w:pPr>
      <w:r>
        <w:tab/>
        <w:t>(a)</w:t>
      </w:r>
      <w:r>
        <w:tab/>
        <w:t>any levy paid; and</w:t>
      </w:r>
    </w:p>
    <w:p>
      <w:pPr>
        <w:pStyle w:val="Indenta"/>
      </w:pPr>
      <w:r>
        <w:tab/>
        <w:t>(b)</w:t>
      </w:r>
      <w:r>
        <w:tab/>
        <w:t>any amount paid by way of penalty under section 110E; and</w:t>
      </w:r>
    </w:p>
    <w:p>
      <w:pPr>
        <w:pStyle w:val="Indenta"/>
      </w:pPr>
      <w:r>
        <w:tab/>
        <w:t>(c)</w:t>
      </w:r>
      <w:r>
        <w:tab/>
        <w:t>income derived from the investment of moneys forming part of the Account; and</w:t>
      </w:r>
    </w:p>
    <w:p>
      <w:pPr>
        <w:pStyle w:val="Indenta"/>
      </w:pPr>
      <w:r>
        <w:tab/>
        <w:t>(d)</w:t>
      </w:r>
      <w:r>
        <w:tab/>
        <w:t>any other moneys lawfully payable to the credit of the Account.</w:t>
      </w:r>
    </w:p>
    <w:p>
      <w:pPr>
        <w:pStyle w:val="Subsection"/>
      </w:pPr>
      <w:r>
        <w:tab/>
        <w:t>(4)</w:t>
      </w:r>
      <w:r>
        <w:tab/>
        <w:t>Moneys held in the Account may be applied by the Minister —</w:t>
      </w:r>
    </w:p>
    <w:p>
      <w:pPr>
        <w:pStyle w:val="Indenta"/>
      </w:pPr>
      <w:r>
        <w:tab/>
        <w:t>(a)</w:t>
      </w:r>
      <w:r>
        <w:tab/>
        <w:t>to fund programmes relating to the management, reduction, reuse, recycling, monitoring or measurement of waste that are approved by the Minister; and</w:t>
      </w:r>
    </w:p>
    <w:p>
      <w:pPr>
        <w:pStyle w:val="Indenta"/>
      </w:pPr>
      <w:r>
        <w:tab/>
        <w:t>(b)</w:t>
      </w:r>
      <w:r>
        <w:tab/>
        <w:t>in payment of the costs of administering the Account (including the costs of collecting levies and penalties and support and evaluation services).</w:t>
      </w:r>
    </w:p>
    <w:p>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pPr>
      <w:r>
        <w:tab/>
        <w:t>(6)</w:t>
      </w:r>
      <w:r>
        <w:tab/>
        <w:t>A person or body to whom moneys are paid under subsection (5) who fails to ensure that —</w:t>
      </w:r>
    </w:p>
    <w:p>
      <w:pPr>
        <w:pStyle w:val="Indenta"/>
      </w:pPr>
      <w:r>
        <w:tab/>
        <w:t>(a)</w:t>
      </w:r>
      <w:r>
        <w:tab/>
        <w:t>the moneys are only expended for the purposes of the programme and in accordance with any terms or conditions imposed by the Minister; or</w:t>
      </w:r>
    </w:p>
    <w:p>
      <w:pPr>
        <w:pStyle w:val="Indenta"/>
      </w:pPr>
      <w:r>
        <w:tab/>
        <w:t>(b)</w:t>
      </w:r>
      <w:r>
        <w:tab/>
        <w:t>a performance evaluation in respect of the programme for which the moneys are paid is carried out in accordance with any written direction of the Minister; or</w:t>
      </w:r>
    </w:p>
    <w:p>
      <w:pPr>
        <w:pStyle w:val="Indenta"/>
      </w:pPr>
      <w:r>
        <w:tab/>
        <w:t>(c)</w:t>
      </w:r>
      <w:r>
        <w:tab/>
        <w:t>at such time or times as are prescribed, a special purpose audit is carried out by a registered company auditor of the allocation and expenditure of the moneys; or</w:t>
      </w:r>
    </w:p>
    <w:p>
      <w:pPr>
        <w:pStyle w:val="Indenta"/>
        <w:keepNext/>
        <w:keepLines/>
      </w:pPr>
      <w:r>
        <w:lastRenderedPageBreak/>
        <w:tab/>
        <w:t>(d)</w:t>
      </w:r>
      <w:r>
        <w:tab/>
        <w:t>a report on the audit is prepared by the auditor and a copy of the report is provided to the Minister as soon as is practicable after it is prepared,</w:t>
      </w:r>
    </w:p>
    <w:p>
      <w:pPr>
        <w:pStyle w:val="Subsection"/>
      </w:pPr>
      <w:r>
        <w:tab/>
      </w:r>
      <w:r>
        <w:tab/>
        <w:t>commits an offence.</w:t>
      </w:r>
    </w:p>
    <w:p>
      <w:pPr>
        <w:pStyle w:val="Subsection"/>
        <w:keepNext/>
        <w:keepLines/>
      </w:pPr>
      <w:r>
        <w:tab/>
        <w:t>(7)</w:t>
      </w:r>
      <w:r>
        <w:tab/>
        <w:t>The Minister is to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No. 14 of 1998 s. 20; amended: No. 28 of 2006 s. 211; No. 77 of 2006 Sch. 1 cl. 59(4)-(6).]</w:t>
      </w:r>
    </w:p>
    <w:p>
      <w:pPr>
        <w:pStyle w:val="Heading5"/>
      </w:pPr>
      <w:bookmarkStart w:id="334" w:name="_Toc158985591"/>
      <w:r>
        <w:rPr>
          <w:rStyle w:val="CharSectno"/>
        </w:rPr>
        <w:t>110I</w:t>
      </w:r>
      <w:r>
        <w:t>.</w:t>
      </w:r>
      <w:r>
        <w:tab/>
        <w:t xml:space="preserve">Application of </w:t>
      </w:r>
      <w:r>
        <w:rPr>
          <w:i/>
          <w:iCs/>
        </w:rPr>
        <w:t>Financial Management Act 2006</w:t>
      </w:r>
      <w:r>
        <w:t xml:space="preserve"> and </w:t>
      </w:r>
      <w:r>
        <w:rPr>
          <w:i/>
          <w:iCs/>
        </w:rPr>
        <w:t>Auditor General Act 2006</w:t>
      </w:r>
      <w:bookmarkEnd w:id="334"/>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No. 14 of 1998 s. 20; amended: No. 77 of 2006 Sch. 1 cl. 59(7)-(9).]</w:t>
      </w:r>
    </w:p>
    <w:p>
      <w:pPr>
        <w:pStyle w:val="Heading5"/>
      </w:pPr>
      <w:bookmarkStart w:id="335" w:name="_Toc158985592"/>
      <w:r>
        <w:rPr>
          <w:rStyle w:val="CharSectno"/>
        </w:rPr>
        <w:lastRenderedPageBreak/>
        <w:t>110J</w:t>
      </w:r>
      <w:r>
        <w:t>.</w:t>
      </w:r>
      <w:r>
        <w:tab/>
        <w:t>Review of Part VIIA</w:t>
      </w:r>
      <w:bookmarkEnd w:id="335"/>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t xml:space="preserve"> and cause a report based on the review to be prepared and laid before each House of Parliament as soon as practicable after the review is completed.</w:t>
      </w:r>
    </w:p>
    <w:p>
      <w:pPr>
        <w:pStyle w:val="Footnotesection"/>
      </w:pPr>
      <w:r>
        <w:tab/>
        <w:t>[Section 110J inserted: No. 14 of 1998 s. 20.]</w:t>
      </w:r>
    </w:p>
    <w:p>
      <w:pPr>
        <w:pStyle w:val="Ednotepart"/>
      </w:pPr>
      <w:r>
        <w:t>[Part VIIB (s. 110K</w:t>
      </w:r>
      <w:r>
        <w:noBreakHyphen/>
        <w:t>110T) deleted: No. 36 of 2007 s. 100.]</w:t>
      </w:r>
    </w:p>
    <w:p>
      <w:pPr>
        <w:pStyle w:val="Heading2"/>
      </w:pPr>
      <w:bookmarkStart w:id="336" w:name="_Toc158980924"/>
      <w:bookmarkStart w:id="337" w:name="_Toc158981323"/>
      <w:bookmarkStart w:id="338" w:name="_Toc158985593"/>
      <w:r>
        <w:rPr>
          <w:rStyle w:val="CharPartNo"/>
        </w:rPr>
        <w:lastRenderedPageBreak/>
        <w:t>Part VIII</w:t>
      </w:r>
      <w:r>
        <w:rPr>
          <w:rStyle w:val="CharDivNo"/>
        </w:rPr>
        <w:t> </w:t>
      </w:r>
      <w:r>
        <w:t>—</w:t>
      </w:r>
      <w:r>
        <w:rPr>
          <w:rStyle w:val="CharDivText"/>
        </w:rPr>
        <w:t> </w:t>
      </w:r>
      <w:r>
        <w:rPr>
          <w:rStyle w:val="CharPartText"/>
        </w:rPr>
        <w:t>General</w:t>
      </w:r>
      <w:bookmarkEnd w:id="336"/>
      <w:bookmarkEnd w:id="337"/>
      <w:bookmarkEnd w:id="338"/>
    </w:p>
    <w:p>
      <w:pPr>
        <w:pStyle w:val="Heading5"/>
        <w:rPr>
          <w:snapToGrid w:val="0"/>
        </w:rPr>
      </w:pPr>
      <w:bookmarkStart w:id="339" w:name="_Toc158985594"/>
      <w:r>
        <w:rPr>
          <w:rStyle w:val="CharSectno"/>
        </w:rPr>
        <w:t>111</w:t>
      </w:r>
      <w:r>
        <w:rPr>
          <w:snapToGrid w:val="0"/>
        </w:rPr>
        <w:t>.</w:t>
      </w:r>
      <w:r>
        <w:rPr>
          <w:snapToGrid w:val="0"/>
        </w:rPr>
        <w:tab/>
        <w:t>Saving of rights at law to prevent etc. pollution etc.</w:t>
      </w:r>
      <w:bookmarkEnd w:id="339"/>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No. 54 of 2003 s. 64.]</w:t>
      </w:r>
    </w:p>
    <w:p>
      <w:pPr>
        <w:pStyle w:val="Heading5"/>
      </w:pPr>
      <w:bookmarkStart w:id="340" w:name="_Toc158985595"/>
      <w:r>
        <w:rPr>
          <w:rStyle w:val="CharSectno"/>
        </w:rPr>
        <w:t>111A</w:t>
      </w:r>
      <w:r>
        <w:t>.</w:t>
      </w:r>
      <w:r>
        <w:tab/>
        <w:t>Victimisation of informants etc.</w:t>
      </w:r>
      <w:bookmarkEnd w:id="340"/>
    </w:p>
    <w:p>
      <w:pPr>
        <w:pStyle w:val="Subsection"/>
      </w:pPr>
      <w:r>
        <w:tab/>
        <w:t>(1)</w:t>
      </w:r>
      <w:r>
        <w:tab/>
        <w:t>A person who for a reason described in subsection (2) —</w:t>
      </w:r>
    </w:p>
    <w:p>
      <w:pPr>
        <w:pStyle w:val="Indenta"/>
      </w:pPr>
      <w:r>
        <w:tab/>
        <w:t>(a)</w:t>
      </w:r>
      <w:r>
        <w:tab/>
        <w:t>prejudices, or threatens to prejudice, the safety or career of another person; or</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The reasons referred to in subsection (1) are that the other person or a member of the other person’s family —</w:t>
      </w:r>
    </w:p>
    <w:p>
      <w:pPr>
        <w:pStyle w:val="Indenta"/>
      </w:pPr>
      <w:r>
        <w:tab/>
        <w:t>(a)</w:t>
      </w:r>
      <w:r>
        <w:tab/>
        <w:t>has furnished, is furnishing, or will or may in the future furnish, information or assistance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lastRenderedPageBreak/>
        <w:tab/>
        <w:t>(3)</w:t>
      </w:r>
      <w:r>
        <w:tab/>
        <w:t>In subsection (1) —</w:t>
      </w:r>
    </w:p>
    <w:p>
      <w:pPr>
        <w:pStyle w:val="Defstart"/>
      </w:pPr>
      <w:r>
        <w:tab/>
      </w:r>
      <w:r>
        <w:rPr>
          <w:rStyle w:val="CharDefText"/>
        </w:rPr>
        <w:t>detrimental action</w:t>
      </w:r>
      <w:r>
        <w:t xml:space="preserve"> includes action causing, comprising or involving —</w:t>
      </w:r>
    </w:p>
    <w:p>
      <w:pPr>
        <w:pStyle w:val="Defpara"/>
      </w:pPr>
      <w:r>
        <w:tab/>
        <w:t>(a)</w:t>
      </w:r>
      <w:r>
        <w:tab/>
        <w:t>damage or loss; or</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ind w:left="890" w:hanging="890"/>
      </w:pPr>
      <w:r>
        <w:tab/>
        <w:t>[Section 111A inserted: No. 54 of 2003 s. 132(1).]</w:t>
      </w:r>
    </w:p>
    <w:p>
      <w:pPr>
        <w:pStyle w:val="Heading5"/>
        <w:rPr>
          <w:snapToGrid w:val="0"/>
        </w:rPr>
      </w:pPr>
      <w:bookmarkStart w:id="341" w:name="_Toc158985596"/>
      <w:r>
        <w:rPr>
          <w:rStyle w:val="CharSectno"/>
        </w:rPr>
        <w:t>112</w:t>
      </w:r>
      <w:r>
        <w:rPr>
          <w:snapToGrid w:val="0"/>
        </w:rPr>
        <w:t>.</w:t>
      </w:r>
      <w:r>
        <w:rPr>
          <w:snapToGrid w:val="0"/>
        </w:rPr>
        <w:tab/>
        <w:t xml:space="preserve">False </w:t>
      </w:r>
      <w:r>
        <w:t>information</w:t>
      </w:r>
      <w:bookmarkEnd w:id="341"/>
    </w:p>
    <w:p>
      <w:pPr>
        <w:pStyle w:val="Subsection"/>
        <w:rPr>
          <w:snapToGrid w:val="0"/>
        </w:rPr>
      </w:pPr>
      <w:r>
        <w:rPr>
          <w:snapToGrid w:val="0"/>
        </w:rPr>
        <w:tab/>
      </w:r>
      <w:r>
        <w:rPr>
          <w:snapToGrid w:val="0"/>
        </w:rPr>
        <w:tab/>
        <w:t>A person who, in purporting to comply with a requirement or request under this Act to give information to the Minister, the Authority, the</w:t>
      </w:r>
      <w:r>
        <w:t xml:space="preserve"> CEO</w:t>
      </w:r>
      <w:r>
        <w:rPr>
          <w:snapToGrid w:val="0"/>
        </w:rPr>
        <w:t>, a police officer, an inspector or an authorised person, gives or causes to be given information that to the person’s knowledge is false or misleading in a material particular commits an offence.</w:t>
      </w:r>
    </w:p>
    <w:p>
      <w:pPr>
        <w:pStyle w:val="Footnotesection"/>
      </w:pPr>
      <w:r>
        <w:tab/>
        <w:t>[Section 112 inserted: No. 40 of 2020 s. 93.]</w:t>
      </w:r>
    </w:p>
    <w:p>
      <w:pPr>
        <w:pStyle w:val="Heading5"/>
        <w:rPr>
          <w:snapToGrid w:val="0"/>
        </w:rPr>
      </w:pPr>
      <w:bookmarkStart w:id="342" w:name="_Toc158985597"/>
      <w:r>
        <w:rPr>
          <w:rStyle w:val="CharSectno"/>
        </w:rPr>
        <w:t>112A</w:t>
      </w:r>
      <w:r>
        <w:rPr>
          <w:snapToGrid w:val="0"/>
        </w:rPr>
        <w:t>.</w:t>
      </w:r>
      <w:r>
        <w:rPr>
          <w:snapToGrid w:val="0"/>
        </w:rPr>
        <w:tab/>
        <w:t>Self</w:t>
      </w:r>
      <w:r>
        <w:rPr>
          <w:snapToGrid w:val="0"/>
        </w:rPr>
        <w:noBreakHyphen/>
        <w:t>incrimination</w:t>
      </w:r>
      <w:bookmarkEnd w:id="342"/>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 xml:space="preserve">An answer given, or document produced, by an individual when required to do so under Part VI is not admissible in evidence against the individual in any criminal proceeding (other than </w:t>
      </w:r>
      <w:r>
        <w:rPr>
          <w:snapToGrid w:val="0"/>
        </w:rPr>
        <w:lastRenderedPageBreak/>
        <w:t xml:space="preserve">proceedings in respect of giving false or misleading </w:t>
      </w:r>
      <w:r>
        <w:t>information).</w:t>
      </w:r>
    </w:p>
    <w:p>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No. 14 of 1998 s. 15; amended: No. 40 of 2020 s. 94.]</w:t>
      </w:r>
    </w:p>
    <w:p>
      <w:pPr>
        <w:pStyle w:val="Ednotesection"/>
      </w:pPr>
      <w:r>
        <w:t>[</w:t>
      </w:r>
      <w:r>
        <w:rPr>
          <w:b/>
        </w:rPr>
        <w:t>113.</w:t>
      </w:r>
      <w:r>
        <w:tab/>
        <w:t>Deleted: No. 14 of 1998 s. 16.]</w:t>
      </w:r>
    </w:p>
    <w:p>
      <w:pPr>
        <w:pStyle w:val="Heading5"/>
        <w:rPr>
          <w:snapToGrid w:val="0"/>
        </w:rPr>
      </w:pPr>
      <w:bookmarkStart w:id="343" w:name="_Toc158985598"/>
      <w:r>
        <w:rPr>
          <w:rStyle w:val="CharSectno"/>
        </w:rPr>
        <w:t>114</w:t>
      </w:r>
      <w:r>
        <w:rPr>
          <w:snapToGrid w:val="0"/>
        </w:rPr>
        <w:t>.</w:t>
      </w:r>
      <w:r>
        <w:rPr>
          <w:snapToGrid w:val="0"/>
        </w:rPr>
        <w:tab/>
        <w:t>Prosecutions, who may institute</w:t>
      </w:r>
      <w:bookmarkEnd w:id="343"/>
    </w:p>
    <w:p>
      <w:pPr>
        <w:pStyle w:val="Subsection"/>
      </w:pPr>
      <w:r>
        <w:tab/>
        <w:t>(1)</w:t>
      </w:r>
      <w:r>
        <w:tab/>
        <w:t xml:space="preserve">Proceedings in respect of a Tier 1 offence, whether by way of — </w:t>
      </w:r>
    </w:p>
    <w:p>
      <w:pPr>
        <w:pStyle w:val="Indenta"/>
      </w:pPr>
      <w:r>
        <w:tab/>
        <w:t>(a)</w:t>
      </w:r>
      <w:r>
        <w:tab/>
        <w:t>giving a modified penalty notice under section 99A(2)(b); or</w:t>
      </w:r>
    </w:p>
    <w:p>
      <w:pPr>
        <w:pStyle w:val="Indenta"/>
      </w:pPr>
      <w:r>
        <w:tab/>
        <w:t>(b)</w:t>
      </w:r>
      <w:r>
        <w:tab/>
        <w:t>prosecution for the offence,</w:t>
      </w:r>
    </w:p>
    <w:p>
      <w:pPr>
        <w:pStyle w:val="Subsection"/>
      </w:pPr>
      <w:r>
        <w:tab/>
      </w:r>
      <w:r>
        <w:tab/>
        <w:t>as determined by the CEO, are not to be instituted otherwise than by the CEO.</w:t>
      </w:r>
    </w:p>
    <w:p>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pPr>
        <w:pStyle w:val="Indenta"/>
        <w:rPr>
          <w:snapToGrid w:val="0"/>
        </w:rPr>
      </w:pPr>
      <w:r>
        <w:rPr>
          <w:snapToGrid w:val="0"/>
        </w:rPr>
        <w:tab/>
        <w:t>(a)</w:t>
      </w:r>
      <w:r>
        <w:rPr>
          <w:snapToGrid w:val="0"/>
        </w:rPr>
        <w:tab/>
        <w:t>giving a modified penalty notice under section 99A; or</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 xml:space="preserve">Subject to </w:t>
      </w:r>
      <w:r>
        <w:t xml:space="preserve">section 79(2) and (3), a prosecution for a Tier 3 offence or an offence under a regulation </w:t>
      </w:r>
      <w:r>
        <w:rPr>
          <w:snapToGrid w:val="0"/>
        </w:rPr>
        <w:t>is not to be instituted otherwise than by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lastRenderedPageBreak/>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deleted]</w:t>
      </w:r>
    </w:p>
    <w:p>
      <w:pPr>
        <w:pStyle w:val="Subsection"/>
      </w:pPr>
      <w:r>
        <w:tab/>
        <w:t>(3)</w:t>
      </w:r>
      <w:r>
        <w:tab/>
        <w:t xml:space="preserve">A prosecution for an offence under section 49A(2) or (3), 81(2), 82(2), 83 or 93 may be instituted by any of the following — </w:t>
      </w:r>
    </w:p>
    <w:p>
      <w:pPr>
        <w:pStyle w:val="Indenta"/>
      </w:pPr>
      <w:r>
        <w:tab/>
        <w:t>(a)</w:t>
      </w:r>
      <w:r>
        <w:tab/>
        <w:t>the CEO;</w:t>
      </w:r>
    </w:p>
    <w:p>
      <w:pPr>
        <w:pStyle w:val="Indenta"/>
      </w:pPr>
      <w:r>
        <w:tab/>
        <w:t>(b)</w:t>
      </w:r>
      <w:r>
        <w:tab/>
        <w:t>a police officer, acting with the consent of the CEO;</w:t>
      </w:r>
    </w:p>
    <w:p>
      <w:pPr>
        <w:pStyle w:val="Indenta"/>
      </w:pPr>
      <w:r>
        <w:tab/>
        <w:t>(c)</w:t>
      </w:r>
      <w:r>
        <w:tab/>
        <w:t>the chief executive officer of a local government, acting with the consent of the CEO.</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CEO or the chief executive officer of the local government.</w:t>
      </w:r>
    </w:p>
    <w:p>
      <w:pPr>
        <w:pStyle w:val="Footnotesection"/>
      </w:pPr>
      <w:r>
        <w:tab/>
        <w:t>[Section 114 amended: No. 50 of 1996 s. 12; No. 14 of 1998 s. 17; No. 54 of 2003 s. 133 and 140(2); No. 48 of 2010 s. 10; No. 40 of 2020 s. 95.]</w:t>
      </w:r>
    </w:p>
    <w:p>
      <w:pPr>
        <w:pStyle w:val="Heading5"/>
      </w:pPr>
      <w:bookmarkStart w:id="344" w:name="_Toc158985599"/>
      <w:r>
        <w:rPr>
          <w:rStyle w:val="CharSectno"/>
        </w:rPr>
        <w:t>114A</w:t>
      </w:r>
      <w:r>
        <w:t>.</w:t>
      </w:r>
      <w:r>
        <w:tab/>
        <w:t>Prosecutions, limitation periods for</w:t>
      </w:r>
      <w:bookmarkEnd w:id="344"/>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lastRenderedPageBreak/>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No. 54 of 2003 s. 134; amended: No. 59 of 2004 s. 141; No. 84 of 2004 s. 80.]</w:t>
      </w:r>
    </w:p>
    <w:p>
      <w:pPr>
        <w:pStyle w:val="Heading5"/>
        <w:spacing w:before="260"/>
        <w:rPr>
          <w:snapToGrid w:val="0"/>
        </w:rPr>
      </w:pPr>
      <w:bookmarkStart w:id="345" w:name="_Toc158985600"/>
      <w:r>
        <w:rPr>
          <w:rStyle w:val="CharSectno"/>
        </w:rPr>
        <w:t>115</w:t>
      </w:r>
      <w:r>
        <w:rPr>
          <w:snapToGrid w:val="0"/>
        </w:rPr>
        <w:t>.</w:t>
      </w:r>
      <w:r>
        <w:rPr>
          <w:snapToGrid w:val="0"/>
        </w:rPr>
        <w:tab/>
        <w:t>Investigation expenses</w:t>
      </w:r>
      <w:bookmarkEnd w:id="345"/>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346" w:name="_Toc158985601"/>
      <w:r>
        <w:rPr>
          <w:rStyle w:val="CharSectno"/>
        </w:rPr>
        <w:t>116</w:t>
      </w:r>
      <w:r>
        <w:rPr>
          <w:snapToGrid w:val="0"/>
        </w:rPr>
        <w:t>.</w:t>
      </w:r>
      <w:r>
        <w:rPr>
          <w:snapToGrid w:val="0"/>
        </w:rPr>
        <w:tab/>
        <w:t>Disputes between Authority and other public authority</w:t>
      </w:r>
      <w:bookmarkEnd w:id="346"/>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pPr>
      <w:bookmarkStart w:id="347" w:name="_Toc158985602"/>
      <w:r>
        <w:rPr>
          <w:rStyle w:val="CharSectno"/>
        </w:rPr>
        <w:lastRenderedPageBreak/>
        <w:t>116A</w:t>
      </w:r>
      <w:r>
        <w:t>.</w:t>
      </w:r>
      <w:r>
        <w:tab/>
        <w:t>Proof not required of certain matters</w:t>
      </w:r>
      <w:bookmarkEnd w:id="347"/>
    </w:p>
    <w:p>
      <w:pPr>
        <w:pStyle w:val="Subsection"/>
        <w:keepNext/>
      </w:pPr>
      <w:r>
        <w:tab/>
      </w:r>
      <w:r>
        <w:tab/>
        <w:t xml:space="preserve">In proceedings for an offence under this Act, each of the following matters is taken to have been proved in the absence of proof to the contrary — </w:t>
      </w:r>
    </w:p>
    <w:p>
      <w:pPr>
        <w:pStyle w:val="Indenta"/>
      </w:pPr>
      <w:r>
        <w:tab/>
        <w:t>(a)</w:t>
      </w:r>
      <w:r>
        <w:tab/>
        <w:t>that the prosecutor is authorised to institute the prosecution;</w:t>
      </w:r>
    </w:p>
    <w:p>
      <w:pPr>
        <w:pStyle w:val="Indenta"/>
      </w:pPr>
      <w:r>
        <w:tab/>
        <w:t>(b)</w:t>
      </w:r>
      <w:r>
        <w:tab/>
        <w:t>that a signature on the prosecution notice alleging the offence is the signature of a person authorised to institute the prosecution;</w:t>
      </w:r>
    </w:p>
    <w:p>
      <w:pPr>
        <w:pStyle w:val="Indenta"/>
      </w:pPr>
      <w:r>
        <w:tab/>
        <w:t>(c)</w:t>
      </w:r>
      <w:r>
        <w:tab/>
        <w:t>that at a specified time a specified person was the CEO, an authorised officer or an inspector or a person assisting an inspector under section 89A;</w:t>
      </w:r>
    </w:p>
    <w:p>
      <w:pPr>
        <w:pStyle w:val="Indenta"/>
      </w:pPr>
      <w:r>
        <w:tab/>
        <w:t>(d)</w:t>
      </w:r>
      <w:r>
        <w:tab/>
        <w:t>that at a specified time a specified authorised person or a specified inspector was authorised to do a specified thing.</w:t>
      </w:r>
    </w:p>
    <w:p>
      <w:pPr>
        <w:pStyle w:val="Footnotesection"/>
      </w:pPr>
      <w:r>
        <w:tab/>
        <w:t>[Section 116A inserted: No. 40 of 2020 s. 96.]</w:t>
      </w:r>
    </w:p>
    <w:p>
      <w:pPr>
        <w:pStyle w:val="Heading5"/>
      </w:pPr>
      <w:bookmarkStart w:id="348" w:name="_Toc158985603"/>
      <w:r>
        <w:rPr>
          <w:rStyle w:val="CharSectno"/>
        </w:rPr>
        <w:t>116B</w:t>
      </w:r>
      <w:r>
        <w:t>.</w:t>
      </w:r>
      <w:r>
        <w:tab/>
        <w:t>Proof of remotely sensed images</w:t>
      </w:r>
      <w:bookmarkEnd w:id="348"/>
    </w:p>
    <w:p>
      <w:pPr>
        <w:pStyle w:val="Subsection"/>
        <w:keepNext/>
      </w:pPr>
      <w:r>
        <w:tab/>
        <w:t>(1)</w:t>
      </w:r>
      <w:r>
        <w:tab/>
        <w:t xml:space="preserve">In this section — </w:t>
      </w:r>
    </w:p>
    <w:p>
      <w:pPr>
        <w:pStyle w:val="Defstart"/>
      </w:pPr>
      <w:r>
        <w:tab/>
      </w:r>
      <w:r>
        <w:rPr>
          <w:rStyle w:val="CharDefText"/>
        </w:rPr>
        <w:t>captured</w:t>
      </w:r>
      <w:r>
        <w:t xml:space="preserve"> includes taken;</w:t>
      </w:r>
    </w:p>
    <w:p>
      <w:pPr>
        <w:pStyle w:val="Defstart"/>
        <w:keepNext/>
      </w:pPr>
      <w:r>
        <w:tab/>
      </w:r>
      <w:r>
        <w:rPr>
          <w:rStyle w:val="CharDefText"/>
        </w:rPr>
        <w:t>image</w:t>
      </w:r>
      <w:r>
        <w:t xml:space="preserve"> includes — </w:t>
      </w:r>
    </w:p>
    <w:p>
      <w:pPr>
        <w:pStyle w:val="Defpara"/>
      </w:pPr>
      <w:r>
        <w:tab/>
        <w:t>(a)</w:t>
      </w:r>
      <w:r>
        <w:tab/>
        <w:t>a photograph; and</w:t>
      </w:r>
    </w:p>
    <w:p>
      <w:pPr>
        <w:pStyle w:val="Defpara"/>
      </w:pPr>
      <w:r>
        <w:tab/>
        <w:t>(b)</w:t>
      </w:r>
      <w:r>
        <w:tab/>
        <w:t>a digital image;</w:t>
      </w:r>
    </w:p>
    <w:p>
      <w:pPr>
        <w:pStyle w:val="Defstart"/>
        <w:keepNext/>
      </w:pPr>
      <w:r>
        <w:tab/>
      </w:r>
      <w:r>
        <w:rPr>
          <w:rStyle w:val="CharDefText"/>
        </w:rPr>
        <w:t>image data source</w:t>
      </w:r>
      <w:r>
        <w:t xml:space="preserve"> means a website, database, data storage facility or other body or source of information — </w:t>
      </w:r>
    </w:p>
    <w:p>
      <w:pPr>
        <w:pStyle w:val="Defpara"/>
        <w:keepNext/>
      </w:pPr>
      <w:r>
        <w:tab/>
        <w:t>(a)</w:t>
      </w:r>
      <w:r>
        <w:tab/>
        <w:t xml:space="preserve">containing or including either or both of the following — </w:t>
      </w:r>
    </w:p>
    <w:p>
      <w:pPr>
        <w:pStyle w:val="Defsubpara"/>
      </w:pPr>
      <w:r>
        <w:tab/>
        <w:t>(i)</w:t>
      </w:r>
      <w:r>
        <w:tab/>
        <w:t>remotely sensed images;</w:t>
      </w:r>
    </w:p>
    <w:p>
      <w:pPr>
        <w:pStyle w:val="Defsubpara"/>
      </w:pPr>
      <w:r>
        <w:tab/>
        <w:t>(ii)</w:t>
      </w:r>
      <w:r>
        <w:tab/>
        <w:t>digital or electronic information from which remotely sensed images can be produced;</w:t>
      </w:r>
    </w:p>
    <w:p>
      <w:pPr>
        <w:pStyle w:val="Defpara"/>
      </w:pPr>
      <w:r>
        <w:tab/>
      </w:r>
      <w:r>
        <w:tab/>
        <w:t>and</w:t>
      </w:r>
    </w:p>
    <w:p>
      <w:pPr>
        <w:pStyle w:val="Defpara"/>
      </w:pPr>
      <w:r>
        <w:lastRenderedPageBreak/>
        <w:tab/>
        <w:t>(b)</w:t>
      </w:r>
      <w:r>
        <w:tab/>
        <w:t>declared by the regulations to be an image data source for the purposes of this section;</w:t>
      </w:r>
    </w:p>
    <w:p>
      <w:pPr>
        <w:pStyle w:val="Defstart"/>
      </w:pPr>
      <w:r>
        <w:tab/>
      </w:r>
      <w:r>
        <w:rPr>
          <w:rStyle w:val="CharDefText"/>
        </w:rPr>
        <w:t>official document</w:t>
      </w:r>
      <w:r>
        <w:t xml:space="preserve"> means a document purporting to be signed by the CEO or a person appointed under the </w:t>
      </w:r>
      <w:r>
        <w:rPr>
          <w:i/>
        </w:rPr>
        <w:t>Land Administration Act 1997</w:t>
      </w:r>
      <w:r>
        <w:t xml:space="preserve"> section 30 to be an authorised land officer;</w:t>
      </w:r>
    </w:p>
    <w:p>
      <w:pPr>
        <w:pStyle w:val="Defstart"/>
      </w:pPr>
      <w:r>
        <w:tab/>
      </w:r>
      <w:r>
        <w:rPr>
          <w:rStyle w:val="CharDefText"/>
        </w:rPr>
        <w:t>remotely sensed image</w:t>
      </w:r>
      <w:r>
        <w:t xml:space="preserve"> means an aerial photograph or any other image of land captured using airborne equipment or equipment mounted in or on a satellite.</w:t>
      </w:r>
    </w:p>
    <w:p>
      <w:pPr>
        <w:pStyle w:val="Subsection"/>
      </w:pPr>
      <w:r>
        <w:tab/>
        <w:t>(2)</w:t>
      </w:r>
      <w:r>
        <w:tab/>
        <w:t xml:space="preserve">In this section a reference to the </w:t>
      </w:r>
      <w:r>
        <w:rPr>
          <w:rStyle w:val="CharDefText"/>
        </w:rPr>
        <w:t>capture</w:t>
      </w:r>
      <w:r>
        <w:t xml:space="preserve"> of an image includes a reference to the capture of digital or electronic information from which the image was produced.</w:t>
      </w:r>
    </w:p>
    <w:p>
      <w:pPr>
        <w:pStyle w:val="Subsection"/>
        <w:keepNext/>
      </w:pPr>
      <w:r>
        <w:tab/>
        <w:t>(3)</w:t>
      </w:r>
      <w:r>
        <w:tab/>
        <w:t xml:space="preserve">For the purposes of this section, a remotely sensed image derived from an image data source — </w:t>
      </w:r>
    </w:p>
    <w:p>
      <w:pPr>
        <w:pStyle w:val="Indenta"/>
      </w:pPr>
      <w:r>
        <w:tab/>
        <w:t>(a)</w:t>
      </w:r>
      <w:r>
        <w:tab/>
        <w:t>is taken to have been captured on the date recorded or shown in the image data source as being the date on which the image was captured; and</w:t>
      </w:r>
    </w:p>
    <w:p>
      <w:pPr>
        <w:pStyle w:val="Indenta"/>
      </w:pPr>
      <w:r>
        <w:tab/>
        <w:t>(b)</w:t>
      </w:r>
      <w:r>
        <w:tab/>
        <w:t>is taken to be an image of the land recorded or shown in the image data source as being the land to which the image relates.</w:t>
      </w:r>
    </w:p>
    <w:p>
      <w:pPr>
        <w:pStyle w:val="Subsection"/>
      </w:pPr>
      <w:r>
        <w:tab/>
        <w:t>(4)</w:t>
      </w:r>
      <w:r>
        <w:tab/>
        <w:t>In proceedings under this Act a remotely sensed image of land is evidence of the vegetation on the land, and its condition, on the date on which the image was captured.</w:t>
      </w:r>
    </w:p>
    <w:p>
      <w:pPr>
        <w:pStyle w:val="Subsection"/>
      </w:pPr>
      <w:r>
        <w:tab/>
        <w:t>(5)</w:t>
      </w:r>
      <w:r>
        <w:tab/>
        <w:t>Subsection (4) applies to an image even if it, or the information from which it was produced, has been modified or enhanced so that colours, tones or brightness more accurately represent what would be visible with the naked eye.</w:t>
      </w:r>
    </w:p>
    <w:p>
      <w:pPr>
        <w:pStyle w:val="Subsection"/>
      </w:pPr>
      <w:r>
        <w:tab/>
        <w:t>(6)</w:t>
      </w:r>
      <w:r>
        <w:tab/>
        <w:t>In proceedings under this Act an official document certifying the matters set out in subsection (7) or any of those matters is, in the absence of proof to the contrary, taken to be proof of the matters certified.</w:t>
      </w:r>
    </w:p>
    <w:p>
      <w:pPr>
        <w:pStyle w:val="Subsection"/>
        <w:keepNext/>
      </w:pPr>
      <w:r>
        <w:lastRenderedPageBreak/>
        <w:tab/>
        <w:t>(7)</w:t>
      </w:r>
      <w:r>
        <w:tab/>
        <w:t xml:space="preserve">The matters that may be certified are — </w:t>
      </w:r>
    </w:p>
    <w:p>
      <w:pPr>
        <w:pStyle w:val="Indenta"/>
      </w:pPr>
      <w:r>
        <w:tab/>
        <w:t>(a)</w:t>
      </w:r>
      <w:r>
        <w:tab/>
        <w:t>that an image comprising or specified in the document is, or is a true copy of, a remotely sensed image of land; and</w:t>
      </w:r>
    </w:p>
    <w:p>
      <w:pPr>
        <w:pStyle w:val="Indenta"/>
      </w:pPr>
      <w:r>
        <w:tab/>
        <w:t>(b)</w:t>
      </w:r>
      <w:r>
        <w:tab/>
        <w:t>that an image comprising or specified in the document is derived from an image data source; and</w:t>
      </w:r>
    </w:p>
    <w:p>
      <w:pPr>
        <w:pStyle w:val="Indenta"/>
      </w:pPr>
      <w:r>
        <w:tab/>
        <w:t>(c)</w:t>
      </w:r>
      <w:r>
        <w:tab/>
        <w:t>that the image data source from which an image comprising or specified in the document is derived records or shows a date specified in the document as being the date on which the image was captured; and</w:t>
      </w:r>
    </w:p>
    <w:p>
      <w:pPr>
        <w:pStyle w:val="Indenta"/>
      </w:pPr>
      <w:r>
        <w:tab/>
        <w:t>(d)</w:t>
      </w:r>
      <w:r>
        <w:tab/>
        <w:t>that the image data source from which an image comprising or specified in the document is derived records or shows land specified in the document as being the land to which the image relates; and</w:t>
      </w:r>
    </w:p>
    <w:p>
      <w:pPr>
        <w:pStyle w:val="Indenta"/>
      </w:pPr>
      <w:r>
        <w:tab/>
        <w:t>(e)</w:t>
      </w:r>
      <w:r>
        <w:tab/>
        <w:t xml:space="preserve">that a remotely sensed image of land comprising or specified in the document has been marked to correctly identify, and correctly show the boundaries of, the land according to records held by the Western Australian Land Information Authority established by the </w:t>
      </w:r>
      <w:r>
        <w:rPr>
          <w:i/>
        </w:rPr>
        <w:t>Land Information Authority Act 2006</w:t>
      </w:r>
      <w:r>
        <w:t xml:space="preserve"> section 5.</w:t>
      </w:r>
    </w:p>
    <w:p>
      <w:pPr>
        <w:pStyle w:val="Subsection"/>
      </w:pPr>
      <w:r>
        <w:tab/>
        <w:t>(8)</w:t>
      </w:r>
      <w:r>
        <w:tab/>
        <w:t>In subsection (7)(e) a reference to the marking of an image is a reference to the marking or modification of the image, or the information from which it was produced, by the application of computer software or by other means.</w:t>
      </w:r>
    </w:p>
    <w:p>
      <w:pPr>
        <w:pStyle w:val="Subsection"/>
      </w:pPr>
      <w:r>
        <w:rPr>
          <w:snapToGrid w:val="0"/>
        </w:rPr>
        <w:tab/>
        <w:t>(9)</w:t>
      </w:r>
      <w:r>
        <w:rPr>
          <w:snapToGrid w:val="0"/>
        </w:rPr>
        <w:tab/>
      </w:r>
      <w:r>
        <w:t>An image, or a document comprising or specifying an image, must not be admitted pursuant to this section</w:t>
      </w:r>
      <w:r>
        <w:rPr>
          <w:snapToGrid w:val="0"/>
        </w:rPr>
        <w:t xml:space="preserve"> as evidence that the land has been cleared unless the court is </w:t>
      </w:r>
      <w:r>
        <w:t xml:space="preserve">satisfied that, after the time at which the image was captured, </w:t>
      </w:r>
      <w:r>
        <w:rPr>
          <w:snapToGrid w:val="0"/>
        </w:rPr>
        <w:t>the Minister, the CEO or a person acting with the authority of the Minister or of the CEO has entered upon and inspected the land for the purposes of ascertaining whether the land has been so cleared.</w:t>
      </w:r>
    </w:p>
    <w:p>
      <w:pPr>
        <w:pStyle w:val="Footnotesection"/>
      </w:pPr>
      <w:r>
        <w:tab/>
        <w:t>[Section 116B inserted: No. 40 of 2020 s. 96.]</w:t>
      </w:r>
    </w:p>
    <w:p>
      <w:pPr>
        <w:pStyle w:val="Heading5"/>
        <w:spacing w:before="260"/>
        <w:rPr>
          <w:snapToGrid w:val="0"/>
        </w:rPr>
      </w:pPr>
      <w:bookmarkStart w:id="349" w:name="_Toc158985604"/>
      <w:r>
        <w:rPr>
          <w:rStyle w:val="CharSectno"/>
        </w:rPr>
        <w:lastRenderedPageBreak/>
        <w:t>117</w:t>
      </w:r>
      <w:r>
        <w:rPr>
          <w:snapToGrid w:val="0"/>
        </w:rPr>
        <w:t>.</w:t>
      </w:r>
      <w:r>
        <w:rPr>
          <w:snapToGrid w:val="0"/>
        </w:rPr>
        <w:tab/>
        <w:t>Proof of documents</w:t>
      </w:r>
      <w:bookmarkEnd w:id="349"/>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[Section 117 amended: No. 84 of 2004 s. 80.]</w:t>
      </w:r>
    </w:p>
    <w:p>
      <w:pPr>
        <w:pStyle w:val="Heading5"/>
      </w:pPr>
      <w:bookmarkStart w:id="350" w:name="_Toc158985605"/>
      <w:r>
        <w:rPr>
          <w:rStyle w:val="CharSectno"/>
        </w:rPr>
        <w:t>118</w:t>
      </w:r>
      <w:r>
        <w:t>.</w:t>
      </w:r>
      <w:r>
        <w:tab/>
        <w:t>Establishing state of mind of body corporate</w:t>
      </w:r>
      <w:bookmarkEnd w:id="350"/>
    </w:p>
    <w:p>
      <w:pPr>
        <w:pStyle w:val="Ednotesubsection"/>
      </w:pPr>
      <w:r>
        <w:tab/>
        <w:t>[(1)-(3)</w:t>
      </w:r>
      <w:r>
        <w:tab/>
        <w:t>deleted]</w:t>
      </w:r>
    </w:p>
    <w:p>
      <w:pPr>
        <w:pStyle w:val="Subsection"/>
      </w:pPr>
      <w:r>
        <w:tab/>
        <w:t>(4)</w:t>
      </w:r>
      <w:r>
        <w:tab/>
        <w:t>Without limiting any other law or practice regarding the admissibility of evidence, evidence that an officer, employee or agent of a body corporate (while acting in that capacity) had, at any particular time, a particular state of mind, is evidence that the body corporate had that state of mind.</w:t>
      </w:r>
    </w:p>
    <w:p>
      <w:pPr>
        <w:pStyle w:val="Footnotesection"/>
      </w:pPr>
      <w:r>
        <w:tab/>
        <w:t>[Section 118 inserted: No. 54 of 2003 s. 135; amended: No. 40 of 2020 s. 111(1); No. 9 of 2023 s. 63.]</w:t>
      </w:r>
    </w:p>
    <w:p>
      <w:pPr>
        <w:pStyle w:val="Heading5"/>
      </w:pPr>
      <w:bookmarkStart w:id="351" w:name="_Toc158985606"/>
      <w:r>
        <w:rPr>
          <w:rStyle w:val="CharSectno"/>
        </w:rPr>
        <w:lastRenderedPageBreak/>
        <w:t>118A</w:t>
      </w:r>
      <w:r>
        <w:t>.</w:t>
      </w:r>
      <w:r>
        <w:tab/>
        <w:t>Liability of officers for offence by body corporate</w:t>
      </w:r>
      <w:bookmarkEnd w:id="351"/>
    </w:p>
    <w:p>
      <w:pPr>
        <w:pStyle w:val="Subsection"/>
        <w:keepNext/>
        <w:keepLines/>
      </w:pPr>
      <w:r>
        <w:tab/>
      </w:r>
      <w:r>
        <w:tab/>
      </w:r>
      <w:r>
        <w:rPr>
          <w:i/>
        </w:rPr>
        <w:t>The Criminal Code</w:t>
      </w:r>
      <w:r>
        <w:t xml:space="preserve"> section 41 (which provides for the criminal liability of officers of a body corporate) applies to Tier 1 offences and Tier 2 offences.</w:t>
      </w:r>
    </w:p>
    <w:p>
      <w:pPr>
        <w:pStyle w:val="Footnotesection"/>
        <w:keepLines w:val="0"/>
      </w:pPr>
      <w:r>
        <w:tab/>
        <w:t>[Section 118A inserted: No. 9 of 2023 s. 64.]</w:t>
      </w:r>
    </w:p>
    <w:p>
      <w:pPr>
        <w:pStyle w:val="Heading5"/>
        <w:rPr>
          <w:snapToGrid w:val="0"/>
        </w:rPr>
      </w:pPr>
      <w:bookmarkStart w:id="352" w:name="_Toc158985607"/>
      <w:r>
        <w:rPr>
          <w:rStyle w:val="CharSectno"/>
        </w:rPr>
        <w:t>119</w:t>
      </w:r>
      <w:r>
        <w:rPr>
          <w:snapToGrid w:val="0"/>
        </w:rPr>
        <w:t>.</w:t>
      </w:r>
      <w:r>
        <w:rPr>
          <w:snapToGrid w:val="0"/>
        </w:rPr>
        <w:tab/>
        <w:t>Averment of occupation or control</w:t>
      </w:r>
      <w:bookmarkEnd w:id="352"/>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keepNext/>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[Section 119 amended: No. 84 of 2004 s. 80.]</w:t>
      </w:r>
    </w:p>
    <w:p>
      <w:pPr>
        <w:pStyle w:val="Heading5"/>
        <w:rPr>
          <w:snapToGrid w:val="0"/>
        </w:rPr>
      </w:pPr>
      <w:bookmarkStart w:id="353" w:name="_Toc158985608"/>
      <w:r>
        <w:rPr>
          <w:rStyle w:val="CharSectno"/>
        </w:rPr>
        <w:t>120</w:t>
      </w:r>
      <w:r>
        <w:rPr>
          <w:snapToGrid w:val="0"/>
        </w:rPr>
        <w:t>.</w:t>
      </w:r>
      <w:r>
        <w:rPr>
          <w:snapToGrid w:val="0"/>
        </w:rPr>
        <w:tab/>
        <w:t>Disclosing certain information restricted</w:t>
      </w:r>
      <w:bookmarkEnd w:id="353"/>
    </w:p>
    <w:p>
      <w:pPr>
        <w:pStyle w:val="Subsection"/>
        <w:rPr>
          <w:snapToGrid w:val="0"/>
        </w:rPr>
      </w:pPr>
      <w:r>
        <w:rPr>
          <w:snapToGrid w:val="0"/>
        </w:rPr>
        <w:tab/>
      </w:r>
      <w:r>
        <w:rPr>
          <w:snapToGrid w:val="0"/>
        </w:rPr>
        <w:tab/>
        <w:t xml:space="preserve">A person who discloses any information relating to any manufacturing process or trade secret used in carrying on or operating any particular undertaking or equipment that has been furnished to </w:t>
      </w:r>
      <w:r>
        <w:t>the person</w:t>
      </w:r>
      <w:r>
        <w:rPr>
          <w:snapToGrid w:val="0"/>
        </w:rPr>
        <w:t xml:space="preserve"> or obtained by </w:t>
      </w:r>
      <w:r>
        <w:t>the person</w:t>
      </w:r>
      <w:r>
        <w:rPr>
          <w:snapToGrid w:val="0"/>
        </w:rPr>
        <w:t xml:space="preserve"> under this Act, or in connection with the execution of this Act, unless the disclosure is made —</w:t>
      </w:r>
    </w:p>
    <w:p>
      <w:pPr>
        <w:pStyle w:val="Indenta"/>
        <w:rPr>
          <w:snapToGrid w:val="0"/>
        </w:rPr>
      </w:pPr>
      <w:r>
        <w:rPr>
          <w:snapToGrid w:val="0"/>
        </w:rPr>
        <w:tab/>
        <w:t>(a)</w:t>
      </w:r>
      <w:r>
        <w:rPr>
          <w:snapToGrid w:val="0"/>
        </w:rPr>
        <w:tab/>
        <w:t>with the consent of the person carrying on or operating that undertaking or equipment; or</w:t>
      </w:r>
    </w:p>
    <w:p>
      <w:pPr>
        <w:pStyle w:val="Indenta"/>
        <w:rPr>
          <w:snapToGrid w:val="0"/>
        </w:rPr>
      </w:pPr>
      <w:r>
        <w:rPr>
          <w:snapToGrid w:val="0"/>
        </w:rPr>
        <w:tab/>
        <w:t>(b)</w:t>
      </w:r>
      <w:r>
        <w:rPr>
          <w:snapToGrid w:val="0"/>
        </w:rPr>
        <w:tab/>
        <w:t>under or in connection with the execution of this Act; or</w:t>
      </w:r>
    </w:p>
    <w:p>
      <w:pPr>
        <w:pStyle w:val="Ednotepara"/>
        <w:spacing w:before="80"/>
      </w:pPr>
      <w:r>
        <w:tab/>
        <w:t>[(ba)</w:t>
      </w:r>
      <w:r>
        <w:tab/>
        <w:t>deleted]</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lastRenderedPageBreak/>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No. 54 of 2003 s. 108; No. 40 of 2020 s. 97 and 111(1).]</w:t>
      </w:r>
    </w:p>
    <w:p>
      <w:pPr>
        <w:pStyle w:val="Heading5"/>
      </w:pPr>
      <w:bookmarkStart w:id="354" w:name="_Toc158985609"/>
      <w:r>
        <w:rPr>
          <w:rStyle w:val="CharSectno"/>
        </w:rPr>
        <w:t>121A</w:t>
      </w:r>
      <w:r>
        <w:t>.</w:t>
      </w:r>
      <w:r>
        <w:tab/>
        <w:t>Authority to perform certain functions in relation to Crown land for purposes of this Act</w:t>
      </w:r>
      <w:bookmarkEnd w:id="354"/>
    </w:p>
    <w:p>
      <w:pPr>
        <w:pStyle w:val="Subsection"/>
      </w:pPr>
      <w:r>
        <w:tab/>
        <w:t>(1)</w:t>
      </w:r>
      <w:r>
        <w:tab/>
        <w:t xml:space="preserve">If, under a provision of this Act, the owner or occupier of Crown land or freehold land in the name of the State may give, or is required to give, notice or may make an application or representation, give comments or authority, show cause, provide information or do any other thing, that thing may be done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 xml:space="preserve">a public service officer of the Department, as defined in the </w:t>
      </w:r>
      <w:r>
        <w:rPr>
          <w:i/>
        </w:rPr>
        <w:t xml:space="preserve">Land Administration Act 1997 </w:t>
      </w:r>
      <w:r>
        <w:t>section 3(1),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has under Part V Division 2 in relation to land mentioned in subsection (1) if the person is an </w:t>
      </w:r>
      <w:r>
        <w:rPr>
          <w:b/>
          <w:bCs/>
          <w:i/>
          <w:iCs/>
        </w:rPr>
        <w:t>owner</w:t>
      </w:r>
      <w:r>
        <w:t xml:space="preserve"> or </w:t>
      </w:r>
      <w:r>
        <w:rPr>
          <w:b/>
          <w:bCs/>
          <w:i/>
          <w:iCs/>
        </w:rPr>
        <w:t xml:space="preserve">occupier </w:t>
      </w:r>
      <w:r>
        <w:t>of that land because of the meaning of those terms in that Division; or</w:t>
      </w:r>
    </w:p>
    <w:p>
      <w:pPr>
        <w:pStyle w:val="Indenta"/>
      </w:pPr>
      <w:r>
        <w:tab/>
        <w:t>(b)</w:t>
      </w:r>
      <w:r>
        <w:tab/>
        <w:t xml:space="preserve">a right or obligation that any other person has under any other provision of this Act in relation to land mentioned in subsection (1) if the person is an </w:t>
      </w:r>
      <w:r>
        <w:rPr>
          <w:b/>
          <w:bCs/>
          <w:i/>
          <w:iCs/>
        </w:rPr>
        <w:t xml:space="preserve">occupier </w:t>
      </w:r>
      <w:r>
        <w:t xml:space="preserve">of that land because of the meaning of occupier in section 3(1); or </w:t>
      </w:r>
    </w:p>
    <w:p>
      <w:pPr>
        <w:pStyle w:val="Indenta"/>
        <w:keepNext/>
      </w:pPr>
      <w:r>
        <w:lastRenderedPageBreak/>
        <w:tab/>
        <w:t>(c)</w:t>
      </w:r>
      <w:r>
        <w:tab/>
        <w:t>how that right may be exercised or that obligation may be satisfied.</w:t>
      </w:r>
    </w:p>
    <w:p>
      <w:pPr>
        <w:pStyle w:val="Footnotesection"/>
      </w:pPr>
      <w:r>
        <w:tab/>
        <w:t>[Section 121A inserted: No. 8 of 2010 s. 10.]</w:t>
      </w:r>
    </w:p>
    <w:p>
      <w:pPr>
        <w:pStyle w:val="Heading5"/>
      </w:pPr>
      <w:bookmarkStart w:id="355" w:name="_Toc158985610"/>
      <w:r>
        <w:rPr>
          <w:rStyle w:val="CharSectno"/>
        </w:rPr>
        <w:t>121</w:t>
      </w:r>
      <w:r>
        <w:t>.</w:t>
      </w:r>
      <w:r>
        <w:tab/>
        <w:t>Protection from personal liability</w:t>
      </w:r>
      <w:bookmarkEnd w:id="355"/>
    </w:p>
    <w:p>
      <w:pPr>
        <w:pStyle w:val="Subsection"/>
        <w:keepNext/>
      </w:pPr>
      <w:r>
        <w:tab/>
        <w:t>(1)</w:t>
      </w:r>
      <w:r>
        <w:tab/>
        <w:t>An action in tort does not lie against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121A(1) for anything that the person has done, in good faith, in the performance or purported performance of a function to which the authority applies.</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No. 54 of 2003 s. 136; amended: No. 8 of 2010 s. 11.]</w:t>
      </w:r>
    </w:p>
    <w:p>
      <w:pPr>
        <w:pStyle w:val="Heading5"/>
        <w:rPr>
          <w:snapToGrid w:val="0"/>
        </w:rPr>
      </w:pPr>
      <w:bookmarkStart w:id="356" w:name="_Toc158985611"/>
      <w:r>
        <w:rPr>
          <w:rStyle w:val="CharSectno"/>
        </w:rPr>
        <w:t>122</w:t>
      </w:r>
      <w:r>
        <w:rPr>
          <w:snapToGrid w:val="0"/>
        </w:rPr>
        <w:t>.</w:t>
      </w:r>
      <w:r>
        <w:rPr>
          <w:snapToGrid w:val="0"/>
        </w:rPr>
        <w:tab/>
        <w:t>Administrative procedures, Authority may establish</w:t>
      </w:r>
      <w:bookmarkEnd w:id="356"/>
    </w:p>
    <w:p>
      <w:pPr>
        <w:pStyle w:val="Subsection"/>
        <w:rPr>
          <w:snapToGrid w:val="0"/>
        </w:rPr>
      </w:pPr>
      <w:r>
        <w:rPr>
          <w:snapToGrid w:val="0"/>
        </w:rPr>
        <w:tab/>
        <w:t>(1)</w:t>
      </w:r>
      <w:r>
        <w:rPr>
          <w:snapToGrid w:val="0"/>
        </w:rPr>
        <w:tab/>
        <w:t>The Authority may from time to time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 and</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lastRenderedPageBreak/>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spacing w:before="180"/>
      </w:pPr>
      <w:bookmarkStart w:id="357" w:name="_Toc158985612"/>
      <w:r>
        <w:rPr>
          <w:rStyle w:val="CharSectno"/>
        </w:rPr>
        <w:t>122A</w:t>
      </w:r>
      <w:r>
        <w:t>.</w:t>
      </w:r>
      <w:r>
        <w:tab/>
        <w:t>Codes of practice</w:t>
      </w:r>
      <w:bookmarkEnd w:id="357"/>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The CEO must not issue a code of practice unless the code of practice was developed by the CEO after consultation with and, by written notice, seeking submissions from —</w:t>
      </w:r>
    </w:p>
    <w:p>
      <w:pPr>
        <w:pStyle w:val="Indenta"/>
      </w:pPr>
      <w:r>
        <w:tab/>
        <w:t>(a)</w:t>
      </w:r>
      <w:r>
        <w:tab/>
        <w:t>the Authority; and</w:t>
      </w:r>
    </w:p>
    <w:p>
      <w:pPr>
        <w:pStyle w:val="Indenta"/>
      </w:pPr>
      <w:r>
        <w:tab/>
        <w:t>(b)</w:t>
      </w:r>
      <w:r>
        <w:tab/>
        <w:t>such State authorities as the CEO considers appropriate; and</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No. 54 of 2003 s. 65.]</w:t>
      </w:r>
    </w:p>
    <w:p>
      <w:pPr>
        <w:pStyle w:val="Heading5"/>
      </w:pPr>
      <w:bookmarkStart w:id="358" w:name="_Toc158985613"/>
      <w:r>
        <w:rPr>
          <w:rStyle w:val="CharSectno"/>
        </w:rPr>
        <w:lastRenderedPageBreak/>
        <w:t>122B</w:t>
      </w:r>
      <w:r>
        <w:t>.</w:t>
      </w:r>
      <w:r>
        <w:tab/>
        <w:t>Forms and other matters relating to documentation</w:t>
      </w:r>
      <w:bookmarkEnd w:id="358"/>
    </w:p>
    <w:p>
      <w:pPr>
        <w:pStyle w:val="Subsection"/>
        <w:keepNext/>
      </w:pPr>
      <w:r>
        <w:tab/>
        <w:t>(1)</w:t>
      </w:r>
      <w:r>
        <w:tab/>
        <w:t>In this section —</w:t>
      </w:r>
    </w:p>
    <w:p>
      <w:pPr>
        <w:pStyle w:val="Defstart"/>
        <w:keepNext/>
      </w:pPr>
      <w:r>
        <w:tab/>
      </w:r>
      <w:r>
        <w:rPr>
          <w:rStyle w:val="CharDefText"/>
        </w:rPr>
        <w:t>approved</w:t>
      </w:r>
      <w:r>
        <w:t xml:space="preserve"> means approved by the CEO;</w:t>
      </w:r>
    </w:p>
    <w:p>
      <w:pPr>
        <w:pStyle w:val="Defstart"/>
        <w:rPr>
          <w:b/>
        </w:rPr>
      </w:pPr>
      <w:r>
        <w:tab/>
      </w:r>
      <w:r>
        <w:rPr>
          <w:rStyle w:val="CharDefText"/>
        </w:rPr>
        <w:t>documentation</w:t>
      </w:r>
      <w:r>
        <w:t xml:space="preserve"> includes a document, application, report, return, certificate, decision, statement or recommendation and information or data;</w:t>
      </w:r>
    </w:p>
    <w:p>
      <w:pPr>
        <w:pStyle w:val="Defstart"/>
      </w:pPr>
      <w:r>
        <w:tab/>
      </w:r>
      <w:r>
        <w:rPr>
          <w:rStyle w:val="CharDefText"/>
        </w:rPr>
        <w:t>publish</w:t>
      </w:r>
      <w:r>
        <w:t xml:space="preserve"> includes keep a public record of and make available for public inspection;</w:t>
      </w:r>
    </w:p>
    <w:p>
      <w:pPr>
        <w:pStyle w:val="Defstart"/>
      </w:pPr>
      <w:r>
        <w:tab/>
      </w:r>
      <w:r>
        <w:rPr>
          <w:rStyle w:val="CharDefText"/>
        </w:rPr>
        <w:t>submit</w:t>
      </w:r>
      <w:r>
        <w:t xml:space="preserve"> includes make, provide or produce.</w:t>
      </w:r>
    </w:p>
    <w:p>
      <w:pPr>
        <w:pStyle w:val="Subsection"/>
      </w:pPr>
      <w:r>
        <w:tab/>
        <w:t>(2)</w:t>
      </w:r>
      <w:r>
        <w:tab/>
        <w:t>Forms may be prescribed or approved for use in submitting documentation under this Act.</w:t>
      </w:r>
    </w:p>
    <w:p>
      <w:pPr>
        <w:pStyle w:val="Subsection"/>
      </w:pPr>
      <w:r>
        <w:tab/>
        <w:t>(3)</w:t>
      </w:r>
      <w:r>
        <w:tab/>
        <w:t>If a form is prescribed or approved for use in submitting documentation, the documentation must be submitted in, and in accordance with, that form but</w:t>
      </w:r>
      <w:r>
        <w:rPr>
          <w:snapToGrid w:val="0"/>
        </w:rPr>
        <w:t xml:space="preserve"> deviations from the form not materially affecting the substance, nor likely to mislead, do not invalidate the form used.</w:t>
      </w:r>
    </w:p>
    <w:p>
      <w:pPr>
        <w:pStyle w:val="Subsection"/>
        <w:keepNext/>
      </w:pPr>
      <w:r>
        <w:tab/>
        <w:t>(4)</w:t>
      </w:r>
      <w:r>
        <w:tab/>
        <w:t xml:space="preserve">Regulations may make provision with respect to — </w:t>
      </w:r>
    </w:p>
    <w:p>
      <w:pPr>
        <w:pStyle w:val="Indenta"/>
      </w:pPr>
      <w:r>
        <w:tab/>
        <w:t>(a)</w:t>
      </w:r>
      <w:r>
        <w:tab/>
        <w:t>publishing documentation submitted or obtained under, or created for the purposes of, this Act; and</w:t>
      </w:r>
    </w:p>
    <w:p>
      <w:pPr>
        <w:pStyle w:val="Indenta"/>
        <w:keepNext/>
      </w:pPr>
      <w:r>
        <w:tab/>
        <w:t>(b)</w:t>
      </w:r>
      <w:r>
        <w:tab/>
        <w:t xml:space="preserve">measures and procedures for maintaining confidentiality in respect of documentation, including — </w:t>
      </w:r>
    </w:p>
    <w:p>
      <w:pPr>
        <w:pStyle w:val="Indenti"/>
      </w:pPr>
      <w:r>
        <w:tab/>
        <w:t>(i)</w:t>
      </w:r>
      <w:r>
        <w:tab/>
        <w:t>the making of a request that documentation not be published; and</w:t>
      </w:r>
    </w:p>
    <w:p>
      <w:pPr>
        <w:pStyle w:val="Indenti"/>
      </w:pPr>
      <w:r>
        <w:tab/>
        <w:t>(ii)</w:t>
      </w:r>
      <w:r>
        <w:tab/>
        <w:t>the manner in which a request of that kind is to be made, received and dealt with.</w:t>
      </w:r>
    </w:p>
    <w:p>
      <w:pPr>
        <w:pStyle w:val="Subsection"/>
      </w:pPr>
      <w:r>
        <w:tab/>
        <w:t>(5)</w:t>
      </w:r>
      <w:r>
        <w:tab/>
        <w:t>Without limiting subsection (4)(a), regulations may require or authorise the publication of documentation that is not otherwise required or authorised under this Act to be published.</w:t>
      </w:r>
    </w:p>
    <w:p>
      <w:pPr>
        <w:pStyle w:val="Subsection"/>
        <w:keepNext/>
      </w:pPr>
      <w:r>
        <w:lastRenderedPageBreak/>
        <w:tab/>
        <w:t>(6)</w:t>
      </w:r>
      <w:r>
        <w:tab/>
        <w:t>Subject to the measures or procedures referred to in subsection (4)(b) —</w:t>
      </w:r>
    </w:p>
    <w:p>
      <w:pPr>
        <w:pStyle w:val="Indenta"/>
      </w:pPr>
      <w:r>
        <w:tab/>
        <w:t>(a)</w:t>
      </w:r>
      <w:r>
        <w:tab/>
        <w:t>documentation must or can be published if this Act requires or authorises it to be published; and</w:t>
      </w:r>
    </w:p>
    <w:p>
      <w:pPr>
        <w:pStyle w:val="Indenta"/>
      </w:pPr>
      <w:r>
        <w:tab/>
        <w:t>(b)</w:t>
      </w:r>
      <w:r>
        <w:tab/>
        <w:t>if a manner is prescribed for use in publishing documentation, it must be published in that manner.</w:t>
      </w:r>
    </w:p>
    <w:p>
      <w:pPr>
        <w:pStyle w:val="Footnotesection"/>
        <w:keepLines w:val="0"/>
      </w:pPr>
      <w:r>
        <w:tab/>
        <w:t>[Section 122B inserted: No. 40 of 2020 s. 99.]</w:t>
      </w:r>
    </w:p>
    <w:p>
      <w:pPr>
        <w:pStyle w:val="Heading5"/>
        <w:spacing w:before="180"/>
        <w:rPr>
          <w:snapToGrid w:val="0"/>
        </w:rPr>
      </w:pPr>
      <w:bookmarkStart w:id="359" w:name="_Toc158985614"/>
      <w:r>
        <w:rPr>
          <w:rStyle w:val="CharSectno"/>
        </w:rPr>
        <w:t>123</w:t>
      </w:r>
      <w:r>
        <w:rPr>
          <w:snapToGrid w:val="0"/>
        </w:rPr>
        <w:t>.</w:t>
      </w:r>
      <w:r>
        <w:rPr>
          <w:snapToGrid w:val="0"/>
        </w:rPr>
        <w:tab/>
        <w:t>Regulations</w:t>
      </w:r>
      <w:bookmarkEnd w:id="359"/>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rPr>
          <w:snapToGrid w:val="0"/>
        </w:rPr>
      </w:pPr>
      <w:r>
        <w:rPr>
          <w:snapToGrid w:val="0"/>
        </w:rPr>
        <w:tab/>
        <w:t>(3)</w:t>
      </w:r>
      <w:r>
        <w:rPr>
          <w:snapToGrid w:val="0"/>
        </w:rPr>
        <w:tab/>
        <w:t>Regulations made under subsection (1) may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lastRenderedPageBreak/>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keepNext/>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[Section 123 amended: No. 14 of 1996 s. 4; No. 14 of 1998 s. 35; No. 54 of 2003 s. 137 and 140(2).]</w:t>
      </w:r>
    </w:p>
    <w:p>
      <w:pPr>
        <w:pStyle w:val="Heading5"/>
        <w:rPr>
          <w:snapToGrid w:val="0"/>
        </w:rPr>
      </w:pPr>
      <w:bookmarkStart w:id="360" w:name="_Toc158985615"/>
      <w:r>
        <w:rPr>
          <w:rStyle w:val="CharSectno"/>
        </w:rPr>
        <w:t>124</w:t>
      </w:r>
      <w:r>
        <w:rPr>
          <w:snapToGrid w:val="0"/>
        </w:rPr>
        <w:t>.</w:t>
      </w:r>
      <w:r>
        <w:rPr>
          <w:snapToGrid w:val="0"/>
        </w:rPr>
        <w:tab/>
        <w:t>Review of Act</w:t>
      </w:r>
      <w:bookmarkEnd w:id="360"/>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 any group, committee, council or panel established under section 25(1); and</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 xml:space="preserve">such other matters as appear to </w:t>
      </w:r>
      <w:r>
        <w:t>the Minister</w:t>
      </w:r>
      <w:r>
        <w:rPr>
          <w:snapToGrid w:val="0"/>
        </w:rPr>
        <w:t xml:space="preserve"> to be relevant to the operation and effectiveness of this Act.</w:t>
      </w:r>
    </w:p>
    <w:p>
      <w:pPr>
        <w:pStyle w:val="Subsection"/>
        <w:rPr>
          <w:snapToGrid w:val="0"/>
        </w:rPr>
      </w:pPr>
      <w:r>
        <w:rPr>
          <w:snapToGrid w:val="0"/>
        </w:rPr>
        <w:tab/>
        <w:t>(2)</w:t>
      </w:r>
      <w:r>
        <w:rPr>
          <w:snapToGrid w:val="0"/>
        </w:rPr>
        <w:tab/>
        <w:t xml:space="preserve">The Minister shall prepare a report based on </w:t>
      </w:r>
      <w:r>
        <w:t xml:space="preserve">the </w:t>
      </w:r>
      <w:r>
        <w:rPr>
          <w:snapToGrid w:val="0"/>
        </w:rPr>
        <w:t>review made under subsection (1) and shall, as soon as practicable after the preparation thereof, cause the report to be laid before each House of Parliament.</w:t>
      </w:r>
    </w:p>
    <w:p>
      <w:pPr>
        <w:pStyle w:val="Footnotesection"/>
      </w:pPr>
      <w:r>
        <w:tab/>
        <w:t>[Section 124 amended: No. 40 of 2020 s. 111(1).]</w:t>
      </w:r>
    </w:p>
    <w:p>
      <w:pPr>
        <w:pStyle w:val="Heading2"/>
      </w:pPr>
      <w:bookmarkStart w:id="361" w:name="_Toc158980947"/>
      <w:bookmarkStart w:id="362" w:name="_Toc158981346"/>
      <w:bookmarkStart w:id="363" w:name="_Toc158985616"/>
      <w:r>
        <w:rPr>
          <w:rStyle w:val="CharPartNo"/>
        </w:rPr>
        <w:lastRenderedPageBreak/>
        <w:t>Part VIIIA</w:t>
      </w:r>
      <w:r>
        <w:rPr>
          <w:rStyle w:val="CharDivNo"/>
        </w:rPr>
        <w:t> </w:t>
      </w:r>
      <w:r>
        <w:t>—</w:t>
      </w:r>
      <w:r>
        <w:rPr>
          <w:rStyle w:val="CharDivText"/>
        </w:rPr>
        <w:t> </w:t>
      </w:r>
      <w:r>
        <w:rPr>
          <w:rStyle w:val="CharPartText"/>
        </w:rPr>
        <w:t>Bilateral agreements with the Commonwealth</w:t>
      </w:r>
      <w:bookmarkEnd w:id="361"/>
      <w:bookmarkEnd w:id="362"/>
      <w:bookmarkEnd w:id="363"/>
    </w:p>
    <w:p>
      <w:pPr>
        <w:pStyle w:val="Footnoteheading"/>
        <w:tabs>
          <w:tab w:val="left" w:pos="909"/>
        </w:tabs>
      </w:pPr>
      <w:r>
        <w:tab/>
        <w:t>[Heading inserted: No. 40 of 2020 s. 100.]</w:t>
      </w:r>
    </w:p>
    <w:p>
      <w:pPr>
        <w:pStyle w:val="Heading5"/>
      </w:pPr>
      <w:bookmarkStart w:id="364" w:name="_Toc158985617"/>
      <w:r>
        <w:rPr>
          <w:rStyle w:val="CharSectno"/>
        </w:rPr>
        <w:t>124A</w:t>
      </w:r>
      <w:r>
        <w:t>.</w:t>
      </w:r>
      <w:r>
        <w:tab/>
        <w:t>Terms used</w:t>
      </w:r>
      <w:bookmarkEnd w:id="364"/>
    </w:p>
    <w:p>
      <w:pPr>
        <w:pStyle w:val="Subsection"/>
      </w:pPr>
      <w:r>
        <w:tab/>
      </w:r>
      <w:r>
        <w:tab/>
        <w:t>In this Part, unless the contrary intention appears —</w:t>
      </w:r>
    </w:p>
    <w:p>
      <w:pPr>
        <w:pStyle w:val="Defstart"/>
      </w:pPr>
      <w:r>
        <w:tab/>
      </w:r>
      <w:r>
        <w:rPr>
          <w:rStyle w:val="CharDefText"/>
        </w:rPr>
        <w:t>bilateral agreement</w:t>
      </w:r>
      <w:r>
        <w:t xml:space="preserve"> means an agreement referred to in the Commonwealth Environment Act section 45(2) to which the State is a party;</w:t>
      </w:r>
    </w:p>
    <w:p>
      <w:pPr>
        <w:pStyle w:val="Defstart"/>
      </w:pPr>
      <w:r>
        <w:tab/>
      </w:r>
      <w:r>
        <w:rPr>
          <w:rStyle w:val="CharDefText"/>
        </w:rPr>
        <w:t>bilateral matter</w:t>
      </w:r>
      <w:r>
        <w:t xml:space="preserve"> means a matter in respect of which an application has been made in accordance with regulations referred to in section 124D;</w:t>
      </w:r>
    </w:p>
    <w:p>
      <w:pPr>
        <w:pStyle w:val="Defstart"/>
      </w:pPr>
      <w:r>
        <w:tab/>
      </w:r>
      <w:r>
        <w:rPr>
          <w:rStyle w:val="CharDefText"/>
        </w:rPr>
        <w:t>guidelines</w:t>
      </w:r>
      <w:r>
        <w:t xml:space="preserve"> includes policies, plans and information;</w:t>
      </w:r>
    </w:p>
    <w:p>
      <w:pPr>
        <w:pStyle w:val="Defstart"/>
      </w:pPr>
      <w:r>
        <w:tab/>
      </w:r>
      <w:r>
        <w:rPr>
          <w:rStyle w:val="CharDefText"/>
        </w:rPr>
        <w:t>State entity</w:t>
      </w:r>
      <w:r>
        <w:t xml:space="preserve"> means the Minister, the CEO or the Authority.</w:t>
      </w:r>
    </w:p>
    <w:p>
      <w:pPr>
        <w:pStyle w:val="Footnotesection"/>
      </w:pPr>
      <w:r>
        <w:tab/>
        <w:t>[Section 124A inserted: No. 40 of 2020 s. 100.]</w:t>
      </w:r>
    </w:p>
    <w:p>
      <w:pPr>
        <w:pStyle w:val="Heading5"/>
      </w:pPr>
      <w:bookmarkStart w:id="365" w:name="_Toc158985618"/>
      <w:r>
        <w:rPr>
          <w:rStyle w:val="CharSectno"/>
        </w:rPr>
        <w:t>124B</w:t>
      </w:r>
      <w:r>
        <w:t>.</w:t>
      </w:r>
      <w:r>
        <w:tab/>
        <w:t>Effect of Part</w:t>
      </w:r>
      <w:bookmarkEnd w:id="365"/>
    </w:p>
    <w:p>
      <w:pPr>
        <w:pStyle w:val="Subsection"/>
      </w:pPr>
      <w:r>
        <w:tab/>
      </w:r>
      <w:r>
        <w:tab/>
        <w:t>This Part has effect despite any other provision of this Act.</w:t>
      </w:r>
    </w:p>
    <w:p>
      <w:pPr>
        <w:pStyle w:val="Footnotesection"/>
      </w:pPr>
      <w:r>
        <w:tab/>
        <w:t>[Section 124B inserted: No. 40 of 2020 s. 100.]</w:t>
      </w:r>
    </w:p>
    <w:p>
      <w:pPr>
        <w:pStyle w:val="Heading5"/>
      </w:pPr>
      <w:bookmarkStart w:id="366" w:name="_Toc158985619"/>
      <w:r>
        <w:rPr>
          <w:rStyle w:val="CharSectno"/>
        </w:rPr>
        <w:t>124C</w:t>
      </w:r>
      <w:r>
        <w:t>.</w:t>
      </w:r>
      <w:r>
        <w:tab/>
        <w:t>Additional function of Authority</w:t>
      </w:r>
      <w:bookmarkEnd w:id="366"/>
    </w:p>
    <w:p>
      <w:pPr>
        <w:pStyle w:val="Subsection"/>
      </w:pPr>
      <w:r>
        <w:tab/>
        <w:t>(1)</w:t>
      </w:r>
      <w:r>
        <w:tab/>
        <w:t>It is a function of the Authority to facilitate the implementation of bilateral agreements.</w:t>
      </w:r>
    </w:p>
    <w:p>
      <w:pPr>
        <w:pStyle w:val="Subsection"/>
      </w:pPr>
      <w:r>
        <w:tab/>
        <w:t>(2)</w:t>
      </w:r>
      <w:r>
        <w:tab/>
        <w:t>A reference in any enactment to the Authority’s functions includes a reference to its function under subsection (1).</w:t>
      </w:r>
    </w:p>
    <w:p>
      <w:pPr>
        <w:pStyle w:val="Footnotesection"/>
      </w:pPr>
      <w:r>
        <w:tab/>
        <w:t>[Section 124C inserted: No. 40 of 2020 s. 100.]</w:t>
      </w:r>
    </w:p>
    <w:p>
      <w:pPr>
        <w:pStyle w:val="Heading5"/>
      </w:pPr>
      <w:bookmarkStart w:id="367" w:name="_Toc158985620"/>
      <w:r>
        <w:rPr>
          <w:rStyle w:val="CharSectno"/>
        </w:rPr>
        <w:t>124D</w:t>
      </w:r>
      <w:r>
        <w:t>.</w:t>
      </w:r>
      <w:r>
        <w:tab/>
        <w:t>Application for a matter to be dealt with as a bilateral matter</w:t>
      </w:r>
      <w:bookmarkEnd w:id="367"/>
    </w:p>
    <w:p>
      <w:pPr>
        <w:pStyle w:val="Subsection"/>
      </w:pPr>
      <w:r>
        <w:tab/>
      </w:r>
      <w:r>
        <w:tab/>
        <w:t xml:space="preserve">Regulations may provide for procedures under which a person may apply for a matter to be dealt with under this Act as a </w:t>
      </w:r>
      <w:r>
        <w:lastRenderedPageBreak/>
        <w:t>bilateral matter where, under a bilateral agreement, the performance of functions in respect of the matter by a State entity will or may have effect for the purposes of the Commonwealth Environment Act.</w:t>
      </w:r>
    </w:p>
    <w:p>
      <w:pPr>
        <w:pStyle w:val="Footnotesection"/>
      </w:pPr>
      <w:r>
        <w:tab/>
        <w:t>[Section 124D inserted: No. 40 of 2020 s. 100.]</w:t>
      </w:r>
    </w:p>
    <w:p>
      <w:pPr>
        <w:pStyle w:val="Heading5"/>
      </w:pPr>
      <w:bookmarkStart w:id="368" w:name="_Toc158985621"/>
      <w:r>
        <w:rPr>
          <w:rStyle w:val="CharSectno"/>
        </w:rPr>
        <w:t>124E</w:t>
      </w:r>
      <w:r>
        <w:t>.</w:t>
      </w:r>
      <w:r>
        <w:tab/>
        <w:t>Performance of functions in respect of bilateral matters</w:t>
      </w:r>
      <w:bookmarkEnd w:id="368"/>
    </w:p>
    <w:p>
      <w:pPr>
        <w:pStyle w:val="Subsection"/>
      </w:pPr>
      <w:r>
        <w:tab/>
        <w:t>(1)</w:t>
      </w:r>
      <w:r>
        <w:tab/>
        <w:t>A State entity may perform functions under this Act in respect of a bilateral matter in a manner that is consistent with, and enables the implementation of, a bilateral agreement.</w:t>
      </w:r>
    </w:p>
    <w:p>
      <w:pPr>
        <w:pStyle w:val="Subsection"/>
      </w:pPr>
      <w:r>
        <w:tab/>
        <w:t>(2)</w:t>
      </w:r>
      <w:r>
        <w:tab/>
        <w:t>When performing functions under this Act in respect of a bilateral matter a State entity may have regard to guidelines in accordance with a bilateral agreement.</w:t>
      </w:r>
    </w:p>
    <w:p>
      <w:pPr>
        <w:pStyle w:val="Subsection"/>
      </w:pPr>
      <w:r>
        <w:tab/>
        <w:t>(3)</w:t>
      </w:r>
      <w:r>
        <w:tab/>
        <w:t>Without limiting subsection (1) or section 17, for the purposes of performing functions under Part IV in respect of a bilateral matter the Authority may, in relation to a proposal —</w:t>
      </w:r>
    </w:p>
    <w:p>
      <w:pPr>
        <w:pStyle w:val="Indenta"/>
      </w:pPr>
      <w:r>
        <w:tab/>
        <w:t>(a)</w:t>
      </w:r>
      <w:r>
        <w:tab/>
        <w:t>have regard to requirements made by a bilateral agreement when making requirements or taking other action under section 40; and</w:t>
      </w:r>
    </w:p>
    <w:p>
      <w:pPr>
        <w:pStyle w:val="Indenta"/>
      </w:pPr>
      <w:r>
        <w:tab/>
        <w:t>(b)</w:t>
      </w:r>
      <w:r>
        <w:tab/>
        <w:t>prepare guidelines and publish material as required under a bilateral agreement; and</w:t>
      </w:r>
    </w:p>
    <w:p>
      <w:pPr>
        <w:pStyle w:val="Indenta"/>
      </w:pPr>
      <w:r>
        <w:tab/>
        <w:t>(c)</w:t>
      </w:r>
      <w:r>
        <w:tab/>
        <w:t>require the proponent to do anything necessary to give effect to a bilateral agreement; and</w:t>
      </w:r>
    </w:p>
    <w:p>
      <w:pPr>
        <w:pStyle w:val="Indenta"/>
      </w:pPr>
      <w:r>
        <w:tab/>
        <w:t>(d)</w:t>
      </w:r>
      <w:r>
        <w:tab/>
        <w:t>make its assessment and report in a manner that satisfies the requirements of a bilateral agreement.</w:t>
      </w:r>
    </w:p>
    <w:p>
      <w:pPr>
        <w:pStyle w:val="Subsection"/>
      </w:pPr>
      <w:r>
        <w:tab/>
        <w:t>(4)</w:t>
      </w:r>
      <w:r>
        <w:tab/>
        <w:t>Without limiting subsection (1), when consulting with other Ministers and decision</w:t>
      </w:r>
      <w:r>
        <w:noBreakHyphen/>
        <w:t xml:space="preserve">making authorities or making decisions for the purposes of Part IV in respect of a bilateral matter, the Minister may — </w:t>
      </w:r>
    </w:p>
    <w:p>
      <w:pPr>
        <w:pStyle w:val="Indenta"/>
      </w:pPr>
      <w:r>
        <w:tab/>
        <w:t>(a)</w:t>
      </w:r>
      <w:r>
        <w:tab/>
        <w:t>rely on a report of the Authority, including any part of the report relating to matters of national environmental significance under the Commonwealth Environment Act; and</w:t>
      </w:r>
    </w:p>
    <w:p>
      <w:pPr>
        <w:pStyle w:val="Indenta"/>
      </w:pPr>
      <w:r>
        <w:lastRenderedPageBreak/>
        <w:tab/>
        <w:t>(b)</w:t>
      </w:r>
      <w:r>
        <w:tab/>
        <w:t>impose implementation conditions for the purpose of the implementation of a bilateral agreement.</w:t>
      </w:r>
    </w:p>
    <w:p>
      <w:pPr>
        <w:pStyle w:val="Subsection"/>
      </w:pPr>
      <w:r>
        <w:tab/>
        <w:t>(5)</w:t>
      </w:r>
      <w:r>
        <w:tab/>
        <w:t xml:space="preserve">Without limiting subsection (1), when performing functions under Part V Division 2 in respect of a bilateral matter the CEO may — </w:t>
      </w:r>
    </w:p>
    <w:p>
      <w:pPr>
        <w:pStyle w:val="Indenta"/>
      </w:pPr>
      <w:r>
        <w:tab/>
        <w:t>(a)</w:t>
      </w:r>
      <w:r>
        <w:tab/>
        <w:t>have regard to requirements made by a bilateral agreement; and</w:t>
      </w:r>
    </w:p>
    <w:p>
      <w:pPr>
        <w:pStyle w:val="Indenta"/>
      </w:pPr>
      <w:r>
        <w:tab/>
        <w:t>(b)</w:t>
      </w:r>
      <w:r>
        <w:tab/>
        <w:t>prepare guidelines and publish material as required under a bilateral agreement; and</w:t>
      </w:r>
    </w:p>
    <w:p>
      <w:pPr>
        <w:pStyle w:val="Indenta"/>
      </w:pPr>
      <w:r>
        <w:tab/>
        <w:t>(c)</w:t>
      </w:r>
      <w:r>
        <w:tab/>
        <w:t>require a person to do anything necessary to give effect to a bilateral agreement; and</w:t>
      </w:r>
    </w:p>
    <w:p>
      <w:pPr>
        <w:pStyle w:val="Indenta"/>
      </w:pPr>
      <w:r>
        <w:tab/>
        <w:t>(d)</w:t>
      </w:r>
      <w:r>
        <w:tab/>
        <w:t>make any assessment and report required by a bilateral agreement in a manner that satisfies the requirements of a bilateral agreement; and</w:t>
      </w:r>
    </w:p>
    <w:p>
      <w:pPr>
        <w:pStyle w:val="Indenta"/>
      </w:pPr>
      <w:r>
        <w:tab/>
        <w:t>(e)</w:t>
      </w:r>
      <w:r>
        <w:tab/>
        <w:t>attach conditions to a clearing permit for the purpose of the implementation of a bilateral agreement.</w:t>
      </w:r>
    </w:p>
    <w:p>
      <w:pPr>
        <w:pStyle w:val="Subsection"/>
      </w:pPr>
      <w:r>
        <w:tab/>
        <w:t>(6)</w:t>
      </w:r>
      <w:r>
        <w:tab/>
        <w:t>When performing functions under Part VII in relation to an appeal in respect of a bilateral matter the following are to have regard to the effect of subsections (1) to (5) on the performance of functions —</w:t>
      </w:r>
    </w:p>
    <w:p>
      <w:pPr>
        <w:pStyle w:val="Indenta"/>
      </w:pPr>
      <w:r>
        <w:tab/>
        <w:t>(a)</w:t>
      </w:r>
      <w:r>
        <w:tab/>
        <w:t>the Minister;</w:t>
      </w:r>
    </w:p>
    <w:p>
      <w:pPr>
        <w:pStyle w:val="Indenta"/>
      </w:pPr>
      <w:r>
        <w:tab/>
        <w:t>(b)</w:t>
      </w:r>
      <w:r>
        <w:tab/>
        <w:t>the Authority;</w:t>
      </w:r>
    </w:p>
    <w:p>
      <w:pPr>
        <w:pStyle w:val="Indenta"/>
      </w:pPr>
      <w:r>
        <w:tab/>
        <w:t>(c)</w:t>
      </w:r>
      <w:r>
        <w:tab/>
        <w:t>the CEO;</w:t>
      </w:r>
    </w:p>
    <w:p>
      <w:pPr>
        <w:pStyle w:val="Indenta"/>
      </w:pPr>
      <w:r>
        <w:tab/>
        <w:t>(d)</w:t>
      </w:r>
      <w:r>
        <w:tab/>
        <w:t>the Appeals Convenor;</w:t>
      </w:r>
    </w:p>
    <w:p>
      <w:pPr>
        <w:pStyle w:val="Indenta"/>
      </w:pPr>
      <w:r>
        <w:tab/>
        <w:t>(e)</w:t>
      </w:r>
      <w:r>
        <w:tab/>
        <w:t>an appeals panel;</w:t>
      </w:r>
    </w:p>
    <w:p>
      <w:pPr>
        <w:pStyle w:val="Indenta"/>
      </w:pPr>
      <w:r>
        <w:tab/>
        <w:t>(f)</w:t>
      </w:r>
      <w:r>
        <w:tab/>
        <w:t>an appeals committee.</w:t>
      </w:r>
    </w:p>
    <w:p>
      <w:pPr>
        <w:pStyle w:val="Footnotesection"/>
      </w:pPr>
      <w:r>
        <w:tab/>
        <w:t>[Section 124E inserted: No. 40 of 2020 s. 100.]</w:t>
      </w:r>
    </w:p>
    <w:p>
      <w:pPr>
        <w:pStyle w:val="Heading5"/>
      </w:pPr>
      <w:bookmarkStart w:id="369" w:name="_Toc158985622"/>
      <w:r>
        <w:rPr>
          <w:rStyle w:val="CharSectno"/>
        </w:rPr>
        <w:lastRenderedPageBreak/>
        <w:t>124F</w:t>
      </w:r>
      <w:r>
        <w:t>.</w:t>
      </w:r>
      <w:r>
        <w:tab/>
        <w:t>Fees in relation to bilateral matters</w:t>
      </w:r>
      <w:bookmarkEnd w:id="369"/>
    </w:p>
    <w:p>
      <w:pPr>
        <w:pStyle w:val="Subsection"/>
        <w:keepLines/>
      </w:pPr>
      <w:r>
        <w:tab/>
        <w:t>(1)</w:t>
      </w:r>
      <w:r>
        <w:tab/>
        <w:t>Regulations may prescribe, or provide for the determination of, fees payable to a State entity, or a delegate of a State entity, in respect of things done, or to be done, by or on behalf of the State entity or delegate in respect of a bilateral matter.</w:t>
      </w:r>
    </w:p>
    <w:p>
      <w:pPr>
        <w:pStyle w:val="Subsection"/>
      </w:pPr>
      <w:r>
        <w:tab/>
        <w:t>(2)</w:t>
      </w:r>
      <w:r>
        <w:tab/>
        <w:t>Regulations relating to a fee in respect of a matter may prescribe, or provide for the determination of, a greater or additional fee if the matter is, or is to be, dealt with as a bilateral matter.</w:t>
      </w:r>
    </w:p>
    <w:p>
      <w:pPr>
        <w:pStyle w:val="Subsection"/>
      </w:pPr>
      <w:r>
        <w:tab/>
        <w:t>(3)</w:t>
      </w:r>
      <w:r>
        <w:tab/>
        <w:t>Schedule 2 items 2 and 2A apply in relation to fees mentioned in this section.</w:t>
      </w:r>
    </w:p>
    <w:p>
      <w:pPr>
        <w:pStyle w:val="Footnotesection"/>
      </w:pPr>
      <w:r>
        <w:tab/>
        <w:t>[Section 124F inserted: No. 40 of 2020 s. 100.]</w:t>
      </w:r>
    </w:p>
    <w:p>
      <w:pPr>
        <w:pStyle w:val="Heading5"/>
      </w:pPr>
      <w:bookmarkStart w:id="370" w:name="_Toc158985623"/>
      <w:r>
        <w:rPr>
          <w:rStyle w:val="CharSectno"/>
        </w:rPr>
        <w:t>124G</w:t>
      </w:r>
      <w:r>
        <w:t>.</w:t>
      </w:r>
      <w:r>
        <w:tab/>
        <w:t>Disclosure of information for the purposes of bilateral agreements</w:t>
      </w:r>
      <w:bookmarkEnd w:id="370"/>
    </w:p>
    <w:p>
      <w:pPr>
        <w:pStyle w:val="Subsection"/>
      </w:pPr>
      <w:r>
        <w:tab/>
        <w:t>(1)</w:t>
      </w:r>
      <w:r>
        <w:tab/>
        <w:t>Subject to this section, the provisions of this Act in relation to the confidentiality and disclosure of information apply to information obtained in or for the purposes of the performance of functions in accordance with this Part.</w:t>
      </w:r>
    </w:p>
    <w:p>
      <w:pPr>
        <w:pStyle w:val="Subsection"/>
      </w:pPr>
      <w:r>
        <w:tab/>
        <w:t>(2)</w:t>
      </w:r>
      <w:r>
        <w:tab/>
        <w:t>To facilitate the implementation of a bilateral agreement information that a State entity has may be disclosed to a person that performs functions under the Commonwealth Environment Act.</w:t>
      </w:r>
    </w:p>
    <w:p>
      <w:pPr>
        <w:pStyle w:val="Subsection"/>
      </w:pPr>
      <w:r>
        <w:tab/>
        <w:t>(3)</w:t>
      </w:r>
      <w:r>
        <w:tab/>
        <w:t>A person does not commit an offence under section 120 if the disclosure of information referred to in that section is made under, or for the purposes of the implementation of, a bilateral agreement.</w:t>
      </w:r>
    </w:p>
    <w:p>
      <w:pPr>
        <w:pStyle w:val="Footnotesection"/>
      </w:pPr>
      <w:r>
        <w:tab/>
        <w:t>[Section 124G inserted: No. 40 of 2020 s. 100.]</w:t>
      </w:r>
    </w:p>
    <w:p>
      <w:pPr>
        <w:pStyle w:val="Heading5"/>
      </w:pPr>
      <w:bookmarkStart w:id="371" w:name="_Toc158985624"/>
      <w:r>
        <w:rPr>
          <w:rStyle w:val="CharSectno"/>
        </w:rPr>
        <w:lastRenderedPageBreak/>
        <w:t>124H</w:t>
      </w:r>
      <w:r>
        <w:t>.</w:t>
      </w:r>
      <w:r>
        <w:tab/>
        <w:t>Regulations</w:t>
      </w:r>
      <w:bookmarkEnd w:id="371"/>
    </w:p>
    <w:p>
      <w:pPr>
        <w:pStyle w:val="Subsection"/>
        <w:keepNext/>
        <w:keepLines/>
      </w:pPr>
      <w:r>
        <w:tab/>
      </w:r>
      <w:r>
        <w:tab/>
        <w:t xml:space="preserve">Without limiting section 123(1) and (2), regulations may prescribe all matters that are required or permitted by this Part to be prescribed or that are necessary or convenient to be prescribed for — </w:t>
      </w:r>
    </w:p>
    <w:p>
      <w:pPr>
        <w:pStyle w:val="Indenta"/>
      </w:pPr>
      <w:r>
        <w:tab/>
        <w:t>(a)</w:t>
      </w:r>
      <w:r>
        <w:tab/>
        <w:t xml:space="preserve">giving effect to the purposes of this Part; or </w:t>
      </w:r>
    </w:p>
    <w:p>
      <w:pPr>
        <w:pStyle w:val="Indenta"/>
        <w:keepNext/>
      </w:pPr>
      <w:r>
        <w:tab/>
        <w:t>(b)</w:t>
      </w:r>
      <w:r>
        <w:tab/>
        <w:t>facilitating the implementation of bilateral agreements.</w:t>
      </w:r>
    </w:p>
    <w:p>
      <w:pPr>
        <w:pStyle w:val="Footnotesection"/>
      </w:pPr>
      <w:r>
        <w:tab/>
        <w:t>[Section 124H inserted: No. 40 of 2020 s. 100.]</w:t>
      </w:r>
    </w:p>
    <w:p>
      <w:pPr>
        <w:pStyle w:val="Heading2"/>
      </w:pPr>
      <w:bookmarkStart w:id="372" w:name="_Toc158980956"/>
      <w:bookmarkStart w:id="373" w:name="_Toc158981355"/>
      <w:bookmarkStart w:id="374" w:name="_Toc158985625"/>
      <w:r>
        <w:rPr>
          <w:rStyle w:val="CharPartNo"/>
        </w:rPr>
        <w:lastRenderedPageBreak/>
        <w:t>Part IX</w:t>
      </w:r>
      <w:r>
        <w:t> — </w:t>
      </w:r>
      <w:r>
        <w:rPr>
          <w:rStyle w:val="CharPartText"/>
        </w:rPr>
        <w:t>Transitional</w:t>
      </w:r>
      <w:bookmarkEnd w:id="372"/>
      <w:bookmarkEnd w:id="373"/>
      <w:bookmarkEnd w:id="374"/>
    </w:p>
    <w:p>
      <w:pPr>
        <w:pStyle w:val="Heading3"/>
      </w:pPr>
      <w:bookmarkStart w:id="375" w:name="_Toc158980957"/>
      <w:bookmarkStart w:id="376" w:name="_Toc158981356"/>
      <w:bookmarkStart w:id="377" w:name="_Toc158985626"/>
      <w:r>
        <w:rPr>
          <w:rStyle w:val="CharDivNo"/>
        </w:rPr>
        <w:t>Division 1</w:t>
      </w:r>
      <w:r>
        <w:t> — </w:t>
      </w:r>
      <w:r>
        <w:rPr>
          <w:rStyle w:val="CharDivText"/>
        </w:rPr>
        <w:t xml:space="preserve">Transitional provisions for </w:t>
      </w:r>
      <w:r>
        <w:rPr>
          <w:rStyle w:val="CharDivText"/>
          <w:i/>
          <w:iCs/>
        </w:rPr>
        <w:t>Environmental Protection Act 1986</w:t>
      </w:r>
      <w:bookmarkEnd w:id="375"/>
      <w:bookmarkEnd w:id="376"/>
      <w:bookmarkEnd w:id="377"/>
    </w:p>
    <w:p>
      <w:pPr>
        <w:pStyle w:val="Footnoteheading"/>
      </w:pPr>
      <w:r>
        <w:tab/>
        <w:t>[Heading inserted: No. 40 of 2010 s. 12.]</w:t>
      </w:r>
    </w:p>
    <w:p>
      <w:pPr>
        <w:pStyle w:val="Heading5"/>
        <w:rPr>
          <w:snapToGrid w:val="0"/>
        </w:rPr>
      </w:pPr>
      <w:bookmarkStart w:id="378" w:name="_Toc158985627"/>
      <w:r>
        <w:rPr>
          <w:rStyle w:val="CharSectno"/>
        </w:rPr>
        <w:t>125</w:t>
      </w:r>
      <w:r>
        <w:rPr>
          <w:snapToGrid w:val="0"/>
        </w:rPr>
        <w:t>.</w:t>
      </w:r>
      <w:r>
        <w:rPr>
          <w:snapToGrid w:val="0"/>
        </w:rPr>
        <w:tab/>
      </w:r>
      <w:r>
        <w:rPr>
          <w:i/>
          <w:snapToGrid w:val="0"/>
        </w:rPr>
        <w:t>Interpretation Act 1984</w:t>
      </w:r>
      <w:r>
        <w:rPr>
          <w:snapToGrid w:val="0"/>
        </w:rPr>
        <w:t xml:space="preserve"> not affected</w:t>
      </w:r>
      <w:bookmarkEnd w:id="378"/>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379" w:name="_Toc158985628"/>
      <w:r>
        <w:rPr>
          <w:rStyle w:val="CharSectno"/>
        </w:rPr>
        <w:t>126</w:t>
      </w:r>
      <w:r>
        <w:rPr>
          <w:snapToGrid w:val="0"/>
        </w:rPr>
        <w:t>.</w:t>
      </w:r>
      <w:r>
        <w:rPr>
          <w:snapToGrid w:val="0"/>
        </w:rPr>
        <w:tab/>
        <w:t xml:space="preserve">Transitional provisions for </w:t>
      </w:r>
      <w:r>
        <w:rPr>
          <w:i/>
          <w:snapToGrid w:val="0"/>
        </w:rPr>
        <w:t>Environmental Protection Act 1971</w:t>
      </w:r>
      <w:r>
        <w:rPr>
          <w:snapToGrid w:val="0"/>
          <w:vertAlign w:val="superscript"/>
        </w:rPr>
        <w:t> 2</w:t>
      </w:r>
      <w:bookmarkEnd w:id="379"/>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380" w:name="_Toc158985629"/>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vertAlign w:val="superscript"/>
        </w:rPr>
        <w:t> 2</w:t>
      </w:r>
      <w:bookmarkEnd w:id="380"/>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381" w:name="_Toc158985630"/>
      <w:r>
        <w:rPr>
          <w:rStyle w:val="CharSectno"/>
        </w:rPr>
        <w:t>128</w:t>
      </w:r>
      <w:r>
        <w:rPr>
          <w:snapToGrid w:val="0"/>
        </w:rPr>
        <w:t>.</w:t>
      </w:r>
      <w:r>
        <w:rPr>
          <w:snapToGrid w:val="0"/>
        </w:rPr>
        <w:tab/>
        <w:t>General saving</w:t>
      </w:r>
      <w:bookmarkEnd w:id="381"/>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pStyle w:val="Heading3"/>
        <w:keepLines/>
      </w:pPr>
      <w:bookmarkStart w:id="382" w:name="_Toc158980962"/>
      <w:bookmarkStart w:id="383" w:name="_Toc158981361"/>
      <w:bookmarkStart w:id="384" w:name="_Toc158985631"/>
      <w:r>
        <w:rPr>
          <w:rStyle w:val="CharDivNo"/>
        </w:rPr>
        <w:lastRenderedPageBreak/>
        <w:t>Division 2</w:t>
      </w:r>
      <w:r>
        <w:t> — </w:t>
      </w:r>
      <w:r>
        <w:rPr>
          <w:rStyle w:val="CharDivText"/>
        </w:rPr>
        <w:t xml:space="preserve">Transitional provisions for </w:t>
      </w:r>
      <w:r>
        <w:rPr>
          <w:rStyle w:val="CharDivText"/>
          <w:i/>
          <w:iCs/>
        </w:rPr>
        <w:t>Approvals and Related Reforms (No. 1) (Environment) Act 2010</w:t>
      </w:r>
      <w:r>
        <w:rPr>
          <w:rStyle w:val="CharDivText"/>
        </w:rPr>
        <w:t xml:space="preserve"> Part 2</w:t>
      </w:r>
      <w:bookmarkEnd w:id="382"/>
      <w:bookmarkEnd w:id="383"/>
      <w:bookmarkEnd w:id="384"/>
    </w:p>
    <w:p>
      <w:pPr>
        <w:pStyle w:val="Footnoteheading"/>
        <w:keepNext/>
        <w:keepLines/>
      </w:pPr>
      <w:r>
        <w:tab/>
        <w:t>[Heading inserted: No. 40 of 2010 s. 13.]</w:t>
      </w:r>
    </w:p>
    <w:p>
      <w:pPr>
        <w:pStyle w:val="Heading5"/>
      </w:pPr>
      <w:bookmarkStart w:id="385" w:name="_Toc158985632"/>
      <w:r>
        <w:rPr>
          <w:rStyle w:val="CharSectno"/>
        </w:rPr>
        <w:t>129</w:t>
      </w:r>
      <w:r>
        <w:t>.</w:t>
      </w:r>
      <w:r>
        <w:tab/>
        <w:t>Term used: amending Act</w:t>
      </w:r>
      <w:bookmarkEnd w:id="385"/>
    </w:p>
    <w:p>
      <w:pPr>
        <w:pStyle w:val="Subsection"/>
      </w:pPr>
      <w:r>
        <w:tab/>
      </w:r>
      <w:r>
        <w:tab/>
        <w:t xml:space="preserve">In this Division — </w:t>
      </w:r>
    </w:p>
    <w:p>
      <w:pPr>
        <w:pStyle w:val="Defstart"/>
      </w:pPr>
      <w:r>
        <w:tab/>
      </w:r>
      <w:r>
        <w:rPr>
          <w:rStyle w:val="CharDefText"/>
        </w:rPr>
        <w:t>amending Act</w:t>
      </w:r>
      <w:r>
        <w:t xml:space="preserve"> means the </w:t>
      </w:r>
      <w:r>
        <w:rPr>
          <w:i/>
          <w:iCs/>
        </w:rPr>
        <w:t>Approvals and Related Reforms (No. 1) (Environment) Act 2010</w:t>
      </w:r>
      <w:r>
        <w:t>.</w:t>
      </w:r>
    </w:p>
    <w:p>
      <w:pPr>
        <w:pStyle w:val="Footnotesection"/>
      </w:pPr>
      <w:r>
        <w:tab/>
        <w:t>[Section 129 inserted: No. 40 of 2010 s. 13.]</w:t>
      </w:r>
    </w:p>
    <w:p>
      <w:pPr>
        <w:pStyle w:val="Heading5"/>
      </w:pPr>
      <w:bookmarkStart w:id="386" w:name="_Toc158985633"/>
      <w:r>
        <w:rPr>
          <w:rStyle w:val="CharSectno"/>
        </w:rPr>
        <w:t>130</w:t>
      </w:r>
      <w:r>
        <w:t>.</w:t>
      </w:r>
      <w:r>
        <w:tab/>
        <w:t>Appeals in respect of proposals</w:t>
      </w:r>
      <w:bookmarkEnd w:id="386"/>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1 comes into operation.</w:t>
      </w:r>
    </w:p>
    <w:p>
      <w:pPr>
        <w:pStyle w:val="Subsection"/>
      </w:pPr>
      <w:r>
        <w:tab/>
        <w:t>(2)</w:t>
      </w:r>
      <w:r>
        <w:tab/>
        <w:t>The former EP Act continues to apply in respect of a decision of the Authority made before the day on which the amending Act Part 2 Division 1 comes into operation.</w:t>
      </w:r>
    </w:p>
    <w:p>
      <w:pPr>
        <w:pStyle w:val="Footnotesection"/>
      </w:pPr>
      <w:r>
        <w:tab/>
        <w:t>[Section 130 inserted: No. 40 of 2010 s. 13.]</w:t>
      </w:r>
    </w:p>
    <w:p>
      <w:pPr>
        <w:pStyle w:val="Heading5"/>
      </w:pPr>
      <w:bookmarkStart w:id="387" w:name="_Toc158985634"/>
      <w:r>
        <w:rPr>
          <w:rStyle w:val="CharSectno"/>
        </w:rPr>
        <w:t>131</w:t>
      </w:r>
      <w:r>
        <w:t>.</w:t>
      </w:r>
      <w:r>
        <w:tab/>
        <w:t>Appeals in respect of clearing permits</w:t>
      </w:r>
      <w:bookmarkEnd w:id="387"/>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2 comes into operation.</w:t>
      </w:r>
    </w:p>
    <w:p>
      <w:pPr>
        <w:pStyle w:val="Subsection"/>
      </w:pPr>
      <w:r>
        <w:tab/>
        <w:t>(2)</w:t>
      </w:r>
      <w:r>
        <w:tab/>
        <w:t>The former EP Act continues to apply in respect of a decision of the CEO made before the day on which the amending Act Part 2 Division 2 comes into operation.</w:t>
      </w:r>
    </w:p>
    <w:p>
      <w:pPr>
        <w:pStyle w:val="Footnotesection"/>
      </w:pPr>
      <w:r>
        <w:tab/>
        <w:t>[Section 131 inserted: No. 40 of 2010 s. 13.]</w:t>
      </w:r>
    </w:p>
    <w:p>
      <w:pPr>
        <w:pStyle w:val="Heading5"/>
      </w:pPr>
      <w:bookmarkStart w:id="388" w:name="_Toc158985635"/>
      <w:r>
        <w:rPr>
          <w:rStyle w:val="CharSectno"/>
        </w:rPr>
        <w:lastRenderedPageBreak/>
        <w:t>132</w:t>
      </w:r>
      <w:r>
        <w:t>.</w:t>
      </w:r>
      <w:r>
        <w:tab/>
        <w:t>Appeals in respect of works approvals and licences</w:t>
      </w:r>
      <w:bookmarkEnd w:id="388"/>
    </w:p>
    <w:p>
      <w:pPr>
        <w:pStyle w:val="Subsection"/>
        <w:keepNext/>
        <w:keepLines/>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3 comes into operation.</w:t>
      </w:r>
    </w:p>
    <w:p>
      <w:pPr>
        <w:pStyle w:val="Subsection"/>
      </w:pPr>
      <w:r>
        <w:tab/>
        <w:t>(2)</w:t>
      </w:r>
      <w:r>
        <w:tab/>
        <w:t>The former EP Act continues to apply in respect of a decision of the CEO made before the day on which the amending Act Part 2 Division 3 comes into operation.</w:t>
      </w:r>
    </w:p>
    <w:p>
      <w:pPr>
        <w:pStyle w:val="Footnotesection"/>
      </w:pPr>
      <w:r>
        <w:tab/>
        <w:t>[Section 132 inserted: No. 40 of 2010 s. 13.]</w:t>
      </w:r>
    </w:p>
    <w:p>
      <w:pPr>
        <w:pStyle w:val="Heading3"/>
      </w:pPr>
      <w:bookmarkStart w:id="389" w:name="_Toc158980967"/>
      <w:bookmarkStart w:id="390" w:name="_Toc158981366"/>
      <w:bookmarkStart w:id="391" w:name="_Toc158985636"/>
      <w:r>
        <w:rPr>
          <w:rStyle w:val="CharDivNo"/>
        </w:rPr>
        <w:t>Division 3</w:t>
      </w:r>
      <w:r>
        <w:t> — </w:t>
      </w:r>
      <w:r>
        <w:rPr>
          <w:rStyle w:val="CharDivText"/>
        </w:rPr>
        <w:t xml:space="preserve">Transitional provisions for </w:t>
      </w:r>
      <w:r>
        <w:rPr>
          <w:rStyle w:val="CharDivText"/>
          <w:i/>
          <w:iCs/>
        </w:rPr>
        <w:t>Approvals and Related Reforms (No. 1) (Environment) Act 2010</w:t>
      </w:r>
      <w:r>
        <w:rPr>
          <w:rStyle w:val="CharDivText"/>
        </w:rPr>
        <w:t xml:space="preserve"> Part 3</w:t>
      </w:r>
      <w:bookmarkEnd w:id="389"/>
      <w:bookmarkEnd w:id="390"/>
      <w:bookmarkEnd w:id="391"/>
    </w:p>
    <w:p>
      <w:pPr>
        <w:pStyle w:val="Footnoteheading"/>
      </w:pPr>
      <w:r>
        <w:tab/>
        <w:t>[Heading inserted: No. 40 of 2010 s. 18.]</w:t>
      </w:r>
    </w:p>
    <w:p>
      <w:pPr>
        <w:pStyle w:val="Heading5"/>
      </w:pPr>
      <w:bookmarkStart w:id="392" w:name="_Toc158985637"/>
      <w:r>
        <w:rPr>
          <w:rStyle w:val="CharSectno"/>
        </w:rPr>
        <w:t>133</w:t>
      </w:r>
      <w:r>
        <w:t>.</w:t>
      </w:r>
      <w:r>
        <w:tab/>
        <w:t>Minor or preliminary work that has Authority’s consent</w:t>
      </w:r>
      <w:bookmarkEnd w:id="392"/>
    </w:p>
    <w:p>
      <w:pPr>
        <w:pStyle w:val="Subsection"/>
      </w:pPr>
      <w:r>
        <w:tab/>
        <w:t>(1)</w:t>
      </w:r>
      <w:r>
        <w:tab/>
        <w:t xml:space="preserve">In this section — </w:t>
      </w:r>
    </w:p>
    <w:p>
      <w:pPr>
        <w:pStyle w:val="Defstart"/>
      </w:pPr>
      <w:r>
        <w:tab/>
      </w:r>
      <w:r>
        <w:rPr>
          <w:rStyle w:val="CharDefText"/>
        </w:rPr>
        <w:t>amended EP Act</w:t>
      </w:r>
      <w:r>
        <w:t xml:space="preserve"> means the </w:t>
      </w:r>
      <w:r>
        <w:rPr>
          <w:i/>
          <w:iCs/>
        </w:rPr>
        <w:t>Environmental Protection Act 1986</w:t>
      </w:r>
      <w:r>
        <w:t xml:space="preserve"> as amended by the </w:t>
      </w:r>
      <w:r>
        <w:rPr>
          <w:i/>
          <w:iCs/>
        </w:rPr>
        <w:t>Approvals and Related Reforms (No. 1) (Environment) Act 2010</w:t>
      </w:r>
      <w:r>
        <w:t xml:space="preserve"> Part 3.</w:t>
      </w:r>
    </w:p>
    <w:p>
      <w:pPr>
        <w:pStyle w:val="Subsection"/>
      </w:pPr>
      <w:r>
        <w:tab/>
        <w:t>(2)</w:t>
      </w:r>
      <w:r>
        <w:tab/>
        <w:t xml:space="preserve">The amended EP Act applies — </w:t>
      </w:r>
    </w:p>
    <w:p>
      <w:pPr>
        <w:pStyle w:val="Indenta"/>
      </w:pPr>
      <w:r>
        <w:tab/>
        <w:t>(a)</w:t>
      </w:r>
      <w:r>
        <w:tab/>
        <w:t>in respect of a proposal irrespective of when the proposal was or is referred to the Authority; and</w:t>
      </w:r>
    </w:p>
    <w:p>
      <w:pPr>
        <w:pStyle w:val="Indenta"/>
      </w:pPr>
      <w:r>
        <w:tab/>
        <w:t>(b)</w:t>
      </w:r>
      <w:r>
        <w:tab/>
        <w:t>in respect of an application irrespective of when the application was or is made to the CEO.</w:t>
      </w:r>
    </w:p>
    <w:p>
      <w:pPr>
        <w:pStyle w:val="Footnotesection"/>
        <w:rPr>
          <w:rStyle w:val="CharDivText"/>
        </w:rPr>
      </w:pPr>
      <w:r>
        <w:tab/>
        <w:t>[Section 133 inserted: No. 40 of 2010 s. 18.]</w:t>
      </w:r>
    </w:p>
    <w:p>
      <w:pPr>
        <w:pStyle w:val="Heading3"/>
      </w:pPr>
      <w:bookmarkStart w:id="393" w:name="_Toc158980969"/>
      <w:bookmarkStart w:id="394" w:name="_Toc158981368"/>
      <w:bookmarkStart w:id="395" w:name="_Toc158985638"/>
      <w:r>
        <w:rPr>
          <w:rStyle w:val="CharDivNo"/>
        </w:rPr>
        <w:lastRenderedPageBreak/>
        <w:t>Division 4</w:t>
      </w:r>
      <w:r>
        <w:t> — </w:t>
      </w:r>
      <w:r>
        <w:rPr>
          <w:rStyle w:val="CharDivText"/>
        </w:rPr>
        <w:t xml:space="preserve">Transitional provisions for </w:t>
      </w:r>
      <w:r>
        <w:rPr>
          <w:rStyle w:val="CharDivText"/>
          <w:i/>
        </w:rPr>
        <w:t>Environmental Protection Amendment Act 2020</w:t>
      </w:r>
      <w:bookmarkEnd w:id="393"/>
      <w:bookmarkEnd w:id="394"/>
      <w:bookmarkEnd w:id="395"/>
    </w:p>
    <w:p>
      <w:pPr>
        <w:pStyle w:val="Footnoteheading"/>
        <w:keepNext/>
      </w:pPr>
      <w:r>
        <w:tab/>
        <w:t>[Heading inserted: No. 40 of 2020 s. 101.]</w:t>
      </w:r>
    </w:p>
    <w:p>
      <w:pPr>
        <w:pStyle w:val="Heading4"/>
      </w:pPr>
      <w:bookmarkStart w:id="396" w:name="_Toc158980970"/>
      <w:bookmarkStart w:id="397" w:name="_Toc158981369"/>
      <w:bookmarkStart w:id="398" w:name="_Toc158985639"/>
      <w:r>
        <w:t>Subdivision 1 — General provision</w:t>
      </w:r>
      <w:bookmarkEnd w:id="396"/>
      <w:bookmarkEnd w:id="397"/>
      <w:bookmarkEnd w:id="398"/>
    </w:p>
    <w:p>
      <w:pPr>
        <w:pStyle w:val="Footnoteheading"/>
        <w:keepNext/>
      </w:pPr>
      <w:r>
        <w:tab/>
        <w:t>[Heading inserted: No. 40 of 2020 s. 101.]</w:t>
      </w:r>
    </w:p>
    <w:p>
      <w:pPr>
        <w:pStyle w:val="Heading5"/>
      </w:pPr>
      <w:bookmarkStart w:id="399" w:name="_Toc158985640"/>
      <w:r>
        <w:rPr>
          <w:rStyle w:val="CharSectno"/>
        </w:rPr>
        <w:t>133A</w:t>
      </w:r>
      <w:r>
        <w:t>.</w:t>
      </w:r>
      <w:r>
        <w:tab/>
        <w:t>Term used: amending Act</w:t>
      </w:r>
      <w:bookmarkEnd w:id="399"/>
    </w:p>
    <w:p>
      <w:pPr>
        <w:pStyle w:val="Subsection"/>
        <w:keepNext/>
      </w:pPr>
      <w:r>
        <w:tab/>
      </w:r>
      <w:r>
        <w:tab/>
        <w:t xml:space="preserve">In this Division — </w:t>
      </w:r>
    </w:p>
    <w:p>
      <w:pPr>
        <w:pStyle w:val="Defstart"/>
        <w:keepNext/>
        <w:rPr>
          <w:i/>
        </w:rPr>
      </w:pPr>
      <w:r>
        <w:tab/>
      </w:r>
      <w:r>
        <w:rPr>
          <w:rStyle w:val="CharDefText"/>
        </w:rPr>
        <w:t>amending Act</w:t>
      </w:r>
      <w:r>
        <w:t xml:space="preserve"> means the </w:t>
      </w:r>
      <w:r>
        <w:rPr>
          <w:i/>
        </w:rPr>
        <w:t>Environmental Protection Amendment Act 2020.</w:t>
      </w:r>
    </w:p>
    <w:p>
      <w:pPr>
        <w:pStyle w:val="Footnotesection"/>
      </w:pPr>
      <w:r>
        <w:tab/>
        <w:t>[Section 133A inserted: No. 40 of 2020 s. 101.]</w:t>
      </w:r>
    </w:p>
    <w:p>
      <w:pPr>
        <w:pStyle w:val="Heading4"/>
      </w:pPr>
      <w:bookmarkStart w:id="400" w:name="_Toc158980972"/>
      <w:bookmarkStart w:id="401" w:name="_Toc158981371"/>
      <w:bookmarkStart w:id="402" w:name="_Toc158985641"/>
      <w:r>
        <w:t>Subdivision 2 — Transitional provisions relating to clearing matters</w:t>
      </w:r>
      <w:bookmarkEnd w:id="400"/>
      <w:bookmarkEnd w:id="401"/>
      <w:bookmarkEnd w:id="402"/>
    </w:p>
    <w:p>
      <w:pPr>
        <w:pStyle w:val="Footnoteheading"/>
        <w:keepNext/>
      </w:pPr>
      <w:r>
        <w:tab/>
        <w:t>[Heading inserted: No. 40 of 2020 s. 101.]</w:t>
      </w:r>
    </w:p>
    <w:p>
      <w:pPr>
        <w:pStyle w:val="Heading5"/>
      </w:pPr>
      <w:bookmarkStart w:id="403" w:name="_Toc158985642"/>
      <w:r>
        <w:rPr>
          <w:rStyle w:val="CharSectno"/>
        </w:rPr>
        <w:t>133B</w:t>
      </w:r>
      <w:r>
        <w:t>.</w:t>
      </w:r>
      <w:r>
        <w:tab/>
        <w:t>Declaration of environmentally sensitive areas</w:t>
      </w:r>
      <w:bookmarkEnd w:id="403"/>
    </w:p>
    <w:p>
      <w:pPr>
        <w:pStyle w:val="Subsection"/>
        <w:keepNext/>
      </w:pPr>
      <w:r>
        <w:tab/>
        <w:t>(1)</w:t>
      </w:r>
      <w:r>
        <w:tab/>
        <w:t xml:space="preserve">In this section — </w:t>
      </w:r>
    </w:p>
    <w:p>
      <w:pPr>
        <w:pStyle w:val="Defstart"/>
      </w:pPr>
      <w:r>
        <w:tab/>
      </w:r>
      <w:r>
        <w:rPr>
          <w:rStyle w:val="CharDefText"/>
        </w:rPr>
        <w:t>former section</w:t>
      </w:r>
      <w:r>
        <w:t xml:space="preserve"> means section 51B of this Act as in force before the coming into operation of section 44 of the amending Act;</w:t>
      </w:r>
    </w:p>
    <w:p>
      <w:pPr>
        <w:pStyle w:val="Defstart"/>
      </w:pPr>
      <w:r>
        <w:tab/>
      </w:r>
      <w:r>
        <w:rPr>
          <w:rStyle w:val="CharDefText"/>
        </w:rPr>
        <w:t>new section</w:t>
      </w:r>
      <w:r>
        <w:t xml:space="preserve"> means section 51B as in force after the coming into operation of section 44 of the amending Act;</w:t>
      </w:r>
    </w:p>
    <w:p>
      <w:pPr>
        <w:pStyle w:val="Defstart"/>
      </w:pPr>
      <w:r>
        <w:tab/>
      </w:r>
      <w:r>
        <w:rPr>
          <w:rStyle w:val="CharDefText"/>
        </w:rPr>
        <w:t>regulations</w:t>
      </w:r>
      <w:r>
        <w:t xml:space="preserve"> means regulations made under the new section.</w:t>
      </w:r>
    </w:p>
    <w:p>
      <w:pPr>
        <w:pStyle w:val="Subsection"/>
        <w:keepNext/>
      </w:pPr>
      <w:r>
        <w:tab/>
        <w:t>(2)</w:t>
      </w:r>
      <w:r>
        <w:tab/>
        <w:t>Until regulations come into operation the declaration of an environmentally sensitive area by notice made under the former section continues to have effect as if it had been made by regulations.</w:t>
      </w:r>
    </w:p>
    <w:p>
      <w:pPr>
        <w:pStyle w:val="Footnotesection"/>
      </w:pPr>
      <w:r>
        <w:tab/>
        <w:t>[Section 133B inserted: No. 40 of 2020 s. 101.]</w:t>
      </w:r>
    </w:p>
    <w:p>
      <w:pPr>
        <w:pStyle w:val="Heading5"/>
      </w:pPr>
      <w:bookmarkStart w:id="404" w:name="_Toc158985643"/>
      <w:r>
        <w:rPr>
          <w:rStyle w:val="CharSectno"/>
        </w:rPr>
        <w:lastRenderedPageBreak/>
        <w:t>133C</w:t>
      </w:r>
      <w:r>
        <w:t>.</w:t>
      </w:r>
      <w:r>
        <w:tab/>
        <w:t>Clearing permit applications</w:t>
      </w:r>
      <w:bookmarkEnd w:id="404"/>
    </w:p>
    <w:p>
      <w:pPr>
        <w:pStyle w:val="Subsection"/>
        <w:keepNext/>
      </w:pPr>
      <w:r>
        <w:tab/>
        <w:t>(1)</w:t>
      </w:r>
      <w:r>
        <w:tab/>
        <w:t xml:space="preserve">In this section — </w:t>
      </w:r>
    </w:p>
    <w:p>
      <w:pPr>
        <w:pStyle w:val="Defstart"/>
      </w:pPr>
      <w:r>
        <w:tab/>
      </w:r>
      <w:r>
        <w:rPr>
          <w:rStyle w:val="CharDefText"/>
        </w:rPr>
        <w:t>commencement</w:t>
      </w:r>
      <w:r>
        <w:t xml:space="preserve"> means the coming into operation of section 45 of the amending Act;</w:t>
      </w:r>
    </w:p>
    <w:p>
      <w:pPr>
        <w:pStyle w:val="Defstart"/>
      </w:pPr>
      <w:r>
        <w:tab/>
      </w:r>
      <w:r>
        <w:rPr>
          <w:rStyle w:val="CharDefText"/>
        </w:rPr>
        <w:t>existing application</w:t>
      </w:r>
      <w:r>
        <w:t xml:space="preserve"> means an application for a clearing permit made under section 51E before the commencement that has neither been withdrawn nor dealt with under section 51E(3) or (5) before the commencement.</w:t>
      </w:r>
    </w:p>
    <w:p>
      <w:pPr>
        <w:pStyle w:val="Subsection"/>
      </w:pPr>
      <w:r>
        <w:tab/>
        <w:t>(2)</w:t>
      </w:r>
      <w:r>
        <w:tab/>
        <w:t xml:space="preserve">On and from the commencement an existing application is taken to have been the referral under and in accordance with section 51DA(2) (the </w:t>
      </w:r>
      <w:r>
        <w:rPr>
          <w:rStyle w:val="CharDefText"/>
        </w:rPr>
        <w:t>deemed referral</w:t>
      </w:r>
      <w:r>
        <w:t>) of a proposal for the clearing specified in the existing application.</w:t>
      </w:r>
    </w:p>
    <w:p>
      <w:pPr>
        <w:pStyle w:val="Subsection"/>
      </w:pPr>
      <w:r>
        <w:tab/>
        <w:t>(3)</w:t>
      </w:r>
      <w:r>
        <w:tab/>
        <w:t xml:space="preserve">If the CEO did not comply with section 51E(4)(c) in relation to an existing application before the commencement, section 51DA(3) to (6) apply to the deemed referral, and if the person who made the existing application — </w:t>
      </w:r>
    </w:p>
    <w:p>
      <w:pPr>
        <w:pStyle w:val="Indenta"/>
      </w:pPr>
      <w:r>
        <w:tab/>
        <w:t>(a)</w:t>
      </w:r>
      <w:r>
        <w:tab/>
        <w:t>receives notice under section 51DA(5) that the CEO has decided that a clearing permit is needed for the proposed clearing; or</w:t>
      </w:r>
    </w:p>
    <w:p>
      <w:pPr>
        <w:pStyle w:val="Indenta"/>
      </w:pPr>
      <w:r>
        <w:tab/>
        <w:t>(b)</w:t>
      </w:r>
      <w:r>
        <w:tab/>
        <w:t>does not receive any notice under section 51DA(5) within the period of 21 days beginning on the commencement,</w:t>
      </w:r>
    </w:p>
    <w:p>
      <w:pPr>
        <w:pStyle w:val="Subsection"/>
      </w:pPr>
      <w:r>
        <w:tab/>
      </w:r>
      <w:r>
        <w:tab/>
        <w:t>the person may, in writing, request the CEO to treat the deemed referral as an application for a clearing permit under section 51E(1).</w:t>
      </w:r>
    </w:p>
    <w:p>
      <w:pPr>
        <w:pStyle w:val="Subsection"/>
      </w:pPr>
      <w:r>
        <w:tab/>
        <w:t>(4)</w:t>
      </w:r>
      <w:r>
        <w:tab/>
        <w:t xml:space="preserve">If the CEO complied with section 51E(4)(c) in relation to an existing application before the commencement, the person who made the existing application is taken to have — </w:t>
      </w:r>
    </w:p>
    <w:p>
      <w:pPr>
        <w:pStyle w:val="Indenta"/>
      </w:pPr>
      <w:r>
        <w:tab/>
        <w:t>(a)</w:t>
      </w:r>
      <w:r>
        <w:tab/>
        <w:t>received notice under section 51DA(5) that the CEO has decided that a clearing permit is needed for a proposed clearing; and</w:t>
      </w:r>
    </w:p>
    <w:p>
      <w:pPr>
        <w:pStyle w:val="Indenta"/>
      </w:pPr>
      <w:r>
        <w:lastRenderedPageBreak/>
        <w:tab/>
        <w:t>(b)</w:t>
      </w:r>
      <w:r>
        <w:tab/>
        <w:t>requested the CEO under section 51DA(8) to treat the deemed referral as an application for a clearing permit under section 51E(1).</w:t>
      </w:r>
    </w:p>
    <w:p>
      <w:pPr>
        <w:pStyle w:val="Subsection"/>
        <w:keepNext/>
      </w:pPr>
      <w:r>
        <w:tab/>
        <w:t>(5)</w:t>
      </w:r>
      <w:r>
        <w:tab/>
        <w:t>If a request is made under subsection (3), or if subsection (4) applies, the deemed referral is to be treated as an application for a clearing permit under section 51E, and section 51DA(9) does not apply.</w:t>
      </w:r>
    </w:p>
    <w:p>
      <w:pPr>
        <w:pStyle w:val="Footnotesection"/>
      </w:pPr>
      <w:r>
        <w:tab/>
        <w:t>[Section 133C inserted: No. 40 of 2020 s. 101.]</w:t>
      </w:r>
    </w:p>
    <w:p>
      <w:pPr>
        <w:pStyle w:val="Heading5"/>
      </w:pPr>
      <w:bookmarkStart w:id="405" w:name="_Toc158985644"/>
      <w:r>
        <w:rPr>
          <w:rStyle w:val="CharSectno"/>
        </w:rPr>
        <w:t>133D</w:t>
      </w:r>
      <w:r>
        <w:t>.</w:t>
      </w:r>
      <w:r>
        <w:tab/>
        <w:t>Clearing injunctions</w:t>
      </w:r>
      <w:bookmarkEnd w:id="405"/>
    </w:p>
    <w:p>
      <w:pPr>
        <w:pStyle w:val="Subsection"/>
      </w:pPr>
      <w:r>
        <w:tab/>
        <w:t>(1)</w:t>
      </w:r>
      <w:r>
        <w:tab/>
        <w:t xml:space="preserve">In this section — </w:t>
      </w:r>
    </w:p>
    <w:p>
      <w:pPr>
        <w:pStyle w:val="Defstart"/>
      </w:pPr>
      <w:r>
        <w:tab/>
      </w:r>
      <w:r>
        <w:rPr>
          <w:rStyle w:val="CharDefText"/>
        </w:rPr>
        <w:t>clearing injunction</w:t>
      </w:r>
      <w:r>
        <w:t xml:space="preserve"> has the meaning given in section 51S(2) of this Act as in force before the commencement;</w:t>
      </w:r>
    </w:p>
    <w:p>
      <w:pPr>
        <w:pStyle w:val="Defstart"/>
      </w:pPr>
      <w:r>
        <w:tab/>
      </w:r>
      <w:r>
        <w:rPr>
          <w:rStyle w:val="CharDefText"/>
        </w:rPr>
        <w:t>commencement</w:t>
      </w:r>
      <w:r>
        <w:t xml:space="preserve"> means the coming into operation of sections 59 and 83 of the amending Act;</w:t>
      </w:r>
    </w:p>
    <w:p>
      <w:pPr>
        <w:pStyle w:val="Defstart"/>
      </w:pPr>
      <w:r>
        <w:tab/>
      </w:r>
      <w:r>
        <w:rPr>
          <w:rStyle w:val="CharDefText"/>
        </w:rPr>
        <w:t>conduct injunction</w:t>
      </w:r>
      <w:r>
        <w:t xml:space="preserve"> has the meaning given in section 99ZC(2);</w:t>
      </w:r>
    </w:p>
    <w:p>
      <w:pPr>
        <w:pStyle w:val="Defstart"/>
      </w:pPr>
      <w:r>
        <w:tab/>
      </w:r>
      <w:r>
        <w:rPr>
          <w:rStyle w:val="CharDefText"/>
        </w:rPr>
        <w:t>existing application</w:t>
      </w:r>
      <w:r>
        <w:t xml:space="preserve"> means an application for a clearing injunction made under section 51S of this Act as in force before the commencement that has neither been withdrawn nor finally determined before the commencement.</w:t>
      </w:r>
    </w:p>
    <w:p>
      <w:pPr>
        <w:pStyle w:val="Subsection"/>
      </w:pPr>
      <w:r>
        <w:tab/>
        <w:t>(2)</w:t>
      </w:r>
      <w:r>
        <w:tab/>
        <w:t>A clearing injunction in force immediately before the commencement has effect on and after the commencement as if it were a conduct injunction.</w:t>
      </w:r>
    </w:p>
    <w:p>
      <w:pPr>
        <w:pStyle w:val="Subsection"/>
        <w:keepNext/>
      </w:pPr>
      <w:r>
        <w:tab/>
        <w:t>(3)</w:t>
      </w:r>
      <w:r>
        <w:tab/>
        <w:t>An existing application has effect on and after the commencement as if it were an application for a conduct injunction made under section 99ZC(3).</w:t>
      </w:r>
    </w:p>
    <w:p>
      <w:pPr>
        <w:pStyle w:val="Footnotesection"/>
      </w:pPr>
      <w:r>
        <w:tab/>
        <w:t>[Section 133D inserted: No. 40 of 2020 s. 101.]</w:t>
      </w:r>
    </w:p>
    <w:p>
      <w:pPr>
        <w:pStyle w:val="Heading4"/>
      </w:pPr>
      <w:bookmarkStart w:id="406" w:name="_Toc158980976"/>
      <w:bookmarkStart w:id="407" w:name="_Toc158981375"/>
      <w:bookmarkStart w:id="408" w:name="_Toc158985645"/>
      <w:r>
        <w:lastRenderedPageBreak/>
        <w:t>Subdivision 3 — Transitional provisions relating to works approvals and licences</w:t>
      </w:r>
      <w:bookmarkEnd w:id="406"/>
      <w:bookmarkEnd w:id="407"/>
      <w:bookmarkEnd w:id="408"/>
    </w:p>
    <w:p>
      <w:pPr>
        <w:pStyle w:val="Footnoteheading"/>
        <w:keepNext/>
      </w:pPr>
      <w:r>
        <w:tab/>
        <w:t>[Heading inserted: No. 40 of 2020 s. 101.]</w:t>
      </w:r>
    </w:p>
    <w:p>
      <w:pPr>
        <w:pStyle w:val="Heading5"/>
      </w:pPr>
      <w:bookmarkStart w:id="409" w:name="_Toc158985646"/>
      <w:r>
        <w:rPr>
          <w:rStyle w:val="CharSectno"/>
        </w:rPr>
        <w:t>133E</w:t>
      </w:r>
      <w:r>
        <w:t>.</w:t>
      </w:r>
      <w:r>
        <w:tab/>
        <w:t>Terms used</w:t>
      </w:r>
      <w:bookmarkEnd w:id="409"/>
    </w:p>
    <w:p>
      <w:pPr>
        <w:pStyle w:val="Subsection"/>
      </w:pPr>
      <w:r>
        <w:tab/>
      </w:r>
      <w:r>
        <w:tab/>
        <w:t xml:space="preserve">In this Subdivision — </w:t>
      </w:r>
    </w:p>
    <w:p>
      <w:pPr>
        <w:pStyle w:val="Defstart"/>
      </w:pPr>
      <w:r>
        <w:tab/>
      </w:r>
      <w:r>
        <w:rPr>
          <w:rStyle w:val="CharDefText"/>
        </w:rPr>
        <w:t>commencement</w:t>
      </w:r>
      <w:r>
        <w:t xml:space="preserve"> means the coming into operation of section 60 of the amending Act;</w:t>
      </w:r>
    </w:p>
    <w:p>
      <w:pPr>
        <w:pStyle w:val="Defstart"/>
      </w:pPr>
      <w:r>
        <w:rPr>
          <w:b/>
          <w:i/>
        </w:rPr>
        <w:tab/>
      </w:r>
      <w:r>
        <w:rPr>
          <w:rStyle w:val="CharDefText"/>
        </w:rPr>
        <w:t>existing Act</w:t>
      </w:r>
      <w:r>
        <w:t xml:space="preserve"> means this Act as in force immediately before being amended by the amending Act;</w:t>
      </w:r>
    </w:p>
    <w:p>
      <w:pPr>
        <w:pStyle w:val="Defstart"/>
      </w:pPr>
      <w:r>
        <w:tab/>
      </w:r>
      <w:r>
        <w:rPr>
          <w:rStyle w:val="CharDefText"/>
        </w:rPr>
        <w:t>former provisions</w:t>
      </w:r>
      <w:r>
        <w:t xml:space="preserve"> means Part V Division 3 of this Act as in force before the commencement;</w:t>
      </w:r>
    </w:p>
    <w:p>
      <w:pPr>
        <w:pStyle w:val="Defstart"/>
      </w:pPr>
      <w:r>
        <w:tab/>
      </w:r>
      <w:r>
        <w:rPr>
          <w:rStyle w:val="CharDefText"/>
        </w:rPr>
        <w:t>new licence</w:t>
      </w:r>
      <w:r>
        <w:t xml:space="preserve"> means a licence granted under the new provisions;</w:t>
      </w:r>
    </w:p>
    <w:p>
      <w:pPr>
        <w:pStyle w:val="Defstart"/>
        <w:keepNext/>
      </w:pPr>
      <w:r>
        <w:tab/>
      </w:r>
      <w:r>
        <w:rPr>
          <w:rStyle w:val="CharDefText"/>
        </w:rPr>
        <w:t>new provisions</w:t>
      </w:r>
      <w:r>
        <w:t xml:space="preserve"> means Part V Division 3 as in force after the commencement.</w:t>
      </w:r>
    </w:p>
    <w:p>
      <w:pPr>
        <w:pStyle w:val="Footnotesection"/>
      </w:pPr>
      <w:r>
        <w:tab/>
        <w:t>[Section 133E inserted: No. 40 of 2020 s. 101.]</w:t>
      </w:r>
    </w:p>
    <w:p>
      <w:pPr>
        <w:pStyle w:val="Heading5"/>
      </w:pPr>
      <w:bookmarkStart w:id="410" w:name="_Toc158985647"/>
      <w:r>
        <w:rPr>
          <w:rStyle w:val="CharSectno"/>
        </w:rPr>
        <w:t>133F</w:t>
      </w:r>
      <w:r>
        <w:t>.</w:t>
      </w:r>
      <w:r>
        <w:tab/>
        <w:t>Works approvals</w:t>
      </w:r>
      <w:bookmarkEnd w:id="410"/>
    </w:p>
    <w:p>
      <w:pPr>
        <w:pStyle w:val="Subsection"/>
      </w:pPr>
      <w:r>
        <w:tab/>
        <w:t>(1)</w:t>
      </w:r>
      <w:r>
        <w:tab/>
        <w:t xml:space="preserve">Despite section 60 of the amending Act a works approval in effect under the former provisions immediately before the commencement (the </w:t>
      </w:r>
      <w:r>
        <w:rPr>
          <w:rStyle w:val="CharDefText"/>
        </w:rPr>
        <w:t>works approval</w:t>
      </w:r>
      <w:r>
        <w:t>) continues to have effect on and after the commencement.</w:t>
      </w:r>
    </w:p>
    <w:p>
      <w:pPr>
        <w:pStyle w:val="Subsection"/>
      </w:pPr>
      <w:r>
        <w:tab/>
        <w:t>(2)</w:t>
      </w:r>
      <w:r>
        <w:tab/>
        <w:t>The provisions of the existing Act are to be taken to continue in force to the extent necessary to give effect to subsection (1).</w:t>
      </w:r>
    </w:p>
    <w:p>
      <w:pPr>
        <w:pStyle w:val="Subsection"/>
      </w:pPr>
      <w:r>
        <w:tab/>
        <w:t>(3)</w:t>
      </w:r>
      <w:r>
        <w:tab/>
        <w:t>Subsection (1) has effect subject to subsection (4) and to the former provisions as continued in force by subsection (2).</w:t>
      </w:r>
    </w:p>
    <w:p>
      <w:pPr>
        <w:pStyle w:val="Subsection"/>
      </w:pPr>
      <w:r>
        <w:tab/>
        <w:t>(4)</w:t>
      </w:r>
      <w:r>
        <w:tab/>
        <w:t xml:space="preserve">The CEO may, by notice in writing to the occupier, amend the works approval so that it conforms with the new provisions and the form of licences issued under the new provisions and, from the service of that notice, the works approval as so amended is taken to be a new licence granted to the occupier in respect of </w:t>
      </w:r>
      <w:r>
        <w:lastRenderedPageBreak/>
        <w:t>the works specified in the works approval as so amended and has effect accordingly.</w:t>
      </w:r>
    </w:p>
    <w:p>
      <w:pPr>
        <w:pStyle w:val="Subsection"/>
        <w:keepNext/>
      </w:pPr>
      <w:r>
        <w:tab/>
        <w:t>(5)</w:t>
      </w:r>
      <w:r>
        <w:tab/>
        <w:t>Without limiting subsection (4), a works approval may be amended under that subsection to specify emissions authorised by the works approval.</w:t>
      </w:r>
    </w:p>
    <w:p>
      <w:pPr>
        <w:pStyle w:val="Footnotesection"/>
      </w:pPr>
      <w:r>
        <w:tab/>
        <w:t>[Section 133F inserted: No. 40 of 2020 s. 101.]</w:t>
      </w:r>
    </w:p>
    <w:p>
      <w:pPr>
        <w:pStyle w:val="Heading5"/>
      </w:pPr>
      <w:bookmarkStart w:id="411" w:name="_Toc158985648"/>
      <w:r>
        <w:rPr>
          <w:rStyle w:val="CharSectno"/>
        </w:rPr>
        <w:t>133G</w:t>
      </w:r>
      <w:r>
        <w:t>.</w:t>
      </w:r>
      <w:r>
        <w:tab/>
        <w:t>Licences</w:t>
      </w:r>
      <w:bookmarkEnd w:id="411"/>
    </w:p>
    <w:p>
      <w:pPr>
        <w:pStyle w:val="Subsection"/>
      </w:pPr>
      <w:r>
        <w:tab/>
        <w:t>(1)</w:t>
      </w:r>
      <w:r>
        <w:tab/>
        <w:t xml:space="preserve">Despite section 60 of the amending Act a licence in effect under the former provisions immediately before the commencement (the </w:t>
      </w:r>
      <w:r>
        <w:rPr>
          <w:rStyle w:val="CharDefText"/>
        </w:rPr>
        <w:t>licence</w:t>
      </w:r>
      <w:r>
        <w:t>) continues to have effect on and after the commencement.</w:t>
      </w:r>
    </w:p>
    <w:p>
      <w:pPr>
        <w:pStyle w:val="Subsection"/>
      </w:pPr>
      <w:r>
        <w:tab/>
        <w:t>(2)</w:t>
      </w:r>
      <w:r>
        <w:tab/>
        <w:t>The provisions of the existing Act are to be taken to continue in force to the extent necessary to give effect to subsection (1).</w:t>
      </w:r>
    </w:p>
    <w:p>
      <w:pPr>
        <w:pStyle w:val="Subsection"/>
      </w:pPr>
      <w:r>
        <w:tab/>
        <w:t>(3)</w:t>
      </w:r>
      <w:r>
        <w:tab/>
        <w:t>Subsection (1) has effect subject to subsection (4) and to the former provisions as continued in force by subsection (2).</w:t>
      </w:r>
    </w:p>
    <w:p>
      <w:pPr>
        <w:pStyle w:val="Subsection"/>
        <w:keepNext/>
      </w:pPr>
      <w:r>
        <w:tab/>
        <w:t>(4)</w:t>
      </w:r>
      <w:r>
        <w:tab/>
        <w:t>Despite subsection (1) the licence may be amended under Part V Division 3 Subdivisions 3 and 4 and, from the giving of notice of the amendment under section 58, the licence as so amended is taken to be a new licence granted to the occupier in respect of the prescribed activities specified in the conditions of the licence as so amended and has effect accordingly.</w:t>
      </w:r>
    </w:p>
    <w:p>
      <w:pPr>
        <w:pStyle w:val="Footnotesection"/>
      </w:pPr>
      <w:r>
        <w:tab/>
        <w:t>[Section 133G inserted: No. 40 of 2020 s. 101.]</w:t>
      </w:r>
    </w:p>
    <w:p>
      <w:pPr>
        <w:pStyle w:val="Heading5"/>
      </w:pPr>
      <w:bookmarkStart w:id="412" w:name="_Toc158985649"/>
      <w:r>
        <w:rPr>
          <w:rStyle w:val="CharSectno"/>
        </w:rPr>
        <w:t>133H</w:t>
      </w:r>
      <w:r>
        <w:t>.</w:t>
      </w:r>
      <w:r>
        <w:tab/>
        <w:t>Existing applications for works approvals or licences</w:t>
      </w:r>
      <w:bookmarkEnd w:id="412"/>
    </w:p>
    <w:p>
      <w:pPr>
        <w:pStyle w:val="Subsection"/>
        <w:keepNext/>
      </w:pPr>
      <w:r>
        <w:tab/>
        <w:t>(1)</w:t>
      </w:r>
      <w:r>
        <w:tab/>
        <w:t xml:space="preserve">In this section — </w:t>
      </w:r>
    </w:p>
    <w:p>
      <w:pPr>
        <w:pStyle w:val="Defstart"/>
      </w:pPr>
      <w:r>
        <w:tab/>
      </w:r>
      <w:r>
        <w:rPr>
          <w:rStyle w:val="CharDefText"/>
        </w:rPr>
        <w:t>existing application</w:t>
      </w:r>
      <w:r>
        <w:t xml:space="preserve"> means an application for a works approval or licence made under the former provisions that has neither been withdrawn nor finally determined before the commencement.</w:t>
      </w:r>
    </w:p>
    <w:p>
      <w:pPr>
        <w:pStyle w:val="Subsection"/>
        <w:keepNext/>
      </w:pPr>
      <w:r>
        <w:lastRenderedPageBreak/>
        <w:tab/>
        <w:t>(2)</w:t>
      </w:r>
      <w:r>
        <w:tab/>
        <w:t>An existing application has effect on and after the commencement as if it were an application for a new licence made under the new provisions.</w:t>
      </w:r>
    </w:p>
    <w:p>
      <w:pPr>
        <w:pStyle w:val="Footnotesection"/>
      </w:pPr>
      <w:r>
        <w:tab/>
        <w:t>[Section 133H inserted: No. 40 of 2020 s. 101.]</w:t>
      </w:r>
    </w:p>
    <w:p>
      <w:pPr>
        <w:pStyle w:val="Heading5"/>
      </w:pPr>
      <w:bookmarkStart w:id="413" w:name="_Toc158985650"/>
      <w:r>
        <w:rPr>
          <w:rStyle w:val="CharSectno"/>
        </w:rPr>
        <w:t>133I</w:t>
      </w:r>
      <w:r>
        <w:t>.</w:t>
      </w:r>
      <w:r>
        <w:tab/>
        <w:t>Existing applications as to existing works approvals</w:t>
      </w:r>
      <w:bookmarkEnd w:id="413"/>
    </w:p>
    <w:p>
      <w:pPr>
        <w:pStyle w:val="Subsection"/>
        <w:keepNext/>
      </w:pPr>
      <w:r>
        <w:tab/>
        <w:t>(1)</w:t>
      </w:r>
      <w:r>
        <w:tab/>
        <w:t xml:space="preserve">In this section — </w:t>
      </w:r>
    </w:p>
    <w:p>
      <w:pPr>
        <w:pStyle w:val="Defstart"/>
      </w:pPr>
      <w:r>
        <w:tab/>
      </w:r>
      <w:r>
        <w:rPr>
          <w:rStyle w:val="CharDefText"/>
        </w:rPr>
        <w:t>existing application</w:t>
      </w:r>
      <w:r>
        <w:t xml:space="preserve"> means an application for the amendment, surrender or transfer of a works approval (the </w:t>
      </w:r>
      <w:r>
        <w:rPr>
          <w:rStyle w:val="CharDefText"/>
        </w:rPr>
        <w:t>works approval</w:t>
      </w:r>
      <w:r>
        <w:t>) made under the former provisions that has neither been withdrawn nor finally determined before the commencement.</w:t>
      </w:r>
    </w:p>
    <w:p>
      <w:pPr>
        <w:pStyle w:val="Subsection"/>
      </w:pPr>
      <w:r>
        <w:tab/>
        <w:t>(2)</w:t>
      </w:r>
      <w:r>
        <w:tab/>
        <w:t>Without limiting section 133F(1) and (2), those provisions apply in relation to an existing application.</w:t>
      </w:r>
    </w:p>
    <w:p>
      <w:pPr>
        <w:pStyle w:val="Subsection"/>
        <w:keepNext/>
      </w:pPr>
      <w:r>
        <w:tab/>
        <w:t>(3)</w:t>
      </w:r>
      <w:r>
        <w:tab/>
        <w:t>If an existing application has neither been withdrawn nor finally determined before the time at which the works approval becomes a new licence under section 133F(4), the existing application has effect from that time as if it were an application under the new provisions for the amendment, surrender or transfer of the new licence as the case requires.</w:t>
      </w:r>
    </w:p>
    <w:p>
      <w:pPr>
        <w:pStyle w:val="Footnotesection"/>
      </w:pPr>
      <w:r>
        <w:tab/>
        <w:t>[Section 133I inserted: No. 40 of 2020 s. 101.]</w:t>
      </w:r>
    </w:p>
    <w:p>
      <w:pPr>
        <w:pStyle w:val="Heading5"/>
      </w:pPr>
      <w:bookmarkStart w:id="414" w:name="_Toc158985651"/>
      <w:r>
        <w:rPr>
          <w:rStyle w:val="CharSectno"/>
        </w:rPr>
        <w:t>133J</w:t>
      </w:r>
      <w:r>
        <w:t>.</w:t>
      </w:r>
      <w:r>
        <w:tab/>
        <w:t>Existing applications as to existing licences</w:t>
      </w:r>
      <w:bookmarkEnd w:id="414"/>
    </w:p>
    <w:p>
      <w:pPr>
        <w:pStyle w:val="Subsection"/>
        <w:keepNext/>
      </w:pPr>
      <w:r>
        <w:tab/>
        <w:t>(1)</w:t>
      </w:r>
      <w:r>
        <w:tab/>
        <w:t xml:space="preserve">In this section — </w:t>
      </w:r>
    </w:p>
    <w:p>
      <w:pPr>
        <w:pStyle w:val="Defstart"/>
      </w:pPr>
      <w:r>
        <w:tab/>
      </w:r>
      <w:r>
        <w:rPr>
          <w:rStyle w:val="CharDefText"/>
        </w:rPr>
        <w:t>existing application</w:t>
      </w:r>
      <w:r>
        <w:t xml:space="preserve"> means an application for the amendment, surrender or transfer of a licence (the </w:t>
      </w:r>
      <w:r>
        <w:rPr>
          <w:rStyle w:val="CharDefText"/>
        </w:rPr>
        <w:t>licence</w:t>
      </w:r>
      <w:r>
        <w:t>) made under the former provisions that has neither been withdrawn nor finally determined before the commencement.</w:t>
      </w:r>
    </w:p>
    <w:p>
      <w:pPr>
        <w:pStyle w:val="Subsection"/>
      </w:pPr>
      <w:r>
        <w:tab/>
        <w:t>(2)</w:t>
      </w:r>
      <w:r>
        <w:tab/>
        <w:t>Without limiting section 133G(1) and (2), those provisions apply in relation to an existing application.</w:t>
      </w:r>
    </w:p>
    <w:p>
      <w:pPr>
        <w:pStyle w:val="Subsection"/>
        <w:keepNext/>
      </w:pPr>
      <w:r>
        <w:tab/>
        <w:t>(3)</w:t>
      </w:r>
      <w:r>
        <w:tab/>
        <w:t xml:space="preserve">If an existing application has neither been withdrawn nor finally determined before the time at which the licence becomes a new licence under section 133G(4), the existing application has </w:t>
      </w:r>
      <w:r>
        <w:lastRenderedPageBreak/>
        <w:t>effect from that time as if it were an application under the new provisions for the amendment, surrender or transfer of the new licence as the case requires.</w:t>
      </w:r>
    </w:p>
    <w:p>
      <w:pPr>
        <w:pStyle w:val="Footnotesection"/>
      </w:pPr>
      <w:r>
        <w:tab/>
        <w:t>[Section 133J inserted: No. 40 of 2020 s. 101.]</w:t>
      </w:r>
    </w:p>
    <w:p>
      <w:pPr>
        <w:pStyle w:val="Heading5"/>
      </w:pPr>
      <w:bookmarkStart w:id="415" w:name="_Toc158985652"/>
      <w:r>
        <w:rPr>
          <w:rStyle w:val="CharSectno"/>
        </w:rPr>
        <w:t>133K</w:t>
      </w:r>
      <w:r>
        <w:t>.</w:t>
      </w:r>
      <w:r>
        <w:tab/>
        <w:t>Appeals in respect of refusal to grant works approvals and licences</w:t>
      </w:r>
      <w:bookmarkEnd w:id="415"/>
    </w:p>
    <w:p>
      <w:pPr>
        <w:pStyle w:val="Subsection"/>
        <w:keepNext/>
      </w:pPr>
      <w:r>
        <w:tab/>
        <w:t>(1)</w:t>
      </w:r>
      <w:r>
        <w:tab/>
        <w:t xml:space="preserve">In this section — </w:t>
      </w:r>
    </w:p>
    <w:p>
      <w:pPr>
        <w:pStyle w:val="Defstart"/>
      </w:pPr>
      <w:r>
        <w:tab/>
      </w:r>
      <w:r>
        <w:rPr>
          <w:rStyle w:val="CharDefText"/>
        </w:rPr>
        <w:t>pending appeal</w:t>
      </w:r>
      <w:r>
        <w:t xml:space="preserve"> means an appeal against the refusal of the CEO to grant a works approval or licence made under the former provisions that has neither been withdrawn nor finally determined before the commencement.</w:t>
      </w:r>
    </w:p>
    <w:p>
      <w:pPr>
        <w:pStyle w:val="Subsection"/>
      </w:pPr>
      <w:r>
        <w:tab/>
        <w:t>(2)</w:t>
      </w:r>
      <w:r>
        <w:tab/>
        <w:t>A decision made before the commencement to uphold an appeal against the refusal of the CEO to grant a works approval or licence under the former provisions is taken on and after the commencement to be a decision to uphold an appeal against the refusal of the CEO to grant a licence under the new provisions.</w:t>
      </w:r>
    </w:p>
    <w:p>
      <w:pPr>
        <w:pStyle w:val="Subsection"/>
      </w:pPr>
      <w:r>
        <w:tab/>
        <w:t>(3)</w:t>
      </w:r>
      <w:r>
        <w:tab/>
        <w:t xml:space="preserve">The provisions of the existing Act are to be taken to continue in force on and after the commencement to the extent necessary to enable — </w:t>
      </w:r>
    </w:p>
    <w:p>
      <w:pPr>
        <w:pStyle w:val="Indenta"/>
      </w:pPr>
      <w:r>
        <w:tab/>
        <w:t>(a)</w:t>
      </w:r>
      <w:r>
        <w:tab/>
        <w:t>any pending appeal to be withdrawn or finally determined; and</w:t>
      </w:r>
    </w:p>
    <w:p>
      <w:pPr>
        <w:pStyle w:val="Indenta"/>
      </w:pPr>
      <w:r>
        <w:tab/>
        <w:t>(b)</w:t>
      </w:r>
      <w:r>
        <w:tab/>
        <w:t>an appeal against the refusal of the CEO, before the commencement, to grant a works approval or licence under the former provisions to be lodged and dealt with.</w:t>
      </w:r>
    </w:p>
    <w:p>
      <w:pPr>
        <w:pStyle w:val="Subsection"/>
        <w:keepNext/>
      </w:pPr>
      <w:r>
        <w:tab/>
        <w:t>(4)</w:t>
      </w:r>
      <w:r>
        <w:tab/>
        <w:t>If under the provisions of the existing Act as continued in force by subsection (3) the Minister makes a decision to uphold an appeal against the refusal of the CEO to grant a works approval or licence under the former provisions, that decision is taken to be a decision to uphold an appeal against the refusal of the CEO to grant a licence under the new provisions.</w:t>
      </w:r>
    </w:p>
    <w:p>
      <w:pPr>
        <w:pStyle w:val="Footnotesection"/>
      </w:pPr>
      <w:r>
        <w:tab/>
        <w:t>[Section 133K inserted: No. 40 of 2020 s. 101.]</w:t>
      </w:r>
    </w:p>
    <w:p>
      <w:pPr>
        <w:pStyle w:val="Heading5"/>
      </w:pPr>
      <w:bookmarkStart w:id="416" w:name="_Toc158985653"/>
      <w:r>
        <w:rPr>
          <w:rStyle w:val="CharSectno"/>
        </w:rPr>
        <w:lastRenderedPageBreak/>
        <w:t>133L</w:t>
      </w:r>
      <w:r>
        <w:t>.</w:t>
      </w:r>
      <w:r>
        <w:tab/>
        <w:t>Other appeals in respect of works approvals and licences</w:t>
      </w:r>
      <w:bookmarkEnd w:id="416"/>
    </w:p>
    <w:p>
      <w:pPr>
        <w:pStyle w:val="Subsection"/>
        <w:keepNext/>
      </w:pPr>
      <w:r>
        <w:tab/>
        <w:t>(1)</w:t>
      </w:r>
      <w:r>
        <w:tab/>
        <w:t xml:space="preserve">In this section — </w:t>
      </w:r>
    </w:p>
    <w:p>
      <w:pPr>
        <w:pStyle w:val="Defstart"/>
      </w:pPr>
      <w:r>
        <w:tab/>
      </w:r>
      <w:r>
        <w:rPr>
          <w:rStyle w:val="CharDefText"/>
        </w:rPr>
        <w:t>pending appeal</w:t>
      </w:r>
      <w:r>
        <w:t xml:space="preserve"> means an appeal against a specified decision that has neither been withdrawn nor finally determined before the commencement;</w:t>
      </w:r>
    </w:p>
    <w:p>
      <w:pPr>
        <w:pStyle w:val="Defstart"/>
        <w:keepNext/>
      </w:pPr>
      <w:r>
        <w:tab/>
      </w:r>
      <w:r>
        <w:rPr>
          <w:rStyle w:val="CharDefText"/>
        </w:rPr>
        <w:t>specified decision</w:t>
      </w:r>
      <w:r>
        <w:t xml:space="preserve"> means a decision of the CEO under the former provisions — </w:t>
      </w:r>
    </w:p>
    <w:p>
      <w:pPr>
        <w:pStyle w:val="Defpara"/>
      </w:pPr>
      <w:r>
        <w:tab/>
        <w:t>(a)</w:t>
      </w:r>
      <w:r>
        <w:tab/>
        <w:t>to refuse to transfer a works approval or licence; or</w:t>
      </w:r>
    </w:p>
    <w:p>
      <w:pPr>
        <w:pStyle w:val="Defpara"/>
      </w:pPr>
      <w:r>
        <w:tab/>
        <w:t>(b)</w:t>
      </w:r>
      <w:r>
        <w:tab/>
        <w:t>to specify a condition in a works approval or licence; or</w:t>
      </w:r>
    </w:p>
    <w:p>
      <w:pPr>
        <w:pStyle w:val="Defpara"/>
      </w:pPr>
      <w:r>
        <w:tab/>
        <w:t>(c)</w:t>
      </w:r>
      <w:r>
        <w:tab/>
        <w:t>to amend, revoke or suspend a works approval or licence.</w:t>
      </w:r>
    </w:p>
    <w:p>
      <w:pPr>
        <w:pStyle w:val="Subsection"/>
        <w:keepNext/>
      </w:pPr>
      <w:r>
        <w:tab/>
        <w:t>(2)</w:t>
      </w:r>
      <w:r>
        <w:tab/>
        <w:t xml:space="preserve">The provisions of the existing Act are to be taken to continue in force on and after the commencement to the extent necessary to enable — </w:t>
      </w:r>
    </w:p>
    <w:p>
      <w:pPr>
        <w:pStyle w:val="Indenta"/>
        <w:keepNext/>
      </w:pPr>
      <w:r>
        <w:tab/>
        <w:t>(a)</w:t>
      </w:r>
      <w:r>
        <w:tab/>
        <w:t>any pending appeal to be withdrawn or finally determined; and</w:t>
      </w:r>
    </w:p>
    <w:p>
      <w:pPr>
        <w:pStyle w:val="Indenta"/>
      </w:pPr>
      <w:r>
        <w:tab/>
        <w:t>(b)</w:t>
      </w:r>
      <w:r>
        <w:tab/>
        <w:t>an appeal against a specified decision made before the commencement to be lodged and dealt with.</w:t>
      </w:r>
    </w:p>
    <w:p>
      <w:pPr>
        <w:pStyle w:val="Subsection"/>
      </w:pPr>
      <w:r>
        <w:tab/>
        <w:t>(3)</w:t>
      </w:r>
      <w:r>
        <w:tab/>
        <w:t>If under the provisions of the existing Act as continued in force by subsection (2) the Minister makes a decision as to an appeal, the provisions of the existing Act are to be taken to continue in force to the extent necessary to enable the CEO to do anything necessary to implement and give effect to the Minister’s decision.</w:t>
      </w:r>
    </w:p>
    <w:p>
      <w:pPr>
        <w:pStyle w:val="Subsection"/>
        <w:keepNext/>
      </w:pPr>
      <w:r>
        <w:tab/>
        <w:t>(4)</w:t>
      </w:r>
      <w:r>
        <w:tab/>
        <w:t xml:space="preserve">If — </w:t>
      </w:r>
    </w:p>
    <w:p>
      <w:pPr>
        <w:pStyle w:val="Indenta"/>
      </w:pPr>
      <w:r>
        <w:tab/>
        <w:t>(a)</w:t>
      </w:r>
      <w:r>
        <w:tab/>
        <w:t>under the provisions of the existing Act as continued in force by subsection (2) the Minister makes a decision to uphold an appeal against a specified decision relating to a works approval or licence; and</w:t>
      </w:r>
    </w:p>
    <w:p>
      <w:pPr>
        <w:pStyle w:val="Indenta"/>
        <w:keepNext/>
      </w:pPr>
      <w:r>
        <w:lastRenderedPageBreak/>
        <w:tab/>
        <w:t>(b)</w:t>
      </w:r>
      <w:r>
        <w:tab/>
        <w:t>under section 133F(4) or 133G(4) the works approval or licence is taken to be a new licence,</w:t>
      </w:r>
    </w:p>
    <w:p>
      <w:pPr>
        <w:pStyle w:val="Subsection"/>
        <w:keepNext/>
      </w:pPr>
      <w:r>
        <w:tab/>
      </w:r>
      <w:r>
        <w:tab/>
        <w:t>the decision on the appeal has effect, subject to any necessary modifications, in relation to the new licence.</w:t>
      </w:r>
    </w:p>
    <w:p>
      <w:pPr>
        <w:pStyle w:val="Footnotesection"/>
      </w:pPr>
      <w:r>
        <w:tab/>
        <w:t>[Section 133L inserted: No. 40 of 2020 s. 101.]</w:t>
      </w:r>
    </w:p>
    <w:p>
      <w:pPr>
        <w:pStyle w:val="Heading4"/>
      </w:pPr>
      <w:bookmarkStart w:id="417" w:name="_Toc158980985"/>
      <w:bookmarkStart w:id="418" w:name="_Toc158981384"/>
      <w:bookmarkStart w:id="419" w:name="_Toc158985654"/>
      <w:r>
        <w:t>Subdivision 4 — Other matters</w:t>
      </w:r>
      <w:bookmarkEnd w:id="417"/>
      <w:bookmarkEnd w:id="418"/>
      <w:bookmarkEnd w:id="419"/>
    </w:p>
    <w:p>
      <w:pPr>
        <w:pStyle w:val="Footnoteheading"/>
        <w:keepNext/>
      </w:pPr>
      <w:r>
        <w:tab/>
        <w:t>[Heading inserted: No. 40 of 2020 s. 101.]</w:t>
      </w:r>
    </w:p>
    <w:p>
      <w:pPr>
        <w:pStyle w:val="Heading5"/>
      </w:pPr>
      <w:bookmarkStart w:id="420" w:name="_Toc158985655"/>
      <w:r>
        <w:rPr>
          <w:rStyle w:val="CharSectno"/>
        </w:rPr>
        <w:t>133M</w:t>
      </w:r>
      <w:r>
        <w:t>.</w:t>
      </w:r>
      <w:r>
        <w:tab/>
        <w:t>Referred proposals</w:t>
      </w:r>
      <w:bookmarkEnd w:id="420"/>
    </w:p>
    <w:p>
      <w:pPr>
        <w:pStyle w:val="Subsection"/>
        <w:keepNext/>
      </w:pPr>
      <w:r>
        <w:tab/>
        <w:t>(1)</w:t>
      </w:r>
      <w:r>
        <w:tab/>
        <w:t xml:space="preserve">In subsection (2) — </w:t>
      </w:r>
    </w:p>
    <w:p>
      <w:pPr>
        <w:pStyle w:val="Defstart"/>
      </w:pPr>
      <w:r>
        <w:tab/>
      </w:r>
      <w:r>
        <w:rPr>
          <w:rStyle w:val="CharDefText"/>
        </w:rPr>
        <w:t>referral</w:t>
      </w:r>
      <w:r>
        <w:t xml:space="preserve"> means referral to the Authority under section 38.</w:t>
      </w:r>
    </w:p>
    <w:p>
      <w:pPr>
        <w:pStyle w:val="Subsection"/>
        <w:keepNext/>
      </w:pPr>
      <w:r>
        <w:tab/>
        <w:t>(2)</w:t>
      </w:r>
      <w:r>
        <w:tab/>
        <w:t xml:space="preserve">Each of the following is taken to be a referral of a significant amendment of an approved proposal — </w:t>
      </w:r>
    </w:p>
    <w:p>
      <w:pPr>
        <w:pStyle w:val="Indenta"/>
      </w:pPr>
      <w:r>
        <w:tab/>
        <w:t>(a)</w:t>
      </w:r>
      <w:r>
        <w:tab/>
        <w:t xml:space="preserve">the referral by the proponent, before the coming into operation of section 28 of the amending Act (the </w:t>
      </w:r>
      <w:r>
        <w:rPr>
          <w:rStyle w:val="CharDefText"/>
        </w:rPr>
        <w:t>commencement</w:t>
      </w:r>
      <w:r>
        <w:t>), of a revised proposal after the publication of a statement under section 45(5) of this Act as in force before the commencement in relation to a proposal;</w:t>
      </w:r>
    </w:p>
    <w:p>
      <w:pPr>
        <w:pStyle w:val="Indenta"/>
      </w:pPr>
      <w:r>
        <w:tab/>
        <w:t>(b)</w:t>
      </w:r>
      <w:r>
        <w:tab/>
        <w:t xml:space="preserve">the referral, before the coming into operation of section 31 of the amending Act (the </w:t>
      </w:r>
      <w:r>
        <w:rPr>
          <w:rStyle w:val="CharDefText"/>
        </w:rPr>
        <w:t>commencement</w:t>
      </w:r>
      <w:r>
        <w:t>), of a new proposal as required by section 46B(2) of this Act as in force before the commencement;</w:t>
      </w:r>
    </w:p>
    <w:p>
      <w:pPr>
        <w:pStyle w:val="Indenta"/>
      </w:pPr>
      <w:r>
        <w:tab/>
        <w:t>(c)</w:t>
      </w:r>
      <w:r>
        <w:tab/>
        <w:t>the referral by the proponent, after the coming into operation of section 28 of the amending Act, of a revised proposal in respect of a proposed change if, when it is dealt with in accordance with subsection (6), the proposed change is not approved.</w:t>
      </w:r>
    </w:p>
    <w:p>
      <w:pPr>
        <w:pStyle w:val="Subsection"/>
        <w:keepNext/>
      </w:pPr>
      <w:r>
        <w:tab/>
        <w:t>(3)</w:t>
      </w:r>
      <w:r>
        <w:tab/>
        <w:t xml:space="preserve">In subsection (4) — </w:t>
      </w:r>
    </w:p>
    <w:p>
      <w:pPr>
        <w:pStyle w:val="Defstart"/>
      </w:pPr>
      <w:r>
        <w:tab/>
      </w:r>
      <w:r>
        <w:rPr>
          <w:rStyle w:val="CharDefText"/>
        </w:rPr>
        <w:t>commencement</w:t>
      </w:r>
      <w:r>
        <w:t xml:space="preserve"> means the coming into operation of section 26 of the amending Act;</w:t>
      </w:r>
    </w:p>
    <w:p>
      <w:pPr>
        <w:pStyle w:val="Defstart"/>
      </w:pPr>
      <w:r>
        <w:lastRenderedPageBreak/>
        <w:tab/>
      </w:r>
      <w:r>
        <w:rPr>
          <w:rStyle w:val="CharDefText"/>
        </w:rPr>
        <w:t>proposed change</w:t>
      </w:r>
      <w:r>
        <w:t xml:space="preserve"> means a change to a proposal to which section 43A of this Act as in force before the commencement applied.</w:t>
      </w:r>
    </w:p>
    <w:p>
      <w:pPr>
        <w:pStyle w:val="Subsection"/>
      </w:pPr>
      <w:r>
        <w:tab/>
        <w:t>(4)</w:t>
      </w:r>
      <w:r>
        <w:tab/>
        <w:t>If at the commencement the Authority has yet to determine whether to consent to a proposed change, the proposed change is taken to have been requested under section 43A(1)(b).</w:t>
      </w:r>
    </w:p>
    <w:p>
      <w:pPr>
        <w:pStyle w:val="Subsection"/>
      </w:pPr>
      <w:r>
        <w:tab/>
        <w:t>(5)</w:t>
      </w:r>
      <w:r>
        <w:tab/>
        <w:t xml:space="preserve">In subsection (6) — </w:t>
      </w:r>
    </w:p>
    <w:p>
      <w:pPr>
        <w:pStyle w:val="Defstart"/>
        <w:keepNext/>
      </w:pPr>
      <w:r>
        <w:tab/>
      </w:r>
      <w:r>
        <w:rPr>
          <w:rStyle w:val="CharDefText"/>
        </w:rPr>
        <w:t>commencement</w:t>
      </w:r>
      <w:r>
        <w:t xml:space="preserve"> means the coming into operation of section 28 of the amending Act;</w:t>
      </w:r>
    </w:p>
    <w:p>
      <w:pPr>
        <w:pStyle w:val="Defstart"/>
      </w:pPr>
      <w:r>
        <w:tab/>
      </w:r>
      <w:r>
        <w:rPr>
          <w:rStyle w:val="CharDefText"/>
        </w:rPr>
        <w:t>proposed change</w:t>
      </w:r>
      <w:r>
        <w:t xml:space="preserve"> means a change to a proposal to which section 45C of this Act as in force before the commencement applied.</w:t>
      </w:r>
    </w:p>
    <w:p>
      <w:pPr>
        <w:pStyle w:val="Subsection"/>
      </w:pPr>
      <w:r>
        <w:tab/>
        <w:t>(6)</w:t>
      </w:r>
      <w:r>
        <w:tab/>
        <w:t>If at the commencement the Minister has yet to determine whether to approve of a proposed change, the proposed change must be dealt with as if section 45C of this Act as in force before commencement had not been repealed.</w:t>
      </w:r>
    </w:p>
    <w:p>
      <w:pPr>
        <w:pStyle w:val="Subsection"/>
        <w:keepNext/>
      </w:pPr>
      <w:r>
        <w:tab/>
        <w:t>(7)</w:t>
      </w:r>
      <w:r>
        <w:tab/>
        <w:t xml:space="preserve">In subsection (8) — </w:t>
      </w:r>
    </w:p>
    <w:p>
      <w:pPr>
        <w:pStyle w:val="Defstart"/>
      </w:pPr>
      <w:r>
        <w:tab/>
      </w:r>
      <w:r>
        <w:rPr>
          <w:rStyle w:val="CharDefText"/>
        </w:rPr>
        <w:t>commencement</w:t>
      </w:r>
      <w:r>
        <w:t xml:space="preserve"> means the coming into operation of section 16 of the amending Act;</w:t>
      </w:r>
    </w:p>
    <w:p>
      <w:pPr>
        <w:pStyle w:val="Defstart"/>
      </w:pPr>
      <w:r>
        <w:tab/>
      </w:r>
      <w:r>
        <w:rPr>
          <w:rStyle w:val="CharDefText"/>
        </w:rPr>
        <w:t>section 39</w:t>
      </w:r>
      <w:r>
        <w:t xml:space="preserve"> means section 39 of this Act as in force before the commencement.</w:t>
      </w:r>
    </w:p>
    <w:p>
      <w:pPr>
        <w:pStyle w:val="Subsection"/>
        <w:keepNext/>
      </w:pPr>
      <w:r>
        <w:tab/>
        <w:t>(8)</w:t>
      </w:r>
      <w:r>
        <w:tab/>
        <w:t>If a request made under section 39(2) has not been dealt with before the commencement, the request must be dealt with as if section 39(3) and (4) had not been repealed.</w:t>
      </w:r>
    </w:p>
    <w:p>
      <w:pPr>
        <w:pStyle w:val="Footnotesection"/>
      </w:pPr>
      <w:r>
        <w:tab/>
        <w:t>[Section 133M inserted: No. 40 of 2020 s. 101.]</w:t>
      </w:r>
    </w:p>
    <w:p>
      <w:pPr>
        <w:pStyle w:val="Heading5"/>
      </w:pPr>
      <w:bookmarkStart w:id="421" w:name="_Toc158985656"/>
      <w:r>
        <w:rPr>
          <w:rStyle w:val="CharSectno"/>
        </w:rPr>
        <w:t>133N</w:t>
      </w:r>
      <w:r>
        <w:t>.</w:t>
      </w:r>
      <w:r>
        <w:tab/>
        <w:t>Chair and Deputy Chair</w:t>
      </w:r>
      <w:bookmarkEnd w:id="421"/>
    </w:p>
    <w:p>
      <w:pPr>
        <w:pStyle w:val="Subsection"/>
        <w:keepNext/>
      </w:pPr>
      <w:r>
        <w:tab/>
        <w:t>(1)</w:t>
      </w:r>
      <w:r>
        <w:tab/>
        <w:t xml:space="preserve">In this section — </w:t>
      </w:r>
    </w:p>
    <w:p>
      <w:pPr>
        <w:pStyle w:val="Defstart"/>
      </w:pPr>
      <w:r>
        <w:tab/>
      </w:r>
      <w:r>
        <w:rPr>
          <w:rStyle w:val="CharDefText"/>
        </w:rPr>
        <w:t>commencement</w:t>
      </w:r>
      <w:r>
        <w:t xml:space="preserve"> means the coming into operation of section 6 of the amending Act.</w:t>
      </w:r>
    </w:p>
    <w:p>
      <w:pPr>
        <w:pStyle w:val="Subsection"/>
        <w:keepNext/>
      </w:pPr>
      <w:r>
        <w:lastRenderedPageBreak/>
        <w:tab/>
        <w:t>(2)</w:t>
      </w:r>
      <w:r>
        <w:tab/>
        <w:t xml:space="preserve">Subject to this Act — </w:t>
      </w:r>
    </w:p>
    <w:p>
      <w:pPr>
        <w:pStyle w:val="Indenta"/>
      </w:pPr>
      <w:r>
        <w:tab/>
        <w:t>(a)</w:t>
      </w:r>
      <w:r>
        <w:tab/>
        <w:t>a person holding office as Chairman of the Authority immediately before the commencement holds office after the commencement as Chair of the Authority; and</w:t>
      </w:r>
    </w:p>
    <w:p>
      <w:pPr>
        <w:pStyle w:val="Indenta"/>
        <w:keepNext/>
      </w:pPr>
      <w:r>
        <w:tab/>
        <w:t>(b)</w:t>
      </w:r>
      <w:r>
        <w:tab/>
        <w:t xml:space="preserve">a person holding office as Deputy Chairman of the Authority immediately before the commencement holds office after the commencement as Deputy Chair of the Authority. </w:t>
      </w:r>
    </w:p>
    <w:p>
      <w:pPr>
        <w:pStyle w:val="Footnotesection"/>
      </w:pPr>
      <w:r>
        <w:tab/>
        <w:t>[Section 133N inserted: No. 40 of 2020 s. 101.]</w:t>
      </w:r>
    </w:p>
    <w:p>
      <w:pPr>
        <w:pStyle w:val="Heading5"/>
      </w:pPr>
      <w:bookmarkStart w:id="422" w:name="_Toc158985657"/>
      <w:r>
        <w:rPr>
          <w:rStyle w:val="CharSectno"/>
        </w:rPr>
        <w:t>133O</w:t>
      </w:r>
      <w:r>
        <w:t>.</w:t>
      </w:r>
      <w:r>
        <w:tab/>
        <w:t>Transitional regulations</w:t>
      </w:r>
      <w:bookmarkEnd w:id="422"/>
    </w:p>
    <w:p>
      <w:pPr>
        <w:pStyle w:val="Subsection"/>
        <w:keepNext/>
      </w:pPr>
      <w:r>
        <w:tab/>
        <w:t>(1)</w:t>
      </w:r>
      <w:r>
        <w:tab/>
        <w:t>In this section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keepNext/>
      </w:pPr>
      <w:r>
        <w:tab/>
      </w:r>
      <w:r>
        <w:rPr>
          <w:rStyle w:val="CharDefText"/>
        </w:rPr>
        <w:t>transitional matter</w:t>
      </w:r>
      <w:r>
        <w:t xml:space="preserve"> — </w:t>
      </w:r>
    </w:p>
    <w:p>
      <w:pPr>
        <w:pStyle w:val="Defpara"/>
      </w:pPr>
      <w:r>
        <w:tab/>
        <w:t>(a)</w:t>
      </w:r>
      <w:r>
        <w:tab/>
        <w:t>means a matter that needs to be dealt with for the purpose of effecting the transition required because of the enactment of the amending Act; and</w:t>
      </w:r>
    </w:p>
    <w:p>
      <w:pPr>
        <w:pStyle w:val="Defpara"/>
      </w:pPr>
      <w:r>
        <w:tab/>
        <w:t>(b)</w:t>
      </w:r>
      <w:r>
        <w:tab/>
        <w:t>includes a saving or application matter.</w:t>
      </w:r>
    </w:p>
    <w:p>
      <w:pPr>
        <w:pStyle w:val="Subsection"/>
        <w:keepNext/>
      </w:pPr>
      <w:r>
        <w:tab/>
        <w:t>(2)</w:t>
      </w:r>
      <w:r>
        <w:tab/>
        <w:t xml:space="preserve">If there is no sufficient provision in this Division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keepNext/>
      </w:pPr>
      <w:r>
        <w:tab/>
        <w:t>(3)</w:t>
      </w:r>
      <w:r>
        <w:tab/>
        <w:t xml:space="preserve">Regulations made under subsection (2) may provide that specified provisions of this Act — </w:t>
      </w:r>
    </w:p>
    <w:p>
      <w:pPr>
        <w:pStyle w:val="Indenta"/>
      </w:pPr>
      <w:r>
        <w:tab/>
        <w:t>(a)</w:t>
      </w:r>
      <w:r>
        <w:tab/>
        <w:t>do not apply to or in relation to a specified matter; or</w:t>
      </w:r>
    </w:p>
    <w:p>
      <w:pPr>
        <w:pStyle w:val="Indenta"/>
      </w:pPr>
      <w:r>
        <w:lastRenderedPageBreak/>
        <w:tab/>
        <w:t>(b)</w:t>
      </w:r>
      <w:r>
        <w:tab/>
        <w:t>apply with specified modifications to or in relation to a specified matter.</w:t>
      </w:r>
    </w:p>
    <w:p>
      <w:pPr>
        <w:pStyle w:val="Subsection"/>
      </w:pPr>
      <w:r>
        <w:tab/>
        <w:t>(4)</w:t>
      </w:r>
      <w:r>
        <w:tab/>
        <w:t>If regulations made under subsection (2) provide that a specified state of affairs is taken to have existed, or not to have existed, on and after a day that is earlier than publication day for those regulations but not earlier than the day on which the relevant provision of the amending Act came into operation, the regulations have effect according to their terms.</w:t>
      </w:r>
    </w:p>
    <w:p>
      <w:pPr>
        <w:pStyle w:val="Subsection"/>
        <w:keepNext/>
      </w:pPr>
      <w:r>
        <w:tab/>
        <w:t>(5)</w:t>
      </w:r>
      <w:r>
        <w:tab/>
        <w:t xml:space="preserve">If regulations made under subsection (2) contain a provision referred to in subsection (4), the provision does not operate so as — </w:t>
      </w:r>
    </w:p>
    <w:p>
      <w:pPr>
        <w:pStyle w:val="Indenta"/>
      </w:pPr>
      <w:r>
        <w:tab/>
        <w:t>(a)</w:t>
      </w:r>
      <w:r>
        <w:tab/>
        <w:t>to affect in a manner prejudicial to a person (other than the State or an authority of the State) the rights of that person existing before publication day for those regulations; or</w:t>
      </w:r>
    </w:p>
    <w:p>
      <w:pPr>
        <w:pStyle w:val="Indenta"/>
        <w:keepNext/>
      </w:pPr>
      <w:r>
        <w:tab/>
        <w:t>(b)</w:t>
      </w:r>
      <w:r>
        <w:tab/>
        <w:t>to impose liabilities on a person (other than the State or an authority of the State) in respect of an act done or omission made before publication day for those regulations.</w:t>
      </w:r>
    </w:p>
    <w:p>
      <w:pPr>
        <w:pStyle w:val="Footnotesection"/>
      </w:pPr>
      <w:r>
        <w:tab/>
        <w:t>[Section 133O inserted: No. 40 of 2020 s. 101.]</w:t>
      </w:r>
    </w:p>
    <w:p>
      <w:pPr>
        <w:pStyle w:val="Heading5"/>
      </w:pPr>
      <w:bookmarkStart w:id="423" w:name="_Toc158985658"/>
      <w:r>
        <w:rPr>
          <w:rStyle w:val="CharSectno"/>
        </w:rPr>
        <w:t>133P</w:t>
      </w:r>
      <w:r>
        <w:t>.</w:t>
      </w:r>
      <w:r>
        <w:tab/>
      </w:r>
      <w:r>
        <w:rPr>
          <w:i/>
        </w:rPr>
        <w:t xml:space="preserve">Interpretation Act 1984 </w:t>
      </w:r>
      <w:r>
        <w:t>not affected</w:t>
      </w:r>
      <w:bookmarkEnd w:id="423"/>
    </w:p>
    <w:p>
      <w:pPr>
        <w:pStyle w:val="Subsection"/>
        <w:keepNext/>
      </w:pPr>
      <w:r>
        <w:tab/>
      </w:r>
      <w:r>
        <w:tab/>
        <w:t xml:space="preserve">Except to the extent that this Division or regulations made under section 133O expressly provide differently, the </w:t>
      </w:r>
      <w:r>
        <w:rPr>
          <w:i/>
        </w:rPr>
        <w:t>Interpretation Act 1984</w:t>
      </w:r>
      <w:r>
        <w:t xml:space="preserve"> Part V applies in relation to the amendments effected by the amending Act.</w:t>
      </w:r>
    </w:p>
    <w:p>
      <w:pPr>
        <w:pStyle w:val="Footnotesection"/>
      </w:pPr>
      <w:r>
        <w:tab/>
        <w:t>[Section 133P inserted: No. 40 of 2020 s. 101.]</w:t>
      </w:r>
    </w:p>
    <w:p>
      <w:pPr>
        <w:pStyle w:val="Heading2"/>
      </w:pPr>
      <w:bookmarkStart w:id="424" w:name="_Toc158980990"/>
      <w:bookmarkStart w:id="425" w:name="_Toc158981389"/>
      <w:bookmarkStart w:id="426" w:name="_Toc158985659"/>
      <w:r>
        <w:rPr>
          <w:rStyle w:val="CharPartNo"/>
        </w:rPr>
        <w:lastRenderedPageBreak/>
        <w:t>Part X</w:t>
      </w:r>
      <w:r>
        <w:rPr>
          <w:rStyle w:val="CharDivNo"/>
          <w:snapToGrid/>
          <w:sz w:val="26"/>
        </w:rPr>
        <w:t> </w:t>
      </w:r>
      <w:r>
        <w:t>—</w:t>
      </w:r>
      <w:r>
        <w:rPr>
          <w:rStyle w:val="CharDivText"/>
          <w:snapToGrid/>
          <w:sz w:val="26"/>
        </w:rPr>
        <w:t> </w:t>
      </w:r>
      <w:r>
        <w:rPr>
          <w:rStyle w:val="CharPartText"/>
        </w:rPr>
        <w:t>Validation</w:t>
      </w:r>
      <w:bookmarkEnd w:id="424"/>
      <w:bookmarkEnd w:id="425"/>
      <w:bookmarkEnd w:id="426"/>
    </w:p>
    <w:p>
      <w:pPr>
        <w:pStyle w:val="Footnoteheading"/>
      </w:pPr>
      <w:r>
        <w:tab/>
        <w:t>[Heading inserted: No. 27 of 2014 s. 4.]</w:t>
      </w:r>
    </w:p>
    <w:p>
      <w:pPr>
        <w:pStyle w:val="Heading5"/>
      </w:pPr>
      <w:bookmarkStart w:id="427" w:name="_Toc158985660"/>
      <w:r>
        <w:rPr>
          <w:rStyle w:val="CharSectno"/>
        </w:rPr>
        <w:t>134</w:t>
      </w:r>
      <w:r>
        <w:t>.</w:t>
      </w:r>
      <w:r>
        <w:tab/>
        <w:t>Terms used</w:t>
      </w:r>
      <w:bookmarkEnd w:id="427"/>
    </w:p>
    <w:p>
      <w:pPr>
        <w:pStyle w:val="Subsection"/>
      </w:pPr>
      <w:r>
        <w:tab/>
        <w:t>(1)</w:t>
      </w:r>
      <w:r>
        <w:tab/>
        <w:t xml:space="preserve">In this Part — </w:t>
      </w:r>
    </w:p>
    <w:p>
      <w:pPr>
        <w:pStyle w:val="Defstart"/>
      </w:pPr>
      <w:r>
        <w:tab/>
      </w:r>
      <w:r>
        <w:rPr>
          <w:rStyle w:val="CharDefText"/>
        </w:rPr>
        <w:t>decision date</w:t>
      </w:r>
      <w:r>
        <w:t xml:space="preserve"> means 19 August 2013, which is the date on which the decision in </w:t>
      </w:r>
      <w:r>
        <w:rPr>
          <w:i/>
        </w:rPr>
        <w:t>The Wilderness Society v Minister for Environment</w:t>
      </w:r>
      <w:r>
        <w:t xml:space="preserve"> was delivered;</w:t>
      </w:r>
    </w:p>
    <w:p>
      <w:pPr>
        <w:pStyle w:val="Defstart"/>
      </w:pPr>
      <w:r>
        <w:tab/>
      </w:r>
      <w:r>
        <w:rPr>
          <w:rStyle w:val="CharDefText"/>
        </w:rPr>
        <w:t>ground of invalidity</w:t>
      </w:r>
      <w:r>
        <w:t xml:space="preserve"> means a ground of invalidity set out in section 135;</w:t>
      </w:r>
    </w:p>
    <w:p>
      <w:pPr>
        <w:pStyle w:val="Defstart"/>
      </w:pPr>
      <w:r>
        <w:tab/>
      </w:r>
      <w:r>
        <w:rPr>
          <w:rStyle w:val="CharDefText"/>
        </w:rPr>
        <w:t>The Wilderness Society v Minister for Environment</w:t>
      </w:r>
      <w:r>
        <w:t xml:space="preserve"> means the decision of the Supreme Court of Western Australia in </w:t>
      </w:r>
      <w:r>
        <w:rPr>
          <w:i/>
        </w:rPr>
        <w:t>The Wilderness Society of WA (Inc) v Minister for Environment</w:t>
      </w:r>
      <w:r>
        <w:t xml:space="preserve"> [2013] WASC 307.</w:t>
      </w:r>
    </w:p>
    <w:p>
      <w:pPr>
        <w:pStyle w:val="Subsection"/>
      </w:pPr>
      <w:r>
        <w:tab/>
        <w:t>(2)</w:t>
      </w:r>
      <w:r>
        <w:tab/>
        <w:t>In this Part, a reference to the doing of anything includes a reference to an omission to do anything.</w:t>
      </w:r>
    </w:p>
    <w:p>
      <w:pPr>
        <w:pStyle w:val="Footnotesection"/>
      </w:pPr>
      <w:r>
        <w:tab/>
        <w:t>[Section 134 inserted: No. 27 of 2014 s. 4.]</w:t>
      </w:r>
    </w:p>
    <w:p>
      <w:pPr>
        <w:pStyle w:val="Heading5"/>
      </w:pPr>
      <w:bookmarkStart w:id="428" w:name="_Toc158985661"/>
      <w:r>
        <w:rPr>
          <w:rStyle w:val="CharSectno"/>
        </w:rPr>
        <w:t>135</w:t>
      </w:r>
      <w:r>
        <w:t>.</w:t>
      </w:r>
      <w:r>
        <w:tab/>
        <w:t>Grounds of invalidity</w:t>
      </w:r>
      <w:bookmarkEnd w:id="428"/>
    </w:p>
    <w:p>
      <w:pPr>
        <w:pStyle w:val="Subsection"/>
      </w:pPr>
      <w:r>
        <w:tab/>
      </w:r>
      <w:r>
        <w:tab/>
        <w:t xml:space="preserve">These are the grounds of invalidity — </w:t>
      </w:r>
    </w:p>
    <w:p>
      <w:pPr>
        <w:pStyle w:val="Indenta"/>
      </w:pPr>
      <w:r>
        <w:tab/>
        <w:t>(a)</w:t>
      </w:r>
      <w:r>
        <w:tab/>
        <w:t xml:space="preserve">the participation (whether by taking part in the consideration or discussion of a matter, or voting on a matter or participating in any other way), in any purported proceedings of the Authority, by Authority members who were disqualified from participation because of — </w:t>
      </w:r>
    </w:p>
    <w:p>
      <w:pPr>
        <w:pStyle w:val="Indenti"/>
      </w:pPr>
      <w:r>
        <w:tab/>
        <w:t>(i)</w:t>
      </w:r>
      <w:r>
        <w:tab/>
        <w:t>their direct or indirect pecuniary interest in a matter, whether or not that interest was disclosed in accordance with section 12(1) or determined under section 12(3) and whether or not a decision was purportedly made under section 13 in relation to the interest; or</w:t>
      </w:r>
    </w:p>
    <w:p>
      <w:pPr>
        <w:pStyle w:val="Indenti"/>
        <w:keepNext/>
      </w:pPr>
      <w:r>
        <w:lastRenderedPageBreak/>
        <w:tab/>
        <w:t>(ii)</w:t>
      </w:r>
      <w:r>
        <w:tab/>
        <w:t>a reasonable apprehension of bias;</w:t>
      </w:r>
    </w:p>
    <w:p>
      <w:pPr>
        <w:pStyle w:val="Indenta"/>
      </w:pPr>
      <w:r>
        <w:tab/>
        <w:t>(b)</w:t>
      </w:r>
      <w:r>
        <w:tab/>
        <w:t>the lack of a quorum at a meeting purportedly held by the Authority, where the lack of a quorum resulted from Authority members being disqualified from participation in the circumstances set out in paragraph (a)(i) or (ii);</w:t>
      </w:r>
    </w:p>
    <w:p>
      <w:pPr>
        <w:pStyle w:val="Indenta"/>
      </w:pPr>
      <w:r>
        <w:tab/>
        <w:t>(c)</w:t>
      </w:r>
      <w:r>
        <w:tab/>
        <w:t xml:space="preserve">the failure of the Authority to decide a question at a meeting purportedly held by the Authority, where — </w:t>
      </w:r>
    </w:p>
    <w:p>
      <w:pPr>
        <w:pStyle w:val="Indenti"/>
      </w:pPr>
      <w:r>
        <w:tab/>
        <w:t>(i)</w:t>
      </w:r>
      <w:r>
        <w:tab/>
        <w:t>the failure resulted from non</w:t>
      </w:r>
      <w:r>
        <w:noBreakHyphen/>
        <w:t>compliance with the requirements of section 11(2)(e) for at least 3 Authority members to vote on the question or with any other requirement of section 11(2) with respect to voting; and</w:t>
      </w:r>
    </w:p>
    <w:p>
      <w:pPr>
        <w:pStyle w:val="Indenti"/>
      </w:pPr>
      <w:r>
        <w:tab/>
        <w:t>(ii)</w:t>
      </w:r>
      <w:r>
        <w:tab/>
        <w:t>that non</w:t>
      </w:r>
      <w:r>
        <w:noBreakHyphen/>
        <w:t>compliance resulted from Authority members being disqualified from participation in the circumstances set out in paragraph (a)(i) or (ii);</w:t>
      </w:r>
    </w:p>
    <w:p>
      <w:pPr>
        <w:pStyle w:val="Indenta"/>
      </w:pPr>
      <w:r>
        <w:tab/>
        <w:t>(d)</w:t>
      </w:r>
      <w:r>
        <w:tab/>
        <w:t xml:space="preserve">the purported exercise of a power or duty of the Authority under a delegation made under section 19, where — </w:t>
      </w:r>
    </w:p>
    <w:p>
      <w:pPr>
        <w:pStyle w:val="Indenti"/>
      </w:pPr>
      <w:r>
        <w:tab/>
        <w:t>(i)</w:t>
      </w:r>
      <w:r>
        <w:tab/>
        <w:t>the delegation was purportedly invoked in order to avoid the proceedings of the Authority being invalid on any of the grounds of invalidity set out in paragraphs (a) to (c); and</w:t>
      </w:r>
    </w:p>
    <w:p>
      <w:pPr>
        <w:pStyle w:val="Indenti"/>
      </w:pPr>
      <w:r>
        <w:tab/>
        <w:t>(ii)</w:t>
      </w:r>
      <w:r>
        <w:tab/>
        <w:t>the delegation could not be invoked in the circumstances in which it was purportedly invoked, or did not authorise the exercise of the power or duty in the circumstances in which they were purportedly exercised.</w:t>
      </w:r>
    </w:p>
    <w:p>
      <w:pPr>
        <w:pStyle w:val="Footnotesection"/>
      </w:pPr>
      <w:r>
        <w:tab/>
        <w:t>[Section 135 inserted: No. 27 of 2014 s. 4.]</w:t>
      </w:r>
    </w:p>
    <w:p>
      <w:pPr>
        <w:pStyle w:val="Heading5"/>
      </w:pPr>
      <w:bookmarkStart w:id="429" w:name="_Toc158985662"/>
      <w:r>
        <w:rPr>
          <w:rStyle w:val="CharSectno"/>
        </w:rPr>
        <w:t>136</w:t>
      </w:r>
      <w:r>
        <w:t>.</w:t>
      </w:r>
      <w:r>
        <w:tab/>
        <w:t>Certain proceedings of Environmental Protection Authority and other things validated</w:t>
      </w:r>
      <w:bookmarkEnd w:id="429"/>
    </w:p>
    <w:p>
      <w:pPr>
        <w:pStyle w:val="Subsection"/>
      </w:pPr>
      <w:r>
        <w:tab/>
        <w:t>(1)</w:t>
      </w:r>
      <w:r>
        <w:tab/>
        <w:t xml:space="preserve">This section applies to anything done, or purportedly done, by or on behalf of the Authority before the decision date that, if this </w:t>
      </w:r>
      <w:r>
        <w:lastRenderedPageBreak/>
        <w:t>section had not been enacted, is or may be invalid on a ground of invalidity.</w:t>
      </w:r>
    </w:p>
    <w:p>
      <w:pPr>
        <w:pStyle w:val="Subsection"/>
      </w:pPr>
      <w:r>
        <w:tab/>
        <w:t>(2)</w:t>
      </w:r>
      <w:r>
        <w:tab/>
        <w:t>The things to which this section applies are to be taken to be, and to have always been, valid and effective to the same extent as they would have been if they had not been invalidated by a ground of invalidity.</w:t>
      </w:r>
    </w:p>
    <w:p>
      <w:pPr>
        <w:pStyle w:val="Subsection"/>
      </w:pPr>
      <w:r>
        <w:tab/>
        <w:t>(3)</w:t>
      </w:r>
      <w:r>
        <w:tab/>
        <w:t>The rights, obligations and liabilities of all persons are to be taken to be, and to have always been, the same as if the things to which this section applies had been validly done.</w:t>
      </w:r>
    </w:p>
    <w:p>
      <w:pPr>
        <w:pStyle w:val="Subsection"/>
      </w:pPr>
      <w:r>
        <w:tab/>
        <w:t>(4)</w:t>
      </w:r>
      <w:r>
        <w:tab/>
        <w:t xml:space="preserve">Anything done, or purportedly done, before the </w:t>
      </w:r>
      <w:r>
        <w:rPr>
          <w:i/>
        </w:rPr>
        <w:t>Environmental Protection Amendment (Validation) Act 2014</w:t>
      </w:r>
      <w:r>
        <w:t xml:space="preserve"> section 4 comes into operation as a result or consequence of, or in reliance on or in relation to, a thing to which this section applies (a </w:t>
      </w:r>
      <w:r>
        <w:rPr>
          <w:rStyle w:val="CharDefText"/>
        </w:rPr>
        <w:t>validated thing</w:t>
      </w:r>
      <w:r>
        <w:t>) is as valid and effective, and is to be taken to have always been as valid and effective, as it would have been if the validated thing had been valid at the time the other thing was done or purportedly done.</w:t>
      </w:r>
    </w:p>
    <w:p>
      <w:pPr>
        <w:pStyle w:val="Subsection"/>
      </w:pPr>
      <w:r>
        <w:tab/>
        <w:t>(5)</w:t>
      </w:r>
      <w:r>
        <w:tab/>
        <w:t>This section is subject to section 137.</w:t>
      </w:r>
    </w:p>
    <w:p>
      <w:pPr>
        <w:pStyle w:val="Footnotesection"/>
      </w:pPr>
      <w:r>
        <w:tab/>
        <w:t>[Section 136 inserted: No. 27 of 2014 s. 4.]</w:t>
      </w:r>
    </w:p>
    <w:p>
      <w:pPr>
        <w:pStyle w:val="Heading5"/>
      </w:pPr>
      <w:bookmarkStart w:id="430" w:name="_Toc158985663"/>
      <w:r>
        <w:rPr>
          <w:rStyle w:val="CharSectno"/>
        </w:rPr>
        <w:t>137</w:t>
      </w:r>
      <w:r>
        <w:t>.</w:t>
      </w:r>
      <w:r>
        <w:tab/>
        <w:t>Exclusions from validation</w:t>
      </w:r>
      <w:bookmarkEnd w:id="430"/>
    </w:p>
    <w:p>
      <w:pPr>
        <w:pStyle w:val="Subsection"/>
      </w:pPr>
      <w:r>
        <w:tab/>
      </w:r>
      <w:r>
        <w:tab/>
        <w:t xml:space="preserve">Section 136 does not validate — </w:t>
      </w:r>
    </w:p>
    <w:p>
      <w:pPr>
        <w:pStyle w:val="Indenta"/>
      </w:pPr>
      <w:r>
        <w:tab/>
        <w:t>(a)</w:t>
      </w:r>
      <w:r>
        <w:tab/>
        <w:t xml:space="preserve">any of the following things that were held to be invalid by the Supreme Court of Western Australia in </w:t>
      </w:r>
      <w:r>
        <w:rPr>
          <w:i/>
        </w:rPr>
        <w:t>The Wilderness Society v Minister for Environment</w:t>
      </w:r>
      <w:r>
        <w:t xml:space="preserve"> — </w:t>
      </w:r>
    </w:p>
    <w:p>
      <w:pPr>
        <w:pStyle w:val="Indenti"/>
      </w:pPr>
      <w:r>
        <w:tab/>
        <w:t>(i)</w:t>
      </w:r>
      <w:r>
        <w:tab/>
        <w:t>the report and recommendations of the Environmental Protection Authority on the Browse Liquefied Natural Gas Precinct strategic proposal (Report 1444, July 2012);</w:t>
      </w:r>
    </w:p>
    <w:p>
      <w:pPr>
        <w:pStyle w:val="Indenti"/>
      </w:pPr>
      <w:r>
        <w:tab/>
        <w:t>(ii)</w:t>
      </w:r>
      <w:r>
        <w:tab/>
        <w:t xml:space="preserve">the statement of the Minister for Environment, published on 19 November 2012, that, in the event of a declaration by the Environmental Protection Authority pursuant to section 39B of </w:t>
      </w:r>
      <w:r>
        <w:lastRenderedPageBreak/>
        <w:t xml:space="preserve">the </w:t>
      </w:r>
      <w:r>
        <w:rPr>
          <w:i/>
        </w:rPr>
        <w:t>Environmental Protection Act 1986</w:t>
      </w:r>
      <w:r>
        <w:t xml:space="preserve"> that it is a derived proposal, a proposal to do one or more of the Developments, Activities, Operations or Changes in Land Use listed in Column 2 of Table 1 in Schedule 1 of the statement, and which was identified in the Strategic Proposal to which Report 1444 relates, may be implemented (Ministerial Statement No. 917);</w:t>
      </w:r>
    </w:p>
    <w:p>
      <w:pPr>
        <w:pStyle w:val="Indenti"/>
      </w:pPr>
      <w:r>
        <w:tab/>
        <w:t>(iii)</w:t>
      </w:r>
      <w:r>
        <w:tab/>
        <w:t>the declaration made by the Environmental Protection Authority on 17 December 2012 that the proposal by Woodside Energy Ltd for the Browse LNG Downstream Development 25 Mtpa is a derived proposal identified in the Browse LNG Precinct strategic proposal, James Price Point, Shire of Broome;</w:t>
      </w:r>
    </w:p>
    <w:p>
      <w:pPr>
        <w:pStyle w:val="Indenta"/>
      </w:pPr>
      <w:r>
        <w:tab/>
        <w:t>(b)</w:t>
      </w:r>
      <w:r>
        <w:tab/>
        <w:t>anything that is invalid as a consequence of the invalidity of the things listed in paragraph (a).</w:t>
      </w:r>
    </w:p>
    <w:p>
      <w:pPr>
        <w:pStyle w:val="Footnotesection"/>
      </w:pPr>
      <w:r>
        <w:tab/>
        <w:t>[Section 137 inserted: No. 27 of 2014 s. 4.]</w:t>
      </w:r>
    </w:p>
    <w:p>
      <w:pPr>
        <w:rPr>
          <w:rStyle w:val="CharDivText"/>
        </w:r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431" w:name="_Toc158980995"/>
      <w:bookmarkStart w:id="432" w:name="_Toc158981394"/>
      <w:bookmarkStart w:id="433" w:name="_Toc158985664"/>
      <w:r>
        <w:rPr>
          <w:rStyle w:val="CharSchNo"/>
        </w:rPr>
        <w:lastRenderedPageBreak/>
        <w:t>Schedule 1</w:t>
      </w:r>
      <w:r>
        <w:t> — </w:t>
      </w:r>
      <w:r>
        <w:rPr>
          <w:rStyle w:val="CharSchText"/>
        </w:rPr>
        <w:t>Penalties</w:t>
      </w:r>
      <w:bookmarkEnd w:id="431"/>
      <w:bookmarkEnd w:id="432"/>
      <w:bookmarkEnd w:id="433"/>
    </w:p>
    <w:p>
      <w:pPr>
        <w:pStyle w:val="yShoulderClause"/>
      </w:pPr>
      <w:r>
        <w:t>[s. 99Q and 99R]</w:t>
      </w:r>
    </w:p>
    <w:p>
      <w:pPr>
        <w:pStyle w:val="yFootnoteheading"/>
      </w:pPr>
      <w:r>
        <w:tab/>
        <w:t>[Heading inserted: No. 14 of 1988 s. 18; amended: No. 19 of 2010 s. 4.]</w:t>
      </w:r>
    </w:p>
    <w:p>
      <w:pPr>
        <w:pStyle w:val="yHeading3"/>
      </w:pPr>
      <w:bookmarkStart w:id="434" w:name="_Toc158980996"/>
      <w:bookmarkStart w:id="435" w:name="_Toc158981395"/>
      <w:bookmarkStart w:id="436" w:name="_Toc158985665"/>
      <w:r>
        <w:rPr>
          <w:rStyle w:val="CharSDivNo"/>
          <w:sz w:val="28"/>
        </w:rPr>
        <w:t>Part 1</w:t>
      </w:r>
      <w:r>
        <w:t> — </w:t>
      </w:r>
      <w:r>
        <w:rPr>
          <w:rStyle w:val="CharSDivText"/>
          <w:sz w:val="28"/>
        </w:rPr>
        <w:t>Tier 1 offences and penalties</w:t>
      </w:r>
      <w:bookmarkEnd w:id="434"/>
      <w:bookmarkEnd w:id="435"/>
      <w:bookmarkEnd w:id="436"/>
    </w:p>
    <w:p>
      <w:pPr>
        <w:pStyle w:val="yFootnotesection"/>
      </w:pPr>
      <w:r>
        <w:tab/>
        <w:t>[Heading inserted: No. 14 of 1988 s. 18.]</w:t>
      </w:r>
    </w:p>
    <w:p>
      <w:pPr>
        <w:pStyle w:val="yHeading4"/>
        <w:rPr>
          <w:sz w:val="24"/>
          <w:szCs w:val="24"/>
        </w:rPr>
      </w:pPr>
      <w:bookmarkStart w:id="437" w:name="_Toc158980997"/>
      <w:bookmarkStart w:id="438" w:name="_Toc158981396"/>
      <w:bookmarkStart w:id="439" w:name="_Toc158985666"/>
      <w:r>
        <w:rPr>
          <w:sz w:val="24"/>
          <w:szCs w:val="24"/>
        </w:rPr>
        <w:t>Division 1 — Individuals</w:t>
      </w:r>
      <w:bookmarkEnd w:id="437"/>
      <w:bookmarkEnd w:id="438"/>
      <w:bookmarkEnd w:id="439"/>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3"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7"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3" w:type="dxa"/>
          </w:tcPr>
          <w:p>
            <w:pPr>
              <w:pStyle w:val="yTableNAm"/>
              <w:spacing w:before="100"/>
              <w:rPr>
                <w:b/>
                <w:bCs/>
              </w:rPr>
            </w:pPr>
            <w:r>
              <w:rPr>
                <w:b/>
                <w:bCs/>
              </w:rPr>
              <w:t>Penalty — individual</w:t>
            </w:r>
          </w:p>
        </w:tc>
        <w:tc>
          <w:tcPr>
            <w:tcW w:w="1701" w:type="dxa"/>
          </w:tcPr>
          <w:p>
            <w:pPr>
              <w:pStyle w:val="yTableNAm"/>
              <w:spacing w:before="100"/>
              <w:rPr>
                <w:b/>
                <w:bCs/>
              </w:rPr>
            </w:pPr>
            <w:r>
              <w:rPr>
                <w:b/>
                <w:bCs/>
              </w:rPr>
              <w:t>Daily penalty</w:t>
            </w:r>
          </w:p>
        </w:tc>
      </w:tr>
      <w:tr>
        <w:tc>
          <w:tcPr>
            <w:tcW w:w="1417" w:type="dxa"/>
          </w:tcPr>
          <w:p>
            <w:pPr>
              <w:pStyle w:val="yTableNAm"/>
              <w:spacing w:before="100"/>
            </w:pPr>
            <w:r>
              <w:t>1</w:t>
            </w:r>
          </w:p>
        </w:tc>
        <w:tc>
          <w:tcPr>
            <w:tcW w:w="1419" w:type="dxa"/>
          </w:tcPr>
          <w:p>
            <w:pPr>
              <w:pStyle w:val="yTableNAm"/>
              <w:spacing w:before="100"/>
            </w:pPr>
            <w:r>
              <w:t>6(7)</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2</w:t>
            </w:r>
          </w:p>
        </w:tc>
        <w:tc>
          <w:tcPr>
            <w:tcW w:w="1419" w:type="dxa"/>
          </w:tcPr>
          <w:p>
            <w:pPr>
              <w:pStyle w:val="yTableNAm"/>
              <w:spacing w:before="100"/>
            </w:pPr>
            <w:r>
              <w:t xml:space="preserve">47(1) </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2A</w:t>
            </w:r>
          </w:p>
        </w:tc>
        <w:tc>
          <w:tcPr>
            <w:tcW w:w="1419" w:type="dxa"/>
          </w:tcPr>
          <w:p>
            <w:pPr>
              <w:pStyle w:val="yTableNAm"/>
              <w:spacing w:before="100"/>
            </w:pPr>
            <w:r>
              <w:t>47(5)</w:t>
            </w:r>
          </w:p>
        </w:tc>
        <w:tc>
          <w:tcPr>
            <w:tcW w:w="2553" w:type="dxa"/>
          </w:tcPr>
          <w:p>
            <w:pPr>
              <w:pStyle w:val="yTableNAm"/>
              <w:spacing w:before="100"/>
            </w:pPr>
            <w:r>
              <w:t>$500 000</w:t>
            </w:r>
          </w:p>
        </w:tc>
        <w:tc>
          <w:tcPr>
            <w:tcW w:w="1701" w:type="dxa"/>
          </w:tcPr>
          <w:p>
            <w:pPr>
              <w:pStyle w:val="yTableNAm"/>
              <w:spacing w:before="100"/>
            </w:pPr>
            <w:r>
              <w:t>$100 000</w:t>
            </w:r>
          </w:p>
        </w:tc>
      </w:tr>
      <w:tr>
        <w:tc>
          <w:tcPr>
            <w:tcW w:w="1417" w:type="dxa"/>
          </w:tcPr>
          <w:p>
            <w:pPr>
              <w:pStyle w:val="yTableNAm"/>
              <w:spacing w:before="100"/>
            </w:pPr>
            <w:r>
              <w:t>3</w:t>
            </w:r>
          </w:p>
        </w:tc>
        <w:tc>
          <w:tcPr>
            <w:tcW w:w="1419" w:type="dxa"/>
          </w:tcPr>
          <w:p>
            <w:pPr>
              <w:pStyle w:val="yTableNAm"/>
              <w:spacing w:before="100"/>
            </w:pPr>
            <w:r>
              <w:rPr>
                <w:szCs w:val="22"/>
              </w:rPr>
              <w:t>48(9)</w:t>
            </w:r>
          </w:p>
        </w:tc>
        <w:tc>
          <w:tcPr>
            <w:tcW w:w="2553" w:type="dxa"/>
          </w:tcPr>
          <w:p>
            <w:pPr>
              <w:pStyle w:val="yTableNAm"/>
              <w:spacing w:before="100"/>
            </w:pPr>
            <w:r>
              <w:t>$162 500</w:t>
            </w:r>
          </w:p>
        </w:tc>
        <w:tc>
          <w:tcPr>
            <w:tcW w:w="1701" w:type="dxa"/>
          </w:tcPr>
          <w:p>
            <w:pPr>
              <w:pStyle w:val="yTableNAm"/>
              <w:spacing w:before="100"/>
            </w:pPr>
            <w:r>
              <w:t>$32 500</w:t>
            </w:r>
          </w:p>
        </w:tc>
      </w:tr>
      <w:tr>
        <w:tc>
          <w:tcPr>
            <w:tcW w:w="1417" w:type="dxa"/>
          </w:tcPr>
          <w:p>
            <w:pPr>
              <w:pStyle w:val="yTableNAm"/>
              <w:spacing w:before="100"/>
            </w:pPr>
            <w:r>
              <w:t>4</w:t>
            </w:r>
          </w:p>
        </w:tc>
        <w:tc>
          <w:tcPr>
            <w:tcW w:w="1419" w:type="dxa"/>
          </w:tcPr>
          <w:p>
            <w:pPr>
              <w:pStyle w:val="yTableNAm"/>
              <w:spacing w:before="100"/>
            </w:pPr>
            <w:r>
              <w:t>49(2)</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c>
          <w:tcPr>
            <w:tcW w:w="1417" w:type="dxa"/>
          </w:tcPr>
          <w:p>
            <w:pPr>
              <w:pStyle w:val="yTableNAm"/>
              <w:spacing w:before="100"/>
            </w:pPr>
            <w:r>
              <w:t>5</w:t>
            </w:r>
          </w:p>
        </w:tc>
        <w:tc>
          <w:tcPr>
            <w:tcW w:w="1419" w:type="dxa"/>
          </w:tcPr>
          <w:p>
            <w:pPr>
              <w:pStyle w:val="yTableNAm"/>
              <w:spacing w:before="100"/>
            </w:pPr>
            <w:r>
              <w:t>49(3)</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6</w:t>
            </w:r>
          </w:p>
        </w:tc>
        <w:tc>
          <w:tcPr>
            <w:tcW w:w="1419" w:type="dxa"/>
          </w:tcPr>
          <w:p>
            <w:pPr>
              <w:pStyle w:val="yTableNAm"/>
              <w:spacing w:before="100"/>
            </w:pPr>
            <w:r>
              <w:t>49(4)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7</w:t>
            </w:r>
          </w:p>
        </w:tc>
        <w:tc>
          <w:tcPr>
            <w:tcW w:w="1419" w:type="dxa"/>
          </w:tcPr>
          <w:p>
            <w:pPr>
              <w:pStyle w:val="yTableNAm"/>
              <w:spacing w:before="100"/>
            </w:pPr>
            <w:r>
              <w:t>50(1)</w:t>
            </w:r>
          </w:p>
        </w:tc>
        <w:tc>
          <w:tcPr>
            <w:tcW w:w="2553" w:type="dxa"/>
          </w:tcPr>
          <w:p>
            <w:pPr>
              <w:pStyle w:val="yTableNAm"/>
              <w:spacing w:before="100"/>
            </w:pPr>
            <w:r>
              <w:t>$500 000</w:t>
            </w:r>
          </w:p>
        </w:tc>
        <w:tc>
          <w:tcPr>
            <w:tcW w:w="1701" w:type="dxa"/>
          </w:tcPr>
          <w:p>
            <w:pPr>
              <w:pStyle w:val="yTableNAm"/>
              <w:spacing w:before="100"/>
            </w:pPr>
            <w:r>
              <w:t>$100 000</w:t>
            </w:r>
          </w:p>
        </w:tc>
      </w:tr>
      <w:tr>
        <w:tc>
          <w:tcPr>
            <w:tcW w:w="1417" w:type="dxa"/>
          </w:tcPr>
          <w:p>
            <w:pPr>
              <w:pStyle w:val="yTableNAm"/>
              <w:spacing w:before="100"/>
            </w:pPr>
            <w:r>
              <w:t>8</w:t>
            </w:r>
          </w:p>
        </w:tc>
        <w:tc>
          <w:tcPr>
            <w:tcW w:w="1419" w:type="dxa"/>
          </w:tcPr>
          <w:p>
            <w:pPr>
              <w:pStyle w:val="yTableNAm"/>
              <w:spacing w:before="100"/>
            </w:pPr>
            <w:r>
              <w:t>50(2)</w:t>
            </w:r>
          </w:p>
        </w:tc>
        <w:tc>
          <w:tcPr>
            <w:tcW w:w="2553" w:type="dxa"/>
          </w:tcPr>
          <w:p>
            <w:pPr>
              <w:pStyle w:val="yTableNAm"/>
              <w:spacing w:before="100"/>
            </w:pPr>
            <w:r>
              <w:t>$250 000</w:t>
            </w:r>
          </w:p>
        </w:tc>
        <w:tc>
          <w:tcPr>
            <w:tcW w:w="1701" w:type="dxa"/>
          </w:tcPr>
          <w:p>
            <w:pPr>
              <w:pStyle w:val="yTableNAm"/>
              <w:spacing w:before="100"/>
            </w:pPr>
            <w:r>
              <w:t>$50 000</w:t>
            </w:r>
          </w:p>
        </w:tc>
      </w:tr>
      <w:tr>
        <w:trPr>
          <w:cantSplit/>
        </w:trPr>
        <w:tc>
          <w:tcPr>
            <w:tcW w:w="1417" w:type="dxa"/>
          </w:tcPr>
          <w:p>
            <w:pPr>
              <w:pStyle w:val="yTableNAm"/>
              <w:spacing w:before="100"/>
            </w:pPr>
            <w:r>
              <w:t>8A</w:t>
            </w:r>
          </w:p>
        </w:tc>
        <w:tc>
          <w:tcPr>
            <w:tcW w:w="1419" w:type="dxa"/>
          </w:tcPr>
          <w:p>
            <w:pPr>
              <w:pStyle w:val="yTableNAm"/>
              <w:spacing w:before="100"/>
            </w:pPr>
            <w:r>
              <w:t>50A(1)</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rPr>
          <w:cantSplit/>
        </w:trPr>
        <w:tc>
          <w:tcPr>
            <w:tcW w:w="1417" w:type="dxa"/>
          </w:tcPr>
          <w:p>
            <w:pPr>
              <w:pStyle w:val="yTableNAm"/>
              <w:spacing w:before="100"/>
            </w:pPr>
            <w:r>
              <w:t>8B</w:t>
            </w:r>
          </w:p>
        </w:tc>
        <w:tc>
          <w:tcPr>
            <w:tcW w:w="1419" w:type="dxa"/>
          </w:tcPr>
          <w:p>
            <w:pPr>
              <w:pStyle w:val="yTableNAm"/>
              <w:spacing w:before="100"/>
            </w:pPr>
            <w:r>
              <w:t>50A(2)</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rPr>
          <w:cantSplit/>
        </w:trPr>
        <w:tc>
          <w:tcPr>
            <w:tcW w:w="1417" w:type="dxa"/>
          </w:tcPr>
          <w:p>
            <w:pPr>
              <w:pStyle w:val="yTableNAm"/>
              <w:spacing w:before="100"/>
            </w:pPr>
            <w:r>
              <w:t>8C</w:t>
            </w:r>
          </w:p>
        </w:tc>
        <w:tc>
          <w:tcPr>
            <w:tcW w:w="1419" w:type="dxa"/>
          </w:tcPr>
          <w:p>
            <w:pPr>
              <w:pStyle w:val="yTableNAm"/>
              <w:spacing w:before="100"/>
            </w:pPr>
            <w:r>
              <w:t>50B(1)</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8D</w:t>
            </w:r>
          </w:p>
        </w:tc>
        <w:tc>
          <w:tcPr>
            <w:tcW w:w="1419" w:type="dxa"/>
          </w:tcPr>
          <w:p>
            <w:pPr>
              <w:pStyle w:val="yTableNAm"/>
              <w:spacing w:before="100"/>
            </w:pPr>
            <w:r>
              <w:t>51C</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9</w:t>
            </w:r>
          </w:p>
        </w:tc>
        <w:tc>
          <w:tcPr>
            <w:tcW w:w="1419" w:type="dxa"/>
          </w:tcPr>
          <w:p>
            <w:pPr>
              <w:pStyle w:val="yTableNAm"/>
              <w:spacing w:before="100"/>
            </w:pPr>
            <w:r>
              <w:t>65(4a)</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pPr>
            <w:r>
              <w:lastRenderedPageBreak/>
              <w:t>10</w:t>
            </w:r>
          </w:p>
        </w:tc>
        <w:tc>
          <w:tcPr>
            <w:tcW w:w="1419" w:type="dxa"/>
          </w:tcPr>
          <w:p>
            <w:pPr>
              <w:pStyle w:val="yTableNAm"/>
            </w:pPr>
            <w:r>
              <w:t>69(5)</w:t>
            </w:r>
          </w:p>
        </w:tc>
        <w:tc>
          <w:tcPr>
            <w:tcW w:w="2553" w:type="dxa"/>
          </w:tcPr>
          <w:p>
            <w:pPr>
              <w:pStyle w:val="yTableNAm"/>
            </w:pPr>
            <w:r>
              <w:t>$162 500</w:t>
            </w:r>
          </w:p>
        </w:tc>
        <w:tc>
          <w:tcPr>
            <w:tcW w:w="1701" w:type="dxa"/>
          </w:tcPr>
          <w:p>
            <w:pPr>
              <w:pStyle w:val="yTableNAm"/>
            </w:pPr>
            <w:r>
              <w:t>$32 500</w:t>
            </w:r>
          </w:p>
        </w:tc>
      </w:tr>
      <w:tr>
        <w:tc>
          <w:tcPr>
            <w:tcW w:w="1417" w:type="dxa"/>
          </w:tcPr>
          <w:p>
            <w:pPr>
              <w:pStyle w:val="yTableNAm"/>
              <w:spacing w:before="100"/>
            </w:pPr>
            <w:r>
              <w:t>11</w:t>
            </w:r>
          </w:p>
        </w:tc>
        <w:tc>
          <w:tcPr>
            <w:tcW w:w="1419" w:type="dxa"/>
          </w:tcPr>
          <w:p>
            <w:pPr>
              <w:pStyle w:val="yTableNAm"/>
              <w:spacing w:before="100"/>
            </w:pPr>
            <w:r>
              <w:t>71(5)</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12</w:t>
            </w:r>
          </w:p>
        </w:tc>
        <w:tc>
          <w:tcPr>
            <w:tcW w:w="1419" w:type="dxa"/>
          </w:tcPr>
          <w:p>
            <w:pPr>
              <w:pStyle w:val="yTableNAm"/>
              <w:spacing w:before="100"/>
            </w:pPr>
            <w:r>
              <w:t>73A(6)</w:t>
            </w:r>
          </w:p>
        </w:tc>
        <w:tc>
          <w:tcPr>
            <w:tcW w:w="2553" w:type="dxa"/>
          </w:tcPr>
          <w:p>
            <w:pPr>
              <w:pStyle w:val="yTableNAm"/>
              <w:spacing w:before="100"/>
            </w:pPr>
            <w:r>
              <w:t>$250 000</w:t>
            </w:r>
          </w:p>
        </w:tc>
        <w:tc>
          <w:tcPr>
            <w:tcW w:w="1701" w:type="dxa"/>
          </w:tcPr>
          <w:p>
            <w:pPr>
              <w:pStyle w:val="yTableNAm"/>
              <w:spacing w:before="100"/>
            </w:pPr>
            <w:r>
              <w:t>$50 000</w:t>
            </w:r>
          </w:p>
        </w:tc>
      </w:tr>
    </w:tbl>
    <w:p>
      <w:pPr>
        <w:pStyle w:val="yFootnotesection"/>
      </w:pPr>
      <w:r>
        <w:tab/>
        <w:t>[Division 1 inserted: No. 14 of 1998 s. 18; amended: No. 54 of 2003 s. 25(1), 66(1) and (2) and 115(1); No. 40 of 2020 s. 102.]</w:t>
      </w:r>
    </w:p>
    <w:p>
      <w:pPr>
        <w:pStyle w:val="yHeading4"/>
        <w:rPr>
          <w:sz w:val="24"/>
          <w:szCs w:val="24"/>
        </w:rPr>
      </w:pPr>
      <w:bookmarkStart w:id="440" w:name="_Toc158980998"/>
      <w:bookmarkStart w:id="441" w:name="_Toc158981397"/>
      <w:bookmarkStart w:id="442" w:name="_Toc158985667"/>
      <w:r>
        <w:rPr>
          <w:sz w:val="24"/>
          <w:szCs w:val="24"/>
        </w:rPr>
        <w:t>Division 2 — Bodies corporate</w:t>
      </w:r>
      <w:bookmarkEnd w:id="440"/>
      <w:bookmarkEnd w:id="441"/>
      <w:bookmarkEnd w:id="442"/>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rHeight w:val="60"/>
          <w:tblHeader/>
        </w:trPr>
        <w:tc>
          <w:tcPr>
            <w:tcW w:w="1418"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701" w:type="dxa"/>
          </w:tcPr>
          <w:p>
            <w:pPr>
              <w:pStyle w:val="yTableNAm"/>
              <w:spacing w:before="100"/>
              <w:rPr>
                <w:b/>
                <w:bCs/>
              </w:rPr>
            </w:pPr>
            <w:r>
              <w:rPr>
                <w:b/>
                <w:bCs/>
              </w:rPr>
              <w:t>Daily penalty</w:t>
            </w:r>
          </w:p>
        </w:tc>
      </w:tr>
      <w:tr>
        <w:tc>
          <w:tcPr>
            <w:tcW w:w="1418" w:type="dxa"/>
          </w:tcPr>
          <w:p>
            <w:pPr>
              <w:pStyle w:val="yTableNAm"/>
              <w:spacing w:before="100"/>
            </w:pPr>
            <w:r>
              <w:t>1</w:t>
            </w:r>
          </w:p>
        </w:tc>
        <w:tc>
          <w:tcPr>
            <w:tcW w:w="1419" w:type="dxa"/>
          </w:tcPr>
          <w:p>
            <w:pPr>
              <w:pStyle w:val="yTableNAm"/>
              <w:spacing w:before="100"/>
            </w:pPr>
            <w:r>
              <w:t>6(7)</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2</w:t>
            </w:r>
          </w:p>
        </w:tc>
        <w:tc>
          <w:tcPr>
            <w:tcW w:w="1419" w:type="dxa"/>
          </w:tcPr>
          <w:p>
            <w:pPr>
              <w:pStyle w:val="yTableNAm"/>
              <w:spacing w:before="100"/>
            </w:pPr>
            <w:r>
              <w:t xml:space="preserve">47(1) </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2A</w:t>
            </w:r>
          </w:p>
        </w:tc>
        <w:tc>
          <w:tcPr>
            <w:tcW w:w="1419" w:type="dxa"/>
          </w:tcPr>
          <w:p>
            <w:pPr>
              <w:pStyle w:val="yTableNAm"/>
              <w:spacing w:before="100"/>
            </w:pPr>
            <w:r>
              <w:t>47(5)</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3</w:t>
            </w:r>
          </w:p>
        </w:tc>
        <w:tc>
          <w:tcPr>
            <w:tcW w:w="1419" w:type="dxa"/>
          </w:tcPr>
          <w:p>
            <w:pPr>
              <w:pStyle w:val="yTableNAm"/>
              <w:spacing w:before="100"/>
            </w:pPr>
            <w:r>
              <w:rPr>
                <w:szCs w:val="22"/>
              </w:rPr>
              <w:t>48(9)</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4</w:t>
            </w:r>
          </w:p>
        </w:tc>
        <w:tc>
          <w:tcPr>
            <w:tcW w:w="1419" w:type="dxa"/>
          </w:tcPr>
          <w:p>
            <w:pPr>
              <w:pStyle w:val="yTableNAm"/>
              <w:spacing w:before="100"/>
            </w:pPr>
            <w:r>
              <w:t>49(2)</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5</w:t>
            </w:r>
          </w:p>
        </w:tc>
        <w:tc>
          <w:tcPr>
            <w:tcW w:w="1419" w:type="dxa"/>
          </w:tcPr>
          <w:p>
            <w:pPr>
              <w:pStyle w:val="yTableNAm"/>
              <w:spacing w:before="100"/>
            </w:pPr>
            <w:r>
              <w:t>49(3)</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6</w:t>
            </w:r>
          </w:p>
        </w:tc>
        <w:tc>
          <w:tcPr>
            <w:tcW w:w="1419" w:type="dxa"/>
          </w:tcPr>
          <w:p>
            <w:pPr>
              <w:pStyle w:val="yTableNAm"/>
              <w:spacing w:before="100"/>
            </w:pPr>
            <w:r>
              <w:t>49(4)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7</w:t>
            </w:r>
          </w:p>
        </w:tc>
        <w:tc>
          <w:tcPr>
            <w:tcW w:w="1419" w:type="dxa"/>
          </w:tcPr>
          <w:p>
            <w:pPr>
              <w:pStyle w:val="yTableNAm"/>
              <w:spacing w:before="100"/>
            </w:pPr>
            <w:r>
              <w:t>50(1)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w:t>
            </w:r>
          </w:p>
        </w:tc>
        <w:tc>
          <w:tcPr>
            <w:tcW w:w="1419" w:type="dxa"/>
          </w:tcPr>
          <w:p>
            <w:pPr>
              <w:pStyle w:val="yTableNAm"/>
              <w:spacing w:before="100"/>
            </w:pPr>
            <w:r>
              <w:t>50(2)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8A</w:t>
            </w:r>
          </w:p>
        </w:tc>
        <w:tc>
          <w:tcPr>
            <w:tcW w:w="1419" w:type="dxa"/>
          </w:tcPr>
          <w:p>
            <w:pPr>
              <w:pStyle w:val="yTableNAm"/>
              <w:spacing w:before="100"/>
            </w:pPr>
            <w:r>
              <w:t>50A(1)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8B</w:t>
            </w:r>
          </w:p>
        </w:tc>
        <w:tc>
          <w:tcPr>
            <w:tcW w:w="1419" w:type="dxa"/>
          </w:tcPr>
          <w:p>
            <w:pPr>
              <w:pStyle w:val="yTableNAm"/>
              <w:spacing w:before="100"/>
            </w:pPr>
            <w:r>
              <w:t>50A(2)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8C</w:t>
            </w:r>
          </w:p>
        </w:tc>
        <w:tc>
          <w:tcPr>
            <w:tcW w:w="1419" w:type="dxa"/>
          </w:tcPr>
          <w:p>
            <w:pPr>
              <w:pStyle w:val="yTableNAm"/>
              <w:spacing w:before="100"/>
            </w:pPr>
            <w:r>
              <w:t>50B(1)</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8D</w:t>
            </w:r>
          </w:p>
        </w:tc>
        <w:tc>
          <w:tcPr>
            <w:tcW w:w="1419" w:type="dxa"/>
          </w:tcPr>
          <w:p>
            <w:pPr>
              <w:pStyle w:val="yTableNAm"/>
              <w:spacing w:before="100"/>
            </w:pPr>
            <w:r>
              <w:t>51C</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9</w:t>
            </w:r>
          </w:p>
        </w:tc>
        <w:tc>
          <w:tcPr>
            <w:tcW w:w="1419" w:type="dxa"/>
          </w:tcPr>
          <w:p>
            <w:pPr>
              <w:pStyle w:val="yTableNAm"/>
              <w:spacing w:before="100"/>
            </w:pPr>
            <w:r>
              <w:t>65(4a)</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10</w:t>
            </w:r>
          </w:p>
        </w:tc>
        <w:tc>
          <w:tcPr>
            <w:tcW w:w="1419" w:type="dxa"/>
          </w:tcPr>
          <w:p>
            <w:pPr>
              <w:pStyle w:val="yTableNAm"/>
              <w:spacing w:before="100"/>
            </w:pPr>
            <w:r>
              <w:t>69(5)</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11</w:t>
            </w:r>
          </w:p>
        </w:tc>
        <w:tc>
          <w:tcPr>
            <w:tcW w:w="1419" w:type="dxa"/>
          </w:tcPr>
          <w:p>
            <w:pPr>
              <w:pStyle w:val="yTableNAm"/>
              <w:spacing w:before="100"/>
            </w:pPr>
            <w:r>
              <w:t>71(5)</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lastRenderedPageBreak/>
              <w:t>12</w:t>
            </w:r>
          </w:p>
        </w:tc>
        <w:tc>
          <w:tcPr>
            <w:tcW w:w="1419" w:type="dxa"/>
          </w:tcPr>
          <w:p>
            <w:pPr>
              <w:pStyle w:val="yTableNAm"/>
              <w:spacing w:before="100"/>
            </w:pPr>
            <w:r>
              <w:t>73A(6)</w:t>
            </w:r>
          </w:p>
        </w:tc>
        <w:tc>
          <w:tcPr>
            <w:tcW w:w="2552" w:type="dxa"/>
          </w:tcPr>
          <w:p>
            <w:pPr>
              <w:pStyle w:val="yTableNAm"/>
              <w:spacing w:before="100"/>
            </w:pPr>
            <w:r>
              <w:t>$500 000</w:t>
            </w:r>
          </w:p>
        </w:tc>
        <w:tc>
          <w:tcPr>
            <w:tcW w:w="1701" w:type="dxa"/>
          </w:tcPr>
          <w:p>
            <w:pPr>
              <w:pStyle w:val="yTableNAm"/>
              <w:spacing w:before="100"/>
            </w:pPr>
            <w:r>
              <w:t>$100 000</w:t>
            </w:r>
          </w:p>
        </w:tc>
      </w:tr>
    </w:tbl>
    <w:p>
      <w:pPr>
        <w:pStyle w:val="yFootnotesection"/>
      </w:pPr>
      <w:r>
        <w:tab/>
        <w:t>[Division 2 inserted: No. 14 of 1998 s. 18; amended: No. 54 of 2003 s. 25(1), 66(3) and (4) and 115(2); No. 40 of 2020 s. 103.]</w:t>
      </w:r>
    </w:p>
    <w:p>
      <w:pPr>
        <w:pStyle w:val="yHeading3"/>
        <w:rPr>
          <w:sz w:val="28"/>
          <w:szCs w:val="28"/>
        </w:rPr>
      </w:pPr>
      <w:bookmarkStart w:id="443" w:name="_Toc158980999"/>
      <w:bookmarkStart w:id="444" w:name="_Toc158981398"/>
      <w:bookmarkStart w:id="445" w:name="_Toc158985668"/>
      <w:r>
        <w:rPr>
          <w:rStyle w:val="CharSDivNo"/>
          <w:sz w:val="28"/>
          <w:szCs w:val="28"/>
        </w:rPr>
        <w:t>Part 2</w:t>
      </w:r>
      <w:r>
        <w:rPr>
          <w:sz w:val="28"/>
          <w:szCs w:val="28"/>
        </w:rPr>
        <w:t> — </w:t>
      </w:r>
      <w:r>
        <w:rPr>
          <w:rStyle w:val="CharSDivText"/>
          <w:sz w:val="28"/>
          <w:szCs w:val="28"/>
        </w:rPr>
        <w:t>Tier 2 offences and penalties</w:t>
      </w:r>
      <w:bookmarkEnd w:id="443"/>
      <w:bookmarkEnd w:id="444"/>
      <w:bookmarkEnd w:id="445"/>
    </w:p>
    <w:p>
      <w:pPr>
        <w:pStyle w:val="yFootnotesection"/>
        <w:spacing w:after="60"/>
      </w:pPr>
      <w:r>
        <w:tab/>
        <w:t>[Heading inserted: No. 14 of 1988 s. 18.]</w:t>
      </w:r>
    </w:p>
    <w:p>
      <w:pPr>
        <w:pStyle w:val="yHeading4"/>
        <w:rPr>
          <w:sz w:val="24"/>
          <w:szCs w:val="24"/>
        </w:rPr>
      </w:pPr>
      <w:bookmarkStart w:id="446" w:name="_Toc158981000"/>
      <w:bookmarkStart w:id="447" w:name="_Toc158981399"/>
      <w:bookmarkStart w:id="448" w:name="_Toc158985669"/>
      <w:r>
        <w:rPr>
          <w:sz w:val="24"/>
          <w:szCs w:val="24"/>
        </w:rPr>
        <w:t>Division 1 — Individuals</w:t>
      </w:r>
      <w:bookmarkEnd w:id="446"/>
      <w:bookmarkEnd w:id="447"/>
      <w:bookmarkEnd w:id="448"/>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individual</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lastRenderedPageBreak/>
              <w:t>9</w:t>
            </w:r>
          </w:p>
        </w:tc>
        <w:tc>
          <w:tcPr>
            <w:tcW w:w="1417" w:type="dxa"/>
          </w:tcPr>
          <w:p>
            <w:pPr>
              <w:pStyle w:val="yTableNAm"/>
              <w:spacing w:before="100"/>
            </w:pPr>
            <w:r>
              <w:t>65(5)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pPr>
            <w:r>
              <w:t>12</w:t>
            </w:r>
          </w:p>
        </w:tc>
        <w:tc>
          <w:tcPr>
            <w:tcW w:w="1417" w:type="dxa"/>
          </w:tcPr>
          <w:p>
            <w:pPr>
              <w:pStyle w:val="yTableNAm"/>
            </w:pPr>
            <w:r>
              <w:t>92C(3)</w:t>
            </w:r>
          </w:p>
        </w:tc>
        <w:tc>
          <w:tcPr>
            <w:tcW w:w="2552" w:type="dxa"/>
          </w:tcPr>
          <w:p>
            <w:pPr>
              <w:pStyle w:val="yTableNAm"/>
            </w:pPr>
            <w:r>
              <w:t>$62 500</w:t>
            </w:r>
          </w:p>
        </w:tc>
        <w:tc>
          <w:tcPr>
            <w:tcW w:w="1551" w:type="dxa"/>
          </w:tcPr>
          <w:p>
            <w:pPr>
              <w:pStyle w:val="yTableNAm"/>
            </w:pPr>
            <w:r>
              <w:t>Nil</w:t>
            </w:r>
          </w:p>
        </w:tc>
      </w:tr>
      <w:tr>
        <w:tc>
          <w:tcPr>
            <w:tcW w:w="1418" w:type="dxa"/>
          </w:tcPr>
          <w:p>
            <w:pPr>
              <w:pStyle w:val="yTableNAm"/>
            </w:pPr>
            <w:r>
              <w:t>13</w:t>
            </w:r>
          </w:p>
        </w:tc>
        <w:tc>
          <w:tcPr>
            <w:tcW w:w="1417" w:type="dxa"/>
          </w:tcPr>
          <w:p>
            <w:pPr>
              <w:pStyle w:val="yTableNAm"/>
            </w:pPr>
            <w:r>
              <w:t>92E(1)</w:t>
            </w:r>
          </w:p>
        </w:tc>
        <w:tc>
          <w:tcPr>
            <w:tcW w:w="2552" w:type="dxa"/>
          </w:tcPr>
          <w:p>
            <w:pPr>
              <w:pStyle w:val="yTableNAm"/>
            </w:pPr>
            <w:r>
              <w:t>$62 500</w:t>
            </w:r>
          </w:p>
        </w:tc>
        <w:tc>
          <w:tcPr>
            <w:tcW w:w="1551" w:type="dxa"/>
          </w:tcPr>
          <w:p>
            <w:pPr>
              <w:pStyle w:val="yTableNAm"/>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$62 500</w:t>
            </w:r>
          </w:p>
        </w:tc>
        <w:tc>
          <w:tcPr>
            <w:tcW w:w="1551" w:type="dxa"/>
          </w:tcPr>
          <w:p>
            <w:pPr>
              <w:pStyle w:val="yTableNAm"/>
              <w:spacing w:before="100"/>
            </w:pPr>
            <w:r>
              <w:t>$12 500</w:t>
            </w:r>
          </w:p>
        </w:tc>
      </w:tr>
    </w:tbl>
    <w:p>
      <w:pPr>
        <w:pStyle w:val="yFootnotesection"/>
      </w:pPr>
      <w:r>
        <w:tab/>
        <w:t>[Division 1 inserted: No. 14 of 1998 s. 18; amended: No. 54 of 2003 s. 25(2), 66(5)</w:t>
      </w:r>
      <w:r>
        <w:noBreakHyphen/>
        <w:t>(7), 85(1), (2) and (5), 88(1), 115(3) and 132(2); No. 48 of 2010 s. 11(1).]</w:t>
      </w:r>
    </w:p>
    <w:p>
      <w:pPr>
        <w:pStyle w:val="yHeading4"/>
        <w:rPr>
          <w:sz w:val="24"/>
          <w:szCs w:val="24"/>
        </w:rPr>
      </w:pPr>
      <w:bookmarkStart w:id="449" w:name="_Toc158981001"/>
      <w:bookmarkStart w:id="450" w:name="_Toc158981400"/>
      <w:bookmarkStart w:id="451" w:name="_Toc158985670"/>
      <w:r>
        <w:rPr>
          <w:sz w:val="24"/>
          <w:szCs w:val="24"/>
        </w:rPr>
        <w:t>Division 2 — Bodies corporate</w:t>
      </w:r>
      <w:bookmarkEnd w:id="449"/>
      <w:bookmarkEnd w:id="450"/>
      <w:bookmarkEnd w:id="451"/>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$250 000</w:t>
            </w:r>
          </w:p>
        </w:tc>
        <w:tc>
          <w:tcPr>
            <w:tcW w:w="1551" w:type="dxa"/>
          </w:tcPr>
          <w:p>
            <w:pPr>
              <w:pStyle w:val="yTableNAm"/>
              <w:spacing w:before="100"/>
            </w:pPr>
            <w:r>
              <w:t>$50 000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lastRenderedPageBreak/>
              <w:t>5A</w:t>
            </w:r>
          </w:p>
        </w:tc>
        <w:tc>
          <w:tcPr>
            <w:tcW w:w="1417" w:type="dxa"/>
          </w:tcPr>
          <w:p>
            <w:pPr>
              <w:pStyle w:val="yTableNAm"/>
              <w:spacing w:before="100"/>
            </w:pPr>
            <w:r>
              <w:t>55(1a)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pPr>
            <w:r>
              <w:t>9</w:t>
            </w:r>
          </w:p>
        </w:tc>
        <w:tc>
          <w:tcPr>
            <w:tcW w:w="1417" w:type="dxa"/>
          </w:tcPr>
          <w:p>
            <w:pPr>
              <w:pStyle w:val="yTableNAm"/>
            </w:pPr>
            <w:r>
              <w:t>65(5)</w:t>
            </w:r>
          </w:p>
        </w:tc>
        <w:tc>
          <w:tcPr>
            <w:tcW w:w="2552" w:type="dxa"/>
          </w:tcPr>
          <w:p>
            <w:pPr>
              <w:pStyle w:val="yTableNAm"/>
            </w:pPr>
            <w:r>
              <w:t>$125 000</w:t>
            </w:r>
          </w:p>
        </w:tc>
        <w:tc>
          <w:tcPr>
            <w:tcW w:w="1551" w:type="dxa"/>
          </w:tcPr>
          <w:p>
            <w:pPr>
              <w:pStyle w:val="yTableNAm"/>
            </w:pPr>
            <w:r>
              <w:t>$25 000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12</w:t>
            </w:r>
          </w:p>
        </w:tc>
        <w:tc>
          <w:tcPr>
            <w:tcW w:w="1417" w:type="dxa"/>
          </w:tcPr>
          <w:p>
            <w:pPr>
              <w:pStyle w:val="yTableNAm"/>
              <w:spacing w:before="100"/>
            </w:pPr>
            <w:r>
              <w:t>92C(3)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13</w:t>
            </w:r>
          </w:p>
        </w:tc>
        <w:tc>
          <w:tcPr>
            <w:tcW w:w="1417" w:type="dxa"/>
          </w:tcPr>
          <w:p>
            <w:pPr>
              <w:pStyle w:val="yTableNAm"/>
              <w:spacing w:before="100"/>
            </w:pPr>
            <w:r>
              <w:t>92E(1)</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$125 000</w:t>
            </w:r>
          </w:p>
        </w:tc>
        <w:tc>
          <w:tcPr>
            <w:tcW w:w="1551" w:type="dxa"/>
          </w:tcPr>
          <w:p>
            <w:pPr>
              <w:pStyle w:val="yTableNAm"/>
              <w:spacing w:before="100"/>
            </w:pPr>
            <w:r>
              <w:t>$25 000</w:t>
            </w:r>
          </w:p>
        </w:tc>
      </w:tr>
    </w:tbl>
    <w:p>
      <w:pPr>
        <w:pStyle w:val="yFootnotesection"/>
      </w:pPr>
      <w:r>
        <w:tab/>
        <w:t>[Division 2 inserted: No. 14 of 1998 s. 18; amended: No. 54 of 2003 s. 25(3), 66(8) and (9), 85(3)</w:t>
      </w:r>
      <w:r>
        <w:noBreakHyphen/>
        <w:t>(5), 88(2), 115(4) and 132(3); No. 48 of 2010 s. 11(2).]</w:t>
      </w:r>
    </w:p>
    <w:p>
      <w:pPr>
        <w:pStyle w:val="yHeading4"/>
        <w:rPr>
          <w:sz w:val="24"/>
          <w:szCs w:val="24"/>
        </w:rPr>
      </w:pPr>
      <w:bookmarkStart w:id="452" w:name="_Toc158981002"/>
      <w:bookmarkStart w:id="453" w:name="_Toc158981401"/>
      <w:bookmarkStart w:id="454" w:name="_Toc158985671"/>
      <w:r>
        <w:rPr>
          <w:sz w:val="24"/>
          <w:szCs w:val="24"/>
        </w:rPr>
        <w:t>Division 3 — Individuals and bodies corporate</w:t>
      </w:r>
      <w:bookmarkEnd w:id="452"/>
      <w:bookmarkEnd w:id="453"/>
      <w:bookmarkEnd w:id="454"/>
    </w:p>
    <w:p>
      <w:pPr>
        <w:pStyle w:val="yFootnotesection"/>
        <w:spacing w:after="60"/>
      </w:pPr>
      <w:r>
        <w:tab/>
        <w:t>[Heading inserted: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p>
            <w:pPr>
              <w:pStyle w:val="yTableNAm"/>
              <w:rPr>
                <w:b/>
                <w:bCs/>
              </w:rPr>
            </w:pPr>
          </w:p>
        </w:tc>
      </w:tr>
      <w:tr>
        <w:tc>
          <w:tcPr>
            <w:tcW w:w="1418" w:type="dxa"/>
          </w:tcPr>
          <w:p>
            <w:pPr>
              <w:pStyle w:val="yTableNAm"/>
              <w:spacing w:before="100"/>
            </w:pPr>
            <w:r>
              <w:t>1</w:t>
            </w:r>
          </w:p>
        </w:tc>
        <w:tc>
          <w:tcPr>
            <w:tcW w:w="1319" w:type="dxa"/>
          </w:tcPr>
          <w:p>
            <w:pPr>
              <w:pStyle w:val="yTableNAm"/>
              <w:spacing w:before="100"/>
            </w:pPr>
            <w:r>
              <w:rPr>
                <w:szCs w:val="22"/>
              </w:rPr>
              <w:t>47(4)</w:t>
            </w:r>
          </w:p>
        </w:tc>
        <w:tc>
          <w:tcPr>
            <w:tcW w:w="2650" w:type="dxa"/>
          </w:tcPr>
          <w:p>
            <w:pPr>
              <w:pStyle w:val="yTableNAm"/>
              <w:spacing w:before="100"/>
            </w:pPr>
            <w:r>
              <w:t>$50 000</w:t>
            </w:r>
          </w:p>
        </w:tc>
        <w:tc>
          <w:tcPr>
            <w:tcW w:w="1701" w:type="dxa"/>
          </w:tcPr>
          <w:p>
            <w:pPr>
              <w:pStyle w:val="yTableNAm"/>
              <w:spacing w:before="100"/>
            </w:pPr>
            <w:r>
              <w:t>Nil</w:t>
            </w:r>
          </w:p>
        </w:tc>
      </w:tr>
      <w:tr>
        <w:tc>
          <w:tcPr>
            <w:tcW w:w="7088" w:type="dxa"/>
            <w:gridSpan w:val="4"/>
          </w:tcPr>
          <w:p>
            <w:pPr>
              <w:pStyle w:val="yEdnoteitem"/>
              <w:tabs>
                <w:tab w:val="clear" w:pos="2765"/>
                <w:tab w:val="right" w:pos="1136"/>
              </w:tabs>
            </w:pPr>
            <w:r>
              <w:t>[2</w:t>
            </w:r>
            <w:r>
              <w:tab/>
              <w:t>deleted]</w:t>
            </w:r>
          </w:p>
        </w:tc>
      </w:tr>
      <w:tr>
        <w:tc>
          <w:tcPr>
            <w:tcW w:w="1418" w:type="dxa"/>
          </w:tcPr>
          <w:p>
            <w:pPr>
              <w:pStyle w:val="yTableNAm"/>
              <w:spacing w:before="100"/>
            </w:pPr>
            <w:r>
              <w:t>3</w:t>
            </w:r>
          </w:p>
        </w:tc>
        <w:tc>
          <w:tcPr>
            <w:tcW w:w="1319" w:type="dxa"/>
          </w:tcPr>
          <w:p>
            <w:pPr>
              <w:pStyle w:val="yTableNAm"/>
              <w:spacing w:before="100"/>
            </w:pPr>
            <w:r>
              <w:t>62A(2)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4</w:t>
            </w:r>
          </w:p>
        </w:tc>
        <w:tc>
          <w:tcPr>
            <w:tcW w:w="1319" w:type="dxa"/>
          </w:tcPr>
          <w:p>
            <w:pPr>
              <w:pStyle w:val="yTableNAm"/>
              <w:spacing w:before="100"/>
            </w:pPr>
            <w:r>
              <w:t>67</w:t>
            </w:r>
          </w:p>
        </w:tc>
        <w:tc>
          <w:tcPr>
            <w:tcW w:w="2650" w:type="dxa"/>
          </w:tcPr>
          <w:p>
            <w:pPr>
              <w:pStyle w:val="yTableNAm"/>
              <w:spacing w:before="100"/>
            </w:pPr>
            <w:r>
              <w:t>$10 000</w:t>
            </w:r>
          </w:p>
        </w:tc>
        <w:tc>
          <w:tcPr>
            <w:tcW w:w="1701" w:type="dxa"/>
          </w:tcPr>
          <w:p>
            <w:pPr>
              <w:pStyle w:val="yTableNAm"/>
              <w:spacing w:before="100"/>
            </w:pPr>
            <w:r>
              <w:t>Nil</w:t>
            </w:r>
          </w:p>
        </w:tc>
      </w:tr>
      <w:tr>
        <w:tc>
          <w:tcPr>
            <w:tcW w:w="1418" w:type="dxa"/>
          </w:tcPr>
          <w:p>
            <w:pPr>
              <w:pStyle w:val="yTableNAm"/>
              <w:spacing w:before="100"/>
            </w:pPr>
            <w:r>
              <w:lastRenderedPageBreak/>
              <w:t>5</w:t>
            </w:r>
          </w:p>
        </w:tc>
        <w:tc>
          <w:tcPr>
            <w:tcW w:w="1319" w:type="dxa"/>
          </w:tcPr>
          <w:p>
            <w:pPr>
              <w:pStyle w:val="yTableNAm"/>
              <w:spacing w:before="100"/>
            </w:pPr>
            <w:r>
              <w:t>72(1)</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6</w:t>
            </w:r>
          </w:p>
        </w:tc>
        <w:tc>
          <w:tcPr>
            <w:tcW w:w="1319" w:type="dxa"/>
          </w:tcPr>
          <w:p>
            <w:pPr>
              <w:pStyle w:val="yTableNAm"/>
              <w:spacing w:before="100"/>
            </w:pPr>
            <w:r>
              <w:t>72(4)</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7</w:t>
            </w:r>
          </w:p>
        </w:tc>
        <w:tc>
          <w:tcPr>
            <w:tcW w:w="1319" w:type="dxa"/>
          </w:tcPr>
          <w:p>
            <w:pPr>
              <w:pStyle w:val="yTableNAm"/>
              <w:spacing w:before="100"/>
            </w:pPr>
            <w:r>
              <w:t>76(1)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8</w:t>
            </w:r>
          </w:p>
        </w:tc>
        <w:tc>
          <w:tcPr>
            <w:tcW w:w="1319" w:type="dxa"/>
          </w:tcPr>
          <w:p>
            <w:pPr>
              <w:pStyle w:val="yTableNAm"/>
              <w:spacing w:before="100"/>
            </w:pPr>
            <w:r>
              <w:t>76(2)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9</w:t>
            </w:r>
          </w:p>
        </w:tc>
        <w:tc>
          <w:tcPr>
            <w:tcW w:w="1319" w:type="dxa"/>
          </w:tcPr>
          <w:p>
            <w:pPr>
              <w:pStyle w:val="yTableNAm"/>
              <w:spacing w:before="100"/>
            </w:pPr>
            <w:r>
              <w:t>81(2)</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10</w:t>
            </w:r>
          </w:p>
        </w:tc>
        <w:tc>
          <w:tcPr>
            <w:tcW w:w="1319" w:type="dxa"/>
          </w:tcPr>
          <w:p>
            <w:pPr>
              <w:pStyle w:val="yTableNAm"/>
              <w:spacing w:before="100"/>
            </w:pPr>
            <w:r>
              <w:t>82(2)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pPr>
            <w:r>
              <w:t>11</w:t>
            </w:r>
          </w:p>
        </w:tc>
        <w:tc>
          <w:tcPr>
            <w:tcW w:w="1319" w:type="dxa"/>
          </w:tcPr>
          <w:p>
            <w:pPr>
              <w:pStyle w:val="yTableNAm"/>
            </w:pPr>
            <w:r>
              <w:t>83</w:t>
            </w:r>
          </w:p>
        </w:tc>
        <w:tc>
          <w:tcPr>
            <w:tcW w:w="2650" w:type="dxa"/>
          </w:tcPr>
          <w:p>
            <w:pPr>
              <w:pStyle w:val="yTableNAm"/>
            </w:pPr>
            <w:r>
              <w:t>$25 000</w:t>
            </w:r>
          </w:p>
        </w:tc>
        <w:tc>
          <w:tcPr>
            <w:tcW w:w="1701" w:type="dxa"/>
          </w:tcPr>
          <w:p>
            <w:pPr>
              <w:pStyle w:val="yTableNAm"/>
            </w:pPr>
            <w:r>
              <w:t>Nil</w:t>
            </w:r>
          </w:p>
        </w:tc>
      </w:tr>
      <w:tr>
        <w:tc>
          <w:tcPr>
            <w:tcW w:w="1418" w:type="dxa"/>
          </w:tcPr>
          <w:p>
            <w:pPr>
              <w:pStyle w:val="yTableNAm"/>
              <w:spacing w:before="100"/>
            </w:pPr>
            <w:r>
              <w:t>12</w:t>
            </w:r>
          </w:p>
        </w:tc>
        <w:tc>
          <w:tcPr>
            <w:tcW w:w="1319" w:type="dxa"/>
          </w:tcPr>
          <w:p>
            <w:pPr>
              <w:pStyle w:val="yTableNAm"/>
              <w:spacing w:before="100"/>
            </w:pPr>
            <w:r>
              <w:t>86(1)</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13</w:t>
            </w:r>
          </w:p>
        </w:tc>
        <w:tc>
          <w:tcPr>
            <w:tcW w:w="1319" w:type="dxa"/>
          </w:tcPr>
          <w:p>
            <w:pPr>
              <w:pStyle w:val="yTableNAm"/>
              <w:spacing w:before="100"/>
            </w:pPr>
            <w:r>
              <w:t>86(2)</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14</w:t>
            </w:r>
          </w:p>
        </w:tc>
        <w:tc>
          <w:tcPr>
            <w:tcW w:w="1319" w:type="dxa"/>
          </w:tcPr>
          <w:p>
            <w:pPr>
              <w:pStyle w:val="yTableNAm"/>
              <w:spacing w:before="100"/>
            </w:pPr>
            <w:r>
              <w:t>86(3)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15</w:t>
            </w:r>
          </w:p>
        </w:tc>
        <w:tc>
          <w:tcPr>
            <w:tcW w:w="1319" w:type="dxa"/>
          </w:tcPr>
          <w:p>
            <w:pPr>
              <w:pStyle w:val="yTableNAm"/>
              <w:spacing w:before="100"/>
            </w:pPr>
            <w:r>
              <w:rPr>
                <w:szCs w:val="22"/>
              </w:rPr>
              <w:t>90(6)</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16</w:t>
            </w:r>
          </w:p>
        </w:tc>
        <w:tc>
          <w:tcPr>
            <w:tcW w:w="1319" w:type="dxa"/>
          </w:tcPr>
          <w:p>
            <w:pPr>
              <w:pStyle w:val="yTableNAm"/>
              <w:spacing w:before="100"/>
            </w:pPr>
            <w:r>
              <w:t>91(3)</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17</w:t>
            </w:r>
          </w:p>
        </w:tc>
        <w:tc>
          <w:tcPr>
            <w:tcW w:w="1319" w:type="dxa"/>
          </w:tcPr>
          <w:p>
            <w:pPr>
              <w:pStyle w:val="yTableNAm"/>
              <w:spacing w:before="100"/>
            </w:pPr>
            <w:r>
              <w:t>92(4)</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18</w:t>
            </w:r>
          </w:p>
        </w:tc>
        <w:tc>
          <w:tcPr>
            <w:tcW w:w="1319" w:type="dxa"/>
          </w:tcPr>
          <w:p>
            <w:pPr>
              <w:pStyle w:val="yTableNAm"/>
              <w:spacing w:before="100"/>
            </w:pPr>
            <w:r>
              <w:t>93</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19</w:t>
            </w:r>
          </w:p>
        </w:tc>
        <w:tc>
          <w:tcPr>
            <w:tcW w:w="1319" w:type="dxa"/>
          </w:tcPr>
          <w:p>
            <w:pPr>
              <w:pStyle w:val="yTableNAm"/>
              <w:spacing w:before="100"/>
            </w:pPr>
            <w:r>
              <w:t>95(2)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20</w:t>
            </w:r>
          </w:p>
        </w:tc>
        <w:tc>
          <w:tcPr>
            <w:tcW w:w="1319" w:type="dxa"/>
          </w:tcPr>
          <w:p>
            <w:pPr>
              <w:pStyle w:val="yTableNAm"/>
              <w:spacing w:before="100"/>
            </w:pPr>
            <w:r>
              <w:t>96(3)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keepNext/>
              <w:keepLines/>
              <w:spacing w:before="100"/>
            </w:pPr>
            <w:r>
              <w:t>21</w:t>
            </w:r>
          </w:p>
        </w:tc>
        <w:tc>
          <w:tcPr>
            <w:tcW w:w="1319" w:type="dxa"/>
          </w:tcPr>
          <w:p>
            <w:pPr>
              <w:pStyle w:val="yTableNAm"/>
              <w:keepNext/>
              <w:keepLines/>
              <w:spacing w:before="100"/>
            </w:pPr>
            <w:r>
              <w:t>112</w:t>
            </w:r>
          </w:p>
        </w:tc>
        <w:tc>
          <w:tcPr>
            <w:tcW w:w="2650" w:type="dxa"/>
          </w:tcPr>
          <w:p>
            <w:pPr>
              <w:pStyle w:val="yTableNAm"/>
              <w:keepNext/>
              <w:keepLines/>
              <w:spacing w:before="100"/>
            </w:pPr>
            <w:r>
              <w:rPr>
                <w:szCs w:val="22"/>
              </w:rPr>
              <w:t>$100 000</w:t>
            </w:r>
          </w:p>
        </w:tc>
        <w:tc>
          <w:tcPr>
            <w:tcW w:w="1701" w:type="dxa"/>
          </w:tcPr>
          <w:p>
            <w:pPr>
              <w:pStyle w:val="yTableNAm"/>
              <w:keepNext/>
              <w:keepLines/>
              <w:spacing w:before="100"/>
            </w:pPr>
            <w:r>
              <w:t>Nil</w:t>
            </w:r>
          </w:p>
        </w:tc>
      </w:tr>
      <w:tr>
        <w:tc>
          <w:tcPr>
            <w:tcW w:w="1418" w:type="dxa"/>
          </w:tcPr>
          <w:p>
            <w:pPr>
              <w:pStyle w:val="yTableNAm"/>
              <w:keepNext/>
              <w:keepLines/>
              <w:spacing w:before="100"/>
            </w:pPr>
            <w:r>
              <w:t>22</w:t>
            </w:r>
          </w:p>
        </w:tc>
        <w:tc>
          <w:tcPr>
            <w:tcW w:w="1319" w:type="dxa"/>
          </w:tcPr>
          <w:p>
            <w:pPr>
              <w:pStyle w:val="yTableNAm"/>
              <w:keepNext/>
              <w:keepLines/>
              <w:spacing w:before="100"/>
            </w:pPr>
            <w:r>
              <w:t>120</w:t>
            </w:r>
          </w:p>
        </w:tc>
        <w:tc>
          <w:tcPr>
            <w:tcW w:w="2650" w:type="dxa"/>
          </w:tcPr>
          <w:p>
            <w:pPr>
              <w:pStyle w:val="yTableNAm"/>
              <w:keepNext/>
              <w:keepLines/>
              <w:spacing w:before="100"/>
            </w:pPr>
            <w:r>
              <w:rPr>
                <w:szCs w:val="22"/>
              </w:rPr>
              <w:t>$100 000</w:t>
            </w:r>
          </w:p>
        </w:tc>
        <w:tc>
          <w:tcPr>
            <w:tcW w:w="1701" w:type="dxa"/>
          </w:tcPr>
          <w:p>
            <w:pPr>
              <w:pStyle w:val="yTableNAm"/>
              <w:keepNext/>
              <w:keepLines/>
              <w:spacing w:before="100"/>
            </w:pPr>
            <w:r>
              <w:t>Nil</w:t>
            </w:r>
          </w:p>
        </w:tc>
      </w:tr>
    </w:tbl>
    <w:p>
      <w:pPr>
        <w:pStyle w:val="yFootnotesection"/>
      </w:pPr>
      <w:r>
        <w:tab/>
        <w:t>[Division 3 inserted: No. 14 of 1998 s. 18; amended: No. 54 of 2003 s. 85(6); No. 40 of 2020 s. 106(1), (2) and (4)-(6).]</w:t>
      </w:r>
    </w:p>
    <w:p>
      <w:pPr>
        <w:pStyle w:val="yHeading3"/>
        <w:rPr>
          <w:sz w:val="28"/>
          <w:szCs w:val="28"/>
        </w:rPr>
      </w:pPr>
      <w:bookmarkStart w:id="455" w:name="_Toc158981003"/>
      <w:bookmarkStart w:id="456" w:name="_Toc158981402"/>
      <w:bookmarkStart w:id="457" w:name="_Toc158985672"/>
      <w:r>
        <w:rPr>
          <w:rStyle w:val="CharSDivNo"/>
          <w:sz w:val="28"/>
          <w:szCs w:val="28"/>
        </w:rPr>
        <w:lastRenderedPageBreak/>
        <w:t>Part 3</w:t>
      </w:r>
      <w:r>
        <w:rPr>
          <w:sz w:val="28"/>
          <w:szCs w:val="28"/>
        </w:rPr>
        <w:t> — </w:t>
      </w:r>
      <w:r>
        <w:rPr>
          <w:rStyle w:val="CharSDivText"/>
          <w:sz w:val="28"/>
          <w:szCs w:val="28"/>
        </w:rPr>
        <w:t>Tier 3 offences and penalties</w:t>
      </w:r>
      <w:bookmarkEnd w:id="455"/>
      <w:bookmarkEnd w:id="456"/>
      <w:bookmarkEnd w:id="457"/>
    </w:p>
    <w:p>
      <w:pPr>
        <w:pStyle w:val="yFootnotesection"/>
        <w:keepNext/>
        <w:spacing w:after="60"/>
      </w:pPr>
      <w:r>
        <w:tab/>
        <w:t>[Heading inserted: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tc>
      </w:tr>
      <w:tr>
        <w:tc>
          <w:tcPr>
            <w:tcW w:w="1418" w:type="dxa"/>
          </w:tcPr>
          <w:p>
            <w:pPr>
              <w:pStyle w:val="yTableNAm"/>
            </w:pPr>
            <w:r>
              <w:t>1</w:t>
            </w:r>
          </w:p>
        </w:tc>
        <w:tc>
          <w:tcPr>
            <w:tcW w:w="1319" w:type="dxa"/>
          </w:tcPr>
          <w:p>
            <w:pPr>
              <w:pStyle w:val="yTableNAm"/>
            </w:pPr>
            <w:r>
              <w:t>77(1)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2</w:t>
            </w:r>
          </w:p>
        </w:tc>
        <w:tc>
          <w:tcPr>
            <w:tcW w:w="1319" w:type="dxa"/>
          </w:tcPr>
          <w:p>
            <w:pPr>
              <w:pStyle w:val="yTableNAm"/>
            </w:pPr>
            <w:r>
              <w:t>77(2)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3</w:t>
            </w:r>
          </w:p>
        </w:tc>
        <w:tc>
          <w:tcPr>
            <w:tcW w:w="1319" w:type="dxa"/>
          </w:tcPr>
          <w:p>
            <w:pPr>
              <w:pStyle w:val="yTableNAm"/>
            </w:pPr>
            <w:r>
              <w:t>77(3)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4</w:t>
            </w:r>
          </w:p>
        </w:tc>
        <w:tc>
          <w:tcPr>
            <w:tcW w:w="1319" w:type="dxa"/>
          </w:tcPr>
          <w:p>
            <w:pPr>
              <w:pStyle w:val="yTableNAm"/>
            </w:pPr>
            <w:r>
              <w:t>78(1)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5</w:t>
            </w:r>
          </w:p>
        </w:tc>
        <w:tc>
          <w:tcPr>
            <w:tcW w:w="1319" w:type="dxa"/>
          </w:tcPr>
          <w:p>
            <w:pPr>
              <w:pStyle w:val="yTableNAm"/>
            </w:pPr>
            <w:r>
              <w:t>78(3)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6</w:t>
            </w:r>
          </w:p>
        </w:tc>
        <w:tc>
          <w:tcPr>
            <w:tcW w:w="1319" w:type="dxa"/>
          </w:tcPr>
          <w:p>
            <w:pPr>
              <w:pStyle w:val="yTableNAm"/>
            </w:pPr>
            <w:r>
              <w:t>79(1)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7</w:t>
            </w:r>
          </w:p>
        </w:tc>
        <w:tc>
          <w:tcPr>
            <w:tcW w:w="1319" w:type="dxa"/>
          </w:tcPr>
          <w:p>
            <w:pPr>
              <w:pStyle w:val="yTableNAm"/>
            </w:pPr>
            <w:r>
              <w:t>80</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8</w:t>
            </w:r>
          </w:p>
        </w:tc>
        <w:tc>
          <w:tcPr>
            <w:tcW w:w="1319" w:type="dxa"/>
          </w:tcPr>
          <w:p>
            <w:pPr>
              <w:pStyle w:val="yTableNAm"/>
            </w:pPr>
            <w:r>
              <w:t>84(1)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9</w:t>
            </w:r>
          </w:p>
        </w:tc>
        <w:tc>
          <w:tcPr>
            <w:tcW w:w="1319" w:type="dxa"/>
          </w:tcPr>
          <w:p>
            <w:pPr>
              <w:pStyle w:val="yTableNAm"/>
            </w:pPr>
            <w:r>
              <w:t>85(1)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9A</w:t>
            </w:r>
          </w:p>
        </w:tc>
        <w:tc>
          <w:tcPr>
            <w:tcW w:w="1319" w:type="dxa"/>
          </w:tcPr>
          <w:p>
            <w:pPr>
              <w:pStyle w:val="yTableNAm"/>
            </w:pPr>
            <w:r>
              <w:t>90(6)</w:t>
            </w:r>
          </w:p>
        </w:tc>
        <w:tc>
          <w:tcPr>
            <w:tcW w:w="2650" w:type="dxa"/>
          </w:tcPr>
          <w:p>
            <w:pPr>
              <w:pStyle w:val="yTableNAm"/>
            </w:pPr>
            <w:r>
              <w:t>$5 000</w:t>
            </w:r>
          </w:p>
        </w:tc>
        <w:tc>
          <w:tcPr>
            <w:tcW w:w="1701" w:type="dxa"/>
          </w:tcPr>
          <w:p>
            <w:pPr>
              <w:pStyle w:val="yTableNAm"/>
            </w:pPr>
            <w:r>
              <w:t>$1 000</w:t>
            </w:r>
          </w:p>
        </w:tc>
      </w:tr>
      <w:tr>
        <w:tc>
          <w:tcPr>
            <w:tcW w:w="1418" w:type="dxa"/>
          </w:tcPr>
          <w:p>
            <w:pPr>
              <w:pStyle w:val="yTableNAm"/>
            </w:pPr>
            <w:r>
              <w:t>10A</w:t>
            </w:r>
          </w:p>
        </w:tc>
        <w:tc>
          <w:tcPr>
            <w:tcW w:w="1319" w:type="dxa"/>
          </w:tcPr>
          <w:p>
            <w:pPr>
              <w:pStyle w:val="yTableNAm"/>
            </w:pPr>
            <w:r>
              <w:t>91A(2)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w:t>
            </w:r>
          </w:p>
        </w:tc>
        <w:tc>
          <w:tcPr>
            <w:tcW w:w="1319" w:type="dxa"/>
          </w:tcPr>
          <w:p>
            <w:pPr>
              <w:pStyle w:val="yTableNAm"/>
            </w:pPr>
            <w:r>
              <w:t>97(2)</w:t>
            </w:r>
          </w:p>
        </w:tc>
        <w:tc>
          <w:tcPr>
            <w:tcW w:w="2650" w:type="dxa"/>
          </w:tcPr>
          <w:p>
            <w:pPr>
              <w:pStyle w:val="yTableNAm"/>
            </w:pPr>
            <w:r>
              <w:t>$5 000</w:t>
            </w:r>
          </w:p>
        </w:tc>
        <w:tc>
          <w:tcPr>
            <w:tcW w:w="1701" w:type="dxa"/>
          </w:tcPr>
          <w:p>
            <w:pPr>
              <w:pStyle w:val="yTableNAm"/>
            </w:pPr>
            <w:r>
              <w:t>$1 000</w:t>
            </w:r>
          </w:p>
        </w:tc>
      </w:tr>
      <w:tr>
        <w:tc>
          <w:tcPr>
            <w:tcW w:w="1418" w:type="dxa"/>
          </w:tcPr>
          <w:p>
            <w:pPr>
              <w:pStyle w:val="yTableNAm"/>
            </w:pPr>
            <w:r>
              <w:t>11</w:t>
            </w:r>
          </w:p>
        </w:tc>
        <w:tc>
          <w:tcPr>
            <w:tcW w:w="1319" w:type="dxa"/>
          </w:tcPr>
          <w:p>
            <w:pPr>
              <w:pStyle w:val="yTableNAm"/>
            </w:pPr>
            <w:r>
              <w:t>110H(6)</w:t>
            </w:r>
          </w:p>
        </w:tc>
        <w:tc>
          <w:tcPr>
            <w:tcW w:w="2650" w:type="dxa"/>
          </w:tcPr>
          <w:p>
            <w:pPr>
              <w:pStyle w:val="yTableNAm"/>
            </w:pPr>
            <w:r>
              <w:t>$5 000</w:t>
            </w:r>
          </w:p>
        </w:tc>
        <w:tc>
          <w:tcPr>
            <w:tcW w:w="1701" w:type="dxa"/>
          </w:tcPr>
          <w:p>
            <w:pPr>
              <w:pStyle w:val="yTableNAm"/>
            </w:pPr>
            <w:r>
              <w:t>Nil</w:t>
            </w:r>
          </w:p>
        </w:tc>
      </w:tr>
    </w:tbl>
    <w:p>
      <w:pPr>
        <w:pStyle w:val="yFootnotesection"/>
        <w:spacing w:before="160"/>
        <w:ind w:left="893" w:hanging="173"/>
      </w:pPr>
      <w:r>
        <w:tab/>
        <w:t>[Part 3 inserted: No. 14 of 1998 s. 18; amended: No. 48 of 2010 s. 11(3); No. 40 of 2020 s. 107.]</w:t>
      </w:r>
    </w:p>
    <w:p>
      <w:pPr>
        <w:pStyle w:val="yScheduleHeading"/>
      </w:pPr>
      <w:bookmarkStart w:id="458" w:name="_Toc158981004"/>
      <w:bookmarkStart w:id="459" w:name="_Toc158981403"/>
      <w:bookmarkStart w:id="460" w:name="_Toc158985673"/>
      <w:r>
        <w:rPr>
          <w:rStyle w:val="CharSchNo"/>
        </w:rPr>
        <w:lastRenderedPageBreak/>
        <w:t>Schedule 2</w:t>
      </w:r>
      <w:r>
        <w:t> — </w:t>
      </w:r>
      <w:r>
        <w:rPr>
          <w:rStyle w:val="CharSchText"/>
        </w:rPr>
        <w:t>Matters in respect of which regulations may be made</w:t>
      </w:r>
      <w:bookmarkEnd w:id="458"/>
      <w:bookmarkEnd w:id="459"/>
      <w:bookmarkEnd w:id="460"/>
    </w:p>
    <w:p>
      <w:pPr>
        <w:pStyle w:val="yShoulderClause"/>
        <w:rPr>
          <w:snapToGrid w:val="0"/>
        </w:rPr>
      </w:pPr>
      <w:r>
        <w:rPr>
          <w:snapToGrid w:val="0"/>
        </w:rPr>
        <w:t>[s.</w:t>
      </w:r>
      <w:r>
        <w:rPr>
          <w:rStyle w:val="CharSDivText"/>
          <w:sz w:val="22"/>
        </w:rPr>
        <w:t> </w:t>
      </w:r>
      <w:r>
        <w:rPr>
          <w:snapToGrid w:val="0"/>
        </w:rPr>
        <w:t>123(2)]</w:t>
      </w:r>
    </w:p>
    <w:p>
      <w:pPr>
        <w:pStyle w:val="yFootnoteheading"/>
        <w:rPr>
          <w:snapToGrid w:val="0"/>
        </w:rPr>
      </w:pPr>
      <w:r>
        <w:tab/>
        <w:t>[Heading amended: No. 19 of 2010 s. 4.]</w:t>
      </w:r>
    </w:p>
    <w:p>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pPr>
        <w:pStyle w:val="yDefstart"/>
        <w:ind w:left="567"/>
      </w:pPr>
      <w:r>
        <w:tab/>
      </w:r>
      <w:r>
        <w:rPr>
          <w:rStyle w:val="CharDefText"/>
        </w:rPr>
        <w:t>fee</w:t>
      </w:r>
      <w:r>
        <w:t xml:space="preserve"> includes charge;</w:t>
      </w:r>
    </w:p>
    <w:p>
      <w:pPr>
        <w:pStyle w:val="yMiscellaneousBody"/>
        <w:tabs>
          <w:tab w:val="left" w:pos="567"/>
        </w:tabs>
        <w:spacing w:before="120"/>
        <w:ind w:left="567" w:hanging="567"/>
      </w:pPr>
      <w:r>
        <w:rPr>
          <w:b/>
        </w:rPr>
        <w:tab/>
      </w:r>
      <w:r>
        <w:rPr>
          <w:rStyle w:val="CharDefText"/>
        </w:rPr>
        <w:t>specified</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pPr>
        <w:pStyle w:val="yMiscellaneousBody"/>
        <w:tabs>
          <w:tab w:val="left" w:pos="851"/>
          <w:tab w:val="left" w:pos="1418"/>
        </w:tabs>
        <w:ind w:left="1418" w:hanging="1418"/>
        <w:rPr>
          <w:snapToGrid w:val="0"/>
        </w:rPr>
      </w:pPr>
      <w:r>
        <w:rPr>
          <w:snapToGrid w:val="0"/>
        </w:rPr>
        <w:tab/>
        <w:t>(a)</w:t>
      </w:r>
      <w:r>
        <w:rPr>
          <w:snapToGrid w:val="0"/>
        </w:rPr>
        <w:tab/>
      </w:r>
      <w:r>
        <w:t xml:space="preserve">subject to this Act, </w:t>
      </w:r>
      <w:r>
        <w:rPr>
          <w:snapToGrid w:val="0"/>
        </w:rPr>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keepNext/>
        <w:tabs>
          <w:tab w:val="left" w:pos="851"/>
        </w:tabs>
        <w:ind w:left="1418" w:hanging="851"/>
      </w:pPr>
      <w:r>
        <w:tab/>
        <w:t>(ca)</w:t>
      </w:r>
      <w:r>
        <w:tab/>
        <w:t>when a fee submitted in respect of an application made under this Act is taken to have been received for the purposes of this Act;</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keepNext/>
        <w:tabs>
          <w:tab w:val="left" w:pos="851"/>
        </w:tabs>
        <w:ind w:left="1418" w:hanging="851"/>
      </w:pPr>
      <w:r>
        <w:tab/>
        <w:t>(e)</w:t>
      </w:r>
      <w:r>
        <w:tab/>
        <w:t>penalties for, and other consequences of, failure to pay fees, late payment of fees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lastRenderedPageBreak/>
        <w:tab/>
        <w:t>(b)</w:t>
      </w:r>
      <w:r>
        <w:rPr>
          <w:snapToGrid w:val="0"/>
        </w:rPr>
        <w:tab/>
        <w:t xml:space="preserve">providing for the authorisation to cease to have effect if a fee is not paid in accordance with the </w:t>
      </w:r>
      <w:r>
        <w:t>regulations;</w:t>
      </w:r>
    </w:p>
    <w:p>
      <w:pPr>
        <w:pStyle w:val="yMiscellaneousBody"/>
        <w:tabs>
          <w:tab w:val="left" w:pos="851"/>
          <w:tab w:val="left" w:pos="1418"/>
        </w:tabs>
        <w:ind w:left="1418" w:hanging="1418"/>
      </w:pPr>
      <w:r>
        <w:tab/>
        <w:t>(c)</w:t>
      </w:r>
      <w:r>
        <w:tab/>
      </w:r>
      <w:r>
        <w:rPr>
          <w:snapToGrid w:val="0"/>
        </w:rPr>
        <w:t>prescribing</w:t>
      </w:r>
      <w:r>
        <w:t xml:space="preserve"> fees that are payable before or when the authorisation is amended, transferred or surrendered.</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lastRenderedPageBreak/>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w:t>
      </w:r>
      <w:r>
        <w:t>premises or a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lastRenderedPageBreak/>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xml:space="preserve">, exempting any persons, premises or equipment or class of persons, premises or equipment or any category, type, volume </w:t>
      </w:r>
      <w:r>
        <w:rPr>
          <w:snapToGrid w:val="0"/>
        </w:rPr>
        <w:lastRenderedPageBreak/>
        <w:t>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4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lastRenderedPageBreak/>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ind w:left="567" w:hanging="567"/>
      </w:pPr>
      <w:r>
        <w:t>35B.</w:t>
      </w:r>
      <w:r>
        <w:tab/>
        <w:t xml:space="preserve">Providing for notices, orders or other documents to be given, sent or served under this Act by electronic communication (as defined in the </w:t>
      </w:r>
      <w:r>
        <w:rPr>
          <w:i/>
        </w:rPr>
        <w:t>Electronic Transactions Act 2011</w:t>
      </w:r>
      <w:r>
        <w:t xml:space="preserve"> section 5(1)) and providing for the proof of that giving, sending or service.</w:t>
      </w:r>
    </w:p>
    <w:p>
      <w:pPr>
        <w:pStyle w:val="yMiscellaneousBody"/>
        <w:tabs>
          <w:tab w:val="left" w:pos="567"/>
        </w:tabs>
        <w:spacing w:before="120"/>
        <w:ind w:left="567" w:hanging="567"/>
        <w:rPr>
          <w:snapToGrid w:val="0"/>
        </w:rPr>
      </w:pPr>
      <w:r>
        <w:rPr>
          <w:snapToGrid w:val="0"/>
        </w:rPr>
        <w:t>36.</w:t>
      </w:r>
      <w:r>
        <w:rPr>
          <w:snapToGrid w:val="0"/>
        </w:rPr>
        <w:tab/>
      </w:r>
      <w:r>
        <w:t>Without limiting section 122B, the</w:t>
      </w:r>
      <w:r>
        <w:rPr>
          <w:snapToGrid w:val="0"/>
        </w:rPr>
        <w:t xml:space="preserv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keepNext/>
        <w:tabs>
          <w:tab w:val="left" w:pos="567"/>
        </w:tabs>
        <w:ind w:left="567" w:hanging="567"/>
      </w:pPr>
      <w:r>
        <w:t>36B.</w:t>
      </w:r>
      <w:r>
        <w:tab/>
        <w:t>Establishing or recognising a scheme or system for the accreditation of persons as environmental practitioners for purposes related to this Act.</w:t>
      </w:r>
    </w:p>
    <w:p>
      <w:pPr>
        <w:pStyle w:val="yMiscellaneousBody"/>
        <w:keepNext/>
        <w:tabs>
          <w:tab w:val="left" w:pos="567"/>
        </w:tabs>
        <w:ind w:left="567" w:hanging="567"/>
      </w:pPr>
      <w:r>
        <w:t>36C.</w:t>
      </w:r>
      <w:r>
        <w:tab/>
        <w:t>Specifying timelines for steps in processes contained in Part V.</w:t>
      </w:r>
    </w:p>
    <w:p>
      <w:pPr>
        <w:pStyle w:val="yMiscellaneousBody"/>
        <w:tabs>
          <w:tab w:val="left" w:pos="567"/>
        </w:tabs>
        <w:spacing w:before="120"/>
        <w:ind w:left="567" w:hanging="567"/>
        <w:rPr>
          <w:snapToGrid w:val="0"/>
        </w:rPr>
      </w:pPr>
      <w:r>
        <w:rPr>
          <w:snapToGrid w:val="0"/>
        </w:rPr>
        <w:t>37.</w:t>
      </w:r>
      <w:r>
        <w:rPr>
          <w:snapToGrid w:val="0"/>
        </w:rPr>
        <w:tab/>
        <w:t xml:space="preserve">Creating offences under the regulations and penalties for the commission thereof not exceeding </w:t>
      </w:r>
      <w:r>
        <w:t>$20 000.</w:t>
      </w:r>
    </w:p>
    <w:p>
      <w:pPr>
        <w:pStyle w:val="yFootnotesection"/>
        <w:tabs>
          <w:tab w:val="clear" w:pos="893"/>
          <w:tab w:val="left" w:pos="567"/>
        </w:tabs>
        <w:spacing w:before="60"/>
        <w:ind w:left="567" w:hanging="567"/>
      </w:pPr>
      <w:r>
        <w:tab/>
        <w:t>[Schedule 2 amended: No. 14 of 1998 s. 19, 21 and 36; No. 54 of 2003 s. 26, 67, 86, 89, 96 and 138; No. 36 of 2007 s. 100; No. 40 of 2020 s. 108(1)-(6) and (8)-(11).]</w:t>
      </w:r>
    </w:p>
    <w:p>
      <w:pPr>
        <w:pStyle w:val="yScheduleHeading"/>
      </w:pPr>
      <w:bookmarkStart w:id="461" w:name="_Toc158981005"/>
      <w:bookmarkStart w:id="462" w:name="_Toc158981404"/>
      <w:bookmarkStart w:id="463" w:name="_Toc158985674"/>
      <w:r>
        <w:rPr>
          <w:rStyle w:val="CharSchNo"/>
        </w:rPr>
        <w:lastRenderedPageBreak/>
        <w:t>Schedule 3</w:t>
      </w:r>
      <w:r>
        <w:t> — </w:t>
      </w:r>
      <w:r>
        <w:rPr>
          <w:rStyle w:val="CharSchText"/>
        </w:rPr>
        <w:t xml:space="preserve">Transitional provisions related to </w:t>
      </w:r>
      <w:r>
        <w:rPr>
          <w:rStyle w:val="CharSchText"/>
          <w:i/>
        </w:rPr>
        <w:t>Environmental Protection Act 1971</w:t>
      </w:r>
      <w:bookmarkEnd w:id="461"/>
      <w:bookmarkEnd w:id="462"/>
      <w:bookmarkEnd w:id="463"/>
    </w:p>
    <w:p>
      <w:pPr>
        <w:pStyle w:val="yShoulderClause"/>
        <w:rPr>
          <w:snapToGrid w:val="0"/>
        </w:rPr>
      </w:pPr>
      <w:r>
        <w:rPr>
          <w:snapToGrid w:val="0"/>
        </w:rPr>
        <w:t>[s. 126]</w:t>
      </w:r>
    </w:p>
    <w:p>
      <w:pPr>
        <w:pStyle w:val="yFootnoteheading"/>
        <w:rPr>
          <w:snapToGrid w:val="0"/>
        </w:rPr>
      </w:pPr>
      <w:r>
        <w:tab/>
        <w:t>[Heading amended: No. 19 of 2010 s. 4.]</w:t>
      </w:r>
    </w:p>
    <w:p>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MiscellaneousBody"/>
        <w:tabs>
          <w:tab w:val="left" w:pos="567"/>
        </w:tabs>
        <w:spacing w:before="120"/>
        <w:ind w:left="567" w:hanging="567"/>
        <w:rPr>
          <w:snapToGrid w:val="0"/>
        </w:rPr>
      </w:pPr>
      <w:r>
        <w:rPr>
          <w:snapToGrid w:val="0"/>
        </w:rPr>
        <w:lastRenderedPageBreak/>
        <w:t>9.</w:t>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pPr>
        <w:pStyle w:val="yMiscellaneousBody"/>
        <w:tabs>
          <w:tab w:val="left" w:pos="840"/>
        </w:tabs>
        <w:spacing w:before="80"/>
        <w:ind w:left="1440" w:hanging="1440"/>
        <w:rPr>
          <w:snapToGrid w:val="0"/>
        </w:rPr>
      </w:pPr>
      <w:r>
        <w:rPr>
          <w:snapToGrid w:val="0"/>
        </w:rPr>
        <w:tab/>
        <w:t>(a)</w:t>
      </w:r>
      <w:r>
        <w:rPr>
          <w:snapToGrid w:val="0"/>
        </w:rPr>
        <w:tab/>
        <w:t>unless inconsistent with any standards prescribed for the purposes of this Act; or</w:t>
      </w:r>
    </w:p>
    <w:p>
      <w:pPr>
        <w:pStyle w:val="yMiscellaneousBody"/>
        <w:tabs>
          <w:tab w:val="left" w:pos="840"/>
        </w:tabs>
        <w:spacing w:before="80"/>
        <w:ind w:left="1440" w:hanging="1440"/>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MiscellaneousBody"/>
        <w:tabs>
          <w:tab w:val="left" w:pos="567"/>
        </w:tabs>
        <w:spacing w:before="120"/>
        <w:ind w:left="567" w:hanging="567"/>
        <w:rPr>
          <w:snapToGrid w:val="0"/>
        </w:rPr>
      </w:pPr>
      <w:r>
        <w:rPr>
          <w:snapToGrid w:val="0"/>
        </w:rPr>
        <w:t>17.</w:t>
      </w:r>
      <w:r>
        <w:rPr>
          <w:snapToGrid w:val="0"/>
        </w:rPr>
        <w:tab/>
        <w:t xml:space="preserve">A matter referred to the Minister for Conservation and Environment under section 55(1) of the repealed Act and not reported on to him by the Authority before the coming into operation of this clause shall be deemed </w:t>
      </w:r>
      <w:r>
        <w:rPr>
          <w:snapToGrid w:val="0"/>
        </w:rPr>
        <w:lastRenderedPageBreak/>
        <w:t>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Subsection"/>
        <w:spacing w:before="120"/>
        <w:rPr>
          <w:snapToGrid w:val="0"/>
        </w:rPr>
      </w:pPr>
      <w:r>
        <w:t>20</w:t>
      </w:r>
      <w:r>
        <w:rPr>
          <w:snapToGrid w:val="0"/>
        </w:rPr>
        <w:t>.</w:t>
      </w:r>
      <w:r>
        <w:rPr>
          <w:snapToGrid w:val="0"/>
        </w:rPr>
        <w:tab/>
      </w:r>
      <w:r>
        <w:t>(1)</w:t>
      </w:r>
      <w:r>
        <w:tab/>
        <w:t>Subject to subitem (2), in any</w:t>
      </w:r>
      <w:r>
        <w:rPr>
          <w:snapToGrid w:val="0"/>
        </w:rPr>
        <w:t>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spacing w:before="80"/>
        <w:rPr>
          <w:snapToGrid w:val="0"/>
        </w:rPr>
      </w:pPr>
      <w:r>
        <w:rPr>
          <w:snapToGrid w:val="0"/>
        </w:rPr>
        <w:tab/>
      </w:r>
      <w:r>
        <w:rPr>
          <w:snapToGrid w:val="0"/>
        </w:rPr>
        <w:tab/>
      </w:r>
      <w:r>
        <w:t>unless</w:t>
      </w:r>
      <w:r>
        <w:rPr>
          <w:snapToGrid w:val="0"/>
        </w:rPr>
        <w:t xml:space="preserve"> the context is such that it would be incorrect or inappropriate, a reference to —</w:t>
      </w:r>
    </w:p>
    <w:p>
      <w:pPr>
        <w:pStyle w:val="yIndenta"/>
        <w:rPr>
          <w:snapToGrid w:val="0"/>
        </w:rPr>
      </w:pPr>
      <w:r>
        <w:rPr>
          <w:snapToGrid w:val="0"/>
        </w:rPr>
        <w:tab/>
        <w:t>(d)</w:t>
      </w:r>
      <w:r>
        <w:rPr>
          <w:snapToGrid w:val="0"/>
        </w:rPr>
        <w:tab/>
        <w:t>an Environmental Appeal Board shall be construed as a reference to an appeals committee; or</w:t>
      </w:r>
    </w:p>
    <w:p>
      <w:pPr>
        <w:pStyle w:val="yIndenta"/>
        <w:rPr>
          <w:snapToGrid w:val="0"/>
        </w:rPr>
      </w:pPr>
      <w:r>
        <w:rPr>
          <w:snapToGrid w:val="0"/>
        </w:rPr>
        <w:tab/>
        <w:t>(e)</w:t>
      </w:r>
      <w:r>
        <w:rPr>
          <w:snapToGrid w:val="0"/>
        </w:rPr>
        <w:tab/>
        <w:t>the Conservation and Environment Council shall be construed as a reference to the Authority; or</w:t>
      </w:r>
    </w:p>
    <w:p>
      <w:pPr>
        <w:pStyle w:val="yIndenta"/>
        <w:rPr>
          <w:snapToGrid w:val="0"/>
        </w:rPr>
      </w:pPr>
      <w:r>
        <w:rPr>
          <w:snapToGrid w:val="0"/>
        </w:rPr>
        <w:tab/>
        <w:t>(f)</w:t>
      </w:r>
      <w:r>
        <w:rPr>
          <w:snapToGrid w:val="0"/>
        </w:rPr>
        <w:tab/>
        <w:t>the Department shall be construed as a reference to the Authority; or</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keepNext/>
        <w:spacing w:before="120"/>
      </w:pPr>
      <w:r>
        <w:tab/>
        <w:t>(2)</w:t>
      </w:r>
      <w:r>
        <w:tab/>
        <w:t xml:space="preserve">The Minister, by notice published in the </w:t>
      </w:r>
      <w:r>
        <w:rPr>
          <w:i/>
        </w:rPr>
        <w:t>Gazette</w:t>
      </w:r>
      <w:r>
        <w:t xml:space="preserve">,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w:t>
      </w:r>
      <w:r>
        <w:lastRenderedPageBreak/>
        <w:t>this Act is administered, and the determination shall have effect accordingly.</w:t>
      </w:r>
    </w:p>
    <w:p>
      <w:pPr>
        <w:pStyle w:val="yFootnotesection"/>
        <w:spacing w:before="60"/>
      </w:pPr>
      <w:r>
        <w:tab/>
        <w:t>[Schedule 3 amended: No. 54 of 2003 s. 139 and 140(2).]</w:t>
      </w:r>
    </w:p>
    <w:p>
      <w:pPr>
        <w:pStyle w:val="yScheduleHeading"/>
      </w:pPr>
      <w:bookmarkStart w:id="464" w:name="_Toc158981006"/>
      <w:bookmarkStart w:id="465" w:name="_Toc158981405"/>
      <w:bookmarkStart w:id="466" w:name="_Toc158985675"/>
      <w:r>
        <w:rPr>
          <w:rStyle w:val="CharSchNo"/>
        </w:rPr>
        <w:lastRenderedPageBreak/>
        <w:t>Schedule 4</w:t>
      </w:r>
      <w:r>
        <w:t> — </w:t>
      </w:r>
      <w:r>
        <w:rPr>
          <w:rStyle w:val="CharSchText"/>
        </w:rPr>
        <w:t xml:space="preserve">Transitional provisions not related to </w:t>
      </w:r>
      <w:r>
        <w:rPr>
          <w:rStyle w:val="CharSchText"/>
          <w:i/>
        </w:rPr>
        <w:t>Environmental Protection Act 1971</w:t>
      </w:r>
      <w:bookmarkEnd w:id="464"/>
      <w:bookmarkEnd w:id="465"/>
      <w:bookmarkEnd w:id="466"/>
    </w:p>
    <w:p>
      <w:pPr>
        <w:pStyle w:val="yShoulderClause"/>
        <w:rPr>
          <w:snapToGrid w:val="0"/>
        </w:rPr>
      </w:pPr>
      <w:r>
        <w:rPr>
          <w:snapToGrid w:val="0"/>
        </w:rPr>
        <w:t>[s. 127]</w:t>
      </w:r>
    </w:p>
    <w:p>
      <w:pPr>
        <w:pStyle w:val="yFootnoteheading"/>
        <w:spacing w:before="0"/>
        <w:rPr>
          <w:snapToGrid w:val="0"/>
        </w:rPr>
      </w:pPr>
      <w:r>
        <w:tab/>
        <w:t>[Heading amended: No. 19 of 2010 s. 4.]</w:t>
      </w:r>
    </w:p>
    <w:p>
      <w:pPr>
        <w:pStyle w:val="yMiscellaneousBody"/>
        <w:tabs>
          <w:tab w:val="left" w:pos="567"/>
        </w:tabs>
        <w:spacing w:before="10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pPr>
        <w:pStyle w:val="yIndenta"/>
        <w:spacing w:before="60"/>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spacing w:before="60"/>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MiscellaneousBody"/>
        <w:tabs>
          <w:tab w:val="left" w:pos="567"/>
        </w:tabs>
        <w:spacing w:before="9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vertAlign w:val="superscript"/>
        </w:rPr>
        <w:t xml:space="preserve"> 2</w:t>
      </w:r>
      <w:r>
        <w:rPr>
          <w:snapToGrid w:val="0"/>
        </w:rPr>
        <w:t xml:space="preserve"> is abolished.</w:t>
      </w:r>
    </w:p>
    <w:p>
      <w:pPr>
        <w:pStyle w:val="yMiscellaneousBody"/>
        <w:tabs>
          <w:tab w:val="left" w:pos="567"/>
        </w:tabs>
        <w:spacing w:before="9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vertAlign w:val="superscript"/>
        </w:rPr>
        <w:t xml:space="preserve"> 2</w:t>
      </w:r>
      <w:r>
        <w:rPr>
          <w:snapToGrid w:val="0"/>
        </w:rPr>
        <w:t xml:space="preserve"> shall be deemed on that coming into operation to be a person whose services are made use of under section 24(a).</w:t>
      </w:r>
    </w:p>
    <w:p>
      <w:pPr>
        <w:pStyle w:val="yMiscellaneousBody"/>
        <w:tabs>
          <w:tab w:val="left" w:pos="567"/>
        </w:tabs>
        <w:spacing w:before="90"/>
        <w:ind w:left="567" w:hanging="567"/>
        <w:rPr>
          <w:snapToGrid w:val="0"/>
        </w:rPr>
      </w:pPr>
      <w:r>
        <w:rPr>
          <w:snapToGrid w:val="0"/>
        </w:rPr>
        <w:t>4.</w:t>
      </w:r>
      <w:r>
        <w:rPr>
          <w:snapToGrid w:val="0"/>
        </w:rPr>
        <w:tab/>
        <w:t xml:space="preserve">An inspector appointed under section 22(3) of the </w:t>
      </w:r>
      <w:r>
        <w:rPr>
          <w:i/>
          <w:snapToGrid w:val="0"/>
        </w:rPr>
        <w:t>Clean Air Act 1964</w:t>
      </w:r>
      <w:r>
        <w:rPr>
          <w:snapToGrid w:val="0"/>
          <w:vertAlign w:val="superscript"/>
        </w:rPr>
        <w:t> 2</w:t>
      </w:r>
      <w:r>
        <w:rPr>
          <w:snapToGrid w:val="0"/>
        </w:rPr>
        <w:t xml:space="preserve"> and holding office as such immediately before the coming into operation of this clause shall on that coming into operation be deemed to have been appointed to be an inspector under section 88.</w:t>
      </w:r>
    </w:p>
    <w:p>
      <w:pPr>
        <w:pStyle w:val="yMiscellaneousBody"/>
        <w:tabs>
          <w:tab w:val="left" w:pos="567"/>
        </w:tabs>
        <w:spacing w:before="9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vertAlign w:val="superscript"/>
        </w:rPr>
        <w:t> 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MiscellaneousBody"/>
        <w:keepNext/>
        <w:tabs>
          <w:tab w:val="left" w:pos="567"/>
        </w:tabs>
        <w:spacing w:before="9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vertAlign w:val="superscript"/>
        </w:rPr>
        <w:t> 2</w:t>
      </w:r>
      <w:r>
        <w:rPr>
          <w:snapToGrid w:val="0"/>
        </w:rPr>
        <w:t xml:space="preserve"> shall on that </w:t>
      </w:r>
      <w:r>
        <w:rPr>
          <w:snapToGrid w:val="0"/>
        </w:rPr>
        <w:lastRenderedPageBreak/>
        <w:t>coming into operation be deemed to be the holder of a licence under Part V —</w:t>
      </w:r>
    </w:p>
    <w:p>
      <w:pPr>
        <w:pStyle w:val="yIndenta"/>
        <w:spacing w:before="60"/>
        <w:rPr>
          <w:snapToGrid w:val="0"/>
        </w:rPr>
      </w:pPr>
      <w:r>
        <w:rPr>
          <w:snapToGrid w:val="0"/>
        </w:rPr>
        <w:tab/>
        <w:t>(a)</w:t>
      </w:r>
      <w:r>
        <w:rPr>
          <w:snapToGrid w:val="0"/>
        </w:rPr>
        <w:tab/>
        <w:t>of the same kind as the first</w:t>
      </w:r>
      <w:r>
        <w:rPr>
          <w:snapToGrid w:val="0"/>
        </w:rPr>
        <w:noBreakHyphen/>
        <w:t>mentioned licence; and</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vertAlign w:val="superscript"/>
        </w:rPr>
        <w:t> 2</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MiscellaneousBody"/>
        <w:tabs>
          <w:tab w:val="left" w:pos="567"/>
        </w:tabs>
        <w:spacing w:before="10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pPr>
        <w:pStyle w:val="yMiscellaneousBody"/>
        <w:tabs>
          <w:tab w:val="left" w:pos="567"/>
        </w:tabs>
        <w:spacing w:before="10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vertAlign w:val="superscript"/>
        </w:rPr>
        <w:t> 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MiscellaneousBody"/>
        <w:tabs>
          <w:tab w:val="left" w:pos="567"/>
        </w:tabs>
        <w:spacing w:before="100"/>
        <w:ind w:left="567" w:hanging="567"/>
        <w:rPr>
          <w:snapToGrid w:val="0"/>
        </w:rPr>
      </w:pPr>
      <w:r>
        <w:rPr>
          <w:snapToGrid w:val="0"/>
        </w:rPr>
        <w:t>9.</w:t>
      </w:r>
      <w:r>
        <w:rPr>
          <w:snapToGrid w:val="0"/>
        </w:rPr>
        <w:tab/>
        <w:t>A direction given under section 27A(4)</w:t>
      </w:r>
      <w:r>
        <w:rPr>
          <w:snapToGrid w:val="0"/>
          <w:vertAlign w:val="superscript"/>
        </w:rPr>
        <w:t> 5</w:t>
      </w:r>
      <w:r>
        <w:rPr>
          <w:snapToGrid w:val="0"/>
        </w:rPr>
        <w:t xml:space="preserve">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MiscellaneousBody"/>
        <w:tabs>
          <w:tab w:val="left" w:pos="567"/>
        </w:tabs>
        <w:spacing w:before="100"/>
        <w:ind w:left="567" w:hanging="567"/>
        <w:rPr>
          <w:snapToGrid w:val="0"/>
        </w:rPr>
      </w:pPr>
      <w:r>
        <w:rPr>
          <w:snapToGrid w:val="0"/>
        </w:rPr>
        <w:t>10.</w:t>
      </w:r>
      <w:r>
        <w:rPr>
          <w:snapToGrid w:val="0"/>
        </w:rPr>
        <w:tab/>
        <w:t>A notice in writing given under section 27AA(1)</w:t>
      </w:r>
      <w:r>
        <w:rPr>
          <w:snapToGrid w:val="0"/>
          <w:vertAlign w:val="superscript"/>
        </w:rPr>
        <w:t> 5</w:t>
      </w:r>
      <w:r>
        <w:rPr>
          <w:snapToGrid w:val="0"/>
        </w:rPr>
        <w:t xml:space="preserve">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MiscellaneousBody"/>
        <w:tabs>
          <w:tab w:val="left" w:pos="567"/>
        </w:tabs>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lastRenderedPageBreak/>
        <w:tab/>
        <w:t>(b)</w:t>
      </w:r>
      <w:r>
        <w:rPr>
          <w:snapToGrid w:val="0"/>
        </w:rPr>
        <w:tab/>
        <w:t>if that application is for a disposal licence in respect of the discharge of waste from premises, to be an application for a licence,</w:t>
      </w:r>
    </w:p>
    <w:p>
      <w:pPr>
        <w:pStyle w:val="yMiscellaneousBody"/>
        <w:tabs>
          <w:tab w:val="left" w:pos="567"/>
        </w:tabs>
        <w:ind w:left="567" w:hanging="567"/>
        <w:rPr>
          <w:snapToGrid w:val="0"/>
        </w:rPr>
      </w:pPr>
      <w:r>
        <w:rPr>
          <w:snapToGrid w:val="0"/>
        </w:rPr>
        <w:tab/>
        <w:t>and shall be dealt with accordingly under this Act.</w:t>
      </w:r>
    </w:p>
    <w:p>
      <w:pPr>
        <w:pStyle w:val="yMiscellaneousBody"/>
        <w:tabs>
          <w:tab w:val="left" w:pos="567"/>
        </w:tabs>
        <w:ind w:left="567" w:hanging="567"/>
        <w:rPr>
          <w:snapToGrid w:val="0"/>
        </w:rPr>
      </w:pPr>
      <w:r>
        <w:rPr>
          <w:snapToGrid w:val="0"/>
        </w:rPr>
        <w:t>12.</w:t>
      </w:r>
      <w:r>
        <w:rPr>
          <w:snapToGrid w:val="0"/>
        </w:rPr>
        <w:tab/>
        <w:t>If the occupier of any premises has, before the coming into operation of this clause, been granted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2</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MiscellaneousBody"/>
        <w:tabs>
          <w:tab w:val="left" w:pos="567"/>
        </w:tabs>
        <w:ind w:left="567" w:hanging="567"/>
        <w:rPr>
          <w:snapToGrid w:val="0"/>
        </w:rPr>
      </w:pPr>
      <w:r>
        <w:rPr>
          <w:snapToGrid w:val="0"/>
        </w:rPr>
        <w:t>13.</w:t>
      </w:r>
      <w:r>
        <w:rPr>
          <w:snapToGrid w:val="0"/>
        </w:rPr>
        <w:tab/>
        <w:t>The occupier of any premises in respect of the discharge of waste from which —</w:t>
      </w:r>
    </w:p>
    <w:p>
      <w:pPr>
        <w:pStyle w:val="yIndenta"/>
        <w:rPr>
          <w:snapToGrid w:val="0"/>
        </w:rPr>
      </w:pPr>
      <w:r>
        <w:rPr>
          <w:snapToGrid w:val="0"/>
        </w:rPr>
        <w:tab/>
        <w:t>(a)</w:t>
      </w:r>
      <w:r>
        <w:rPr>
          <w:snapToGrid w:val="0"/>
        </w:rPr>
        <w:tab/>
        <w:t>immediately before the coming into operation of this clause that occupier should have been, but was not, the holder of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vertAlign w:val="superscript"/>
        </w:rPr>
        <w:t> 2</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MiscellaneousBody"/>
        <w:tabs>
          <w:tab w:val="left" w:pos="567"/>
        </w:tabs>
        <w:ind w:left="567" w:hanging="567"/>
        <w:rPr>
          <w:snapToGrid w:val="0"/>
        </w:rPr>
      </w:pPr>
      <w:r>
        <w:rPr>
          <w:snapToGrid w:val="0"/>
        </w:rPr>
        <w:tab/>
        <w:t>shall within the period of 3 months after the coming into operation of this clause apply for a licence under section 57 and does not commit —</w:t>
      </w:r>
    </w:p>
    <w:p>
      <w:pPr>
        <w:pStyle w:val="yIndenta"/>
        <w:rPr>
          <w:snapToGrid w:val="0"/>
        </w:rPr>
      </w:pPr>
      <w:r>
        <w:rPr>
          <w:snapToGrid w:val="0"/>
        </w:rPr>
        <w:tab/>
        <w:t>(c)</w:t>
      </w:r>
      <w:r>
        <w:rPr>
          <w:snapToGrid w:val="0"/>
        </w:rPr>
        <w:tab/>
        <w:t>within that period; and</w:t>
      </w:r>
    </w:p>
    <w:p>
      <w:pPr>
        <w:pStyle w:val="yIndenta"/>
        <w:keepNext/>
        <w:keepLines/>
        <w:rPr>
          <w:snapToGrid w:val="0"/>
        </w:rPr>
      </w:pPr>
      <w:r>
        <w:rPr>
          <w:snapToGrid w:val="0"/>
        </w:rPr>
        <w:lastRenderedPageBreak/>
        <w:tab/>
        <w:t>(d)</w:t>
      </w:r>
      <w:r>
        <w:rPr>
          <w:snapToGrid w:val="0"/>
        </w:rPr>
        <w:tab/>
        <w:t>if he makes such an application within the period referred to in paragraph (a), while that application is awaiting determination,</w:t>
      </w:r>
    </w:p>
    <w:p>
      <w:pPr>
        <w:pStyle w:val="yMiscellaneousBody"/>
        <w:tabs>
          <w:tab w:val="left" w:pos="567"/>
        </w:tabs>
        <w:ind w:left="567" w:hanging="567"/>
        <w:rPr>
          <w:snapToGrid w:val="0"/>
        </w:rPr>
      </w:pPr>
      <w:r>
        <w:rPr>
          <w:snapToGrid w:val="0"/>
        </w:rPr>
        <w:tab/>
        <w:t>any offence under section 61.</w:t>
      </w:r>
    </w:p>
    <w:p>
      <w:pPr>
        <w:pStyle w:val="yMiscellaneousBody"/>
        <w:keepNext/>
        <w:tabs>
          <w:tab w:val="left" w:pos="567"/>
        </w:tabs>
        <w:ind w:left="567" w:hanging="567"/>
        <w:rPr>
          <w:snapToGrid w:val="0"/>
        </w:rPr>
      </w:pPr>
      <w:r>
        <w:rPr>
          <w:snapToGrid w:val="0"/>
        </w:rPr>
        <w:t>14.</w:t>
      </w:r>
      <w:r>
        <w:rPr>
          <w:snapToGrid w:val="0"/>
        </w:rPr>
        <w:tab/>
        <w:t>If immediately before the coming into operation of this clause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vertAlign w:val="superscript"/>
        </w:rPr>
        <w:t> 2</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MiscellaneousBody"/>
        <w:tabs>
          <w:tab w:val="left" w:pos="567"/>
        </w:tabs>
        <w:ind w:left="567" w:hanging="567"/>
        <w:rPr>
          <w:snapToGrid w:val="0"/>
        </w:rPr>
      </w:pPr>
      <w:r>
        <w:rPr>
          <w:snapToGrid w:val="0"/>
        </w:rPr>
        <w:t>15.</w:t>
      </w:r>
      <w:r>
        <w:rPr>
          <w:snapToGrid w:val="0"/>
        </w:rPr>
        <w:tab/>
        <w:t>A declaration made under section 27G</w:t>
      </w:r>
      <w:r>
        <w:rPr>
          <w:snapToGrid w:val="0"/>
          <w:vertAlign w:val="superscript"/>
        </w:rPr>
        <w:t> 5</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MiscellaneousBody"/>
        <w:tabs>
          <w:tab w:val="left" w:pos="567"/>
        </w:tabs>
        <w:ind w:left="567" w:hanging="567"/>
        <w:rPr>
          <w:snapToGrid w:val="0"/>
        </w:rPr>
      </w:pPr>
      <w:r>
        <w:rPr>
          <w:snapToGrid w:val="0"/>
        </w:rPr>
        <w:t>16.</w:t>
      </w:r>
      <w:r>
        <w:rPr>
          <w:snapToGrid w:val="0"/>
        </w:rPr>
        <w:tab/>
        <w:t>Any regulations made under Part IIIA</w:t>
      </w:r>
      <w:r>
        <w:rPr>
          <w:snapToGrid w:val="0"/>
          <w:vertAlign w:val="superscript"/>
        </w:rPr>
        <w:t> 5</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MiscellaneousBody"/>
        <w:tabs>
          <w:tab w:val="left" w:pos="567"/>
        </w:tabs>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vertAlign w:val="superscript"/>
        </w:rPr>
        <w:t> 2</w:t>
      </w:r>
      <w:r>
        <w:rPr>
          <w:snapToGrid w:val="0"/>
        </w:rPr>
        <w:t xml:space="preserve"> and not complied with before the coming into operation of this clause shall be deemed on that coming into operation to be a requirement made under section 90 or 95, as the case requires.</w:t>
      </w:r>
    </w:p>
    <w:p>
      <w:pPr>
        <w:pStyle w:val="yMiscellaneousBody"/>
        <w:tabs>
          <w:tab w:val="left" w:pos="567"/>
        </w:tabs>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vertAlign w:val="superscript"/>
        </w:rPr>
        <w:t> 2</w:t>
      </w:r>
      <w:r>
        <w:rPr>
          <w:snapToGrid w:val="0"/>
        </w:rPr>
        <w:t xml:space="preserve"> and in force immediately before the coming into operation of this clause shall continue in force notwithstanding that coming into operation as if that Act had not been repealed.</w:t>
      </w:r>
    </w:p>
    <w:p>
      <w:pPr>
        <w:pStyle w:val="yMiscellaneousBody"/>
        <w:tabs>
          <w:tab w:val="left" w:pos="567"/>
        </w:tabs>
        <w:ind w:left="567" w:hanging="567"/>
        <w:rPr>
          <w:snapToGrid w:val="0"/>
        </w:rPr>
      </w:pPr>
      <w:r>
        <w:rPr>
          <w:snapToGrid w:val="0"/>
        </w:rPr>
        <w:lastRenderedPageBreak/>
        <w:t>19.</w:t>
      </w:r>
      <w:r>
        <w:rPr>
          <w:snapToGrid w:val="0"/>
        </w:rPr>
        <w:tab/>
        <w:t xml:space="preserve">An appeal pending under section 45 of the </w:t>
      </w:r>
      <w:r>
        <w:rPr>
          <w:i/>
          <w:snapToGrid w:val="0"/>
        </w:rPr>
        <w:t>Clean Air Act 1964</w:t>
      </w:r>
      <w:r>
        <w:rPr>
          <w:snapToGrid w:val="0"/>
          <w:vertAlign w:val="superscript"/>
        </w:rPr>
        <w:t> 2</w:t>
      </w:r>
      <w:r>
        <w:rPr>
          <w:snapToGrid w:val="0"/>
        </w:rPr>
        <w:t xml:space="preserve"> immediately before the coming into operation of this clause shall notwithstanding that coming into operation be dealt with and finally determined as if that Act had not been repealed.</w:t>
      </w:r>
    </w:p>
    <w:p>
      <w:pPr>
        <w:pStyle w:val="yMiscellaneousBody"/>
        <w:tabs>
          <w:tab w:val="left" w:pos="567"/>
        </w:tabs>
        <w:ind w:left="567" w:hanging="567"/>
        <w:rPr>
          <w:snapToGrid w:val="0"/>
        </w:rPr>
      </w:pPr>
      <w:r>
        <w:rPr>
          <w:snapToGrid w:val="0"/>
        </w:rPr>
        <w:t>20.</w:t>
      </w:r>
      <w:r>
        <w:rPr>
          <w:snapToGrid w:val="0"/>
        </w:rPr>
        <w:tab/>
        <w:t xml:space="preserve">Any regulations made under section 53 of the </w:t>
      </w:r>
      <w:r>
        <w:rPr>
          <w:i/>
          <w:snapToGrid w:val="0"/>
        </w:rPr>
        <w:t>Clean Air Act 1964</w:t>
      </w:r>
      <w:r>
        <w:rPr>
          <w:snapToGrid w:val="0"/>
          <w:vertAlign w:val="superscript"/>
        </w:rPr>
        <w:t> 2</w:t>
      </w:r>
      <w:r>
        <w:rPr>
          <w:snapToGrid w:val="0"/>
        </w:rPr>
        <w:t xml:space="preserve"> and in force immediately before the coming into operation of this clause shall be deemed on that coming into operation to be regulations made under section 123.</w:t>
      </w:r>
    </w:p>
    <w:p>
      <w:pPr>
        <w:pStyle w:val="yMiscellaneousBody"/>
        <w:tabs>
          <w:tab w:val="left" w:pos="567"/>
        </w:tabs>
        <w:ind w:left="567" w:hanging="567"/>
        <w:rPr>
          <w:snapToGrid w:val="0"/>
        </w:rPr>
      </w:pPr>
      <w:r>
        <w:rPr>
          <w:snapToGrid w:val="0"/>
        </w:rPr>
        <w:t>21.</w:t>
      </w:r>
      <w:r>
        <w:rPr>
          <w:snapToGrid w:val="0"/>
        </w:rPr>
        <w:tab/>
        <w:t xml:space="preserve">If, immediately before the coming into operation of this clause, an exemption granted under section 6 of the </w:t>
      </w:r>
      <w:r>
        <w:rPr>
          <w:i/>
          <w:snapToGrid w:val="0"/>
        </w:rPr>
        <w:t>Noise Abatement Act 1972</w:t>
      </w:r>
      <w:r>
        <w:rPr>
          <w:snapToGrid w:val="0"/>
          <w:vertAlign w:val="superscript"/>
        </w:rPr>
        <w:t> 6</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MiscellaneousBody"/>
        <w:tabs>
          <w:tab w:val="left" w:pos="567"/>
        </w:tabs>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MiscellaneousBody"/>
        <w:tabs>
          <w:tab w:val="left" w:pos="567"/>
        </w:tabs>
        <w:ind w:left="567" w:hanging="567"/>
        <w:rPr>
          <w:snapToGrid w:val="0"/>
        </w:rPr>
      </w:pPr>
      <w:r>
        <w:rPr>
          <w:snapToGrid w:val="0"/>
        </w:rPr>
        <w:t>23.</w:t>
      </w:r>
      <w:r>
        <w:rPr>
          <w:snapToGrid w:val="0"/>
        </w:rPr>
        <w:tab/>
        <w:t>Every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vertAlign w:val="superscript"/>
        </w:rPr>
        <w:t> 2</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vertAlign w:val="superscript"/>
        </w:rPr>
        <w:t> 6</w:t>
      </w:r>
      <w:r>
        <w:rPr>
          <w:snapToGrid w:val="0"/>
        </w:rPr>
        <w:t>,</w:t>
      </w:r>
    </w:p>
    <w:p>
      <w:pPr>
        <w:pStyle w:val="yMiscellaneousBody"/>
        <w:tabs>
          <w:tab w:val="left" w:pos="567"/>
        </w:tabs>
        <w:ind w:left="567" w:hanging="567"/>
        <w:rPr>
          <w:snapToGrid w:val="0"/>
        </w:rPr>
      </w:pPr>
      <w:r>
        <w:rPr>
          <w:snapToGrid w:val="0"/>
        </w:rPr>
        <w:tab/>
        <w:t xml:space="preserve">(in this clause called </w:t>
      </w:r>
      <w:r>
        <w:t xml:space="preserve">the </w:t>
      </w:r>
      <w:r>
        <w:rPr>
          <w:rStyle w:val="CharDefText"/>
        </w:rPr>
        <w:t>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vertAlign w:val="superscript"/>
        </w:rPr>
        <w:t> 6</w:t>
      </w:r>
      <w:r>
        <w:rPr>
          <w:snapToGrid w:val="0"/>
        </w:rPr>
        <w:t xml:space="preserve"> to a person performing functions unrelated to occupational health, safety </w:t>
      </w:r>
      <w:r>
        <w:rPr>
          <w:snapToGrid w:val="0"/>
        </w:rPr>
        <w:lastRenderedPageBreak/>
        <w:t>or welfare and in force immediately before the coming into operation of this clause shall on that coming into operation be deemed to be revoked.</w:t>
      </w:r>
    </w:p>
    <w:p>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vertAlign w:val="superscript"/>
        </w:rPr>
        <w:t> 6</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MiscellaneousBody"/>
        <w:tabs>
          <w:tab w:val="left" w:pos="567"/>
        </w:tabs>
        <w:spacing w:before="120"/>
        <w:ind w:left="567" w:hanging="567"/>
        <w:rPr>
          <w:snapToGrid w:val="0"/>
        </w:rPr>
      </w:pPr>
      <w:r>
        <w:rPr>
          <w:snapToGrid w:val="0"/>
        </w:rPr>
        <w:t>26.</w:t>
      </w:r>
      <w:r>
        <w:rPr>
          <w:snapToGrid w:val="0"/>
        </w:rPr>
        <w:tab/>
        <w:t xml:space="preserve">A person invited under section 20 of the </w:t>
      </w:r>
      <w:r>
        <w:rPr>
          <w:i/>
          <w:snapToGrid w:val="0"/>
        </w:rPr>
        <w:t>Noise Abatement Act 1972</w:t>
      </w:r>
      <w:r>
        <w:rPr>
          <w:snapToGrid w:val="0"/>
          <w:vertAlign w:val="superscript"/>
        </w:rPr>
        <w:t> 6</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vertAlign w:val="superscript"/>
        </w:rPr>
        <w:t> 6</w:t>
      </w:r>
      <w:r>
        <w:rPr>
          <w:snapToGrid w:val="0"/>
        </w:rPr>
        <w:t xml:space="preserve"> shall on that coming into operation be deemed to have been appointed an authorised person under section 87.</w:t>
      </w:r>
    </w:p>
    <w:p>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vertAlign w:val="superscript"/>
        </w:rPr>
        <w:t> 6</w:t>
      </w:r>
      <w:r>
        <w:rPr>
          <w:snapToGrid w:val="0"/>
        </w:rPr>
        <w:t xml:space="preserve"> shall on that coming into operation be deemed to have been appointed an inspector under section 88.</w:t>
      </w:r>
    </w:p>
    <w:p>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vertAlign w:val="superscript"/>
        </w:rPr>
        <w:t> 6</w:t>
      </w:r>
      <w:r>
        <w:rPr>
          <w:snapToGrid w:val="0"/>
        </w:rPr>
        <w:t xml:space="preserve"> and in force immediately before the coming into operation of this clause shall on that coming into operation cease to have effect.</w:t>
      </w:r>
    </w:p>
    <w:p>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6</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[Schedule 4 amended: No. 57 of 1997 s. 54(10); No. 54 of 2003 s. 140(2).]</w:t>
      </w:r>
    </w:p>
    <w:p>
      <w:pPr>
        <w:sectPr>
          <w:headerReference w:type="even" r:id="rId24"/>
          <w:headerReference w:type="default" r:id="rId25"/>
          <w:headerReference w:type="first" r:id="rId26"/>
          <w:pgSz w:w="11907" w:h="16840" w:code="9"/>
          <w:pgMar w:top="2381" w:right="2409" w:bottom="3543" w:left="2409" w:header="720" w:footer="3544" w:gutter="0"/>
          <w:cols w:space="720"/>
          <w:noEndnote/>
          <w:docGrid w:linePitch="326"/>
        </w:sectPr>
      </w:pPr>
    </w:p>
    <w:p>
      <w:pPr>
        <w:pStyle w:val="yScheduleHeading"/>
      </w:pPr>
      <w:bookmarkStart w:id="468" w:name="_Toc158981007"/>
      <w:bookmarkStart w:id="469" w:name="_Toc158981406"/>
      <w:bookmarkStart w:id="470" w:name="_Toc158985676"/>
      <w:r>
        <w:rPr>
          <w:rStyle w:val="CharSchNo"/>
        </w:rPr>
        <w:lastRenderedPageBreak/>
        <w:t>Schedule 5</w:t>
      </w:r>
      <w:r>
        <w:t xml:space="preserve"> — </w:t>
      </w:r>
      <w:r>
        <w:rPr>
          <w:rStyle w:val="CharSchText"/>
        </w:rPr>
        <w:t>Principles for clearing native vegetation</w:t>
      </w:r>
      <w:bookmarkEnd w:id="468"/>
      <w:bookmarkEnd w:id="469"/>
      <w:bookmarkEnd w:id="470"/>
    </w:p>
    <w:p>
      <w:pPr>
        <w:pStyle w:val="yShoulderClause"/>
      </w:pPr>
      <w:r>
        <w:t>[s. 51A]</w:t>
      </w:r>
    </w:p>
    <w:p>
      <w:pPr>
        <w:pStyle w:val="yFootnoteheading"/>
      </w:pPr>
      <w:r>
        <w:tab/>
        <w:t>[Heading inserted: No. 54 of 2003 s. 116.]</w:t>
      </w:r>
    </w:p>
    <w:p>
      <w:pPr>
        <w:pStyle w:val="yHeading5"/>
      </w:pPr>
      <w:bookmarkStart w:id="471" w:name="_Toc158985677"/>
      <w:r>
        <w:rPr>
          <w:rStyle w:val="CharSClsNo"/>
        </w:rPr>
        <w:t>1</w:t>
      </w:r>
      <w:r>
        <w:t>.</w:t>
      </w:r>
      <w:r>
        <w:tab/>
        <w:t>Principles</w:t>
      </w:r>
      <w:bookmarkEnd w:id="471"/>
    </w:p>
    <w:p>
      <w:pPr>
        <w:pStyle w:val="ySubsection"/>
      </w:pPr>
      <w:r>
        <w:tab/>
      </w:r>
      <w:r>
        <w:tab/>
        <w:t>Native vegetation should not be cleared if —</w:t>
      </w:r>
    </w:p>
    <w:p>
      <w:pPr>
        <w:pStyle w:val="yIndenta"/>
      </w:pPr>
      <w:r>
        <w:tab/>
        <w:t>(a)</w:t>
      </w:r>
      <w:r>
        <w:tab/>
        <w:t>it comprises a high level of biodiversity; or</w:t>
      </w:r>
    </w:p>
    <w:p>
      <w:pPr>
        <w:pStyle w:val="yIndenta"/>
      </w:pPr>
      <w:r>
        <w:tab/>
        <w:t>(b)</w:t>
      </w:r>
      <w:r>
        <w:tab/>
        <w:t xml:space="preserve">it comprises the whole or a part of, or is necessary for the maintenance of, a significant habitat for </w:t>
      </w:r>
      <w:r>
        <w:rPr>
          <w:szCs w:val="22"/>
        </w:rPr>
        <w:t>fauna; or</w:t>
      </w:r>
    </w:p>
    <w:p>
      <w:pPr>
        <w:pStyle w:val="yIndenta"/>
      </w:pPr>
      <w:r>
        <w:tab/>
        <w:t>(c)</w:t>
      </w:r>
      <w:r>
        <w:tab/>
        <w:t>it includes, or is necessary for the continued existence of, threatened flora; or</w:t>
      </w:r>
    </w:p>
    <w:p>
      <w:pPr>
        <w:pStyle w:val="yIndenta"/>
      </w:pPr>
      <w:r>
        <w:tab/>
        <w:t>(d)</w:t>
      </w:r>
      <w:r>
        <w:tab/>
        <w:t>it comprises the whole or a part of, or is necessary for the maintenance of, a threatened ecological community; or</w:t>
      </w:r>
    </w:p>
    <w:p>
      <w:pPr>
        <w:pStyle w:val="yIndenta"/>
      </w:pPr>
      <w:r>
        <w:tab/>
        <w:t>(e)</w:t>
      </w:r>
      <w:r>
        <w:tab/>
        <w:t>it is significant as a remnant of native vegetation in an area that has been extensively cleared; or</w:t>
      </w:r>
    </w:p>
    <w:p>
      <w:pPr>
        <w:pStyle w:val="yIndenta"/>
      </w:pPr>
      <w:r>
        <w:tab/>
        <w:t>(f)</w:t>
      </w:r>
      <w:r>
        <w:tab/>
        <w:t>it is growing in, or in association with, an environment associated with a watercourse or wetland; or</w:t>
      </w:r>
    </w:p>
    <w:p>
      <w:pPr>
        <w:pStyle w:val="yIndenta"/>
      </w:pPr>
      <w:r>
        <w:tab/>
        <w:t>(g)</w:t>
      </w:r>
      <w:r>
        <w:tab/>
        <w:t>the clearing of the vegetation is likely to cause appreciable land degradation; or</w:t>
      </w:r>
    </w:p>
    <w:p>
      <w:pPr>
        <w:pStyle w:val="yIndenta"/>
      </w:pPr>
      <w:r>
        <w:tab/>
        <w:t>(h)</w:t>
      </w:r>
      <w:r>
        <w:tab/>
        <w:t>the clearing of the vegetation is likely to have an impact on the environmental values of any adjacent or nearby conservation area; or</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No. 54 of 2003 s. 116; amended: No. 24 of 2016 s. 314(2).]</w:t>
      </w:r>
    </w:p>
    <w:p>
      <w:pPr>
        <w:pStyle w:val="yHeading5"/>
      </w:pPr>
      <w:bookmarkStart w:id="472" w:name="_Toc158985678"/>
      <w:r>
        <w:rPr>
          <w:rStyle w:val="CharSClsNo"/>
        </w:rPr>
        <w:t>2</w:t>
      </w:r>
      <w:r>
        <w:t>.</w:t>
      </w:r>
      <w:r>
        <w:tab/>
        <w:t>Terms used</w:t>
      </w:r>
      <w:bookmarkEnd w:id="472"/>
    </w:p>
    <w:p>
      <w:pPr>
        <w:pStyle w:val="ySubsection"/>
        <w:spacing w:before="120"/>
      </w:pPr>
      <w:r>
        <w:tab/>
      </w:r>
      <w:r>
        <w:tab/>
        <w:t>In this Schedule —</w:t>
      </w:r>
    </w:p>
    <w:p>
      <w:pPr>
        <w:pStyle w:val="yDefstart"/>
      </w:pPr>
      <w:r>
        <w:tab/>
      </w:r>
      <w:r>
        <w:rPr>
          <w:rStyle w:val="CharDefText"/>
        </w:rPr>
        <w:t>biodiversity</w:t>
      </w:r>
      <w:r>
        <w:t xml:space="preserve"> has the meaning given in the </w:t>
      </w:r>
      <w:r>
        <w:rPr>
          <w:i/>
        </w:rPr>
        <w:t>Biodiversity Conservation Act 2016</w:t>
      </w:r>
      <w:r>
        <w:t xml:space="preserve"> section 5(1);</w:t>
      </w:r>
    </w:p>
    <w:p>
      <w:pPr>
        <w:pStyle w:val="yDefstart"/>
      </w:pPr>
      <w:r>
        <w:lastRenderedPageBreak/>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rStyle w:val="CharDefText"/>
        </w:rPr>
        <w:t>fauna</w:t>
      </w:r>
      <w:r>
        <w:t xml:space="preserve"> has the meaning given in the </w:t>
      </w:r>
      <w:r>
        <w:rPr>
          <w:i/>
        </w:rPr>
        <w:t>Biodiversity Conservation Act 2016</w:t>
      </w:r>
      <w:r>
        <w:t xml:space="preserve"> section 5(1);</w:t>
      </w:r>
    </w:p>
    <w:p>
      <w:pPr>
        <w:pStyle w:val="yDefstart"/>
      </w:pPr>
      <w:r>
        <w:tab/>
      </w:r>
      <w:r>
        <w:rPr>
          <w:rStyle w:val="CharDefText"/>
        </w:rPr>
        <w:t>threatened ecological community</w:t>
      </w:r>
      <w:r>
        <w:t xml:space="preserve"> means — </w:t>
      </w:r>
    </w:p>
    <w:p>
      <w:pPr>
        <w:pStyle w:val="yDefpara"/>
      </w:pPr>
      <w:r>
        <w:tab/>
        <w:t>(a)</w:t>
      </w:r>
      <w:r>
        <w:tab/>
        <w:t xml:space="preserve">a threatened ecological community as defined in the </w:t>
      </w:r>
      <w:r>
        <w:rPr>
          <w:i/>
        </w:rPr>
        <w:t>Biodiversity Conservation Act 2016</w:t>
      </w:r>
      <w:r>
        <w:t xml:space="preserve"> section 5(1); or </w:t>
      </w:r>
    </w:p>
    <w:p>
      <w:pPr>
        <w:pStyle w:val="yDefpara"/>
        <w:rPr>
          <w:szCs w:val="22"/>
        </w:rPr>
      </w:pPr>
      <w:r>
        <w:rPr>
          <w:szCs w:val="22"/>
        </w:rPr>
        <w:tab/>
        <w:t>(b)</w:t>
      </w:r>
      <w:r>
        <w:rPr>
          <w:szCs w:val="22"/>
        </w:rPr>
        <w:tab/>
        <w:t>any other ecological community listed, designated or declared as threatened, endangered or vulnerable under or for the purposes of a written law; or</w:t>
      </w:r>
    </w:p>
    <w:p>
      <w:pPr>
        <w:pStyle w:val="yDefpara"/>
        <w:rPr>
          <w:szCs w:val="22"/>
        </w:rPr>
      </w:pPr>
      <w:r>
        <w:rPr>
          <w:szCs w:val="22"/>
        </w:rPr>
        <w:tab/>
        <w:t>(c)</w:t>
      </w:r>
      <w:r>
        <w:rPr>
          <w:szCs w:val="22"/>
        </w:rPr>
        <w:tab/>
        <w:t>a listed threatened ecological community as defined in the Commonwealth Environment Act section 528;</w:t>
      </w:r>
    </w:p>
    <w:p>
      <w:pPr>
        <w:pStyle w:val="yDefstart"/>
      </w:pPr>
      <w:r>
        <w:tab/>
      </w:r>
      <w:r>
        <w:rPr>
          <w:rStyle w:val="CharDefText"/>
        </w:rPr>
        <w:t>threatened flora</w:t>
      </w:r>
      <w:r>
        <w:t xml:space="preserve"> has the meaning given in the </w:t>
      </w:r>
      <w:r>
        <w:rPr>
          <w:i/>
          <w:iCs/>
        </w:rPr>
        <w:t>Biodiversity Conservation Act 2016</w:t>
      </w:r>
      <w:r>
        <w:t xml:space="preserve"> section 5(1);</w:t>
      </w:r>
    </w:p>
    <w:p>
      <w:pPr>
        <w:pStyle w:val="yDefstart"/>
      </w:pPr>
      <w:r>
        <w:tab/>
      </w:r>
      <w:r>
        <w:rPr>
          <w:rStyle w:val="CharDefText"/>
        </w:rPr>
        <w:t>watercourse</w:t>
      </w:r>
      <w:r>
        <w:t xml:space="preserve"> has the same meaning as it has in the </w:t>
      </w:r>
      <w:r>
        <w:rPr>
          <w:i/>
        </w:rPr>
        <w:t>Rights in Water and Irrigation Act 1914</w:t>
      </w:r>
      <w:r>
        <w:t>;</w:t>
      </w:r>
    </w:p>
    <w:p>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No. 54 of 2003 s. 116; amended: No. 24 of 2016 s. 314(3) and (4); No. 40 of 2020 s. 109.]</w:t>
      </w:r>
    </w:p>
    <w:p>
      <w:pPr>
        <w:pStyle w:val="yScheduleHeading"/>
        <w:sectPr>
          <w:headerReference w:type="even" r:id="rId27"/>
          <w:headerReference w:type="default" r:id="rId28"/>
          <w:pgSz w:w="11907" w:h="16840" w:code="9"/>
          <w:pgMar w:top="2381" w:right="2409" w:bottom="3543" w:left="2409" w:header="720" w:footer="3544" w:gutter="0"/>
          <w:cols w:space="720"/>
          <w:noEndnote/>
          <w:docGrid w:linePitch="326"/>
        </w:sectPr>
      </w:pPr>
    </w:p>
    <w:p>
      <w:pPr>
        <w:pStyle w:val="yScheduleHeading"/>
      </w:pPr>
      <w:bookmarkStart w:id="473" w:name="_Toc158981010"/>
      <w:bookmarkStart w:id="474" w:name="_Toc158981409"/>
      <w:bookmarkStart w:id="475" w:name="_Toc158985679"/>
      <w:r>
        <w:rPr>
          <w:rStyle w:val="CharSchNo"/>
        </w:rPr>
        <w:lastRenderedPageBreak/>
        <w:t>Schedule 6</w:t>
      </w:r>
      <w:r>
        <w:t xml:space="preserve"> — </w:t>
      </w:r>
      <w:r>
        <w:rPr>
          <w:rStyle w:val="CharSchText"/>
        </w:rPr>
        <w:t>Clearing for which a clearing permit is not required</w:t>
      </w:r>
      <w:bookmarkEnd w:id="473"/>
      <w:bookmarkEnd w:id="474"/>
      <w:bookmarkEnd w:id="475"/>
    </w:p>
    <w:p>
      <w:pPr>
        <w:pStyle w:val="yFootnoteheading"/>
      </w:pPr>
      <w:r>
        <w:tab/>
        <w:t>[Heading inserted: No. 54 of 2003 s. 104.]</w:t>
      </w:r>
    </w:p>
    <w:p>
      <w:pPr>
        <w:pStyle w:val="yShoulderClause"/>
      </w:pPr>
      <w:r>
        <w:t xml:space="preserve"> [s. 51C]</w:t>
      </w:r>
    </w:p>
    <w:p>
      <w:pPr>
        <w:pStyle w:val="yNumberedItem"/>
      </w:pPr>
      <w:r>
        <w:t>1.</w:t>
      </w:r>
      <w:r>
        <w:tab/>
        <w:t xml:space="preserve">Clearing that is done in order to give effect to a requirement to clear under a </w:t>
      </w:r>
      <w:r>
        <w:rPr>
          <w:szCs w:val="22"/>
        </w:rPr>
        <w:t>prescribed enactment.</w:t>
      </w:r>
    </w:p>
    <w:p>
      <w:pPr>
        <w:pStyle w:val="yNumberedItem"/>
      </w:pPr>
      <w:r>
        <w:t>2.</w:t>
      </w:r>
      <w:r>
        <w:tab/>
        <w:t>Clearing that is done —</w:t>
      </w:r>
    </w:p>
    <w:p>
      <w:pPr>
        <w:pStyle w:val="yIndenta"/>
      </w:pPr>
      <w:r>
        <w:tab/>
        <w:t>(a)</w:t>
      </w:r>
      <w:r>
        <w:tab/>
        <w:t>in the implementation of a proposal in accordance with an implementation agreement or decision; or</w:t>
      </w:r>
    </w:p>
    <w:p>
      <w:pPr>
        <w:pStyle w:val="yIndenta"/>
      </w:pPr>
      <w:r>
        <w:tab/>
        <w:t>(b)</w:t>
      </w:r>
      <w:r>
        <w:tab/>
        <w:t>in the case of a proposal that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 or</w:t>
      </w:r>
    </w:p>
    <w:p>
      <w:pPr>
        <w:pStyle w:val="yIndenta"/>
      </w:pPr>
      <w:r>
        <w:tab/>
        <w:t>(c)</w:t>
      </w:r>
      <w:r>
        <w:tab/>
        <w:t>in accordance with —</w:t>
      </w:r>
    </w:p>
    <w:p>
      <w:pPr>
        <w:pStyle w:val="yIndenti0"/>
      </w:pPr>
      <w:r>
        <w:tab/>
        <w:t>(i)</w:t>
      </w:r>
      <w:r>
        <w:tab/>
        <w:t>a prescribed standard; or</w:t>
      </w:r>
    </w:p>
    <w:p>
      <w:pPr>
        <w:pStyle w:val="yIndenti0"/>
      </w:pPr>
      <w:r>
        <w:tab/>
        <w:t>(ii)</w:t>
      </w:r>
      <w:r>
        <w:tab/>
        <w:t>a works approval; or</w:t>
      </w:r>
    </w:p>
    <w:p>
      <w:pPr>
        <w:pStyle w:val="yIndenti0"/>
      </w:pPr>
      <w:r>
        <w:tab/>
        <w:t>(iii)</w:t>
      </w:r>
      <w:r>
        <w:tab/>
        <w:t>a licence; or</w:t>
      </w:r>
    </w:p>
    <w:p>
      <w:pPr>
        <w:pStyle w:val="yIndenti0"/>
      </w:pPr>
      <w:r>
        <w:tab/>
        <w:t>(iv)</w:t>
      </w:r>
      <w:r>
        <w:tab/>
        <w:t>a requirement contained in a closure notice, an environmental protection notice or a prevention notice; or</w:t>
      </w:r>
    </w:p>
    <w:p>
      <w:pPr>
        <w:pStyle w:val="yIndenti0"/>
      </w:pPr>
      <w:r>
        <w:tab/>
        <w:t>(v)</w:t>
      </w:r>
      <w:r>
        <w:tab/>
        <w:t>an approved policy; or</w:t>
      </w:r>
    </w:p>
    <w:p>
      <w:pPr>
        <w:pStyle w:val="yIndenti0"/>
      </w:pPr>
      <w:r>
        <w:tab/>
        <w:t>(vi)</w:t>
      </w:r>
      <w:r>
        <w:tab/>
        <w:t>a declaration under section 6; or</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lastRenderedPageBreak/>
        <w:t>3.</w:t>
      </w:r>
      <w:r>
        <w:tab/>
        <w:t xml:space="preserve">Clearing in the performance of functions that the CEO, as defined in the </w:t>
      </w:r>
      <w:r>
        <w:rPr>
          <w:i/>
        </w:rPr>
        <w:t xml:space="preserve">Conservation and Land Management Act 1984 </w:t>
      </w:r>
      <w:r>
        <w:t>section 3, has under section 33(1)(a) or (aa) of that Act.</w:t>
      </w:r>
    </w:p>
    <w:p>
      <w:pPr>
        <w:pStyle w:val="yNumberedItem"/>
      </w:pPr>
      <w:r>
        <w:t>4.</w:t>
      </w:r>
      <w:r>
        <w:tab/>
        <w:t xml:space="preserve">Clearing consisting of the taking of flora — </w:t>
      </w:r>
    </w:p>
    <w:p>
      <w:pPr>
        <w:pStyle w:val="yIndenta"/>
      </w:pPr>
      <w:r>
        <w:tab/>
        <w:t>(a)</w:t>
      </w:r>
      <w:r>
        <w:tab/>
        <w:t xml:space="preserve">as authorised by a licence under the </w:t>
      </w:r>
      <w:r>
        <w:rPr>
          <w:i/>
          <w:iCs/>
        </w:rPr>
        <w:t>Biodiversity Conservation Act 2016</w:t>
      </w:r>
      <w:r>
        <w:rPr>
          <w:iCs/>
        </w:rPr>
        <w:t>; or</w:t>
      </w:r>
    </w:p>
    <w:p>
      <w:pPr>
        <w:pStyle w:val="yIndenta"/>
      </w:pPr>
      <w:r>
        <w:tab/>
        <w:t>(b)</w:t>
      </w:r>
      <w:r>
        <w:tab/>
        <w:t xml:space="preserve">as authorised by an authorisation under the </w:t>
      </w:r>
      <w:r>
        <w:rPr>
          <w:i/>
          <w:iCs/>
        </w:rPr>
        <w:t xml:space="preserve">Biodiversity Conservation Act 2016 </w:t>
      </w:r>
      <w:r>
        <w:t>section 40; or</w:t>
      </w:r>
    </w:p>
    <w:p>
      <w:pPr>
        <w:pStyle w:val="yIndenta"/>
      </w:pPr>
      <w:r>
        <w:tab/>
        <w:t>(c)</w:t>
      </w:r>
      <w:r>
        <w:tab/>
        <w:t xml:space="preserve">by a person referred to in the </w:t>
      </w:r>
      <w:r>
        <w:rPr>
          <w:i/>
          <w:iCs/>
        </w:rPr>
        <w:t>Biodiversity Conservation Act 2016</w:t>
      </w:r>
      <w:r>
        <w:t xml:space="preserve"> section 171(2) for the purposes of supply in accordance with a licence under that Act.</w:t>
      </w:r>
    </w:p>
    <w:p>
      <w:pPr>
        <w:pStyle w:val="yEdnotenumbereditem"/>
      </w:pPr>
      <w:r>
        <w:t>[</w:t>
      </w:r>
      <w:r>
        <w:rPr>
          <w:b/>
        </w:rPr>
        <w:t>5, 6.</w:t>
      </w:r>
      <w:r>
        <w:tab/>
        <w:t>deleted]</w:t>
      </w:r>
    </w:p>
    <w:p>
      <w:pPr>
        <w:pStyle w:val="yNumberedItem"/>
      </w:pPr>
      <w:r>
        <w:t>7.</w:t>
      </w:r>
      <w:r>
        <w:tab/>
        <w:t xml:space="preserve">Clearing under the </w:t>
      </w:r>
      <w:r>
        <w:rPr>
          <w:i/>
        </w:rPr>
        <w:t>Forest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r>
        <w:rPr>
          <w:i/>
        </w:rPr>
        <w:t>Forest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including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Clearing that is done —</w:t>
      </w:r>
    </w:p>
    <w:p>
      <w:pPr>
        <w:pStyle w:val="yIndenta"/>
      </w:pPr>
      <w:r>
        <w:tab/>
        <w:t>(a)</w:t>
      </w:r>
      <w:r>
        <w:tab/>
        <w:t>as permitted under section 17(5); or</w:t>
      </w:r>
    </w:p>
    <w:p>
      <w:pPr>
        <w:pStyle w:val="yIndenta"/>
      </w:pPr>
      <w:r>
        <w:tab/>
        <w:t>(b)</w:t>
      </w:r>
      <w:r>
        <w:tab/>
        <w:t>in accordance with a permit obtained under section 18; or</w:t>
      </w:r>
    </w:p>
    <w:p>
      <w:pPr>
        <w:pStyle w:val="yIndenta"/>
      </w:pPr>
      <w:r>
        <w:tab/>
        <w:t>(c)</w:t>
      </w:r>
      <w:r>
        <w:tab/>
        <w:t>in accordance with an exemption granted under section 22C; or</w:t>
      </w:r>
    </w:p>
    <w:p>
      <w:pPr>
        <w:pStyle w:val="yIndenta"/>
      </w:pPr>
      <w:r>
        <w:tab/>
        <w:t>(d)</w:t>
      </w:r>
      <w:r>
        <w:tab/>
        <w:t>under section 22(2), 23, 26A, 39(1)(d) or 44(1)(c); or</w:t>
      </w:r>
    </w:p>
    <w:p>
      <w:pPr>
        <w:pStyle w:val="yIndenta"/>
      </w:pPr>
      <w:r>
        <w:tab/>
        <w:t>(e)</w:t>
      </w:r>
      <w:r>
        <w:tab/>
        <w:t xml:space="preserve">as authorised by a proclamation under </w:t>
      </w:r>
      <w:r>
        <w:rPr>
          <w:szCs w:val="22"/>
        </w:rPr>
        <w:t>section 26; or</w:t>
      </w:r>
    </w:p>
    <w:p>
      <w:pPr>
        <w:pStyle w:val="yIndenta"/>
      </w:pPr>
      <w:r>
        <w:tab/>
        <w:t>(f)</w:t>
      </w:r>
      <w:r>
        <w:tab/>
        <w:t>to comply with a notice given under section 33(1); or</w:t>
      </w:r>
    </w:p>
    <w:p>
      <w:pPr>
        <w:pStyle w:val="yIndenta"/>
      </w:pPr>
      <w:r>
        <w:lastRenderedPageBreak/>
        <w:tab/>
        <w:t>(g)</w:t>
      </w:r>
      <w:r>
        <w:tab/>
        <w:t>as authorised under section 36(b),</w:t>
      </w:r>
    </w:p>
    <w:p>
      <w:pPr>
        <w:pStyle w:val="yNumberedItem"/>
      </w:pPr>
      <w:r>
        <w:tab/>
        <w:t xml:space="preserve">of the </w:t>
      </w:r>
      <w:r>
        <w:rPr>
          <w:i/>
        </w:rPr>
        <w:t>Bush Fires Act 1954</w:t>
      </w:r>
      <w:r>
        <w:t>.</w:t>
      </w:r>
    </w:p>
    <w:p>
      <w:pPr>
        <w:pStyle w:val="yNumberedItem"/>
      </w:pPr>
      <w:r>
        <w:t>10A.</w:t>
      </w:r>
      <w:r>
        <w:tab/>
        <w:t xml:space="preserve">Clearing that is done by a local government under the </w:t>
      </w:r>
      <w:r>
        <w:rPr>
          <w:i/>
        </w:rPr>
        <w:t>Bush Fires Act 1954</w:t>
      </w:r>
      <w:r>
        <w:t xml:space="preserve"> section 33(4) if the person who is given a notice mentioned in item 10(f) fails to comply with it.</w:t>
      </w:r>
    </w:p>
    <w:p>
      <w:pPr>
        <w:pStyle w:val="yNumberedItem"/>
      </w:pPr>
      <w:r>
        <w:t>10B.</w:t>
      </w:r>
      <w:r>
        <w:tab/>
        <w:t xml:space="preserve">Clearing that is done by the occupier of land, or an energy operator, under the </w:t>
      </w:r>
      <w:r>
        <w:rPr>
          <w:i/>
        </w:rPr>
        <w:t>Energy Operators (Powers) Act 1979</w:t>
      </w:r>
      <w:r>
        <w:t xml:space="preserve"> section 54.</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w:t>
      </w:r>
      <w:r>
        <w:rPr>
          <w:szCs w:val="22"/>
        </w:rPr>
        <w:t xml:space="preserve"> FES Commissioner as defined in the </w:t>
      </w:r>
      <w:r>
        <w:rPr>
          <w:i/>
          <w:iCs/>
          <w:szCs w:val="22"/>
        </w:rPr>
        <w:t>Fire and Emergency Services Act 1998</w:t>
      </w:r>
      <w:r>
        <w:rPr>
          <w:szCs w:val="22"/>
        </w:rPr>
        <w:t xml:space="preserve"> section 3.</w:t>
      </w:r>
    </w:p>
    <w:p>
      <w:pPr>
        <w:pStyle w:val="yNumberedItem"/>
      </w:pPr>
      <w:r>
        <w:t>13.</w:t>
      </w:r>
      <w:r>
        <w:tab/>
        <w:t xml:space="preserve">Clearing caused by the grazing of stock on land under a pastoral lease </w:t>
      </w:r>
      <w:r>
        <w:rPr>
          <w:szCs w:val="22"/>
        </w:rPr>
        <w:t>or diversification lease</w:t>
      </w:r>
      <w:r>
        <w:t xml:space="preserve"> within the meaning of the </w:t>
      </w:r>
      <w:r>
        <w:rPr>
          <w:i/>
        </w:rPr>
        <w:t>Land Administration Act 1997</w:t>
      </w:r>
      <w:r>
        <w:t xml:space="preserve"> as long as that grazing is not in breach of —</w:t>
      </w:r>
    </w:p>
    <w:p>
      <w:pPr>
        <w:pStyle w:val="yIndenta"/>
      </w:pPr>
      <w:r>
        <w:tab/>
        <w:t>(a)</w:t>
      </w:r>
      <w:r>
        <w:tab/>
        <w:t>that Act; or</w:t>
      </w:r>
    </w:p>
    <w:p>
      <w:pPr>
        <w:pStyle w:val="Indenta"/>
        <w:rPr>
          <w:szCs w:val="22"/>
        </w:rPr>
      </w:pPr>
      <w:r>
        <w:tab/>
        <w:t>(b)</w:t>
      </w:r>
      <w:r>
        <w:tab/>
        <w:t xml:space="preserve">the pastoral </w:t>
      </w:r>
      <w:r>
        <w:rPr>
          <w:sz w:val="22"/>
          <w:szCs w:val="22"/>
        </w:rPr>
        <w:t>lease or diversification lease; or</w:t>
      </w:r>
    </w:p>
    <w:p>
      <w:pPr>
        <w:pStyle w:val="yIndenta"/>
      </w:pPr>
      <w:r>
        <w:tab/>
        <w:t>(c)</w:t>
      </w:r>
      <w:r>
        <w:tab/>
        <w:t>in the case of a pastoral lease — any relevant condition set, determination made or direction given by the Pastoral Lands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NumberedItem"/>
      </w:pPr>
      <w:r>
        <w:t>15.</w:t>
      </w:r>
      <w:r>
        <w:tab/>
        <w:t xml:space="preserve">Clearing that is done by the owner or occupier of land to comply with a notice given under the </w:t>
      </w:r>
      <w:r>
        <w:rPr>
          <w:i/>
        </w:rPr>
        <w:t>Local Government Act 1995</w:t>
      </w:r>
      <w:r>
        <w:t xml:space="preserve"> section 3.25(1) in respect of something prescribed in Schedule 3.1 Division 1 item 5A, 8 or 9 of that Act.</w:t>
      </w:r>
    </w:p>
    <w:p>
      <w:pPr>
        <w:pStyle w:val="yNumberedItem"/>
      </w:pPr>
      <w:r>
        <w:t>16.</w:t>
      </w:r>
      <w:r>
        <w:tab/>
        <w:t xml:space="preserve">Clearing that is done by a local government under the </w:t>
      </w:r>
      <w:r>
        <w:rPr>
          <w:i/>
          <w:snapToGrid w:val="0"/>
        </w:rPr>
        <w:t>Local Government Act 1995</w:t>
      </w:r>
      <w:r>
        <w:t xml:space="preserve"> section 3.26 if the person who is given a notice mentioned in item 15 fails to comply with it.</w:t>
      </w:r>
    </w:p>
    <w:p>
      <w:pPr>
        <w:pStyle w:val="yFootnotesection"/>
        <w:keepLines w:val="0"/>
      </w:pPr>
      <w:r>
        <w:tab/>
        <w:t xml:space="preserve">[Schedule 6 inserted: No. 54 of 2003 s. 116; amended: No. 38 of 2005 s. 15; No. 25 of 2009 s. 20; No. 22 of 2012 s. 123; No. 24 of 2016 </w:t>
      </w:r>
      <w:r>
        <w:lastRenderedPageBreak/>
        <w:t>s. 314(5); No. 40 of 2020 s. 110(1), (3) and (4)-(6); No. 4 of 2023 s. 121.]</w:t>
      </w:r>
    </w:p>
    <w:p>
      <w:pPr>
        <w:pStyle w:val="yScheduleHeading"/>
        <w:sectPr>
          <w:headerReference w:type="even" r:id="rId29"/>
          <w:headerReference w:type="default" r:id="rId30"/>
          <w:pgSz w:w="11907" w:h="16840" w:code="9"/>
          <w:pgMar w:top="2381" w:right="2409" w:bottom="3543" w:left="2409" w:header="720" w:footer="3544" w:gutter="0"/>
          <w:cols w:space="720"/>
          <w:noEndnote/>
          <w:docGrid w:linePitch="326"/>
        </w:sectPr>
      </w:pPr>
    </w:p>
    <w:p>
      <w:pPr>
        <w:pStyle w:val="yScheduleHeading"/>
      </w:pPr>
      <w:bookmarkStart w:id="476" w:name="_Toc158981011"/>
      <w:bookmarkStart w:id="477" w:name="_Toc158981410"/>
      <w:bookmarkStart w:id="478" w:name="_Toc158985680"/>
      <w:r>
        <w:rPr>
          <w:rStyle w:val="CharSchNo"/>
        </w:rPr>
        <w:lastRenderedPageBreak/>
        <w:t>Schedule 7</w:t>
      </w:r>
      <w:r>
        <w:t xml:space="preserve"> — </w:t>
      </w:r>
      <w:r>
        <w:rPr>
          <w:rStyle w:val="CharSchText"/>
        </w:rPr>
        <w:t>Appeals Convenor</w:t>
      </w:r>
      <w:bookmarkEnd w:id="476"/>
      <w:bookmarkEnd w:id="477"/>
      <w:bookmarkEnd w:id="478"/>
    </w:p>
    <w:p>
      <w:pPr>
        <w:pStyle w:val="yShoulderClause"/>
      </w:pPr>
      <w:r>
        <w:t>[s. 107A]</w:t>
      </w:r>
    </w:p>
    <w:p>
      <w:pPr>
        <w:pStyle w:val="yFootnoteheading"/>
      </w:pPr>
      <w:r>
        <w:tab/>
        <w:t>[Heading inserted: No. 54 of 2003 s. 104.]</w:t>
      </w:r>
    </w:p>
    <w:p>
      <w:pPr>
        <w:pStyle w:val="yHeading5"/>
      </w:pPr>
      <w:bookmarkStart w:id="479" w:name="_Toc158985681"/>
      <w:r>
        <w:rPr>
          <w:rStyle w:val="CharSClsNo"/>
        </w:rPr>
        <w:t>1</w:t>
      </w:r>
      <w:r>
        <w:t>.</w:t>
      </w:r>
      <w:r>
        <w:tab/>
        <w:t>Term of office</w:t>
      </w:r>
      <w:bookmarkEnd w:id="479"/>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No. 54 of 2003 s. 104.]</w:t>
      </w:r>
    </w:p>
    <w:p>
      <w:pPr>
        <w:pStyle w:val="yHeading5"/>
      </w:pPr>
      <w:bookmarkStart w:id="480" w:name="_Toc158985682"/>
      <w:r>
        <w:rPr>
          <w:rStyle w:val="CharSClsNo"/>
        </w:rPr>
        <w:t>2</w:t>
      </w:r>
      <w:r>
        <w:t>.</w:t>
      </w:r>
      <w:r>
        <w:tab/>
        <w:t>Salary and entitlements</w:t>
      </w:r>
      <w:bookmarkEnd w:id="480"/>
    </w:p>
    <w:p>
      <w:pPr>
        <w:pStyle w:val="ySubsection"/>
      </w:pPr>
      <w:r>
        <w:tab/>
        <w:t>(1)</w:t>
      </w:r>
      <w:r>
        <w:tab/>
        <w:t>The Appeals Convenor —</w:t>
      </w:r>
    </w:p>
    <w:p>
      <w:pPr>
        <w:pStyle w:val="yIndenta"/>
      </w:pPr>
      <w:r>
        <w:tab/>
        <w:t>(a)</w:t>
      </w:r>
      <w:r>
        <w:tab/>
        <w:t>is to be paid salary and allowances at a rate per year determined by the Minister on the recommendation of the Public Sector Commissioner;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No. 54 of 2003 s. 104; amended: No. 39 of 2010 s. 89.]</w:t>
      </w:r>
    </w:p>
    <w:p>
      <w:pPr>
        <w:pStyle w:val="yHeading5"/>
      </w:pPr>
      <w:bookmarkStart w:id="481" w:name="_Toc158985683"/>
      <w:r>
        <w:rPr>
          <w:rStyle w:val="CharSClsNo"/>
        </w:rPr>
        <w:t>3</w:t>
      </w:r>
      <w:r>
        <w:t>.</w:t>
      </w:r>
      <w:r>
        <w:tab/>
        <w:t>Resignation and removal from office</w:t>
      </w:r>
      <w:bookmarkEnd w:id="481"/>
    </w:p>
    <w:p>
      <w:pPr>
        <w:pStyle w:val="ySubsection"/>
      </w:pPr>
      <w:r>
        <w:tab/>
        <w:t>(1)</w:t>
      </w:r>
      <w:r>
        <w:tab/>
        <w:t>The Appeals Convenor may resign office by written notice delivered to the Governor.</w:t>
      </w:r>
    </w:p>
    <w:p>
      <w:pPr>
        <w:pStyle w:val="ySubsection"/>
      </w:pPr>
      <w:r>
        <w:tab/>
        <w:t>(2)</w:t>
      </w:r>
      <w:r>
        <w:tab/>
        <w:t>The Governor may remove the Appeals Convenor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lastRenderedPageBreak/>
        <w:tab/>
        <w:t>(b)</w:t>
      </w:r>
      <w:r>
        <w:tab/>
        <w:t xml:space="preserve">if the Appeals Convenor is, according to the </w:t>
      </w:r>
      <w:r>
        <w:rPr>
          <w:i/>
        </w:rPr>
        <w:t>Interpretation Act 1984</w:t>
      </w:r>
      <w:r>
        <w:t xml:space="preserve"> section 13D, a bankrupt or a person whose affairs are under insolvency laws.</w:t>
      </w:r>
    </w:p>
    <w:p>
      <w:pPr>
        <w:pStyle w:val="ySubsection"/>
      </w:pPr>
      <w:r>
        <w:tab/>
        <w:t>(3)</w:t>
      </w:r>
      <w:r>
        <w:tab/>
        <w:t>In subclause (2)(a) —</w:t>
      </w:r>
    </w:p>
    <w:p>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pPr>
        <w:pStyle w:val="yFootnotesection"/>
        <w:spacing w:before="80"/>
      </w:pPr>
      <w:r>
        <w:tab/>
        <w:t>[Clause 3 inserted: No. 54 of 2003 s. 104; amended: No. 18 of 2009 s. 35.]</w:t>
      </w:r>
    </w:p>
    <w:p>
      <w:pPr>
        <w:pStyle w:val="yHeading5"/>
      </w:pPr>
      <w:bookmarkStart w:id="482" w:name="_Toc158985684"/>
      <w:r>
        <w:rPr>
          <w:rStyle w:val="CharSClsNo"/>
        </w:rPr>
        <w:t>4</w:t>
      </w:r>
      <w:r>
        <w:t>.</w:t>
      </w:r>
      <w:r>
        <w:tab/>
        <w:t>Appointment of public service officer</w:t>
      </w:r>
      <w:bookmarkEnd w:id="482"/>
    </w:p>
    <w:p>
      <w:pPr>
        <w:pStyle w:val="ySubsection"/>
      </w:pPr>
      <w:r>
        <w:tab/>
        <w:t>(1)</w:t>
      </w:r>
      <w:r>
        <w:tab/>
        <w:t>A person who held office in the Public Service (</w:t>
      </w:r>
      <w:r>
        <w:rPr>
          <w:rStyle w:val="CharDefText"/>
        </w:rPr>
        <w:t>previous office</w:t>
      </w:r>
      <w:r>
        <w:t>) immediately before being appointed as Appeals Convenor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 xml:space="preserve">if the </w:t>
      </w:r>
      <w:r>
        <w:rPr>
          <w:snapToGrid w:val="0"/>
        </w:rPr>
        <w:t>person</w:t>
      </w:r>
      <w:r>
        <w:t xml:space="preserve"> ceases to hold office as the Appeals Convenor on the completion of a periodical appointment, is entitled to be appointed to an office in the Public Service not lower in classification and salary than the previous office (as long as the </w:t>
      </w:r>
      <w:r>
        <w:rPr>
          <w:snapToGrid w:val="0"/>
        </w:rPr>
        <w:t>person</w:t>
      </w:r>
      <w:r>
        <w:t xml:space="preserv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spacing w:before="80"/>
      </w:pPr>
      <w:r>
        <w:tab/>
        <w:t>[Clause 4 inserted: No. 54 of 2003 s. 104; amended: No. 40 of 2020 s. 111(1).]</w:t>
      </w:r>
    </w:p>
    <w:p>
      <w:pPr>
        <w:pStyle w:val="yHeading5"/>
      </w:pPr>
      <w:bookmarkStart w:id="483" w:name="_Toc158985685"/>
      <w:r>
        <w:rPr>
          <w:rStyle w:val="CharSClsNo"/>
        </w:rPr>
        <w:lastRenderedPageBreak/>
        <w:t>5</w:t>
      </w:r>
      <w:r>
        <w:t>.</w:t>
      </w:r>
      <w:r>
        <w:tab/>
        <w:t>Other conditions of service</w:t>
      </w:r>
      <w:bookmarkEnd w:id="483"/>
    </w:p>
    <w:p>
      <w:pPr>
        <w:pStyle w:val="ySubsection"/>
        <w:keepNext/>
      </w:pPr>
      <w:r>
        <w:tab/>
      </w:r>
      <w:r>
        <w:tab/>
        <w:t>The Governor may, on the recommendation of the Public Sector Commissioner, determine any other terms and conditions of service to apply to the Appeals Convenor.</w:t>
      </w:r>
    </w:p>
    <w:p>
      <w:pPr>
        <w:pStyle w:val="yFootnotesection"/>
        <w:keepNext/>
        <w:spacing w:before="80"/>
      </w:pPr>
      <w:r>
        <w:tab/>
        <w:t>[Clause 5 inserted: No. 54 of 2003 s. 104; amended: No. 39 of 2010 s. 89.]</w:t>
      </w:r>
    </w:p>
    <w:p>
      <w:pPr>
        <w:pStyle w:val="CentredBaseLine"/>
        <w:spacing w:before="120"/>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headerReference w:type="first" r:id="rId34"/>
          <w:pgSz w:w="11907" w:h="16840" w:code="9"/>
          <w:pgMar w:top="2376" w:right="2405" w:bottom="3542" w:left="2405" w:header="706" w:footer="3544" w:gutter="0"/>
          <w:cols w:space="720"/>
          <w:noEndnote/>
          <w:docGrid w:linePitch="326"/>
        </w:sectPr>
      </w:pPr>
    </w:p>
    <w:p>
      <w:pPr>
        <w:pStyle w:val="nHeading2"/>
      </w:pPr>
      <w:bookmarkStart w:id="484" w:name="_Toc158981017"/>
      <w:bookmarkStart w:id="485" w:name="_Toc158981416"/>
      <w:bookmarkStart w:id="486" w:name="_Toc158985686"/>
      <w:r>
        <w:lastRenderedPageBreak/>
        <w:t>Notes</w:t>
      </w:r>
      <w:bookmarkEnd w:id="484"/>
      <w:bookmarkEnd w:id="485"/>
      <w:bookmarkEnd w:id="486"/>
    </w:p>
    <w:p>
      <w:pPr>
        <w:pStyle w:val="nStatement"/>
      </w:pPr>
      <w:r>
        <w:t xml:space="preserve">This is a compilation of the </w:t>
      </w:r>
      <w:r>
        <w:rPr>
          <w:i/>
          <w:noProof/>
        </w:rPr>
        <w:t>Environmental Protection Act 1986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87" w:name="_Toc158985687"/>
      <w:r>
        <w:t>Compilation table</w:t>
      </w:r>
      <w:bookmarkEnd w:id="487"/>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13"/>
            </w:pPr>
            <w:r>
              <w:rPr>
                <w:i/>
              </w:rPr>
              <w:t>Environmental Protection Act 1986</w:t>
            </w:r>
          </w:p>
        </w:tc>
        <w:tc>
          <w:tcPr>
            <w:tcW w:w="1134" w:type="dxa"/>
            <w:tcBorders>
              <w:top w:val="single" w:sz="8" w:space="0" w:color="auto"/>
            </w:tcBorders>
          </w:tcPr>
          <w:p>
            <w:pPr>
              <w:pStyle w:val="nTable"/>
              <w:spacing w:after="40"/>
            </w:pPr>
            <w:r>
              <w:t>87 of 1986</w:t>
            </w:r>
          </w:p>
        </w:tc>
        <w:tc>
          <w:tcPr>
            <w:tcW w:w="1134" w:type="dxa"/>
            <w:tcBorders>
              <w:top w:val="single" w:sz="8" w:space="0" w:color="auto"/>
            </w:tcBorders>
          </w:tcPr>
          <w:p>
            <w:pPr>
              <w:pStyle w:val="nTable"/>
              <w:spacing w:after="40"/>
            </w:pPr>
            <w:r>
              <w:t>10 Dec 1986</w:t>
            </w:r>
          </w:p>
        </w:tc>
        <w:tc>
          <w:tcPr>
            <w:tcW w:w="2552" w:type="dxa"/>
            <w:tcBorders>
              <w:top w:val="single" w:sz="8" w:space="0" w:color="auto"/>
            </w:tcBorders>
          </w:tcPr>
          <w:p>
            <w:pPr>
              <w:pStyle w:val="nTable"/>
              <w:spacing w:after="40"/>
            </w:pPr>
            <w:r>
              <w:t>s. 1 and 2: 10 Dec 1986;</w:t>
            </w:r>
            <w:r>
              <w:br/>
              <w:t xml:space="preserve">Act other than s. 1 and 2: 20 Feb 1987 (see s. 2 and </w:t>
            </w:r>
            <w:r>
              <w:rPr>
                <w:i/>
              </w:rPr>
              <w:t>Gazette</w:t>
            </w:r>
            <w:r>
              <w:t xml:space="preserve"> 20 Feb 1987 p. 440)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Service) Act 1987</w:t>
            </w:r>
            <w:r>
              <w:t xml:space="preserve"> s. 32</w:t>
            </w:r>
          </w:p>
        </w:tc>
        <w:tc>
          <w:tcPr>
            <w:tcW w:w="1134"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Environmental Protection Amendment Act 1993</w:t>
            </w:r>
            <w:r>
              <w:rPr>
                <w:vertAlign w:val="superscript"/>
              </w:rPr>
              <w:t> 7</w:t>
            </w:r>
          </w:p>
        </w:tc>
        <w:tc>
          <w:tcPr>
            <w:tcW w:w="1134" w:type="dxa"/>
          </w:tcPr>
          <w:p>
            <w:pPr>
              <w:pStyle w:val="nTable"/>
              <w:spacing w:after="40"/>
            </w:pPr>
            <w:r>
              <w:t>34 of 1993</w:t>
            </w:r>
          </w:p>
        </w:tc>
        <w:tc>
          <w:tcPr>
            <w:tcW w:w="1134" w:type="dxa"/>
          </w:tcPr>
          <w:p>
            <w:pPr>
              <w:pStyle w:val="nTable"/>
              <w:spacing w:after="40"/>
            </w:pPr>
            <w:r>
              <w:t>16 Dec 1993</w:t>
            </w:r>
          </w:p>
        </w:tc>
        <w:tc>
          <w:tcPr>
            <w:tcW w:w="2552" w:type="dxa"/>
          </w:tcPr>
          <w:p>
            <w:pPr>
              <w:pStyle w:val="nTable"/>
              <w:spacing w:after="40"/>
            </w:pPr>
            <w:r>
              <w:t>s. 1 and 2: 16 Dec 1993;</w:t>
            </w:r>
            <w:r>
              <w:br/>
              <w:t xml:space="preserve">Act other than s. 1 and 2: 14 Jan 1994 (see s. 2 and </w:t>
            </w:r>
            <w:r>
              <w:rPr>
                <w:i/>
              </w:rPr>
              <w:t>Gazette</w:t>
            </w:r>
            <w:r>
              <w:t xml:space="preserve"> 14 Jan 1994 p. 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Planning Legislation Amendment Act (No. 2) 1994</w:t>
            </w:r>
            <w:r>
              <w:t xml:space="preserve"> s. 46(1) and (6)</w:t>
            </w:r>
          </w:p>
        </w:tc>
        <w:tc>
          <w:tcPr>
            <w:tcW w:w="1134" w:type="dxa"/>
          </w:tcPr>
          <w:p>
            <w:pPr>
              <w:pStyle w:val="nTable"/>
              <w:spacing w:after="40"/>
            </w:pPr>
            <w:r>
              <w:t>84 of 1994</w:t>
            </w:r>
          </w:p>
        </w:tc>
        <w:tc>
          <w:tcPr>
            <w:tcW w:w="1134" w:type="dxa"/>
          </w:tcPr>
          <w:p>
            <w:pPr>
              <w:pStyle w:val="nTable"/>
              <w:spacing w:after="40"/>
            </w:pPr>
            <w:r>
              <w:t>13 Jan 1995</w:t>
            </w:r>
          </w:p>
        </w:tc>
        <w:tc>
          <w:tcPr>
            <w:tcW w:w="2552" w:type="dxa"/>
          </w:tcPr>
          <w:p>
            <w:pPr>
              <w:pStyle w:val="nTable"/>
              <w:spacing w:after="40"/>
            </w:pPr>
            <w:r>
              <w:t xml:space="preserve">1 Mar 1995 (see s. 2 and </w:t>
            </w:r>
            <w:r>
              <w:rPr>
                <w:i/>
              </w:rPr>
              <w:t>Gazette</w:t>
            </w:r>
            <w:r>
              <w:t xml:space="preserve"> 21 Feb 1995 p. 567)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134" w:type="dxa"/>
          </w:tcPr>
          <w:p>
            <w:pPr>
              <w:pStyle w:val="nTable"/>
              <w:spacing w:after="40"/>
            </w:pPr>
            <w:r>
              <w:t>27 Dec 1995</w:t>
            </w:r>
          </w:p>
        </w:tc>
        <w:tc>
          <w:tcPr>
            <w:tcW w:w="2552" w:type="dxa"/>
          </w:tcPr>
          <w:p>
            <w:pPr>
              <w:pStyle w:val="nTable"/>
              <w:spacing w:after="40"/>
            </w:pPr>
            <w:r>
              <w:t xml:space="preserve">1 Jan 1996 (see s. 2(2) and </w:t>
            </w:r>
            <w:r>
              <w:rPr>
                <w:i/>
              </w:rPr>
              <w:t>Gazette</w:t>
            </w:r>
            <w:r>
              <w:t xml:space="preserve"> 29 Dec 1995 p. 6291)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7 Mar 1996</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Planning Legislation Amendment Act 1996</w:t>
            </w:r>
            <w:r>
              <w:t xml:space="preserve"> Pt. 3</w:t>
            </w:r>
          </w:p>
        </w:tc>
        <w:tc>
          <w:tcPr>
            <w:tcW w:w="1134" w:type="dxa"/>
          </w:tcPr>
          <w:p>
            <w:pPr>
              <w:pStyle w:val="nTable"/>
              <w:spacing w:after="40"/>
            </w:pPr>
            <w:r>
              <w:t>23 of 1996</w:t>
            </w:r>
          </w:p>
        </w:tc>
        <w:tc>
          <w:tcPr>
            <w:tcW w:w="1134" w:type="dxa"/>
          </w:tcPr>
          <w:p>
            <w:pPr>
              <w:pStyle w:val="nTable"/>
              <w:spacing w:after="40"/>
            </w:pPr>
            <w:r>
              <w:t>11 Jul 1996</w:t>
            </w:r>
          </w:p>
        </w:tc>
        <w:tc>
          <w:tcPr>
            <w:tcW w:w="2552" w:type="dxa"/>
          </w:tcPr>
          <w:p>
            <w:pPr>
              <w:pStyle w:val="nTable"/>
              <w:spacing w:after="40"/>
            </w:pPr>
            <w:r>
              <w:t xml:space="preserve">4 Aug 1996 (see s. 2 and </w:t>
            </w:r>
            <w:r>
              <w:rPr>
                <w:i/>
              </w:rPr>
              <w:t xml:space="preserve">Gazette </w:t>
            </w:r>
            <w:r>
              <w:t>2 Aug 1996 p. 3615)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(Assemblies and Noise) Act 1996</w:t>
            </w:r>
            <w:r>
              <w:t xml:space="preserve"> Pt. 3</w:t>
            </w:r>
          </w:p>
        </w:tc>
        <w:tc>
          <w:tcPr>
            <w:tcW w:w="1134" w:type="dxa"/>
          </w:tcPr>
          <w:p>
            <w:pPr>
              <w:pStyle w:val="nTable"/>
              <w:spacing w:after="40"/>
            </w:pPr>
            <w:r>
              <w:t>50 of 1996</w:t>
            </w:r>
          </w:p>
        </w:tc>
        <w:tc>
          <w:tcPr>
            <w:tcW w:w="1134" w:type="dxa"/>
          </w:tcPr>
          <w:p>
            <w:pPr>
              <w:pStyle w:val="nTable"/>
              <w:spacing w:after="40"/>
            </w:pPr>
            <w:r>
              <w:t>31 Oct 1996</w:t>
            </w:r>
          </w:p>
        </w:tc>
        <w:tc>
          <w:tcPr>
            <w:tcW w:w="2552" w:type="dxa"/>
          </w:tcPr>
          <w:p>
            <w:pPr>
              <w:pStyle w:val="nTable"/>
              <w:spacing w:after="40"/>
            </w:pPr>
            <w:r>
              <w:t xml:space="preserve">4 Dec 1996 (see s. 2 and </w:t>
            </w:r>
            <w:r>
              <w:rPr>
                <w:i/>
              </w:rPr>
              <w:t>Gazette</w:t>
            </w:r>
            <w:r>
              <w:t xml:space="preserve"> 3 Dec 1996 p. 6695)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Transfer of Land Amendment Act 1996</w:t>
            </w:r>
            <w:r>
              <w:t xml:space="preserve"> s. 153(1)</w:t>
            </w:r>
          </w:p>
        </w:tc>
        <w:tc>
          <w:tcPr>
            <w:tcW w:w="1134" w:type="dxa"/>
          </w:tcPr>
          <w:p>
            <w:pPr>
              <w:pStyle w:val="nTable"/>
              <w:keepNext/>
              <w:spacing w:after="40"/>
            </w:pPr>
            <w:r>
              <w:t>81 of 1996</w:t>
            </w:r>
          </w:p>
        </w:tc>
        <w:tc>
          <w:tcPr>
            <w:tcW w:w="1134" w:type="dxa"/>
          </w:tcPr>
          <w:p>
            <w:pPr>
              <w:pStyle w:val="nTable"/>
              <w:keepNext/>
              <w:spacing w:after="40"/>
            </w:pPr>
            <w:r>
              <w:t>14 Nov 1996</w:t>
            </w:r>
          </w:p>
        </w:tc>
        <w:tc>
          <w:tcPr>
            <w:tcW w:w="2552" w:type="dxa"/>
          </w:tcPr>
          <w:p>
            <w:pPr>
              <w:pStyle w:val="nTable"/>
              <w:keepNext/>
              <w:spacing w:after="40"/>
            </w:pPr>
            <w:r>
              <w:t>14 Nov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(Land Administration) Act 1997</w:t>
            </w:r>
            <w:r>
              <w:t xml:space="preserve"> Pt. 25</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54</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Environmental Protection Amendment Act 1998</w:t>
            </w:r>
            <w:r>
              <w:rPr>
                <w:vertAlign w:val="superscript"/>
              </w:rPr>
              <w:t xml:space="preserve"> 8</w:t>
            </w:r>
          </w:p>
        </w:tc>
        <w:tc>
          <w:tcPr>
            <w:tcW w:w="1134" w:type="dxa"/>
          </w:tcPr>
          <w:p>
            <w:pPr>
              <w:pStyle w:val="nTable"/>
              <w:spacing w:after="40"/>
            </w:pPr>
            <w:r>
              <w:t>14 of 1998</w:t>
            </w:r>
          </w:p>
        </w:tc>
        <w:tc>
          <w:tcPr>
            <w:tcW w:w="1134" w:type="dxa"/>
          </w:tcPr>
          <w:p>
            <w:pPr>
              <w:pStyle w:val="nTable"/>
              <w:spacing w:after="40"/>
            </w:pPr>
            <w:r>
              <w:t>21 May 1998</w:t>
            </w:r>
          </w:p>
        </w:tc>
        <w:tc>
          <w:tcPr>
            <w:tcW w:w="2552" w:type="dxa"/>
          </w:tcPr>
          <w:p>
            <w:pPr>
              <w:pStyle w:val="nTable"/>
              <w:spacing w:after="40"/>
              <w:ind w:right="13"/>
            </w:pPr>
            <w:r>
              <w:t>s. 1</w:t>
            </w:r>
            <w:r>
              <w:noBreakHyphen/>
              <w:t>3, 21, 26, 27, 29, 32</w:t>
            </w:r>
            <w:r>
              <w:noBreakHyphen/>
              <w:t>34, 36 and 37: 21 May 1998 (see s. 2(1));</w:t>
            </w:r>
            <w:r>
              <w:br/>
              <w:t xml:space="preserve">s. 20: </w:t>
            </w:r>
            <w:r>
              <w:rPr>
                <w:spacing w:val="-6"/>
              </w:rPr>
              <w:t>1 Jul 1998</w:t>
            </w:r>
            <w:r>
              <w:t xml:space="preserve"> (see s. 2(2) </w:t>
            </w:r>
            <w:r>
              <w:rPr>
                <w:spacing w:val="-6"/>
              </w:rPr>
              <w:t>and</w:t>
            </w:r>
            <w:r>
              <w:t xml:space="preserve"> </w:t>
            </w:r>
            <w:r>
              <w:rPr>
                <w:i/>
              </w:rPr>
              <w:t>Gazette</w:t>
            </w:r>
            <w:r>
              <w:t xml:space="preserve"> </w:t>
            </w:r>
            <w:r>
              <w:rPr>
                <w:spacing w:val="-6"/>
              </w:rPr>
              <w:t>26 Jun 1998 p. 3369)</w:t>
            </w:r>
            <w:r>
              <w:t>;</w:t>
            </w:r>
            <w:r>
              <w:br/>
              <w:t>s. 4, 6</w:t>
            </w:r>
            <w:r>
              <w:noBreakHyphen/>
              <w:t>9, 11, 12 and 14 (to the extent that it inserts Pt. VIA heading, Div. 3 and 4 headings and s. 99Q</w:t>
            </w:r>
            <w:r>
              <w:noBreakHyphen/>
              <w:t>99X and 99Z</w:t>
            </w:r>
            <w:r>
              <w:noBreakHyphen/>
              <w:t>99ZB), 15</w:t>
            </w:r>
            <w:r>
              <w:noBreakHyphen/>
              <w:t>19, 22</w:t>
            </w:r>
            <w:r>
              <w:noBreakHyphen/>
              <w:t xml:space="preserve">25, 28, 30, 31 and 35: 1 Jul 1998 (see s. 2(3) and </w:t>
            </w:r>
            <w:r>
              <w:rPr>
                <w:i/>
              </w:rPr>
              <w:t>Gazette</w:t>
            </w:r>
            <w:r>
              <w:t xml:space="preserve"> 26 Jun 1998 p. 3369);</w:t>
            </w:r>
            <w:r>
              <w:br/>
              <w:t>s. 10, 13 and 14 (to the extent that it inserts Div. 1 and 2 headings and s. 99A</w:t>
            </w:r>
            <w:r>
              <w:noBreakHyphen/>
              <w:t xml:space="preserve">99P and 99Y): 8 Jan 1999 (see s. 2(3) and </w:t>
            </w:r>
            <w:r>
              <w:rPr>
                <w:i/>
              </w:rPr>
              <w:t>Gazette</w:t>
            </w:r>
            <w:r>
              <w:t xml:space="preserve"> 8 Jan 1999 p. 35);</w:t>
            </w:r>
            <w:r>
              <w:br/>
              <w:t xml:space="preserve">s. 5: 10 Sep 2005 (see s. 2(3) and </w:t>
            </w:r>
            <w:r>
              <w:rPr>
                <w:i/>
              </w:rPr>
              <w:t>Gazette</w:t>
            </w:r>
            <w:r>
              <w:t xml:space="preserve"> 9 Sep 2005 p. 4155)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lastRenderedPageBreak/>
              <w:t xml:space="preserve">Reprint of the </w:t>
            </w:r>
            <w:r>
              <w:rPr>
                <w:b/>
                <w:i/>
              </w:rPr>
              <w:t>Environmental Protection Act 1986</w:t>
            </w:r>
            <w:r>
              <w:rPr>
                <w:b/>
              </w:rPr>
              <w:t xml:space="preserve"> as at 16 Apr 1999 </w:t>
            </w:r>
            <w:r>
              <w:t xml:space="preserve">(includes amendments listed above except those in the </w:t>
            </w:r>
            <w:r>
              <w:rPr>
                <w:i/>
              </w:rPr>
              <w:t>Environmental Protection Amendment Act 1998</w:t>
            </w:r>
            <w:r>
              <w:t xml:space="preserve"> 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Midland Redevelopment Act 1999</w:t>
            </w:r>
            <w:r>
              <w:t xml:space="preserve"> s. 71</w:t>
            </w:r>
          </w:p>
        </w:tc>
        <w:tc>
          <w:tcPr>
            <w:tcW w:w="1134" w:type="dxa"/>
          </w:tcPr>
          <w:p>
            <w:pPr>
              <w:pStyle w:val="nTable"/>
              <w:spacing w:after="40"/>
            </w:pPr>
            <w:r>
              <w:t>38 of 1999</w:t>
            </w:r>
          </w:p>
        </w:tc>
        <w:tc>
          <w:tcPr>
            <w:tcW w:w="1134" w:type="dxa"/>
          </w:tcPr>
          <w:p>
            <w:pPr>
              <w:pStyle w:val="nTable"/>
              <w:spacing w:after="40"/>
            </w:pPr>
            <w:r>
              <w:t>11 Nov 1999</w:t>
            </w:r>
          </w:p>
        </w:tc>
        <w:tc>
          <w:tcPr>
            <w:tcW w:w="2552" w:type="dxa"/>
          </w:tcPr>
          <w:p>
            <w:pPr>
              <w:pStyle w:val="nTable"/>
              <w:spacing w:after="40"/>
            </w:pPr>
            <w:r>
              <w:t>1 Jan 2000 (see s. 2 and </w:t>
            </w:r>
            <w:r>
              <w:rPr>
                <w:i/>
              </w:rPr>
              <w:t>Gazette</w:t>
            </w:r>
            <w:r>
              <w:t xml:space="preserve"> 31 Dec 1999 p. 7059)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7 Jul 2000 </w:t>
            </w:r>
            <w:r>
              <w:t xml:space="preserve">(includes amendments listed above except those in the </w:t>
            </w:r>
            <w:r>
              <w:rPr>
                <w:i/>
              </w:rPr>
              <w:t>Environmental Protection Amendment Act 1998</w:t>
            </w:r>
            <w:r>
              <w:t xml:space="preserve"> 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Rights in Water and Irrigation Amendment Act 2000 </w:t>
            </w:r>
            <w:r>
              <w:t>s. 84</w:t>
            </w:r>
          </w:p>
        </w:tc>
        <w:tc>
          <w:tcPr>
            <w:tcW w:w="1134" w:type="dxa"/>
          </w:tcPr>
          <w:p>
            <w:pPr>
              <w:pStyle w:val="nTable"/>
              <w:spacing w:after="40"/>
            </w:pPr>
            <w:r>
              <w:t>49 of 2000</w:t>
            </w:r>
          </w:p>
        </w:tc>
        <w:tc>
          <w:tcPr>
            <w:tcW w:w="1134" w:type="dxa"/>
          </w:tcPr>
          <w:p>
            <w:pPr>
              <w:pStyle w:val="nTable"/>
              <w:spacing w:after="40"/>
            </w:pPr>
            <w:r>
              <w:t>28 Nov 2000</w:t>
            </w:r>
          </w:p>
        </w:tc>
        <w:tc>
          <w:tcPr>
            <w:tcW w:w="2552" w:type="dxa"/>
          </w:tcPr>
          <w:p>
            <w:pPr>
              <w:pStyle w:val="nTable"/>
              <w:spacing w:after="40"/>
            </w:pPr>
            <w:r>
              <w:t xml:space="preserve">10 Jan 2001 (see s. 2 and </w:t>
            </w:r>
            <w:r>
              <w:rPr>
                <w:i/>
              </w:rPr>
              <w:t>Gazette</w:t>
            </w:r>
            <w:r>
              <w:t xml:space="preserve"> 10 Jan 2001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Property Confiscation (Consequential Provisions) Act 2000 </w:t>
            </w:r>
            <w:r>
              <w:t>s. 13(1)</w:t>
            </w:r>
            <w:r>
              <w:rPr>
                <w:vertAlign w:val="superscript"/>
              </w:rPr>
              <w:t> 9</w:t>
            </w:r>
          </w:p>
        </w:tc>
        <w:tc>
          <w:tcPr>
            <w:tcW w:w="1134" w:type="dxa"/>
          </w:tcPr>
          <w:p>
            <w:pPr>
              <w:pStyle w:val="nTable"/>
              <w:spacing w:after="40"/>
            </w:pPr>
            <w:r>
              <w:t>69 of 2000</w:t>
            </w:r>
          </w:p>
        </w:tc>
        <w:tc>
          <w:tcPr>
            <w:tcW w:w="1134" w:type="dxa"/>
          </w:tcPr>
          <w:p>
            <w:pPr>
              <w:pStyle w:val="nTable"/>
              <w:spacing w:after="40"/>
            </w:pPr>
            <w:r>
              <w:t>6 Dec 2000</w:t>
            </w:r>
          </w:p>
        </w:tc>
        <w:tc>
          <w:tcPr>
            <w:tcW w:w="2552" w:type="dxa"/>
          </w:tcPr>
          <w:p>
            <w:pPr>
              <w:pStyle w:val="nTable"/>
              <w:spacing w:after="40"/>
            </w:pPr>
            <w:r>
              <w:t>1 Jan 2001 (see s. 2 and </w:t>
            </w:r>
            <w:r>
              <w:rPr>
                <w:i/>
              </w:rPr>
              <w:t>Gazette</w:t>
            </w:r>
            <w:r>
              <w:t xml:space="preserve"> 29 Dec 2000 p. 7903)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Hope Valley</w:t>
            </w:r>
            <w:r>
              <w:rPr>
                <w:i/>
              </w:rPr>
              <w:noBreakHyphen/>
              <w:t xml:space="preserve">Wattleup Redevelopment Act 2000 </w:t>
            </w:r>
            <w:r>
              <w:t>s. 37</w:t>
            </w:r>
          </w:p>
        </w:tc>
        <w:tc>
          <w:tcPr>
            <w:tcW w:w="1134" w:type="dxa"/>
          </w:tcPr>
          <w:p>
            <w:pPr>
              <w:pStyle w:val="nTable"/>
              <w:spacing w:after="40"/>
            </w:pPr>
            <w:r>
              <w:t>77 of 2000</w:t>
            </w:r>
          </w:p>
        </w:tc>
        <w:tc>
          <w:tcPr>
            <w:tcW w:w="1134" w:type="dxa"/>
          </w:tcPr>
          <w:p>
            <w:pPr>
              <w:pStyle w:val="nTable"/>
              <w:spacing w:after="40"/>
            </w:pPr>
            <w:r>
              <w:t>7 Dec 2000</w:t>
            </w:r>
          </w:p>
        </w:tc>
        <w:tc>
          <w:tcPr>
            <w:tcW w:w="2552" w:type="dxa"/>
          </w:tcPr>
          <w:p>
            <w:pPr>
              <w:pStyle w:val="nTable"/>
              <w:spacing w:after="40"/>
            </w:pPr>
            <w:r>
              <w:t xml:space="preserve">1 Jan 2001 (see s. 2 and </w:t>
            </w:r>
            <w:r>
              <w:rPr>
                <w:i/>
              </w:rPr>
              <w:t>Gazette</w:t>
            </w:r>
            <w:r>
              <w:t xml:space="preserve"> 29 Dec 2000 p. 7904)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Corporations (Consequential Amendments) Act 2001</w:t>
            </w:r>
            <w:r>
              <w:t xml:space="preserve"> Pt. 23</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Armadale Redevelopment Act 2001</w:t>
            </w:r>
            <w:r>
              <w:t xml:space="preserve"> s. 69</w:t>
            </w:r>
          </w:p>
        </w:tc>
        <w:tc>
          <w:tcPr>
            <w:tcW w:w="1134" w:type="dxa"/>
          </w:tcPr>
          <w:p>
            <w:pPr>
              <w:pStyle w:val="nTable"/>
              <w:spacing w:after="40"/>
            </w:pPr>
            <w:r>
              <w:t>25 of 2001</w:t>
            </w:r>
          </w:p>
        </w:tc>
        <w:tc>
          <w:tcPr>
            <w:tcW w:w="1134" w:type="dxa"/>
          </w:tcPr>
          <w:p>
            <w:pPr>
              <w:pStyle w:val="nTable"/>
              <w:spacing w:after="40"/>
            </w:pPr>
            <w:r>
              <w:t>26 Nov 2001</w:t>
            </w:r>
          </w:p>
        </w:tc>
        <w:tc>
          <w:tcPr>
            <w:tcW w:w="2552" w:type="dxa"/>
          </w:tcPr>
          <w:p>
            <w:pPr>
              <w:pStyle w:val="nTable"/>
              <w:spacing w:after="40"/>
            </w:pPr>
            <w:r>
              <w:t xml:space="preserve">23 Mar 2002 (see s. 2 and </w:t>
            </w:r>
            <w:r>
              <w:rPr>
                <w:i/>
              </w:rPr>
              <w:t>Gazette</w:t>
            </w:r>
            <w:r>
              <w:t xml:space="preserve"> 22 Mar 2002 p. 1651)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11 Jan 2002 </w:t>
            </w:r>
            <w:r>
              <w:t xml:space="preserve">(includes amendments listed above except those in the </w:t>
            </w:r>
            <w:r>
              <w:rPr>
                <w:i/>
              </w:rPr>
              <w:t>Environmental Protection Amendment Act 1998</w:t>
            </w:r>
            <w:r>
              <w:t xml:space="preserve"> s. 5 and the </w:t>
            </w:r>
            <w:r>
              <w:rPr>
                <w:i/>
              </w:rPr>
              <w:t>Armadale Redevelopment Act 2001</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Environmental Protection Amendment Act 2003</w:t>
            </w:r>
            <w:r>
              <w:rPr>
                <w:vertAlign w:val="superscript"/>
              </w:rPr>
              <w:t xml:space="preserve"> 10-14</w:t>
            </w:r>
          </w:p>
        </w:tc>
        <w:tc>
          <w:tcPr>
            <w:tcW w:w="1134" w:type="dxa"/>
          </w:tcPr>
          <w:p>
            <w:pPr>
              <w:pStyle w:val="nTable"/>
              <w:spacing w:after="40"/>
            </w:pPr>
            <w:r>
              <w:t>54 of 2003 (as amended by No. 8 of 2009 s. 54)</w:t>
            </w:r>
          </w:p>
        </w:tc>
        <w:tc>
          <w:tcPr>
            <w:tcW w:w="1134" w:type="dxa"/>
          </w:tcPr>
          <w:p>
            <w:pPr>
              <w:pStyle w:val="nTable"/>
              <w:spacing w:after="40"/>
            </w:pPr>
            <w:r>
              <w:t>20 Oct 2003</w:t>
            </w:r>
          </w:p>
        </w:tc>
        <w:tc>
          <w:tcPr>
            <w:tcW w:w="2552" w:type="dxa"/>
          </w:tcPr>
          <w:p>
            <w:pPr>
              <w:pStyle w:val="nTable"/>
              <w:keepNext/>
              <w:spacing w:after="40"/>
            </w:pPr>
            <w:r>
              <w:t>s. 1 and 2: 20 Oct 2003;</w:t>
            </w:r>
            <w:r>
              <w:br/>
              <w:t xml:space="preserve">Act other than s. 1, 2, 37, 54(2), 55, 72(2) and (4), 75(3) and (4) and Pt. 9: 19 Nov 2003 (see s. 2 and </w:t>
            </w:r>
            <w:r>
              <w:rPr>
                <w:i/>
              </w:rPr>
              <w:t>Gazette</w:t>
            </w:r>
            <w:r>
              <w:t xml:space="preserve"> 18 Nov 2003 p. 4723);</w:t>
            </w:r>
            <w:r>
              <w:br/>
              <w:t xml:space="preserve">s. 37, 54(2), 55, 72(2) and (4), 75(3) and (4) and Pt. 9: 8 Jul 2004 (see s. 2 and </w:t>
            </w:r>
            <w:r>
              <w:rPr>
                <w:i/>
              </w:rPr>
              <w:t>Gazette</w:t>
            </w:r>
            <w:r>
              <w:t xml:space="preserve"> 30 Jun 2004 p. 2581)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lastRenderedPageBreak/>
              <w:t xml:space="preserve">Contaminated Sites Act 2003 </w:t>
            </w:r>
            <w:r>
              <w:rPr>
                <w:snapToGrid w:val="0"/>
              </w:rPr>
              <w:t xml:space="preserve">s. 100 </w:t>
            </w:r>
          </w:p>
        </w:tc>
        <w:tc>
          <w:tcPr>
            <w:tcW w:w="1134" w:type="dxa"/>
          </w:tcPr>
          <w:p>
            <w:pPr>
              <w:pStyle w:val="nTable"/>
              <w:spacing w:after="40"/>
              <w:rPr>
                <w:snapToGrid w:val="0"/>
              </w:rPr>
            </w:pPr>
            <w:r>
              <w:t>60 of 2003</w:t>
            </w:r>
            <w:r>
              <w:br/>
              <w:t>(as amended by No. 40 of 2005 s. 13)</w:t>
            </w:r>
          </w:p>
        </w:tc>
        <w:tc>
          <w:tcPr>
            <w:tcW w:w="1134" w:type="dxa"/>
          </w:tcPr>
          <w:p>
            <w:pPr>
              <w:pStyle w:val="nTable"/>
              <w:spacing w:after="40"/>
            </w:pPr>
            <w:r>
              <w:t>7 Nov 2003</w:t>
            </w:r>
          </w:p>
        </w:tc>
        <w:tc>
          <w:tcPr>
            <w:tcW w:w="2552" w:type="dxa"/>
          </w:tcPr>
          <w:p>
            <w:pPr>
              <w:pStyle w:val="nTable"/>
              <w:spacing w:after="40"/>
            </w:pPr>
            <w:r>
              <w:t xml:space="preserve">1 Dec 2006 (see s. 2 and </w:t>
            </w:r>
            <w:r>
              <w:rPr>
                <w:i/>
              </w:rPr>
              <w:t>Gazette</w:t>
            </w:r>
            <w:r>
              <w:t xml:space="preserve"> 8 Aug 2006 p. 2899)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5: The </w:t>
            </w:r>
            <w:r>
              <w:rPr>
                <w:b/>
                <w:i/>
              </w:rPr>
              <w:t>Environmental Protection Act 1986</w:t>
            </w:r>
            <w:r>
              <w:rPr>
                <w:b/>
              </w:rPr>
              <w:t xml:space="preserve"> as at 16 Sep 2005 </w:t>
            </w:r>
            <w:r>
              <w:t xml:space="preserve">(includes amendments listed above except those in the </w:t>
            </w:r>
            <w:r>
              <w:rPr>
                <w:i/>
              </w:rPr>
              <w:t>Contaminated Sites Act 2003</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rPr>
                <w:snapToGrid w:val="0"/>
              </w:rPr>
            </w:pPr>
            <w:r>
              <w:t>12 Dec 2005</w:t>
            </w:r>
          </w:p>
        </w:tc>
        <w:tc>
          <w:tcPr>
            <w:tcW w:w="2552"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Machinery of Government (Miscellaneous Amendments) Act 2006</w:t>
            </w:r>
            <w:r>
              <w:rPr>
                <w:snapToGrid w:val="0"/>
              </w:rPr>
              <w:t xml:space="preserve"> Pt. 7 Div. 2</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rPr>
                <w:snapToGrid w:val="0"/>
              </w:rPr>
            </w:pPr>
            <w:r>
              <w:t xml:space="preserve">1 Jul 2006 (see s. 2 and </w:t>
            </w:r>
            <w:r>
              <w:rPr>
                <w:i/>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 4 and Sch. 1 cl. 59</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 xml:space="preserve">Waste Avoidance and Resource Recovery Act 2007 </w:t>
            </w:r>
            <w:r>
              <w:rPr>
                <w:iCs/>
                <w:snapToGrid w:val="0"/>
              </w:rPr>
              <w:t xml:space="preserve">Sch. 4 </w:t>
            </w:r>
            <w:r>
              <w:rPr>
                <w:snapToGrid w:val="0"/>
              </w:rPr>
              <w:t>cl. 2(1), (2), (4) and (5)</w:t>
            </w:r>
            <w:r>
              <w:rPr>
                <w:snapToGrid w:val="0"/>
                <w:vertAlign w:val="superscript"/>
              </w:rPr>
              <w:t> 15</w:t>
            </w:r>
          </w:p>
        </w:tc>
        <w:tc>
          <w:tcPr>
            <w:tcW w:w="1134" w:type="dxa"/>
          </w:tcPr>
          <w:p>
            <w:pPr>
              <w:pStyle w:val="nTable"/>
              <w:spacing w:after="40"/>
              <w:rPr>
                <w:snapToGrid w:val="0"/>
              </w:rPr>
            </w:pPr>
            <w:r>
              <w:rPr>
                <w:snapToGrid w:val="0"/>
              </w:rPr>
              <w:t>36 of 2007</w:t>
            </w:r>
          </w:p>
        </w:tc>
        <w:tc>
          <w:tcPr>
            <w:tcW w:w="1134" w:type="dxa"/>
          </w:tcPr>
          <w:p>
            <w:pPr>
              <w:pStyle w:val="nTable"/>
              <w:spacing w:after="40"/>
              <w:rPr>
                <w:snapToGrid w:val="0"/>
              </w:rPr>
            </w:pPr>
            <w:r>
              <w:rPr>
                <w:snapToGrid w:val="0"/>
              </w:rPr>
              <w:t>21 Dec 2007</w:t>
            </w:r>
          </w:p>
        </w:tc>
        <w:tc>
          <w:tcPr>
            <w:tcW w:w="2552" w:type="dxa"/>
          </w:tcPr>
          <w:p>
            <w:pPr>
              <w:pStyle w:val="nTable"/>
              <w:spacing w:after="40"/>
              <w:rPr>
                <w:snapToGrid w:val="0"/>
              </w:rPr>
            </w:pPr>
            <w:r>
              <w:rPr>
                <w:snapToGrid w:val="0"/>
              </w:rPr>
              <w:t>Sch. 4 cl. 2(1), (2) and (4):</w:t>
            </w:r>
            <w:r>
              <w:rPr>
                <w:snapToGrid w:val="0"/>
              </w:rPr>
              <w:br/>
              <w:t xml:space="preserve">9 Jan 2008 (see s. 2(b) and </w:t>
            </w:r>
            <w:r>
              <w:rPr>
                <w:i/>
                <w:iCs/>
                <w:snapToGrid w:val="0"/>
              </w:rPr>
              <w:t>Gazette</w:t>
            </w:r>
            <w:r>
              <w:rPr>
                <w:snapToGrid w:val="0"/>
              </w:rPr>
              <w:t xml:space="preserve"> 8 Jan 2008 p. 33);</w:t>
            </w:r>
            <w:r>
              <w:rPr>
                <w:snapToGrid w:val="0"/>
              </w:rPr>
              <w:br/>
              <w:t xml:space="preserve">Sch. 4 cl. 2(5): 1 Jul 2008 (see s. 2(b) and </w:t>
            </w:r>
            <w:r>
              <w:rPr>
                <w:i/>
                <w:iCs/>
                <w:snapToGrid w:val="0"/>
              </w:rPr>
              <w:t>Gazette</w:t>
            </w:r>
            <w:r>
              <w:rPr>
                <w:snapToGrid w:val="0"/>
              </w:rPr>
              <w:t xml:space="preserve"> 20 Jun 2008 p. 2705)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194 </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2" w:type="dxa"/>
          </w:tcPr>
          <w:p>
            <w:pPr>
              <w:pStyle w:val="nTable"/>
              <w:spacing w:after="40"/>
            </w:pPr>
            <w:r>
              <w:t xml:space="preserve">1 Feb 2008 (see s. 2(2) and </w:t>
            </w:r>
            <w:r>
              <w:rPr>
                <w:i/>
                <w:iCs/>
              </w:rPr>
              <w:t>Gazette</w:t>
            </w:r>
            <w:r>
              <w:t xml:space="preserve"> 31 Jan 2008 p. 251)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keepNext/>
              <w:spacing w:after="40"/>
            </w:pPr>
            <w:r>
              <w:rPr>
                <w:b/>
              </w:rPr>
              <w:lastRenderedPageBreak/>
              <w:t xml:space="preserve">Reprint 6: The </w:t>
            </w:r>
            <w:r>
              <w:rPr>
                <w:b/>
                <w:i/>
              </w:rPr>
              <w:t>Environmental Protection Act 1986</w:t>
            </w:r>
            <w:r>
              <w:rPr>
                <w:b/>
              </w:rPr>
              <w:t xml:space="preserve"> as at 11 Apr 2008 </w:t>
            </w:r>
            <w:r>
              <w:t xml:space="preserve">(includes amendments listed above, except those in the </w:t>
            </w:r>
            <w:r>
              <w:rPr>
                <w:i/>
                <w:iCs/>
              </w:rPr>
              <w:t>Waste Avoidance and Resource Recovery Act 2007</w:t>
            </w:r>
            <w:r>
              <w:t xml:space="preserve"> </w:t>
            </w:r>
            <w:r>
              <w:rPr>
                <w:snapToGrid w:val="0"/>
              </w:rPr>
              <w:t>Sch. 4 cl. 2(5))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53</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35</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Bush Fires Amendment Act 2009 </w:t>
            </w:r>
            <w:r>
              <w:rPr>
                <w:iCs/>
                <w:snapToGrid w:val="0"/>
              </w:rPr>
              <w:t xml:space="preserve"> s. 20</w:t>
            </w:r>
          </w:p>
        </w:tc>
        <w:tc>
          <w:tcPr>
            <w:tcW w:w="1134" w:type="dxa"/>
          </w:tcPr>
          <w:p>
            <w:pPr>
              <w:pStyle w:val="nTable"/>
              <w:spacing w:after="40"/>
            </w:pPr>
            <w:r>
              <w:rPr>
                <w:snapToGrid w:val="0"/>
              </w:rPr>
              <w:t>25 of 2009</w:t>
            </w:r>
          </w:p>
        </w:tc>
        <w:tc>
          <w:tcPr>
            <w:tcW w:w="1134" w:type="dxa"/>
          </w:tcPr>
          <w:p>
            <w:pPr>
              <w:pStyle w:val="nTable"/>
              <w:spacing w:after="40"/>
            </w:pPr>
            <w:r>
              <w:rPr>
                <w:snapToGrid w:val="0"/>
              </w:rPr>
              <w:t>17 Nov 2009</w:t>
            </w:r>
          </w:p>
        </w:tc>
        <w:tc>
          <w:tcPr>
            <w:tcW w:w="2552" w:type="dxa"/>
          </w:tcPr>
          <w:p>
            <w:pPr>
              <w:pStyle w:val="nTable"/>
              <w:spacing w:after="40"/>
            </w:pPr>
            <w:r>
              <w:rPr>
                <w:snapToGrid w:val="0"/>
              </w:rPr>
              <w:t xml:space="preserve">1 Dec 2009 (see s. 2(b) and </w:t>
            </w:r>
            <w:r>
              <w:rPr>
                <w:i/>
                <w:snapToGrid w:val="0"/>
              </w:rPr>
              <w:t>Gazette</w:t>
            </w:r>
            <w:r>
              <w:rPr>
                <w:iCs/>
                <w:snapToGrid w:val="0"/>
              </w:rPr>
              <w:t xml:space="preserve"> 1 Dec 2009 p. 4829</w:t>
            </w:r>
            <w:r>
              <w:rPr>
                <w:snapToGrid w:val="0"/>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Approvals and Related Reforms (No. 3) (Crown Land) Act 2010</w:t>
            </w:r>
            <w:r>
              <w:rPr>
                <w:iCs/>
                <w:snapToGrid w:val="0"/>
              </w:rPr>
              <w:t xml:space="preserve"> Pt. 4</w:t>
            </w:r>
          </w:p>
        </w:tc>
        <w:tc>
          <w:tcPr>
            <w:tcW w:w="1134" w:type="dxa"/>
          </w:tcPr>
          <w:p>
            <w:pPr>
              <w:pStyle w:val="nTable"/>
              <w:spacing w:after="40"/>
            </w:pPr>
            <w:r>
              <w:t>8 of 2010</w:t>
            </w:r>
          </w:p>
        </w:tc>
        <w:tc>
          <w:tcPr>
            <w:tcW w:w="1134" w:type="dxa"/>
          </w:tcPr>
          <w:p>
            <w:pPr>
              <w:pStyle w:val="nTable"/>
              <w:spacing w:after="40"/>
            </w:pPr>
            <w:r>
              <w:t>3 Jun 2010</w:t>
            </w:r>
          </w:p>
        </w:tc>
        <w:tc>
          <w:tcPr>
            <w:tcW w:w="2552" w:type="dxa"/>
          </w:tcPr>
          <w:p>
            <w:pPr>
              <w:pStyle w:val="nTable"/>
              <w:spacing w:after="40"/>
            </w:pPr>
            <w:r>
              <w:t xml:space="preserve">18 Sep 2010 (see s. 2(b) and </w:t>
            </w:r>
            <w:r>
              <w:rPr>
                <w:i/>
                <w:iCs/>
              </w:rPr>
              <w:t>Gazette</w:t>
            </w:r>
            <w:r>
              <w:t xml:space="preserve"> 17 Sep 2010 p. 4757)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Approvals and Related Reforms (No. 4) (Planning) Act 2010</w:t>
            </w:r>
            <w:r>
              <w:t xml:space="preserve"> Pt. 2 Div. 2 Subdiv. 1</w:t>
            </w:r>
          </w:p>
        </w:tc>
        <w:tc>
          <w:tcPr>
            <w:tcW w:w="1134" w:type="dxa"/>
          </w:tcPr>
          <w:p>
            <w:pPr>
              <w:pStyle w:val="nTable"/>
              <w:spacing w:after="40"/>
              <w:rPr>
                <w:snapToGrid w:val="0"/>
              </w:rPr>
            </w:pPr>
            <w:r>
              <w:rPr>
                <w:snapToGrid w:val="0"/>
              </w:rPr>
              <w:t>28 of 2010</w:t>
            </w:r>
          </w:p>
        </w:tc>
        <w:tc>
          <w:tcPr>
            <w:tcW w:w="1134" w:type="dxa"/>
          </w:tcPr>
          <w:p>
            <w:pPr>
              <w:pStyle w:val="nTable"/>
              <w:spacing w:after="40"/>
              <w:rPr>
                <w:snapToGrid w:val="0"/>
              </w:rPr>
            </w:pPr>
            <w:r>
              <w:rPr>
                <w:snapToGrid w:val="0"/>
              </w:rPr>
              <w:t>19 Aug 2010</w:t>
            </w:r>
          </w:p>
        </w:tc>
        <w:tc>
          <w:tcPr>
            <w:tcW w:w="2552" w:type="dxa"/>
          </w:tcPr>
          <w:p>
            <w:pPr>
              <w:pStyle w:val="nTable"/>
              <w:spacing w:after="40"/>
              <w:rPr>
                <w:snapToGrid w:val="0"/>
              </w:rPr>
            </w:pPr>
            <w:r>
              <w:t xml:space="preserve">22 Nov 2010 (see s. 2(b) and </w:t>
            </w:r>
            <w:r>
              <w:rPr>
                <w:i/>
                <w:iCs/>
              </w:rPr>
              <w:t>Gazette</w:t>
            </w:r>
            <w:r>
              <w:t xml:space="preserve"> 19 Nov 2010 p. 5709)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Approvals and Related Reforms (No. 1) (Environment) Act 2010</w:t>
            </w:r>
            <w:r>
              <w:rPr>
                <w:iCs/>
                <w:snapToGrid w:val="0"/>
              </w:rPr>
              <w:t xml:space="preserve"> </w:t>
            </w:r>
          </w:p>
        </w:tc>
        <w:tc>
          <w:tcPr>
            <w:tcW w:w="1134" w:type="dxa"/>
          </w:tcPr>
          <w:p>
            <w:pPr>
              <w:pStyle w:val="nTable"/>
              <w:spacing w:after="40"/>
              <w:rPr>
                <w:snapToGrid w:val="0"/>
              </w:rPr>
            </w:pPr>
            <w:r>
              <w:rPr>
                <w:snapToGrid w:val="0"/>
              </w:rPr>
              <w:t>40 of 2010</w:t>
            </w:r>
          </w:p>
        </w:tc>
        <w:tc>
          <w:tcPr>
            <w:tcW w:w="1134" w:type="dxa"/>
          </w:tcPr>
          <w:p>
            <w:pPr>
              <w:pStyle w:val="nTable"/>
              <w:spacing w:after="40"/>
              <w:rPr>
                <w:snapToGrid w:val="0"/>
              </w:rPr>
            </w:pPr>
            <w:r>
              <w:rPr>
                <w:snapToGrid w:val="0"/>
              </w:rPr>
              <w:t>28 Oct 2010</w:t>
            </w:r>
          </w:p>
        </w:tc>
        <w:tc>
          <w:tcPr>
            <w:tcW w:w="2552" w:type="dxa"/>
          </w:tcPr>
          <w:p>
            <w:pPr>
              <w:pStyle w:val="nTable"/>
              <w:spacing w:after="40"/>
            </w:pPr>
            <w:r>
              <w:rPr>
                <w:snapToGrid w:val="0"/>
                <w:spacing w:val="-2"/>
              </w:rPr>
              <w:t>Pt. 1 other than s. 3: 28 Oct 2010 (see s. 2(a));</w:t>
            </w:r>
            <w:r>
              <w:rPr>
                <w:snapToGrid w:val="0"/>
                <w:spacing w:val="-2"/>
              </w:rPr>
              <w:br/>
              <w:t xml:space="preserve">Act other than Pt. 1 heading, s. 1 and 2: 26 Nov 2010 (see s. 2(b) and </w:t>
            </w:r>
            <w:r>
              <w:rPr>
                <w:i/>
                <w:snapToGrid w:val="0"/>
                <w:spacing w:val="-2"/>
              </w:rPr>
              <w:t>Gazette</w:t>
            </w:r>
            <w:r>
              <w:rPr>
                <w:snapToGrid w:val="0"/>
                <w:spacing w:val="-2"/>
              </w:rPr>
              <w:t xml:space="preserve"> 23 Nov 2010 p. 5851)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Environmental Protection Amendment Act 2010</w:t>
            </w:r>
          </w:p>
        </w:tc>
        <w:tc>
          <w:tcPr>
            <w:tcW w:w="1134" w:type="dxa"/>
          </w:tcPr>
          <w:p>
            <w:pPr>
              <w:pStyle w:val="nTable"/>
              <w:spacing w:after="40"/>
              <w:rPr>
                <w:snapToGrid w:val="0"/>
              </w:rPr>
            </w:pPr>
            <w:r>
              <w:rPr>
                <w:snapToGrid w:val="0"/>
              </w:rPr>
              <w:t>48 of 2010</w:t>
            </w:r>
          </w:p>
        </w:tc>
        <w:tc>
          <w:tcPr>
            <w:tcW w:w="1134" w:type="dxa"/>
          </w:tcPr>
          <w:p>
            <w:pPr>
              <w:pStyle w:val="nTable"/>
              <w:spacing w:after="40"/>
              <w:rPr>
                <w:snapToGrid w:val="0"/>
              </w:rPr>
            </w:pPr>
            <w:r>
              <w:rPr>
                <w:snapToGrid w:val="0"/>
              </w:rPr>
              <w:t>24 Nov 2010</w:t>
            </w:r>
          </w:p>
        </w:tc>
        <w:tc>
          <w:tcPr>
            <w:tcW w:w="2552" w:type="dxa"/>
          </w:tcPr>
          <w:p>
            <w:pPr>
              <w:pStyle w:val="nTable"/>
              <w:spacing w:after="40"/>
            </w:pPr>
            <w:r>
              <w:rPr>
                <w:snapToGrid w:val="0"/>
                <w:spacing w:val="-2"/>
              </w:rPr>
              <w:t>s. 1 and 2: 24 Nov 2010 (see s. 2(a));</w:t>
            </w:r>
            <w:r>
              <w:rPr>
                <w:snapToGrid w:val="0"/>
                <w:spacing w:val="-2"/>
              </w:rPr>
              <w:br/>
              <w:t>Act other than s. 1 and 2: 25 Nov 2010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spacing w:val="-2"/>
              </w:rPr>
            </w:pPr>
            <w:r>
              <w:rPr>
                <w:b/>
              </w:rPr>
              <w:t xml:space="preserve">Reprint 7: The </w:t>
            </w:r>
            <w:r>
              <w:rPr>
                <w:b/>
                <w:i/>
              </w:rPr>
              <w:t>Environmental Protection Act 1986</w:t>
            </w:r>
            <w:r>
              <w:rPr>
                <w:b/>
              </w:rPr>
              <w:t xml:space="preserve"> as at 11 Feb 2011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13"/>
              <w:rPr>
                <w:i/>
                <w:snapToGrid w:val="0"/>
              </w:rPr>
            </w:pPr>
            <w:r>
              <w:rPr>
                <w:i/>
                <w:snapToGrid w:val="0"/>
              </w:rPr>
              <w:lastRenderedPageBreak/>
              <w:t xml:space="preserve">Metropolitan Redevelopment Authority Act 2011 </w:t>
            </w:r>
            <w:r>
              <w:rPr>
                <w:snapToGrid w:val="0"/>
              </w:rPr>
              <w:t>s. 137</w:t>
            </w:r>
          </w:p>
        </w:tc>
        <w:tc>
          <w:tcPr>
            <w:tcW w:w="1134" w:type="dxa"/>
          </w:tcPr>
          <w:p>
            <w:pPr>
              <w:pStyle w:val="nTable"/>
              <w:keepNext/>
              <w:spacing w:after="40"/>
              <w:rPr>
                <w:snapToGrid w:val="0"/>
              </w:rPr>
            </w:pPr>
            <w:r>
              <w:rPr>
                <w:snapToGrid w:val="0"/>
              </w:rPr>
              <w:t>45 of 2011</w:t>
            </w:r>
          </w:p>
        </w:tc>
        <w:tc>
          <w:tcPr>
            <w:tcW w:w="1134" w:type="dxa"/>
          </w:tcPr>
          <w:p>
            <w:pPr>
              <w:pStyle w:val="nTable"/>
              <w:keepNext/>
              <w:spacing w:after="40"/>
              <w:rPr>
                <w:snapToGrid w:val="0"/>
              </w:rPr>
            </w:pPr>
            <w:r>
              <w:rPr>
                <w:snapToGrid w:val="0"/>
              </w:rPr>
              <w:t>12 Oct 2011</w:t>
            </w:r>
          </w:p>
        </w:tc>
        <w:tc>
          <w:tcPr>
            <w:tcW w:w="2552" w:type="dxa"/>
          </w:tcPr>
          <w:p>
            <w:pPr>
              <w:pStyle w:val="nTable"/>
              <w:keepNext/>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Agricultural Practices (Disputes) Repeal Act 2011 </w:t>
            </w:r>
            <w:r>
              <w:rPr>
                <w:snapToGrid w:val="0"/>
              </w:rPr>
              <w:t>s. 4</w:t>
            </w:r>
          </w:p>
        </w:tc>
        <w:tc>
          <w:tcPr>
            <w:tcW w:w="1134" w:type="dxa"/>
          </w:tcPr>
          <w:p>
            <w:pPr>
              <w:pStyle w:val="nTable"/>
              <w:spacing w:after="40"/>
              <w:rPr>
                <w:snapToGrid w:val="0"/>
              </w:rPr>
            </w:pPr>
            <w:r>
              <w:rPr>
                <w:snapToGrid w:val="0"/>
              </w:rPr>
              <w:t>54 of 2011</w:t>
            </w:r>
          </w:p>
        </w:tc>
        <w:tc>
          <w:tcPr>
            <w:tcW w:w="1134" w:type="dxa"/>
          </w:tcPr>
          <w:p>
            <w:pPr>
              <w:pStyle w:val="nTable"/>
              <w:spacing w:after="40"/>
              <w:rPr>
                <w:snapToGrid w:val="0"/>
              </w:rPr>
            </w:pPr>
            <w:r>
              <w:rPr>
                <w:snapToGrid w:val="0"/>
              </w:rPr>
              <w:t>9 Nov 2011</w:t>
            </w:r>
          </w:p>
        </w:tc>
        <w:tc>
          <w:tcPr>
            <w:tcW w:w="2552" w:type="dxa"/>
          </w:tcPr>
          <w:p>
            <w:pPr>
              <w:pStyle w:val="nTable"/>
              <w:spacing w:after="40"/>
              <w:rPr>
                <w:snapToGrid w:val="0"/>
              </w:rPr>
            </w:pPr>
            <w:r>
              <w:rPr>
                <w:snapToGrid w:val="0"/>
              </w:rPr>
              <w:t>7 Dec 2011 (see note under s. 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Road Traffic Legislation Amendment Act 2012 </w:t>
            </w:r>
            <w:r>
              <w:rPr>
                <w:snapToGrid w:val="0"/>
              </w:rPr>
              <w:t>Pt. 4 Div. 20</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rPr>
                <w:snapToGrid w:val="0"/>
              </w:rP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snapToGrid w:val="0"/>
              </w:rPr>
              <w:t>Fire and Emergency Services Legislation Amendment Act 2012</w:t>
            </w:r>
            <w:r>
              <w:rPr>
                <w:snapToGrid w:val="0"/>
              </w:rPr>
              <w:t xml:space="preserve"> Pt. 7 Div. 6</w:t>
            </w:r>
            <w:r>
              <w:rPr>
                <w:snapToGrid w:val="0"/>
                <w:vertAlign w:val="superscript"/>
              </w:rPr>
              <w:t> </w:t>
            </w:r>
          </w:p>
        </w:tc>
        <w:tc>
          <w:tcPr>
            <w:tcW w:w="1134" w:type="dxa"/>
            <w:shd w:val="clear" w:color="auto" w:fill="auto"/>
          </w:tcPr>
          <w:p>
            <w:pPr>
              <w:pStyle w:val="nTable"/>
              <w:spacing w:after="40"/>
              <w:rPr>
                <w:snapToGrid w:val="0"/>
              </w:rPr>
            </w:pPr>
            <w:r>
              <w:rPr>
                <w:snapToGrid w:val="0"/>
              </w:rPr>
              <w:t>22 of 2012</w:t>
            </w:r>
          </w:p>
        </w:tc>
        <w:tc>
          <w:tcPr>
            <w:tcW w:w="1134" w:type="dxa"/>
            <w:shd w:val="clear" w:color="auto" w:fill="auto"/>
          </w:tcPr>
          <w:p>
            <w:pPr>
              <w:pStyle w:val="nTable"/>
              <w:spacing w:after="40"/>
              <w:rPr>
                <w:snapToGrid w:val="0"/>
              </w:rPr>
            </w:pPr>
            <w:r>
              <w:rPr>
                <w:snapToGrid w:val="0"/>
              </w:rPr>
              <w:t>29 Aug 2012</w:t>
            </w:r>
          </w:p>
        </w:tc>
        <w:tc>
          <w:tcPr>
            <w:tcW w:w="2552" w:type="dxa"/>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Water Services Legislation Amendment and Repeal Act 2012</w:t>
            </w:r>
            <w:r>
              <w:rPr>
                <w:snapToGrid w:val="0"/>
              </w:rPr>
              <w:t xml:space="preserve"> s. 211</w:t>
            </w:r>
          </w:p>
        </w:tc>
        <w:tc>
          <w:tcPr>
            <w:tcW w:w="1134" w:type="dxa"/>
            <w:shd w:val="clear" w:color="auto" w:fill="auto"/>
          </w:tcPr>
          <w:p>
            <w:pPr>
              <w:pStyle w:val="nTable"/>
              <w:spacing w:after="40"/>
              <w:rPr>
                <w:snapToGrid w:val="0"/>
              </w:rPr>
            </w:pPr>
            <w:r>
              <w:rPr>
                <w:snapToGrid w:val="0"/>
              </w:rPr>
              <w:t>25 of 2012</w:t>
            </w:r>
          </w:p>
        </w:tc>
        <w:tc>
          <w:tcPr>
            <w:tcW w:w="1134" w:type="dxa"/>
            <w:shd w:val="clear" w:color="auto" w:fill="auto"/>
          </w:tcPr>
          <w:p>
            <w:pPr>
              <w:pStyle w:val="nTable"/>
              <w:spacing w:after="40"/>
              <w:rPr>
                <w:snapToGrid w:val="0"/>
              </w:rPr>
            </w:pPr>
            <w:r>
              <w:rPr>
                <w:snapToGrid w:val="0"/>
              </w:rPr>
              <w:t>3 Sep 2012</w:t>
            </w:r>
          </w:p>
        </w:tc>
        <w:tc>
          <w:tcPr>
            <w:tcW w:w="2552"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rPr>
              <w:t xml:space="preserve">Reprint 8: The </w:t>
            </w:r>
            <w:r>
              <w:rPr>
                <w:b/>
                <w:i/>
              </w:rPr>
              <w:t>Environmental Protection Act 1986</w:t>
            </w:r>
            <w:r>
              <w:rPr>
                <w:b/>
              </w:rPr>
              <w:t xml:space="preserve"> as at 17 May 2013 </w:t>
            </w:r>
            <w:r>
              <w:t xml:space="preserve">(includes amendments listed above except those in the </w:t>
            </w:r>
            <w:r>
              <w:rPr>
                <w:i/>
                <w:snapToGrid w:val="0"/>
              </w:rPr>
              <w:t xml:space="preserve">Water Services Legislation Amendment and Repeal Act 2012 </w:t>
            </w:r>
            <w:r>
              <w:rPr>
                <w:snapToGrid w:val="0"/>
              </w:rPr>
              <w:t>and the</w:t>
            </w:r>
            <w:r>
              <w:rPr>
                <w:i/>
                <w:snapToGrid w:val="0"/>
              </w:rPr>
              <w:t xml:space="preserve"> Road Traffic Legislation Amendment Act 2012</w:t>
            </w:r>
            <w:r>
              <w:t>)</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Environmental Protection Amendment (Validation) Act 2014</w:t>
            </w:r>
          </w:p>
        </w:tc>
        <w:tc>
          <w:tcPr>
            <w:tcW w:w="1134" w:type="dxa"/>
            <w:shd w:val="clear" w:color="auto" w:fill="auto"/>
          </w:tcPr>
          <w:p>
            <w:pPr>
              <w:pStyle w:val="nTable"/>
              <w:spacing w:after="40"/>
              <w:rPr>
                <w:snapToGrid w:val="0"/>
              </w:rPr>
            </w:pPr>
            <w:r>
              <w:rPr>
                <w:snapToGrid w:val="0"/>
              </w:rPr>
              <w:t>27 of 2014</w:t>
            </w:r>
          </w:p>
        </w:tc>
        <w:tc>
          <w:tcPr>
            <w:tcW w:w="1134" w:type="dxa"/>
            <w:shd w:val="clear" w:color="auto" w:fill="auto"/>
          </w:tcPr>
          <w:p>
            <w:pPr>
              <w:pStyle w:val="nTable"/>
              <w:spacing w:after="40"/>
              <w:rPr>
                <w:snapToGrid w:val="0"/>
              </w:rPr>
            </w:pPr>
            <w:r>
              <w:rPr>
                <w:snapToGrid w:val="0"/>
              </w:rPr>
              <w:t>27 Nov 2014</w:t>
            </w:r>
          </w:p>
        </w:tc>
        <w:tc>
          <w:tcPr>
            <w:tcW w:w="2552" w:type="dxa"/>
            <w:shd w:val="clear" w:color="auto" w:fill="auto"/>
          </w:tcPr>
          <w:p>
            <w:pPr>
              <w:pStyle w:val="nTable"/>
              <w:spacing w:after="40"/>
              <w:rPr>
                <w:snapToGrid w:val="0"/>
              </w:rPr>
            </w:pPr>
            <w:r>
              <w:rPr>
                <w:snapToGrid w:val="0"/>
              </w:rPr>
              <w:t>27 Nov 2014 (see s. 2)</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Biodiversity Conservation Act 2016</w:t>
            </w:r>
            <w:r>
              <w:rPr>
                <w:snapToGrid w:val="0"/>
              </w:rPr>
              <w:t xml:space="preserve"> s. 314</w:t>
            </w:r>
          </w:p>
        </w:tc>
        <w:tc>
          <w:tcPr>
            <w:tcW w:w="1134" w:type="dxa"/>
            <w:shd w:val="clear" w:color="auto" w:fill="auto"/>
          </w:tcPr>
          <w:p>
            <w:pPr>
              <w:pStyle w:val="nTable"/>
              <w:spacing w:after="40"/>
              <w:rPr>
                <w:snapToGrid w:val="0"/>
              </w:rPr>
            </w:pPr>
            <w:r>
              <w:t>24 of 2016</w:t>
            </w:r>
          </w:p>
        </w:tc>
        <w:tc>
          <w:tcPr>
            <w:tcW w:w="1134" w:type="dxa"/>
            <w:shd w:val="clear" w:color="auto" w:fill="auto"/>
          </w:tcPr>
          <w:p>
            <w:pPr>
              <w:pStyle w:val="nTable"/>
              <w:spacing w:after="40"/>
              <w:rPr>
                <w:snapToGrid w:val="0"/>
              </w:rPr>
            </w:pPr>
            <w:r>
              <w:t>21 Sep 2016</w:t>
            </w:r>
          </w:p>
        </w:tc>
        <w:tc>
          <w:tcPr>
            <w:tcW w:w="2552" w:type="dxa"/>
            <w:shd w:val="clear" w:color="auto" w:fill="auto"/>
          </w:tcPr>
          <w:p>
            <w:pPr>
              <w:pStyle w:val="nTable"/>
              <w:spacing w:after="40"/>
              <w:rPr>
                <w:snapToGrid w:val="0"/>
              </w:rPr>
            </w:pPr>
            <w:r>
              <w:t xml:space="preserve">1 Jan 2019 (see s. 2(b) and </w:t>
            </w:r>
            <w:r>
              <w:rPr>
                <w:i/>
              </w:rPr>
              <w:t>Gazette</w:t>
            </w:r>
            <w:r>
              <w:t xml:space="preserve"> 14 Sep 2018 p. 3305)</w:t>
            </w:r>
          </w:p>
        </w:tc>
      </w:tr>
      <w:tr>
        <w:trPr>
          <w:cantSplit/>
          <w:tblHeader/>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9: The </w:t>
            </w:r>
            <w:r>
              <w:rPr>
                <w:b/>
                <w:i/>
                <w:noProof/>
                <w:snapToGrid w:val="0"/>
              </w:rPr>
              <w:t>Environmental Protection Act 1986</w:t>
            </w:r>
            <w:r>
              <w:rPr>
                <w:b/>
                <w:snapToGrid w:val="0"/>
              </w:rPr>
              <w:t xml:space="preserve"> as at 4 May 2018</w:t>
            </w:r>
            <w:r>
              <w:rPr>
                <w:snapToGrid w:val="0"/>
              </w:rPr>
              <w:t xml:space="preserve"> (includes amendments listed above except those in the </w:t>
            </w:r>
            <w:r>
              <w:rPr>
                <w:i/>
                <w:snapToGrid w:val="0"/>
              </w:rPr>
              <w:t>Biodiversity Conservation Act 2016</w:t>
            </w:r>
            <w:r>
              <w:rPr>
                <w:snapToGrid w:val="0"/>
              </w:rPr>
              <w:t xml:space="preserve"> s. 314)</w:t>
            </w:r>
          </w:p>
        </w:tc>
      </w:tr>
      <w:tr>
        <w:trPr>
          <w:cantSplit/>
          <w:tblHeader/>
        </w:trPr>
        <w:tc>
          <w:tcPr>
            <w:tcW w:w="2268" w:type="dxa"/>
            <w:tcBorders>
              <w:top w:val="nil"/>
              <w:bottom w:val="nil"/>
            </w:tcBorders>
            <w:shd w:val="clear" w:color="auto" w:fill="auto"/>
          </w:tcPr>
          <w:p>
            <w:pPr>
              <w:pStyle w:val="nTable"/>
              <w:spacing w:after="40"/>
              <w:rPr>
                <w:i/>
                <w:snapToGrid w:val="0"/>
              </w:rPr>
            </w:pPr>
            <w:r>
              <w:rPr>
                <w:i/>
              </w:rPr>
              <w:t>Strata Titles Amendment Act 2018</w:t>
            </w:r>
            <w:r>
              <w:t xml:space="preserve"> Pt. 3 Div. 6</w:t>
            </w:r>
          </w:p>
        </w:tc>
        <w:tc>
          <w:tcPr>
            <w:tcW w:w="1134" w:type="dxa"/>
            <w:tcBorders>
              <w:top w:val="nil"/>
              <w:bottom w:val="nil"/>
            </w:tcBorders>
            <w:shd w:val="clear" w:color="auto" w:fill="auto"/>
          </w:tcPr>
          <w:p>
            <w:pPr>
              <w:pStyle w:val="nTable"/>
              <w:spacing w:after="40"/>
              <w:rPr>
                <w:snapToGrid w:val="0"/>
              </w:rPr>
            </w:pPr>
            <w:r>
              <w:t>30 of 2018</w:t>
            </w:r>
          </w:p>
        </w:tc>
        <w:tc>
          <w:tcPr>
            <w:tcW w:w="1134" w:type="dxa"/>
            <w:tcBorders>
              <w:top w:val="nil"/>
              <w:bottom w:val="nil"/>
            </w:tcBorders>
            <w:shd w:val="clear" w:color="auto" w:fill="auto"/>
          </w:tcPr>
          <w:p>
            <w:pPr>
              <w:pStyle w:val="nTable"/>
              <w:spacing w:after="40"/>
              <w:rPr>
                <w:snapToGrid w:val="0"/>
              </w:rPr>
            </w:pPr>
            <w:r>
              <w:t>19 Nov 2018</w:t>
            </w:r>
          </w:p>
        </w:tc>
        <w:tc>
          <w:tcPr>
            <w:tcW w:w="2552" w:type="dxa"/>
            <w:tcBorders>
              <w:top w:val="nil"/>
              <w:bottom w:val="nil"/>
            </w:tcBorders>
            <w:shd w:val="clear" w:color="auto" w:fill="auto"/>
          </w:tcPr>
          <w:p>
            <w:pPr>
              <w:pStyle w:val="nTable"/>
              <w:spacing w:after="40"/>
              <w:rPr>
                <w:snapToGrid w:val="0"/>
              </w:rPr>
            </w:pPr>
            <w:r>
              <w:rPr>
                <w:snapToGrid w:val="0"/>
              </w:rPr>
              <w:t>1 May 2020 (see s. 2(b) and SL 2020/39 cl. 2)</w:t>
            </w:r>
          </w:p>
        </w:tc>
      </w:tr>
      <w:tr>
        <w:trPr>
          <w:cantSplit/>
          <w:tblHeader/>
        </w:trPr>
        <w:tc>
          <w:tcPr>
            <w:tcW w:w="2268" w:type="dxa"/>
            <w:tcBorders>
              <w:top w:val="nil"/>
              <w:bottom w:val="nil"/>
            </w:tcBorders>
            <w:shd w:val="clear" w:color="auto" w:fill="auto"/>
          </w:tcPr>
          <w:p>
            <w:pPr>
              <w:pStyle w:val="nTable"/>
              <w:spacing w:after="40"/>
              <w:rPr>
                <w:i/>
              </w:rPr>
            </w:pPr>
            <w:r>
              <w:rPr>
                <w:i/>
              </w:rPr>
              <w:t>Community Titles Act 2018</w:t>
            </w:r>
            <w:r>
              <w:t xml:space="preserve"> Pt. 14 Div. 8</w:t>
            </w:r>
          </w:p>
        </w:tc>
        <w:tc>
          <w:tcPr>
            <w:tcW w:w="1134" w:type="dxa"/>
            <w:tcBorders>
              <w:top w:val="nil"/>
              <w:bottom w:val="nil"/>
            </w:tcBorders>
            <w:shd w:val="clear" w:color="auto" w:fill="auto"/>
          </w:tcPr>
          <w:p>
            <w:pPr>
              <w:pStyle w:val="nTable"/>
              <w:spacing w:after="40"/>
            </w:pPr>
            <w:r>
              <w:t>32 of 2018</w:t>
            </w:r>
          </w:p>
        </w:tc>
        <w:tc>
          <w:tcPr>
            <w:tcW w:w="1134" w:type="dxa"/>
            <w:tcBorders>
              <w:top w:val="nil"/>
              <w:bottom w:val="nil"/>
            </w:tcBorders>
            <w:shd w:val="clear" w:color="auto" w:fill="auto"/>
          </w:tcPr>
          <w:p>
            <w:pPr>
              <w:pStyle w:val="nTable"/>
              <w:spacing w:after="40"/>
            </w:pPr>
            <w:r>
              <w:t>19 Nov 2018</w:t>
            </w:r>
          </w:p>
        </w:tc>
        <w:tc>
          <w:tcPr>
            <w:tcW w:w="2552" w:type="dxa"/>
            <w:tcBorders>
              <w:top w:val="nil"/>
              <w:bottom w:val="nil"/>
            </w:tcBorders>
            <w:shd w:val="clear" w:color="auto" w:fill="auto"/>
          </w:tcPr>
          <w:p>
            <w:pPr>
              <w:pStyle w:val="nTable"/>
              <w:spacing w:after="40"/>
              <w:rPr>
                <w:snapToGrid w:val="0"/>
              </w:rPr>
            </w:pPr>
            <w:r>
              <w:t>30 Jun 2021 (see s. 2(b) and SL 2021/69 cl. 2)</w:t>
            </w:r>
          </w:p>
        </w:tc>
      </w:tr>
      <w:tr>
        <w:trPr>
          <w:cantSplit/>
          <w:tblHeader/>
        </w:trPr>
        <w:tc>
          <w:tcPr>
            <w:tcW w:w="2268" w:type="dxa"/>
            <w:tcBorders>
              <w:top w:val="nil"/>
              <w:bottom w:val="nil"/>
            </w:tcBorders>
            <w:shd w:val="clear" w:color="auto" w:fill="auto"/>
          </w:tcPr>
          <w:p>
            <w:pPr>
              <w:pStyle w:val="nTable"/>
              <w:spacing w:after="40"/>
              <w:rPr>
                <w:i/>
              </w:rPr>
            </w:pPr>
            <w:r>
              <w:rPr>
                <w:i/>
              </w:rPr>
              <w:t>Planning and Development Amendment Act 2020</w:t>
            </w:r>
            <w:r>
              <w:t xml:space="preserve"> Pt. 6 Div. 2</w:t>
            </w:r>
          </w:p>
        </w:tc>
        <w:tc>
          <w:tcPr>
            <w:tcW w:w="1134" w:type="dxa"/>
            <w:tcBorders>
              <w:top w:val="nil"/>
              <w:bottom w:val="nil"/>
            </w:tcBorders>
            <w:shd w:val="clear" w:color="auto" w:fill="auto"/>
          </w:tcPr>
          <w:p>
            <w:pPr>
              <w:pStyle w:val="nTable"/>
              <w:spacing w:after="40"/>
            </w:pPr>
            <w:r>
              <w:t>26 of 2020</w:t>
            </w:r>
          </w:p>
        </w:tc>
        <w:tc>
          <w:tcPr>
            <w:tcW w:w="1134" w:type="dxa"/>
            <w:tcBorders>
              <w:top w:val="nil"/>
              <w:bottom w:val="nil"/>
            </w:tcBorders>
            <w:shd w:val="clear" w:color="auto" w:fill="auto"/>
          </w:tcPr>
          <w:p>
            <w:pPr>
              <w:pStyle w:val="nTable"/>
              <w:spacing w:after="40"/>
            </w:pPr>
            <w:r>
              <w:t>7 Jul 2020</w:t>
            </w:r>
          </w:p>
        </w:tc>
        <w:tc>
          <w:tcPr>
            <w:tcW w:w="2552" w:type="dxa"/>
            <w:tcBorders>
              <w:top w:val="nil"/>
              <w:bottom w:val="nil"/>
            </w:tcBorders>
            <w:shd w:val="clear" w:color="auto" w:fill="auto"/>
          </w:tcPr>
          <w:p>
            <w:pPr>
              <w:pStyle w:val="nTable"/>
              <w:spacing w:after="40"/>
            </w:pPr>
            <w:r>
              <w:t>1 Aug 2023 (see s. 2(1)(b) and SL 2023/107 cl. 2)</w:t>
            </w:r>
          </w:p>
        </w:tc>
      </w:tr>
      <w:tr>
        <w:trPr>
          <w:cantSplit/>
          <w:tblHeader/>
        </w:trPr>
        <w:tc>
          <w:tcPr>
            <w:tcW w:w="2268" w:type="dxa"/>
            <w:tcBorders>
              <w:top w:val="nil"/>
              <w:bottom w:val="nil"/>
            </w:tcBorders>
            <w:shd w:val="clear" w:color="auto" w:fill="auto"/>
          </w:tcPr>
          <w:p>
            <w:pPr>
              <w:pStyle w:val="nTable"/>
              <w:spacing w:after="40"/>
              <w:rPr>
                <w:i/>
              </w:rPr>
            </w:pPr>
            <w:r>
              <w:rPr>
                <w:i/>
              </w:rPr>
              <w:lastRenderedPageBreak/>
              <w:t>Environmental Protection Amendment Act 2020</w:t>
            </w:r>
            <w:r>
              <w:t xml:space="preserve"> Pt. 2 (other than s. 4(2), (4), (6) and (10), 34, 42, 59, 60, 63, 65</w:t>
            </w:r>
            <w:r>
              <w:noBreakHyphen/>
              <w:t>68, 71, 72, 83, 86, 87, 88(1), 92, 98, 104, 105, 106(3), 108(7), 110(2) and 112)</w:t>
            </w:r>
          </w:p>
        </w:tc>
        <w:tc>
          <w:tcPr>
            <w:tcW w:w="1134" w:type="dxa"/>
            <w:tcBorders>
              <w:top w:val="nil"/>
              <w:bottom w:val="nil"/>
            </w:tcBorders>
            <w:shd w:val="clear" w:color="auto" w:fill="auto"/>
          </w:tcPr>
          <w:p>
            <w:pPr>
              <w:pStyle w:val="nTable"/>
              <w:spacing w:after="40"/>
            </w:pPr>
            <w:r>
              <w:t>40 of 2020</w:t>
            </w:r>
          </w:p>
        </w:tc>
        <w:tc>
          <w:tcPr>
            <w:tcW w:w="1134" w:type="dxa"/>
            <w:tcBorders>
              <w:top w:val="nil"/>
              <w:bottom w:val="nil"/>
            </w:tcBorders>
            <w:shd w:val="clear" w:color="auto" w:fill="auto"/>
          </w:tcPr>
          <w:p>
            <w:pPr>
              <w:pStyle w:val="nTable"/>
              <w:spacing w:after="40"/>
            </w:pPr>
            <w:r>
              <w:t>19 Nov 2020</w:t>
            </w:r>
          </w:p>
        </w:tc>
        <w:tc>
          <w:tcPr>
            <w:tcW w:w="2552" w:type="dxa"/>
            <w:tcBorders>
              <w:top w:val="nil"/>
              <w:bottom w:val="nil"/>
            </w:tcBorders>
            <w:shd w:val="clear" w:color="auto" w:fill="auto"/>
          </w:tcPr>
          <w:p>
            <w:pPr>
              <w:pStyle w:val="nTable"/>
              <w:spacing w:after="40"/>
              <w:rPr>
                <w:snapToGrid w:val="0"/>
              </w:rPr>
            </w:pPr>
            <w:r>
              <w:t>s. 3, 5</w:t>
            </w:r>
            <w:r>
              <w:noBreakHyphen/>
              <w:t>8, 10, 13, 14, 24, 32, 35, 36, 37(1), 58, 73</w:t>
            </w:r>
            <w:r>
              <w:noBreakHyphen/>
              <w:t>76, 80</w:t>
            </w:r>
            <w:r>
              <w:noBreakHyphen/>
              <w:t>82, 93, 94, 96, 99, 101, 106(4)</w:t>
            </w:r>
            <w:r>
              <w:noBreakHyphen/>
              <w:t>(6), 107, 108(1)</w:t>
            </w:r>
            <w:r>
              <w:noBreakHyphen/>
              <w:t>(6) and (8)</w:t>
            </w:r>
            <w:r>
              <w:noBreakHyphen/>
              <w:t>(11), 110(4)</w:t>
            </w:r>
            <w:r>
              <w:noBreakHyphen/>
              <w:t xml:space="preserve">(6) and 111: </w:t>
            </w:r>
            <w:r>
              <w:rPr>
                <w:snapToGrid w:val="0"/>
              </w:rPr>
              <w:t>3 Feb 2021 (see s. 2(1)(e) and SL 2021/12 cl. 2);</w:t>
            </w:r>
            <w:r>
              <w:rPr>
                <w:snapToGrid w:val="0"/>
              </w:rPr>
              <w:br/>
            </w:r>
            <w:r>
              <w:t>s. 4(1), (3), (5) and (7)</w:t>
            </w:r>
            <w:r>
              <w:noBreakHyphen/>
              <w:t>(9), 9, 11, 12, 15</w:t>
            </w:r>
            <w:r>
              <w:noBreakHyphen/>
              <w:t>23, 25</w:t>
            </w:r>
            <w:r>
              <w:noBreakHyphen/>
              <w:t>31, 33, 37(2), 38</w:t>
            </w:r>
            <w:r>
              <w:noBreakHyphen/>
              <w:t>41, 43</w:t>
            </w:r>
            <w:r>
              <w:noBreakHyphen/>
              <w:t>57, 61, 62, 64, 69, 70, 77</w:t>
            </w:r>
            <w:r>
              <w:noBreakHyphen/>
              <w:t>79, 84, 85, 88(2), 89</w:t>
            </w:r>
            <w:r>
              <w:noBreakHyphen/>
              <w:t>91, 95, 97, 100, 102, 103, 106(1) and (2), 109 and 110(1) and (3): 23 Oct 2021 (see s. 2(1)(e) and SL 2021/176 cl. 2)</w:t>
            </w:r>
          </w:p>
        </w:tc>
      </w:tr>
      <w:tr>
        <w:trPr>
          <w:cantSplit/>
          <w:tblHeader/>
        </w:trPr>
        <w:tc>
          <w:tcPr>
            <w:tcW w:w="2268" w:type="dxa"/>
            <w:tcBorders>
              <w:top w:val="nil"/>
              <w:bottom w:val="nil"/>
            </w:tcBorders>
            <w:shd w:val="clear" w:color="auto" w:fill="auto"/>
          </w:tcPr>
          <w:p>
            <w:pPr>
              <w:pStyle w:val="nTable"/>
              <w:spacing w:after="40"/>
              <w:rPr>
                <w:i/>
              </w:rPr>
            </w:pPr>
            <w:r>
              <w:rPr>
                <w:i/>
              </w:rPr>
              <w:t>Environmental Protection Amendment Act (No. 2) 2020</w:t>
            </w:r>
            <w:r>
              <w:t xml:space="preserve"> s. 4</w:t>
            </w:r>
          </w:p>
        </w:tc>
        <w:tc>
          <w:tcPr>
            <w:tcW w:w="1134" w:type="dxa"/>
            <w:tcBorders>
              <w:top w:val="nil"/>
              <w:bottom w:val="nil"/>
            </w:tcBorders>
            <w:shd w:val="clear" w:color="auto" w:fill="auto"/>
          </w:tcPr>
          <w:p>
            <w:pPr>
              <w:pStyle w:val="nTable"/>
              <w:spacing w:after="40"/>
            </w:pPr>
            <w:r>
              <w:t>41 of 2020</w:t>
            </w:r>
          </w:p>
        </w:tc>
        <w:tc>
          <w:tcPr>
            <w:tcW w:w="1134" w:type="dxa"/>
            <w:tcBorders>
              <w:top w:val="nil"/>
              <w:bottom w:val="nil"/>
            </w:tcBorders>
            <w:shd w:val="clear" w:color="auto" w:fill="auto"/>
          </w:tcPr>
          <w:p>
            <w:pPr>
              <w:pStyle w:val="nTable"/>
              <w:spacing w:after="40"/>
            </w:pPr>
            <w:r>
              <w:t>19 Nov 2020</w:t>
            </w:r>
          </w:p>
        </w:tc>
        <w:tc>
          <w:tcPr>
            <w:tcW w:w="2552" w:type="dxa"/>
            <w:tcBorders>
              <w:top w:val="nil"/>
              <w:bottom w:val="nil"/>
            </w:tcBorders>
            <w:shd w:val="clear" w:color="auto" w:fill="auto"/>
          </w:tcPr>
          <w:p>
            <w:pPr>
              <w:pStyle w:val="nTable"/>
              <w:spacing w:after="40"/>
              <w:rPr>
                <w:snapToGrid w:val="0"/>
              </w:rPr>
            </w:pPr>
            <w:r>
              <w:rPr>
                <w:snapToGrid w:val="0"/>
              </w:rPr>
              <w:t>3 Feb 2021 (see s. 2(1)(b) and SL 2021/12 cl. 2)</w:t>
            </w:r>
          </w:p>
        </w:tc>
      </w:tr>
      <w:tr>
        <w:trPr>
          <w:cantSplit/>
          <w:tblHeader/>
        </w:trPr>
        <w:tc>
          <w:tcPr>
            <w:tcW w:w="2268" w:type="dxa"/>
            <w:tcBorders>
              <w:top w:val="nil"/>
              <w:bottom w:val="nil"/>
            </w:tcBorders>
            <w:shd w:val="clear" w:color="auto" w:fill="auto"/>
          </w:tcPr>
          <w:p>
            <w:pPr>
              <w:pStyle w:val="nTable"/>
              <w:spacing w:after="40"/>
              <w:rPr>
                <w:i/>
              </w:rPr>
            </w:pPr>
            <w:r>
              <w:rPr>
                <w:i/>
                <w:snapToGrid w:val="0"/>
              </w:rPr>
              <w:t>Swan Valley Planning Act 2020</w:t>
            </w:r>
            <w:r>
              <w:rPr>
                <w:snapToGrid w:val="0"/>
              </w:rPr>
              <w:t xml:space="preserve"> Pt. 10 Div. 3</w:t>
            </w:r>
          </w:p>
        </w:tc>
        <w:tc>
          <w:tcPr>
            <w:tcW w:w="1134" w:type="dxa"/>
            <w:tcBorders>
              <w:top w:val="nil"/>
              <w:bottom w:val="nil"/>
            </w:tcBorders>
            <w:shd w:val="clear" w:color="auto" w:fill="auto"/>
          </w:tcPr>
          <w:p>
            <w:pPr>
              <w:pStyle w:val="nTable"/>
              <w:spacing w:after="40"/>
            </w:pPr>
            <w:r>
              <w:t>45 of 2020</w:t>
            </w:r>
          </w:p>
        </w:tc>
        <w:tc>
          <w:tcPr>
            <w:tcW w:w="1134" w:type="dxa"/>
            <w:tcBorders>
              <w:top w:val="nil"/>
              <w:bottom w:val="nil"/>
            </w:tcBorders>
            <w:shd w:val="clear" w:color="auto" w:fill="auto"/>
          </w:tcPr>
          <w:p>
            <w:pPr>
              <w:pStyle w:val="nTable"/>
              <w:spacing w:after="40"/>
            </w:pPr>
            <w:r>
              <w:t>9 Dec 2020</w:t>
            </w:r>
          </w:p>
        </w:tc>
        <w:tc>
          <w:tcPr>
            <w:tcW w:w="2552" w:type="dxa"/>
            <w:tcBorders>
              <w:top w:val="nil"/>
              <w:bottom w:val="nil"/>
            </w:tcBorders>
            <w:shd w:val="clear" w:color="auto" w:fill="auto"/>
          </w:tcPr>
          <w:p>
            <w:pPr>
              <w:pStyle w:val="nTable"/>
              <w:spacing w:after="40"/>
              <w:rPr>
                <w:snapToGrid w:val="0"/>
              </w:rPr>
            </w:pPr>
            <w:r>
              <w:rPr>
                <w:snapToGrid w:val="0"/>
              </w:rPr>
              <w:t>Pt. 10 Div. 3 (other than s. 103): 1 Aug 2021 (see s. 2(1)(e) and SL 2021/124 cl. 2);</w:t>
            </w:r>
            <w:r>
              <w:rPr>
                <w:snapToGrid w:val="0"/>
              </w:rPr>
              <w:br/>
              <w:t>s. 103: 1 Aug 2023 (see s. 2(1)(c)(ii) and SL 2023/107 cl. 2)</w:t>
            </w:r>
          </w:p>
        </w:tc>
      </w:tr>
      <w:tr>
        <w:trPr>
          <w:cantSplit/>
          <w:tblHeader/>
        </w:trPr>
        <w:tc>
          <w:tcPr>
            <w:tcW w:w="2268" w:type="dxa"/>
            <w:tcBorders>
              <w:top w:val="nil"/>
              <w:bottom w:val="nil"/>
            </w:tcBorders>
            <w:shd w:val="clear" w:color="auto" w:fill="auto"/>
          </w:tcPr>
          <w:p>
            <w:pPr>
              <w:pStyle w:val="nTable"/>
              <w:spacing w:after="40"/>
              <w:rPr>
                <w:i/>
                <w:snapToGrid w:val="0"/>
              </w:rPr>
            </w:pPr>
            <w:r>
              <w:rPr>
                <w:i/>
              </w:rPr>
              <w:t>Aboriginal Cultural Heritage Act 2021</w:t>
            </w:r>
            <w:r>
              <w:t xml:space="preserve"> s. 348</w:t>
            </w:r>
          </w:p>
        </w:tc>
        <w:tc>
          <w:tcPr>
            <w:tcW w:w="1134" w:type="dxa"/>
            <w:tcBorders>
              <w:top w:val="nil"/>
              <w:bottom w:val="nil"/>
            </w:tcBorders>
            <w:shd w:val="clear" w:color="auto" w:fill="auto"/>
          </w:tcPr>
          <w:p>
            <w:pPr>
              <w:pStyle w:val="nTable"/>
              <w:spacing w:after="40"/>
            </w:pPr>
            <w:r>
              <w:t>27 of 2021</w:t>
            </w:r>
          </w:p>
        </w:tc>
        <w:tc>
          <w:tcPr>
            <w:tcW w:w="1134" w:type="dxa"/>
            <w:tcBorders>
              <w:top w:val="nil"/>
              <w:bottom w:val="nil"/>
            </w:tcBorders>
            <w:shd w:val="clear" w:color="auto" w:fill="auto"/>
          </w:tcPr>
          <w:p>
            <w:pPr>
              <w:pStyle w:val="nTable"/>
              <w:spacing w:after="40"/>
            </w:pPr>
            <w:r>
              <w:t>22 Dec 2021</w:t>
            </w:r>
          </w:p>
        </w:tc>
        <w:tc>
          <w:tcPr>
            <w:tcW w:w="2552" w:type="dxa"/>
            <w:tcBorders>
              <w:top w:val="nil"/>
              <w:bottom w:val="nil"/>
            </w:tcBorders>
            <w:shd w:val="clear" w:color="auto" w:fill="auto"/>
          </w:tcPr>
          <w:p>
            <w:pPr>
              <w:pStyle w:val="nTable"/>
              <w:spacing w:after="40"/>
              <w:rPr>
                <w:snapToGrid w:val="0"/>
              </w:rPr>
            </w:pPr>
            <w:r>
              <w:t>1 Jul 2023 (see s. 2(e) and SL 2023/40 cl. 2(b))</w:t>
            </w:r>
          </w:p>
        </w:tc>
      </w:tr>
      <w:tr>
        <w:trPr>
          <w:cantSplit/>
          <w:tblHeader/>
        </w:trPr>
        <w:tc>
          <w:tcPr>
            <w:tcW w:w="2268" w:type="dxa"/>
            <w:tcBorders>
              <w:top w:val="nil"/>
              <w:bottom w:val="nil"/>
            </w:tcBorders>
            <w:shd w:val="clear" w:color="auto" w:fill="auto"/>
          </w:tcPr>
          <w:p>
            <w:pPr>
              <w:pStyle w:val="nTable"/>
              <w:spacing w:after="40"/>
              <w:rPr>
                <w:i/>
              </w:rPr>
            </w:pPr>
            <w:r>
              <w:rPr>
                <w:i/>
              </w:rPr>
              <w:t>Land and Public Works Legislation Amendment Act 2023</w:t>
            </w:r>
            <w:r>
              <w:t xml:space="preserve"> Pt. 4 Div. 4</w:t>
            </w:r>
          </w:p>
        </w:tc>
        <w:tc>
          <w:tcPr>
            <w:tcW w:w="1134" w:type="dxa"/>
            <w:tcBorders>
              <w:top w:val="nil"/>
              <w:bottom w:val="nil"/>
            </w:tcBorders>
            <w:shd w:val="clear" w:color="auto" w:fill="auto"/>
          </w:tcPr>
          <w:p>
            <w:pPr>
              <w:pStyle w:val="nTable"/>
              <w:spacing w:after="40"/>
            </w:pPr>
            <w:r>
              <w:t>4 of 2023</w:t>
            </w:r>
          </w:p>
        </w:tc>
        <w:tc>
          <w:tcPr>
            <w:tcW w:w="1134" w:type="dxa"/>
            <w:tcBorders>
              <w:top w:val="nil"/>
              <w:bottom w:val="nil"/>
            </w:tcBorders>
            <w:shd w:val="clear" w:color="auto" w:fill="auto"/>
          </w:tcPr>
          <w:p>
            <w:pPr>
              <w:pStyle w:val="nTable"/>
              <w:spacing w:after="40"/>
            </w:pPr>
            <w:r>
              <w:t>24 Mar 2023</w:t>
            </w:r>
          </w:p>
        </w:tc>
        <w:tc>
          <w:tcPr>
            <w:tcW w:w="2552" w:type="dxa"/>
            <w:tcBorders>
              <w:top w:val="nil"/>
              <w:bottom w:val="nil"/>
            </w:tcBorders>
            <w:shd w:val="clear" w:color="auto" w:fill="auto"/>
          </w:tcPr>
          <w:p>
            <w:pPr>
              <w:pStyle w:val="nTable"/>
              <w:spacing w:after="40"/>
            </w:pPr>
            <w:r>
              <w:t>10 Aug 2023 (see s. 2(b) and SL 2023/132 cl. 2)</w:t>
            </w:r>
          </w:p>
        </w:tc>
      </w:tr>
      <w:tr>
        <w:trPr>
          <w:cantSplit/>
          <w:tblHeader/>
        </w:trPr>
        <w:tc>
          <w:tcPr>
            <w:tcW w:w="2268" w:type="dxa"/>
            <w:tcBorders>
              <w:top w:val="nil"/>
              <w:bottom w:val="nil"/>
            </w:tcBorders>
            <w:shd w:val="clear" w:color="auto" w:fill="auto"/>
          </w:tcPr>
          <w:p>
            <w:pPr>
              <w:pStyle w:val="nTable"/>
              <w:spacing w:after="40"/>
              <w:rPr>
                <w:i/>
                <w:snapToGrid w:val="0"/>
              </w:rPr>
            </w:pPr>
            <w:r>
              <w:rPr>
                <w:i/>
              </w:rPr>
              <w:t>Directors’ Liability Reform Act 2023</w:t>
            </w:r>
            <w:r>
              <w:t xml:space="preserve"> Pt. 3 Div. 24</w:t>
            </w:r>
          </w:p>
        </w:tc>
        <w:tc>
          <w:tcPr>
            <w:tcW w:w="1134" w:type="dxa"/>
            <w:tcBorders>
              <w:top w:val="nil"/>
              <w:bottom w:val="nil"/>
            </w:tcBorders>
            <w:shd w:val="clear" w:color="auto" w:fill="auto"/>
          </w:tcPr>
          <w:p>
            <w:pPr>
              <w:pStyle w:val="nTable"/>
              <w:spacing w:after="40"/>
            </w:pPr>
            <w:r>
              <w:t>9 of 2023</w:t>
            </w:r>
          </w:p>
        </w:tc>
        <w:tc>
          <w:tcPr>
            <w:tcW w:w="1134" w:type="dxa"/>
            <w:tcBorders>
              <w:top w:val="nil"/>
              <w:bottom w:val="nil"/>
            </w:tcBorders>
            <w:shd w:val="clear" w:color="auto" w:fill="auto"/>
          </w:tcPr>
          <w:p>
            <w:pPr>
              <w:pStyle w:val="nTable"/>
              <w:spacing w:after="40"/>
            </w:pPr>
            <w:r>
              <w:t>4 Apr 2023</w:t>
            </w:r>
          </w:p>
        </w:tc>
        <w:tc>
          <w:tcPr>
            <w:tcW w:w="2552" w:type="dxa"/>
            <w:tcBorders>
              <w:top w:val="nil"/>
              <w:bottom w:val="nil"/>
            </w:tcBorders>
            <w:shd w:val="clear" w:color="auto" w:fill="auto"/>
          </w:tcPr>
          <w:p>
            <w:pPr>
              <w:pStyle w:val="nTable"/>
              <w:spacing w:after="40"/>
              <w:rPr>
                <w:snapToGrid w:val="0"/>
              </w:rPr>
            </w:pPr>
            <w:r>
              <w:t>5 Apr 2023 (see s. 2(j))</w:t>
            </w:r>
          </w:p>
        </w:tc>
      </w:tr>
      <w:tr>
        <w:trPr>
          <w:cantSplit/>
          <w:tblHeader/>
        </w:trPr>
        <w:tc>
          <w:tcPr>
            <w:tcW w:w="2268" w:type="dxa"/>
            <w:tcBorders>
              <w:top w:val="nil"/>
              <w:bottom w:val="single" w:sz="4" w:space="0" w:color="auto"/>
            </w:tcBorders>
            <w:shd w:val="clear" w:color="auto" w:fill="auto"/>
          </w:tcPr>
          <w:p>
            <w:pPr>
              <w:pStyle w:val="nTable"/>
              <w:spacing w:after="40"/>
              <w:rPr>
                <w:i/>
              </w:rPr>
            </w:pPr>
            <w:r>
              <w:rPr>
                <w:i/>
              </w:rPr>
              <w:t>Aboriginal Heritage Legislation Amendment and Repeal Act 2023</w:t>
            </w:r>
            <w:r>
              <w:rPr>
                <w:iCs/>
              </w:rPr>
              <w:t xml:space="preserve"> s. 28</w:t>
            </w:r>
          </w:p>
        </w:tc>
        <w:tc>
          <w:tcPr>
            <w:tcW w:w="1134" w:type="dxa"/>
            <w:tcBorders>
              <w:top w:val="nil"/>
              <w:bottom w:val="single" w:sz="4" w:space="0" w:color="auto"/>
            </w:tcBorders>
            <w:shd w:val="clear" w:color="auto" w:fill="auto"/>
          </w:tcPr>
          <w:p>
            <w:pPr>
              <w:pStyle w:val="nTable"/>
              <w:spacing w:after="40"/>
            </w:pPr>
            <w:r>
              <w:t>23 of 2023</w:t>
            </w:r>
          </w:p>
        </w:tc>
        <w:tc>
          <w:tcPr>
            <w:tcW w:w="1134" w:type="dxa"/>
            <w:tcBorders>
              <w:top w:val="nil"/>
              <w:bottom w:val="single" w:sz="4" w:space="0" w:color="auto"/>
            </w:tcBorders>
            <w:shd w:val="clear" w:color="auto" w:fill="auto"/>
          </w:tcPr>
          <w:p>
            <w:pPr>
              <w:pStyle w:val="nTable"/>
              <w:spacing w:after="40"/>
            </w:pPr>
            <w:r>
              <w:t>24 Oct 2023</w:t>
            </w:r>
          </w:p>
        </w:tc>
        <w:tc>
          <w:tcPr>
            <w:tcW w:w="2552" w:type="dxa"/>
            <w:tcBorders>
              <w:top w:val="nil"/>
              <w:bottom w:val="single" w:sz="4" w:space="0" w:color="auto"/>
            </w:tcBorders>
            <w:shd w:val="clear" w:color="auto" w:fill="auto"/>
          </w:tcPr>
          <w:p>
            <w:pPr>
              <w:pStyle w:val="nTable"/>
              <w:spacing w:after="40"/>
            </w:pPr>
            <w:r>
              <w:t>15 Nov 2023 (see s. 2(d) and SL 2023/161 cl. 2)</w:t>
            </w:r>
          </w:p>
        </w:tc>
      </w:tr>
    </w:tbl>
    <w:p>
      <w:pPr>
        <w:pStyle w:val="nHeading3"/>
      </w:pPr>
      <w:bookmarkStart w:id="488" w:name="_Toc158985688"/>
      <w:r>
        <w:lastRenderedPageBreak/>
        <w:t>Uncommenced provisions table</w:t>
      </w:r>
      <w:bookmarkEnd w:id="488"/>
    </w:p>
    <w:p>
      <w:pPr>
        <w:pStyle w:val="nStatement"/>
        <w:keepNext/>
        <w:spacing w:after="240"/>
      </w:pPr>
      <w:r>
        <w:t xml:space="preserve">To view the text of the uncommenced provisions see </w:t>
      </w:r>
      <w:r>
        <w:rPr>
          <w:i/>
        </w:rPr>
        <w:t>Acts as passed</w:t>
      </w:r>
      <w:r>
        <w:t xml:space="preserve"> on the WA Legislation website.</w:t>
      </w:r>
    </w:p>
    <w:tbl>
      <w:tblPr>
        <w:tblW w:w="7090"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06"/>
        <w:gridCol w:w="1164"/>
        <w:gridCol w:w="2552"/>
      </w:tblGrid>
      <w:tr>
        <w:trPr>
          <w:cantSplit/>
          <w:tblHeader/>
        </w:trPr>
        <w:tc>
          <w:tcPr>
            <w:tcW w:w="2268" w:type="dxa"/>
          </w:tcPr>
          <w:p>
            <w:pPr>
              <w:pStyle w:val="nTable"/>
              <w:keepNext/>
              <w:spacing w:after="40"/>
              <w:rPr>
                <w:b/>
              </w:rPr>
            </w:pPr>
            <w:r>
              <w:rPr>
                <w:b/>
              </w:rPr>
              <w:t>Short title</w:t>
            </w:r>
          </w:p>
        </w:tc>
        <w:tc>
          <w:tcPr>
            <w:tcW w:w="1106" w:type="dxa"/>
          </w:tcPr>
          <w:p>
            <w:pPr>
              <w:pStyle w:val="nTable"/>
              <w:keepNext/>
              <w:spacing w:after="40"/>
              <w:rPr>
                <w:b/>
              </w:rPr>
            </w:pPr>
            <w:r>
              <w:rPr>
                <w:b/>
              </w:rPr>
              <w:t>Number and year</w:t>
            </w:r>
          </w:p>
        </w:tc>
        <w:tc>
          <w:tcPr>
            <w:tcW w:w="116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tcPr>
          <w:p>
            <w:pPr>
              <w:pStyle w:val="nTable"/>
              <w:spacing w:after="40"/>
              <w:rPr>
                <w:b/>
                <w:vertAlign w:val="superscript"/>
              </w:rPr>
            </w:pPr>
            <w:r>
              <w:rPr>
                <w:i/>
                <w:snapToGrid w:val="0"/>
              </w:rPr>
              <w:t xml:space="preserve">Waste Avoidance and Resource Recovery Act 2007 </w:t>
            </w:r>
            <w:r>
              <w:rPr>
                <w:iCs/>
                <w:snapToGrid w:val="0"/>
              </w:rPr>
              <w:t xml:space="preserve">Sch. 4 </w:t>
            </w:r>
            <w:r>
              <w:rPr>
                <w:snapToGrid w:val="0"/>
              </w:rPr>
              <w:t>cl. 2(3)</w:t>
            </w:r>
          </w:p>
        </w:tc>
        <w:tc>
          <w:tcPr>
            <w:tcW w:w="1106" w:type="dxa"/>
            <w:tcBorders>
              <w:top w:val="single" w:sz="4" w:space="0" w:color="auto"/>
            </w:tcBorders>
          </w:tcPr>
          <w:p>
            <w:pPr>
              <w:pStyle w:val="nTable"/>
              <w:spacing w:after="40"/>
              <w:rPr>
                <w:b/>
              </w:rPr>
            </w:pPr>
            <w:r>
              <w:rPr>
                <w:snapToGrid w:val="0"/>
              </w:rPr>
              <w:t>36 of 2007</w:t>
            </w:r>
          </w:p>
        </w:tc>
        <w:tc>
          <w:tcPr>
            <w:tcW w:w="1164" w:type="dxa"/>
            <w:tcBorders>
              <w:top w:val="single" w:sz="4" w:space="0" w:color="auto"/>
            </w:tcBorders>
          </w:tcPr>
          <w:p>
            <w:pPr>
              <w:pStyle w:val="nTable"/>
              <w:spacing w:after="40"/>
              <w:rPr>
                <w:b/>
              </w:rPr>
            </w:pPr>
            <w:r>
              <w:rPr>
                <w:snapToGrid w:val="0"/>
              </w:rPr>
              <w:t>21 Dec 2007</w:t>
            </w:r>
          </w:p>
        </w:tc>
        <w:tc>
          <w:tcPr>
            <w:tcW w:w="2552" w:type="dxa"/>
            <w:tcBorders>
              <w:top w:val="single" w:sz="4" w:space="0" w:color="auto"/>
            </w:tcBorders>
          </w:tcPr>
          <w:p>
            <w:pPr>
              <w:pStyle w:val="nTable"/>
              <w:spacing w:after="40"/>
              <w:rPr>
                <w:b/>
              </w:rPr>
            </w:pPr>
            <w:r>
              <w:rPr>
                <w:snapToGrid w:val="0"/>
              </w:rPr>
              <w:t>To be proclaimed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Aquatic Resources Management Act 2016</w:t>
            </w:r>
            <w:r>
              <w:rPr>
                <w:snapToGrid w:val="0"/>
              </w:rPr>
              <w:t xml:space="preserve"> s. 366</w:t>
            </w:r>
          </w:p>
        </w:tc>
        <w:tc>
          <w:tcPr>
            <w:tcW w:w="1106" w:type="dxa"/>
          </w:tcPr>
          <w:p>
            <w:pPr>
              <w:pStyle w:val="nTable"/>
              <w:spacing w:after="40"/>
            </w:pPr>
            <w:r>
              <w:t>53 of 2016</w:t>
            </w:r>
          </w:p>
        </w:tc>
        <w:tc>
          <w:tcPr>
            <w:tcW w:w="1164" w:type="dxa"/>
          </w:tcPr>
          <w:p>
            <w:pPr>
              <w:pStyle w:val="nTable"/>
              <w:spacing w:after="40"/>
            </w:pPr>
            <w:r>
              <w:t>29 Nov 2016</w:t>
            </w:r>
          </w:p>
        </w:tc>
        <w:tc>
          <w:tcPr>
            <w:tcW w:w="2552" w:type="dxa"/>
          </w:tcPr>
          <w:p>
            <w:pPr>
              <w:pStyle w:val="nTable"/>
              <w:spacing w:after="40"/>
            </w:pPr>
            <w:r>
              <w:rPr>
                <w:snapToGrid w:val="0"/>
              </w:rPr>
              <w:t>To be proclaimed (see s. 2(b))</w:t>
            </w:r>
          </w:p>
        </w:tc>
      </w:tr>
      <w:tr>
        <w:trPr>
          <w:cantSplit/>
        </w:trPr>
        <w:tc>
          <w:tcPr>
            <w:tcW w:w="2268" w:type="dxa"/>
            <w:tcBorders>
              <w:top w:val="nil"/>
              <w:bottom w:val="nil"/>
            </w:tcBorders>
          </w:tcPr>
          <w:p>
            <w:pPr>
              <w:pStyle w:val="nTable"/>
              <w:spacing w:after="40"/>
              <w:rPr>
                <w:i/>
                <w:vertAlign w:val="superscript"/>
              </w:rPr>
            </w:pPr>
            <w:r>
              <w:rPr>
                <w:i/>
              </w:rPr>
              <w:t>Planning and Development Amendment Act 2020</w:t>
            </w:r>
            <w:r>
              <w:t xml:space="preserve"> Pt. 7 Div. 2</w:t>
            </w:r>
            <w:r>
              <w:rPr>
                <w:vertAlign w:val="superscript"/>
              </w:rPr>
              <w:t> 16</w:t>
            </w:r>
          </w:p>
        </w:tc>
        <w:tc>
          <w:tcPr>
            <w:tcW w:w="1106" w:type="dxa"/>
            <w:tcBorders>
              <w:top w:val="nil"/>
              <w:bottom w:val="nil"/>
            </w:tcBorders>
          </w:tcPr>
          <w:p>
            <w:pPr>
              <w:pStyle w:val="nTable"/>
              <w:spacing w:after="40"/>
            </w:pPr>
            <w:r>
              <w:t>26 of 2020</w:t>
            </w:r>
            <w:r>
              <w:br/>
              <w:t>(as amended by No. 40 of 2020 s. 117)</w:t>
            </w:r>
          </w:p>
        </w:tc>
        <w:tc>
          <w:tcPr>
            <w:tcW w:w="1164" w:type="dxa"/>
            <w:tcBorders>
              <w:top w:val="nil"/>
              <w:bottom w:val="nil"/>
            </w:tcBorders>
          </w:tcPr>
          <w:p>
            <w:pPr>
              <w:pStyle w:val="nTable"/>
              <w:spacing w:after="40"/>
            </w:pPr>
            <w:r>
              <w:t>7 Jul 2020</w:t>
            </w:r>
          </w:p>
        </w:tc>
        <w:tc>
          <w:tcPr>
            <w:tcW w:w="2552" w:type="dxa"/>
            <w:tcBorders>
              <w:top w:val="nil"/>
              <w:bottom w:val="nil"/>
            </w:tcBorders>
          </w:tcPr>
          <w:p>
            <w:pPr>
              <w:pStyle w:val="nTable"/>
              <w:spacing w:after="40"/>
            </w:pPr>
            <w:r>
              <w:t>1 Mar 2024 (see s. 2(1)(b) and SL 2024/16 cl. 2)</w:t>
            </w:r>
          </w:p>
        </w:tc>
      </w:tr>
      <w:tr>
        <w:tc>
          <w:tcPr>
            <w:tcW w:w="2268" w:type="dxa"/>
            <w:tcBorders>
              <w:top w:val="nil"/>
              <w:bottom w:val="nil"/>
            </w:tcBorders>
          </w:tcPr>
          <w:p>
            <w:pPr>
              <w:pStyle w:val="nTable"/>
              <w:spacing w:after="40"/>
            </w:pPr>
            <w:r>
              <w:rPr>
                <w:i/>
              </w:rPr>
              <w:t>Environmental Protection Amendment Act 2020</w:t>
            </w:r>
            <w:r>
              <w:t xml:space="preserve"> s. 4(2), (4), (6) and (10), 34, 42, 59, 60, 63, 65</w:t>
            </w:r>
            <w:r>
              <w:noBreakHyphen/>
              <w:t>68, 71, 72, 83, 86, 87, 88(1), 92, 98, 104, 105, 106(3), 108(7), 110(2) and 112</w:t>
            </w:r>
          </w:p>
        </w:tc>
        <w:tc>
          <w:tcPr>
            <w:tcW w:w="1106" w:type="dxa"/>
            <w:tcBorders>
              <w:top w:val="nil"/>
              <w:bottom w:val="nil"/>
            </w:tcBorders>
          </w:tcPr>
          <w:p>
            <w:pPr>
              <w:pStyle w:val="nTable"/>
              <w:spacing w:after="40"/>
            </w:pPr>
            <w:r>
              <w:t>40 of 2020</w:t>
            </w:r>
          </w:p>
        </w:tc>
        <w:tc>
          <w:tcPr>
            <w:tcW w:w="1164" w:type="dxa"/>
            <w:tcBorders>
              <w:top w:val="nil"/>
              <w:bottom w:val="nil"/>
            </w:tcBorders>
          </w:tcPr>
          <w:p>
            <w:pPr>
              <w:pStyle w:val="nTable"/>
              <w:spacing w:after="40"/>
            </w:pPr>
            <w:r>
              <w:t>19 Nov 2020</w:t>
            </w:r>
          </w:p>
        </w:tc>
        <w:tc>
          <w:tcPr>
            <w:tcW w:w="2552" w:type="dxa"/>
            <w:tcBorders>
              <w:top w:val="nil"/>
              <w:bottom w:val="nil"/>
            </w:tcBorders>
          </w:tcPr>
          <w:p>
            <w:pPr>
              <w:pStyle w:val="nTable"/>
              <w:spacing w:after="40"/>
            </w:pPr>
            <w:r>
              <w:t>s. 4(6): comes into operation immediately after s. 4(2) comes into operation (see s. 2(1)(b));</w:t>
            </w:r>
            <w:r>
              <w:br/>
              <w:t>s. 59: on the day on which s. 83 comes into operation (see s. 2(1)(c));</w:t>
            </w:r>
            <w:r>
              <w:br/>
              <w:t>s 4(2), (4) and (10), 34, 42, 60, 63, 65</w:t>
            </w:r>
            <w:r>
              <w:noBreakHyphen/>
              <w:t>68, 71, 72, 83, 86, 87, 88(1), 92, 98, 104, 105, 106(3), 108(7), 110(2) and 112: to be proclaimed (see s. 2(1)(e))</w:t>
            </w:r>
          </w:p>
        </w:tc>
      </w:tr>
      <w:tr>
        <w:trPr>
          <w:cantSplit/>
          <w:tblHeader/>
        </w:trPr>
        <w:tc>
          <w:tcPr>
            <w:tcW w:w="2268" w:type="dxa"/>
            <w:tcBorders>
              <w:top w:val="nil"/>
              <w:bottom w:val="nil"/>
            </w:tcBorders>
          </w:tcPr>
          <w:p>
            <w:pPr>
              <w:pStyle w:val="nTable"/>
              <w:spacing w:after="40"/>
            </w:pPr>
            <w:r>
              <w:rPr>
                <w:i/>
              </w:rPr>
              <w:t>Environmental Protection Amendment Act (No. 2) 2020</w:t>
            </w:r>
            <w:r>
              <w:t xml:space="preserve"> s. 5</w:t>
            </w:r>
          </w:p>
        </w:tc>
        <w:tc>
          <w:tcPr>
            <w:tcW w:w="1106" w:type="dxa"/>
            <w:tcBorders>
              <w:top w:val="nil"/>
              <w:bottom w:val="nil"/>
            </w:tcBorders>
          </w:tcPr>
          <w:p>
            <w:pPr>
              <w:pStyle w:val="nTable"/>
              <w:spacing w:after="40"/>
            </w:pPr>
            <w:r>
              <w:t>41 of 2020</w:t>
            </w:r>
          </w:p>
        </w:tc>
        <w:tc>
          <w:tcPr>
            <w:tcW w:w="1164" w:type="dxa"/>
            <w:tcBorders>
              <w:top w:val="nil"/>
              <w:bottom w:val="nil"/>
            </w:tcBorders>
          </w:tcPr>
          <w:p>
            <w:pPr>
              <w:pStyle w:val="nTable"/>
              <w:spacing w:after="40"/>
            </w:pPr>
            <w:r>
              <w:t>19 Nov 2020</w:t>
            </w:r>
          </w:p>
        </w:tc>
        <w:tc>
          <w:tcPr>
            <w:tcW w:w="2552" w:type="dxa"/>
            <w:tcBorders>
              <w:top w:val="nil"/>
              <w:bottom w:val="nil"/>
            </w:tcBorders>
          </w:tcPr>
          <w:p>
            <w:pPr>
              <w:pStyle w:val="nTable"/>
              <w:spacing w:after="40"/>
            </w:pPr>
            <w:r>
              <w:t xml:space="preserve">Immediately after the </w:t>
            </w:r>
            <w:r>
              <w:rPr>
                <w:i/>
              </w:rPr>
              <w:t>Environmental Protection Amendment Act 2020</w:t>
            </w:r>
            <w:r>
              <w:t xml:space="preserve"> s. 92 comes into operation (see s. 2(1)(c))</w:t>
            </w:r>
          </w:p>
        </w:tc>
      </w:tr>
      <w:tr>
        <w:trPr>
          <w:cantSplit/>
          <w:tblHeader/>
        </w:trPr>
        <w:tc>
          <w:tcPr>
            <w:tcW w:w="2268" w:type="dxa"/>
            <w:tcBorders>
              <w:top w:val="nil"/>
              <w:bottom w:val="single" w:sz="4" w:space="0" w:color="auto"/>
            </w:tcBorders>
          </w:tcPr>
          <w:p>
            <w:pPr>
              <w:pStyle w:val="nTable"/>
              <w:spacing w:after="40"/>
              <w:rPr>
                <w:iCs/>
              </w:rPr>
            </w:pPr>
            <w:r>
              <w:rPr>
                <w:i/>
              </w:rPr>
              <w:t xml:space="preserve">Planning and Development Amendment Act 2023 </w:t>
            </w:r>
            <w:r>
              <w:rPr>
                <w:iCs/>
              </w:rPr>
              <w:t>Pt. 5 Div. 2</w:t>
            </w:r>
          </w:p>
        </w:tc>
        <w:tc>
          <w:tcPr>
            <w:tcW w:w="1106" w:type="dxa"/>
            <w:tcBorders>
              <w:top w:val="nil"/>
              <w:bottom w:val="single" w:sz="4" w:space="0" w:color="auto"/>
            </w:tcBorders>
          </w:tcPr>
          <w:p>
            <w:pPr>
              <w:pStyle w:val="nTable"/>
              <w:spacing w:after="40"/>
            </w:pPr>
            <w:r>
              <w:t>34 of 2023</w:t>
            </w:r>
          </w:p>
        </w:tc>
        <w:tc>
          <w:tcPr>
            <w:tcW w:w="1164" w:type="dxa"/>
            <w:tcBorders>
              <w:top w:val="nil"/>
              <w:bottom w:val="single" w:sz="4" w:space="0" w:color="auto"/>
            </w:tcBorders>
          </w:tcPr>
          <w:p>
            <w:pPr>
              <w:pStyle w:val="nTable"/>
              <w:spacing w:after="40"/>
            </w:pPr>
            <w:r>
              <w:t>11 Dec 2023</w:t>
            </w:r>
          </w:p>
        </w:tc>
        <w:tc>
          <w:tcPr>
            <w:tcW w:w="2552" w:type="dxa"/>
            <w:tcBorders>
              <w:top w:val="nil"/>
              <w:bottom w:val="single" w:sz="4" w:space="0" w:color="auto"/>
            </w:tcBorders>
          </w:tcPr>
          <w:p>
            <w:pPr>
              <w:pStyle w:val="nTable"/>
              <w:spacing w:after="40"/>
            </w:pPr>
            <w:r>
              <w:t>1 Mar 2024 (see s. 2(d))</w:t>
            </w:r>
          </w:p>
        </w:tc>
      </w:tr>
    </w:tbl>
    <w:p>
      <w:pPr>
        <w:pStyle w:val="nHeading3"/>
      </w:pPr>
      <w:bookmarkStart w:id="489" w:name="_Toc158985689"/>
      <w:r>
        <w:t>Other notes</w:t>
      </w:r>
      <w:bookmarkEnd w:id="489"/>
    </w:p>
    <w:p>
      <w:pPr>
        <w:pStyle w:val="nNote"/>
        <w:keepNext/>
        <w:rPr>
          <w:snapToGrid w:val="0"/>
        </w:rPr>
      </w:pPr>
      <w:r>
        <w:rPr>
          <w:snapToGrid w:val="0"/>
          <w:vertAlign w:val="superscript"/>
        </w:rPr>
        <w:t>1</w:t>
      </w:r>
      <w:r>
        <w:rPr>
          <w:snapToGrid w:val="0"/>
        </w:rPr>
        <w:tab/>
        <w:t>Footnote no longer applicable.</w:t>
      </w:r>
    </w:p>
    <w:p>
      <w:pPr>
        <w:pStyle w:val="nNote"/>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pPr>
        <w:pStyle w:val="nNote"/>
        <w:rPr>
          <w:snapToGrid w:val="0"/>
        </w:rPr>
      </w:pPr>
      <w:r>
        <w:rPr>
          <w:snapToGrid w:val="0"/>
          <w:vertAlign w:val="superscript"/>
        </w:rPr>
        <w:t>3</w:t>
      </w:r>
      <w:r>
        <w:rPr>
          <w:snapToGrid w:val="0"/>
        </w:rPr>
        <w:tab/>
        <w:t>Act No. 77 of 1986.</w:t>
      </w:r>
    </w:p>
    <w:p>
      <w:pPr>
        <w:pStyle w:val="nNote"/>
        <w:rPr>
          <w:snapToGrid w:val="0"/>
        </w:rPr>
      </w:pPr>
      <w:r>
        <w:rPr>
          <w:snapToGrid w:val="0"/>
          <w:vertAlign w:val="superscript"/>
        </w:rPr>
        <w:lastRenderedPageBreak/>
        <w:t>4</w:t>
      </w:r>
      <w:r>
        <w:rPr>
          <w:snapToGrid w:val="0"/>
        </w:rPr>
        <w:tab/>
        <w:t>Footnote no longer applicable.</w:t>
      </w:r>
    </w:p>
    <w:p>
      <w:pPr>
        <w:pStyle w:val="nNote"/>
        <w:rPr>
          <w:snapToGrid w:val="0"/>
        </w:rPr>
      </w:pPr>
      <w:r>
        <w:rPr>
          <w:snapToGrid w:val="0"/>
          <w:vertAlign w:val="superscript"/>
        </w:rPr>
        <w:t>5</w:t>
      </w:r>
      <w:r>
        <w:rPr>
          <w:snapToGrid w:val="0"/>
        </w:rPr>
        <w:tab/>
        <w:t xml:space="preserve">Deleted by the </w:t>
      </w:r>
      <w:r>
        <w:rPr>
          <w:i/>
          <w:snapToGrid w:val="0"/>
        </w:rPr>
        <w:t>Acts Amendment and Repeal (Environmental Protection) Act 1986</w:t>
      </w:r>
      <w:r>
        <w:rPr>
          <w:snapToGrid w:val="0"/>
        </w:rPr>
        <w:t xml:space="preserve"> s. 32.</w:t>
      </w:r>
    </w:p>
    <w:p>
      <w:pPr>
        <w:pStyle w:val="nNote"/>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pPr>
        <w:pStyle w:val="nNote"/>
        <w:rPr>
          <w:snapToGrid w:val="0"/>
        </w:rPr>
      </w:pPr>
      <w:r>
        <w:rPr>
          <w:snapToGrid w:val="0"/>
          <w:vertAlign w:val="superscript"/>
        </w:rPr>
        <w:t>7</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Note"/>
        <w:keepNext/>
        <w:rPr>
          <w:snapToGrid w:val="0"/>
        </w:rPr>
      </w:pPr>
      <w:r>
        <w:rPr>
          <w:snapToGrid w:val="0"/>
          <w:vertAlign w:val="superscript"/>
        </w:rPr>
        <w:t>8</w:t>
      </w:r>
      <w:r>
        <w:rPr>
          <w:snapToGrid w:val="0"/>
        </w:rPr>
        <w:tab/>
        <w:t xml:space="preserve">The </w:t>
      </w:r>
      <w:r>
        <w:rPr>
          <w:i/>
          <w:snapToGrid w:val="0"/>
        </w:rPr>
        <w:t xml:space="preserve">Environmental Protection Amendment Act 1998 </w:t>
      </w:r>
      <w:r>
        <w:rPr>
          <w:snapToGrid w:val="0"/>
        </w:rPr>
        <w:t>Pt. 3 Div. 3 reads as follows:</w:t>
      </w:r>
    </w:p>
    <w:p>
      <w:pPr>
        <w:pStyle w:val="BlankOpen"/>
        <w:rPr>
          <w:snapToGrid w:val="0"/>
        </w:rPr>
      </w:pPr>
    </w:p>
    <w:p>
      <w:pPr>
        <w:pStyle w:val="nzHeading3"/>
        <w:rPr>
          <w:snapToGrid w:val="0"/>
        </w:rPr>
      </w:pPr>
      <w:r>
        <w:rPr>
          <w:snapToGrid w:val="0"/>
        </w:rPr>
        <w:t>Division 3 — Recovery of certain costs</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agreement</w:t>
      </w:r>
      <w:r>
        <w:t xml:space="preserve"> means an agreement —</w:t>
      </w:r>
    </w:p>
    <w:p>
      <w:pPr>
        <w:pStyle w:val="nzDefpara"/>
      </w:pPr>
      <w:r>
        <w:tab/>
        <w:t>(a)</w:t>
      </w:r>
      <w:r>
        <w:tab/>
        <w:t>made between the State and another party in respect of disposal of waste at the Mt Walton East waste facility before the coming into operation of this section; and</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t>and includes —</w:t>
      </w:r>
    </w:p>
    <w:p>
      <w:pPr>
        <w:pStyle w:val="nzDefpara"/>
      </w:pPr>
      <w:r>
        <w:tab/>
        <w:t>(c)</w:t>
      </w:r>
      <w:r>
        <w:tab/>
        <w:t>that agreement as varied from time to time in accordance with its provisions; and</w:t>
      </w:r>
    </w:p>
    <w:p>
      <w:pPr>
        <w:pStyle w:val="nzDefpara"/>
      </w:pPr>
      <w:r>
        <w:tab/>
        <w:t>(d)</w:t>
      </w:r>
      <w:r>
        <w:tab/>
        <w:t>any annexure to that agreement;</w:t>
      </w:r>
    </w:p>
    <w:p>
      <w:pPr>
        <w:pStyle w:val="nzDefstart"/>
        <w:keepNext/>
        <w:keepLines/>
      </w:pPr>
      <w:r>
        <w:tab/>
      </w:r>
      <w:r>
        <w:rPr>
          <w:rStyle w:val="CharDefText"/>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BlankClose"/>
        <w:rPr>
          <w:snapToGrid w:val="0"/>
        </w:rPr>
      </w:pPr>
    </w:p>
    <w:p>
      <w:pPr>
        <w:pStyle w:val="nNote"/>
        <w:keepNext/>
        <w:spacing w:before="200"/>
        <w:rPr>
          <w:sz w:val="19"/>
        </w:rPr>
      </w:pPr>
      <w:r>
        <w:rPr>
          <w:snapToGrid w:val="0"/>
          <w:vertAlign w:val="superscript"/>
        </w:rPr>
        <w:lastRenderedPageBreak/>
        <w:t>9</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pPr>
        <w:pStyle w:val="BlankOpen"/>
        <w:rPr>
          <w:snapToGrid w:val="0"/>
        </w:rPr>
      </w:pP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BlankClose"/>
        <w:rPr>
          <w:snapToGrid w:val="0"/>
        </w:rPr>
      </w:pPr>
    </w:p>
    <w:p>
      <w:pPr>
        <w:pStyle w:val="nNote"/>
        <w:keepNext/>
        <w:rPr>
          <w:snapToGrid w:val="0"/>
        </w:rPr>
      </w:pPr>
      <w:r>
        <w:rPr>
          <w:snapToGrid w:val="0"/>
          <w:vertAlign w:val="superscript"/>
        </w:rPr>
        <w:t>10</w:t>
      </w:r>
      <w:r>
        <w:rPr>
          <w:snapToGrid w:val="0"/>
        </w:rPr>
        <w:tab/>
        <w:t>The </w:t>
      </w:r>
      <w:r>
        <w:rPr>
          <w:i/>
          <w:snapToGrid w:val="0"/>
        </w:rPr>
        <w:t>Environmental Protection Amendment Act 2003</w:t>
      </w:r>
      <w:r>
        <w:rPr>
          <w:snapToGrid w:val="0"/>
        </w:rPr>
        <w:t xml:space="preserve"> s. 45(4) reads as follows:</w:t>
      </w:r>
    </w:p>
    <w:p>
      <w:pPr>
        <w:pStyle w:val="BlankOpen"/>
        <w:rPr>
          <w:snapToGrid w:val="0"/>
        </w:rPr>
      </w:pP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BlankClose"/>
        <w:rPr>
          <w:snapToGrid w:val="0"/>
        </w:rPr>
      </w:pPr>
    </w:p>
    <w:p>
      <w:pPr>
        <w:pStyle w:val="nNote"/>
        <w:rPr>
          <w:snapToGrid w:val="0"/>
        </w:rPr>
      </w:pPr>
      <w:r>
        <w:rPr>
          <w:snapToGrid w:val="0"/>
          <w:vertAlign w:val="superscript"/>
        </w:rPr>
        <w:t>11</w:t>
      </w:r>
      <w:r>
        <w:rPr>
          <w:snapToGrid w:val="0"/>
        </w:rPr>
        <w:tab/>
        <w:t xml:space="preserve">The </w:t>
      </w:r>
      <w:r>
        <w:rPr>
          <w:i/>
          <w:snapToGrid w:val="0"/>
        </w:rPr>
        <w:t>Environmental Protection Amendment Act 2003</w:t>
      </w:r>
      <w:r>
        <w:rPr>
          <w:snapToGrid w:val="0"/>
        </w:rPr>
        <w:t xml:space="preserve"> s. 51(6) reads as follows:</w:t>
      </w:r>
    </w:p>
    <w:p>
      <w:pPr>
        <w:pStyle w:val="BlankOpen"/>
        <w:rPr>
          <w:snapToGrid w:val="0"/>
        </w:rPr>
      </w:pP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BlankClose"/>
      </w:pPr>
    </w:p>
    <w:p>
      <w:pPr>
        <w:pStyle w:val="nNote"/>
        <w:keepNext/>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97(4) and (5) read as follows:</w:t>
      </w:r>
    </w:p>
    <w:p>
      <w:pPr>
        <w:pStyle w:val="BlankOpen"/>
        <w:rPr>
          <w:snapToGrid w:val="0"/>
        </w:rPr>
      </w:pP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BlankClose"/>
        <w:rPr>
          <w:snapToGrid w:val="0"/>
        </w:rPr>
      </w:pPr>
    </w:p>
    <w:p>
      <w:pPr>
        <w:pStyle w:val="nNote"/>
        <w:rPr>
          <w:snapToGrid w:val="0"/>
        </w:rPr>
      </w:pPr>
      <w:r>
        <w:rPr>
          <w:snapToGrid w:val="0"/>
          <w:vertAlign w:val="superscript"/>
        </w:rPr>
        <w:t>13</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Note"/>
        <w:keepNext/>
        <w:rPr>
          <w:snapToGrid w:val="0"/>
        </w:rPr>
      </w:pPr>
      <w:r>
        <w:rPr>
          <w:snapToGrid w:val="0"/>
          <w:vertAlign w:val="superscript"/>
        </w:rPr>
        <w:lastRenderedPageBreak/>
        <w:t>14</w:t>
      </w:r>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Statutes (Repeals and Miscellaneous Amendments) Act </w:t>
      </w:r>
      <w:r>
        <w:rPr>
          <w:i/>
          <w:snapToGrid w:val="0"/>
        </w:rPr>
        <w:t>2009</w:t>
      </w:r>
      <w:r>
        <w:rPr>
          <w:snapToGrid w:val="0"/>
        </w:rPr>
        <w:t xml:space="preserve"> s. 54(2) and (3)) read as follows:</w:t>
      </w:r>
    </w:p>
    <w:p>
      <w:pPr>
        <w:pStyle w:val="BlankOpen"/>
        <w:rPr>
          <w:snapToGrid w:val="0"/>
        </w:rPr>
      </w:pPr>
    </w:p>
    <w:p>
      <w:pPr>
        <w:pStyle w:val="nzSubsection"/>
      </w:pPr>
      <w:r>
        <w:tab/>
        <w:t>(2)</w:t>
      </w:r>
      <w:r>
        <w:tab/>
        <w:t>In subsections (3) to (5) —</w:t>
      </w:r>
    </w:p>
    <w:p>
      <w:pPr>
        <w:pStyle w:val="nzDefstart"/>
      </w:pPr>
      <w:r>
        <w:tab/>
      </w:r>
      <w:r>
        <w:rPr>
          <w:rStyle w:val="CharDefText"/>
        </w:rPr>
        <w:t>CEO</w:t>
      </w:r>
      <w:r>
        <w:t xml:space="preserve"> has the same meaning as it has in the EP Act;</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transitional period</w:t>
      </w:r>
      <w:r>
        <w:t xml:space="preserve"> means the period beginning on 26 June 2002 and ending on the day before the day on which this section comes into operation;</w:t>
      </w:r>
    </w:p>
    <w:p>
      <w:pPr>
        <w:pStyle w:val="nzDefstart"/>
      </w:pPr>
      <w:r>
        <w:tab/>
      </w:r>
      <w:r>
        <w:rPr>
          <w:rStyle w:val="CharDefText"/>
        </w:rPr>
        <w:t>unlawful clearing</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 xml:space="preserve">section 28 or 35 of the </w:t>
      </w:r>
      <w:r>
        <w:rPr>
          <w:i/>
          <w:iCs/>
        </w:rPr>
        <w:t>Soil and Land Conservation Act 1945</w:t>
      </w:r>
      <w:r>
        <w:t>;</w:t>
      </w:r>
    </w:p>
    <w:p>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pPr>
        <w:pStyle w:val="nzDefsubpara"/>
      </w:pPr>
      <w:r>
        <w:tab/>
        <w:t>(iii)</w:t>
      </w:r>
      <w:r>
        <w:tab/>
        <w:t xml:space="preserve">section 109, 110, 111 or 267(2)(c) or (f) of the </w:t>
      </w:r>
      <w:r>
        <w:rPr>
          <w:i/>
          <w:iCs/>
        </w:rPr>
        <w:t>Land Administration Act 1997</w:t>
      </w:r>
      <w:r>
        <w:t>; or</w:t>
      </w:r>
    </w:p>
    <w:p>
      <w:pPr>
        <w:pStyle w:val="nzDefsubpara"/>
      </w:pPr>
      <w:r>
        <w:tab/>
        <w:t>(iv)</w:t>
      </w:r>
      <w:r>
        <w:tab/>
        <w:t xml:space="preserve">section 12B of the </w:t>
      </w:r>
      <w:r>
        <w:rPr>
          <w:i/>
          <w:iCs/>
        </w:rPr>
        <w:t>Country Areas Water Supply Act 1947</w:t>
      </w:r>
      <w:r>
        <w:t>;</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t>but does not include clearing of a kind set out in Schedule 6 to the EP Act.</w:t>
      </w:r>
    </w:p>
    <w:p>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nzEdnotesubsection"/>
      </w:pPr>
      <w:r>
        <w:tab/>
        <w:t>[(4)</w:t>
      </w:r>
      <w:r>
        <w:tab/>
        <w:t>deleted]</w:t>
      </w:r>
    </w:p>
    <w:p>
      <w:pPr>
        <w:pStyle w:val="nzSubsection"/>
        <w:keepNext/>
        <w:keepLines/>
        <w:rPr>
          <w:snapToGrid w:val="0"/>
        </w:rPr>
      </w:pPr>
      <w:r>
        <w:rPr>
          <w:snapToGrid w:val="0"/>
        </w:rPr>
        <w:lastRenderedPageBreak/>
        <w:tab/>
        <w:t>(5)</w:t>
      </w:r>
      <w:r>
        <w:rPr>
          <w:snapToGrid w:val="0"/>
        </w:rPr>
        <w:tab/>
        <w:t xml:space="preserve">Sections 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nzFootnotesection"/>
      </w:pPr>
      <w:r>
        <w:tab/>
      </w:r>
      <w:r>
        <w:tab/>
        <w:t>[Section 111 amended: No. 8 of 2009 s. 54(2) and (3).]</w:t>
      </w:r>
    </w:p>
    <w:p>
      <w:pPr>
        <w:pStyle w:val="BlankClose"/>
        <w:rPr>
          <w:snapToGrid w:val="0"/>
          <w:sz w:val="20"/>
          <w:szCs w:val="20"/>
        </w:rPr>
      </w:pPr>
    </w:p>
    <w:p>
      <w:pPr>
        <w:pStyle w:val="nNote"/>
        <w:rPr>
          <w:snapToGrid w:val="0"/>
          <w:sz w:val="19"/>
        </w:rPr>
      </w:pPr>
      <w:r>
        <w:rPr>
          <w:snapToGrid w:val="0"/>
          <w:vertAlign w:val="superscript"/>
        </w:rPr>
        <w:t>15</w:t>
      </w:r>
      <w:r>
        <w:rPr>
          <w:snapToGrid w:val="0"/>
        </w:rPr>
        <w:tab/>
        <w:t xml:space="preserve">The </w:t>
      </w:r>
      <w:r>
        <w:rPr>
          <w:i/>
          <w:snapToGrid w:val="0"/>
        </w:rPr>
        <w:t xml:space="preserve">Waste Avoidance and Resource Recovery Regulations 2008 </w:t>
      </w:r>
      <w:r>
        <w:rPr>
          <w:iCs/>
          <w:snapToGrid w:val="0"/>
        </w:rPr>
        <w:t>r. 24 reads as follows:</w:t>
      </w:r>
    </w:p>
    <w:p>
      <w:pPr>
        <w:pStyle w:val="BlankOpen"/>
        <w:rPr>
          <w:sz w:val="20"/>
          <w:szCs w:val="20"/>
        </w:rPr>
      </w:pPr>
    </w:p>
    <w:p>
      <w:pPr>
        <w:pStyle w:val="nzHeading5"/>
      </w:pPr>
      <w:r>
        <w:rPr>
          <w:rStyle w:val="CharSectno"/>
        </w:rPr>
        <w:t>24</w:t>
      </w:r>
      <w:r>
        <w:t>.</w:t>
      </w:r>
      <w:r>
        <w:tab/>
        <w:t>Transitional provision — Waste Management and Recycling Fund</w:t>
      </w:r>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BlankClose"/>
        <w:rPr>
          <w:sz w:val="20"/>
          <w:szCs w:val="20"/>
        </w:rPr>
      </w:pPr>
    </w:p>
    <w:p>
      <w:pPr>
        <w:pStyle w:val="nNote"/>
        <w:rPr>
          <w:snapToGrid w:val="0"/>
        </w:rPr>
      </w:pPr>
      <w:r>
        <w:rPr>
          <w:snapToGrid w:val="0"/>
          <w:vertAlign w:val="superscript"/>
        </w:rPr>
        <w:t>16</w:t>
      </w:r>
      <w:r>
        <w:rPr>
          <w:snapToGrid w:val="0"/>
        </w:rPr>
        <w:tab/>
        <w:t xml:space="preserve">The </w:t>
      </w:r>
      <w:r>
        <w:rPr>
          <w:i/>
          <w:snapToGrid w:val="0"/>
        </w:rPr>
        <w:t>Planning and Development Amendment Act 2020</w:t>
      </w:r>
      <w:r>
        <w:rPr>
          <w:snapToGrid w:val="0"/>
        </w:rPr>
        <w:t xml:space="preserve"> s. 71 will not come into operation because the definition it sought to amend was deleted by the </w:t>
      </w:r>
      <w:r>
        <w:rPr>
          <w:i/>
          <w:snapToGrid w:val="0"/>
        </w:rPr>
        <w:t>Environmental Protection Amendment Act 2020</w:t>
      </w:r>
      <w:r>
        <w:rPr>
          <w:snapToGrid w:val="0"/>
        </w:rPr>
        <w:t xml:space="preserve"> s. 55(1)(b).</w:t>
      </w:r>
    </w:p>
    <w:p/>
    <w:p>
      <w:pPr>
        <w:sectPr>
          <w:headerReference w:type="even" r:id="rId35"/>
          <w:headerReference w:type="default" r:id="rId36"/>
          <w:pgSz w:w="11907" w:h="16840" w:code="9"/>
          <w:pgMar w:top="2376" w:right="2405" w:bottom="3542" w:left="2405" w:header="706" w:footer="3544" w:gutter="0"/>
          <w:cols w:space="720"/>
          <w:noEndnote/>
          <w:docGrid w:linePitch="326"/>
        </w:sectPr>
      </w:pPr>
    </w:p>
    <w:p>
      <w:pPr>
        <w:pStyle w:val="nHeading2"/>
        <w:rPr>
          <w:sz w:val="28"/>
        </w:rPr>
      </w:pPr>
      <w:bookmarkStart w:id="491" w:name="_Toc158981021"/>
      <w:bookmarkStart w:id="492" w:name="_Toc158981420"/>
      <w:bookmarkStart w:id="493" w:name="_Toc158985690"/>
      <w:r>
        <w:rPr>
          <w:sz w:val="28"/>
        </w:rPr>
        <w:lastRenderedPageBreak/>
        <w:t>Defined terms</w:t>
      </w:r>
      <w:bookmarkEnd w:id="491"/>
      <w:bookmarkEnd w:id="492"/>
      <w:bookmarkEnd w:id="49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110A</w:t>
      </w:r>
    </w:p>
    <w:p>
      <w:pPr>
        <w:pStyle w:val="DefinedTerms"/>
      </w:pPr>
      <w:r>
        <w:t>agreement to reserve</w:t>
      </w:r>
      <w:r>
        <w:tab/>
        <w:t>51A</w:t>
      </w:r>
    </w:p>
    <w:p>
      <w:pPr>
        <w:pStyle w:val="DefinedTerms"/>
      </w:pPr>
      <w:r>
        <w:t>amended EP Act</w:t>
      </w:r>
      <w:r>
        <w:tab/>
        <w:t>133(1)</w:t>
      </w:r>
    </w:p>
    <w:p>
      <w:pPr>
        <w:pStyle w:val="DefinedTerms"/>
      </w:pPr>
      <w:r>
        <w:t>amending Act</w:t>
      </w:r>
      <w:r>
        <w:tab/>
        <w:t>129, 133A</w:t>
      </w:r>
    </w:p>
    <w:p>
      <w:pPr>
        <w:pStyle w:val="DefinedTerms"/>
      </w:pPr>
      <w:r>
        <w:t>analysis</w:t>
      </w:r>
      <w:r>
        <w:tab/>
        <w:t>3(1)</w:t>
      </w:r>
    </w:p>
    <w:p>
      <w:pPr>
        <w:pStyle w:val="DefinedTerms"/>
      </w:pPr>
      <w:r>
        <w:t>analyst</w:t>
      </w:r>
      <w:r>
        <w:tab/>
        <w:t>3(1)</w:t>
      </w:r>
    </w:p>
    <w:p>
      <w:pPr>
        <w:pStyle w:val="DefinedTerms"/>
      </w:pPr>
      <w:r>
        <w:t>appeals committee</w:t>
      </w:r>
      <w:r>
        <w:tab/>
        <w:t>3(1)</w:t>
      </w:r>
    </w:p>
    <w:p>
      <w:pPr>
        <w:pStyle w:val="DefinedTerms"/>
      </w:pPr>
      <w:r>
        <w:t>Appeals Convenor</w:t>
      </w:r>
      <w:r>
        <w:tab/>
        <w:t>3(1)</w:t>
      </w:r>
    </w:p>
    <w:p>
      <w:pPr>
        <w:pStyle w:val="DefinedTerms"/>
      </w:pPr>
      <w:r>
        <w:t>applicant</w:t>
      </w:r>
      <w:r>
        <w:tab/>
        <w:t>3(1)</w:t>
      </w:r>
    </w:p>
    <w:p>
      <w:pPr>
        <w:pStyle w:val="DefinedTerms"/>
      </w:pPr>
      <w:r>
        <w:t>approved</w:t>
      </w:r>
      <w:r>
        <w:tab/>
        <w:t>88(6), 122B(1)</w:t>
      </w:r>
    </w:p>
    <w:p>
      <w:pPr>
        <w:pStyle w:val="DefinedTerms"/>
      </w:pPr>
      <w:r>
        <w:t>approved policy</w:t>
      </w:r>
      <w:r>
        <w:tab/>
        <w:t>3(1)</w:t>
      </w:r>
    </w:p>
    <w:p>
      <w:pPr>
        <w:pStyle w:val="DefinedTerms"/>
      </w:pPr>
      <w:r>
        <w:t>approved proposal</w:t>
      </w:r>
      <w:r>
        <w:tab/>
        <w:t>3(1)</w:t>
      </w:r>
    </w:p>
    <w:p>
      <w:pPr>
        <w:pStyle w:val="DefinedTerms"/>
      </w:pPr>
      <w:r>
        <w:t>area</w:t>
      </w:r>
      <w:r>
        <w:tab/>
        <w:t>51DA(4)</w:t>
      </w:r>
    </w:p>
    <w:p>
      <w:pPr>
        <w:pStyle w:val="DefinedTerms"/>
      </w:pPr>
      <w:r>
        <w:t>area permit</w:t>
      </w:r>
      <w:r>
        <w:tab/>
        <w:t>51A, 51E(7)</w:t>
      </w:r>
    </w:p>
    <w:p>
      <w:pPr>
        <w:pStyle w:val="DefinedTerms"/>
      </w:pPr>
      <w:r>
        <w:t>assessed proposal</w:t>
      </w:r>
      <w:r>
        <w:tab/>
        <w:t>44A</w:t>
      </w:r>
    </w:p>
    <w:p>
      <w:pPr>
        <w:pStyle w:val="DefinedTerms"/>
      </w:pPr>
      <w:r>
        <w:t>assessed scheme</w:t>
      </w:r>
      <w:r>
        <w:tab/>
        <w:t>3(1)</w:t>
      </w:r>
    </w:p>
    <w:p>
      <w:pPr>
        <w:pStyle w:val="DefinedTerms"/>
      </w:pPr>
      <w:r>
        <w:t>assessment report</w:t>
      </w:r>
      <w:r>
        <w:tab/>
        <w:t>44(1)</w:t>
      </w:r>
    </w:p>
    <w:p>
      <w:pPr>
        <w:pStyle w:val="DefinedTerms"/>
      </w:pPr>
      <w:r>
        <w:t>authorisation</w:t>
      </w:r>
      <w:r>
        <w:tab/>
        <w:t>50D(1), 68A(1), 86A, Sch. 2</w:t>
      </w:r>
    </w:p>
    <w:p>
      <w:pPr>
        <w:pStyle w:val="DefinedTerms"/>
      </w:pPr>
      <w:r>
        <w:t>authorised person</w:t>
      </w:r>
      <w:r>
        <w:tab/>
        <w:t>3(1)</w:t>
      </w:r>
    </w:p>
    <w:p>
      <w:pPr>
        <w:pStyle w:val="DefinedTerms"/>
      </w:pPr>
      <w:r>
        <w:t>Authority</w:t>
      </w:r>
      <w:r>
        <w:tab/>
        <w:t>3(1)</w:t>
      </w:r>
    </w:p>
    <w:p>
      <w:pPr>
        <w:pStyle w:val="DefinedTerms"/>
      </w:pPr>
      <w:r>
        <w:t>Authority member</w:t>
      </w:r>
      <w:r>
        <w:tab/>
        <w:t>3</w:t>
      </w:r>
    </w:p>
    <w:p>
      <w:pPr>
        <w:pStyle w:val="DefinedTerms"/>
      </w:pPr>
      <w:r>
        <w:t>beneficial use</w:t>
      </w:r>
      <w:r>
        <w:tab/>
        <w:t>3(1)</w:t>
      </w:r>
    </w:p>
    <w:p>
      <w:pPr>
        <w:pStyle w:val="DefinedTerms"/>
      </w:pPr>
      <w:r>
        <w:t>bilateral agreement</w:t>
      </w:r>
      <w:r>
        <w:tab/>
        <w:t>124A</w:t>
      </w:r>
    </w:p>
    <w:p>
      <w:pPr>
        <w:pStyle w:val="DefinedTerms"/>
      </w:pPr>
      <w:r>
        <w:t>bilateral matter</w:t>
      </w:r>
      <w:r>
        <w:tab/>
        <w:t>124A</w:t>
      </w:r>
    </w:p>
    <w:p>
      <w:pPr>
        <w:pStyle w:val="DefinedTerms"/>
      </w:pPr>
      <w:r>
        <w:t>biodiversity</w:t>
      </w:r>
      <w:r>
        <w:tab/>
        <w:t>Sch. 5 cl. 2</w:t>
      </w:r>
    </w:p>
    <w:p>
      <w:pPr>
        <w:pStyle w:val="DefinedTerms"/>
      </w:pPr>
      <w:r>
        <w:t>books</w:t>
      </w:r>
      <w:r>
        <w:tab/>
        <w:t>3(1)</w:t>
      </w:r>
    </w:p>
    <w:p>
      <w:pPr>
        <w:pStyle w:val="DefinedTerms"/>
      </w:pPr>
      <w:r>
        <w:t>capture</w:t>
      </w:r>
      <w:r>
        <w:tab/>
        <w:t>116B(2)</w:t>
      </w:r>
    </w:p>
    <w:p>
      <w:pPr>
        <w:pStyle w:val="DefinedTerms"/>
      </w:pPr>
      <w:r>
        <w:t>captured</w:t>
      </w:r>
      <w:r>
        <w:tab/>
        <w:t>116B(1)</w:t>
      </w:r>
    </w:p>
    <w:p>
      <w:pPr>
        <w:pStyle w:val="DefinedTerms"/>
      </w:pPr>
      <w:r>
        <w:t>CEO</w:t>
      </w:r>
      <w:r>
        <w:tab/>
        <w:t>3(1)</w:t>
      </w:r>
    </w:p>
    <w:p>
      <w:pPr>
        <w:pStyle w:val="DefinedTerms"/>
      </w:pPr>
      <w:r>
        <w:t>Chair</w:t>
      </w:r>
      <w:r>
        <w:tab/>
        <w:t>3(1)</w:t>
      </w:r>
    </w:p>
    <w:p>
      <w:pPr>
        <w:pStyle w:val="DefinedTerms"/>
      </w:pPr>
      <w:r>
        <w:t>clearing</w:t>
      </w:r>
      <w:r>
        <w:tab/>
        <w:t>3(1), 51A</w:t>
      </w:r>
    </w:p>
    <w:p>
      <w:pPr>
        <w:pStyle w:val="DefinedTerms"/>
      </w:pPr>
      <w:r>
        <w:t>clearing decision</w:t>
      </w:r>
      <w:r>
        <w:tab/>
        <w:t>51F(1)</w:t>
      </w:r>
    </w:p>
    <w:p>
      <w:pPr>
        <w:pStyle w:val="DefinedTerms"/>
      </w:pPr>
      <w:r>
        <w:t>clearing injunction</w:t>
      </w:r>
      <w:r>
        <w:tab/>
        <w:t>51S(2), 133D(1)</w:t>
      </w:r>
    </w:p>
    <w:p>
      <w:pPr>
        <w:pStyle w:val="DefinedTerms"/>
      </w:pPr>
      <w:r>
        <w:t>clearing matter</w:t>
      </w:r>
      <w:r>
        <w:tab/>
        <w:t>51O(1)</w:t>
      </w:r>
    </w:p>
    <w:p>
      <w:pPr>
        <w:pStyle w:val="DefinedTerms"/>
      </w:pPr>
      <w:r>
        <w:t>clearing permit</w:t>
      </w:r>
      <w:r>
        <w:tab/>
        <w:t>3(1)</w:t>
      </w:r>
    </w:p>
    <w:p>
      <w:pPr>
        <w:pStyle w:val="DefinedTerms"/>
      </w:pPr>
      <w:r>
        <w:t>clearing principles</w:t>
      </w:r>
      <w:r>
        <w:tab/>
        <w:t>51A</w:t>
      </w:r>
    </w:p>
    <w:p>
      <w:pPr>
        <w:pStyle w:val="DefinedTerms"/>
      </w:pPr>
      <w:r>
        <w:t>closure notice</w:t>
      </w:r>
      <w:r>
        <w:tab/>
        <w:t>3(1), 68A(2)</w:t>
      </w:r>
    </w:p>
    <w:p>
      <w:pPr>
        <w:pStyle w:val="DefinedTerms"/>
      </w:pPr>
      <w:r>
        <w:t>commencement</w:t>
      </w:r>
      <w:r>
        <w:tab/>
        <w:t>133B(1), 133D(1), 133E, 133M(2), (3), (5), (7), 133N(1)</w:t>
      </w:r>
    </w:p>
    <w:p>
      <w:pPr>
        <w:pStyle w:val="DefinedTerms"/>
      </w:pPr>
      <w:r>
        <w:t>commencement condition</w:t>
      </w:r>
      <w:r>
        <w:tab/>
        <w:t>47A(2)</w:t>
      </w:r>
    </w:p>
    <w:p>
      <w:pPr>
        <w:pStyle w:val="DefinedTerms"/>
      </w:pPr>
      <w:r>
        <w:lastRenderedPageBreak/>
        <w:t>Commissioner</w:t>
      </w:r>
      <w:r>
        <w:tab/>
        <w:t>51D(1)</w:t>
      </w:r>
    </w:p>
    <w:p>
      <w:pPr>
        <w:pStyle w:val="DefinedTerms"/>
      </w:pPr>
      <w:r>
        <w:t>committee of inquiry</w:t>
      </w:r>
      <w:r>
        <w:tab/>
        <w:t>3(1)</w:t>
      </w:r>
    </w:p>
    <w:p>
      <w:pPr>
        <w:pStyle w:val="DefinedTerms"/>
      </w:pPr>
      <w:r>
        <w:t>Commonwealth Environment Act</w:t>
      </w:r>
      <w:r>
        <w:tab/>
        <w:t>3(1)</w:t>
      </w:r>
    </w:p>
    <w:p>
      <w:pPr>
        <w:pStyle w:val="DefinedTerms"/>
      </w:pPr>
      <w:r>
        <w:t>compliance period</w:t>
      </w:r>
      <w:r>
        <w:tab/>
        <w:t>38F(2)</w:t>
      </w:r>
    </w:p>
    <w:p>
      <w:pPr>
        <w:pStyle w:val="DefinedTerms"/>
      </w:pPr>
      <w:r>
        <w:t>condition</w:t>
      </w:r>
      <w:r>
        <w:tab/>
        <w:t>3(1), 48H(1)</w:t>
      </w:r>
    </w:p>
    <w:p>
      <w:pPr>
        <w:pStyle w:val="DefinedTerms"/>
      </w:pPr>
      <w:r>
        <w:t>conduct affecting the environment</w:t>
      </w:r>
      <w:r>
        <w:tab/>
        <w:t>50D(1)</w:t>
      </w:r>
    </w:p>
    <w:p>
      <w:pPr>
        <w:pStyle w:val="DefinedTerms"/>
      </w:pPr>
      <w:r>
        <w:t>conduct injunction</w:t>
      </w:r>
      <w:r>
        <w:tab/>
        <w:t>133D(1)</w:t>
      </w:r>
    </w:p>
    <w:p>
      <w:pPr>
        <w:pStyle w:val="DefinedTerms"/>
      </w:pPr>
      <w:r>
        <w:t>conservation area</w:t>
      </w:r>
      <w:r>
        <w:tab/>
        <w:t>Sch. 5 cl. 2</w:t>
      </w:r>
    </w:p>
    <w:p>
      <w:pPr>
        <w:pStyle w:val="DefinedTerms"/>
      </w:pPr>
      <w:r>
        <w:t>conservation covenant</w:t>
      </w:r>
      <w:r>
        <w:tab/>
        <w:t>51A</w:t>
      </w:r>
    </w:p>
    <w:p>
      <w:pPr>
        <w:pStyle w:val="DefinedTerms"/>
      </w:pPr>
      <w:r>
        <w:t>consolidated proposal</w:t>
      </w:r>
      <w:r>
        <w:tab/>
        <w:t>45D(1)</w:t>
      </w:r>
    </w:p>
    <w:p>
      <w:pPr>
        <w:pStyle w:val="DefinedTerms"/>
      </w:pPr>
      <w:r>
        <w:t>contaminated</w:t>
      </w:r>
      <w:r>
        <w:tab/>
        <w:t>3(1)</w:t>
      </w:r>
    </w:p>
    <w:p>
      <w:pPr>
        <w:pStyle w:val="DefinedTerms"/>
      </w:pPr>
      <w:r>
        <w:t>contaminated sites auditor</w:t>
      </w:r>
      <w:r>
        <w:tab/>
        <w:t>3(1)</w:t>
      </w:r>
    </w:p>
    <w:p>
      <w:pPr>
        <w:pStyle w:val="DefinedTerms"/>
      </w:pPr>
      <w:r>
        <w:t>contravention</w:t>
      </w:r>
      <w:r>
        <w:tab/>
        <w:t>51S(1)</w:t>
      </w:r>
    </w:p>
    <w:p>
      <w:pPr>
        <w:pStyle w:val="DefinedTerms"/>
      </w:pPr>
      <w:r>
        <w:t>convicted</w:t>
      </w:r>
      <w:r>
        <w:tab/>
        <w:t>99T</w:t>
      </w:r>
    </w:p>
    <w:p>
      <w:pPr>
        <w:pStyle w:val="DefinedTerms"/>
      </w:pPr>
      <w:r>
        <w:t>corporation</w:t>
      </w:r>
      <w:r>
        <w:tab/>
        <w:t>51R(7), 55(3), 58(4)</w:t>
      </w:r>
    </w:p>
    <w:p>
      <w:pPr>
        <w:pStyle w:val="DefinedTerms"/>
      </w:pPr>
      <w:r>
        <w:t>court</w:t>
      </w:r>
      <w:r>
        <w:tab/>
        <w:t>51S(1)</w:t>
      </w:r>
    </w:p>
    <w:p>
      <w:pPr>
        <w:pStyle w:val="DefinedTerms"/>
      </w:pPr>
      <w:r>
        <w:t>damage costs</w:t>
      </w:r>
      <w:r>
        <w:tab/>
        <w:t>3A(3)</w:t>
      </w:r>
    </w:p>
    <w:p>
      <w:pPr>
        <w:pStyle w:val="DefinedTerms"/>
      </w:pPr>
      <w:r>
        <w:t>decision</w:t>
      </w:r>
      <w:r>
        <w:tab/>
        <w:t>51O(1)</w:t>
      </w:r>
    </w:p>
    <w:p>
      <w:pPr>
        <w:pStyle w:val="DefinedTerms"/>
      </w:pPr>
      <w:r>
        <w:t>decision date</w:t>
      </w:r>
      <w:r>
        <w:tab/>
        <w:t>134(1)</w:t>
      </w:r>
    </w:p>
    <w:p>
      <w:pPr>
        <w:pStyle w:val="DefinedTerms"/>
      </w:pPr>
      <w:r>
        <w:t>decision-making authority</w:t>
      </w:r>
      <w:r>
        <w:tab/>
        <w:t>3(1)</w:t>
      </w:r>
    </w:p>
    <w:p>
      <w:pPr>
        <w:pStyle w:val="DefinedTerms"/>
      </w:pPr>
      <w:r>
        <w:t>deemed referral</w:t>
      </w:r>
      <w:r>
        <w:tab/>
        <w:t>133C(2)</w:t>
      </w:r>
    </w:p>
    <w:p>
      <w:pPr>
        <w:pStyle w:val="DefinedTerms"/>
      </w:pPr>
      <w:r>
        <w:t>delegate</w:t>
      </w:r>
      <w:r>
        <w:tab/>
        <w:t>18(1), 19(1), 20(1)</w:t>
      </w:r>
    </w:p>
    <w:p>
      <w:pPr>
        <w:pStyle w:val="DefinedTerms"/>
      </w:pPr>
      <w:r>
        <w:t>Department</w:t>
      </w:r>
      <w:r>
        <w:tab/>
        <w:t>3(1)</w:t>
      </w:r>
    </w:p>
    <w:p>
      <w:pPr>
        <w:pStyle w:val="DefinedTerms"/>
      </w:pPr>
      <w:r>
        <w:t>Deputy Chair</w:t>
      </w:r>
      <w:r>
        <w:tab/>
        <w:t>3(1)</w:t>
      </w:r>
    </w:p>
    <w:p>
      <w:pPr>
        <w:pStyle w:val="DefinedTerms"/>
      </w:pPr>
      <w:r>
        <w:t>designated area</w:t>
      </w:r>
      <w:r>
        <w:tab/>
        <w:t>57(5)</w:t>
      </w:r>
    </w:p>
    <w:p>
      <w:pPr>
        <w:pStyle w:val="DefinedTerms"/>
      </w:pPr>
      <w:r>
        <w:t>designated person</w:t>
      </w:r>
      <w:r>
        <w:tab/>
        <w:t>99H</w:t>
      </w:r>
    </w:p>
    <w:p>
      <w:pPr>
        <w:pStyle w:val="DefinedTerms"/>
      </w:pPr>
      <w:r>
        <w:t>detrimental action</w:t>
      </w:r>
      <w:r>
        <w:tab/>
        <w:t>111A(3)</w:t>
      </w:r>
    </w:p>
    <w:p>
      <w:pPr>
        <w:pStyle w:val="DefinedTerms"/>
      </w:pPr>
      <w:r>
        <w:t>development approval</w:t>
      </w:r>
      <w:r>
        <w:tab/>
        <w:t>3(1)</w:t>
      </w:r>
    </w:p>
    <w:p>
      <w:pPr>
        <w:pStyle w:val="DefinedTerms"/>
      </w:pPr>
      <w:r>
        <w:t>discharge</w:t>
      </w:r>
      <w:r>
        <w:tab/>
        <w:t>3(1)</w:t>
      </w:r>
    </w:p>
    <w:p>
      <w:pPr>
        <w:pStyle w:val="DefinedTerms"/>
      </w:pPr>
      <w:r>
        <w:t>DMA decision</w:t>
      </w:r>
      <w:r>
        <w:tab/>
        <w:t>44A</w:t>
      </w:r>
    </w:p>
    <w:p>
      <w:pPr>
        <w:pStyle w:val="DefinedTerms"/>
      </w:pPr>
      <w:r>
        <w:t>documentation</w:t>
      </w:r>
      <w:r>
        <w:tab/>
        <w:t>122B(1)</w:t>
      </w:r>
    </w:p>
    <w:p>
      <w:pPr>
        <w:pStyle w:val="DefinedTerms"/>
      </w:pPr>
      <w:r>
        <w:t>draft policy</w:t>
      </w:r>
      <w:r>
        <w:tab/>
        <w:t>3(1), 31</w:t>
      </w:r>
    </w:p>
    <w:p>
      <w:pPr>
        <w:pStyle w:val="DefinedTerms"/>
      </w:pPr>
      <w:r>
        <w:t>driver</w:t>
      </w:r>
      <w:r>
        <w:tab/>
        <w:t>3(1)</w:t>
      </w:r>
    </w:p>
    <w:p>
      <w:pPr>
        <w:pStyle w:val="DefinedTerms"/>
      </w:pPr>
      <w:r>
        <w:t>ecological community</w:t>
      </w:r>
      <w:r>
        <w:tab/>
        <w:t>3(1)</w:t>
      </w:r>
    </w:p>
    <w:p>
      <w:pPr>
        <w:pStyle w:val="DefinedTerms"/>
      </w:pPr>
      <w:r>
        <w:t>ecosystem health condition</w:t>
      </w:r>
      <w:r>
        <w:tab/>
        <w:t>3(1)</w:t>
      </w:r>
    </w:p>
    <w:p>
      <w:pPr>
        <w:pStyle w:val="DefinedTerms"/>
      </w:pPr>
      <w:r>
        <w:t>emission</w:t>
      </w:r>
      <w:r>
        <w:tab/>
        <w:t>3(1)</w:t>
      </w:r>
    </w:p>
    <w:p>
      <w:pPr>
        <w:pStyle w:val="DefinedTerms"/>
      </w:pPr>
      <w:r>
        <w:t>environment</w:t>
      </w:r>
      <w:r>
        <w:tab/>
        <w:t>3(1)</w:t>
      </w:r>
    </w:p>
    <w:p>
      <w:pPr>
        <w:pStyle w:val="DefinedTerms"/>
      </w:pPr>
      <w:r>
        <w:t>environmental harm</w:t>
      </w:r>
      <w:r>
        <w:tab/>
        <w:t>3(1), 3A(2)</w:t>
      </w:r>
    </w:p>
    <w:p>
      <w:pPr>
        <w:pStyle w:val="DefinedTerms"/>
      </w:pPr>
      <w:r>
        <w:t>environmentally sensitive area</w:t>
      </w:r>
      <w:r>
        <w:tab/>
        <w:t>51A</w:t>
      </w:r>
    </w:p>
    <w:p>
      <w:pPr>
        <w:pStyle w:val="DefinedTerms"/>
      </w:pPr>
      <w:r>
        <w:t>environmental monitoring programme</w:t>
      </w:r>
      <w:r>
        <w:tab/>
        <w:t>2(1)</w:t>
      </w:r>
    </w:p>
    <w:p>
      <w:pPr>
        <w:pStyle w:val="DefinedTerms"/>
      </w:pPr>
      <w:r>
        <w:t>environmental protection covenant</w:t>
      </w:r>
      <w:r>
        <w:tab/>
        <w:t>3(1)</w:t>
      </w:r>
    </w:p>
    <w:p>
      <w:pPr>
        <w:pStyle w:val="DefinedTerms"/>
      </w:pPr>
      <w:r>
        <w:t>environmental protection notice</w:t>
      </w:r>
      <w:r>
        <w:tab/>
        <w:t>3(1), 65(1)</w:t>
      </w:r>
    </w:p>
    <w:p>
      <w:pPr>
        <w:pStyle w:val="DefinedTerms"/>
      </w:pPr>
      <w:r>
        <w:t>environmental undertaking</w:t>
      </w:r>
      <w:r>
        <w:tab/>
        <w:t>3(1)</w:t>
      </w:r>
    </w:p>
    <w:p>
      <w:pPr>
        <w:pStyle w:val="DefinedTerms"/>
      </w:pPr>
      <w:r>
        <w:t>environmental value</w:t>
      </w:r>
      <w:r>
        <w:tab/>
        <w:t>3(1)</w:t>
      </w:r>
    </w:p>
    <w:p>
      <w:pPr>
        <w:pStyle w:val="DefinedTerms"/>
      </w:pPr>
      <w:r>
        <w:lastRenderedPageBreak/>
        <w:t>equipment</w:t>
      </w:r>
      <w:r>
        <w:tab/>
        <w:t>3(1)</w:t>
      </w:r>
    </w:p>
    <w:p>
      <w:pPr>
        <w:pStyle w:val="DefinedTerms"/>
      </w:pPr>
      <w:r>
        <w:t>establish</w:t>
      </w:r>
      <w:r>
        <w:tab/>
        <w:t>51I(4)</w:t>
      </w:r>
    </w:p>
    <w:p>
      <w:pPr>
        <w:pStyle w:val="DefinedTerms"/>
      </w:pPr>
      <w:r>
        <w:t>existing Act</w:t>
      </w:r>
      <w:r>
        <w:tab/>
        <w:t>133E</w:t>
      </w:r>
    </w:p>
    <w:p>
      <w:pPr>
        <w:pStyle w:val="DefinedTerms"/>
      </w:pPr>
      <w:r>
        <w:t>existing application</w:t>
      </w:r>
      <w:r>
        <w:tab/>
        <w:t>133C(1), 133D(1), 133H(1), 133I(1), 133J(1)</w:t>
      </w:r>
    </w:p>
    <w:p>
      <w:pPr>
        <w:pStyle w:val="DefinedTerms"/>
      </w:pPr>
      <w:r>
        <w:t>existing authorisation</w:t>
      </w:r>
      <w:r>
        <w:tab/>
        <w:t>61(3)</w:t>
      </w:r>
    </w:p>
    <w:p>
      <w:pPr>
        <w:pStyle w:val="DefinedTerms"/>
      </w:pPr>
      <w:r>
        <w:t>fauna</w:t>
      </w:r>
      <w:r>
        <w:tab/>
        <w:t>Sch. 5 cl. 2</w:t>
      </w:r>
    </w:p>
    <w:p>
      <w:pPr>
        <w:pStyle w:val="DefinedTerms"/>
      </w:pPr>
      <w:r>
        <w:t>fee</w:t>
      </w:r>
      <w:r>
        <w:tab/>
        <w:t>Sch. 2</w:t>
      </w:r>
    </w:p>
    <w:p>
      <w:pPr>
        <w:pStyle w:val="DefinedTerms"/>
      </w:pPr>
      <w:r>
        <w:t>final approval</w:t>
      </w:r>
      <w:r>
        <w:tab/>
        <w:t>3(1)</w:t>
      </w:r>
    </w:p>
    <w:p>
      <w:pPr>
        <w:pStyle w:val="DefinedTerms"/>
      </w:pPr>
      <w:r>
        <w:t>financial assurance requirement</w:t>
      </w:r>
      <w:r>
        <w:tab/>
        <w:t>86A</w:t>
      </w:r>
    </w:p>
    <w:p>
      <w:pPr>
        <w:pStyle w:val="DefinedTerms"/>
      </w:pPr>
      <w:r>
        <w:t>first notice</w:t>
      </w:r>
      <w:r>
        <w:tab/>
        <w:t>28(1), 32(1)</w:t>
      </w:r>
    </w:p>
    <w:p>
      <w:pPr>
        <w:pStyle w:val="DefinedTerms"/>
      </w:pPr>
      <w:r>
        <w:t>former EP Act</w:t>
      </w:r>
      <w:r>
        <w:tab/>
        <w:t>130(1), 131(1), 132(1)</w:t>
      </w:r>
    </w:p>
    <w:p>
      <w:pPr>
        <w:pStyle w:val="DefinedTerms"/>
      </w:pPr>
      <w:r>
        <w:t>former provisions</w:t>
      </w:r>
      <w:r>
        <w:tab/>
        <w:t>133E</w:t>
      </w:r>
    </w:p>
    <w:p>
      <w:pPr>
        <w:pStyle w:val="DefinedTerms"/>
      </w:pPr>
      <w:r>
        <w:t>former section</w:t>
      </w:r>
      <w:r>
        <w:tab/>
        <w:t>133B(1)</w:t>
      </w:r>
    </w:p>
    <w:p>
      <w:pPr>
        <w:pStyle w:val="DefinedTerms"/>
      </w:pPr>
      <w:r>
        <w:t>fuel burning equipment</w:t>
      </w:r>
      <w:r>
        <w:tab/>
        <w:t>3(1)</w:t>
      </w:r>
    </w:p>
    <w:p>
      <w:pPr>
        <w:pStyle w:val="DefinedTerms"/>
      </w:pPr>
      <w:r>
        <w:t>give</w:t>
      </w:r>
      <w:r>
        <w:tab/>
        <w:t>51I(4)</w:t>
      </w:r>
    </w:p>
    <w:p>
      <w:pPr>
        <w:pStyle w:val="DefinedTerms"/>
      </w:pPr>
      <w:r>
        <w:t>ground of invalidity</w:t>
      </w:r>
      <w:r>
        <w:tab/>
        <w:t>134(1)</w:t>
      </w:r>
    </w:p>
    <w:p>
      <w:pPr>
        <w:pStyle w:val="DefinedTerms"/>
      </w:pPr>
      <w:r>
        <w:t>guidelines</w:t>
      </w:r>
      <w:r>
        <w:tab/>
        <w:t>124A</w:t>
      </w:r>
    </w:p>
    <w:p>
      <w:pPr>
        <w:pStyle w:val="DefinedTerms"/>
      </w:pPr>
      <w:r>
        <w:t>image</w:t>
      </w:r>
      <w:r>
        <w:tab/>
        <w:t>116B(1)</w:t>
      </w:r>
    </w:p>
    <w:p>
      <w:pPr>
        <w:pStyle w:val="DefinedTerms"/>
      </w:pPr>
      <w:r>
        <w:t>image data source</w:t>
      </w:r>
      <w:r>
        <w:tab/>
        <w:t>116B(1)</w:t>
      </w:r>
    </w:p>
    <w:p>
      <w:pPr>
        <w:pStyle w:val="DefinedTerms"/>
      </w:pPr>
      <w:r>
        <w:t>implementation agreement or decision</w:t>
      </w:r>
      <w:r>
        <w:tab/>
        <w:t>44A</w:t>
      </w:r>
    </w:p>
    <w:p>
      <w:pPr>
        <w:pStyle w:val="DefinedTerms"/>
      </w:pPr>
      <w:r>
        <w:t>implementation conditions</w:t>
      </w:r>
      <w:r>
        <w:tab/>
        <w:t>3(1), 44A, 48EA</w:t>
      </w:r>
    </w:p>
    <w:p>
      <w:pPr>
        <w:pStyle w:val="DefinedTerms"/>
      </w:pPr>
      <w:r>
        <w:t>implementation issue</w:t>
      </w:r>
      <w:r>
        <w:tab/>
        <w:t>44(3), 48EA</w:t>
      </w:r>
    </w:p>
    <w:p>
      <w:pPr>
        <w:pStyle w:val="DefinedTerms"/>
      </w:pPr>
      <w:r>
        <w:t>improper conduct</w:t>
      </w:r>
      <w:r>
        <w:tab/>
        <w:t>51S(1)</w:t>
      </w:r>
    </w:p>
    <w:p>
      <w:pPr>
        <w:pStyle w:val="DefinedTerms"/>
      </w:pPr>
      <w:r>
        <w:t>improvement scheme</w:t>
      </w:r>
      <w:r>
        <w:tab/>
        <w:t>3(1)</w:t>
      </w:r>
    </w:p>
    <w:p>
      <w:pPr>
        <w:pStyle w:val="DefinedTerms"/>
      </w:pPr>
      <w:r>
        <w:t>industrial plant</w:t>
      </w:r>
      <w:r>
        <w:tab/>
        <w:t>3(1)</w:t>
      </w:r>
    </w:p>
    <w:p>
      <w:pPr>
        <w:pStyle w:val="DefinedTerms"/>
      </w:pPr>
      <w:r>
        <w:t>infringement notice offence</w:t>
      </w:r>
      <w:r>
        <w:tab/>
        <w:t>99G</w:t>
      </w:r>
    </w:p>
    <w:p>
      <w:pPr>
        <w:pStyle w:val="DefinedTerms"/>
      </w:pPr>
      <w:r>
        <w:t>inspector</w:t>
      </w:r>
      <w:r>
        <w:tab/>
        <w:t>3(1)</w:t>
      </w:r>
    </w:p>
    <w:p>
      <w:pPr>
        <w:pStyle w:val="DefinedTerms"/>
      </w:pPr>
      <w:r>
        <w:t>interest</w:t>
      </w:r>
      <w:r>
        <w:tab/>
        <w:t>51N(1)</w:t>
      </w:r>
    </w:p>
    <w:p>
      <w:pPr>
        <w:pStyle w:val="DefinedTerms"/>
      </w:pPr>
      <w:r>
        <w:t>involvement in a contravention</w:t>
      </w:r>
      <w:r>
        <w:tab/>
        <w:t>51S(1)</w:t>
      </w:r>
    </w:p>
    <w:p>
      <w:pPr>
        <w:pStyle w:val="DefinedTerms"/>
      </w:pPr>
      <w:r>
        <w:t>key decision</w:t>
      </w:r>
      <w:r>
        <w:tab/>
        <w:t>44A</w:t>
      </w:r>
    </w:p>
    <w:p>
      <w:pPr>
        <w:pStyle w:val="DefinedTerms"/>
      </w:pPr>
      <w:r>
        <w:t>levy</w:t>
      </w:r>
      <w:r>
        <w:tab/>
        <w:t>110A</w:t>
      </w:r>
    </w:p>
    <w:p>
      <w:pPr>
        <w:pStyle w:val="DefinedTerms"/>
      </w:pPr>
      <w:r>
        <w:t>licence</w:t>
      </w:r>
      <w:r>
        <w:tab/>
        <w:t>3(1), 133G(1), 133J(1)</w:t>
      </w:r>
    </w:p>
    <w:p>
      <w:pPr>
        <w:pStyle w:val="DefinedTerms"/>
      </w:pPr>
      <w:r>
        <w:t>licensee</w:t>
      </w:r>
      <w:r>
        <w:tab/>
        <w:t>3(1)</w:t>
      </w:r>
    </w:p>
    <w:p>
      <w:pPr>
        <w:pStyle w:val="DefinedTerms"/>
      </w:pPr>
      <w:r>
        <w:t>local planning scheme</w:t>
      </w:r>
      <w:r>
        <w:tab/>
        <w:t>3(1)</w:t>
      </w:r>
    </w:p>
    <w:p>
      <w:pPr>
        <w:pStyle w:val="DefinedTerms"/>
      </w:pPr>
      <w:r>
        <w:t>making authority</w:t>
      </w:r>
      <w:r>
        <w:tab/>
        <w:t>44A</w:t>
      </w:r>
    </w:p>
    <w:p>
      <w:pPr>
        <w:pStyle w:val="DefinedTerms"/>
      </w:pPr>
      <w:r>
        <w:t>material environmental harm</w:t>
      </w:r>
      <w:r>
        <w:tab/>
        <w:t>3(1), 3A(2)</w:t>
      </w:r>
    </w:p>
    <w:p>
      <w:pPr>
        <w:pStyle w:val="DefinedTerms"/>
      </w:pPr>
      <w:r>
        <w:t>materials</w:t>
      </w:r>
      <w:r>
        <w:tab/>
        <w:t>3(1)</w:t>
      </w:r>
    </w:p>
    <w:p>
      <w:pPr>
        <w:pStyle w:val="DefinedTerms"/>
      </w:pPr>
      <w:r>
        <w:t>matter</w:t>
      </w:r>
      <w:r>
        <w:tab/>
        <w:t>14A(1)</w:t>
      </w:r>
    </w:p>
    <w:p>
      <w:pPr>
        <w:pStyle w:val="DefinedTerms"/>
      </w:pPr>
      <w:r>
        <w:t>Minister for Lands</w:t>
      </w:r>
      <w:r>
        <w:tab/>
        <w:t>121A(1)</w:t>
      </w:r>
    </w:p>
    <w:p>
      <w:pPr>
        <w:pStyle w:val="DefinedTerms"/>
      </w:pPr>
      <w:r>
        <w:t>Ministerial statement</w:t>
      </w:r>
      <w:r>
        <w:tab/>
        <w:t>3(1)</w:t>
      </w:r>
    </w:p>
    <w:p>
      <w:pPr>
        <w:pStyle w:val="DefinedTerms"/>
      </w:pPr>
      <w:r>
        <w:t>Minister (Water Resources)</w:t>
      </w:r>
      <w:r>
        <w:tab/>
        <w:t>57(5)</w:t>
      </w:r>
    </w:p>
    <w:p>
      <w:pPr>
        <w:pStyle w:val="DefinedTerms"/>
      </w:pPr>
      <w:r>
        <w:t>misbehaviour</w:t>
      </w:r>
      <w:r>
        <w:tab/>
        <w:t>Sch. 7 cl. 3(3)</w:t>
      </w:r>
    </w:p>
    <w:p>
      <w:pPr>
        <w:pStyle w:val="DefinedTerms"/>
      </w:pPr>
      <w:r>
        <w:t>monetary benefits</w:t>
      </w:r>
      <w:r>
        <w:tab/>
        <w:t>99Z(2)</w:t>
      </w:r>
    </w:p>
    <w:p>
      <w:pPr>
        <w:pStyle w:val="DefinedTerms"/>
      </w:pPr>
      <w:r>
        <w:t>monitoring programme</w:t>
      </w:r>
      <w:r>
        <w:tab/>
        <w:t>3(1)</w:t>
      </w:r>
    </w:p>
    <w:p>
      <w:pPr>
        <w:pStyle w:val="DefinedTerms"/>
      </w:pPr>
      <w:r>
        <w:lastRenderedPageBreak/>
        <w:t>motor vehicle</w:t>
      </w:r>
      <w:r>
        <w:tab/>
        <w:t>3(1)</w:t>
      </w:r>
    </w:p>
    <w:p>
      <w:pPr>
        <w:pStyle w:val="DefinedTerms"/>
      </w:pPr>
      <w:r>
        <w:t>native vegetation</w:t>
      </w:r>
      <w:r>
        <w:tab/>
        <w:t>3(1), 51A</w:t>
      </w:r>
    </w:p>
    <w:p>
      <w:pPr>
        <w:pStyle w:val="DefinedTerms"/>
      </w:pPr>
      <w:r>
        <w:t>NEPM</w:t>
      </w:r>
      <w:r>
        <w:tab/>
        <w:t>3(1)</w:t>
      </w:r>
    </w:p>
    <w:p>
      <w:pPr>
        <w:pStyle w:val="DefinedTerms"/>
      </w:pPr>
      <w:r>
        <w:t>new licence</w:t>
      </w:r>
      <w:r>
        <w:tab/>
        <w:t>133E</w:t>
      </w:r>
    </w:p>
    <w:p>
      <w:pPr>
        <w:pStyle w:val="DefinedTerms"/>
      </w:pPr>
      <w:r>
        <w:t>new occupier</w:t>
      </w:r>
      <w:r>
        <w:tab/>
        <w:t>61(1)</w:t>
      </w:r>
    </w:p>
    <w:p>
      <w:pPr>
        <w:pStyle w:val="DefinedTerms"/>
      </w:pPr>
      <w:r>
        <w:t>new owner</w:t>
      </w:r>
      <w:r>
        <w:tab/>
        <w:t>51N(1)</w:t>
      </w:r>
    </w:p>
    <w:p>
      <w:pPr>
        <w:pStyle w:val="DefinedTerms"/>
      </w:pPr>
      <w:r>
        <w:t>new provisions</w:t>
      </w:r>
      <w:r>
        <w:tab/>
        <w:t>133E</w:t>
      </w:r>
    </w:p>
    <w:p>
      <w:pPr>
        <w:pStyle w:val="DefinedTerms"/>
      </w:pPr>
      <w:r>
        <w:t>new section</w:t>
      </w:r>
      <w:r>
        <w:tab/>
        <w:t>133B(1)</w:t>
      </w:r>
    </w:p>
    <w:p>
      <w:pPr>
        <w:pStyle w:val="DefinedTerms"/>
      </w:pPr>
      <w:r>
        <w:t>noise</w:t>
      </w:r>
      <w:r>
        <w:tab/>
        <w:t>3(1)</w:t>
      </w:r>
    </w:p>
    <w:p>
      <w:pPr>
        <w:pStyle w:val="DefinedTerms"/>
      </w:pPr>
      <w:r>
        <w:t>notice</w:t>
      </w:r>
      <w:r>
        <w:tab/>
        <w:t>73B(1)</w:t>
      </w:r>
    </w:p>
    <w:p>
      <w:pPr>
        <w:pStyle w:val="DefinedTerms"/>
      </w:pPr>
      <w:r>
        <w:t>occupier</w:t>
      </w:r>
      <w:r>
        <w:tab/>
        <w:t>3(1), 51A</w:t>
      </w:r>
    </w:p>
    <w:p>
      <w:pPr>
        <w:pStyle w:val="DefinedTerms"/>
      </w:pPr>
      <w:r>
        <w:t>official document</w:t>
      </w:r>
      <w:r>
        <w:tab/>
        <w:t>116B(1)</w:t>
      </w:r>
    </w:p>
    <w:p>
      <w:pPr>
        <w:pStyle w:val="DefinedTerms"/>
      </w:pPr>
      <w:r>
        <w:t>other land</w:t>
      </w:r>
      <w:r>
        <w:tab/>
        <w:t>45A(2), 51I(4)</w:t>
      </w:r>
    </w:p>
    <w:p>
      <w:pPr>
        <w:pStyle w:val="DefinedTerms"/>
      </w:pPr>
      <w:r>
        <w:t>owner</w:t>
      </w:r>
      <w:r>
        <w:tab/>
        <w:t>3(1), 51A</w:t>
      </w:r>
    </w:p>
    <w:p>
      <w:pPr>
        <w:pStyle w:val="DefinedTerms"/>
      </w:pPr>
      <w:r>
        <w:t>pending appeal</w:t>
      </w:r>
      <w:r>
        <w:tab/>
        <w:t>133K(1), 133L(1)</w:t>
      </w:r>
    </w:p>
    <w:p>
      <w:pPr>
        <w:pStyle w:val="DefinedTerms"/>
      </w:pPr>
      <w:r>
        <w:t>period of public review</w:t>
      </w:r>
      <w:r>
        <w:tab/>
        <w:t>3(1)</w:t>
      </w:r>
    </w:p>
    <w:p>
      <w:pPr>
        <w:pStyle w:val="DefinedTerms"/>
      </w:pPr>
      <w:r>
        <w:t>person</w:t>
      </w:r>
      <w:r>
        <w:tab/>
        <w:t>3(1)</w:t>
      </w:r>
    </w:p>
    <w:p>
      <w:pPr>
        <w:pStyle w:val="DefinedTerms"/>
      </w:pPr>
      <w:r>
        <w:t>place</w:t>
      </w:r>
      <w:r>
        <w:tab/>
        <w:t>49A(1)</w:t>
      </w:r>
    </w:p>
    <w:p>
      <w:pPr>
        <w:pStyle w:val="DefinedTerms"/>
      </w:pPr>
      <w:r>
        <w:t>planning instrument</w:t>
      </w:r>
      <w:r>
        <w:tab/>
        <w:t>3(1)</w:t>
      </w:r>
    </w:p>
    <w:p>
      <w:pPr>
        <w:pStyle w:val="DefinedTerms"/>
      </w:pPr>
      <w:r>
        <w:t>plantation</w:t>
      </w:r>
      <w:r>
        <w:tab/>
        <w:t>3(1)</w:t>
      </w:r>
    </w:p>
    <w:p>
      <w:pPr>
        <w:pStyle w:val="DefinedTerms"/>
      </w:pPr>
      <w:r>
        <w:t>pollution</w:t>
      </w:r>
      <w:r>
        <w:tab/>
        <w:t>3(1), 3A(1)</w:t>
      </w:r>
    </w:p>
    <w:p>
      <w:pPr>
        <w:pStyle w:val="DefinedTerms"/>
      </w:pPr>
      <w:r>
        <w:t>practicable</w:t>
      </w:r>
      <w:r>
        <w:tab/>
        <w:t>3(1)</w:t>
      </w:r>
    </w:p>
    <w:p>
      <w:pPr>
        <w:pStyle w:val="DefinedTerms"/>
      </w:pPr>
      <w:r>
        <w:t>practicable means</w:t>
      </w:r>
      <w:r>
        <w:tab/>
        <w:t>3(1)</w:t>
      </w:r>
    </w:p>
    <w:p>
      <w:pPr>
        <w:pStyle w:val="DefinedTerms"/>
      </w:pPr>
      <w:r>
        <w:t>premises</w:t>
      </w:r>
      <w:r>
        <w:tab/>
        <w:t>3(1), 61(1)</w:t>
      </w:r>
    </w:p>
    <w:p>
      <w:pPr>
        <w:pStyle w:val="DefinedTerms"/>
      </w:pPr>
      <w:r>
        <w:t>prescribed</w:t>
      </w:r>
      <w:r>
        <w:tab/>
        <w:t>3(1)</w:t>
      </w:r>
    </w:p>
    <w:p>
      <w:pPr>
        <w:pStyle w:val="DefinedTerms"/>
      </w:pPr>
      <w:r>
        <w:t>prescribed offence</w:t>
      </w:r>
      <w:r>
        <w:tab/>
        <w:t>99AA</w:t>
      </w:r>
    </w:p>
    <w:p>
      <w:pPr>
        <w:pStyle w:val="DefinedTerms"/>
      </w:pPr>
      <w:r>
        <w:t>prescribed premises</w:t>
      </w:r>
      <w:r>
        <w:tab/>
        <w:t>3(1)</w:t>
      </w:r>
    </w:p>
    <w:p>
      <w:pPr>
        <w:pStyle w:val="DefinedTerms"/>
      </w:pPr>
      <w:r>
        <w:t>prevention notice</w:t>
      </w:r>
      <w:r>
        <w:tab/>
        <w:t>3(1), 73A(1)</w:t>
      </w:r>
    </w:p>
    <w:p>
      <w:pPr>
        <w:pStyle w:val="DefinedTerms"/>
      </w:pPr>
      <w:r>
        <w:t>previous office</w:t>
      </w:r>
      <w:r>
        <w:tab/>
        <w:t>Sch. 7 cl. 4(1)</w:t>
      </w:r>
    </w:p>
    <w:p>
      <w:pPr>
        <w:pStyle w:val="DefinedTerms"/>
      </w:pPr>
      <w:r>
        <w:t>principal offence</w:t>
      </w:r>
      <w:r>
        <w:tab/>
        <w:t>99S</w:t>
      </w:r>
    </w:p>
    <w:p>
      <w:pPr>
        <w:pStyle w:val="DefinedTerms"/>
      </w:pPr>
      <w:r>
        <w:t>proponent</w:t>
      </w:r>
      <w:r>
        <w:tab/>
        <w:t>3(1)</w:t>
      </w:r>
    </w:p>
    <w:p>
      <w:pPr>
        <w:pStyle w:val="DefinedTerms"/>
      </w:pPr>
      <w:r>
        <w:t>proposal</w:t>
      </w:r>
      <w:r>
        <w:tab/>
        <w:t>3(1)</w:t>
      </w:r>
    </w:p>
    <w:p>
      <w:pPr>
        <w:pStyle w:val="DefinedTerms"/>
      </w:pPr>
      <w:r>
        <w:t>proposal of a prescribed class</w:t>
      </w:r>
      <w:r>
        <w:tab/>
        <w:t>37B(1)</w:t>
      </w:r>
    </w:p>
    <w:p>
      <w:pPr>
        <w:pStyle w:val="DefinedTerms"/>
      </w:pPr>
      <w:r>
        <w:t>proposal under an assessed scheme</w:t>
      </w:r>
      <w:r>
        <w:tab/>
        <w:t>3(1)</w:t>
      </w:r>
    </w:p>
    <w:p>
      <w:pPr>
        <w:pStyle w:val="DefinedTerms"/>
      </w:pPr>
      <w:r>
        <w:t>proposed action</w:t>
      </w:r>
      <w:r>
        <w:tab/>
        <w:t>51M(2)</w:t>
      </w:r>
    </w:p>
    <w:p>
      <w:pPr>
        <w:pStyle w:val="DefinedTerms"/>
      </w:pPr>
      <w:r>
        <w:t>proposed amendment</w:t>
      </w:r>
      <w:r>
        <w:tab/>
        <w:t>51KB(1)</w:t>
      </w:r>
    </w:p>
    <w:p>
      <w:pPr>
        <w:pStyle w:val="DefinedTerms"/>
      </w:pPr>
      <w:r>
        <w:t>proposed change</w:t>
      </w:r>
      <w:r>
        <w:tab/>
        <w:t>133M(3), (5)</w:t>
      </w:r>
    </w:p>
    <w:p>
      <w:pPr>
        <w:pStyle w:val="DefinedTerms"/>
      </w:pPr>
      <w:r>
        <w:t>protection</w:t>
      </w:r>
      <w:r>
        <w:tab/>
        <w:t>3(1)</w:t>
      </w:r>
    </w:p>
    <w:p>
      <w:pPr>
        <w:pStyle w:val="DefinedTerms"/>
      </w:pPr>
      <w:r>
        <w:t>publication day</w:t>
      </w:r>
      <w:r>
        <w:tab/>
        <w:t>133O(1)</w:t>
      </w:r>
    </w:p>
    <w:p>
      <w:pPr>
        <w:pStyle w:val="DefinedTerms"/>
      </w:pPr>
      <w:r>
        <w:t>public authority</w:t>
      </w:r>
      <w:r>
        <w:tab/>
        <w:t>3(1)</w:t>
      </w:r>
    </w:p>
    <w:p>
      <w:pPr>
        <w:pStyle w:val="DefinedTerms"/>
      </w:pPr>
      <w:r>
        <w:t>public place</w:t>
      </w:r>
      <w:r>
        <w:tab/>
        <w:t>3(1)</w:t>
      </w:r>
    </w:p>
    <w:p>
      <w:pPr>
        <w:pStyle w:val="DefinedTerms"/>
      </w:pPr>
      <w:r>
        <w:t>public review</w:t>
      </w:r>
      <w:r>
        <w:tab/>
        <w:t>48C(7)</w:t>
      </w:r>
    </w:p>
    <w:p>
      <w:pPr>
        <w:pStyle w:val="DefinedTerms"/>
      </w:pPr>
      <w:r>
        <w:t>publish</w:t>
      </w:r>
      <w:r>
        <w:tab/>
        <w:t>122B(1)</w:t>
      </w:r>
    </w:p>
    <w:p>
      <w:pPr>
        <w:pStyle w:val="DefinedTerms"/>
      </w:pPr>
      <w:r>
        <w:t>purpose permit</w:t>
      </w:r>
      <w:r>
        <w:tab/>
        <w:t>51A, 51E(8)</w:t>
      </w:r>
    </w:p>
    <w:p>
      <w:pPr>
        <w:pStyle w:val="DefinedTerms"/>
      </w:pPr>
      <w:r>
        <w:lastRenderedPageBreak/>
        <w:t>recorded</w:t>
      </w:r>
      <w:r>
        <w:tab/>
        <w:t>100(1a)</w:t>
      </w:r>
    </w:p>
    <w:p>
      <w:pPr>
        <w:pStyle w:val="DefinedTerms"/>
      </w:pPr>
      <w:r>
        <w:t>referral</w:t>
      </w:r>
      <w:r>
        <w:tab/>
        <w:t>133M(1)</w:t>
      </w:r>
    </w:p>
    <w:p>
      <w:pPr>
        <w:pStyle w:val="DefinedTerms"/>
      </w:pPr>
      <w:r>
        <w:t>referred proposal</w:t>
      </w:r>
      <w:r>
        <w:tab/>
        <w:t>3(1)</w:t>
      </w:r>
    </w:p>
    <w:p>
      <w:pPr>
        <w:pStyle w:val="DefinedTerms"/>
      </w:pPr>
      <w:r>
        <w:t>referrer</w:t>
      </w:r>
      <w:r>
        <w:tab/>
        <w:t>51DA(2)</w:t>
      </w:r>
    </w:p>
    <w:p>
      <w:pPr>
        <w:pStyle w:val="DefinedTerms"/>
      </w:pPr>
      <w:r>
        <w:t>region planning scheme</w:t>
      </w:r>
      <w:r>
        <w:tab/>
        <w:t>3(1)</w:t>
      </w:r>
    </w:p>
    <w:p>
      <w:pPr>
        <w:pStyle w:val="DefinedTerms"/>
      </w:pPr>
      <w:r>
        <w:t>Registrar of Deeds and Transfers</w:t>
      </w:r>
      <w:r>
        <w:tab/>
        <w:t>2(1)</w:t>
      </w:r>
    </w:p>
    <w:p>
      <w:pPr>
        <w:pStyle w:val="DefinedTerms"/>
      </w:pPr>
      <w:r>
        <w:t>Registrar of Titles</w:t>
      </w:r>
      <w:r>
        <w:tab/>
        <w:t>3(1)</w:t>
      </w:r>
    </w:p>
    <w:p>
      <w:pPr>
        <w:pStyle w:val="DefinedTerms"/>
      </w:pPr>
      <w:r>
        <w:t>regulations</w:t>
      </w:r>
      <w:r>
        <w:tab/>
        <w:t>3(1), 133B(1)</w:t>
      </w:r>
    </w:p>
    <w:p>
      <w:pPr>
        <w:pStyle w:val="DefinedTerms"/>
      </w:pPr>
      <w:r>
        <w:t>relevant Act</w:t>
      </w:r>
      <w:r>
        <w:tab/>
        <w:t>Sch. 4</w:t>
      </w:r>
    </w:p>
    <w:p>
      <w:pPr>
        <w:pStyle w:val="DefinedTerms"/>
      </w:pPr>
      <w:r>
        <w:t>relevant day</w:t>
      </w:r>
      <w:r>
        <w:tab/>
        <w:t>61(2)</w:t>
      </w:r>
    </w:p>
    <w:p>
      <w:pPr>
        <w:pStyle w:val="DefinedTerms"/>
      </w:pPr>
      <w:r>
        <w:t>relevant NEPM</w:t>
      </w:r>
      <w:r>
        <w:tab/>
        <w:t>72(5)</w:t>
      </w:r>
    </w:p>
    <w:p>
      <w:pPr>
        <w:pStyle w:val="DefinedTerms"/>
      </w:pPr>
      <w:r>
        <w:t>relevant premises</w:t>
      </w:r>
      <w:r>
        <w:tab/>
        <w:t>55(1), 68A(1)</w:t>
      </w:r>
    </w:p>
    <w:p>
      <w:pPr>
        <w:pStyle w:val="DefinedTerms"/>
      </w:pPr>
      <w:r>
        <w:t>relevant scheme</w:t>
      </w:r>
      <w:r>
        <w:tab/>
        <w:t>48AAA(1)</w:t>
      </w:r>
    </w:p>
    <w:p>
      <w:pPr>
        <w:pStyle w:val="DefinedTerms"/>
      </w:pPr>
      <w:r>
        <w:t>remotely sensed image</w:t>
      </w:r>
      <w:r>
        <w:tab/>
        <w:t>116B(1)</w:t>
      </w:r>
    </w:p>
    <w:p>
      <w:pPr>
        <w:pStyle w:val="DefinedTerms"/>
      </w:pPr>
      <w:r>
        <w:t>repealed Act</w:t>
      </w:r>
      <w:r>
        <w:tab/>
        <w:t>3(1)</w:t>
      </w:r>
    </w:p>
    <w:p>
      <w:pPr>
        <w:pStyle w:val="DefinedTerms"/>
      </w:pPr>
      <w:r>
        <w:t>required action</w:t>
      </w:r>
      <w:r>
        <w:tab/>
        <w:t>70(4A)</w:t>
      </w:r>
    </w:p>
    <w:p>
      <w:pPr>
        <w:pStyle w:val="DefinedTerms"/>
      </w:pPr>
      <w:r>
        <w:t>requisition</w:t>
      </w:r>
      <w:r>
        <w:tab/>
        <w:t>38F(2)</w:t>
      </w:r>
    </w:p>
    <w:p>
      <w:pPr>
        <w:pStyle w:val="DefinedTerms"/>
      </w:pPr>
      <w:r>
        <w:t>reserve</w:t>
      </w:r>
      <w:r>
        <w:tab/>
        <w:t>3(1)</w:t>
      </w:r>
    </w:p>
    <w:p>
      <w:pPr>
        <w:pStyle w:val="DefinedTerms"/>
      </w:pPr>
      <w:r>
        <w:t>responsible authority</w:t>
      </w:r>
      <w:r>
        <w:tab/>
        <w:t>3(1)</w:t>
      </w:r>
    </w:p>
    <w:p>
      <w:pPr>
        <w:pStyle w:val="DefinedTerms"/>
      </w:pPr>
      <w:r>
        <w:t>responsible Minister</w:t>
      </w:r>
      <w:r>
        <w:tab/>
        <w:t>3(1)</w:t>
      </w:r>
    </w:p>
    <w:p>
      <w:pPr>
        <w:pStyle w:val="DefinedTerms"/>
      </w:pPr>
      <w:r>
        <w:t>responsible person</w:t>
      </w:r>
      <w:r>
        <w:tab/>
        <w:t>86A</w:t>
      </w:r>
    </w:p>
    <w:p>
      <w:pPr>
        <w:pStyle w:val="DefinedTerms"/>
      </w:pPr>
      <w:r>
        <w:t>road</w:t>
      </w:r>
      <w:r>
        <w:tab/>
        <w:t>3(1)</w:t>
      </w:r>
    </w:p>
    <w:p>
      <w:pPr>
        <w:pStyle w:val="DefinedTerms"/>
      </w:pPr>
      <w:r>
        <w:t>scheme</w:t>
      </w:r>
      <w:r>
        <w:tab/>
        <w:t>3(1), 48EA</w:t>
      </w:r>
    </w:p>
    <w:p>
      <w:pPr>
        <w:pStyle w:val="DefinedTerms"/>
      </w:pPr>
      <w:r>
        <w:t>scheme Act</w:t>
      </w:r>
      <w:r>
        <w:tab/>
        <w:t>3(1)</w:t>
      </w:r>
    </w:p>
    <w:p>
      <w:pPr>
        <w:pStyle w:val="DefinedTerms"/>
      </w:pPr>
      <w:r>
        <w:t>section 38E declaration</w:t>
      </w:r>
      <w:r>
        <w:tab/>
        <w:t>45B(1)</w:t>
      </w:r>
    </w:p>
    <w:p>
      <w:pPr>
        <w:pStyle w:val="DefinedTerms"/>
      </w:pPr>
      <w:r>
        <w:t>section 39</w:t>
      </w:r>
      <w:r>
        <w:tab/>
        <w:t>133M(6)</w:t>
      </w:r>
    </w:p>
    <w:p>
      <w:pPr>
        <w:pStyle w:val="DefinedTerms"/>
      </w:pPr>
      <w:r>
        <w:t>sell</w:t>
      </w:r>
      <w:r>
        <w:tab/>
        <w:t>3(1)</w:t>
      </w:r>
    </w:p>
    <w:p>
      <w:pPr>
        <w:pStyle w:val="DefinedTerms"/>
      </w:pPr>
      <w:r>
        <w:t>separate proposals</w:t>
      </w:r>
      <w:r>
        <w:tab/>
        <w:t>45D(1)</w:t>
      </w:r>
    </w:p>
    <w:p>
      <w:pPr>
        <w:pStyle w:val="DefinedTerms"/>
      </w:pPr>
      <w:r>
        <w:t>serious environmental harm</w:t>
      </w:r>
      <w:r>
        <w:tab/>
        <w:t>3(1), 3A(1)</w:t>
      </w:r>
    </w:p>
    <w:p>
      <w:pPr>
        <w:pStyle w:val="DefinedTerms"/>
      </w:pPr>
      <w:r>
        <w:t>significant amendment</w:t>
      </w:r>
      <w:r>
        <w:tab/>
        <w:t>3(1)</w:t>
      </w:r>
    </w:p>
    <w:p>
      <w:pPr>
        <w:pStyle w:val="DefinedTerms"/>
      </w:pPr>
      <w:r>
        <w:t>significant proposal</w:t>
      </w:r>
      <w:r>
        <w:tab/>
        <w:t>37B(1)</w:t>
      </w:r>
    </w:p>
    <w:p>
      <w:pPr>
        <w:pStyle w:val="DefinedTerms"/>
      </w:pPr>
      <w:r>
        <w:t>SLC Act</w:t>
      </w:r>
      <w:r>
        <w:tab/>
        <w:t>51A</w:t>
      </w:r>
    </w:p>
    <w:p>
      <w:pPr>
        <w:pStyle w:val="DefinedTerms"/>
      </w:pPr>
      <w:r>
        <w:t>soil conservation notice</w:t>
      </w:r>
      <w:r>
        <w:tab/>
        <w:t>51A</w:t>
      </w:r>
    </w:p>
    <w:p>
      <w:pPr>
        <w:pStyle w:val="DefinedTerms"/>
        <w:ind w:right="9"/>
        <w:jc w:val="right"/>
      </w:pPr>
      <w:r>
        <w:t>specified</w:t>
      </w:r>
      <w:r>
        <w:tab/>
        <w:t xml:space="preserve">6(10), 45A(2), 51I(4), 62A(4), 65(8), </w:t>
      </w:r>
      <w:r>
        <w:br/>
        <w:t>68A(1), 70(1), 71(6), 133O(1), Sch. 2</w:t>
      </w:r>
    </w:p>
    <w:p>
      <w:pPr>
        <w:pStyle w:val="DefinedTerms"/>
      </w:pPr>
      <w:r>
        <w:t>specified decision</w:t>
      </w:r>
      <w:r>
        <w:tab/>
        <w:t>133L(1)</w:t>
      </w:r>
    </w:p>
    <w:p>
      <w:pPr>
        <w:pStyle w:val="DefinedTerms"/>
      </w:pPr>
      <w:r>
        <w:t>State entity</w:t>
      </w:r>
      <w:r>
        <w:tab/>
        <w:t>124A</w:t>
      </w:r>
    </w:p>
    <w:p>
      <w:pPr>
        <w:pStyle w:val="DefinedTerms"/>
      </w:pPr>
      <w:r>
        <w:t>strategic assessment</w:t>
      </w:r>
      <w:r>
        <w:tab/>
        <w:t>38E(1)</w:t>
      </w:r>
    </w:p>
    <w:p>
      <w:pPr>
        <w:pStyle w:val="DefinedTerms"/>
      </w:pPr>
      <w:r>
        <w:t>strategic proposal</w:t>
      </w:r>
      <w:r>
        <w:tab/>
        <w:t>37B(1), (2)</w:t>
      </w:r>
    </w:p>
    <w:p>
      <w:pPr>
        <w:pStyle w:val="DefinedTerms"/>
      </w:pPr>
      <w:r>
        <w:t>subdivision</w:t>
      </w:r>
      <w:r>
        <w:tab/>
        <w:t>3(2a)</w:t>
      </w:r>
    </w:p>
    <w:p>
      <w:pPr>
        <w:pStyle w:val="DefinedTerms"/>
      </w:pPr>
      <w:r>
        <w:t>subject land</w:t>
      </w:r>
      <w:r>
        <w:tab/>
        <w:t>45A(2)</w:t>
      </w:r>
    </w:p>
    <w:p>
      <w:pPr>
        <w:pStyle w:val="DefinedTerms"/>
      </w:pPr>
      <w:r>
        <w:t>submit</w:t>
      </w:r>
      <w:r>
        <w:tab/>
        <w:t>122B(1)</w:t>
      </w:r>
    </w:p>
    <w:p>
      <w:pPr>
        <w:pStyle w:val="DefinedTerms"/>
      </w:pPr>
      <w:r>
        <w:t>subsidiary</w:t>
      </w:r>
      <w:r>
        <w:tab/>
        <w:t>51R(7), 55(3), 58(4)</w:t>
      </w:r>
    </w:p>
    <w:p>
      <w:pPr>
        <w:pStyle w:val="DefinedTerms"/>
      </w:pPr>
      <w:r>
        <w:t>The Wilderness Society v Minister for Environment</w:t>
      </w:r>
      <w:r>
        <w:tab/>
        <w:t>134(1)</w:t>
      </w:r>
    </w:p>
    <w:p>
      <w:pPr>
        <w:pStyle w:val="DefinedTerms"/>
      </w:pPr>
      <w:r>
        <w:lastRenderedPageBreak/>
        <w:t>threatened ecological community</w:t>
      </w:r>
      <w:r>
        <w:tab/>
        <w:t>Sch. 5 cl. 2</w:t>
      </w:r>
    </w:p>
    <w:p>
      <w:pPr>
        <w:pStyle w:val="DefinedTerms"/>
      </w:pPr>
      <w:r>
        <w:t>threatened flora</w:t>
      </w:r>
      <w:r>
        <w:tab/>
        <w:t>Sch. 5 cl. 2</w:t>
      </w:r>
    </w:p>
    <w:p>
      <w:pPr>
        <w:pStyle w:val="DefinedTerms"/>
      </w:pPr>
      <w:r>
        <w:t>threshold amount</w:t>
      </w:r>
      <w:r>
        <w:tab/>
        <w:t>3A(3)</w:t>
      </w:r>
    </w:p>
    <w:p>
      <w:pPr>
        <w:pStyle w:val="DefinedTerms"/>
      </w:pPr>
      <w:r>
        <w:t>Tier 1 offence</w:t>
      </w:r>
      <w:r>
        <w:tab/>
        <w:t>3(1)</w:t>
      </w:r>
    </w:p>
    <w:p>
      <w:pPr>
        <w:pStyle w:val="DefinedTerms"/>
      </w:pPr>
      <w:r>
        <w:t>Tier 2 offence</w:t>
      </w:r>
      <w:r>
        <w:tab/>
        <w:t>3(1)</w:t>
      </w:r>
    </w:p>
    <w:p>
      <w:pPr>
        <w:pStyle w:val="DefinedTerms"/>
      </w:pPr>
      <w:r>
        <w:t>Tier 3 offence</w:t>
      </w:r>
      <w:r>
        <w:tab/>
        <w:t>3(1)</w:t>
      </w:r>
    </w:p>
    <w:p>
      <w:pPr>
        <w:pStyle w:val="DefinedTerms"/>
      </w:pPr>
      <w:r>
        <w:t>trade</w:t>
      </w:r>
      <w:r>
        <w:tab/>
        <w:t>3(1)</w:t>
      </w:r>
    </w:p>
    <w:p>
      <w:pPr>
        <w:pStyle w:val="DefinedTerms"/>
      </w:pPr>
      <w:r>
        <w:t>transitional matter</w:t>
      </w:r>
      <w:r>
        <w:tab/>
        <w:t>133O(1)</w:t>
      </w:r>
    </w:p>
    <w:p>
      <w:pPr>
        <w:pStyle w:val="DefinedTerms"/>
      </w:pPr>
      <w:r>
        <w:t>unlawful clearing</w:t>
      </w:r>
      <w:r>
        <w:tab/>
        <w:t>70(1)</w:t>
      </w:r>
    </w:p>
    <w:p>
      <w:pPr>
        <w:pStyle w:val="DefinedTerms"/>
      </w:pPr>
      <w:r>
        <w:t>unreasonable emission</w:t>
      </w:r>
      <w:r>
        <w:tab/>
        <w:t>49(1)</w:t>
      </w:r>
    </w:p>
    <w:p>
      <w:pPr>
        <w:pStyle w:val="DefinedTerms"/>
      </w:pPr>
      <w:r>
        <w:t>unreasonable noise</w:t>
      </w:r>
      <w:r>
        <w:tab/>
        <w:t>3(1)</w:t>
      </w:r>
    </w:p>
    <w:p>
      <w:pPr>
        <w:pStyle w:val="DefinedTerms"/>
      </w:pPr>
      <w:r>
        <w:t>validated thing</w:t>
      </w:r>
      <w:r>
        <w:tab/>
        <w:t>135(4)</w:t>
      </w:r>
    </w:p>
    <w:p>
      <w:pPr>
        <w:pStyle w:val="DefinedTerms"/>
      </w:pPr>
      <w:r>
        <w:t>vegetation conservation notice</w:t>
      </w:r>
      <w:r>
        <w:tab/>
        <w:t>3(1), 70(2)</w:t>
      </w:r>
    </w:p>
    <w:p>
      <w:pPr>
        <w:pStyle w:val="DefinedTerms"/>
      </w:pPr>
      <w:r>
        <w:t>vehicle</w:t>
      </w:r>
      <w:r>
        <w:tab/>
        <w:t>3(1)</w:t>
      </w:r>
    </w:p>
    <w:p>
      <w:pPr>
        <w:pStyle w:val="DefinedTerms"/>
      </w:pPr>
      <w:r>
        <w:t>vessel</w:t>
      </w:r>
      <w:r>
        <w:tab/>
        <w:t>3(1)</w:t>
      </w:r>
    </w:p>
    <w:p>
      <w:pPr>
        <w:pStyle w:val="DefinedTerms"/>
      </w:pPr>
      <w:r>
        <w:t>waste</w:t>
      </w:r>
      <w:r>
        <w:tab/>
        <w:t>3(1)</w:t>
      </w:r>
    </w:p>
    <w:p>
      <w:pPr>
        <w:pStyle w:val="DefinedTerms"/>
      </w:pPr>
      <w:r>
        <w:t>watercourse</w:t>
      </w:r>
      <w:r>
        <w:tab/>
        <w:t>70(1), Sch. 5 cl. 2</w:t>
      </w:r>
    </w:p>
    <w:p>
      <w:pPr>
        <w:pStyle w:val="DefinedTerms"/>
      </w:pPr>
      <w:r>
        <w:t>waters</w:t>
      </w:r>
      <w:r>
        <w:tab/>
        <w:t>3(1)</w:t>
      </w:r>
    </w:p>
    <w:p>
      <w:pPr>
        <w:pStyle w:val="DefinedTerms"/>
      </w:pPr>
      <w:r>
        <w:t>Western Australian Planning Commission</w:t>
      </w:r>
      <w:r>
        <w:tab/>
        <w:t>3(1)</w:t>
      </w:r>
    </w:p>
    <w:p>
      <w:pPr>
        <w:pStyle w:val="DefinedTerms"/>
      </w:pPr>
      <w:r>
        <w:t>wetland</w:t>
      </w:r>
      <w:r>
        <w:tab/>
        <w:t>70(1), Sch. 5 cl. 1</w:t>
      </w:r>
    </w:p>
    <w:p>
      <w:pPr>
        <w:pStyle w:val="DefinedTerms"/>
      </w:pPr>
      <w:r>
        <w:t>works approval</w:t>
      </w:r>
      <w:r>
        <w:tab/>
        <w:t>3(1), 133F(1), 133I(1)</w:t>
      </w:r>
    </w:p>
    <w:p/>
    <w:p>
      <w:pPr>
        <w:sectPr>
          <w:headerReference w:type="even" r:id="rId37"/>
          <w:headerReference w:type="default" r:id="rId38"/>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4C9538AA"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546A4AA6" w14:textId="011DB4F3" w:rsidR="00132AF7" w:rsidRDefault="005A71D4">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FD253F">
                        <w:rPr>
                          <w:sz w:val="16"/>
                        </w:rPr>
                        <w:t>2023</w:t>
                      </w:r>
                      <w:r>
                        <w:rPr>
                          <w:sz w:val="16"/>
                        </w:rPr>
                        <w:fldChar w:fldCharType="end"/>
                      </w:r>
                      <w:r>
                        <w:rPr>
                          <w:sz w:val="16"/>
                        </w:rPr>
                        <w:t>.</w:t>
                      </w:r>
                    </w:p>
                    <w:p w14:paraId="0CBEB459" w14:textId="77777777" w:rsidR="00132AF7" w:rsidRDefault="005A71D4">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0B197F58" w14:textId="74716BA8" w:rsidR="00132AF7" w:rsidRDefault="005A71D4">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FD253F">
                        <w:rPr>
                          <w:sz w:val="16"/>
                        </w:rPr>
                        <w:t>2023</w:t>
                      </w:r>
                      <w:r>
                        <w:rPr>
                          <w:sz w:val="16"/>
                        </w:rPr>
                        <w:fldChar w:fldCharType="end"/>
                      </w:r>
                      <w:r>
                        <w:rPr>
                          <w:sz w:val="16"/>
                        </w:rPr>
                        <w:t>.</w:t>
                      </w:r>
                    </w:p>
                    <w:p w14:paraId="6C37119B" w14:textId="77777777" w:rsidR="00132AF7" w:rsidRDefault="005A71D4">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09-t0-02</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09-t0-02</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09-t0-02</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09-t0-02</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09-t0-02</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09-t0-02</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632"/>
      <w:gridCol w:w="563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632" w:type="dxa"/>
        </w:tcPr>
        <w:p>
          <w:pPr>
            <w:pStyle w:val="Header"/>
            <w:spacing w:before="40"/>
          </w:pPr>
          <w:r>
            <w:rPr>
              <w:b/>
            </w:rPr>
            <w:fldChar w:fldCharType="begin"/>
          </w:r>
          <w:r>
            <w:rPr>
              <w:b/>
            </w:rPr>
            <w:instrText>styleref CharSchno</w:instrText>
          </w:r>
          <w:r>
            <w:rPr>
              <w:b/>
            </w:rPr>
            <w:fldChar w:fldCharType="end"/>
          </w:r>
        </w:p>
      </w:tc>
      <w:tc>
        <w:tcPr>
          <w:tcW w:w="5631" w:type="dxa"/>
          <w:vAlign w:val="bottom"/>
        </w:tcPr>
        <w:p>
          <w:pPr>
            <w:pStyle w:val="Header"/>
            <w:spacing w:before="40"/>
          </w:pPr>
          <w:r>
            <w:fldChar w:fldCharType="begin"/>
          </w:r>
          <w:r>
            <w:instrText>styleref CharSchText</w:instrText>
          </w:r>
          <w:r>
            <w:fldChar w:fldCharType="end"/>
          </w:r>
        </w:p>
      </w:tc>
    </w:tr>
    <w:tr>
      <w:trPr>
        <w:jc w:val="center"/>
      </w:trPr>
      <w:tc>
        <w:tcPr>
          <w:tcW w:w="1632" w:type="dxa"/>
        </w:tcPr>
        <w:p>
          <w:pPr>
            <w:pStyle w:val="Header"/>
            <w:spacing w:before="40"/>
          </w:pPr>
          <w:r>
            <w:rPr>
              <w:b/>
            </w:rPr>
            <w:fldChar w:fldCharType="begin"/>
          </w:r>
          <w:r>
            <w:rPr>
              <w:b/>
            </w:rPr>
            <w:instrText xml:space="preserve"> STYLEREF CharSDivNo \* charformat</w:instrText>
          </w:r>
          <w:r>
            <w:rPr>
              <w:b/>
            </w:rPr>
            <w:fldChar w:fldCharType="end"/>
          </w:r>
        </w:p>
      </w:tc>
      <w:tc>
        <w:tcPr>
          <w:tcW w:w="5631" w:type="dxa"/>
        </w:tcPr>
        <w:p>
          <w:pPr>
            <w:pStyle w:val="Header"/>
            <w:spacing w:before="40"/>
          </w:pPr>
          <w:r>
            <w:fldChar w:fldCharType="begin"/>
          </w:r>
          <w:r>
            <w:instrText>styleref CharSDivText</w:instrText>
          </w:r>
          <w:r>
            <w:fldChar w:fldCharType="end"/>
          </w:r>
        </w:p>
      </w:tc>
    </w:tr>
    <w:tr>
      <w:trPr>
        <w:jc w:val="center"/>
      </w:trPr>
      <w:tc>
        <w:tcPr>
          <w:tcW w:w="1632" w:type="dxa"/>
        </w:tcPr>
        <w:p>
          <w:pPr>
            <w:pStyle w:val="Header"/>
            <w:spacing w:before="40"/>
          </w:pPr>
        </w:p>
      </w:tc>
      <w:tc>
        <w:tcPr>
          <w:tcW w:w="563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72" w:type="dxa"/>
      <w:jc w:val="center"/>
      <w:tblLayout w:type="fixed"/>
      <w:tblCellMar>
        <w:left w:w="72" w:type="dxa"/>
        <w:right w:w="72" w:type="dxa"/>
      </w:tblCellMar>
      <w:tblLook w:val="0000" w:firstRow="0" w:lastRow="0" w:firstColumn="0" w:lastColumn="0" w:noHBand="0" w:noVBand="0"/>
    </w:tblPr>
    <w:tblGrid>
      <w:gridCol w:w="5592"/>
      <w:gridCol w:w="1680"/>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592" w:type="dxa"/>
          <w:vAlign w:val="bottom"/>
        </w:tcPr>
        <w:p>
          <w:pPr>
            <w:pStyle w:val="Header"/>
            <w:spacing w:before="40"/>
            <w:jc w:val="right"/>
          </w:pPr>
          <w:r>
            <w:fldChar w:fldCharType="begin"/>
          </w:r>
          <w:r>
            <w:instrText>styleref CharSchText</w:instrText>
          </w:r>
          <w:r>
            <w:fldChar w:fldCharType="end"/>
          </w:r>
        </w:p>
      </w:tc>
      <w:tc>
        <w:tcPr>
          <w:tcW w:w="1680"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592" w:type="dxa"/>
        </w:tcPr>
        <w:p>
          <w:pPr>
            <w:pStyle w:val="Header"/>
            <w:spacing w:before="40"/>
            <w:jc w:val="right"/>
          </w:pPr>
          <w:r>
            <w:fldChar w:fldCharType="begin"/>
          </w:r>
          <w:r>
            <w:instrText xml:space="preserve"> styleref CharSDivText </w:instrText>
          </w:r>
          <w:r>
            <w:fldChar w:fldCharType="end"/>
          </w:r>
        </w:p>
      </w:tc>
      <w:tc>
        <w:tcPr>
          <w:tcW w:w="1680"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592" w:type="dxa"/>
        </w:tcPr>
        <w:p>
          <w:pPr>
            <w:pStyle w:val="Header"/>
            <w:spacing w:before="40"/>
            <w:jc w:val="right"/>
          </w:pPr>
        </w:p>
      </w:tc>
      <w:tc>
        <w:tcPr>
          <w:tcW w:w="1680" w:type="dxa"/>
        </w:tcPr>
        <w:p>
          <w:pPr>
            <w:pStyle w:val="Header"/>
            <w:spacing w:before="40"/>
            <w:ind w:right="17"/>
            <w:jc w:val="right"/>
          </w:pPr>
        </w:p>
      </w:tc>
    </w:tr>
  </w:tbl>
  <w:p>
    <w:pPr>
      <w:pStyle w:val="Header"/>
      <w:pBdr>
        <w:top w:val="single" w:sz="4" w:space="1" w:color="auto"/>
      </w:pBdr>
    </w:pPr>
    <w:bookmarkStart w:id="467" w:name="Schedule"/>
    <w:bookmarkEnd w:id="46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Transitional provisions not related to Environmental Protection Act 1971</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Transitional provisions not related to Environmental Protection Act 1971</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Principles for clearing native vegetation</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Principles for clearing native vegetation</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Clearing for which a clearing permit is not required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Clearing for which a clearing permit is not required</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90" w:name="Compilation"/>
    <w:bookmarkEnd w:id="490"/>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94" w:name="DefinedTerms"/>
    <w:bookmarkEnd w:id="494"/>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495" w:name="Coversheet"/>
    <w:bookmarkEnd w:id="49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50CD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8802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A2E5D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34B0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F2FF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7C95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8251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5EB4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F290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6422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3F468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17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216125251"/>
    <w:docVar w:name="WAFER_20131218143935" w:val="RemoveTocBookmarks,RemoveUnusedBookmarks,RemoveLanguageTags,UsedStyles,ResetPageSize,UpdateArrangement"/>
    <w:docVar w:name="WAFER_20131218143935_GUID" w:val="e6923f3d-c07d-4563-b3b6-b33ec81a302c"/>
    <w:docVar w:name="WAFER_20140306114453" w:val="RemoveTocBookmarks,RemoveUnusedBookmarks,RemoveLanguageTags,UsedStyles,ResetPageSize"/>
    <w:docVar w:name="WAFER_20140306114453_GUID" w:val="d39e14fc-d8b0-4724-9349-b5605182b55c"/>
    <w:docVar w:name="WAFER_20140306115049" w:val="RemoveTocBookmarks,RunningHeaders"/>
    <w:docVar w:name="WAFER_20140306115049_GUID" w:val="f99a49fd-a108-4ed8-aa18-8d14906328c6"/>
    <w:docVar w:name="WAFER_20150415152049" w:val="ResetPageSize,UpdateArrangement,UpdateNTable"/>
    <w:docVar w:name="WAFER_20150415152049_GUID" w:val="806a7ce7-fdb5-4067-b66f-4a876469cffb"/>
    <w:docVar w:name="WAFER_20151105124836" w:val="UpdateStyles,UsedStyles"/>
    <w:docVar w:name="WAFER_20151105124836_GUID" w:val="8dd929ad-19ac-482f-9bc1-0fe5bb1df89e"/>
    <w:docVar w:name="WAFER_20180220102117" w:val="RemoveTocBookmarks,RemoveUnusedBookmarks,RemoveLanguageTags,UsedStyles,ResetPageSize,RemoveCustomizations"/>
    <w:docVar w:name="WAFER_20180220102117_GUID" w:val="eb6df009-d3db-4764-a94c-a91c04bdabbb"/>
    <w:docVar w:name="WAFER_20181121084122" w:val="RemoveTocBookmarks,RemoveUnusedBookmarks,RemoveLanguageTags,UsedStyles,ResetPageSize"/>
    <w:docVar w:name="WAFER_20181121084122_GUID" w:val="687d7a08-b382-47fb-85a5-1f6420538f4a"/>
    <w:docVar w:name="WAFER_2020021313060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0600_GUID" w:val="3b6821b0-e137-41d2-ab0a-68a19b4f745c"/>
    <w:docVar w:name="WAFER_202002200911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091125_GUID" w:val="1b7e536d-f63b-4bf4-b67e-b3879fd061f6"/>
    <w:docVar w:name="WAFER_202007071649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07164919_GUID" w:val="40f82832-76d2-4ffd-996d-7ba082e09e7c"/>
    <w:docVar w:name="WAFER_202011181143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8114318_GUID" w:val="101669e7-b845-4681-b9cf-b5cad5fa390b"/>
    <w:docVar w:name="WAFER_202012091527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52735_GUID" w:val="22d76fec-b3c8-4b5d-b1cf-c07faa266496"/>
    <w:docVar w:name="WAFER_202101271104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7110427_GUID" w:val="626132ff-8d97-4651-b28f-bd26eabe401c"/>
    <w:docVar w:name="WAFER_202106151136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3628_GUID" w:val="022f139b-ac85-4aa5-8527-31d8b4331f3c"/>
    <w:docVar w:name="WAFER_202106231032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03201_GUID" w:val="bb03c798-080a-47e2-96fe-a7ef18a5a8f5"/>
    <w:docVar w:name="WAFER_202107151115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11533_GUID" w:val="05024faf-8084-4f04-9981-dd1e647ae8c4"/>
    <w:docVar w:name="WAFER_202107271111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1105_GUID" w:val="94cbeb83-62b4-421e-a851-518bc34ce8f9"/>
    <w:docVar w:name="WAFER_202110200949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4955_GUID" w:val="57d46e3a-b027-44ef-9427-39e228eea38f"/>
    <w:docVar w:name="WAFER_202110200950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5026_GUID" w:val="6c622ef1-9970-4ee7-baf9-dcf4d51383d8"/>
    <w:docVar w:name="WAFER_202112211050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05025_GUID" w:val="85dbbd50-f39f-4ef9-84e6-b3f5a26c7a42"/>
    <w:docVar w:name="WAFER_202112211111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11131_GUID" w:val="2fc75877-49f1-4b0e-8fd0-a20af1860d25"/>
    <w:docVar w:name="WAFER_202303241159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4115922_GUID" w:val="fd43304d-6ad1-4836-9aff-5de5684fa56b"/>
    <w:docVar w:name="WAFER_2023051510290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2900_GUID" w:val="879ed461-3822-4f3a-aa1f-b966783f3b42"/>
    <w:docVar w:name="WAFER_2023062710591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05919_GUID" w:val="8d3be148-e805-4f5e-9981-8458bfa442bc"/>
    <w:docVar w:name="WAFER_2023071011082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10110827_GUID" w:val="9ad10e81-9b86-4db5-9ba6-99f6c821ab43"/>
    <w:docVar w:name="WAFER_2023073109440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31094405_GUID" w:val="2f0607ab-da17-4fb5-a5a9-d4de88bfe9a9"/>
    <w:docVar w:name="WAFER_202308091232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809123225_GUID" w:val="90101308-773a-4275-afc8-80df252ccb64"/>
    <w:docVar w:name="WAFER_2023101910581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019105812_GUID" w:val="6d97f601-3fe0-4323-ab3b-f25bf08c6e09"/>
    <w:docVar w:name="WAFER_2023102714150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7141505_GUID" w:val="87c5f904-0924-4fb6-af42-9a25f2f00479"/>
    <w:docVar w:name="WAFER_202311091202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09120206_GUID" w:val="9facc045-4161-4977-b81f-40d9f74746e6"/>
    <w:docVar w:name="WAFER_2023120615213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06152136_GUID" w:val="459b2f6e-a510-4553-8187-3fa41feb0cee"/>
    <w:docVar w:name="WAFER_202402161252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16125251_GUID" w:val="5152133c-3b3f-4f2a-bfb7-5684d46869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089"/>
    <o:shapelayout v:ext="edit">
      <o:idmap v:ext="edit" data="1"/>
    </o:shapelayout>
  </w:shapeDefaults>
  <w:decimalSymbol w:val="."/>
  <w:listSeparator w:val=","/>
  <w15:docId w15:val="{263E2EF4-0D58-44AA-B007-F71332F7C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Ednotesubsection">
    <w:name w:val="nzEdnote(subsection)"/>
    <w:basedOn w:val="nzSubsection"/>
    <w:rPr>
      <w:i/>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header" Target="header26.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31AA1-7D0A-4274-8D2D-AFE868114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88520</Words>
  <Characters>429327</Characters>
  <Application>Microsoft Office Word</Application>
  <DocSecurity>0</DocSecurity>
  <Lines>11925</Lines>
  <Paragraphs>6813</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511034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1986 - 09-t0-02</dc:title>
  <dc:subject/>
  <dc:creator/>
  <cp:keywords/>
  <dc:description/>
  <cp:lastModifiedBy>Master Repository Process</cp:lastModifiedBy>
  <cp:revision>4</cp:revision>
  <cp:lastPrinted>2023-03-24T07:07:00Z</cp:lastPrinted>
  <dcterms:created xsi:type="dcterms:W3CDTF">2024-02-20T06:51:00Z</dcterms:created>
  <dcterms:modified xsi:type="dcterms:W3CDTF">2024-02-20T06:51:00Z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DocumentType">
    <vt:lpwstr>Act</vt:lpwstr>
  </property>
  <property fmtid="{D5CDD505-2E9C-101B-9397-08002B2CF9AE}" pid="4" name="OwlsUID">
    <vt:i4>252</vt:i4>
  </property>
  <property fmtid="{D5CDD505-2E9C-101B-9397-08002B2CF9AE}" pid="5" name="ReprintedAsAt">
    <vt:filetime>2018-05-03T16:00:00Z</vt:filetime>
  </property>
  <property fmtid="{D5CDD505-2E9C-101B-9397-08002B2CF9AE}" pid="6" name="ReprintNo">
    <vt:lpwstr>9</vt:lpwstr>
  </property>
  <property fmtid="{D5CDD505-2E9C-101B-9397-08002B2CF9AE}" pid="7" name="AsAtDate">
    <vt:lpwstr>11 Dec 2023</vt:lpwstr>
  </property>
  <property fmtid="{D5CDD505-2E9C-101B-9397-08002B2CF9AE}" pid="8" name="Suffix">
    <vt:lpwstr>09-t0-02</vt:lpwstr>
  </property>
  <property fmtid="{D5CDD505-2E9C-101B-9397-08002B2CF9AE}" pid="9" name="Official">
    <vt:lpwstr/>
  </property>
  <property fmtid="{D5CDD505-2E9C-101B-9397-08002B2CF9AE}" pid="10" name="CommencementDate">
    <vt:lpwstr>20231211</vt:lpwstr>
  </property>
  <property fmtid="{D5CDD505-2E9C-101B-9397-08002B2CF9AE}" pid="11" name="CommencementYear">
    <vt:lpwstr>2023</vt:lpwstr>
  </property>
</Properties>
</file>