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_Toc153888325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_Toc153888326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_Toc153888327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_Toc153888328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_Toc153888329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_Toc153888332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_Toc153888333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_Toc153888334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_Toc153888335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_Toc153888336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_Toc153888337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_Toc153888338 \h </w:instrText>
      </w:r>
      <w:r>
        <w:fldChar w:fldCharType="separate"/>
      </w:r>
      <w:r>
        <w:t>13</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_Toc153888339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_Toc153888341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_Toc153888342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_Toc153888343 \h </w:instrText>
      </w:r>
      <w:r>
        <w:fldChar w:fldCharType="separate"/>
      </w:r>
      <w:r>
        <w:t>16</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_Toc153888344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_Toc153888345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_Toc153888346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_Toc153888347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20.</w:t>
      </w:r>
      <w:r>
        <w:tab/>
        <w:t>Attendance at hearings</w:t>
      </w:r>
      <w:r>
        <w:tab/>
      </w:r>
      <w:r>
        <w:fldChar w:fldCharType="begin"/>
      </w:r>
      <w:r>
        <w:instrText xml:space="preserve"> PAGEREF _Toc153888348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_Toc153888349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_Toc153888350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_Toc153888351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_Toc153888354 \h </w:instrText>
      </w:r>
      <w:r>
        <w:fldChar w:fldCharType="separate"/>
      </w:r>
      <w:r>
        <w:t>21</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_Toc153888355 \h </w:instrText>
      </w:r>
      <w:r>
        <w:fldChar w:fldCharType="separate"/>
      </w:r>
      <w:r>
        <w:t>23</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_Toc153888356 \h </w:instrText>
      </w:r>
      <w:r>
        <w:fldChar w:fldCharType="separate"/>
      </w:r>
      <w:r>
        <w:t>25</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_Toc153888357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_Toc153888359 \h </w:instrText>
      </w:r>
      <w:r>
        <w:fldChar w:fldCharType="separate"/>
      </w:r>
      <w:r>
        <w:t>30</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_Toc153888360 \h </w:instrText>
      </w:r>
      <w:r>
        <w:fldChar w:fldCharType="separate"/>
      </w:r>
      <w:r>
        <w:t>31</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_Toc153888361 \h </w:instrText>
      </w:r>
      <w:r>
        <w:fldChar w:fldCharType="separate"/>
      </w:r>
      <w:r>
        <w:t>32</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_Toc153888362 \h </w:instrText>
      </w:r>
      <w:r>
        <w:fldChar w:fldCharType="separate"/>
      </w:r>
      <w:r>
        <w:t>34</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_Toc153888363 \h </w:instrText>
      </w:r>
      <w:r>
        <w:fldChar w:fldCharType="separate"/>
      </w:r>
      <w:r>
        <w:t>35</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_Toc153888364 \h </w:instrText>
      </w:r>
      <w:r>
        <w:fldChar w:fldCharType="separate"/>
      </w:r>
      <w:r>
        <w:t>35</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_Toc153888365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_Toc153888367 \h </w:instrText>
      </w:r>
      <w:r>
        <w:fldChar w:fldCharType="separate"/>
      </w:r>
      <w:r>
        <w:t>36</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_Toc153888368 \h </w:instrText>
      </w:r>
      <w:r>
        <w:fldChar w:fldCharType="separate"/>
      </w:r>
      <w:r>
        <w:t>37</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_Toc153888369 \h </w:instrText>
      </w:r>
      <w:r>
        <w:fldChar w:fldCharType="separate"/>
      </w:r>
      <w:r>
        <w:t>38</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_Toc153888370 \h </w:instrText>
      </w:r>
      <w:r>
        <w:fldChar w:fldCharType="separate"/>
      </w:r>
      <w:r>
        <w:t>38</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_Toc153888371 \h </w:instrText>
      </w:r>
      <w:r>
        <w:fldChar w:fldCharType="separate"/>
      </w:r>
      <w:r>
        <w:t>40</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_Toc153888372 \h </w:instrText>
      </w:r>
      <w:r>
        <w:fldChar w:fldCharType="separate"/>
      </w:r>
      <w:r>
        <w:t>43</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_Toc153888373 \h </w:instrText>
      </w:r>
      <w:r>
        <w:fldChar w:fldCharType="separate"/>
      </w:r>
      <w:r>
        <w:t>43</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_Toc153888374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42.</w:t>
      </w:r>
      <w:r>
        <w:tab/>
        <w:t>Retention of material for certain purposes</w:t>
      </w:r>
      <w:r>
        <w:tab/>
      </w:r>
      <w:r>
        <w:fldChar w:fldCharType="begin"/>
      </w:r>
      <w:r>
        <w:instrText xml:space="preserve"> PAGEREF _Toc153888375 \h </w:instrText>
      </w:r>
      <w:r>
        <w:fldChar w:fldCharType="separate"/>
      </w:r>
      <w:r>
        <w:t>45</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_Toc153888376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_Toc153888378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_Toc153888380 \h </w:instrText>
      </w:r>
      <w:r>
        <w:fldChar w:fldCharType="separate"/>
      </w:r>
      <w:r>
        <w:t>47</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_Toc153888381 \h </w:instrText>
      </w:r>
      <w:r>
        <w:fldChar w:fldCharType="separate"/>
      </w:r>
      <w:r>
        <w:t>47</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_Toc153888382 \h </w:instrText>
      </w:r>
      <w:r>
        <w:fldChar w:fldCharType="separate"/>
      </w:r>
      <w:r>
        <w:t>49</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_Toc153888383 \h </w:instrText>
      </w:r>
      <w:r>
        <w:fldChar w:fldCharType="separate"/>
      </w:r>
      <w:r>
        <w:t>49</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_Toc153888384 \h </w:instrText>
      </w:r>
      <w:r>
        <w:fldChar w:fldCharType="separate"/>
      </w:r>
      <w:r>
        <w:t>50</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_Toc153888385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_Toc153888387 \h </w:instrText>
      </w:r>
      <w:r>
        <w:fldChar w:fldCharType="separate"/>
      </w:r>
      <w:r>
        <w:t>51</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_Toc153888388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_Toc153888389 \h </w:instrText>
      </w:r>
      <w:r>
        <w:fldChar w:fldCharType="separate"/>
      </w:r>
      <w:r>
        <w:t>52</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_Toc153888390 \h </w:instrText>
      </w:r>
      <w:r>
        <w:fldChar w:fldCharType="separate"/>
      </w:r>
      <w:r>
        <w:t>52</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_Toc153888391 \h </w:instrText>
      </w:r>
      <w:r>
        <w:fldChar w:fldCharType="separate"/>
      </w:r>
      <w:r>
        <w:t>53</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_Toc153888392 \h </w:instrText>
      </w:r>
      <w:r>
        <w:fldChar w:fldCharType="separate"/>
      </w:r>
      <w:r>
        <w:t>54</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_Toc153888393 \h </w:instrText>
      </w:r>
      <w:r>
        <w:fldChar w:fldCharType="separate"/>
      </w:r>
      <w:r>
        <w:t>54</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_Toc153888394 \h </w:instrText>
      </w:r>
      <w:r>
        <w:fldChar w:fldCharType="separate"/>
      </w:r>
      <w:r>
        <w:t>54</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_Toc153888395 \h </w:instrText>
      </w:r>
      <w:r>
        <w:fldChar w:fldCharType="separate"/>
      </w:r>
      <w:r>
        <w:t>54</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_Toc153888396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_Toc153888398 \h </w:instrText>
      </w:r>
      <w:r>
        <w:fldChar w:fldCharType="separate"/>
      </w:r>
      <w:r>
        <w:t>56</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_Toc153888399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_Toc153888401 \h </w:instrText>
      </w:r>
      <w:r>
        <w:fldChar w:fldCharType="separate"/>
      </w:r>
      <w:r>
        <w:t>58</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_Toc153888402 \h </w:instrText>
      </w:r>
      <w:r>
        <w:fldChar w:fldCharType="separate"/>
      </w:r>
      <w:r>
        <w:t>59</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_Toc153888403 \h </w:instrText>
      </w:r>
      <w:r>
        <w:fldChar w:fldCharType="separate"/>
      </w:r>
      <w:r>
        <w:t>59</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_Toc153888404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_Toc153888406 \h </w:instrText>
      </w:r>
      <w:r>
        <w:fldChar w:fldCharType="separate"/>
      </w:r>
      <w:r>
        <w:t>60</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_Toc153888407 \h </w:instrText>
      </w:r>
      <w:r>
        <w:fldChar w:fldCharType="separate"/>
      </w:r>
      <w:r>
        <w:t>61</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_Toc153888408 \h </w:instrText>
      </w:r>
      <w:r>
        <w:fldChar w:fldCharType="separate"/>
      </w:r>
      <w:r>
        <w:t>61</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_Toc153888409 \h </w:instrText>
      </w:r>
      <w:r>
        <w:fldChar w:fldCharType="separate"/>
      </w:r>
      <w:r>
        <w:t>61</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_Toc153888410 \h </w:instrText>
      </w:r>
      <w:r>
        <w:fldChar w:fldCharType="separate"/>
      </w:r>
      <w:r>
        <w:t>62</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_Toc153888411 \h </w:instrText>
      </w:r>
      <w:r>
        <w:fldChar w:fldCharType="separate"/>
      </w:r>
      <w:r>
        <w:t>62</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_Toc153888412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_Toc153888414 \h </w:instrText>
      </w:r>
      <w:r>
        <w:fldChar w:fldCharType="separate"/>
      </w:r>
      <w:r>
        <w:t>64</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_Toc153888415 \h </w:instrText>
      </w:r>
      <w:r>
        <w:fldChar w:fldCharType="separate"/>
      </w:r>
      <w:r>
        <w:t>64</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_Toc153888416 \h </w:instrText>
      </w:r>
      <w:r>
        <w:fldChar w:fldCharType="separate"/>
      </w:r>
      <w:r>
        <w:t>64</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_Toc153888417 \h </w:instrText>
      </w:r>
      <w:r>
        <w:fldChar w:fldCharType="separate"/>
      </w:r>
      <w:r>
        <w:t>65</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_Toc153888418 \h </w:instrText>
      </w:r>
      <w:r>
        <w:fldChar w:fldCharType="separate"/>
      </w:r>
      <w:r>
        <w:t>66</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_Toc153888419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_Toc153888421 \h </w:instrText>
      </w:r>
      <w:r>
        <w:fldChar w:fldCharType="separate"/>
      </w:r>
      <w:r>
        <w:t>67</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_Toc153888422 \h </w:instrText>
      </w:r>
      <w:r>
        <w:fldChar w:fldCharType="separate"/>
      </w:r>
      <w:r>
        <w:t>67</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_Toc153888423 \h </w:instrText>
      </w:r>
      <w:r>
        <w:fldChar w:fldCharType="separate"/>
      </w:r>
      <w:r>
        <w:t>67</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_Toc153888424 \h </w:instrText>
      </w:r>
      <w:r>
        <w:fldChar w:fldCharType="separate"/>
      </w:r>
      <w:r>
        <w:t>68</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_Toc153888425 \h </w:instrText>
      </w:r>
      <w:r>
        <w:fldChar w:fldCharType="separate"/>
      </w:r>
      <w:r>
        <w:t>69</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_Toc153888426 \h </w:instrText>
      </w:r>
      <w:r>
        <w:fldChar w:fldCharType="separate"/>
      </w:r>
      <w:r>
        <w:t>69</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_Toc153888427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_Toc153888429 \h </w:instrText>
      </w:r>
      <w:r>
        <w:fldChar w:fldCharType="separate"/>
      </w:r>
      <w:r>
        <w:t>71</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_Toc153888430 \h </w:instrText>
      </w:r>
      <w:r>
        <w:fldChar w:fldCharType="separate"/>
      </w:r>
      <w:r>
        <w:t>72</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_Toc153888431 \h </w:instrText>
      </w:r>
      <w:r>
        <w:fldChar w:fldCharType="separate"/>
      </w:r>
      <w:r>
        <w:t>73</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_Toc153888432 \h </w:instrText>
      </w:r>
      <w:r>
        <w:fldChar w:fldCharType="separate"/>
      </w:r>
      <w:r>
        <w:t>74</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_Toc153888433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_Toc153888436 \h </w:instrText>
      </w:r>
      <w:r>
        <w:fldChar w:fldCharType="separate"/>
      </w:r>
      <w:r>
        <w:t>75</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_Toc153888437 \h </w:instrText>
      </w:r>
      <w:r>
        <w:fldChar w:fldCharType="separate"/>
      </w:r>
      <w:r>
        <w:t>76</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_Toc153888438 \h </w:instrText>
      </w:r>
      <w:r>
        <w:fldChar w:fldCharType="separate"/>
      </w:r>
      <w:r>
        <w:t>76</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_Toc153888439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_Toc153888441 \h </w:instrText>
      </w:r>
      <w:r>
        <w:fldChar w:fldCharType="separate"/>
      </w:r>
      <w:r>
        <w:t>77</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_Toc153888442 \h </w:instrText>
      </w:r>
      <w:r>
        <w:fldChar w:fldCharType="separate"/>
      </w:r>
      <w:r>
        <w:t>77</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_Toc153888443 \h </w:instrText>
      </w:r>
      <w:r>
        <w:fldChar w:fldCharType="separate"/>
      </w:r>
      <w:r>
        <w:t>78</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_Toc153888444 \h </w:instrText>
      </w:r>
      <w:r>
        <w:fldChar w:fldCharType="separate"/>
      </w:r>
      <w:r>
        <w:t>81</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_Toc153888445 \h </w:instrText>
      </w:r>
      <w:r>
        <w:fldChar w:fldCharType="separate"/>
      </w:r>
      <w:r>
        <w:t>82</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_Toc153888446 \h </w:instrText>
      </w:r>
      <w:r>
        <w:fldChar w:fldCharType="separate"/>
      </w:r>
      <w:r>
        <w:t>84</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_Toc153888447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_Toc153888449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85M.</w:t>
      </w:r>
      <w:r>
        <w:tab/>
        <w:t>Publication, display and distribution of identifying information</w:t>
      </w:r>
      <w:r>
        <w:tab/>
      </w:r>
      <w:r>
        <w:fldChar w:fldCharType="begin"/>
      </w:r>
      <w:r>
        <w:instrText xml:space="preserve"> PAGEREF _Toc153888450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_Toc153888453 \h </w:instrText>
      </w:r>
      <w:r>
        <w:fldChar w:fldCharType="separate"/>
      </w:r>
      <w:r>
        <w:t>88</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_Toc153888454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_Toc153888456 \h </w:instrText>
      </w:r>
      <w:r>
        <w:fldChar w:fldCharType="separate"/>
      </w:r>
      <w:r>
        <w:t>90</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_Toc153888457 \h </w:instrText>
      </w:r>
      <w:r>
        <w:fldChar w:fldCharType="separate"/>
      </w:r>
      <w:r>
        <w:t>90</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_Toc153888458 \h </w:instrText>
      </w:r>
      <w:r>
        <w:fldChar w:fldCharType="separate"/>
      </w:r>
      <w:r>
        <w:t>90</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_Toc153888459 \h </w:instrText>
      </w:r>
      <w:r>
        <w:fldChar w:fldCharType="separate"/>
      </w:r>
      <w:r>
        <w:t>91</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_Toc153888460 \h </w:instrText>
      </w:r>
      <w:r>
        <w:fldChar w:fldCharType="separate"/>
      </w:r>
      <w:r>
        <w:t>92</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_Toc153888461 \h </w:instrText>
      </w:r>
      <w:r>
        <w:fldChar w:fldCharType="separate"/>
      </w:r>
      <w:r>
        <w:t>93</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_Toc153888462 \h </w:instrText>
      </w:r>
      <w:r>
        <w:fldChar w:fldCharType="separate"/>
      </w:r>
      <w:r>
        <w:t>94</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_Toc153888463 \h </w:instrText>
      </w:r>
      <w:r>
        <w:fldChar w:fldCharType="separate"/>
      </w:r>
      <w:r>
        <w:t>96</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_Toc153888464 \h </w:instrText>
      </w:r>
      <w:r>
        <w:fldChar w:fldCharType="separate"/>
      </w:r>
      <w:r>
        <w:t>97</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_Toc153888465 \h </w:instrText>
      </w:r>
      <w:r>
        <w:fldChar w:fldCharType="separate"/>
      </w:r>
      <w:r>
        <w:t>99</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_Toc153888466 \h </w:instrText>
      </w:r>
      <w:r>
        <w:fldChar w:fldCharType="separate"/>
      </w:r>
      <w:r>
        <w:t>101</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_Toc153888467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_Toc153888469 \h </w:instrText>
      </w:r>
      <w:r>
        <w:fldChar w:fldCharType="separate"/>
      </w:r>
      <w:r>
        <w:t>102</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_Toc153888470 \h </w:instrText>
      </w:r>
      <w:r>
        <w:fldChar w:fldCharType="separate"/>
      </w:r>
      <w:r>
        <w:t>103</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_Toc153888471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_Toc153888473 \h </w:instrText>
      </w:r>
      <w:r>
        <w:fldChar w:fldCharType="separate"/>
      </w:r>
      <w:r>
        <w:t>104</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_Toc153888474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_Toc153888476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_Toc153888478 \h </w:instrText>
      </w:r>
      <w:r>
        <w:fldChar w:fldCharType="separate"/>
      </w:r>
      <w:r>
        <w:t>105</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_Toc153888479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_Toc153888481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106.</w:t>
      </w:r>
      <w:r>
        <w:tab/>
        <w:t>Restriction on publication of identity of reportable offenders and victims</w:t>
      </w:r>
      <w:r>
        <w:tab/>
      </w:r>
      <w:r>
        <w:fldChar w:fldCharType="begin"/>
      </w:r>
      <w:r>
        <w:instrText xml:space="preserve"> PAGEREF _Toc153888482 \h </w:instrText>
      </w:r>
      <w:r>
        <w:fldChar w:fldCharType="separate"/>
      </w:r>
      <w:r>
        <w:t>106</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_Toc153888483 \h </w:instrText>
      </w:r>
      <w:r>
        <w:fldChar w:fldCharType="separate"/>
      </w:r>
      <w:r>
        <w:t>107</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_Toc153888484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_Toc153888486 \h </w:instrText>
      </w:r>
      <w:r>
        <w:fldChar w:fldCharType="separate"/>
      </w:r>
      <w:r>
        <w:t>110</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_Toc153888487 \h </w:instrText>
      </w:r>
      <w:r>
        <w:fldChar w:fldCharType="separate"/>
      </w:r>
      <w:r>
        <w:t>110</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_Toc153888488 \h </w:instrText>
      </w:r>
      <w:r>
        <w:fldChar w:fldCharType="separate"/>
      </w:r>
      <w:r>
        <w:t>111</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_Toc153888489 \h </w:instrText>
      </w:r>
      <w:r>
        <w:fldChar w:fldCharType="separate"/>
      </w:r>
      <w:r>
        <w:t>112</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_Toc153888490 \h </w:instrText>
      </w:r>
      <w:r>
        <w:fldChar w:fldCharType="separate"/>
      </w:r>
      <w:r>
        <w:t>112</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_Toc153888491 \h </w:instrText>
      </w:r>
      <w:r>
        <w:fldChar w:fldCharType="separate"/>
      </w:r>
      <w:r>
        <w:t>112</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_Toc153888492 \h </w:instrText>
      </w:r>
      <w:r>
        <w:fldChar w:fldCharType="separate"/>
      </w:r>
      <w:r>
        <w:t>113</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_Toc153888493 \h </w:instrText>
      </w:r>
      <w:r>
        <w:fldChar w:fldCharType="separate"/>
      </w:r>
      <w:r>
        <w:t>116</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_Toc153888494 \h </w:instrText>
      </w:r>
      <w:r>
        <w:fldChar w:fldCharType="separate"/>
      </w:r>
      <w:r>
        <w:t>116</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_Toc153888495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_Toc153888499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_Toc153888500 \h </w:instrText>
      </w:r>
      <w:r>
        <w:fldChar w:fldCharType="separate"/>
      </w:r>
      <w:r>
        <w:t>126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_Toc153888501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No. 1 of 2012 s. 4.]</w:t>
      </w:r>
    </w:p>
    <w:p>
      <w:pPr>
        <w:pStyle w:val="Heading2"/>
      </w:pPr>
      <w:bookmarkStart w:id="3" w:name="_Toc153547258"/>
      <w:bookmarkStart w:id="4" w:name="_Toc153547616"/>
      <w:bookmarkStart w:id="5" w:name="_Toc153888324"/>
      <w:r>
        <w:rPr>
          <w:rStyle w:val="CharPartNo"/>
        </w:rPr>
        <w:lastRenderedPageBreak/>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53888325"/>
      <w:r>
        <w:rPr>
          <w:rStyle w:val="CharSectno"/>
        </w:rPr>
        <w:t>1</w:t>
      </w:r>
      <w:r>
        <w:t>.</w:t>
      </w:r>
      <w:r>
        <w:tab/>
        <w:t>Short title</w:t>
      </w:r>
      <w:bookmarkEnd w:id="6"/>
    </w:p>
    <w:p>
      <w:pPr>
        <w:pStyle w:val="Subsection"/>
      </w:pPr>
      <w:r>
        <w:tab/>
      </w:r>
      <w:r>
        <w:tab/>
        <w:t xml:space="preserve">This Act may be cited as </w:t>
      </w:r>
      <w:r>
        <w:rPr>
          <w:snapToGrid w:val="0"/>
        </w:rPr>
        <w:t>the</w:t>
      </w:r>
      <w:r>
        <w:rPr>
          <w:i/>
          <w:snapToGrid w:val="0"/>
        </w:rPr>
        <w:t xml:space="preserve"> Community Protection (Offender Reporting) Act 2004</w:t>
      </w:r>
      <w:r>
        <w:rPr>
          <w:snapToGrid w:val="0"/>
        </w:rPr>
        <w:t>.</w:t>
      </w:r>
    </w:p>
    <w:p>
      <w:pPr>
        <w:pStyle w:val="Heading5"/>
      </w:pPr>
      <w:bookmarkStart w:id="7" w:name="_Toc153888326"/>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53888327"/>
      <w:r>
        <w:rPr>
          <w:rStyle w:val="CharSectno"/>
        </w:rPr>
        <w:t>3</w:t>
      </w:r>
      <w:r>
        <w:t>.</w:t>
      </w:r>
      <w:r>
        <w:tab/>
        <w:t>Terms used</w:t>
      </w:r>
      <w:bookmarkEnd w:id="8"/>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lastRenderedPageBreak/>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lastRenderedPageBreak/>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vertAlign w:val="superscript"/>
        </w:rPr>
        <w:t>1</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lastRenderedPageBreak/>
        <w:tab/>
      </w:r>
      <w:r>
        <w:rPr>
          <w:rStyle w:val="CharDefText"/>
        </w:rPr>
        <w:t>mentally impaired accused</w:t>
      </w:r>
      <w:r>
        <w:t xml:space="preserve"> means a person who is subject to a custody order made under the </w:t>
      </w:r>
      <w:r>
        <w:rPr>
          <w:i/>
        </w:rPr>
        <w:t>Criminal Law (Mentally Impaired Accused) Act 1996 </w:t>
      </w:r>
      <w:r>
        <w:rPr>
          <w:vertAlign w:val="superscript"/>
        </w:rPr>
        <w:t>1</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lastRenderedPageBreak/>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lastRenderedPageBreak/>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No. 47 of 2011 s. 15; No. 54 of 2012 s. 4 and 39; No. 26 of 2016 s. 46.]</w:t>
      </w:r>
    </w:p>
    <w:p>
      <w:pPr>
        <w:pStyle w:val="Heading5"/>
      </w:pPr>
      <w:bookmarkStart w:id="9" w:name="_Toc153888328"/>
      <w:r>
        <w:rPr>
          <w:rStyle w:val="CharSectno"/>
        </w:rPr>
        <w:t>4</w:t>
      </w:r>
      <w:r>
        <w:t>.</w:t>
      </w:r>
      <w:r>
        <w:tab/>
        <w:t>Meaning of finding of guilt</w:t>
      </w:r>
      <w:bookmarkEnd w:id="9"/>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0" w:name="_Toc153888329"/>
      <w:r>
        <w:rPr>
          <w:rStyle w:val="CharSectno"/>
        </w:rPr>
        <w:t>5</w:t>
      </w:r>
      <w:r>
        <w:t>.</w:t>
      </w:r>
      <w:r>
        <w:tab/>
        <w:t>Other reference provisions</w:t>
      </w:r>
      <w:bookmarkEnd w:id="10"/>
    </w:p>
    <w:p>
      <w:pPr>
        <w:pStyle w:val="Subsection"/>
      </w:pPr>
      <w:r>
        <w:tab/>
        <w:t>(1)</w:t>
      </w:r>
      <w:r>
        <w:tab/>
        <w:t>For the purposes of this Act, offences arise from the same incident only if they are committed within a single period of 24 hours and against the same person.</w:t>
      </w:r>
    </w:p>
    <w:p>
      <w:pPr>
        <w:pStyle w:val="Subsection"/>
        <w:keepNext/>
        <w:keepLines/>
      </w:pPr>
      <w:r>
        <w:lastRenderedPageBreak/>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1" w:name="_Toc153547264"/>
      <w:bookmarkStart w:id="12" w:name="_Toc153547622"/>
      <w:bookmarkStart w:id="13" w:name="_Toc153888330"/>
      <w:r>
        <w:rPr>
          <w:rStyle w:val="CharPartNo"/>
        </w:rPr>
        <w:lastRenderedPageBreak/>
        <w:t>Part 2</w:t>
      </w:r>
      <w:r>
        <w:t> — </w:t>
      </w:r>
      <w:r>
        <w:rPr>
          <w:rStyle w:val="CharPartText"/>
        </w:rPr>
        <w:t>Offenders to whom Act applies</w:t>
      </w:r>
      <w:bookmarkEnd w:id="11"/>
      <w:bookmarkEnd w:id="12"/>
      <w:bookmarkEnd w:id="13"/>
    </w:p>
    <w:p>
      <w:pPr>
        <w:pStyle w:val="Heading3"/>
      </w:pPr>
      <w:bookmarkStart w:id="14" w:name="_Toc153547265"/>
      <w:bookmarkStart w:id="15" w:name="_Toc153547623"/>
      <w:bookmarkStart w:id="16" w:name="_Toc153888331"/>
      <w:r>
        <w:rPr>
          <w:rStyle w:val="CharDivNo"/>
        </w:rPr>
        <w:t>Division 1</w:t>
      </w:r>
      <w:r>
        <w:t> — </w:t>
      </w:r>
      <w:r>
        <w:rPr>
          <w:rStyle w:val="CharDivText"/>
        </w:rPr>
        <w:t>General</w:t>
      </w:r>
      <w:bookmarkEnd w:id="14"/>
      <w:bookmarkEnd w:id="15"/>
      <w:bookmarkEnd w:id="16"/>
    </w:p>
    <w:p>
      <w:pPr>
        <w:pStyle w:val="Heading5"/>
      </w:pPr>
      <w:bookmarkStart w:id="17" w:name="_Toc153888332"/>
      <w:r>
        <w:rPr>
          <w:rStyle w:val="CharSectno"/>
        </w:rPr>
        <w:t>6</w:t>
      </w:r>
      <w:r>
        <w:t>.</w:t>
      </w:r>
      <w:r>
        <w:tab/>
        <w:t>Reportable offenders</w:t>
      </w:r>
      <w:bookmarkEnd w:id="17"/>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 xml:space="preserve">A person is also not a reportable offender if he or she is receiving protection under a foreign witness protection law specified by the regulations for the purposes of this subsection, or who has the same status as such a person under an order </w:t>
      </w:r>
      <w:r>
        <w:lastRenderedPageBreak/>
        <w:t>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8" w:name="_Toc153888333"/>
      <w:r>
        <w:rPr>
          <w:rStyle w:val="CharSectno"/>
        </w:rPr>
        <w:t>7</w:t>
      </w:r>
      <w:r>
        <w:t>.</w:t>
      </w:r>
      <w:r>
        <w:tab/>
        <w:t>Corresponding reportable offenders</w:t>
      </w:r>
      <w:bookmarkEnd w:id="18"/>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lastRenderedPageBreak/>
        <w:tab/>
        <w:t>[Section 7 amended: No. 54 of 2012 s. 5.]</w:t>
      </w:r>
    </w:p>
    <w:p>
      <w:pPr>
        <w:pStyle w:val="Heading5"/>
      </w:pPr>
      <w:bookmarkStart w:id="19" w:name="_Toc153888334"/>
      <w:r>
        <w:rPr>
          <w:rStyle w:val="CharSectno"/>
        </w:rPr>
        <w:t>8</w:t>
      </w:r>
      <w:r>
        <w:t>.</w:t>
      </w:r>
      <w:r>
        <w:tab/>
        <w:t>New South Wales reportable offenders</w:t>
      </w:r>
      <w:bookmarkEnd w:id="19"/>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0" w:name="_Toc153888335"/>
      <w:r>
        <w:rPr>
          <w:rStyle w:val="CharSectno"/>
        </w:rPr>
        <w:t>9</w:t>
      </w:r>
      <w:r>
        <w:t>.</w:t>
      </w:r>
      <w:r>
        <w:tab/>
        <w:t>Reportable offences</w:t>
      </w:r>
      <w:bookmarkEnd w:id="20"/>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1" w:name="_Toc153888336"/>
      <w:r>
        <w:rPr>
          <w:rStyle w:val="CharSectno"/>
        </w:rPr>
        <w:t>10</w:t>
      </w:r>
      <w:r>
        <w:t>.</w:t>
      </w:r>
      <w:r>
        <w:tab/>
        <w:t>Class 1 offences</w:t>
      </w:r>
      <w:bookmarkEnd w:id="21"/>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an offence under a law of a foreign jurisdiction the elements of which, if they had occurred in Western Australia,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lastRenderedPageBreak/>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22" w:name="_Toc153888337"/>
      <w:r>
        <w:rPr>
          <w:rStyle w:val="CharSectno"/>
        </w:rPr>
        <w:t>11</w:t>
      </w:r>
      <w:r>
        <w:t>.</w:t>
      </w:r>
      <w:r>
        <w:tab/>
        <w:t>Class 2 offences</w:t>
      </w:r>
      <w:bookmarkEnd w:id="22"/>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an offence under a law of a foreign jurisdiction the elements of which, if they had occurred in Western Australia,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w:t>
      </w:r>
    </w:p>
    <w:p>
      <w:pPr>
        <w:pStyle w:val="Heading5"/>
      </w:pPr>
      <w:bookmarkStart w:id="23" w:name="_Toc153888338"/>
      <w:r>
        <w:rPr>
          <w:rStyle w:val="CharSectno"/>
        </w:rPr>
        <w:lastRenderedPageBreak/>
        <w:t>13</w:t>
      </w:r>
      <w:r>
        <w:t>.</w:t>
      </w:r>
      <w:r>
        <w:tab/>
        <w:t>Offender reporting orders</w:t>
      </w:r>
      <w:bookmarkEnd w:id="23"/>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lastRenderedPageBreak/>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No. 54 of 2012 s. 6.]</w:t>
      </w:r>
    </w:p>
    <w:p>
      <w:pPr>
        <w:pStyle w:val="Heading5"/>
      </w:pPr>
      <w:bookmarkStart w:id="24" w:name="_Toc153888339"/>
      <w:r>
        <w:rPr>
          <w:rStyle w:val="CharSectno"/>
        </w:rPr>
        <w:lastRenderedPageBreak/>
        <w:t>14A</w:t>
      </w:r>
      <w:r>
        <w:t>.</w:t>
      </w:r>
      <w:r>
        <w:tab/>
        <w:t>Consent orders</w:t>
      </w:r>
      <w:bookmarkEnd w:id="24"/>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No. 54 of 2012 s. 7.]</w:t>
      </w:r>
    </w:p>
    <w:p>
      <w:pPr>
        <w:pStyle w:val="Heading3"/>
      </w:pPr>
      <w:bookmarkStart w:id="25" w:name="_Toc153547274"/>
      <w:bookmarkStart w:id="26" w:name="_Toc153547632"/>
      <w:bookmarkStart w:id="27" w:name="_Toc153888340"/>
      <w:r>
        <w:rPr>
          <w:rStyle w:val="CharDivNo"/>
        </w:rPr>
        <w:t>Division 2</w:t>
      </w:r>
      <w:r>
        <w:t> — </w:t>
      </w:r>
      <w:r>
        <w:rPr>
          <w:rStyle w:val="CharDivText"/>
        </w:rPr>
        <w:t>Past offender reporting orders</w:t>
      </w:r>
      <w:bookmarkEnd w:id="25"/>
      <w:bookmarkEnd w:id="26"/>
      <w:bookmarkEnd w:id="27"/>
    </w:p>
    <w:p>
      <w:pPr>
        <w:pStyle w:val="Heading5"/>
      </w:pPr>
      <w:bookmarkStart w:id="28" w:name="_Toc153888341"/>
      <w:r>
        <w:rPr>
          <w:rStyle w:val="CharSectno"/>
        </w:rPr>
        <w:t>14</w:t>
      </w:r>
      <w:r>
        <w:t>.</w:t>
      </w:r>
      <w:r>
        <w:tab/>
        <w:t>Terms used</w:t>
      </w:r>
      <w:bookmarkEnd w:id="28"/>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9" w:name="_Toc153888342"/>
      <w:r>
        <w:rPr>
          <w:rStyle w:val="CharSectno"/>
        </w:rPr>
        <w:t>15</w:t>
      </w:r>
      <w:r>
        <w:t>.</w:t>
      </w:r>
      <w:r>
        <w:tab/>
        <w:t>Commissioner may apply for reporting orders</w:t>
      </w:r>
      <w:bookmarkEnd w:id="29"/>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0" w:name="_Toc153888343"/>
      <w:r>
        <w:rPr>
          <w:rStyle w:val="CharSectno"/>
        </w:rPr>
        <w:lastRenderedPageBreak/>
        <w:t>16</w:t>
      </w:r>
      <w:r>
        <w:t>.</w:t>
      </w:r>
      <w:r>
        <w:tab/>
        <w:t>Fixing a hearing</w:t>
      </w:r>
      <w:bookmarkEnd w:id="30"/>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31" w:name="_Toc153888344"/>
      <w:r>
        <w:rPr>
          <w:rStyle w:val="CharSectno"/>
        </w:rPr>
        <w:t>17</w:t>
      </w:r>
      <w:r>
        <w:t>.</w:t>
      </w:r>
      <w:r>
        <w:tab/>
        <w:t>Evidence</w:t>
      </w:r>
      <w:bookmarkEnd w:id="31"/>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No. 54 of 2012 s. 8.]</w:t>
      </w:r>
    </w:p>
    <w:p>
      <w:pPr>
        <w:pStyle w:val="Heading5"/>
      </w:pPr>
      <w:bookmarkStart w:id="32" w:name="_Toc153888345"/>
      <w:r>
        <w:rPr>
          <w:rStyle w:val="CharSectno"/>
        </w:rPr>
        <w:t>18</w:t>
      </w:r>
      <w:r>
        <w:t>.</w:t>
      </w:r>
      <w:r>
        <w:tab/>
        <w:t>How application to be disposed of</w:t>
      </w:r>
      <w:bookmarkEnd w:id="32"/>
    </w:p>
    <w:p>
      <w:pPr>
        <w:pStyle w:val="Subsection"/>
      </w:pPr>
      <w:r>
        <w:tab/>
      </w:r>
      <w:r>
        <w:tab/>
        <w:t xml:space="preserve">The court may dispose of the application — </w:t>
      </w:r>
    </w:p>
    <w:p>
      <w:pPr>
        <w:pStyle w:val="Indenta"/>
      </w:pPr>
      <w:r>
        <w:lastRenderedPageBreak/>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3" w:name="_Toc153888346"/>
      <w:r>
        <w:rPr>
          <w:rStyle w:val="CharSectno"/>
        </w:rPr>
        <w:t>19</w:t>
      </w:r>
      <w:r>
        <w:t>.</w:t>
      </w:r>
      <w:r>
        <w:tab/>
        <w:t>Court may make reporting orders</w:t>
      </w:r>
      <w:bookmarkEnd w:id="33"/>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 xml:space="preserve">The fact that an offence in respect of which a past offender has been found guilty becomes spent does not affect the </w:t>
      </w:r>
      <w:r>
        <w:rPr>
          <w:color w:val="000000"/>
        </w:rPr>
        <w:lastRenderedPageBreak/>
        <w:t>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No. 54 of 2012 s. 9.]</w:t>
      </w:r>
    </w:p>
    <w:p>
      <w:pPr>
        <w:pStyle w:val="Heading5"/>
      </w:pPr>
      <w:bookmarkStart w:id="34" w:name="_Toc153888347"/>
      <w:r>
        <w:rPr>
          <w:rStyle w:val="CharSectno"/>
        </w:rPr>
        <w:t>20A</w:t>
      </w:r>
      <w:r>
        <w:t>.</w:t>
      </w:r>
      <w:r>
        <w:tab/>
        <w:t>Consent orders</w:t>
      </w:r>
      <w:bookmarkEnd w:id="34"/>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No. 54 of 2012 s. 10.]</w:t>
      </w:r>
    </w:p>
    <w:p>
      <w:pPr>
        <w:pStyle w:val="Heading5"/>
        <w:spacing w:before="180"/>
      </w:pPr>
      <w:bookmarkStart w:id="35" w:name="_Toc153888348"/>
      <w:r>
        <w:rPr>
          <w:rStyle w:val="CharSectno"/>
        </w:rPr>
        <w:t>20</w:t>
      </w:r>
      <w:r>
        <w:t>.</w:t>
      </w:r>
      <w:r>
        <w:tab/>
        <w:t>Attendance at hearings</w:t>
      </w:r>
      <w:bookmarkEnd w:id="3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 xml:space="preserve">if it is satisfied that the respondent was served with a summons requiring the respondent to attend the </w:t>
      </w:r>
      <w:r>
        <w:lastRenderedPageBreak/>
        <w:t>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6" w:name="_Toc153888349"/>
      <w:r>
        <w:rPr>
          <w:rStyle w:val="CharSectno"/>
        </w:rPr>
        <w:t>21</w:t>
      </w:r>
      <w:r>
        <w:t>.</w:t>
      </w:r>
      <w:r>
        <w:tab/>
        <w:t>Notification of orders made in absence of respondent</w:t>
      </w:r>
      <w:bookmarkEnd w:id="36"/>
    </w:p>
    <w:p>
      <w:pPr>
        <w:pStyle w:val="Subsection"/>
      </w:pPr>
      <w:r>
        <w:tab/>
      </w:r>
      <w:r>
        <w:tab/>
        <w:t>The registrar of a court that makes a reporting order in the absence of the respondent must cause a copy of the order to be served on the respondent.</w:t>
      </w:r>
    </w:p>
    <w:p>
      <w:pPr>
        <w:pStyle w:val="Heading5"/>
      </w:pPr>
      <w:bookmarkStart w:id="37" w:name="_Toc153888350"/>
      <w:r>
        <w:rPr>
          <w:rStyle w:val="CharSectno"/>
        </w:rPr>
        <w:t>22</w:t>
      </w:r>
      <w:r>
        <w:t>.</w:t>
      </w:r>
      <w:r>
        <w:tab/>
        <w:t>Appeals</w:t>
      </w:r>
      <w:bookmarkEnd w:id="37"/>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No. 5 of 2008 s. 127(2); No. 54 of 2012 s. 11.]</w:t>
      </w:r>
    </w:p>
    <w:p>
      <w:pPr>
        <w:pStyle w:val="Heading5"/>
      </w:pPr>
      <w:bookmarkStart w:id="38" w:name="_Toc153888351"/>
      <w:r>
        <w:rPr>
          <w:rStyle w:val="CharSectno"/>
        </w:rPr>
        <w:lastRenderedPageBreak/>
        <w:t>23</w:t>
      </w:r>
      <w:r>
        <w:t>.</w:t>
      </w:r>
      <w:r>
        <w:tab/>
        <w:t>Appeal does not stay order</w:t>
      </w:r>
      <w:bookmarkEnd w:id="38"/>
    </w:p>
    <w:p>
      <w:pPr>
        <w:pStyle w:val="Subsection"/>
      </w:pPr>
      <w:r>
        <w:tab/>
      </w:r>
      <w:r>
        <w:tab/>
        <w:t>An appeal against an order made under this Part does not operate to stay the operation of the order unless the court to which the appeal is made so orders.</w:t>
      </w:r>
    </w:p>
    <w:p>
      <w:pPr>
        <w:pStyle w:val="Heading2"/>
      </w:pPr>
      <w:bookmarkStart w:id="39" w:name="_Toc153547286"/>
      <w:bookmarkStart w:id="40" w:name="_Toc153547644"/>
      <w:bookmarkStart w:id="41" w:name="_Toc153888352"/>
      <w:r>
        <w:rPr>
          <w:rStyle w:val="CharPartNo"/>
        </w:rPr>
        <w:lastRenderedPageBreak/>
        <w:t>Part 3</w:t>
      </w:r>
      <w:r>
        <w:t> — </w:t>
      </w:r>
      <w:r>
        <w:rPr>
          <w:rStyle w:val="CharPartText"/>
        </w:rPr>
        <w:t>Reporting obligations</w:t>
      </w:r>
      <w:bookmarkEnd w:id="39"/>
      <w:bookmarkEnd w:id="40"/>
      <w:bookmarkEnd w:id="41"/>
    </w:p>
    <w:p>
      <w:pPr>
        <w:pStyle w:val="Heading3"/>
      </w:pPr>
      <w:bookmarkStart w:id="42" w:name="_Toc153547287"/>
      <w:bookmarkStart w:id="43" w:name="_Toc153547645"/>
      <w:bookmarkStart w:id="44" w:name="_Toc153888353"/>
      <w:r>
        <w:rPr>
          <w:rStyle w:val="CharDivNo"/>
        </w:rPr>
        <w:t>Division 1</w:t>
      </w:r>
      <w:r>
        <w:t> — </w:t>
      </w:r>
      <w:r>
        <w:rPr>
          <w:rStyle w:val="CharDivText"/>
        </w:rPr>
        <w:t>Initial report</w:t>
      </w:r>
      <w:bookmarkEnd w:id="42"/>
      <w:bookmarkEnd w:id="43"/>
      <w:bookmarkEnd w:id="44"/>
    </w:p>
    <w:p>
      <w:pPr>
        <w:pStyle w:val="Heading5"/>
      </w:pPr>
      <w:bookmarkStart w:id="45" w:name="_Toc153888354"/>
      <w:r>
        <w:rPr>
          <w:rStyle w:val="CharSectno"/>
        </w:rPr>
        <w:t>24</w:t>
      </w:r>
      <w:r>
        <w:t>.</w:t>
      </w:r>
      <w:r>
        <w:tab/>
        <w:t>When report must be made</w:t>
      </w:r>
      <w:bookmarkEnd w:id="45"/>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lastRenderedPageBreak/>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lastRenderedPageBreak/>
        <w:tab/>
        <w:t>(2)</w:t>
      </w:r>
      <w:r>
        <w:tab/>
        <w:t xml:space="preserve">Despite </w:t>
      </w:r>
      <w:r>
        <w:rPr>
          <w:color w:val="000000"/>
        </w:rPr>
        <w:t xml:space="preserve">subsections (1) and (2A), </w:t>
      </w:r>
      <w:r>
        <w:t>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Footnotesection"/>
      </w:pPr>
      <w:r>
        <w:tab/>
        <w:t>[Section 24 amended: No. 54 of 2012 s. 12.]</w:t>
      </w:r>
    </w:p>
    <w:p>
      <w:pPr>
        <w:pStyle w:val="Heading5"/>
      </w:pPr>
      <w:bookmarkStart w:id="46" w:name="_Toc153888355"/>
      <w:r>
        <w:rPr>
          <w:rStyle w:val="CharSectno"/>
        </w:rPr>
        <w:t>25</w:t>
      </w:r>
      <w:r>
        <w:t>.</w:t>
      </w:r>
      <w:r>
        <w:tab/>
        <w:t>When new initial report must be made by offender whose previous reporting obligations have ceased</w:t>
      </w:r>
      <w:bookmarkEnd w:id="46"/>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w:t>
      </w:r>
      <w:r>
        <w:lastRenderedPageBreak/>
        <w:t xml:space="preserve">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spacing w:before="800"/>
      </w:pPr>
      <w:bookmarkStart w:id="47" w:name="_Toc153888356"/>
      <w:r>
        <w:rPr>
          <w:rStyle w:val="CharSectno"/>
        </w:rPr>
        <w:lastRenderedPageBreak/>
        <w:t>26</w:t>
      </w:r>
      <w:r>
        <w:t>.</w:t>
      </w:r>
      <w:r>
        <w:tab/>
        <w:t>Initial report by reportable offender of personal details</w:t>
      </w:r>
      <w:bookmarkEnd w:id="47"/>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lastRenderedPageBreak/>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lastRenderedPageBreak/>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lastRenderedPageBreak/>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 xml:space="preserve">a reportable offender is not generally employed at any particular premises unless he or she is employed at those </w:t>
      </w:r>
      <w:r>
        <w:lastRenderedPageBreak/>
        <w:t>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No. 27 of 2008 s. 4; No. 54 of 2012 s. 13 and 42(2).]</w:t>
      </w:r>
    </w:p>
    <w:p>
      <w:pPr>
        <w:pStyle w:val="Heading5"/>
      </w:pPr>
      <w:bookmarkStart w:id="48" w:name="_Toc153888357"/>
      <w:r>
        <w:rPr>
          <w:rStyle w:val="CharSectno"/>
        </w:rPr>
        <w:t>27</w:t>
      </w:r>
      <w:r>
        <w:t>.</w:t>
      </w:r>
      <w:r>
        <w:tab/>
        <w:t>Persons required to report under corresponding Act</w:t>
      </w:r>
      <w:bookmarkEnd w:id="4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 xml:space="preserve">Unless the person has previously complied with the obligation imposed by this section, he or she must, within 7 days after </w:t>
      </w:r>
      <w:r>
        <w:lastRenderedPageBreak/>
        <w:t>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9" w:name="_Toc153547292"/>
      <w:bookmarkStart w:id="50" w:name="_Toc153547650"/>
      <w:bookmarkStart w:id="51" w:name="_Toc153888358"/>
      <w:r>
        <w:rPr>
          <w:rStyle w:val="CharDivNo"/>
        </w:rPr>
        <w:t>Division 2</w:t>
      </w:r>
      <w:r>
        <w:t> — </w:t>
      </w:r>
      <w:r>
        <w:rPr>
          <w:rStyle w:val="CharDivText"/>
        </w:rPr>
        <w:t>Ongoing reporting obligations</w:t>
      </w:r>
      <w:bookmarkEnd w:id="49"/>
      <w:bookmarkEnd w:id="50"/>
      <w:bookmarkEnd w:id="51"/>
    </w:p>
    <w:p>
      <w:pPr>
        <w:pStyle w:val="Heading5"/>
      </w:pPr>
      <w:bookmarkStart w:id="52" w:name="_Toc153888359"/>
      <w:r>
        <w:rPr>
          <w:rStyle w:val="CharSectno"/>
        </w:rPr>
        <w:t>28</w:t>
      </w:r>
      <w:r>
        <w:t>.</w:t>
      </w:r>
      <w:r>
        <w:tab/>
        <w:t>Reportable offender to report annually and as required by Commissioner</w:t>
      </w:r>
      <w:bookmarkEnd w:id="52"/>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lastRenderedPageBreak/>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53" w:name="_Toc153888360"/>
      <w:r>
        <w:rPr>
          <w:rStyle w:val="CharSectno"/>
        </w:rPr>
        <w:t>29</w:t>
      </w:r>
      <w:r>
        <w:t>.</w:t>
      </w:r>
      <w:r>
        <w:tab/>
        <w:t>Reportable offender to report changes to relevant personal details</w:t>
      </w:r>
      <w:bookmarkEnd w:id="53"/>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lastRenderedPageBreak/>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Footnotesection"/>
      </w:pPr>
      <w:r>
        <w:tab/>
        <w:t>[Section 29 amended: No. 54 of 2012 s. 14.]</w:t>
      </w:r>
    </w:p>
    <w:p>
      <w:pPr>
        <w:pStyle w:val="Heading5"/>
        <w:spacing w:before="240"/>
      </w:pPr>
      <w:bookmarkStart w:id="54" w:name="_Toc153888361"/>
      <w:r>
        <w:rPr>
          <w:rStyle w:val="CharSectno"/>
        </w:rPr>
        <w:t>29A</w:t>
      </w:r>
      <w:r>
        <w:t>.</w:t>
      </w:r>
      <w:r>
        <w:tab/>
        <w:t>Intended absence from place of residence to be reported</w:t>
      </w:r>
      <w:bookmarkEnd w:id="5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lastRenderedPageBreak/>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No. 27 of 2008 s. 5.]</w:t>
      </w:r>
    </w:p>
    <w:p>
      <w:pPr>
        <w:pStyle w:val="Heading5"/>
      </w:pPr>
      <w:bookmarkStart w:id="55" w:name="_Toc153888362"/>
      <w:r>
        <w:rPr>
          <w:rStyle w:val="CharSectno"/>
        </w:rPr>
        <w:lastRenderedPageBreak/>
        <w:t>30</w:t>
      </w:r>
      <w:r>
        <w:t>.</w:t>
      </w:r>
      <w:r>
        <w:tab/>
        <w:t>Intended absence from Western Australia to be reported</w:t>
      </w:r>
      <w:bookmarkEnd w:id="55"/>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spacing w:before="60"/>
      </w:pPr>
      <w:r>
        <w:tab/>
        <w:t>(a)</w:t>
      </w:r>
      <w:r>
        <w:tab/>
        <w:t>each State, Territory or country to which he or she intends to go while out of Western Australia;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lastRenderedPageBreak/>
        <w:tab/>
        <w:t>(b)</w:t>
      </w:r>
      <w:r>
        <w:tab/>
        <w:t>in any other manner permitted by the regulations.</w:t>
      </w:r>
    </w:p>
    <w:p>
      <w:pPr>
        <w:pStyle w:val="Footnotesection"/>
      </w:pPr>
      <w:r>
        <w:tab/>
        <w:t>[Section 30 amended: No. 27 of 2008 s. 6.]</w:t>
      </w:r>
    </w:p>
    <w:p>
      <w:pPr>
        <w:pStyle w:val="Heading5"/>
        <w:spacing w:before="180"/>
      </w:pPr>
      <w:bookmarkStart w:id="56" w:name="_Toc153888363"/>
      <w:r>
        <w:rPr>
          <w:rStyle w:val="CharSectno"/>
        </w:rPr>
        <w:t>31</w:t>
      </w:r>
      <w:r>
        <w:t>.</w:t>
      </w:r>
      <w:r>
        <w:tab/>
        <w:t>Change of travel plans while out of Western Australia to be reported</w:t>
      </w:r>
      <w:bookmarkEnd w:id="56"/>
      <w:r>
        <w:t xml:space="preserve"> </w:t>
      </w:r>
    </w:p>
    <w:p>
      <w:pPr>
        <w:pStyle w:val="Subsection"/>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No. 27 of 2008 s. 7.]</w:t>
      </w:r>
    </w:p>
    <w:p>
      <w:pPr>
        <w:pStyle w:val="Heading5"/>
        <w:keepNext w:val="0"/>
        <w:keepLines w:val="0"/>
      </w:pPr>
      <w:bookmarkStart w:id="57" w:name="_Toc153888364"/>
      <w:r>
        <w:rPr>
          <w:rStyle w:val="CharSectno"/>
        </w:rPr>
        <w:t>32</w:t>
      </w:r>
      <w:r>
        <w:t>.</w:t>
      </w:r>
      <w:r>
        <w:tab/>
        <w:t>Reportable offender to report return to Western Australia or decision not to leave</w:t>
      </w:r>
      <w:bookmarkEnd w:id="57"/>
    </w:p>
    <w:p>
      <w:pPr>
        <w:pStyle w:val="Subsection"/>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w:t>
      </w:r>
      <w:r>
        <w:lastRenderedPageBreak/>
        <w:t xml:space="preserve">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No. 27 of 2008 s. 8.]</w:t>
      </w:r>
    </w:p>
    <w:p>
      <w:pPr>
        <w:pStyle w:val="Heading5"/>
      </w:pPr>
      <w:bookmarkStart w:id="58" w:name="_Toc153888365"/>
      <w:r>
        <w:rPr>
          <w:rStyle w:val="CharSectno"/>
        </w:rPr>
        <w:t>33</w:t>
      </w:r>
      <w:r>
        <w:t>.</w:t>
      </w:r>
      <w:r>
        <w:tab/>
        <w:t>Report of other absences from Western Australia</w:t>
      </w:r>
      <w:bookmarkEnd w:id="58"/>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9" w:name="_Toc153547300"/>
      <w:bookmarkStart w:id="60" w:name="_Toc153547658"/>
      <w:bookmarkStart w:id="61" w:name="_Toc153888366"/>
      <w:r>
        <w:rPr>
          <w:rStyle w:val="CharDivNo"/>
        </w:rPr>
        <w:t>Division 3</w:t>
      </w:r>
      <w:r>
        <w:t> — </w:t>
      </w:r>
      <w:r>
        <w:rPr>
          <w:rStyle w:val="CharDivText"/>
        </w:rPr>
        <w:t>Provisions applying to all reporting obligations</w:t>
      </w:r>
      <w:bookmarkEnd w:id="59"/>
      <w:bookmarkEnd w:id="60"/>
      <w:bookmarkEnd w:id="61"/>
    </w:p>
    <w:p>
      <w:pPr>
        <w:pStyle w:val="Heading5"/>
        <w:spacing w:before="200"/>
      </w:pPr>
      <w:bookmarkStart w:id="62" w:name="_Toc153888367"/>
      <w:r>
        <w:rPr>
          <w:rStyle w:val="CharSectno"/>
        </w:rPr>
        <w:t>34</w:t>
      </w:r>
      <w:r>
        <w:t>.</w:t>
      </w:r>
      <w:r>
        <w:tab/>
        <w:t>Where reports must be made</w:t>
      </w:r>
      <w:bookmarkEnd w:id="62"/>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lastRenderedPageBreak/>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63" w:name="_Toc153888368"/>
      <w:r>
        <w:rPr>
          <w:rStyle w:val="CharSectno"/>
        </w:rPr>
        <w:t>35</w:t>
      </w:r>
      <w:r>
        <w:t>.</w:t>
      </w:r>
      <w:r>
        <w:tab/>
        <w:t>How reports must be made</w:t>
      </w:r>
      <w:bookmarkEnd w:id="63"/>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 xml:space="preserve">If a reportable offender attending in person is a child, or has a disability that makes it impossible or impracticable for him or </w:t>
      </w:r>
      <w:r>
        <w:lastRenderedPageBreak/>
        <w:t>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64" w:name="_Toc153888369"/>
      <w:r>
        <w:rPr>
          <w:rStyle w:val="CharSectno"/>
        </w:rPr>
        <w:t>36</w:t>
      </w:r>
      <w:r>
        <w:t>.</w:t>
      </w:r>
      <w:r>
        <w:tab/>
        <w:t>Right to privacy and support when reporting</w:t>
      </w:r>
      <w:bookmarkEnd w:id="64"/>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65" w:name="_Toc153888370"/>
      <w:r>
        <w:rPr>
          <w:rStyle w:val="CharSectno"/>
        </w:rPr>
        <w:t>37</w:t>
      </w:r>
      <w:r>
        <w:t>.</w:t>
      </w:r>
      <w:r>
        <w:tab/>
        <w:t>Receipt of information to be acknowledged</w:t>
      </w:r>
      <w:bookmarkEnd w:id="65"/>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lastRenderedPageBreak/>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No. 54 of 2012 s. 15.]</w:t>
      </w:r>
    </w:p>
    <w:p>
      <w:pPr>
        <w:pStyle w:val="Heading5"/>
      </w:pPr>
      <w:bookmarkStart w:id="66" w:name="_Toc153888371"/>
      <w:r>
        <w:rPr>
          <w:rStyle w:val="CharSectno"/>
        </w:rPr>
        <w:lastRenderedPageBreak/>
        <w:t>38</w:t>
      </w:r>
      <w:r>
        <w:t>.</w:t>
      </w:r>
      <w:r>
        <w:tab/>
        <w:t>Additional matters to be provided</w:t>
      </w:r>
      <w:bookmarkEnd w:id="66"/>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lastRenderedPageBreak/>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lastRenderedPageBreak/>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lastRenderedPageBreak/>
        <w:tab/>
      </w:r>
      <w:r>
        <w:tab/>
        <w:t>but cannot require an original document to be provided.</w:t>
      </w:r>
    </w:p>
    <w:p>
      <w:pPr>
        <w:pStyle w:val="Footnotesection"/>
      </w:pPr>
      <w:r>
        <w:tab/>
        <w:t>[Section 38 amended: No. 54 of 2012 s. 16.]</w:t>
      </w:r>
    </w:p>
    <w:p>
      <w:pPr>
        <w:pStyle w:val="Heading5"/>
      </w:pPr>
      <w:bookmarkStart w:id="67" w:name="_Toc153888372"/>
      <w:r>
        <w:rPr>
          <w:rStyle w:val="CharSectno"/>
        </w:rPr>
        <w:t>39</w:t>
      </w:r>
      <w:r>
        <w:t>.</w:t>
      </w:r>
      <w:r>
        <w:tab/>
        <w:t>Power to take fingerprints</w:t>
      </w:r>
      <w:bookmarkEnd w:id="67"/>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8" w:name="_Toc153888373"/>
      <w:r>
        <w:rPr>
          <w:rStyle w:val="CharSectno"/>
        </w:rPr>
        <w:t>40</w:t>
      </w:r>
      <w:r>
        <w:t>.</w:t>
      </w:r>
      <w:r>
        <w:tab/>
        <w:t>Power to take photographs</w:t>
      </w:r>
      <w:bookmarkEnd w:id="68"/>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No. 54 of 2012 s. 17.]</w:t>
      </w:r>
    </w:p>
    <w:p>
      <w:pPr>
        <w:pStyle w:val="Heading5"/>
      </w:pPr>
      <w:bookmarkStart w:id="69" w:name="_Toc153888374"/>
      <w:r>
        <w:rPr>
          <w:rStyle w:val="CharSectno"/>
        </w:rPr>
        <w:lastRenderedPageBreak/>
        <w:t>41</w:t>
      </w:r>
      <w:r>
        <w:t>.</w:t>
      </w:r>
      <w:r>
        <w:tab/>
        <w:t>Reasonable force may be used to obtain fingerprints and photographs</w:t>
      </w:r>
      <w:bookmarkEnd w:id="69"/>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No. 54 of 2012 s. 18.]</w:t>
      </w:r>
    </w:p>
    <w:p>
      <w:pPr>
        <w:pStyle w:val="Heading5"/>
      </w:pPr>
      <w:bookmarkStart w:id="70" w:name="_Toc153888375"/>
      <w:r>
        <w:rPr>
          <w:rStyle w:val="CharSectno"/>
        </w:rPr>
        <w:lastRenderedPageBreak/>
        <w:t>42</w:t>
      </w:r>
      <w:r>
        <w:t>.</w:t>
      </w:r>
      <w:r>
        <w:tab/>
        <w:t>Retention of material for certain purposes</w:t>
      </w:r>
      <w:bookmarkEnd w:id="7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71" w:name="_Toc153888376"/>
      <w:r>
        <w:rPr>
          <w:rStyle w:val="CharSectno"/>
        </w:rPr>
        <w:t>43</w:t>
      </w:r>
      <w:r>
        <w:t>.</w:t>
      </w:r>
      <w:r>
        <w:tab/>
        <w:t>Reporting by remote offenders</w:t>
      </w:r>
      <w:bookmarkEnd w:id="71"/>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lastRenderedPageBreak/>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72" w:name="_Toc153547311"/>
      <w:bookmarkStart w:id="73" w:name="_Toc153547669"/>
      <w:bookmarkStart w:id="74" w:name="_Toc153888377"/>
      <w:r>
        <w:rPr>
          <w:rStyle w:val="CharDivNo"/>
        </w:rPr>
        <w:t>Division 4</w:t>
      </w:r>
      <w:r>
        <w:t> — </w:t>
      </w:r>
      <w:r>
        <w:rPr>
          <w:rStyle w:val="CharDivText"/>
        </w:rPr>
        <w:t>Suspension and extension of reporting obligations</w:t>
      </w:r>
      <w:bookmarkEnd w:id="72"/>
      <w:bookmarkEnd w:id="73"/>
      <w:bookmarkEnd w:id="74"/>
    </w:p>
    <w:p>
      <w:pPr>
        <w:pStyle w:val="Heading5"/>
      </w:pPr>
      <w:bookmarkStart w:id="75" w:name="_Toc153888378"/>
      <w:r>
        <w:rPr>
          <w:rStyle w:val="CharSectno"/>
        </w:rPr>
        <w:t>44</w:t>
      </w:r>
      <w:r>
        <w:t>.</w:t>
      </w:r>
      <w:r>
        <w:tab/>
        <w:t>Suspension and extension of reporting obligations</w:t>
      </w:r>
      <w:bookmarkEnd w:id="7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is outside Western Australia,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 xml:space="preserve">If a child protection order is made under section 90 in respect of a reportable offender whose reporting obligations would (apart from this subsection) expire during the period that the reportable </w:t>
      </w:r>
      <w:r>
        <w:lastRenderedPageBreak/>
        <w:t>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No. 54 of 2012 s. 42(3).]</w:t>
      </w:r>
    </w:p>
    <w:p>
      <w:pPr>
        <w:pStyle w:val="Heading3"/>
      </w:pPr>
      <w:bookmarkStart w:id="76" w:name="_Toc153547313"/>
      <w:bookmarkStart w:id="77" w:name="_Toc153547671"/>
      <w:bookmarkStart w:id="78" w:name="_Toc153888379"/>
      <w:r>
        <w:rPr>
          <w:rStyle w:val="CharDivNo"/>
        </w:rPr>
        <w:t>Division 5</w:t>
      </w:r>
      <w:r>
        <w:t> — </w:t>
      </w:r>
      <w:r>
        <w:rPr>
          <w:rStyle w:val="CharDivText"/>
        </w:rPr>
        <w:t>Reporting period</w:t>
      </w:r>
      <w:bookmarkEnd w:id="76"/>
      <w:bookmarkEnd w:id="77"/>
      <w:bookmarkEnd w:id="78"/>
    </w:p>
    <w:p>
      <w:pPr>
        <w:pStyle w:val="Heading5"/>
      </w:pPr>
      <w:bookmarkStart w:id="79" w:name="_Toc153888380"/>
      <w:r>
        <w:rPr>
          <w:rStyle w:val="CharSectno"/>
        </w:rPr>
        <w:t>45</w:t>
      </w:r>
      <w:r>
        <w:t>.</w:t>
      </w:r>
      <w:r>
        <w:tab/>
        <w:t>When reporting obligations begin</w:t>
      </w:r>
      <w:bookmarkEnd w:id="7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80" w:name="_Toc153888381"/>
      <w:r>
        <w:rPr>
          <w:rStyle w:val="CharSectno"/>
        </w:rPr>
        <w:t>46</w:t>
      </w:r>
      <w:r>
        <w:t>.</w:t>
      </w:r>
      <w:r>
        <w:tab/>
        <w:t>Length of reporting period</w:t>
      </w:r>
      <w:bookmarkEnd w:id="8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lastRenderedPageBreak/>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lastRenderedPageBreak/>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81" w:name="_Toc153888382"/>
      <w:r>
        <w:rPr>
          <w:rStyle w:val="CharSectno"/>
        </w:rPr>
        <w:t>47</w:t>
      </w:r>
      <w:r>
        <w:t>.</w:t>
      </w:r>
      <w:r>
        <w:tab/>
        <w:t>Reduced period applies for young reportable offenders</w:t>
      </w:r>
      <w:bookmarkEnd w:id="8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82" w:name="_Toc153888383"/>
      <w:r>
        <w:rPr>
          <w:rStyle w:val="CharSectno"/>
        </w:rPr>
        <w:t>48</w:t>
      </w:r>
      <w:r>
        <w:t>.</w:t>
      </w:r>
      <w:r>
        <w:tab/>
        <w:t>Extended reporting period if reportable offender still on parole</w:t>
      </w:r>
      <w:bookmarkEnd w:id="8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83" w:name="_Toc153888384"/>
      <w:r>
        <w:rPr>
          <w:rStyle w:val="CharSectno"/>
        </w:rPr>
        <w:lastRenderedPageBreak/>
        <w:t>49</w:t>
      </w:r>
      <w:r>
        <w:t>.</w:t>
      </w:r>
      <w:r>
        <w:tab/>
        <w:t>Reporting period for corresponding reportable offenders</w:t>
      </w:r>
      <w:bookmarkEnd w:id="8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No. 54 of 2012 s. 19.]</w:t>
      </w:r>
    </w:p>
    <w:p>
      <w:pPr>
        <w:pStyle w:val="Heading5"/>
      </w:pPr>
      <w:bookmarkStart w:id="84" w:name="_Toc153888385"/>
      <w:r>
        <w:rPr>
          <w:rStyle w:val="CharSectno"/>
        </w:rPr>
        <w:t>50</w:t>
      </w:r>
      <w:r>
        <w:t>.</w:t>
      </w:r>
      <w:r>
        <w:tab/>
        <w:t>Reporting period for New South Wales reportable offenders</w:t>
      </w:r>
      <w:bookmarkEnd w:id="84"/>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85" w:name="_Toc153547320"/>
      <w:bookmarkStart w:id="86" w:name="_Toc153547678"/>
      <w:bookmarkStart w:id="87" w:name="_Toc153888386"/>
      <w:r>
        <w:rPr>
          <w:rStyle w:val="CharDivNo"/>
        </w:rPr>
        <w:lastRenderedPageBreak/>
        <w:t>Division 6</w:t>
      </w:r>
      <w:r>
        <w:t> — </w:t>
      </w:r>
      <w:r>
        <w:rPr>
          <w:rStyle w:val="CharDivText"/>
        </w:rPr>
        <w:t>Exemption from reporting obligations</w:t>
      </w:r>
      <w:bookmarkEnd w:id="85"/>
      <w:bookmarkEnd w:id="86"/>
      <w:bookmarkEnd w:id="87"/>
    </w:p>
    <w:p>
      <w:pPr>
        <w:pStyle w:val="Heading5"/>
      </w:pPr>
      <w:bookmarkStart w:id="88" w:name="_Toc153888387"/>
      <w:r>
        <w:rPr>
          <w:rStyle w:val="CharSectno"/>
        </w:rPr>
        <w:t>51</w:t>
      </w:r>
      <w:r>
        <w:t>.</w:t>
      </w:r>
      <w:r>
        <w:tab/>
        <w:t>Application of Division</w:t>
      </w:r>
      <w:bookmarkEnd w:id="88"/>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89" w:name="_Toc153888388"/>
      <w:r>
        <w:rPr>
          <w:rStyle w:val="CharSectno"/>
        </w:rPr>
        <w:t>52</w:t>
      </w:r>
      <w:r>
        <w:t>.</w:t>
      </w:r>
      <w:r>
        <w:tab/>
        <w:t>District Court may exempt certain reportable offenders</w:t>
      </w:r>
      <w:bookmarkEnd w:id="89"/>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lastRenderedPageBreak/>
        <w:tab/>
      </w:r>
      <w:r>
        <w:tab/>
        <w:t>the reportable offender may apply to the District Court for an order suspending his or her reporting obligations.</w:t>
      </w:r>
    </w:p>
    <w:p>
      <w:pPr>
        <w:pStyle w:val="Heading5"/>
      </w:pPr>
      <w:bookmarkStart w:id="90" w:name="_Toc153888389"/>
      <w:r>
        <w:rPr>
          <w:rStyle w:val="CharSectno"/>
        </w:rPr>
        <w:t>53</w:t>
      </w:r>
      <w:r>
        <w:t>.</w:t>
      </w:r>
      <w:r>
        <w:tab/>
        <w:t>Order for suspension</w:t>
      </w:r>
      <w:bookmarkEnd w:id="90"/>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91" w:name="_Toc153888390"/>
      <w:r>
        <w:rPr>
          <w:rStyle w:val="CharSectno"/>
        </w:rPr>
        <w:t>54</w:t>
      </w:r>
      <w:r>
        <w:t>.</w:t>
      </w:r>
      <w:r>
        <w:tab/>
        <w:t>Commissioner and certain chief executive officers entitled to be parties to proceedings</w:t>
      </w:r>
      <w:bookmarkEnd w:id="91"/>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w:t>
      </w:r>
      <w:r>
        <w:lastRenderedPageBreak/>
        <w:t xml:space="preserve">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92" w:name="_Toc153888391"/>
      <w:r>
        <w:rPr>
          <w:rStyle w:val="CharSectno"/>
        </w:rPr>
        <w:t>55</w:t>
      </w:r>
      <w:r>
        <w:t>.</w:t>
      </w:r>
      <w:r>
        <w:tab/>
        <w:t>Commissioner to be notified of order</w:t>
      </w:r>
      <w:bookmarkEnd w:id="92"/>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93" w:name="_Toc153888392"/>
      <w:r>
        <w:rPr>
          <w:rStyle w:val="CharSectno"/>
        </w:rPr>
        <w:lastRenderedPageBreak/>
        <w:t>56</w:t>
      </w:r>
      <w:r>
        <w:t>.</w:t>
      </w:r>
      <w:r>
        <w:tab/>
        <w:t>No costs to be awarded</w:t>
      </w:r>
      <w:bookmarkEnd w:id="93"/>
    </w:p>
    <w:p>
      <w:pPr>
        <w:pStyle w:val="Subsection"/>
        <w:spacing w:before="140"/>
      </w:pPr>
      <w:r>
        <w:tab/>
      </w:r>
      <w:r>
        <w:tab/>
        <w:t>The District Court must not award costs in respect of proceedings under this Division.</w:t>
      </w:r>
    </w:p>
    <w:p>
      <w:pPr>
        <w:pStyle w:val="Heading5"/>
      </w:pPr>
      <w:bookmarkStart w:id="94" w:name="_Toc153888393"/>
      <w:r>
        <w:rPr>
          <w:rStyle w:val="CharSectno"/>
        </w:rPr>
        <w:t>57</w:t>
      </w:r>
      <w:r>
        <w:t>.</w:t>
      </w:r>
      <w:r>
        <w:tab/>
        <w:t>Applications not to be heard in public on application of party to proceedings</w:t>
      </w:r>
      <w:bookmarkEnd w:id="94"/>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95" w:name="_Toc153888394"/>
      <w:r>
        <w:rPr>
          <w:rStyle w:val="CharSectno"/>
        </w:rPr>
        <w:t>58</w:t>
      </w:r>
      <w:r>
        <w:t>.</w:t>
      </w:r>
      <w:r>
        <w:tab/>
        <w:t>Restriction on right of unsuccessful applicant to re</w:t>
      </w:r>
      <w:r>
        <w:noBreakHyphen/>
        <w:t>apply for order</w:t>
      </w:r>
      <w:bookmarkEnd w:id="95"/>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96" w:name="_Toc153888395"/>
      <w:r>
        <w:rPr>
          <w:rStyle w:val="CharSectno"/>
        </w:rPr>
        <w:t>59</w:t>
      </w:r>
      <w:r>
        <w:t>.</w:t>
      </w:r>
      <w:r>
        <w:tab/>
        <w:t>Cessation of order</w:t>
      </w:r>
      <w:bookmarkEnd w:id="96"/>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lastRenderedPageBreak/>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No. 54 of 2012 s. 42(2).]</w:t>
      </w:r>
    </w:p>
    <w:p>
      <w:pPr>
        <w:pStyle w:val="Heading5"/>
      </w:pPr>
      <w:bookmarkStart w:id="97" w:name="_Toc153888396"/>
      <w:r>
        <w:rPr>
          <w:rStyle w:val="CharSectno"/>
        </w:rPr>
        <w:t>60</w:t>
      </w:r>
      <w:r>
        <w:t>.</w:t>
      </w:r>
      <w:r>
        <w:tab/>
        <w:t>Application for new order</w:t>
      </w:r>
      <w:bookmarkEnd w:id="97"/>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98" w:name="_Toc153547331"/>
      <w:bookmarkStart w:id="99" w:name="_Toc153547689"/>
      <w:bookmarkStart w:id="100" w:name="_Toc153888397"/>
      <w:r>
        <w:rPr>
          <w:rStyle w:val="CharDivNo"/>
        </w:rPr>
        <w:lastRenderedPageBreak/>
        <w:t>Division 7</w:t>
      </w:r>
      <w:r>
        <w:t> — </w:t>
      </w:r>
      <w:r>
        <w:rPr>
          <w:rStyle w:val="CharDivText"/>
        </w:rPr>
        <w:t>Suspension of reporting obligations of certain reportable offenders</w:t>
      </w:r>
      <w:bookmarkEnd w:id="98"/>
      <w:bookmarkEnd w:id="99"/>
      <w:bookmarkEnd w:id="100"/>
    </w:p>
    <w:p>
      <w:pPr>
        <w:pStyle w:val="Heading5"/>
      </w:pPr>
      <w:bookmarkStart w:id="101" w:name="_Toc153888398"/>
      <w:r>
        <w:rPr>
          <w:rStyle w:val="CharSectno"/>
        </w:rPr>
        <w:t>61</w:t>
      </w:r>
      <w:r>
        <w:t>.</w:t>
      </w:r>
      <w:r>
        <w:tab/>
        <w:t>Commissioner may approve suspension of reporting obligations</w:t>
      </w:r>
      <w:bookmarkEnd w:id="10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lastRenderedPageBreak/>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02" w:name="_Toc153888399"/>
      <w:r>
        <w:rPr>
          <w:rStyle w:val="CharSectno"/>
        </w:rPr>
        <w:t>62</w:t>
      </w:r>
      <w:r>
        <w:t>.</w:t>
      </w:r>
      <w:r>
        <w:tab/>
        <w:t>Cessation of approval</w:t>
      </w:r>
      <w:bookmarkEnd w:id="102"/>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lastRenderedPageBreak/>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No. 54 of 2012 s. 20 and 42(2).]</w:t>
      </w:r>
    </w:p>
    <w:p>
      <w:pPr>
        <w:pStyle w:val="Heading3"/>
      </w:pPr>
      <w:bookmarkStart w:id="103" w:name="_Toc153547334"/>
      <w:bookmarkStart w:id="104" w:name="_Toc153547692"/>
      <w:bookmarkStart w:id="105" w:name="_Toc153888400"/>
      <w:r>
        <w:rPr>
          <w:rStyle w:val="CharDivNo"/>
        </w:rPr>
        <w:t>Division 8</w:t>
      </w:r>
      <w:r>
        <w:t> — </w:t>
      </w:r>
      <w:r>
        <w:rPr>
          <w:rStyle w:val="CharDivText"/>
        </w:rPr>
        <w:t>Offences</w:t>
      </w:r>
      <w:bookmarkEnd w:id="103"/>
      <w:bookmarkEnd w:id="104"/>
      <w:bookmarkEnd w:id="105"/>
    </w:p>
    <w:p>
      <w:pPr>
        <w:pStyle w:val="Heading5"/>
      </w:pPr>
      <w:bookmarkStart w:id="106" w:name="_Toc153888401"/>
      <w:r>
        <w:rPr>
          <w:rStyle w:val="CharSectno"/>
        </w:rPr>
        <w:t>63</w:t>
      </w:r>
      <w:r>
        <w:t>.</w:t>
      </w:r>
      <w:r>
        <w:tab/>
        <w:t>Failure to comply with reporting obligations</w:t>
      </w:r>
      <w:bookmarkEnd w:id="106"/>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 xml:space="preserve">whether the form of notification given to the reportable offender as to his or her obligations was adequate to </w:t>
      </w:r>
      <w:r>
        <w:lastRenderedPageBreak/>
        <w:t>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No. 54 of 2012 s. 21.]</w:t>
      </w:r>
    </w:p>
    <w:p>
      <w:pPr>
        <w:pStyle w:val="Heading5"/>
      </w:pPr>
      <w:bookmarkStart w:id="107" w:name="_Toc153888402"/>
      <w:r>
        <w:rPr>
          <w:rStyle w:val="CharSectno"/>
        </w:rPr>
        <w:t>64</w:t>
      </w:r>
      <w:r>
        <w:t>.</w:t>
      </w:r>
      <w:r>
        <w:tab/>
        <w:t>Providing false or misleading information</w:t>
      </w:r>
      <w:bookmarkEnd w:id="107"/>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No. 54 of 2012 s. 22.]</w:t>
      </w:r>
    </w:p>
    <w:p>
      <w:pPr>
        <w:pStyle w:val="Heading5"/>
      </w:pPr>
      <w:bookmarkStart w:id="108" w:name="_Toc153888403"/>
      <w:r>
        <w:rPr>
          <w:rStyle w:val="CharSectno"/>
        </w:rPr>
        <w:t>65</w:t>
      </w:r>
      <w:r>
        <w:t>.</w:t>
      </w:r>
      <w:r>
        <w:tab/>
        <w:t>No time limit for prosecutions</w:t>
      </w:r>
      <w:bookmarkEnd w:id="108"/>
    </w:p>
    <w:p>
      <w:pPr>
        <w:pStyle w:val="Subsection"/>
      </w:pPr>
      <w:r>
        <w:tab/>
      </w:r>
      <w:r>
        <w:tab/>
        <w:t>Proceedings for an offence against this Act may be commenced at any time.</w:t>
      </w:r>
    </w:p>
    <w:p>
      <w:pPr>
        <w:pStyle w:val="Heading5"/>
      </w:pPr>
      <w:bookmarkStart w:id="109" w:name="_Toc153888404"/>
      <w:r>
        <w:rPr>
          <w:rStyle w:val="CharSectno"/>
        </w:rPr>
        <w:t>66</w:t>
      </w:r>
      <w:r>
        <w:t>.</w:t>
      </w:r>
      <w:r>
        <w:tab/>
        <w:t>Bar to prosecution for failing to report leaving Western Australia</w:t>
      </w:r>
      <w:bookmarkEnd w:id="109"/>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lastRenderedPageBreak/>
        <w:tab/>
        <w:t>(2)</w:t>
      </w:r>
      <w:r>
        <w:tab/>
        <w:t>The reportable offender is not to be prosecuted for a failure to comply with section 30 in respect of the travel out of Western Australia.</w:t>
      </w:r>
    </w:p>
    <w:p>
      <w:pPr>
        <w:pStyle w:val="Heading3"/>
      </w:pPr>
      <w:bookmarkStart w:id="110" w:name="_Toc153547339"/>
      <w:bookmarkStart w:id="111" w:name="_Toc153547697"/>
      <w:bookmarkStart w:id="112" w:name="_Toc153888405"/>
      <w:r>
        <w:rPr>
          <w:rStyle w:val="CharDivNo"/>
        </w:rPr>
        <w:t>Division 9</w:t>
      </w:r>
      <w:r>
        <w:t> — </w:t>
      </w:r>
      <w:r>
        <w:rPr>
          <w:rStyle w:val="CharDivText"/>
        </w:rPr>
        <w:t>Notification of reporting obligations</w:t>
      </w:r>
      <w:bookmarkEnd w:id="110"/>
      <w:bookmarkEnd w:id="111"/>
      <w:bookmarkEnd w:id="112"/>
    </w:p>
    <w:p>
      <w:pPr>
        <w:pStyle w:val="Heading5"/>
      </w:pPr>
      <w:bookmarkStart w:id="113" w:name="_Toc153888406"/>
      <w:r>
        <w:rPr>
          <w:rStyle w:val="CharSectno"/>
        </w:rPr>
        <w:t>67</w:t>
      </w:r>
      <w:r>
        <w:t>.</w:t>
      </w:r>
      <w:r>
        <w:tab/>
        <w:t>Notice to be given to reportable offender</w:t>
      </w:r>
      <w:bookmarkEnd w:id="113"/>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 xml:space="preserve">Despite anything in this Division, the regulations may provide that a notice given under this section is not required to specify </w:t>
      </w:r>
      <w:r>
        <w:lastRenderedPageBreak/>
        <w:t>the reportable offender’s reporting period if the regulations require a notice containing that information to be given at the time the reportable offender first reports his or her personal details to the Commissioner.</w:t>
      </w:r>
    </w:p>
    <w:p>
      <w:pPr>
        <w:pStyle w:val="Heading5"/>
      </w:pPr>
      <w:bookmarkStart w:id="114" w:name="_Toc153888407"/>
      <w:r>
        <w:rPr>
          <w:rStyle w:val="CharSectno"/>
        </w:rPr>
        <w:t>68</w:t>
      </w:r>
      <w:r>
        <w:t>.</w:t>
      </w:r>
      <w:r>
        <w:tab/>
        <w:t>Courts to provide sentencing information to Commissioner</w:t>
      </w:r>
      <w:bookmarkEnd w:id="114"/>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15" w:name="_Toc153888408"/>
      <w:r>
        <w:rPr>
          <w:rStyle w:val="CharSectno"/>
        </w:rPr>
        <w:t>69</w:t>
      </w:r>
      <w:r>
        <w:t>.</w:t>
      </w:r>
      <w:r>
        <w:tab/>
        <w:t>Notice to be given when reporting period changes</w:t>
      </w:r>
      <w:bookmarkEnd w:id="115"/>
    </w:p>
    <w:p>
      <w:pPr>
        <w:pStyle w:val="Subsection"/>
        <w:spacing w:before="150"/>
      </w:pPr>
      <w:r>
        <w:tab/>
        <w:t>(1)</w:t>
      </w:r>
      <w:r>
        <w:tab/>
        <w:t>This section applies to a reportable offender whose reporting period has changed since he or she was last notified of his or her reporting period in Western Australia.</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16" w:name="_Toc153888409"/>
      <w:r>
        <w:rPr>
          <w:rStyle w:val="CharSectno"/>
        </w:rPr>
        <w:t>70</w:t>
      </w:r>
      <w:r>
        <w:t>.</w:t>
      </w:r>
      <w:r>
        <w:tab/>
        <w:t>Supervising authority to notify Commissioner of certain events</w:t>
      </w:r>
      <w:bookmarkEnd w:id="116"/>
    </w:p>
    <w:p>
      <w:pPr>
        <w:pStyle w:val="Subsection"/>
        <w:spacing w:before="150"/>
      </w:pPr>
      <w:r>
        <w:tab/>
        <w:t>(1)</w:t>
      </w:r>
      <w:r>
        <w:tab/>
        <w:t xml:space="preserve">This section applies if a reportable offender — </w:t>
      </w:r>
    </w:p>
    <w:p>
      <w:pPr>
        <w:pStyle w:val="Indenta"/>
        <w:spacing w:before="60"/>
      </w:pPr>
      <w:r>
        <w:lastRenderedPageBreak/>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1</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17" w:name="_Toc153888410"/>
      <w:r>
        <w:rPr>
          <w:rStyle w:val="CharSectno"/>
        </w:rPr>
        <w:t>71</w:t>
      </w:r>
      <w:r>
        <w:t>.</w:t>
      </w:r>
      <w:r>
        <w:tab/>
        <w:t>Notices may be given by Commissioner</w:t>
      </w:r>
      <w:bookmarkEnd w:id="117"/>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18" w:name="_Toc153888411"/>
      <w:r>
        <w:rPr>
          <w:rStyle w:val="CharSectno"/>
        </w:rPr>
        <w:t>72</w:t>
      </w:r>
      <w:r>
        <w:t>.</w:t>
      </w:r>
      <w:r>
        <w:tab/>
        <w:t>Power of detention to enable notice to be given</w:t>
      </w:r>
      <w:bookmarkEnd w:id="118"/>
    </w:p>
    <w:p>
      <w:pPr>
        <w:pStyle w:val="Subsection"/>
      </w:pPr>
      <w:r>
        <w:tab/>
        <w:t>(1)</w:t>
      </w:r>
      <w:r>
        <w:tab/>
        <w:t xml:space="preserve">This section applies if there are reasonable grounds to suspect that a person is a reportable offender and that he or she has not </w:t>
      </w:r>
      <w:r>
        <w:lastRenderedPageBreak/>
        <w:t>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19" w:name="_Toc153888412"/>
      <w:r>
        <w:rPr>
          <w:rStyle w:val="CharSectno"/>
        </w:rPr>
        <w:t>73</w:t>
      </w:r>
      <w:r>
        <w:t>.</w:t>
      </w:r>
      <w:r>
        <w:tab/>
        <w:t>Failure to comply with procedural requirements does not affect reportable offender’s obligations</w:t>
      </w:r>
      <w:bookmarkEnd w:id="119"/>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20" w:name="_Toc153547347"/>
      <w:bookmarkStart w:id="121" w:name="_Toc153547705"/>
      <w:bookmarkStart w:id="122" w:name="_Toc153888413"/>
      <w:r>
        <w:rPr>
          <w:rStyle w:val="CharDivNo"/>
        </w:rPr>
        <w:lastRenderedPageBreak/>
        <w:t>Division 10</w:t>
      </w:r>
      <w:r>
        <w:t> — </w:t>
      </w:r>
      <w:r>
        <w:rPr>
          <w:rStyle w:val="CharDivText"/>
        </w:rPr>
        <w:t>Modified reporting procedures for participants in witness protection programs</w:t>
      </w:r>
      <w:bookmarkEnd w:id="120"/>
      <w:bookmarkEnd w:id="121"/>
      <w:bookmarkEnd w:id="122"/>
    </w:p>
    <w:p>
      <w:pPr>
        <w:pStyle w:val="Heading5"/>
      </w:pPr>
      <w:bookmarkStart w:id="123" w:name="_Toc153888414"/>
      <w:r>
        <w:rPr>
          <w:rStyle w:val="CharSectno"/>
        </w:rPr>
        <w:t>74</w:t>
      </w:r>
      <w:r>
        <w:t>.</w:t>
      </w:r>
      <w:r>
        <w:tab/>
        <w:t>Term used: witness protection program</w:t>
      </w:r>
      <w:bookmarkEnd w:id="123"/>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(Western Australia) Act 1996</w:t>
      </w:r>
      <w:r>
        <w:t xml:space="preserve"> section 3.</w:t>
      </w:r>
    </w:p>
    <w:p>
      <w:pPr>
        <w:pStyle w:val="Heading5"/>
      </w:pPr>
      <w:bookmarkStart w:id="124" w:name="_Toc153888415"/>
      <w:r>
        <w:rPr>
          <w:rStyle w:val="CharSectno"/>
        </w:rPr>
        <w:t>75</w:t>
      </w:r>
      <w:r>
        <w:t>.</w:t>
      </w:r>
      <w:r>
        <w:tab/>
        <w:t>Application of this Division</w:t>
      </w:r>
      <w:bookmarkEnd w:id="124"/>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25" w:name="_Toc153888416"/>
      <w:r>
        <w:rPr>
          <w:rStyle w:val="CharSectno"/>
        </w:rPr>
        <w:t>76</w:t>
      </w:r>
      <w:r>
        <w:t>.</w:t>
      </w:r>
      <w:r>
        <w:tab/>
        <w:t>Report need not be made in person</w:t>
      </w:r>
      <w:bookmarkEnd w:id="125"/>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lastRenderedPageBreak/>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26" w:name="_Toc153888417"/>
      <w:r>
        <w:rPr>
          <w:rStyle w:val="CharSectno"/>
        </w:rPr>
        <w:t>77</w:t>
      </w:r>
      <w:r>
        <w:t>.</w:t>
      </w:r>
      <w:r>
        <w:tab/>
        <w:t>Determination as to whether this Division applies</w:t>
      </w:r>
      <w:bookmarkEnd w:id="126"/>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lastRenderedPageBreak/>
        <w:tab/>
        <w:t>(5)</w:t>
      </w:r>
      <w:r>
        <w:tab/>
        <w:t>Subject to subsection (3), the determination cannot be the subject of appeal or judicial review or otherwise be called in question in any proceedings.</w:t>
      </w:r>
    </w:p>
    <w:p>
      <w:pPr>
        <w:pStyle w:val="Heading5"/>
      </w:pPr>
      <w:bookmarkStart w:id="127" w:name="_Toc153888418"/>
      <w:r>
        <w:rPr>
          <w:rStyle w:val="CharSectno"/>
        </w:rPr>
        <w:t>78</w:t>
      </w:r>
      <w:r>
        <w:t>.</w:t>
      </w:r>
      <w:r>
        <w:tab/>
        <w:t>When determination takes effect</w:t>
      </w:r>
      <w:bookmarkEnd w:id="12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28" w:name="_Toc153888419"/>
      <w:r>
        <w:rPr>
          <w:rStyle w:val="CharSectno"/>
        </w:rPr>
        <w:t>79</w:t>
      </w:r>
      <w:r>
        <w:t>.</w:t>
      </w:r>
      <w:r>
        <w:tab/>
        <w:t>Modification of reporting obligations</w:t>
      </w:r>
      <w:bookmarkEnd w:id="12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r>
        <w:tab/>
        <w:t>[Section 79 amended: No. 27 of 2008 s. 9.]</w:t>
      </w:r>
    </w:p>
    <w:p>
      <w:pPr>
        <w:pStyle w:val="Heading2"/>
      </w:pPr>
      <w:bookmarkStart w:id="129" w:name="_Toc153547354"/>
      <w:bookmarkStart w:id="130" w:name="_Toc153547712"/>
      <w:bookmarkStart w:id="131" w:name="_Toc153888420"/>
      <w:r>
        <w:rPr>
          <w:rStyle w:val="CharPartNo"/>
        </w:rPr>
        <w:lastRenderedPageBreak/>
        <w:t>Part 4A</w:t>
      </w:r>
      <w:r>
        <w:rPr>
          <w:rStyle w:val="CharDivNo"/>
        </w:rPr>
        <w:t> </w:t>
      </w:r>
      <w:r>
        <w:rPr>
          <w:color w:val="000000"/>
        </w:rPr>
        <w:t>—</w:t>
      </w:r>
      <w:r>
        <w:rPr>
          <w:rStyle w:val="CharDivText"/>
        </w:rPr>
        <w:t> </w:t>
      </w:r>
      <w:r>
        <w:rPr>
          <w:rStyle w:val="CharPartText"/>
        </w:rPr>
        <w:t>Change of name</w:t>
      </w:r>
      <w:bookmarkEnd w:id="129"/>
      <w:bookmarkEnd w:id="130"/>
      <w:bookmarkEnd w:id="131"/>
    </w:p>
    <w:p>
      <w:pPr>
        <w:pStyle w:val="Footnoteheading"/>
      </w:pPr>
      <w:r>
        <w:tab/>
        <w:t>[Heading inserted: No. 54 of 2012 s. 23.]</w:t>
      </w:r>
    </w:p>
    <w:p>
      <w:pPr>
        <w:pStyle w:val="Heading5"/>
        <w:spacing w:before="260"/>
      </w:pPr>
      <w:bookmarkStart w:id="132" w:name="_Toc153888421"/>
      <w:r>
        <w:rPr>
          <w:rStyle w:val="CharSectno"/>
        </w:rPr>
        <w:t>80A</w:t>
      </w:r>
      <w:r>
        <w:t>.</w:t>
      </w:r>
      <w:r>
        <w:tab/>
        <w:t>Terms used</w:t>
      </w:r>
      <w:bookmarkEnd w:id="132"/>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No. 54 of 2012 s. 23.]</w:t>
      </w:r>
    </w:p>
    <w:p>
      <w:pPr>
        <w:pStyle w:val="Heading5"/>
        <w:spacing w:before="260"/>
      </w:pPr>
      <w:bookmarkStart w:id="133" w:name="_Toc153888422"/>
      <w:r>
        <w:rPr>
          <w:rStyle w:val="CharSectno"/>
        </w:rPr>
        <w:t>80B</w:t>
      </w:r>
      <w:r>
        <w:t>.</w:t>
      </w:r>
      <w:r>
        <w:tab/>
        <w:t>Application</w:t>
      </w:r>
      <w:bookmarkEnd w:id="133"/>
    </w:p>
    <w:p>
      <w:pPr>
        <w:pStyle w:val="Subsection"/>
      </w:pPr>
      <w:r>
        <w:rPr>
          <w:color w:val="000000"/>
        </w:rPr>
        <w:tab/>
      </w:r>
      <w:r>
        <w:rPr>
          <w:color w:val="000000"/>
        </w:rPr>
        <w:tab/>
        <w:t>This Part applies despite anything to the contrary in the Registration Act.</w:t>
      </w:r>
    </w:p>
    <w:p>
      <w:pPr>
        <w:pStyle w:val="Footnotesection"/>
      </w:pPr>
      <w:r>
        <w:tab/>
        <w:t>[Section 80B inserted: No. 54 of 2012 s. 23.]</w:t>
      </w:r>
    </w:p>
    <w:p>
      <w:pPr>
        <w:pStyle w:val="Heading5"/>
        <w:spacing w:before="260"/>
      </w:pPr>
      <w:bookmarkStart w:id="134" w:name="_Toc153888423"/>
      <w:r>
        <w:rPr>
          <w:rStyle w:val="CharSectno"/>
        </w:rPr>
        <w:t>80C</w:t>
      </w:r>
      <w:r>
        <w:t>.</w:t>
      </w:r>
      <w:r>
        <w:tab/>
        <w:t>Application for change of name by or in respect of reportable offender</w:t>
      </w:r>
      <w:bookmarkEnd w:id="134"/>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lastRenderedPageBreak/>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No. 54 of 2012 s. 23.]</w:t>
      </w:r>
    </w:p>
    <w:p>
      <w:pPr>
        <w:pStyle w:val="Heading5"/>
      </w:pPr>
      <w:bookmarkStart w:id="135" w:name="_Toc153888424"/>
      <w:r>
        <w:rPr>
          <w:rStyle w:val="CharSectno"/>
        </w:rPr>
        <w:t>80D</w:t>
      </w:r>
      <w:r>
        <w:t>.</w:t>
      </w:r>
      <w:r>
        <w:tab/>
        <w:t>Approval by Commissioner</w:t>
      </w:r>
      <w:bookmarkEnd w:id="135"/>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lastRenderedPageBreak/>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No. 54 of 2012 s. 23.]</w:t>
      </w:r>
    </w:p>
    <w:p>
      <w:pPr>
        <w:pStyle w:val="Heading5"/>
        <w:spacing w:before="260"/>
      </w:pPr>
      <w:bookmarkStart w:id="136" w:name="_Toc153888425"/>
      <w:r>
        <w:rPr>
          <w:rStyle w:val="CharSectno"/>
        </w:rPr>
        <w:t>80E</w:t>
      </w:r>
      <w:r>
        <w:t>.</w:t>
      </w:r>
      <w:r>
        <w:tab/>
        <w:t>Registration of change of name</w:t>
      </w:r>
      <w:bookmarkEnd w:id="136"/>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No. 54 of 2012 s. 23.]</w:t>
      </w:r>
    </w:p>
    <w:p>
      <w:pPr>
        <w:pStyle w:val="Heading5"/>
        <w:spacing w:before="260"/>
      </w:pPr>
      <w:bookmarkStart w:id="137" w:name="_Toc153888426"/>
      <w:r>
        <w:rPr>
          <w:rStyle w:val="CharSectno"/>
        </w:rPr>
        <w:t>80F</w:t>
      </w:r>
      <w:r>
        <w:t>.</w:t>
      </w:r>
      <w:r>
        <w:tab/>
        <w:t>WA Registrar to correct Registration Act Register</w:t>
      </w:r>
      <w:bookmarkEnd w:id="137"/>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lastRenderedPageBreak/>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No. 54 of 2012 s. 23.]</w:t>
      </w:r>
    </w:p>
    <w:p>
      <w:pPr>
        <w:pStyle w:val="Heading5"/>
      </w:pPr>
      <w:bookmarkStart w:id="138" w:name="_Toc153888427"/>
      <w:r>
        <w:rPr>
          <w:rStyle w:val="CharSectno"/>
        </w:rPr>
        <w:t>80G</w:t>
      </w:r>
      <w:r>
        <w:t>.</w:t>
      </w:r>
      <w:r>
        <w:tab/>
        <w:t>Exchange of information between Commissioner and WA Registrar</w:t>
      </w:r>
      <w:bookmarkEnd w:id="13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No. 54 of 2012 s. 23.]</w:t>
      </w:r>
    </w:p>
    <w:p>
      <w:pPr>
        <w:pStyle w:val="Heading2"/>
      </w:pPr>
      <w:bookmarkStart w:id="139" w:name="_Toc153547362"/>
      <w:bookmarkStart w:id="140" w:name="_Toc153547720"/>
      <w:bookmarkStart w:id="141" w:name="_Toc153888428"/>
      <w:r>
        <w:rPr>
          <w:rStyle w:val="CharPartNo"/>
        </w:rPr>
        <w:lastRenderedPageBreak/>
        <w:t>Part 4</w:t>
      </w:r>
      <w:r>
        <w:rPr>
          <w:rStyle w:val="CharDivNo"/>
        </w:rPr>
        <w:t> </w:t>
      </w:r>
      <w:r>
        <w:t>—</w:t>
      </w:r>
      <w:r>
        <w:rPr>
          <w:rStyle w:val="CharDivText"/>
        </w:rPr>
        <w:t> </w:t>
      </w:r>
      <w:r>
        <w:rPr>
          <w:rStyle w:val="CharPartText"/>
        </w:rPr>
        <w:t>Community Protection Offender Register</w:t>
      </w:r>
      <w:bookmarkEnd w:id="139"/>
      <w:bookmarkEnd w:id="140"/>
      <w:bookmarkEnd w:id="141"/>
    </w:p>
    <w:p>
      <w:pPr>
        <w:pStyle w:val="Heading5"/>
      </w:pPr>
      <w:bookmarkStart w:id="142" w:name="_Toc153888429"/>
      <w:r>
        <w:rPr>
          <w:rStyle w:val="CharSectno"/>
        </w:rPr>
        <w:t>80</w:t>
      </w:r>
      <w:r>
        <w:t>.</w:t>
      </w:r>
      <w:r>
        <w:tab/>
        <w:t>Requirement to establish and maintain Community Protection Offender Register</w:t>
      </w:r>
      <w:bookmarkEnd w:id="142"/>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High Risk Serious Offenders Act 2020</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lastRenderedPageBreak/>
        <w:tab/>
        <w:t>(h)</w:t>
      </w:r>
      <w:r>
        <w:tab/>
        <w:t>any other information that the Commissioner considers appropriate to include in the Register.</w:t>
      </w:r>
    </w:p>
    <w:p>
      <w:pPr>
        <w:pStyle w:val="Footnotesection"/>
      </w:pPr>
      <w:r>
        <w:tab/>
        <w:t>[Section 80 amended: No. 54 of 2012 s. 24; No. 29 of 2020 s. 121.]</w:t>
      </w:r>
    </w:p>
    <w:p>
      <w:pPr>
        <w:pStyle w:val="Heading5"/>
      </w:pPr>
      <w:bookmarkStart w:id="143" w:name="_Toc153888430"/>
      <w:r>
        <w:rPr>
          <w:rStyle w:val="CharSectno"/>
        </w:rPr>
        <w:t>81</w:t>
      </w:r>
      <w:r>
        <w:t>.</w:t>
      </w:r>
      <w:r>
        <w:tab/>
        <w:t>Access to Register to be restricted</w:t>
      </w:r>
      <w:bookmarkEnd w:id="143"/>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 xml:space="preserve">For the purposes of this section, the Register includes any information from any register maintained under a corresponding </w:t>
      </w:r>
      <w:r>
        <w:lastRenderedPageBreak/>
        <w:t>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44" w:name="_Toc153888431"/>
      <w:r>
        <w:rPr>
          <w:rStyle w:val="CharSectno"/>
        </w:rPr>
        <w:t>82</w:t>
      </w:r>
      <w:r>
        <w:t>.</w:t>
      </w:r>
      <w:r>
        <w:tab/>
        <w:t>Confidentiality</w:t>
      </w:r>
      <w:bookmarkEnd w:id="14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lastRenderedPageBreak/>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No. 54 of 2012 s. 25.]</w:t>
      </w:r>
    </w:p>
    <w:p>
      <w:pPr>
        <w:pStyle w:val="Heading5"/>
        <w:keepLines w:val="0"/>
      </w:pPr>
      <w:bookmarkStart w:id="145" w:name="_Toc153888432"/>
      <w:r>
        <w:rPr>
          <w:rStyle w:val="CharSectno"/>
        </w:rPr>
        <w:t>83</w:t>
      </w:r>
      <w:r>
        <w:t>.</w:t>
      </w:r>
      <w:r>
        <w:tab/>
        <w:t>Restriction on who may access personal information on protected witnesses</w:t>
      </w:r>
      <w:bookmarkEnd w:id="145"/>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46" w:name="_Toc153888433"/>
      <w:r>
        <w:rPr>
          <w:rStyle w:val="CharSectno"/>
        </w:rPr>
        <w:t>84</w:t>
      </w:r>
      <w:r>
        <w:t>.</w:t>
      </w:r>
      <w:r>
        <w:tab/>
        <w:t>Reportable offender’s rights in relation to Register</w:t>
      </w:r>
      <w:bookmarkEnd w:id="14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47" w:name="_Toc153547368"/>
      <w:bookmarkStart w:id="148" w:name="_Toc153547726"/>
      <w:bookmarkStart w:id="149" w:name="_Toc153888434"/>
      <w:r>
        <w:rPr>
          <w:rStyle w:val="CharPartNo"/>
        </w:rPr>
        <w:lastRenderedPageBreak/>
        <w:t>Part 5A</w:t>
      </w:r>
      <w:r>
        <w:rPr>
          <w:b w:val="0"/>
        </w:rPr>
        <w:t> </w:t>
      </w:r>
      <w:r>
        <w:rPr>
          <w:color w:val="000000"/>
        </w:rPr>
        <w:t>—</w:t>
      </w:r>
      <w:r>
        <w:rPr>
          <w:b w:val="0"/>
        </w:rPr>
        <w:t> </w:t>
      </w:r>
      <w:r>
        <w:rPr>
          <w:rStyle w:val="CharPartText"/>
        </w:rPr>
        <w:t>Publication of information about offenders</w:t>
      </w:r>
      <w:bookmarkEnd w:id="147"/>
      <w:bookmarkEnd w:id="148"/>
      <w:bookmarkEnd w:id="149"/>
    </w:p>
    <w:p>
      <w:pPr>
        <w:pStyle w:val="Footnoteheading"/>
      </w:pPr>
      <w:r>
        <w:tab/>
        <w:t>[Heading inserted: No. 1 of 2012 s. 5.]</w:t>
      </w:r>
    </w:p>
    <w:p>
      <w:pPr>
        <w:pStyle w:val="Heading3"/>
      </w:pPr>
      <w:bookmarkStart w:id="150" w:name="_Toc153547369"/>
      <w:bookmarkStart w:id="151" w:name="_Toc153547727"/>
      <w:bookmarkStart w:id="152" w:name="_Toc153888435"/>
      <w:r>
        <w:rPr>
          <w:rStyle w:val="CharDivNo"/>
        </w:rPr>
        <w:t>Division 1</w:t>
      </w:r>
      <w:r>
        <w:t> — </w:t>
      </w:r>
      <w:r>
        <w:rPr>
          <w:rStyle w:val="CharDivText"/>
        </w:rPr>
        <w:t>Preliminary</w:t>
      </w:r>
      <w:bookmarkEnd w:id="150"/>
      <w:bookmarkEnd w:id="151"/>
      <w:bookmarkEnd w:id="152"/>
    </w:p>
    <w:p>
      <w:pPr>
        <w:pStyle w:val="Footnoteheading"/>
      </w:pPr>
      <w:r>
        <w:tab/>
        <w:t>[Heading inserted: No. 1 of 2012 s. 5.]</w:t>
      </w:r>
    </w:p>
    <w:p>
      <w:pPr>
        <w:pStyle w:val="Heading5"/>
      </w:pPr>
      <w:bookmarkStart w:id="153" w:name="_Toc153888436"/>
      <w:r>
        <w:rPr>
          <w:rStyle w:val="CharSectno"/>
        </w:rPr>
        <w:t>85A</w:t>
      </w:r>
      <w:r>
        <w:t>.</w:t>
      </w:r>
      <w:r>
        <w:tab/>
        <w:t>Terms used</w:t>
      </w:r>
      <w:bookmarkEnd w:id="153"/>
    </w:p>
    <w:p>
      <w:pPr>
        <w:pStyle w:val="Subsection"/>
      </w:pPr>
      <w:r>
        <w:rPr>
          <w:color w:val="000000"/>
        </w:rPr>
        <w:tab/>
      </w:r>
      <w:r>
        <w:rPr>
          <w:color w:val="000000"/>
        </w:rPr>
        <w:tab/>
        <w:t xml:space="preserve">In this Part — </w:t>
      </w:r>
    </w:p>
    <w:p>
      <w:pPr>
        <w:pStyle w:val="Defstart"/>
      </w:pPr>
      <w:r>
        <w:tab/>
      </w:r>
      <w:r>
        <w:rPr>
          <w:rStyle w:val="CharDefText"/>
        </w:rPr>
        <w:t>HRO supervision order</w:t>
      </w:r>
      <w:r>
        <w:t xml:space="preserve"> means a supervision order under the </w:t>
      </w:r>
      <w:r>
        <w:rPr>
          <w:i/>
        </w:rPr>
        <w:t>High Risk Serious Offenders Act 2020</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Defstart"/>
      </w:pPr>
      <w:r>
        <w:tab/>
      </w:r>
      <w:r>
        <w:rPr>
          <w:rStyle w:val="CharDefText"/>
        </w:rPr>
        <w:t>serious sexual offence</w:t>
      </w:r>
      <w:r>
        <w:t xml:space="preserve"> means — </w:t>
      </w:r>
    </w:p>
    <w:p>
      <w:pPr>
        <w:pStyle w:val="Defpara"/>
      </w:pPr>
      <w:r>
        <w:tab/>
        <w:t>(a)</w:t>
      </w:r>
      <w:r>
        <w:tab/>
        <w:t xml:space="preserve">an offence specified in the </w:t>
      </w:r>
      <w:r>
        <w:rPr>
          <w:i/>
        </w:rPr>
        <w:t xml:space="preserve">High Risk Serious Offenders Act 2020 </w:t>
      </w:r>
      <w:r>
        <w:t xml:space="preserve">Schedule 1, other than an offence under — </w:t>
      </w:r>
    </w:p>
    <w:p>
      <w:pPr>
        <w:pStyle w:val="Defsubpara"/>
      </w:pPr>
      <w:r>
        <w:tab/>
        <w:t>(i)</w:t>
      </w:r>
      <w:r>
        <w:tab/>
        <w:t xml:space="preserve">the </w:t>
      </w:r>
      <w:r>
        <w:rPr>
          <w:i/>
        </w:rPr>
        <w:t>Bush Fires Act 1954</w:t>
      </w:r>
      <w:r>
        <w:t xml:space="preserve"> section 32; or</w:t>
      </w:r>
    </w:p>
    <w:p>
      <w:pPr>
        <w:pStyle w:val="Defsubpara"/>
      </w:pPr>
      <w:r>
        <w:tab/>
        <w:t>(ii)</w:t>
      </w:r>
      <w:r>
        <w:tab/>
        <w:t xml:space="preserve">the </w:t>
      </w:r>
      <w:r>
        <w:rPr>
          <w:i/>
        </w:rPr>
        <w:t>Road Traffic Act 1974</w:t>
      </w:r>
      <w:r>
        <w:t xml:space="preserve"> section 59; or</w:t>
      </w:r>
    </w:p>
    <w:p>
      <w:pPr>
        <w:pStyle w:val="Defsubpara"/>
      </w:pPr>
      <w:r>
        <w:tab/>
        <w:t>(iia)</w:t>
      </w:r>
      <w:r>
        <w:tab/>
        <w:t xml:space="preserve">the </w:t>
      </w:r>
      <w:r>
        <w:rPr>
          <w:i/>
        </w:rPr>
        <w:t>Western Australian Marine Act 1982</w:t>
      </w:r>
      <w:r>
        <w:t xml:space="preserve"> section 75B(1), 75B(2), 75BA(1) or 75BA(2); or</w:t>
      </w:r>
    </w:p>
    <w:p>
      <w:pPr>
        <w:pStyle w:val="Defsubpara"/>
      </w:pPr>
      <w:r>
        <w:tab/>
        <w:t>(iii)</w:t>
      </w:r>
      <w:r>
        <w:tab/>
      </w:r>
      <w:r>
        <w:rPr>
          <w:i/>
        </w:rPr>
        <w:t>The Criminal Code</w:t>
      </w:r>
      <w:r>
        <w:t xml:space="preserve"> section 279, 280, 281, 283, 294, 297, 304(2), 332, 333, 338E, 343 392, 393, 444 or 445A;</w:t>
      </w:r>
    </w:p>
    <w:p>
      <w:pPr>
        <w:pStyle w:val="Defpara"/>
      </w:pPr>
      <w:r>
        <w:tab/>
      </w:r>
      <w:r>
        <w:tab/>
        <w:t>or</w:t>
      </w:r>
    </w:p>
    <w:p>
      <w:pPr>
        <w:pStyle w:val="Defpara"/>
      </w:pPr>
      <w:r>
        <w:tab/>
        <w:t>(b)</w:t>
      </w:r>
      <w:r>
        <w:tab/>
        <w:t>an offence under a written law that has been repealed, if the offender’s acts or omissions that constituted the offence under the repealed provision would constitute a serious sexual offence under paragraph (a); or</w:t>
      </w:r>
    </w:p>
    <w:p>
      <w:pPr>
        <w:pStyle w:val="Defpara"/>
      </w:pPr>
      <w:r>
        <w:lastRenderedPageBreak/>
        <w:tab/>
        <w:t>(c)</w:t>
      </w:r>
      <w:r>
        <w:tab/>
        <w:t>an offence of conspiracy, attempt or incitement to commit an offence that is a serious sexual offence under paragraph (a) or (b); or</w:t>
      </w:r>
    </w:p>
    <w:p>
      <w:pPr>
        <w:pStyle w:val="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Defpara"/>
      </w:pPr>
      <w:r>
        <w:tab/>
        <w:t>(e)</w:t>
      </w:r>
      <w:r>
        <w:tab/>
        <w:t xml:space="preserve">an offence against the law of the Commonwealth if — </w:t>
      </w:r>
    </w:p>
    <w:p>
      <w:pPr>
        <w:pStyle w:val="Defsubpara"/>
      </w:pPr>
      <w:r>
        <w:tab/>
        <w:t>(i)</w:t>
      </w:r>
      <w:r>
        <w:tab/>
        <w:t>the offence is of a sexual nature; and</w:t>
      </w:r>
    </w:p>
    <w:p>
      <w:pPr>
        <w:pStyle w:val="Defsubpara"/>
      </w:pPr>
      <w:r>
        <w:tab/>
        <w:t>(ii)</w:t>
      </w:r>
      <w:r>
        <w:tab/>
        <w:t xml:space="preserve">the penalty for the offence specified by the law of the Commonwealth is or includes imprisonment for 7 years or more; and </w:t>
      </w:r>
    </w:p>
    <w:p>
      <w:pPr>
        <w:pStyle w:val="Defsubpara"/>
      </w:pPr>
      <w:r>
        <w:tab/>
        <w:t>(c)</w:t>
      </w:r>
      <w:r>
        <w:tab/>
        <w:t>the offence is prescribed to be a serious sexual offence.</w:t>
      </w:r>
    </w:p>
    <w:p>
      <w:pPr>
        <w:pStyle w:val="Footnotesection"/>
      </w:pPr>
      <w:r>
        <w:tab/>
        <w:t>[Section 85A inserted: No. 1 of 2012 s. 5; amended: No. 29 of 2020 s. 93; No. 31 of 2023 s. 29(2).]</w:t>
      </w:r>
    </w:p>
    <w:p>
      <w:pPr>
        <w:pStyle w:val="Heading5"/>
      </w:pPr>
      <w:bookmarkStart w:id="154" w:name="_Toc153888437"/>
      <w:r>
        <w:rPr>
          <w:rStyle w:val="CharSectno"/>
        </w:rPr>
        <w:t>85B</w:t>
      </w:r>
      <w:r>
        <w:t>.</w:t>
      </w:r>
      <w:r>
        <w:tab/>
        <w:t>Delegation by Commissioner</w:t>
      </w:r>
      <w:bookmarkEnd w:id="154"/>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No. 1 of 2012 s. 5.]</w:t>
      </w:r>
    </w:p>
    <w:p>
      <w:pPr>
        <w:pStyle w:val="Heading5"/>
      </w:pPr>
      <w:bookmarkStart w:id="155" w:name="_Toc153888438"/>
      <w:r>
        <w:rPr>
          <w:rStyle w:val="CharSectno"/>
        </w:rPr>
        <w:t>85C</w:t>
      </w:r>
      <w:r>
        <w:t>.</w:t>
      </w:r>
      <w:r>
        <w:tab/>
        <w:t>Commissioner not required to publish or provide information</w:t>
      </w:r>
      <w:bookmarkEnd w:id="155"/>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No. 1 of 2012 s. 5.]</w:t>
      </w:r>
    </w:p>
    <w:p>
      <w:pPr>
        <w:pStyle w:val="Heading5"/>
      </w:pPr>
      <w:bookmarkStart w:id="156" w:name="_Toc153888439"/>
      <w:r>
        <w:rPr>
          <w:rStyle w:val="CharSectno"/>
        </w:rPr>
        <w:lastRenderedPageBreak/>
        <w:t>85D</w:t>
      </w:r>
      <w:r>
        <w:t>.</w:t>
      </w:r>
      <w:r>
        <w:tab/>
        <w:t>Restriction on information about protected witnesses</w:t>
      </w:r>
      <w:bookmarkEnd w:id="156"/>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No. 1 of 2012 s. 5.]</w:t>
      </w:r>
    </w:p>
    <w:p>
      <w:pPr>
        <w:pStyle w:val="Heading3"/>
      </w:pPr>
      <w:bookmarkStart w:id="157" w:name="_Toc153547374"/>
      <w:bookmarkStart w:id="158" w:name="_Toc153547732"/>
      <w:bookmarkStart w:id="159" w:name="_Toc153888440"/>
      <w:r>
        <w:rPr>
          <w:rStyle w:val="CharDivNo"/>
        </w:rPr>
        <w:t>Division 2</w:t>
      </w:r>
      <w:r>
        <w:t> — </w:t>
      </w:r>
      <w:r>
        <w:rPr>
          <w:rStyle w:val="CharDivText"/>
        </w:rPr>
        <w:t>Commissioner may publish information</w:t>
      </w:r>
      <w:bookmarkEnd w:id="157"/>
      <w:bookmarkEnd w:id="158"/>
      <w:bookmarkEnd w:id="159"/>
    </w:p>
    <w:p>
      <w:pPr>
        <w:pStyle w:val="Footnoteheading"/>
      </w:pPr>
      <w:r>
        <w:tab/>
        <w:t>[Heading inserted: No. 1 of 2012 s. 5.]</w:t>
      </w:r>
    </w:p>
    <w:p>
      <w:pPr>
        <w:pStyle w:val="Heading5"/>
      </w:pPr>
      <w:bookmarkStart w:id="160" w:name="_Toc153888441"/>
      <w:r>
        <w:rPr>
          <w:rStyle w:val="CharSectno"/>
        </w:rPr>
        <w:t>85E</w:t>
      </w:r>
      <w:r>
        <w:t>.</w:t>
      </w:r>
      <w:r>
        <w:tab/>
        <w:t>Application</w:t>
      </w:r>
      <w:bookmarkEnd w:id="16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No. 1 of 2012 s. 5.]</w:t>
      </w:r>
    </w:p>
    <w:p>
      <w:pPr>
        <w:pStyle w:val="Heading5"/>
      </w:pPr>
      <w:bookmarkStart w:id="161" w:name="_Toc153888442"/>
      <w:r>
        <w:rPr>
          <w:rStyle w:val="CharSectno"/>
        </w:rPr>
        <w:t>85F</w:t>
      </w:r>
      <w:r>
        <w:t>.</w:t>
      </w:r>
      <w:r>
        <w:tab/>
        <w:t>Commissioner may publish personal details of certain reportable offenders</w:t>
      </w:r>
      <w:bookmarkEnd w:id="16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lastRenderedPageBreak/>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No. 1 of 2012 s. 5.]</w:t>
      </w:r>
    </w:p>
    <w:p>
      <w:pPr>
        <w:pStyle w:val="Heading5"/>
      </w:pPr>
      <w:bookmarkStart w:id="162" w:name="_Toc153888443"/>
      <w:r>
        <w:rPr>
          <w:rStyle w:val="CharSectno"/>
        </w:rPr>
        <w:t>85G</w:t>
      </w:r>
      <w:r>
        <w:t>.</w:t>
      </w:r>
      <w:r>
        <w:tab/>
        <w:t>Commissioner may publish photograph and locality of certain persons</w:t>
      </w:r>
      <w:bookmarkEnd w:id="16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lastRenderedPageBreak/>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 xml:space="preserve">if — </w:t>
      </w:r>
    </w:p>
    <w:p>
      <w:pPr>
        <w:pStyle w:val="Indenti"/>
      </w:pPr>
      <w:r>
        <w:tab/>
        <w:t>(i)</w:t>
      </w:r>
      <w:r>
        <w:tab/>
        <w:t>the person has been convicted of a serious sexual offence; and</w:t>
      </w:r>
    </w:p>
    <w:p>
      <w:pPr>
        <w:pStyle w:val="Indenti"/>
      </w:pPr>
      <w:r>
        <w:tab/>
        <w:t>(ii)</w:t>
      </w:r>
      <w:r>
        <w:tab/>
        <w:t>the person is subject to a HRO supervision order; and</w:t>
      </w:r>
    </w:p>
    <w:p>
      <w:pPr>
        <w:pStyle w:val="Indenti"/>
      </w:pPr>
      <w:r>
        <w:tab/>
        <w:t>(iii)</w:t>
      </w:r>
      <w:r>
        <w:tab/>
        <w:t>that order does not provide that the person’s photograph and locality are not to be published under this section;</w:t>
      </w:r>
    </w:p>
    <w:p>
      <w:pPr>
        <w:pStyle w:val="Indenta"/>
      </w:pPr>
      <w:r>
        <w:tab/>
      </w:r>
      <w:r>
        <w:tab/>
        <w:t>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lastRenderedPageBreak/>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lastRenderedPageBreak/>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No. 1 of 2012 s. 5; amended: No. 29 of 2020 s. 94.]</w:t>
      </w:r>
    </w:p>
    <w:p>
      <w:pPr>
        <w:pStyle w:val="Heading5"/>
      </w:pPr>
      <w:bookmarkStart w:id="163" w:name="_Toc153888444"/>
      <w:r>
        <w:rPr>
          <w:rStyle w:val="CharSectno"/>
        </w:rPr>
        <w:t>85H</w:t>
      </w:r>
      <w:r>
        <w:t>.</w:t>
      </w:r>
      <w:r>
        <w:tab/>
        <w:t>Removal of photograph and locality from website</w:t>
      </w:r>
      <w:bookmarkEnd w:id="16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HRO supervision order; and</w:t>
      </w:r>
    </w:p>
    <w:p>
      <w:pPr>
        <w:pStyle w:val="Indenta"/>
      </w:pPr>
      <w:r>
        <w:lastRenderedPageBreak/>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No. 1 of 2012 s. 5; amended: No. 29 of 2020 s. 95.]</w:t>
      </w:r>
    </w:p>
    <w:p>
      <w:pPr>
        <w:pStyle w:val="Heading5"/>
      </w:pPr>
      <w:bookmarkStart w:id="164" w:name="_Toc153888445"/>
      <w:r>
        <w:rPr>
          <w:rStyle w:val="CharSectno"/>
        </w:rPr>
        <w:t>85I</w:t>
      </w:r>
      <w:r>
        <w:t>.</w:t>
      </w:r>
      <w:r>
        <w:tab/>
        <w:t>Commissioner may take into account certain matters</w:t>
      </w:r>
      <w:bookmarkEnd w:id="16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lastRenderedPageBreak/>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HRO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No. 1 of 2012 s. 5; amended: No. 29 of 2020 s. 96.]</w:t>
      </w:r>
    </w:p>
    <w:p>
      <w:pPr>
        <w:pStyle w:val="Heading5"/>
      </w:pPr>
      <w:bookmarkStart w:id="165" w:name="_Toc153888446"/>
      <w:r>
        <w:rPr>
          <w:rStyle w:val="CharSectno"/>
        </w:rPr>
        <w:lastRenderedPageBreak/>
        <w:t>85J</w:t>
      </w:r>
      <w:r>
        <w:t>.</w:t>
      </w:r>
      <w:r>
        <w:tab/>
        <w:t>Commissioner may inform child’s parent or guardian whether specified person is a reportable offender</w:t>
      </w:r>
      <w:bookmarkEnd w:id="16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No. 1 of 2012 s. 5.]</w:t>
      </w:r>
    </w:p>
    <w:p>
      <w:pPr>
        <w:pStyle w:val="Heading5"/>
      </w:pPr>
      <w:bookmarkStart w:id="166" w:name="_Toc153888447"/>
      <w:r>
        <w:rPr>
          <w:rStyle w:val="CharSectno"/>
        </w:rPr>
        <w:t>85K</w:t>
      </w:r>
      <w:r>
        <w:t>.</w:t>
      </w:r>
      <w:r>
        <w:tab/>
        <w:t>Protection as to publication and other provision of information</w:t>
      </w:r>
      <w:bookmarkEnd w:id="16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lastRenderedPageBreak/>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No. 1 of 2012 s. 5.]</w:t>
      </w:r>
    </w:p>
    <w:p>
      <w:pPr>
        <w:pStyle w:val="Heading3"/>
      </w:pPr>
      <w:bookmarkStart w:id="167" w:name="_Toc153547382"/>
      <w:bookmarkStart w:id="168" w:name="_Toc153547740"/>
      <w:bookmarkStart w:id="169" w:name="_Toc153888448"/>
      <w:r>
        <w:rPr>
          <w:rStyle w:val="CharDivNo"/>
        </w:rPr>
        <w:t>Division 3</w:t>
      </w:r>
      <w:r>
        <w:t> — </w:t>
      </w:r>
      <w:r>
        <w:rPr>
          <w:rStyle w:val="CharDivText"/>
        </w:rPr>
        <w:t>Offences</w:t>
      </w:r>
      <w:bookmarkEnd w:id="167"/>
      <w:bookmarkEnd w:id="168"/>
      <w:bookmarkEnd w:id="169"/>
    </w:p>
    <w:p>
      <w:pPr>
        <w:pStyle w:val="Footnoteheading"/>
      </w:pPr>
      <w:r>
        <w:tab/>
        <w:t>[Heading inserted: No. 1 of 2012 s. 5.]</w:t>
      </w:r>
    </w:p>
    <w:p>
      <w:pPr>
        <w:pStyle w:val="Heading5"/>
      </w:pPr>
      <w:bookmarkStart w:id="170" w:name="_Toc153888449"/>
      <w:r>
        <w:rPr>
          <w:rStyle w:val="CharSectno"/>
        </w:rPr>
        <w:t>85L</w:t>
      </w:r>
      <w:r>
        <w:t>.</w:t>
      </w:r>
      <w:r>
        <w:tab/>
        <w:t>Conduct intended to incite animosity towards or harassment of identified offenders</w:t>
      </w:r>
      <w:bookmarkEnd w:id="170"/>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lastRenderedPageBreak/>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No. 1 of 2012 s. 5.]</w:t>
      </w:r>
    </w:p>
    <w:p>
      <w:pPr>
        <w:pStyle w:val="Heading5"/>
      </w:pPr>
      <w:bookmarkStart w:id="171" w:name="_Toc153888450"/>
      <w:r>
        <w:rPr>
          <w:rStyle w:val="CharSectno"/>
        </w:rPr>
        <w:lastRenderedPageBreak/>
        <w:t>85M</w:t>
      </w:r>
      <w:r>
        <w:t>.</w:t>
      </w:r>
      <w:r>
        <w:tab/>
        <w:t>Publication, display and distribution of identifying information</w:t>
      </w:r>
      <w:bookmarkEnd w:id="171"/>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No. 1 of 2012 s. 5.]</w:t>
      </w:r>
    </w:p>
    <w:p>
      <w:pPr>
        <w:pStyle w:val="Heading2"/>
      </w:pPr>
      <w:bookmarkStart w:id="172" w:name="_Toc153547385"/>
      <w:bookmarkStart w:id="173" w:name="_Toc153547743"/>
      <w:bookmarkStart w:id="174" w:name="_Toc153888451"/>
      <w:r>
        <w:rPr>
          <w:rStyle w:val="CharPartNo"/>
        </w:rPr>
        <w:lastRenderedPageBreak/>
        <w:t>Part 5</w:t>
      </w:r>
      <w:r>
        <w:t> — </w:t>
      </w:r>
      <w:r>
        <w:rPr>
          <w:rStyle w:val="CharPartText"/>
        </w:rPr>
        <w:t>Protection orders</w:t>
      </w:r>
      <w:bookmarkEnd w:id="172"/>
      <w:bookmarkEnd w:id="173"/>
      <w:bookmarkEnd w:id="174"/>
    </w:p>
    <w:p>
      <w:pPr>
        <w:pStyle w:val="Footnoteheading"/>
      </w:pPr>
      <w:r>
        <w:tab/>
        <w:t>[Heading amended: No. 54 of 2012 s. 40.]</w:t>
      </w:r>
    </w:p>
    <w:p>
      <w:pPr>
        <w:pStyle w:val="Heading3"/>
      </w:pPr>
      <w:bookmarkStart w:id="175" w:name="_Toc153547386"/>
      <w:bookmarkStart w:id="176" w:name="_Toc153547744"/>
      <w:bookmarkStart w:id="177" w:name="_Toc153888452"/>
      <w:r>
        <w:rPr>
          <w:rStyle w:val="CharDivNo"/>
        </w:rPr>
        <w:t>Division 1</w:t>
      </w:r>
      <w:r>
        <w:t> — </w:t>
      </w:r>
      <w:r>
        <w:rPr>
          <w:rStyle w:val="CharDivText"/>
        </w:rPr>
        <w:t>Preliminary</w:t>
      </w:r>
      <w:bookmarkEnd w:id="175"/>
      <w:bookmarkEnd w:id="176"/>
      <w:bookmarkEnd w:id="177"/>
    </w:p>
    <w:p>
      <w:pPr>
        <w:pStyle w:val="Heading5"/>
      </w:pPr>
      <w:bookmarkStart w:id="178" w:name="_Toc153888453"/>
      <w:r>
        <w:rPr>
          <w:rStyle w:val="CharSectno"/>
        </w:rPr>
        <w:t>85</w:t>
      </w:r>
      <w:r>
        <w:t>.</w:t>
      </w:r>
      <w:r>
        <w:tab/>
        <w:t>Terms used</w:t>
      </w:r>
      <w:bookmarkEnd w:id="178"/>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lastRenderedPageBreak/>
        <w:tab/>
        <w:t>(b)</w:t>
      </w:r>
      <w:r>
        <w:tab/>
        <w:t>in the case of an application by a reportable offender for a child protection order to be varied or revoked — the Commissioner.</w:t>
      </w:r>
    </w:p>
    <w:p>
      <w:pPr>
        <w:pStyle w:val="Footnotesection"/>
        <w:spacing w:before="100"/>
      </w:pPr>
      <w:r>
        <w:tab/>
        <w:t>[Section 85 amended: No. 54 of 2012 s. 26 and 41.]</w:t>
      </w:r>
    </w:p>
    <w:p>
      <w:pPr>
        <w:pStyle w:val="Heading5"/>
      </w:pPr>
      <w:bookmarkStart w:id="179" w:name="_Toc153888454"/>
      <w:r>
        <w:rPr>
          <w:rStyle w:val="CharSectno"/>
        </w:rPr>
        <w:t>86</w:t>
      </w:r>
      <w:r>
        <w:t>.</w:t>
      </w:r>
      <w:r>
        <w:tab/>
        <w:t>Evidence</w:t>
      </w:r>
      <w:bookmarkEnd w:id="179"/>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No. 54 of 2012 s. 27.]</w:t>
      </w:r>
    </w:p>
    <w:p>
      <w:pPr>
        <w:pStyle w:val="Heading3"/>
      </w:pPr>
      <w:bookmarkStart w:id="180" w:name="_Toc153547389"/>
      <w:bookmarkStart w:id="181" w:name="_Toc153547747"/>
      <w:bookmarkStart w:id="182" w:name="_Toc153888455"/>
      <w:r>
        <w:rPr>
          <w:rStyle w:val="CharDivNo"/>
        </w:rPr>
        <w:lastRenderedPageBreak/>
        <w:t>Division 2</w:t>
      </w:r>
      <w:r>
        <w:t> — </w:t>
      </w:r>
      <w:r>
        <w:rPr>
          <w:rStyle w:val="CharDivText"/>
        </w:rPr>
        <w:t>Orders</w:t>
      </w:r>
      <w:bookmarkEnd w:id="180"/>
      <w:bookmarkEnd w:id="181"/>
      <w:bookmarkEnd w:id="182"/>
    </w:p>
    <w:p>
      <w:pPr>
        <w:pStyle w:val="Heading5"/>
      </w:pPr>
      <w:bookmarkStart w:id="183" w:name="_Toc153888456"/>
      <w:r>
        <w:rPr>
          <w:rStyle w:val="CharSectno"/>
        </w:rPr>
        <w:t>87</w:t>
      </w:r>
      <w:r>
        <w:t>.</w:t>
      </w:r>
      <w:r>
        <w:tab/>
        <w:t>Commissioner may apply for orders</w:t>
      </w:r>
      <w:bookmarkEnd w:id="183"/>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No. 54 of 2012 s. 28.]</w:t>
      </w:r>
    </w:p>
    <w:p>
      <w:pPr>
        <w:pStyle w:val="Heading5"/>
        <w:spacing w:before="260"/>
      </w:pPr>
      <w:bookmarkStart w:id="184" w:name="_Toc153888457"/>
      <w:r>
        <w:rPr>
          <w:rStyle w:val="CharSectno"/>
        </w:rPr>
        <w:t>88</w:t>
      </w:r>
      <w:r>
        <w:t>.</w:t>
      </w:r>
      <w:r>
        <w:tab/>
        <w:t>Fixing a hearing</w:t>
      </w:r>
      <w:bookmarkEnd w:id="184"/>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No. 54 of 2012 s. 42(2).]</w:t>
      </w:r>
    </w:p>
    <w:p>
      <w:pPr>
        <w:pStyle w:val="Heading5"/>
        <w:spacing w:before="260"/>
      </w:pPr>
      <w:bookmarkStart w:id="185" w:name="_Toc153888458"/>
      <w:r>
        <w:rPr>
          <w:rStyle w:val="CharSectno"/>
        </w:rPr>
        <w:t>89</w:t>
      </w:r>
      <w:r>
        <w:t>.</w:t>
      </w:r>
      <w:r>
        <w:tab/>
        <w:t>How application to be disposed of</w:t>
      </w:r>
      <w:bookmarkEnd w:id="185"/>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lastRenderedPageBreak/>
        <w:tab/>
        <w:t>(c)</w:t>
      </w:r>
      <w:r>
        <w:tab/>
        <w:t>at the request of the applicant — by discontinuing the application.</w:t>
      </w:r>
    </w:p>
    <w:p>
      <w:pPr>
        <w:pStyle w:val="Footnotesection"/>
      </w:pPr>
      <w:r>
        <w:tab/>
        <w:t>[Section 89 amended: No. 54 of 2012 s. 42(2).]</w:t>
      </w:r>
    </w:p>
    <w:p>
      <w:pPr>
        <w:pStyle w:val="Heading5"/>
      </w:pPr>
      <w:bookmarkStart w:id="186" w:name="_Toc153888459"/>
      <w:r>
        <w:rPr>
          <w:rStyle w:val="CharSectno"/>
        </w:rPr>
        <w:t>90</w:t>
      </w:r>
      <w:r>
        <w:t>.</w:t>
      </w:r>
      <w:r>
        <w:tab/>
        <w:t>Court may make child protection orders</w:t>
      </w:r>
      <w:bookmarkEnd w:id="186"/>
    </w:p>
    <w:p>
      <w:pPr>
        <w:pStyle w:val="Subsection"/>
        <w:keepNext/>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 xml:space="preserve">the effect of the order sought on the reportable offender in comparison with the level of the risk that a further </w:t>
      </w:r>
      <w:r>
        <w:lastRenderedPageBreak/>
        <w:t>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No. 54 of 2012 s. 29 and 42(2).]</w:t>
      </w:r>
    </w:p>
    <w:p>
      <w:pPr>
        <w:pStyle w:val="Heading5"/>
      </w:pPr>
      <w:bookmarkStart w:id="187" w:name="_Toc153888460"/>
      <w:r>
        <w:rPr>
          <w:rStyle w:val="CharSectno"/>
        </w:rPr>
        <w:t>91</w:t>
      </w:r>
      <w:r>
        <w:t>.</w:t>
      </w:r>
      <w:r>
        <w:tab/>
        <w:t>Term of child protection orders</w:t>
      </w:r>
      <w:bookmarkEnd w:id="187"/>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lastRenderedPageBreak/>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No. 54 of 2012 s. 30 and 42(3).]</w:t>
      </w:r>
    </w:p>
    <w:p>
      <w:pPr>
        <w:pStyle w:val="Heading5"/>
      </w:pPr>
      <w:bookmarkStart w:id="188" w:name="_Toc153888461"/>
      <w:r>
        <w:rPr>
          <w:rStyle w:val="CharSectno"/>
        </w:rPr>
        <w:t>92</w:t>
      </w:r>
      <w:r>
        <w:t>.</w:t>
      </w:r>
      <w:r>
        <w:tab/>
        <w:t>Interim child protection orders</w:t>
      </w:r>
      <w:bookmarkEnd w:id="188"/>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lastRenderedPageBreak/>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No. 54 of 2012 s. 31 and 42(2).]</w:t>
      </w:r>
    </w:p>
    <w:p>
      <w:pPr>
        <w:pStyle w:val="Heading5"/>
      </w:pPr>
      <w:bookmarkStart w:id="189" w:name="_Toc153888462"/>
      <w:r>
        <w:rPr>
          <w:rStyle w:val="CharSectno"/>
        </w:rPr>
        <w:t>93</w:t>
      </w:r>
      <w:r>
        <w:t>.</w:t>
      </w:r>
      <w:r>
        <w:tab/>
        <w:t>Conduct that may be subject of orders</w:t>
      </w:r>
      <w:bookmarkEnd w:id="189"/>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 xml:space="preserve">a person changing the place where he or she generally resides (as described in section 29A(1)) without first </w:t>
      </w:r>
      <w:r>
        <w:lastRenderedPageBreak/>
        <w:t>having obtained the permission of the Commissioner to do so;</w:t>
      </w:r>
    </w:p>
    <w:p>
      <w:pPr>
        <w:pStyle w:val="Indenta"/>
      </w:pPr>
      <w:r>
        <w:tab/>
        <w:t>(cc)</w:t>
      </w:r>
      <w:r>
        <w:tab/>
        <w:t>travelling out of Australia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No. 54 of 2012 s. 32 and 42(2).]</w:t>
      </w:r>
    </w:p>
    <w:p>
      <w:pPr>
        <w:pStyle w:val="Heading5"/>
      </w:pPr>
      <w:bookmarkStart w:id="190" w:name="_Toc153888463"/>
      <w:r>
        <w:rPr>
          <w:rStyle w:val="CharSectno"/>
        </w:rPr>
        <w:lastRenderedPageBreak/>
        <w:t>94A</w:t>
      </w:r>
      <w:r>
        <w:t>.</w:t>
      </w:r>
      <w:r>
        <w:tab/>
        <w:t>Reportable offenders may be required to undergo assessment and treatment</w:t>
      </w:r>
      <w:bookmarkEnd w:id="190"/>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lastRenderedPageBreak/>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No. 54 of 2012 s. 33.]</w:t>
      </w:r>
    </w:p>
    <w:p>
      <w:pPr>
        <w:pStyle w:val="Heading5"/>
      </w:pPr>
      <w:bookmarkStart w:id="191" w:name="_Toc153888464"/>
      <w:r>
        <w:rPr>
          <w:rStyle w:val="CharSectno"/>
        </w:rPr>
        <w:t>94B</w:t>
      </w:r>
      <w:r>
        <w:t>.</w:t>
      </w:r>
      <w:r>
        <w:tab/>
        <w:t>Reportable offenders may be required to submit to tests or give samples for analysis</w:t>
      </w:r>
      <w:bookmarkEnd w:id="191"/>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lastRenderedPageBreak/>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lastRenderedPageBreak/>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No. 54 of 2012 s. 33.]</w:t>
      </w:r>
    </w:p>
    <w:p>
      <w:pPr>
        <w:pStyle w:val="Heading5"/>
      </w:pPr>
      <w:bookmarkStart w:id="192" w:name="_Toc153888465"/>
      <w:r>
        <w:rPr>
          <w:rStyle w:val="CharSectno"/>
        </w:rPr>
        <w:t>94C</w:t>
      </w:r>
      <w:r>
        <w:t>.</w:t>
      </w:r>
      <w:r>
        <w:tab/>
        <w:t>Authorised police officers may enter premises to inspect computers</w:t>
      </w:r>
      <w:bookmarkEnd w:id="192"/>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lastRenderedPageBreak/>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 xml:space="preserve">Unless the exercise of the power is authorised by a senior police officer, a power under subsection (2) or (3) must not be </w:t>
      </w:r>
      <w:r>
        <w:lastRenderedPageBreak/>
        <w:t>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No. 54 of 2012 s. 33.]</w:t>
      </w:r>
    </w:p>
    <w:p>
      <w:pPr>
        <w:pStyle w:val="Heading5"/>
        <w:spacing w:before="200"/>
      </w:pPr>
      <w:bookmarkStart w:id="193" w:name="_Toc153888466"/>
      <w:r>
        <w:rPr>
          <w:rStyle w:val="CharSectno"/>
        </w:rPr>
        <w:t>94</w:t>
      </w:r>
      <w:r>
        <w:t>.</w:t>
      </w:r>
      <w:r>
        <w:tab/>
        <w:t>Explanation of orders</w:t>
      </w:r>
      <w:bookmarkEnd w:id="193"/>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No. 54 of 2012 s. 42(2).]</w:t>
      </w:r>
    </w:p>
    <w:p>
      <w:pPr>
        <w:pStyle w:val="Heading5"/>
      </w:pPr>
      <w:bookmarkStart w:id="194" w:name="_Toc153888467"/>
      <w:r>
        <w:rPr>
          <w:rStyle w:val="CharSectno"/>
        </w:rPr>
        <w:t>95</w:t>
      </w:r>
      <w:r>
        <w:t>.</w:t>
      </w:r>
      <w:r>
        <w:tab/>
        <w:t>Consent orders</w:t>
      </w:r>
      <w:bookmarkEnd w:id="194"/>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lastRenderedPageBreak/>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No. 54 of 2012 s. 42(2) and (3).]</w:t>
      </w:r>
    </w:p>
    <w:p>
      <w:pPr>
        <w:pStyle w:val="Heading3"/>
        <w:spacing w:before="200"/>
      </w:pPr>
      <w:bookmarkStart w:id="195" w:name="_Toc153547402"/>
      <w:bookmarkStart w:id="196" w:name="_Toc153547760"/>
      <w:bookmarkStart w:id="197" w:name="_Toc153888468"/>
      <w:r>
        <w:rPr>
          <w:rStyle w:val="CharDivNo"/>
        </w:rPr>
        <w:t>Division 3</w:t>
      </w:r>
      <w:r>
        <w:t> — </w:t>
      </w:r>
      <w:r>
        <w:rPr>
          <w:rStyle w:val="CharDivText"/>
        </w:rPr>
        <w:t>Variation or revocation</w:t>
      </w:r>
      <w:bookmarkEnd w:id="195"/>
      <w:bookmarkEnd w:id="196"/>
      <w:bookmarkEnd w:id="197"/>
    </w:p>
    <w:p>
      <w:pPr>
        <w:pStyle w:val="Heading5"/>
      </w:pPr>
      <w:bookmarkStart w:id="198" w:name="_Toc153888469"/>
      <w:r>
        <w:rPr>
          <w:rStyle w:val="CharSectno"/>
        </w:rPr>
        <w:t>96</w:t>
      </w:r>
      <w:r>
        <w:t>.</w:t>
      </w:r>
      <w:r>
        <w:tab/>
        <w:t>Variation or revocation of child protection orders</w:t>
      </w:r>
      <w:bookmarkEnd w:id="198"/>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No. 54 of 2012 s. 42(3).]</w:t>
      </w:r>
    </w:p>
    <w:p>
      <w:pPr>
        <w:pStyle w:val="Heading5"/>
      </w:pPr>
      <w:bookmarkStart w:id="199" w:name="_Toc153888470"/>
      <w:r>
        <w:rPr>
          <w:rStyle w:val="CharSectno"/>
        </w:rPr>
        <w:lastRenderedPageBreak/>
        <w:t>97</w:t>
      </w:r>
      <w:r>
        <w:t>.</w:t>
      </w:r>
      <w:r>
        <w:tab/>
        <w:t>Fixing a hearing</w:t>
      </w:r>
      <w:bookmarkEnd w:id="199"/>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No. 54 of 2012 s. 42(3).]</w:t>
      </w:r>
    </w:p>
    <w:p>
      <w:pPr>
        <w:pStyle w:val="Heading5"/>
        <w:rPr>
          <w:rFonts w:eastAsia="Arial Unicode MS"/>
        </w:rPr>
      </w:pPr>
      <w:bookmarkStart w:id="200" w:name="_Toc153888471"/>
      <w:r>
        <w:rPr>
          <w:rStyle w:val="CharSectno"/>
        </w:rPr>
        <w:t>98</w:t>
      </w:r>
      <w:r>
        <w:t>.</w:t>
      </w:r>
      <w:r>
        <w:tab/>
        <w:t>How application to be disposed of</w:t>
      </w:r>
      <w:bookmarkEnd w:id="200"/>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No. 54 of 2012 s. 42(3).]</w:t>
      </w:r>
    </w:p>
    <w:p>
      <w:pPr>
        <w:pStyle w:val="Heading3"/>
      </w:pPr>
      <w:bookmarkStart w:id="201" w:name="_Toc153547406"/>
      <w:bookmarkStart w:id="202" w:name="_Toc153547764"/>
      <w:bookmarkStart w:id="203" w:name="_Toc153888472"/>
      <w:r>
        <w:rPr>
          <w:rStyle w:val="CharDivNo"/>
        </w:rPr>
        <w:lastRenderedPageBreak/>
        <w:t>Division 4</w:t>
      </w:r>
      <w:r>
        <w:t> — </w:t>
      </w:r>
      <w:r>
        <w:rPr>
          <w:rStyle w:val="CharDivText"/>
        </w:rPr>
        <w:t>Attendance at hearings</w:t>
      </w:r>
      <w:bookmarkEnd w:id="201"/>
      <w:bookmarkEnd w:id="202"/>
      <w:bookmarkEnd w:id="203"/>
    </w:p>
    <w:p>
      <w:pPr>
        <w:pStyle w:val="Heading5"/>
      </w:pPr>
      <w:bookmarkStart w:id="204" w:name="_Toc153888473"/>
      <w:r>
        <w:rPr>
          <w:rStyle w:val="CharSectno"/>
        </w:rPr>
        <w:t>99</w:t>
      </w:r>
      <w:r>
        <w:t>.</w:t>
      </w:r>
      <w:r>
        <w:tab/>
        <w:t>Attendance at hearings</w:t>
      </w:r>
      <w:bookmarkEnd w:id="204"/>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05" w:name="_Toc153888474"/>
      <w:r>
        <w:rPr>
          <w:rStyle w:val="CharSectno"/>
        </w:rPr>
        <w:t>100</w:t>
      </w:r>
      <w:r>
        <w:t>.</w:t>
      </w:r>
      <w:r>
        <w:tab/>
        <w:t>Notification of orders made in absence of respondent</w:t>
      </w:r>
      <w:bookmarkEnd w:id="205"/>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No. 54 of 2012 s. 42(2).]</w:t>
      </w:r>
    </w:p>
    <w:p>
      <w:pPr>
        <w:pStyle w:val="Heading3"/>
        <w:keepLines/>
      </w:pPr>
      <w:bookmarkStart w:id="206" w:name="_Toc153547409"/>
      <w:bookmarkStart w:id="207" w:name="_Toc153547767"/>
      <w:bookmarkStart w:id="208" w:name="_Toc153888475"/>
      <w:r>
        <w:rPr>
          <w:rStyle w:val="CharDivNo"/>
        </w:rPr>
        <w:t>Division 5</w:t>
      </w:r>
      <w:r>
        <w:t> — </w:t>
      </w:r>
      <w:r>
        <w:rPr>
          <w:rStyle w:val="CharDivText"/>
        </w:rPr>
        <w:t>Offence</w:t>
      </w:r>
      <w:bookmarkEnd w:id="206"/>
      <w:bookmarkEnd w:id="207"/>
      <w:bookmarkEnd w:id="208"/>
    </w:p>
    <w:p>
      <w:pPr>
        <w:pStyle w:val="Heading5"/>
      </w:pPr>
      <w:bookmarkStart w:id="209" w:name="_Toc153888476"/>
      <w:r>
        <w:rPr>
          <w:rStyle w:val="CharSectno"/>
        </w:rPr>
        <w:t>101</w:t>
      </w:r>
      <w:r>
        <w:t>.</w:t>
      </w:r>
      <w:r>
        <w:tab/>
        <w:t>Failure to comply with orders</w:t>
      </w:r>
      <w:bookmarkEnd w:id="20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lastRenderedPageBreak/>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No. 54 of 2012 s. 34 and 42(2).]</w:t>
      </w:r>
    </w:p>
    <w:p>
      <w:pPr>
        <w:pStyle w:val="Heading3"/>
      </w:pPr>
      <w:bookmarkStart w:id="210" w:name="_Toc153547411"/>
      <w:bookmarkStart w:id="211" w:name="_Toc153547769"/>
      <w:bookmarkStart w:id="212" w:name="_Toc153888477"/>
      <w:r>
        <w:rPr>
          <w:rStyle w:val="CharDivNo"/>
        </w:rPr>
        <w:t>Division 6</w:t>
      </w:r>
      <w:r>
        <w:t> — </w:t>
      </w:r>
      <w:r>
        <w:rPr>
          <w:rStyle w:val="CharDivText"/>
        </w:rPr>
        <w:t>Appeals</w:t>
      </w:r>
      <w:bookmarkEnd w:id="210"/>
      <w:bookmarkEnd w:id="211"/>
      <w:bookmarkEnd w:id="212"/>
    </w:p>
    <w:p>
      <w:pPr>
        <w:pStyle w:val="Heading5"/>
      </w:pPr>
      <w:bookmarkStart w:id="213" w:name="_Toc153888478"/>
      <w:r>
        <w:rPr>
          <w:rStyle w:val="CharSectno"/>
        </w:rPr>
        <w:t>102</w:t>
      </w:r>
      <w:r>
        <w:t>.</w:t>
      </w:r>
      <w:r>
        <w:tab/>
        <w:t>Appeals</w:t>
      </w:r>
      <w:bookmarkEnd w:id="213"/>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lastRenderedPageBreak/>
        <w:tab/>
        <w:t>[Section 102 amended: No. 5 of 2008 s. 127(3); No. 54 of 2012 s. 42(2).]</w:t>
      </w:r>
    </w:p>
    <w:p>
      <w:pPr>
        <w:pStyle w:val="Heading5"/>
      </w:pPr>
      <w:bookmarkStart w:id="214" w:name="_Toc153888479"/>
      <w:r>
        <w:rPr>
          <w:rStyle w:val="CharSectno"/>
        </w:rPr>
        <w:t>103</w:t>
      </w:r>
      <w:r>
        <w:t>.</w:t>
      </w:r>
      <w:r>
        <w:tab/>
        <w:t>Appeal does not stay order</w:t>
      </w:r>
      <w:bookmarkEnd w:id="214"/>
    </w:p>
    <w:p>
      <w:pPr>
        <w:pStyle w:val="Subsection"/>
      </w:pPr>
      <w:r>
        <w:tab/>
      </w:r>
      <w:r>
        <w:tab/>
        <w:t>An appeal against an order made under this Part does not operate to stay the operation of the order unless the court to which the appeal is made so orders.</w:t>
      </w:r>
    </w:p>
    <w:p>
      <w:pPr>
        <w:pStyle w:val="Heading3"/>
      </w:pPr>
      <w:bookmarkStart w:id="215" w:name="_Toc153547414"/>
      <w:bookmarkStart w:id="216" w:name="_Toc153547772"/>
      <w:bookmarkStart w:id="217" w:name="_Toc153888480"/>
      <w:r>
        <w:rPr>
          <w:rStyle w:val="CharDivNo"/>
        </w:rPr>
        <w:t>Division 7</w:t>
      </w:r>
      <w:r>
        <w:t> — </w:t>
      </w:r>
      <w:r>
        <w:rPr>
          <w:rStyle w:val="CharDivText"/>
        </w:rPr>
        <w:t>Miscellaneous</w:t>
      </w:r>
      <w:bookmarkEnd w:id="215"/>
      <w:bookmarkEnd w:id="216"/>
      <w:bookmarkEnd w:id="217"/>
    </w:p>
    <w:p>
      <w:pPr>
        <w:pStyle w:val="Heading5"/>
      </w:pPr>
      <w:bookmarkStart w:id="218" w:name="_Toc153888481"/>
      <w:r>
        <w:rPr>
          <w:rStyle w:val="CharSectno"/>
        </w:rPr>
        <w:t>104</w:t>
      </w:r>
      <w:r>
        <w:t>.</w:t>
      </w:r>
      <w:r>
        <w:tab/>
        <w:t>Applications not to be heard in public</w:t>
      </w:r>
      <w:bookmarkEnd w:id="218"/>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No. 54 of 2012 s. 35.]</w:t>
      </w:r>
    </w:p>
    <w:p>
      <w:pPr>
        <w:pStyle w:val="Heading5"/>
      </w:pPr>
      <w:bookmarkStart w:id="219" w:name="_Toc153888482"/>
      <w:r>
        <w:rPr>
          <w:rStyle w:val="CharSectno"/>
        </w:rPr>
        <w:t>106</w:t>
      </w:r>
      <w:r>
        <w:t>.</w:t>
      </w:r>
      <w:r>
        <w:tab/>
        <w:t>Restriction on publication of identity of reportable offenders and victims</w:t>
      </w:r>
      <w:bookmarkEnd w:id="219"/>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lastRenderedPageBreak/>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No. 54 of 2012 s. 42(2).]</w:t>
      </w:r>
    </w:p>
    <w:p>
      <w:pPr>
        <w:pStyle w:val="Heading5"/>
      </w:pPr>
      <w:bookmarkStart w:id="220" w:name="_Toc153888483"/>
      <w:r>
        <w:rPr>
          <w:rStyle w:val="CharSectno"/>
        </w:rPr>
        <w:t>107</w:t>
      </w:r>
      <w:r>
        <w:t>.</w:t>
      </w:r>
      <w:r>
        <w:tab/>
        <w:t>Protection orders have no effect to extent of inconsistency with certain other orders</w:t>
      </w:r>
      <w:bookmarkEnd w:id="220"/>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tab/>
      </w:r>
      <w:r>
        <w:rPr>
          <w:rStyle w:val="CharDefText"/>
        </w:rPr>
        <w:t>restraining order</w:t>
      </w:r>
      <w:r>
        <w:t xml:space="preserve"> means — </w:t>
      </w:r>
    </w:p>
    <w:p>
      <w:pPr>
        <w:pStyle w:val="Defpara"/>
      </w:pPr>
      <w:r>
        <w:lastRenderedPageBreak/>
        <w:tab/>
        <w:t>(a)</w:t>
      </w:r>
      <w:r>
        <w:tab/>
        <w:t xml:space="preserve">a restraining order as defined in the </w:t>
      </w:r>
      <w:r>
        <w:rPr>
          <w:i/>
        </w:rPr>
        <w:t>Restraining Orders Act 1997</w:t>
      </w:r>
      <w:r>
        <w:t xml:space="preserve"> section 3(1); or</w:t>
      </w:r>
    </w:p>
    <w:p>
      <w:pPr>
        <w:pStyle w:val="Defpara"/>
      </w:pPr>
      <w:r>
        <w:tab/>
        <w:t>(b)</w:t>
      </w:r>
      <w:r>
        <w:tab/>
        <w:t xml:space="preserve">a police order as defined in the </w:t>
      </w:r>
      <w:r>
        <w:rPr>
          <w:i/>
        </w:rPr>
        <w:t>Restraining Orders Act 1997</w:t>
      </w:r>
      <w:r>
        <w:t xml:space="preserve"> section 3(1).</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No. 54 of 2012 s. 42(2); No. 49 of 2016 s. 96.]</w:t>
      </w:r>
    </w:p>
    <w:p>
      <w:pPr>
        <w:pStyle w:val="Heading5"/>
      </w:pPr>
      <w:bookmarkStart w:id="221" w:name="_Toc153888484"/>
      <w:r>
        <w:rPr>
          <w:rStyle w:val="CharSectno"/>
        </w:rPr>
        <w:t>108</w:t>
      </w:r>
      <w:r>
        <w:t>.</w:t>
      </w:r>
      <w:r>
        <w:tab/>
        <w:t>Recognition of protection orders made in other jurisdictions</w:t>
      </w:r>
      <w:bookmarkEnd w:id="221"/>
    </w:p>
    <w:p>
      <w:pPr>
        <w:pStyle w:val="Subsection"/>
      </w:pPr>
      <w:r>
        <w:tab/>
        <w:t>(1)</w:t>
      </w:r>
      <w:r>
        <w:tab/>
        <w:t>The regulations may provide for the recognition in Western Australia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protection orders;</w:t>
      </w:r>
    </w:p>
    <w:p>
      <w:pPr>
        <w:pStyle w:val="Indenta"/>
      </w:pPr>
      <w:r>
        <w:tab/>
        <w:t>(b)</w:t>
      </w:r>
      <w:r>
        <w:tab/>
        <w:t>the conferral on courts of jurisdiction with respect to the recognition in Western Australia of corresponding protection orders;</w:t>
      </w:r>
    </w:p>
    <w:p>
      <w:pPr>
        <w:pStyle w:val="Indenta"/>
      </w:pPr>
      <w:r>
        <w:tab/>
        <w:t>(c)</w:t>
      </w:r>
      <w:r>
        <w:tab/>
        <w:t>the modification of corresponding protection orders for the purposes of their recognition in Western Australia;</w:t>
      </w:r>
    </w:p>
    <w:p>
      <w:pPr>
        <w:pStyle w:val="Indenta"/>
      </w:pPr>
      <w:r>
        <w:tab/>
        <w:t>(d)</w:t>
      </w:r>
      <w:r>
        <w:tab/>
        <w:t>the effect of the recognition in Western Australia of corresponding protection orders;</w:t>
      </w:r>
    </w:p>
    <w:p>
      <w:pPr>
        <w:pStyle w:val="Indenta"/>
      </w:pPr>
      <w:r>
        <w:lastRenderedPageBreak/>
        <w:tab/>
        <w:t>(e)</w:t>
      </w:r>
      <w:r>
        <w:tab/>
        <w:t>the conferral on courts of jurisdiction with respect to the variation or revocation of corresponding protection orders.</w:t>
      </w:r>
    </w:p>
    <w:p>
      <w:pPr>
        <w:pStyle w:val="Footnotesection"/>
      </w:pPr>
      <w:r>
        <w:tab/>
        <w:t>[Section 108 amended: No. 54 of 2012 s. 42(1).]</w:t>
      </w:r>
    </w:p>
    <w:p>
      <w:pPr>
        <w:pStyle w:val="Heading2"/>
      </w:pPr>
      <w:bookmarkStart w:id="222" w:name="_Toc153547419"/>
      <w:bookmarkStart w:id="223" w:name="_Toc153547777"/>
      <w:bookmarkStart w:id="224" w:name="_Toc153888485"/>
      <w:r>
        <w:rPr>
          <w:rStyle w:val="CharPartNo"/>
        </w:rPr>
        <w:lastRenderedPageBreak/>
        <w:t>Part 6</w:t>
      </w:r>
      <w:r>
        <w:rPr>
          <w:rStyle w:val="CharDivNo"/>
        </w:rPr>
        <w:t> </w:t>
      </w:r>
      <w:r>
        <w:t>—</w:t>
      </w:r>
      <w:r>
        <w:rPr>
          <w:rStyle w:val="CharDivText"/>
        </w:rPr>
        <w:t> </w:t>
      </w:r>
      <w:r>
        <w:rPr>
          <w:rStyle w:val="CharPartText"/>
        </w:rPr>
        <w:t>Other matters</w:t>
      </w:r>
      <w:bookmarkEnd w:id="222"/>
      <w:bookmarkEnd w:id="223"/>
      <w:bookmarkEnd w:id="224"/>
    </w:p>
    <w:p>
      <w:pPr>
        <w:pStyle w:val="Heading5"/>
        <w:spacing w:before="260"/>
      </w:pPr>
      <w:bookmarkStart w:id="225" w:name="_Toc153888486"/>
      <w:r>
        <w:rPr>
          <w:rStyle w:val="CharSectno"/>
        </w:rPr>
        <w:t>109</w:t>
      </w:r>
      <w:r>
        <w:t>.</w:t>
      </w:r>
      <w:r>
        <w:tab/>
        <w:t>Protection from liability</w:t>
      </w:r>
      <w:bookmarkEnd w:id="22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226" w:name="_Toc153888487"/>
      <w:r>
        <w:rPr>
          <w:rStyle w:val="CharSectno"/>
        </w:rPr>
        <w:t>110A</w:t>
      </w:r>
      <w:r>
        <w:t>.</w:t>
      </w:r>
      <w:r>
        <w:tab/>
        <w:t>Public authorities to provide Commissioner with certain information</w:t>
      </w:r>
      <w:bookmarkEnd w:id="22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keepNext/>
        <w:spacing w:before="200"/>
      </w:pPr>
      <w:r>
        <w:rPr>
          <w:color w:val="000000"/>
        </w:rPr>
        <w:tab/>
        <w:t>(2)</w:t>
      </w:r>
      <w:r>
        <w:rPr>
          <w:color w:val="000000"/>
        </w:rPr>
        <w:tab/>
        <w:t xml:space="preserve">The Commissioner may, by notice in writing, direct any public authority to provide to the Commissioner, on or before a day </w:t>
      </w:r>
      <w:r>
        <w:rPr>
          <w:color w:val="000000"/>
        </w:rPr>
        <w:lastRenderedPageBreak/>
        <w:t xml:space="preserve">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No. 54 of 2012 s. 36.]</w:t>
      </w:r>
    </w:p>
    <w:p>
      <w:pPr>
        <w:pStyle w:val="Heading5"/>
      </w:pPr>
      <w:bookmarkStart w:id="227" w:name="_Toc153888488"/>
      <w:r>
        <w:rPr>
          <w:rStyle w:val="CharSectno"/>
        </w:rPr>
        <w:t>110</w:t>
      </w:r>
      <w:r>
        <w:t>.</w:t>
      </w:r>
      <w:r>
        <w:tab/>
        <w:t>Delegation by Commissioner</w:t>
      </w:r>
      <w:bookmarkEnd w:id="22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lastRenderedPageBreak/>
        <w:tab/>
        <w:t>(5)</w:t>
      </w:r>
      <w:r>
        <w:tab/>
        <w:t>Nothing in this section limits the ability of the Commissioner to perform a function through an officer or agent.</w:t>
      </w:r>
    </w:p>
    <w:p>
      <w:pPr>
        <w:pStyle w:val="Heading5"/>
      </w:pPr>
      <w:bookmarkStart w:id="228" w:name="_Toc153888489"/>
      <w:r>
        <w:rPr>
          <w:rStyle w:val="CharSectno"/>
        </w:rPr>
        <w:t>111</w:t>
      </w:r>
      <w:r>
        <w:t>.</w:t>
      </w:r>
      <w:r>
        <w:tab/>
        <w:t>Effect of spent convictions</w:t>
      </w:r>
      <w:bookmarkEnd w:id="22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No. 54 of 2012 s. 42(2).]</w:t>
      </w:r>
    </w:p>
    <w:p>
      <w:pPr>
        <w:pStyle w:val="Heading5"/>
      </w:pPr>
      <w:bookmarkStart w:id="229" w:name="_Toc153888490"/>
      <w:r>
        <w:rPr>
          <w:rStyle w:val="CharSectno"/>
        </w:rPr>
        <w:t>112</w:t>
      </w:r>
      <w:r>
        <w:t>.</w:t>
      </w:r>
      <w:r>
        <w:tab/>
        <w:t>Civil standard of proof</w:t>
      </w:r>
      <w:bookmarkEnd w:id="22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30" w:name="_Toc153888491"/>
      <w:r>
        <w:rPr>
          <w:rStyle w:val="CharSectno"/>
        </w:rPr>
        <w:t>113</w:t>
      </w:r>
      <w:r>
        <w:t>.</w:t>
      </w:r>
      <w:r>
        <w:tab/>
        <w:t>Certificate concerning evidence</w:t>
      </w:r>
      <w:bookmarkEnd w:id="23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lastRenderedPageBreak/>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31" w:name="_Toc153888492"/>
      <w:r>
        <w:rPr>
          <w:rStyle w:val="CharSectno"/>
        </w:rPr>
        <w:t>114</w:t>
      </w:r>
      <w:r>
        <w:t>.</w:t>
      </w:r>
      <w:r>
        <w:tab/>
        <w:t>Regulations</w:t>
      </w:r>
      <w:bookmarkEnd w:id="23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lastRenderedPageBreak/>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lastRenderedPageBreak/>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lastRenderedPageBreak/>
        <w:tab/>
        <w:t>(3)</w:t>
      </w:r>
      <w:r>
        <w:tab/>
        <w:t>The regulations may provide that a contravention of a regulation is an offence and prescribe, for an offence against the regulations, a penalty not exceeding a fine of $6 000.</w:t>
      </w:r>
    </w:p>
    <w:p>
      <w:pPr>
        <w:pStyle w:val="Heading5"/>
      </w:pPr>
      <w:bookmarkStart w:id="232" w:name="_Toc153888493"/>
      <w:r>
        <w:rPr>
          <w:rStyle w:val="CharSectno"/>
        </w:rPr>
        <w:t>115</w:t>
      </w:r>
      <w:r>
        <w:t>.</w:t>
      </w:r>
      <w:r>
        <w:tab/>
        <w:t>Minister to review and report on Act</w:t>
      </w:r>
      <w:bookmarkEnd w:id="23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No. 1 of 2012 s. 6.]</w:t>
      </w:r>
    </w:p>
    <w:p>
      <w:pPr>
        <w:pStyle w:val="Heading5"/>
      </w:pPr>
      <w:bookmarkStart w:id="233" w:name="_Toc153888494"/>
      <w:r>
        <w:rPr>
          <w:rStyle w:val="CharSectno"/>
        </w:rPr>
        <w:t>115A</w:t>
      </w:r>
      <w:r>
        <w:t>.</w:t>
      </w:r>
      <w:r>
        <w:tab/>
        <w:t>Transitional arrangements for certain offenders</w:t>
      </w:r>
      <w:bookmarkEnd w:id="23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lastRenderedPageBreak/>
        <w:tab/>
        <w:t>(3)</w:t>
      </w:r>
      <w:r>
        <w:tab/>
        <w:t>Nothing in this section limits the operation of this Act in respect of a person who is sentenced for a relevant offence on or after the relevant day.</w:t>
      </w:r>
    </w:p>
    <w:p>
      <w:pPr>
        <w:pStyle w:val="Footnotesection"/>
      </w:pPr>
      <w:r>
        <w:tab/>
        <w:t>[Section 115A inserted: No. 27 of 2008 s. 10.]</w:t>
      </w:r>
    </w:p>
    <w:p>
      <w:pPr>
        <w:pStyle w:val="Heading5"/>
      </w:pPr>
      <w:bookmarkStart w:id="234" w:name="_Toc153888495"/>
      <w:r>
        <w:rPr>
          <w:rStyle w:val="CharSectno"/>
        </w:rPr>
        <w:t>115B</w:t>
      </w:r>
      <w:r>
        <w:t>.</w:t>
      </w:r>
      <w:r>
        <w:tab/>
        <w:t>Further transitional arrangements for certain offenders sentenced for Class 2 offences</w:t>
      </w:r>
      <w:bookmarkEnd w:id="23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 xml:space="preserve">section 38 came into operation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lastRenderedPageBreak/>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No. 54 of 2012 s. 37.]</w:t>
      </w:r>
    </w:p>
    <w:p>
      <w:pPr>
        <w:pStyle w:val="Ednotesection"/>
      </w:pPr>
      <w:r>
        <w:t>[</w:t>
      </w:r>
      <w:r>
        <w:rPr>
          <w:b/>
          <w:bCs/>
        </w:rPr>
        <w:t>116.</w:t>
      </w:r>
      <w:r>
        <w:t xml:space="preserve"> </w:t>
      </w:r>
      <w:r>
        <w:tab/>
        <w:t>Omitted under the Reprints Act 1984 s. 7(4)(e).]</w:t>
      </w:r>
    </w:p>
    <w:p>
      <w:pPr>
        <w:pStyle w:val="Ednotesection"/>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5" w:name="_Toc153547430"/>
      <w:bookmarkStart w:id="236" w:name="_Toc153547788"/>
      <w:bookmarkStart w:id="237" w:name="_Toc153888496"/>
      <w:r>
        <w:rPr>
          <w:rStyle w:val="CharSchNo"/>
        </w:rPr>
        <w:lastRenderedPageBreak/>
        <w:t>Schedule 1</w:t>
      </w:r>
      <w:r>
        <w:t xml:space="preserve"> — </w:t>
      </w:r>
      <w:r>
        <w:rPr>
          <w:rStyle w:val="CharSchText"/>
        </w:rPr>
        <w:t>Class 1 offences</w:t>
      </w:r>
      <w:bookmarkEnd w:id="235"/>
      <w:bookmarkEnd w:id="236"/>
      <w:bookmarkEnd w:id="23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lastRenderedPageBreak/>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No. 2 of 2008 s. 58; No. 27 of 2008 s. 11; No. 29 of 2008 s. 25(2) and (3).]</w:t>
      </w:r>
    </w:p>
    <w:p>
      <w:pPr>
        <w:pStyle w:val="yScheduleHeading"/>
      </w:pPr>
      <w:bookmarkStart w:id="238" w:name="_Toc153547431"/>
      <w:bookmarkStart w:id="239" w:name="_Toc153547789"/>
      <w:bookmarkStart w:id="240" w:name="_Toc153888497"/>
      <w:r>
        <w:rPr>
          <w:rStyle w:val="CharSchNo"/>
        </w:rPr>
        <w:lastRenderedPageBreak/>
        <w:t>Schedule 2</w:t>
      </w:r>
      <w:r>
        <w:t> — </w:t>
      </w:r>
      <w:r>
        <w:rPr>
          <w:rStyle w:val="CharSchText"/>
        </w:rPr>
        <w:t>Class 2 offences</w:t>
      </w:r>
      <w:bookmarkEnd w:id="238"/>
      <w:bookmarkEnd w:id="239"/>
      <w:bookmarkEnd w:id="240"/>
    </w:p>
    <w:p>
      <w:pPr>
        <w:pStyle w:val="yShoulderClause"/>
        <w:spacing w:before="80" w:after="60"/>
      </w:pPr>
      <w:r>
        <w:t>[s. 11]</w:t>
      </w:r>
    </w:p>
    <w:tbl>
      <w:tblPr>
        <w:tblW w:w="7080" w:type="dxa"/>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lastRenderedPageBreak/>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Criminal Law (Unlawful Consorting and Prohibited Insignia) Act 2021</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rPr>
                <w:i/>
              </w:rPr>
            </w:pPr>
            <w:r>
              <w:t>s. 17(1)</w:t>
            </w:r>
          </w:p>
        </w:tc>
        <w:tc>
          <w:tcPr>
            <w:tcW w:w="4245" w:type="dxa"/>
          </w:tcPr>
          <w:p>
            <w:pPr>
              <w:pStyle w:val="yTableNAm"/>
            </w:pPr>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keepNext/>
              <w:rPr>
                <w:i/>
              </w:rPr>
            </w:pPr>
            <w:r>
              <w:rPr>
                <w:i/>
              </w:rPr>
              <w:lastRenderedPageBreak/>
              <w:t>Classification (Publications, Films and Computer Games) Enforcement Act 1996</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keepNext/>
            </w:pPr>
            <w:r>
              <w:t>the deleted s. 60</w:t>
            </w:r>
          </w:p>
        </w:tc>
        <w:tc>
          <w:tcPr>
            <w:tcW w:w="4245" w:type="dxa"/>
          </w:tcPr>
          <w:p>
            <w:pPr>
              <w:pStyle w:val="yTableNAm"/>
              <w:keepNext/>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No. 27 of 2008 s. 12; No. 21 of 2010 s. 13; No. 54 of 2012 s. 38; No. 25 of 2021 s. 64.]</w:t>
      </w:r>
    </w:p>
    <w:p>
      <w:pPr>
        <w:pStyle w:val="yEdnotesection"/>
      </w:pPr>
      <w:r>
        <w:t>[Schedule 3 has not come into operation</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42" w:name="_Toc153547432"/>
      <w:bookmarkStart w:id="243" w:name="_Toc153547790"/>
      <w:bookmarkStart w:id="244" w:name="_Toc153888498"/>
      <w:r>
        <w:lastRenderedPageBreak/>
        <w:t>Notes</w:t>
      </w:r>
      <w:bookmarkEnd w:id="242"/>
      <w:bookmarkEnd w:id="243"/>
      <w:bookmarkEnd w:id="244"/>
    </w:p>
    <w:p>
      <w:pPr>
        <w:pStyle w:val="nStatement"/>
      </w:pPr>
      <w:r>
        <w:t xml:space="preserve">This is a compilation of the </w:t>
      </w:r>
      <w:r>
        <w:rPr>
          <w:i/>
          <w:noProof/>
        </w:rPr>
        <w:t>Community Protection (Offender Reporting) Act 2004</w:t>
      </w:r>
      <w:r>
        <w:t xml:space="preserve"> and includes amendments made by other written laws</w:t>
      </w:r>
      <w:r>
        <w:rPr>
          <w:i/>
          <w:noProof/>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45" w:name="_Toc153888499"/>
      <w:r>
        <w:t>Compilation table</w:t>
      </w:r>
      <w:bookmarkEnd w:id="24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noProof/>
                <w:snapToGrid w:val="0"/>
              </w:rPr>
              <w:t>Community Protection (Offender Reporting) Act 2004</w:t>
            </w:r>
            <w:r>
              <w:rPr>
                <w:noProof/>
                <w:snapToGrid w:val="0"/>
              </w:rPr>
              <w:t xml:space="preserve"> </w:t>
            </w:r>
          </w:p>
        </w:tc>
        <w:tc>
          <w:tcPr>
            <w:tcW w:w="1134" w:type="dxa"/>
            <w:tcBorders>
              <w:top w:val="single" w:sz="8" w:space="0" w:color="auto"/>
            </w:tcBorders>
          </w:tcPr>
          <w:p>
            <w:pPr>
              <w:pStyle w:val="nTable"/>
              <w:spacing w:after="40"/>
            </w:pPr>
            <w:r>
              <w:t>72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rPr>
                <w:snapToGrid w:val="0"/>
              </w:rPr>
              <w:t xml:space="preserve">s. 1 and 2: </w:t>
            </w:r>
            <w:r>
              <w:t>8 Dec 2004;</w:t>
            </w:r>
            <w:r>
              <w:br/>
              <w:t xml:space="preserve">s. 3-5, Pt. 4 and 6: 25 Dec 2004 (see s. 2 and </w:t>
            </w:r>
            <w:r>
              <w:rPr>
                <w:i/>
              </w:rPr>
              <w:t xml:space="preserve">Gazette </w:t>
            </w:r>
            <w:r>
              <w:t>24 Dec 2004 p. 6266);</w:t>
            </w:r>
            <w:r>
              <w:br/>
              <w:t xml:space="preserve">Pt. 2 (except s. 6(2)(b) and 12) and Pt. 3 and 5 and Sch. 1 and 2: 1 Feb 2005 (see s. 2 and </w:t>
            </w:r>
            <w:r>
              <w:rPr>
                <w:i/>
              </w:rPr>
              <w:t xml:space="preserve">Gazette </w:t>
            </w:r>
            <w:r>
              <w:t>24 Dec 2004 p. 6266);</w:t>
            </w:r>
            <w:r>
              <w:br/>
              <w:t xml:space="preserve">s. 6(2)(b): 1 Jul 2005 (see s. 2 and </w:t>
            </w:r>
            <w:r>
              <w:rPr>
                <w:i/>
              </w:rPr>
              <w:t xml:space="preserve">Gazette </w:t>
            </w:r>
            <w:r>
              <w:t>24 Dec 2004 p. 6266)</w:t>
            </w:r>
          </w:p>
        </w:tc>
      </w:tr>
      <w:tr>
        <w:trPr>
          <w:cantSplit/>
        </w:trPr>
        <w:tc>
          <w:tcPr>
            <w:tcW w:w="2268" w:type="dxa"/>
          </w:tcPr>
          <w:p>
            <w:pPr>
              <w:pStyle w:val="nTable"/>
              <w:spacing w:after="40"/>
              <w:rPr>
                <w:i/>
                <w:noProof/>
                <w:snapToGrid w:val="0"/>
              </w:rPr>
            </w:pPr>
            <w:r>
              <w:rPr>
                <w:i/>
                <w:snapToGrid w:val="0"/>
              </w:rPr>
              <w:t>Criminal Law and Evidence Amendment Act 2008</w:t>
            </w:r>
            <w:r>
              <w:rPr>
                <w:iCs/>
                <w:snapToGrid w:val="0"/>
              </w:rPr>
              <w:t xml:space="preserve"> s. 58</w:t>
            </w:r>
          </w:p>
        </w:tc>
        <w:tc>
          <w:tcPr>
            <w:tcW w:w="1134" w:type="dxa"/>
          </w:tcPr>
          <w:p>
            <w:pPr>
              <w:pStyle w:val="nTable"/>
              <w:spacing w:after="40"/>
            </w:pPr>
            <w:r>
              <w:t>2 of 2008</w:t>
            </w:r>
          </w:p>
        </w:tc>
        <w:tc>
          <w:tcPr>
            <w:tcW w:w="1134" w:type="dxa"/>
          </w:tcPr>
          <w:p>
            <w:pPr>
              <w:pStyle w:val="nTable"/>
              <w:spacing w:after="40"/>
            </w:pPr>
            <w:r>
              <w:t>12 Mar 2008</w:t>
            </w:r>
          </w:p>
        </w:tc>
        <w:tc>
          <w:tcPr>
            <w:tcW w:w="2552" w:type="dxa"/>
          </w:tcPr>
          <w:p>
            <w:pPr>
              <w:pStyle w:val="nTable"/>
              <w:spacing w:after="40"/>
              <w:rPr>
                <w:spacing w:val="-2"/>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s. 127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spacing w:val="-2"/>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s. 25(1)</w:t>
            </w:r>
            <w:r>
              <w:rPr>
                <w:iCs/>
                <w:snapToGrid w:val="0"/>
              </w:rPr>
              <w:noBreakHyphen/>
              <w:t>(3)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spacing w:val="-2"/>
              </w:rPr>
            </w:pPr>
            <w:r>
              <w:rPr>
                <w:snapToGrid w:val="0"/>
              </w:rPr>
              <w:t xml:space="preserve">1 Aug 2008 (see s. 2(b) and (d) and </w:t>
            </w:r>
            <w:r>
              <w:rPr>
                <w:i/>
                <w:iCs/>
                <w:snapToGrid w:val="0"/>
              </w:rPr>
              <w:t>Gazette</w:t>
            </w:r>
            <w:r>
              <w:rPr>
                <w:snapToGrid w:val="0"/>
              </w:rPr>
              <w:t xml:space="preserve"> 22 Jul 2008 p. 3353)</w:t>
            </w:r>
          </w:p>
        </w:tc>
      </w:tr>
      <w:tr>
        <w:trPr>
          <w:cantSplit/>
        </w:trPr>
        <w:tc>
          <w:tcPr>
            <w:tcW w:w="2268" w:type="dxa"/>
          </w:tcPr>
          <w:p>
            <w:pPr>
              <w:pStyle w:val="nTable"/>
              <w:spacing w:after="40"/>
              <w:rPr>
                <w:i/>
                <w:snapToGrid w:val="0"/>
              </w:rPr>
            </w:pPr>
            <w:r>
              <w:rPr>
                <w:i/>
                <w:snapToGrid w:val="0"/>
              </w:rPr>
              <w:t>Community Protection (Offender Reporting) Amendment Act </w:t>
            </w:r>
            <w:r>
              <w:rPr>
                <w:i/>
                <w:iCs/>
                <w:snapToGrid w:val="0"/>
              </w:rPr>
              <w:t xml:space="preserve">2008 </w:t>
            </w:r>
            <w:r>
              <w:rPr>
                <w:iCs/>
                <w:snapToGrid w:val="0"/>
              </w:rPr>
              <w:br/>
              <w:t>s. 4-12</w:t>
            </w:r>
          </w:p>
        </w:tc>
        <w:tc>
          <w:tcPr>
            <w:tcW w:w="1134" w:type="dxa"/>
          </w:tcPr>
          <w:p>
            <w:pPr>
              <w:pStyle w:val="nTable"/>
              <w:spacing w:after="40"/>
            </w:pPr>
            <w:r>
              <w:t>27 of 2008</w:t>
            </w:r>
          </w:p>
        </w:tc>
        <w:tc>
          <w:tcPr>
            <w:tcW w:w="1134" w:type="dxa"/>
          </w:tcPr>
          <w:p>
            <w:pPr>
              <w:pStyle w:val="nTable"/>
              <w:spacing w:after="40"/>
            </w:pPr>
            <w:r>
              <w:t>1 Jul 2008</w:t>
            </w:r>
          </w:p>
        </w:tc>
        <w:tc>
          <w:tcPr>
            <w:tcW w:w="2552" w:type="dxa"/>
          </w:tcPr>
          <w:p>
            <w:pPr>
              <w:pStyle w:val="nTable"/>
              <w:spacing w:after="40"/>
              <w:rPr>
                <w:snapToGrid w:val="0"/>
                <w:spacing w:val="-2"/>
              </w:rPr>
            </w:pPr>
            <w:r>
              <w:rPr>
                <w:snapToGrid w:val="0"/>
                <w:spacing w:val="-2"/>
              </w:rPr>
              <w:t>2 Jul 2008 (see s. 2(b))</w:t>
            </w:r>
          </w:p>
        </w:tc>
      </w:tr>
      <w:tr>
        <w:trPr>
          <w:cantSplit/>
        </w:trPr>
        <w:tc>
          <w:tcPr>
            <w:tcW w:w="7088" w:type="dxa"/>
            <w:gridSpan w:val="4"/>
          </w:tcPr>
          <w:p>
            <w:pPr>
              <w:pStyle w:val="nTable"/>
              <w:spacing w:after="40"/>
              <w:rPr>
                <w:snapToGrid w:val="0"/>
              </w:rPr>
            </w:pPr>
            <w:r>
              <w:rPr>
                <w:b/>
                <w:bCs/>
                <w:snapToGrid w:val="0"/>
              </w:rPr>
              <w:t xml:space="preserve">Reprint 1:  The </w:t>
            </w:r>
            <w:r>
              <w:rPr>
                <w:b/>
                <w:bCs/>
                <w:i/>
                <w:noProof/>
                <w:snapToGrid w:val="0"/>
              </w:rPr>
              <w:t>Community Protection (Offender Reporting) Act 2004</w:t>
            </w:r>
            <w:r>
              <w:rPr>
                <w:b/>
                <w:bCs/>
                <w:noProof/>
                <w:snapToGrid w:val="0"/>
              </w:rPr>
              <w:t xml:space="preserve"> </w:t>
            </w:r>
            <w:r>
              <w:rPr>
                <w:b/>
                <w:bCs/>
                <w:snapToGrid w:val="0"/>
              </w:rPr>
              <w:t>as at 14 Nov 2008</w:t>
            </w:r>
            <w:r>
              <w:rPr>
                <w:snapToGrid w:val="0"/>
              </w:rPr>
              <w:t xml:space="preserve">  (includes amendments listed above)</w:t>
            </w:r>
          </w:p>
        </w:tc>
      </w:tr>
      <w:tr>
        <w:trPr>
          <w:cantSplit/>
        </w:trPr>
        <w:tc>
          <w:tcPr>
            <w:tcW w:w="2268" w:type="dxa"/>
          </w:tcPr>
          <w:p>
            <w:pPr>
              <w:pStyle w:val="nTable"/>
              <w:spacing w:after="40"/>
              <w:rPr>
                <w:i/>
                <w:snapToGrid w:val="0"/>
              </w:rPr>
            </w:pPr>
            <w:r>
              <w:rPr>
                <w:i/>
                <w:iCs/>
              </w:rPr>
              <w:t xml:space="preserve">Child Pornography and Exploitation Material and Classification Legislation Amendment Act 2010 </w:t>
            </w:r>
            <w:r>
              <w:t>s. 13</w:t>
            </w:r>
          </w:p>
        </w:tc>
        <w:tc>
          <w:tcPr>
            <w:tcW w:w="1134" w:type="dxa"/>
          </w:tcPr>
          <w:p>
            <w:pPr>
              <w:pStyle w:val="nTable"/>
              <w:spacing w:after="40"/>
            </w:pPr>
            <w:r>
              <w:t>21 of 2010</w:t>
            </w:r>
          </w:p>
        </w:tc>
        <w:tc>
          <w:tcPr>
            <w:tcW w:w="1134" w:type="dxa"/>
          </w:tcPr>
          <w:p>
            <w:pPr>
              <w:pStyle w:val="nTable"/>
              <w:spacing w:after="40"/>
            </w:pPr>
            <w:r>
              <w:t>7 Jul 2010</w:t>
            </w:r>
          </w:p>
        </w:tc>
        <w:tc>
          <w:tcPr>
            <w:tcW w:w="2552" w:type="dxa"/>
          </w:tcPr>
          <w:p>
            <w:pPr>
              <w:pStyle w:val="nTable"/>
              <w:spacing w:after="40"/>
              <w:rPr>
                <w:snapToGrid w:val="0"/>
                <w:spacing w:val="-2"/>
              </w:rPr>
            </w:pPr>
            <w:r>
              <w:rPr>
                <w:snapToGrid w:val="0"/>
              </w:rPr>
              <w:t xml:space="preserve">28 Aug 2010 (see s. 2(b) and </w:t>
            </w:r>
            <w:r>
              <w:rPr>
                <w:i/>
                <w:iCs/>
                <w:snapToGrid w:val="0"/>
              </w:rPr>
              <w:t>Gazette</w:t>
            </w:r>
            <w:r>
              <w:rPr>
                <w:snapToGrid w:val="0"/>
              </w:rPr>
              <w:t xml:space="preserve"> 27 Aug 2010 p. 4105)</w:t>
            </w:r>
          </w:p>
        </w:tc>
      </w:tr>
      <w:tr>
        <w:trPr>
          <w:cantSplit/>
        </w:trPr>
        <w:tc>
          <w:tcPr>
            <w:tcW w:w="2268" w:type="dxa"/>
          </w:tcPr>
          <w:p>
            <w:pPr>
              <w:pStyle w:val="nTable"/>
              <w:spacing w:after="40"/>
            </w:pPr>
            <w:r>
              <w:rPr>
                <w:i/>
                <w:iCs/>
                <w:snapToGrid w:val="0"/>
              </w:rPr>
              <w:t>Statutes (Repeals and Minor Amendments) Act 2011</w:t>
            </w:r>
            <w: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spacing w:val="-2"/>
              </w:rPr>
            </w:pPr>
            <w:r>
              <w:rPr>
                <w:snapToGrid w:val="0"/>
                <w:spacing w:val="-2"/>
              </w:rPr>
              <w:t>26 Oct 2011 (see s. 2(b))</w:t>
            </w:r>
          </w:p>
        </w:tc>
      </w:tr>
      <w:tr>
        <w:trPr>
          <w:cantSplit/>
        </w:trPr>
        <w:tc>
          <w:tcPr>
            <w:tcW w:w="2268" w:type="dxa"/>
          </w:tcPr>
          <w:p>
            <w:pPr>
              <w:pStyle w:val="nTable"/>
              <w:spacing w:after="40"/>
              <w:rPr>
                <w:i/>
                <w:iCs/>
                <w:snapToGrid w:val="0"/>
              </w:rPr>
            </w:pPr>
            <w:r>
              <w:rPr>
                <w:i/>
                <w:iCs/>
                <w:snapToGrid w:val="0"/>
              </w:rPr>
              <w:lastRenderedPageBreak/>
              <w:t xml:space="preserve">Community Protection (Offender Reporting) Amendment Act 2012 </w:t>
            </w:r>
            <w:r>
              <w:rPr>
                <w:iCs/>
                <w:snapToGrid w:val="0"/>
              </w:rPr>
              <w:t>Pt. 2 </w:t>
            </w:r>
          </w:p>
        </w:tc>
        <w:tc>
          <w:tcPr>
            <w:tcW w:w="1134" w:type="dxa"/>
          </w:tcPr>
          <w:p>
            <w:pPr>
              <w:pStyle w:val="nTable"/>
              <w:spacing w:after="40"/>
              <w:rPr>
                <w:snapToGrid w:val="0"/>
              </w:rPr>
            </w:pPr>
            <w:r>
              <w:rPr>
                <w:snapToGrid w:val="0"/>
              </w:rPr>
              <w:t>1 of 2012</w:t>
            </w:r>
          </w:p>
        </w:tc>
        <w:tc>
          <w:tcPr>
            <w:tcW w:w="1134" w:type="dxa"/>
          </w:tcPr>
          <w:p>
            <w:pPr>
              <w:pStyle w:val="nTable"/>
              <w:spacing w:after="40"/>
              <w:rPr>
                <w:snapToGrid w:val="0"/>
              </w:rPr>
            </w:pPr>
            <w:r>
              <w:rPr>
                <w:snapToGrid w:val="0"/>
              </w:rPr>
              <w:t>15 Mar 2012</w:t>
            </w:r>
          </w:p>
        </w:tc>
        <w:tc>
          <w:tcPr>
            <w:tcW w:w="2552" w:type="dxa"/>
          </w:tcPr>
          <w:p>
            <w:pPr>
              <w:pStyle w:val="nTable"/>
              <w:spacing w:after="40"/>
              <w:rPr>
                <w:snapToGrid w:val="0"/>
                <w:spacing w:val="-2"/>
              </w:rPr>
            </w:pPr>
            <w:r>
              <w:rPr>
                <w:snapToGrid w:val="0"/>
              </w:rPr>
              <w:t xml:space="preserve">1 Jul 2012 (see s. 2(b) and </w:t>
            </w:r>
            <w:r>
              <w:rPr>
                <w:i/>
                <w:snapToGrid w:val="0"/>
              </w:rPr>
              <w:t>Gazette</w:t>
            </w:r>
            <w:r>
              <w:rPr>
                <w:snapToGrid w:val="0"/>
              </w:rPr>
              <w:t xml:space="preserve"> 22 Jun 2012 p. 2777)</w:t>
            </w:r>
          </w:p>
        </w:tc>
      </w:tr>
      <w:tr>
        <w:trPr>
          <w:cantSplit/>
        </w:trPr>
        <w:tc>
          <w:tcPr>
            <w:tcW w:w="2268" w:type="dxa"/>
            <w:shd w:val="clear" w:color="auto" w:fill="auto"/>
          </w:tcPr>
          <w:p>
            <w:pPr>
              <w:pStyle w:val="nTable"/>
              <w:spacing w:after="40"/>
              <w:rPr>
                <w:i/>
                <w:iCs/>
                <w:snapToGrid w:val="0"/>
              </w:rPr>
            </w:pPr>
            <w:r>
              <w:rPr>
                <w:i/>
                <w:snapToGrid w:val="0"/>
              </w:rPr>
              <w:t>Community Protection (Offender Reporting) Amendment Act (No. 2) 2012</w:t>
            </w:r>
            <w:r>
              <w:rPr>
                <w:snapToGrid w:val="0"/>
              </w:rPr>
              <w:t xml:space="preserve"> Pt. 2 (s. 3</w:t>
            </w:r>
            <w:r>
              <w:rPr>
                <w:snapToGrid w:val="0"/>
              </w:rPr>
              <w:noBreakHyphen/>
              <w:t>42)</w:t>
            </w:r>
          </w:p>
        </w:tc>
        <w:tc>
          <w:tcPr>
            <w:tcW w:w="1134" w:type="dxa"/>
            <w:shd w:val="clear" w:color="auto" w:fill="auto"/>
          </w:tcPr>
          <w:p>
            <w:pPr>
              <w:pStyle w:val="nTable"/>
              <w:spacing w:after="40"/>
              <w:rPr>
                <w:snapToGrid w:val="0"/>
              </w:rPr>
            </w:pPr>
            <w:r>
              <w:t>54 of 2012</w:t>
            </w:r>
          </w:p>
        </w:tc>
        <w:tc>
          <w:tcPr>
            <w:tcW w:w="1134" w:type="dxa"/>
            <w:shd w:val="clear" w:color="auto" w:fill="auto"/>
          </w:tcPr>
          <w:p>
            <w:pPr>
              <w:pStyle w:val="nTable"/>
              <w:spacing w:after="40"/>
              <w:rPr>
                <w:snapToGrid w:val="0"/>
              </w:rPr>
            </w:pPr>
            <w:r>
              <w:t>3 Dec 2012</w:t>
            </w:r>
          </w:p>
        </w:tc>
        <w:tc>
          <w:tcPr>
            <w:tcW w:w="2552" w:type="dxa"/>
            <w:shd w:val="clear" w:color="auto" w:fill="auto"/>
          </w:tcPr>
          <w:p>
            <w:pPr>
              <w:pStyle w:val="nTable"/>
              <w:spacing w:after="40"/>
              <w:rPr>
                <w:snapToGrid w:val="0"/>
                <w:spacing w:val="-2"/>
              </w:rPr>
            </w:pPr>
            <w:r>
              <w:rPr>
                <w:snapToGrid w:val="0"/>
              </w:rPr>
              <w:t>s. 3</w:t>
            </w:r>
            <w:r>
              <w:rPr>
                <w:snapToGrid w:val="0"/>
              </w:rPr>
              <w:noBreakHyphen/>
              <w:t>22, 27, 34(1) and (2) and 35</w:t>
            </w:r>
            <w:r>
              <w:rPr>
                <w:snapToGrid w:val="0"/>
              </w:rPr>
              <w:noBreakHyphen/>
              <w:t>38: 23 Feb 2013 (see s.</w:t>
            </w:r>
            <w:r>
              <w:t> </w:t>
            </w:r>
            <w:r>
              <w:rPr>
                <w:snapToGrid w:val="0"/>
              </w:rPr>
              <w:t xml:space="preserve">2(b) and </w:t>
            </w:r>
            <w:r>
              <w:rPr>
                <w:i/>
                <w:snapToGrid w:val="0"/>
              </w:rPr>
              <w:t>Gazette</w:t>
            </w:r>
            <w:r>
              <w:rPr>
                <w:snapToGrid w:val="0"/>
              </w:rPr>
              <w:t xml:space="preserve"> 22 Feb 2013 p. 1045);</w:t>
            </w:r>
            <w:r>
              <w:rPr>
                <w:snapToGrid w:val="0"/>
              </w:rPr>
              <w:br/>
              <w:t>s. 23</w:t>
            </w:r>
            <w:r>
              <w:rPr>
                <w:snapToGrid w:val="0"/>
              </w:rPr>
              <w:noBreakHyphen/>
              <w:t>26, 28</w:t>
            </w:r>
            <w:r>
              <w:rPr>
                <w:snapToGrid w:val="0"/>
              </w:rPr>
              <w:noBreakHyphen/>
              <w:t>33, 34(3) and 39</w:t>
            </w:r>
            <w:r>
              <w:rPr>
                <w:snapToGrid w:val="0"/>
              </w:rPr>
              <w:noBreakHyphen/>
              <w:t xml:space="preserve">42: 9 Nov 2013 (see s. 2(b) and </w:t>
            </w:r>
            <w:r>
              <w:rPr>
                <w:i/>
                <w:snapToGrid w:val="0"/>
              </w:rPr>
              <w:t>Gazette</w:t>
            </w:r>
            <w:r>
              <w:rPr>
                <w:snapToGrid w:val="0"/>
              </w:rPr>
              <w:t xml:space="preserve"> 8 Nov 2013 p. 4969)</w:t>
            </w:r>
          </w:p>
        </w:tc>
      </w:tr>
      <w:tr>
        <w:trPr>
          <w:cantSplit/>
        </w:trPr>
        <w:tc>
          <w:tcPr>
            <w:tcW w:w="7088" w:type="dxa"/>
            <w:gridSpan w:val="4"/>
            <w:shd w:val="clear" w:color="auto" w:fill="auto"/>
          </w:tcPr>
          <w:p>
            <w:pPr>
              <w:pStyle w:val="nTable"/>
              <w:spacing w:after="40"/>
              <w:rPr>
                <w:snapToGrid w:val="0"/>
              </w:rPr>
            </w:pPr>
            <w:r>
              <w:rPr>
                <w:b/>
                <w:bCs/>
                <w:snapToGrid w:val="0"/>
              </w:rPr>
              <w:t xml:space="preserve">Reprint 2:  The </w:t>
            </w:r>
            <w:r>
              <w:rPr>
                <w:b/>
                <w:bCs/>
                <w:i/>
                <w:noProof/>
                <w:snapToGrid w:val="0"/>
              </w:rPr>
              <w:t>Community Protection (Offender Reporting) Act 2004</w:t>
            </w:r>
            <w:r>
              <w:rPr>
                <w:b/>
                <w:bCs/>
                <w:noProof/>
                <w:snapToGrid w:val="0"/>
              </w:rPr>
              <w:t xml:space="preserve"> </w:t>
            </w:r>
            <w:r>
              <w:rPr>
                <w:b/>
                <w:bCs/>
                <w:snapToGrid w:val="0"/>
              </w:rPr>
              <w:t>as at 5 Dec 2014</w:t>
            </w:r>
            <w:r>
              <w:rPr>
                <w:snapToGrid w:val="0"/>
              </w:rPr>
              <w:t xml:space="preserve">  (includes amendments listed above)</w:t>
            </w:r>
          </w:p>
        </w:tc>
      </w:tr>
      <w:tr>
        <w:trPr>
          <w:cantSplit/>
        </w:trPr>
        <w:tc>
          <w:tcPr>
            <w:tcW w:w="2268" w:type="dxa"/>
            <w:shd w:val="clear" w:color="auto" w:fill="auto"/>
          </w:tcPr>
          <w:p>
            <w:pPr>
              <w:pStyle w:val="nTable"/>
              <w:spacing w:after="40"/>
              <w:rPr>
                <w:b/>
                <w:bCs/>
                <w:snapToGrid w:val="0"/>
              </w:rPr>
            </w:pPr>
            <w:r>
              <w:rPr>
                <w:i/>
                <w:snapToGrid w:val="0"/>
              </w:rPr>
              <w:t>Local Government Legislation Amendment Act 2016</w:t>
            </w:r>
            <w:r>
              <w:rPr>
                <w:snapToGrid w:val="0"/>
              </w:rPr>
              <w:t xml:space="preserve"> Pt. 3 Div. 10</w:t>
            </w:r>
          </w:p>
        </w:tc>
        <w:tc>
          <w:tcPr>
            <w:tcW w:w="1134" w:type="dxa"/>
            <w:shd w:val="clear" w:color="auto" w:fill="auto"/>
          </w:tcPr>
          <w:p>
            <w:pPr>
              <w:pStyle w:val="nTable"/>
              <w:spacing w:after="40"/>
              <w:rPr>
                <w:b/>
                <w:bCs/>
                <w:snapToGrid w:val="0"/>
              </w:rPr>
            </w:pPr>
            <w:r>
              <w:t>26 of 2016</w:t>
            </w:r>
          </w:p>
        </w:tc>
        <w:tc>
          <w:tcPr>
            <w:tcW w:w="1134" w:type="dxa"/>
            <w:shd w:val="clear" w:color="auto" w:fill="auto"/>
          </w:tcPr>
          <w:p>
            <w:pPr>
              <w:pStyle w:val="nTable"/>
              <w:spacing w:after="40"/>
              <w:rPr>
                <w:b/>
                <w:bCs/>
                <w:snapToGrid w:val="0"/>
              </w:rPr>
            </w:pPr>
            <w:r>
              <w:t>21 Sep 2016</w:t>
            </w:r>
          </w:p>
        </w:tc>
        <w:tc>
          <w:tcPr>
            <w:tcW w:w="2552" w:type="dxa"/>
            <w:shd w:val="clear" w:color="auto" w:fill="auto"/>
          </w:tcPr>
          <w:p>
            <w:pPr>
              <w:pStyle w:val="nTable"/>
              <w:spacing w:after="40"/>
              <w:rPr>
                <w:b/>
                <w:bCs/>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3</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rPr>
          <w:cantSplit/>
        </w:trPr>
        <w:tc>
          <w:tcPr>
            <w:tcW w:w="2268" w:type="dxa"/>
            <w:shd w:val="clear" w:color="auto" w:fill="auto"/>
          </w:tcPr>
          <w:p>
            <w:pPr>
              <w:pStyle w:val="nTable"/>
              <w:spacing w:after="40"/>
              <w:rPr>
                <w:i/>
                <w:snapToGrid w:val="0"/>
              </w:rPr>
            </w:pPr>
            <w:r>
              <w:rPr>
                <w:i/>
                <w:snapToGrid w:val="0"/>
              </w:rPr>
              <w:t>High Risk Serious Offenders Act 2020</w:t>
            </w:r>
            <w:r>
              <w:rPr>
                <w:snapToGrid w:val="0"/>
              </w:rPr>
              <w:t xml:space="preserve"> Pt. 9 Div. 1 and s. 121</w:t>
            </w:r>
          </w:p>
        </w:tc>
        <w:tc>
          <w:tcPr>
            <w:tcW w:w="1134" w:type="dxa"/>
            <w:shd w:val="clear" w:color="auto" w:fill="auto"/>
          </w:tcPr>
          <w:p>
            <w:pPr>
              <w:pStyle w:val="nTable"/>
              <w:spacing w:after="40"/>
            </w:pPr>
            <w:r>
              <w:t>29 of 2020</w:t>
            </w:r>
          </w:p>
        </w:tc>
        <w:tc>
          <w:tcPr>
            <w:tcW w:w="1134" w:type="dxa"/>
            <w:shd w:val="clear" w:color="auto" w:fill="auto"/>
          </w:tcPr>
          <w:p>
            <w:pPr>
              <w:pStyle w:val="nTable"/>
              <w:spacing w:after="40"/>
            </w:pPr>
            <w:r>
              <w:t>9 Jul 2020</w:t>
            </w:r>
          </w:p>
        </w:tc>
        <w:tc>
          <w:tcPr>
            <w:tcW w:w="2552" w:type="dxa"/>
            <w:shd w:val="clear" w:color="auto" w:fill="auto"/>
          </w:tcPr>
          <w:p>
            <w:pPr>
              <w:pStyle w:val="nTable"/>
              <w:spacing w:after="40"/>
              <w:rPr>
                <w:snapToGrid w:val="0"/>
              </w:rPr>
            </w:pPr>
            <w:r>
              <w:rPr>
                <w:snapToGrid w:val="0"/>
              </w:rPr>
              <w:t>26 Aug 2020 (see s. 2(1)(c) and SL 2020/131 cl. 2)</w:t>
            </w:r>
          </w:p>
        </w:tc>
      </w:tr>
      <w:tr>
        <w:trPr>
          <w:cantSplit/>
        </w:trPr>
        <w:tc>
          <w:tcPr>
            <w:tcW w:w="2268" w:type="dxa"/>
            <w:shd w:val="clear" w:color="auto" w:fill="auto"/>
          </w:tcPr>
          <w:p>
            <w:pPr>
              <w:pStyle w:val="nTable"/>
              <w:spacing w:after="40"/>
              <w:rPr>
                <w:i/>
                <w:snapToGrid w:val="0"/>
              </w:rPr>
            </w:pPr>
            <w:r>
              <w:rPr>
                <w:i/>
                <w:noProof/>
              </w:rPr>
              <w:t xml:space="preserve">Criminal Law (Unlawful Consorting and Prohibited Insignia) Act 2021 </w:t>
            </w:r>
            <w:r>
              <w:rPr>
                <w:noProof/>
              </w:rPr>
              <w:t>Pt. 6 Div. 1</w:t>
            </w:r>
          </w:p>
        </w:tc>
        <w:tc>
          <w:tcPr>
            <w:tcW w:w="1134" w:type="dxa"/>
            <w:shd w:val="clear" w:color="auto" w:fill="auto"/>
          </w:tcPr>
          <w:p>
            <w:pPr>
              <w:pStyle w:val="nTable"/>
              <w:spacing w:after="40"/>
            </w:pPr>
            <w:r>
              <w:t>25 of 2021</w:t>
            </w:r>
          </w:p>
        </w:tc>
        <w:tc>
          <w:tcPr>
            <w:tcW w:w="1134" w:type="dxa"/>
            <w:shd w:val="clear" w:color="auto" w:fill="auto"/>
          </w:tcPr>
          <w:p>
            <w:pPr>
              <w:pStyle w:val="nTable"/>
              <w:spacing w:after="40"/>
            </w:pPr>
            <w:r>
              <w:t>13 Dec 2021</w:t>
            </w:r>
          </w:p>
        </w:tc>
        <w:tc>
          <w:tcPr>
            <w:tcW w:w="2552" w:type="dxa"/>
            <w:shd w:val="clear" w:color="auto" w:fill="auto"/>
          </w:tcPr>
          <w:p>
            <w:pPr>
              <w:pStyle w:val="nTable"/>
              <w:spacing w:after="40"/>
              <w:rPr>
                <w:snapToGrid w:val="0"/>
              </w:rPr>
            </w:pPr>
            <w:r>
              <w:t>24 Dec 2021 (see s. 2(b) and SL 2021/219 cl. 2)</w:t>
            </w:r>
          </w:p>
        </w:tc>
      </w:tr>
      <w:tr>
        <w:trPr>
          <w:cantSplit/>
        </w:trPr>
        <w:tc>
          <w:tcPr>
            <w:tcW w:w="2268" w:type="dxa"/>
            <w:tcBorders>
              <w:bottom w:val="single" w:sz="8" w:space="0" w:color="auto"/>
            </w:tcBorders>
            <w:shd w:val="clear" w:color="auto" w:fill="auto"/>
          </w:tcPr>
          <w:p>
            <w:pPr>
              <w:pStyle w:val="nTable"/>
              <w:spacing w:after="40"/>
              <w:rPr>
                <w:i/>
                <w:noProof/>
              </w:rPr>
            </w:pPr>
            <w:r>
              <w:rPr>
                <w:i/>
                <w:snapToGrid w:val="0"/>
              </w:rPr>
              <w:t>Western Australian Marine Amendment Act 2023</w:t>
            </w:r>
            <w:r>
              <w:rPr>
                <w:iCs/>
                <w:snapToGrid w:val="0"/>
              </w:rPr>
              <w:t xml:space="preserve"> s. 29</w:t>
            </w:r>
          </w:p>
        </w:tc>
        <w:tc>
          <w:tcPr>
            <w:tcW w:w="1134" w:type="dxa"/>
            <w:tcBorders>
              <w:bottom w:val="single" w:sz="8" w:space="0" w:color="auto"/>
            </w:tcBorders>
            <w:shd w:val="clear" w:color="auto" w:fill="auto"/>
          </w:tcPr>
          <w:p>
            <w:pPr>
              <w:pStyle w:val="nTable"/>
              <w:spacing w:after="40"/>
            </w:pPr>
            <w:r>
              <w:t>31 of 2023</w:t>
            </w:r>
          </w:p>
        </w:tc>
        <w:tc>
          <w:tcPr>
            <w:tcW w:w="1134" w:type="dxa"/>
            <w:tcBorders>
              <w:bottom w:val="single" w:sz="8" w:space="0" w:color="auto"/>
            </w:tcBorders>
            <w:shd w:val="clear" w:color="auto" w:fill="auto"/>
          </w:tcPr>
          <w:p>
            <w:pPr>
              <w:pStyle w:val="nTable"/>
              <w:spacing w:after="40"/>
            </w:pPr>
            <w:r>
              <w:t>11 Dec 2023</w:t>
            </w:r>
          </w:p>
        </w:tc>
        <w:tc>
          <w:tcPr>
            <w:tcW w:w="2552" w:type="dxa"/>
            <w:tcBorders>
              <w:bottom w:val="single" w:sz="8" w:space="0" w:color="auto"/>
            </w:tcBorders>
            <w:shd w:val="clear" w:color="auto" w:fill="auto"/>
          </w:tcPr>
          <w:p>
            <w:pPr>
              <w:pStyle w:val="nTable"/>
              <w:spacing w:after="40"/>
            </w:pPr>
            <w:r>
              <w:t>21 Dec 2023 (see s. 2(c) and SL 2023/202 cl. 2(a))</w:t>
            </w:r>
          </w:p>
        </w:tc>
      </w:tr>
    </w:tbl>
    <w:p>
      <w:pPr>
        <w:pStyle w:val="nHeading3"/>
      </w:pPr>
      <w:bookmarkStart w:id="246" w:name="_Toc153888500"/>
      <w:r>
        <w:lastRenderedPageBreak/>
        <w:t>Uncommenced provisions table</w:t>
      </w:r>
      <w:bookmarkEnd w:id="246"/>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3"/>
        <w:gridCol w:w="2550"/>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single" w:sz="8" w:space="0" w:color="auto"/>
              <w:bottom w:val="nil"/>
            </w:tcBorders>
          </w:tcPr>
          <w:p>
            <w:pPr>
              <w:pStyle w:val="nTable"/>
              <w:spacing w:after="40"/>
              <w:rPr>
                <w:vertAlign w:val="superscript"/>
              </w:rPr>
            </w:pPr>
            <w:r>
              <w:rPr>
                <w:i/>
                <w:noProof/>
                <w:snapToGrid w:val="0"/>
              </w:rPr>
              <w:t>Community Protection (Offender Reporting) Act 2004</w:t>
            </w:r>
            <w:r>
              <w:rPr>
                <w:noProof/>
                <w:snapToGrid w:val="0"/>
              </w:rPr>
              <w:t xml:space="preserve"> s. 12 and Sch. 3</w:t>
            </w:r>
          </w:p>
        </w:tc>
        <w:tc>
          <w:tcPr>
            <w:tcW w:w="1133" w:type="dxa"/>
            <w:tcBorders>
              <w:top w:val="single" w:sz="8" w:space="0" w:color="auto"/>
              <w:bottom w:val="nil"/>
            </w:tcBorders>
          </w:tcPr>
          <w:p>
            <w:pPr>
              <w:pStyle w:val="nTable"/>
              <w:spacing w:after="40"/>
            </w:pPr>
            <w:r>
              <w:t>72 of 2004 (as amended by No. 29 of 2008 s. 25(4))</w:t>
            </w:r>
          </w:p>
        </w:tc>
        <w:tc>
          <w:tcPr>
            <w:tcW w:w="1133" w:type="dxa"/>
            <w:tcBorders>
              <w:top w:val="single" w:sz="8" w:space="0" w:color="auto"/>
              <w:bottom w:val="nil"/>
            </w:tcBorders>
          </w:tcPr>
          <w:p>
            <w:pPr>
              <w:pStyle w:val="nTable"/>
              <w:spacing w:after="40"/>
            </w:pPr>
            <w:r>
              <w:t>8 Dec 2004</w:t>
            </w:r>
          </w:p>
        </w:tc>
        <w:tc>
          <w:tcPr>
            <w:tcW w:w="2550" w:type="dxa"/>
            <w:tcBorders>
              <w:top w:val="single" w:sz="8" w:space="0" w:color="auto"/>
              <w:bottom w:val="nil"/>
            </w:tcBorders>
          </w:tcPr>
          <w:p>
            <w:pPr>
              <w:pStyle w:val="nTable"/>
              <w:spacing w:after="40"/>
              <w:rPr>
                <w:snapToGrid w:val="0"/>
              </w:rPr>
            </w:pPr>
            <w:r>
              <w:rPr>
                <w:snapToGrid w:val="0"/>
              </w:rPr>
              <w:t>To be proclaimed (see s. 2)</w:t>
            </w:r>
          </w:p>
        </w:tc>
      </w:tr>
      <w:tr>
        <w:trPr>
          <w:cantSplit/>
        </w:trPr>
        <w:tc>
          <w:tcPr>
            <w:tcW w:w="2266" w:type="dxa"/>
            <w:tcBorders>
              <w:top w:val="nil"/>
              <w:bottom w:val="nil"/>
            </w:tcBorders>
            <w:shd w:val="clear" w:color="auto" w:fill="auto"/>
          </w:tcPr>
          <w:p>
            <w:pPr>
              <w:pStyle w:val="nTable"/>
              <w:spacing w:after="40"/>
              <w:rPr>
                <w:i/>
                <w:snapToGrid w:val="0"/>
              </w:rPr>
            </w:pPr>
            <w:r>
              <w:rPr>
                <w:i/>
                <w:snapToGrid w:val="0"/>
              </w:rPr>
              <w:t>Prostitution Amendment Act 2008</w:t>
            </w:r>
            <w:r>
              <w:rPr>
                <w:iCs/>
                <w:snapToGrid w:val="0"/>
              </w:rPr>
              <w:t xml:space="preserve"> s. 29</w:t>
            </w:r>
          </w:p>
        </w:tc>
        <w:tc>
          <w:tcPr>
            <w:tcW w:w="1133" w:type="dxa"/>
            <w:tcBorders>
              <w:top w:val="nil"/>
              <w:bottom w:val="nil"/>
            </w:tcBorders>
            <w:shd w:val="clear" w:color="auto" w:fill="auto"/>
          </w:tcPr>
          <w:p>
            <w:pPr>
              <w:pStyle w:val="nTable"/>
              <w:spacing w:after="40"/>
            </w:pPr>
            <w:r>
              <w:t>13 of 2008</w:t>
            </w:r>
          </w:p>
        </w:tc>
        <w:tc>
          <w:tcPr>
            <w:tcW w:w="1133" w:type="dxa"/>
            <w:tcBorders>
              <w:top w:val="nil"/>
              <w:bottom w:val="nil"/>
            </w:tcBorders>
            <w:shd w:val="clear" w:color="auto" w:fill="auto"/>
          </w:tcPr>
          <w:p>
            <w:pPr>
              <w:pStyle w:val="nTable"/>
              <w:spacing w:after="40"/>
            </w:pPr>
            <w:r>
              <w:t>14 Apr 2008</w:t>
            </w:r>
          </w:p>
        </w:tc>
        <w:tc>
          <w:tcPr>
            <w:tcW w:w="2550" w:type="dxa"/>
            <w:tcBorders>
              <w:top w:val="nil"/>
              <w:bottom w:val="nil"/>
            </w:tcBorders>
            <w:shd w:val="clear" w:color="auto" w:fill="auto"/>
          </w:tcPr>
          <w:p>
            <w:pPr>
              <w:pStyle w:val="nTable"/>
              <w:spacing w:after="40"/>
              <w:rPr>
                <w:snapToGrid w:val="0"/>
              </w:rPr>
            </w:pPr>
            <w:r>
              <w:rPr>
                <w:snapToGrid w:val="0"/>
              </w:rPr>
              <w:t>To be proclaimed (see s. 2(b))</w:t>
            </w:r>
          </w:p>
        </w:tc>
      </w:tr>
      <w:tr>
        <w:trPr>
          <w:cantSplit/>
        </w:trPr>
        <w:tc>
          <w:tcPr>
            <w:tcW w:w="2266" w:type="dxa"/>
            <w:tcBorders>
              <w:top w:val="nil"/>
              <w:bottom w:val="single" w:sz="4" w:space="0" w:color="auto"/>
            </w:tcBorders>
            <w:shd w:val="clear" w:color="auto" w:fill="auto"/>
          </w:tcPr>
          <w:p>
            <w:pPr>
              <w:pStyle w:val="nTable"/>
              <w:spacing w:after="40"/>
              <w:rPr>
                <w:snapToGrid w:val="0"/>
              </w:rPr>
            </w:pPr>
            <w:r>
              <w:rPr>
                <w:i/>
                <w:snapToGrid w:val="0"/>
              </w:rPr>
              <w:t>Criminal Law (Mental Impairment) Act 2023</w:t>
            </w:r>
            <w:r>
              <w:rPr>
                <w:snapToGrid w:val="0"/>
              </w:rPr>
              <w:t xml:space="preserve"> Pt. 15 Div. 3 and s. 412</w:t>
            </w:r>
          </w:p>
        </w:tc>
        <w:tc>
          <w:tcPr>
            <w:tcW w:w="1133" w:type="dxa"/>
            <w:tcBorders>
              <w:top w:val="nil"/>
              <w:bottom w:val="single" w:sz="4" w:space="0" w:color="auto"/>
            </w:tcBorders>
            <w:shd w:val="clear" w:color="auto" w:fill="auto"/>
          </w:tcPr>
          <w:p>
            <w:pPr>
              <w:pStyle w:val="nTable"/>
              <w:spacing w:after="40"/>
            </w:pPr>
            <w:r>
              <w:t>10 of 2023</w:t>
            </w:r>
          </w:p>
        </w:tc>
        <w:tc>
          <w:tcPr>
            <w:tcW w:w="1133" w:type="dxa"/>
            <w:tcBorders>
              <w:top w:val="nil"/>
              <w:bottom w:val="single" w:sz="4" w:space="0" w:color="auto"/>
            </w:tcBorders>
            <w:shd w:val="clear" w:color="auto" w:fill="auto"/>
          </w:tcPr>
          <w:p>
            <w:pPr>
              <w:pStyle w:val="nTable"/>
              <w:spacing w:after="40"/>
            </w:pPr>
            <w:r>
              <w:t>13 Apr 2023</w:t>
            </w:r>
          </w:p>
        </w:tc>
        <w:tc>
          <w:tcPr>
            <w:tcW w:w="2550"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47" w:name="_Toc153888501"/>
      <w:r>
        <w:t>Other notes</w:t>
      </w:r>
      <w:bookmarkEnd w:id="247"/>
    </w:p>
    <w:p>
      <w:pPr>
        <w:pStyle w:val="nNote"/>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vertAlign w:val="superscript"/>
        </w:rPr>
        <w:t>1</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49" w:name="_Toc153547436"/>
      <w:bookmarkStart w:id="250" w:name="_Toc153547794"/>
      <w:bookmarkStart w:id="251" w:name="_Toc153888502"/>
      <w:r>
        <w:rPr>
          <w:sz w:val="28"/>
        </w:rPr>
        <w:lastRenderedPageBreak/>
        <w:t>Defined terms</w:t>
      </w:r>
      <w:bookmarkEnd w:id="249"/>
      <w:bookmarkEnd w:id="250"/>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lastRenderedPageBreak/>
        <w:t>HRO supervision order</w:t>
      </w:r>
      <w:r>
        <w:tab/>
        <w:t>85A</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lastRenderedPageBreak/>
        <w:t>restraining order</w:t>
      </w:r>
      <w:r>
        <w:tab/>
        <w:t>107(1)</w:t>
      </w:r>
    </w:p>
    <w:p>
      <w:pPr>
        <w:pStyle w:val="DefinedTerms"/>
      </w:pPr>
      <w:r>
        <w:t>senior police officer</w:t>
      </w:r>
      <w:r>
        <w:tab/>
        <w:t>94C(1)</w:t>
      </w:r>
    </w:p>
    <w:p>
      <w:pPr>
        <w:pStyle w:val="DefinedTerms"/>
      </w:pPr>
      <w:r>
        <w:t>sentence</w:t>
      </w:r>
      <w:r>
        <w:tab/>
        <w:t>3</w:t>
      </w:r>
    </w:p>
    <w:p>
      <w:pPr>
        <w:pStyle w:val="DefinedTerms"/>
      </w:pPr>
      <w:r>
        <w:t>serious sexual offence</w:t>
      </w:r>
      <w:r>
        <w:tab/>
        <w:t>85A</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
      <w:pPr>
        <w:sectPr>
          <w:headerReference w:type="even" r:id="rId30"/>
          <w:headerReference w:type="default" r:id="rId31"/>
          <w:pgSz w:w="11907" w:h="16840" w:code="9"/>
          <w:pgMar w:top="2381" w:right="2410" w:bottom="3544" w:left="2410" w:header="720" w:footer="3544"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02-l0-00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02-l0-00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02-l0-00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02-l0-00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02-l0-00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02-l0-00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1" w:name="Schedule"/>
    <w:bookmarkEnd w:id="2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3" w:name="Coversheet"/>
    <w:bookmarkEnd w:id="2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2E8C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B29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0EF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14BB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6CBE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53852"/>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 w:name="WAFER_2020021308554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085540_GUID" w:val="080882e8-f9f6-4d8d-80c8-afa7fe7bb7fa"/>
    <w:docVar w:name="WAFER_2020071009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00_GUID" w:val="0738918f-89b9-48b5-8367-27ea31ed38fa"/>
    <w:docVar w:name="WAFER_202008121112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213_GUID" w:val="a1862710-d75b-4255-bad6-0a5e7f2df570"/>
    <w:docVar w:name="WAFER_20200826090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816_GUID" w:val="53b0f3b5-0c8f-42a2-b301-8cf29a572001"/>
    <w:docVar w:name="WAFER_2021121409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094916_GUID" w:val="b50e9e06-4dd9-468e-850a-7eb805273c20"/>
    <w:docVar w:name="WAFER_2021122114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0442_GUID" w:val="c1ef77d1-734a-42b5-b427-1603c38c892c"/>
    <w:docVar w:name="WAFER_202304120952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095217_GUID" w:val="086b204b-882a-4e89-893b-009acd6e0e1a"/>
    <w:docVar w:name="WAFER_20231206122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122053_GUID" w:val="77abb9d4-d417-4748-8dad-a84bed8cd600"/>
    <w:docVar w:name="WAFER_202312151538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53852_GUID" w:val="810495fd-3c7e-48f9-9d08-744a320312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1BA297F3-C35F-49F3-B21D-0CCA654C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FF86-9378-4C28-BE02-65A8D0B5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31990</Words>
  <Characters>155472</Characters>
  <Application>Microsoft Office Word</Application>
  <DocSecurity>0</DocSecurity>
  <Lines>4318</Lines>
  <Paragraphs>2499</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184963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2004 - 02-l0-00</dc:title>
  <dc:subject/>
  <dc:creator/>
  <cp:keywords/>
  <dc:description/>
  <cp:lastModifiedBy>Master Repository Process</cp:lastModifiedBy>
  <cp:revision>4</cp:revision>
  <cp:lastPrinted>2021-12-21T08:49:00Z</cp:lastPrinted>
  <dcterms:created xsi:type="dcterms:W3CDTF">2023-12-20T04:02:00Z</dcterms:created>
  <dcterms:modified xsi:type="dcterms:W3CDTF">2023-12-20T04:02:00Z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21 Dec 2023</vt:lpwstr>
  </property>
  <property fmtid="{D5CDD505-2E9C-101B-9397-08002B2CF9AE}" pid="8" name="Suffix">
    <vt:lpwstr>02-l0-00</vt:lpwstr>
  </property>
  <property fmtid="{D5CDD505-2E9C-101B-9397-08002B2CF9AE}" pid="9" name="Official">
    <vt:lpwstr/>
  </property>
  <property fmtid="{D5CDD505-2E9C-101B-9397-08002B2CF9AE}" pid="10" name="CommencementDate">
    <vt:lpwstr>20231221</vt:lpwstr>
  </property>
  <property fmtid="{D5CDD505-2E9C-101B-9397-08002B2CF9AE}" pid="11" name="CommencementYear">
    <vt:lpwstr>2023</vt:lpwstr>
  </property>
</Properties>
</file>