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_Toc154066552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 forms</w:t>
      </w:r>
      <w:r>
        <w:tab/>
      </w:r>
      <w:r>
        <w:fldChar w:fldCharType="begin"/>
      </w:r>
      <w:r>
        <w:instrText xml:space="preserve"> PAGEREF _Toc154066553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_Toc154066554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licence as employee</w:t>
      </w:r>
      <w:r>
        <w:tab/>
      </w:r>
      <w:r>
        <w:fldChar w:fldCharType="begin"/>
      </w:r>
      <w:r>
        <w:instrText xml:space="preserve"> PAGEREF _Toc154066555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_Toc154066556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Licence fees</w:t>
      </w:r>
      <w:r>
        <w:tab/>
      </w:r>
      <w:r>
        <w:fldChar w:fldCharType="begin"/>
      </w:r>
      <w:r>
        <w:instrText xml:space="preserve"> PAGEREF _Toc154066557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_Toc154066558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_Toc154066559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_Toc154066560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_Toc154066561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_Toc154066562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_Toc154066563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_Toc154066564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_Toc154066565 \h </w:instrText>
      </w:r>
      <w:r>
        <w:fldChar w:fldCharType="separate"/>
      </w:r>
      <w:r>
        <w:t>13</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_Toc154066566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_Toc154066567 \h </w:instrText>
      </w:r>
      <w:r>
        <w:fldChar w:fldCharType="separate"/>
      </w:r>
      <w:r>
        <w:t>15</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_Toc154066568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_Toc154066569 \h </w:instrText>
      </w:r>
      <w:r>
        <w:fldChar w:fldCharType="separate"/>
      </w:r>
      <w:r>
        <w:t>17</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_Toc154066570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_Toc154066571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_Toc154066572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_Toc154066573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w:t>
      </w:r>
    </w:p>
    <w:p>
      <w:pPr>
        <w:pStyle w:val="TOC4"/>
        <w:tabs>
          <w:tab w:val="right" w:leader="dot" w:pos="7077"/>
        </w:tabs>
        <w:rPr>
          <w:rFonts w:asciiTheme="minorHAnsi" w:eastAsiaTheme="minorEastAsia" w:hAnsiTheme="minorHAnsi" w:cstheme="minorBidi"/>
          <w:b w:val="0"/>
          <w:szCs w:val="22"/>
        </w:rPr>
      </w:pPr>
      <w:r>
        <w:t>Form 2</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_Toc154066578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(Burswood Island) (Licensing of Employees) Regulations 1985</w:t>
      </w:r>
    </w:p>
    <w:p>
      <w:pPr>
        <w:pStyle w:val="Heading5"/>
        <w:spacing w:before="240"/>
        <w:rPr>
          <w:snapToGrid w:val="0"/>
        </w:rPr>
      </w:pPr>
      <w:bookmarkStart w:id="3" w:name="_Toc154066552"/>
      <w:r>
        <w:rPr>
          <w:rStyle w:val="CharSectno"/>
        </w:rPr>
        <w:t>1</w:t>
      </w:r>
      <w:r>
        <w:rPr>
          <w:snapToGrid w:val="0"/>
        </w:rPr>
        <w:t xml:space="preserve">. </w:t>
      </w:r>
      <w:r>
        <w:rPr>
          <w:snapToGrid w:val="0"/>
        </w:rPr>
        <w:tab/>
        <w:t>Citation</w:t>
      </w:r>
      <w:bookmarkEnd w:id="3"/>
      <w:r>
        <w:rPr>
          <w:snapToGrid w:val="0"/>
        </w:rPr>
        <w:t xml:space="preserve"> </w:t>
      </w:r>
    </w:p>
    <w:p>
      <w:pPr>
        <w:pStyle w:val="Subsection"/>
      </w:pPr>
      <w:r>
        <w:tab/>
      </w:r>
      <w:r>
        <w:tab/>
        <w:t xml:space="preserve">These regulations may be cited as the </w:t>
      </w:r>
      <w:r>
        <w:rPr>
          <w:i/>
        </w:rPr>
        <w:t>Casino Control (Burswood Island) (Licensing of Employees) Regulations 1985</w:t>
      </w:r>
      <w:r>
        <w:t>.</w:t>
      </w:r>
    </w:p>
    <w:p>
      <w:pPr>
        <w:pStyle w:val="Heading5"/>
        <w:spacing w:before="240"/>
        <w:rPr>
          <w:snapToGrid w:val="0"/>
        </w:rPr>
      </w:pPr>
      <w:bookmarkStart w:id="4" w:name="_Toc154066553"/>
      <w:r>
        <w:rPr>
          <w:rStyle w:val="CharSectno"/>
        </w:rPr>
        <w:t>2</w:t>
      </w:r>
      <w:r>
        <w:rPr>
          <w:snapToGrid w:val="0"/>
        </w:rPr>
        <w:t xml:space="preserve">. </w:t>
      </w:r>
      <w:r>
        <w:rPr>
          <w:snapToGrid w:val="0"/>
        </w:rPr>
        <w:tab/>
        <w:t>Terms used, forms</w:t>
      </w:r>
      <w:bookmarkEnd w:id="4"/>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keepNext/>
      </w:pPr>
      <w:r>
        <w:rPr>
          <w:b/>
        </w:rPr>
        <w:lastRenderedPageBreak/>
        <w:tab/>
      </w:r>
      <w:r>
        <w:rPr>
          <w:rStyle w:val="CharDefText"/>
        </w:rPr>
        <w:t>form</w:t>
      </w:r>
      <w:r>
        <w:t xml:space="preserve"> means a form in the Schedule;</w:t>
      </w:r>
    </w:p>
    <w:p>
      <w:pPr>
        <w:pStyle w:val="Defstart"/>
        <w:keepNex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Gazette 4 May 1990 p. 2237; 2 Jul 1999 p. 2922; 30 Jan 2004 p. 414.] </w:t>
      </w:r>
    </w:p>
    <w:p>
      <w:pPr>
        <w:pStyle w:val="Heading5"/>
        <w:spacing w:before="240"/>
        <w:rPr>
          <w:snapToGrid w:val="0"/>
        </w:rPr>
      </w:pPr>
      <w:bookmarkStart w:id="5" w:name="_Toc154066554"/>
      <w:r>
        <w:rPr>
          <w:rStyle w:val="CharSectno"/>
        </w:rPr>
        <w:lastRenderedPageBreak/>
        <w:t>3</w:t>
      </w:r>
      <w:r>
        <w:rPr>
          <w:snapToGrid w:val="0"/>
        </w:rPr>
        <w:t xml:space="preserve">. </w:t>
      </w:r>
      <w:r>
        <w:rPr>
          <w:snapToGrid w:val="0"/>
        </w:rPr>
        <w:tab/>
        <w:t>Unlicensed persons not to be casino key employees or casino employees</w:t>
      </w:r>
      <w:bookmarkEnd w:id="5"/>
      <w:r>
        <w:rPr>
          <w:snapToGrid w:val="0"/>
        </w:rPr>
        <w:t xml:space="preserve"> </w:t>
      </w:r>
    </w:p>
    <w:p>
      <w:pPr>
        <w:pStyle w:val="Subsection"/>
        <w:keepNext/>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keepNext/>
        <w:rPr>
          <w:snapToGrid w:val="0"/>
        </w:rPr>
      </w:pPr>
      <w:r>
        <w:rPr>
          <w:snapToGrid w:val="0"/>
        </w:rPr>
        <w:tab/>
        <w:t>(c)</w:t>
      </w:r>
      <w:r>
        <w:rPr>
          <w:snapToGrid w:val="0"/>
        </w:rPr>
        <w:tab/>
        <w:t xml:space="preserve">carries out building or other maintenance work, or cleaning, or is engaged in the installation, servicing or </w:t>
      </w:r>
      <w:r>
        <w:rPr>
          <w:snapToGrid w:val="0"/>
        </w:rPr>
        <w:lastRenderedPageBreak/>
        <w:t>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Gazette 4 May 1990 p. 2238.] </w:t>
      </w:r>
    </w:p>
    <w:p>
      <w:pPr>
        <w:pStyle w:val="Heading5"/>
        <w:rPr>
          <w:snapToGrid w:val="0"/>
        </w:rPr>
      </w:pPr>
      <w:bookmarkStart w:id="6" w:name="_Toc154066555"/>
      <w:r>
        <w:rPr>
          <w:rStyle w:val="CharSectno"/>
        </w:rPr>
        <w:t>4</w:t>
      </w:r>
      <w:r>
        <w:rPr>
          <w:snapToGrid w:val="0"/>
        </w:rPr>
        <w:t xml:space="preserve">. </w:t>
      </w:r>
      <w:r>
        <w:rPr>
          <w:snapToGrid w:val="0"/>
        </w:rPr>
        <w:tab/>
        <w:t>Application for licence as employee</w:t>
      </w:r>
      <w:bookmarkEnd w:id="6"/>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 xml:space="preserve">a letter from the Operator with which the applicant desires to be employed addressed to the Chief Casino Officer stating that the applicant (subject, in an appropriate case, to the successful completion by the </w:t>
      </w:r>
      <w:r>
        <w:rPr>
          <w:snapToGrid w:val="0"/>
        </w:rPr>
        <w:lastRenderedPageBreak/>
        <w:t>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lastRenderedPageBreak/>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Gazette 29 May 1987 p. 2217; 4 May 1990 p. 2238; 8 Feb 1991 p. 650; 7 Sep 2004 p. 3882; 14 Oct 2005 p. 4558; 4 Oct 2016 p. 4241.] </w:t>
      </w:r>
    </w:p>
    <w:p>
      <w:pPr>
        <w:pStyle w:val="Heading5"/>
        <w:rPr>
          <w:snapToGrid w:val="0"/>
        </w:rPr>
      </w:pPr>
      <w:bookmarkStart w:id="7" w:name="_Toc154066556"/>
      <w:r>
        <w:rPr>
          <w:rStyle w:val="CharSectno"/>
        </w:rPr>
        <w:t>5</w:t>
      </w:r>
      <w:r>
        <w:rPr>
          <w:snapToGrid w:val="0"/>
        </w:rPr>
        <w:t xml:space="preserve">. </w:t>
      </w:r>
      <w:r>
        <w:rPr>
          <w:snapToGrid w:val="0"/>
        </w:rPr>
        <w:tab/>
        <w:t>Investigation by police</w:t>
      </w:r>
      <w:bookmarkEnd w:id="7"/>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 xml:space="preserve">Upon the completion or discontinuance of an investigation under this regulation the Commissioner of Police shall return </w:t>
      </w:r>
      <w:r>
        <w:lastRenderedPageBreak/>
        <w:t>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Gazette 8 Feb 1991 p. 650; 7 Sep 2004 p. 3882; 12 Apr 2011 p. 1325.] </w:t>
      </w:r>
    </w:p>
    <w:p>
      <w:pPr>
        <w:pStyle w:val="Heading5"/>
        <w:rPr>
          <w:snapToGrid w:val="0"/>
        </w:rPr>
      </w:pPr>
      <w:bookmarkStart w:id="8" w:name="_Toc154066557"/>
      <w:r>
        <w:rPr>
          <w:rStyle w:val="CharSectno"/>
        </w:rPr>
        <w:t>6</w:t>
      </w:r>
      <w:r>
        <w:rPr>
          <w:snapToGrid w:val="0"/>
        </w:rPr>
        <w:t>.</w:t>
      </w:r>
      <w:r>
        <w:rPr>
          <w:snapToGrid w:val="0"/>
        </w:rPr>
        <w:tab/>
        <w:t>Licence fees</w:t>
      </w:r>
      <w:bookmarkEnd w:id="8"/>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$497.50; and</w:t>
      </w:r>
    </w:p>
    <w:p>
      <w:pPr>
        <w:pStyle w:val="Indenta"/>
        <w:rPr>
          <w:snapToGrid w:val="0"/>
        </w:rPr>
      </w:pPr>
      <w:r>
        <w:rPr>
          <w:snapToGrid w:val="0"/>
        </w:rPr>
        <w:tab/>
        <w:t>(b)</w:t>
      </w:r>
      <w:r>
        <w:rPr>
          <w:snapToGrid w:val="0"/>
        </w:rPr>
        <w:tab/>
        <w:t xml:space="preserve">for a casino employee licence, is </w:t>
      </w:r>
      <w:r>
        <w:t>$325.</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$143; and</w:t>
      </w:r>
    </w:p>
    <w:p>
      <w:pPr>
        <w:pStyle w:val="Indenta"/>
        <w:rPr>
          <w:snapToGrid w:val="0"/>
        </w:rPr>
      </w:pPr>
      <w:r>
        <w:rPr>
          <w:snapToGrid w:val="0"/>
        </w:rPr>
        <w:tab/>
        <w:t>(b)</w:t>
      </w:r>
      <w:r>
        <w:rPr>
          <w:snapToGrid w:val="0"/>
        </w:rPr>
        <w:tab/>
        <w:t xml:space="preserve">for the renewal of a casino employee licence, is </w:t>
      </w:r>
      <w:r>
        <w:t>$143.</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$343.50;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$56.50.</w:t>
      </w:r>
    </w:p>
    <w:p>
      <w:pPr>
        <w:pStyle w:val="Subsection"/>
        <w:keepNext/>
      </w:pPr>
      <w:r>
        <w:lastRenderedPageBreak/>
        <w:tab/>
        <w:t>(3)</w:t>
      </w:r>
      <w:r>
        <w:tab/>
        <w:t>The Commission may at its discretion reduce, waive or refund, in whole or in part, a fee prescribed under this regulation.</w:t>
      </w:r>
    </w:p>
    <w:p>
      <w:pPr>
        <w:pStyle w:val="Footnotesection"/>
      </w:pPr>
      <w:r>
        <w:tab/>
        <w:t>[Regulation 6 amended: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2; 6 Nov 2015 p. 4582; 28 Oct 2016 p. 4912; 10 Nov 2017 p. 5582; 7 Sep 2018 p. 3193; 22 Oct 2019 p. 3721</w:t>
      </w:r>
      <w:r>
        <w:noBreakHyphen/>
        <w:t xml:space="preserve">2; SL 2022/144 r. 6.] </w:t>
      </w:r>
    </w:p>
    <w:p>
      <w:pPr>
        <w:pStyle w:val="Heading5"/>
        <w:rPr>
          <w:snapToGrid w:val="0"/>
        </w:rPr>
      </w:pPr>
      <w:bookmarkStart w:id="9" w:name="_Toc154066558"/>
      <w:r>
        <w:rPr>
          <w:rStyle w:val="CharSectno"/>
        </w:rPr>
        <w:t>7</w:t>
      </w:r>
      <w:r>
        <w:rPr>
          <w:snapToGrid w:val="0"/>
        </w:rPr>
        <w:t xml:space="preserve">. </w:t>
      </w:r>
      <w:r>
        <w:rPr>
          <w:snapToGrid w:val="0"/>
        </w:rPr>
        <w:tab/>
        <w:t>Consideration of application</w:t>
      </w:r>
      <w:bookmarkEnd w:id="9"/>
      <w:r>
        <w:rPr>
          <w:snapToGrid w:val="0"/>
        </w:rPr>
        <w:t xml:space="preserve"> </w:t>
      </w:r>
    </w:p>
    <w:p>
      <w:pPr>
        <w:pStyle w:val="Subsection"/>
        <w:keepNext/>
        <w:keepLines/>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keepNext/>
        <w:keepLines/>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 xml:space="preserve">In a case to which regulation 4(3) applies, the Chief Casino Officer may only make a recommendation that the application be granted where the licence is to be a provisional licence or </w:t>
      </w:r>
      <w:r>
        <w:lastRenderedPageBreak/>
        <w:t>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Gazette 4 May 1990 p. 2238; 2 Jul 1999 p. 2923.] </w:t>
      </w:r>
    </w:p>
    <w:p>
      <w:pPr>
        <w:pStyle w:val="Heading5"/>
        <w:rPr>
          <w:snapToGrid w:val="0"/>
        </w:rPr>
      </w:pPr>
      <w:bookmarkStart w:id="10" w:name="_Toc154066559"/>
      <w:r>
        <w:rPr>
          <w:rStyle w:val="CharSectno"/>
        </w:rPr>
        <w:t>8</w:t>
      </w:r>
      <w:r>
        <w:rPr>
          <w:snapToGrid w:val="0"/>
        </w:rPr>
        <w:t xml:space="preserve">. </w:t>
      </w:r>
      <w:r>
        <w:rPr>
          <w:snapToGrid w:val="0"/>
        </w:rPr>
        <w:tab/>
        <w:t>Commission may grant or refuse licence</w:t>
      </w:r>
      <w:bookmarkEnd w:id="10"/>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keepNext/>
      </w:pPr>
      <w:r>
        <w:lastRenderedPageBreak/>
        <w:tab/>
        <w:t>(3)</w:t>
      </w:r>
      <w:r>
        <w:tab/>
        <w:t>The Chief Casino Officer shall cause the applicant to be notified in writing of the decision of the Commission.</w:t>
      </w:r>
    </w:p>
    <w:p>
      <w:pPr>
        <w:pStyle w:val="Footnotesection"/>
        <w:ind w:left="890" w:hanging="890"/>
      </w:pPr>
      <w:r>
        <w:tab/>
        <w:t xml:space="preserve">[Regulation 8 amended: Gazette 4 May 1990 p. 2238; 2 Jul 1999 p. 2923.] </w:t>
      </w:r>
    </w:p>
    <w:p>
      <w:pPr>
        <w:pStyle w:val="Heading5"/>
        <w:rPr>
          <w:snapToGrid w:val="0"/>
        </w:rPr>
      </w:pPr>
      <w:bookmarkStart w:id="11" w:name="_Toc154066560"/>
      <w:r>
        <w:rPr>
          <w:rStyle w:val="CharSectno"/>
        </w:rPr>
        <w:t>9</w:t>
      </w:r>
      <w:r>
        <w:rPr>
          <w:snapToGrid w:val="0"/>
        </w:rPr>
        <w:t xml:space="preserve">. </w:t>
      </w:r>
      <w:r>
        <w:rPr>
          <w:snapToGrid w:val="0"/>
        </w:rPr>
        <w:tab/>
        <w:t>Issue of licence</w:t>
      </w:r>
      <w:bookmarkEnd w:id="11"/>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lastRenderedPageBreak/>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Gazette 4 May 1990 p. 2238; 2 Jul 1999 p. 2923; 24 Jun 2005 p. 2773.] </w:t>
      </w:r>
    </w:p>
    <w:p>
      <w:pPr>
        <w:pStyle w:val="Heading5"/>
        <w:rPr>
          <w:snapToGrid w:val="0"/>
        </w:rPr>
      </w:pPr>
      <w:bookmarkStart w:id="12" w:name="_Toc154066561"/>
      <w:r>
        <w:rPr>
          <w:rStyle w:val="CharSectno"/>
        </w:rPr>
        <w:t>10</w:t>
      </w:r>
      <w:r>
        <w:rPr>
          <w:snapToGrid w:val="0"/>
        </w:rPr>
        <w:t xml:space="preserve">. </w:t>
      </w:r>
      <w:r>
        <w:rPr>
          <w:snapToGrid w:val="0"/>
        </w:rPr>
        <w:tab/>
        <w:t>Custody of licence</w:t>
      </w:r>
      <w:bookmarkEnd w:id="1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Gazette 4 May 1990 p. 2238.] </w:t>
      </w:r>
    </w:p>
    <w:p>
      <w:pPr>
        <w:pStyle w:val="Heading5"/>
        <w:rPr>
          <w:snapToGrid w:val="0"/>
        </w:rPr>
      </w:pPr>
      <w:bookmarkStart w:id="13" w:name="_Toc154066562"/>
      <w:r>
        <w:rPr>
          <w:rStyle w:val="CharSectno"/>
        </w:rPr>
        <w:t>11</w:t>
      </w:r>
      <w:r>
        <w:rPr>
          <w:snapToGrid w:val="0"/>
        </w:rPr>
        <w:t xml:space="preserve">. </w:t>
      </w:r>
      <w:r>
        <w:rPr>
          <w:snapToGrid w:val="0"/>
        </w:rPr>
        <w:tab/>
        <w:t>Display of identification</w:t>
      </w:r>
      <w:bookmarkEnd w:id="1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 xml:space="preserve">The Chief Casino Officer may, in relation to a specified casino key employee or casino employee, or casino key employee or casino employee carrying out duties of a kind specified in the </w:t>
      </w:r>
      <w:r>
        <w:lastRenderedPageBreak/>
        <w:t>exemption, in writing exempt the Operator from the requirements of subregulation (1) and the employee from the requirements of subregulation (1a).</w:t>
      </w:r>
    </w:p>
    <w:p>
      <w:pPr>
        <w:pStyle w:val="Footnotesection"/>
        <w:ind w:left="890" w:hanging="890"/>
      </w:pPr>
      <w:r>
        <w:tab/>
        <w:t xml:space="preserve">[Regulation 11 amended: Gazette 4 May 1990 p. 2238; 17 Mar 1998 p. 1492.] </w:t>
      </w:r>
    </w:p>
    <w:p>
      <w:pPr>
        <w:pStyle w:val="Heading5"/>
        <w:rPr>
          <w:snapToGrid w:val="0"/>
        </w:rPr>
      </w:pPr>
      <w:bookmarkStart w:id="14" w:name="_Toc154066563"/>
      <w:r>
        <w:rPr>
          <w:rStyle w:val="CharSectno"/>
        </w:rPr>
        <w:t>12</w:t>
      </w:r>
      <w:r>
        <w:rPr>
          <w:snapToGrid w:val="0"/>
        </w:rPr>
        <w:t xml:space="preserve">. </w:t>
      </w:r>
      <w:r>
        <w:rPr>
          <w:snapToGrid w:val="0"/>
        </w:rPr>
        <w:tab/>
        <w:t>Notification of commencement of employment</w:t>
      </w:r>
      <w:bookmarkEnd w:id="14"/>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15" w:name="_Toc154066564"/>
      <w:r>
        <w:rPr>
          <w:rStyle w:val="CharSectno"/>
        </w:rPr>
        <w:t>13</w:t>
      </w:r>
      <w:r>
        <w:rPr>
          <w:snapToGrid w:val="0"/>
        </w:rPr>
        <w:t xml:space="preserve">. </w:t>
      </w:r>
      <w:r>
        <w:rPr>
          <w:snapToGrid w:val="0"/>
        </w:rPr>
        <w:tab/>
        <w:t>Submission of information as to licensees and maintenance of register</w:t>
      </w:r>
      <w:bookmarkEnd w:id="1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lastRenderedPageBreak/>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16" w:name="_Toc154066565"/>
      <w:r>
        <w:rPr>
          <w:rStyle w:val="CharSectno"/>
        </w:rPr>
        <w:t>14</w:t>
      </w:r>
      <w:r>
        <w:rPr>
          <w:snapToGrid w:val="0"/>
        </w:rPr>
        <w:t xml:space="preserve">. </w:t>
      </w:r>
      <w:r>
        <w:rPr>
          <w:snapToGrid w:val="0"/>
        </w:rPr>
        <w:tab/>
        <w:t>Duration of licence</w:t>
      </w:r>
      <w:bookmarkEnd w:id="16"/>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 xml:space="preserve">who, being a casual employee or intermittent worker, has ceased to be employed or to work in the Casino for the time being but has obtained the approval of the Chief Casino Officer to the operation of his licence under </w:t>
      </w:r>
      <w:r>
        <w:rPr>
          <w:snapToGrid w:val="0"/>
        </w:rPr>
        <w:lastRenderedPageBreak/>
        <w:t>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Gazette 4 May 1990 p. 2238; 2 Jul 1999 p. 2923</w:t>
      </w:r>
      <w:r>
        <w:noBreakHyphen/>
        <w:t xml:space="preserve">4; 27 Oct 2000 p. 6029.] </w:t>
      </w:r>
    </w:p>
    <w:p>
      <w:pPr>
        <w:pStyle w:val="Heading5"/>
      </w:pPr>
      <w:bookmarkStart w:id="17" w:name="_Toc154066566"/>
      <w:r>
        <w:rPr>
          <w:rStyle w:val="CharSectno"/>
        </w:rPr>
        <w:t>14A</w:t>
      </w:r>
      <w:r>
        <w:t>.</w:t>
      </w:r>
      <w:r>
        <w:tab/>
        <w:t>Renewal of licence</w:t>
      </w:r>
      <w:bookmarkEnd w:id="17"/>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Gazette 2 Jul 1999 p. 2924.]</w:t>
      </w:r>
    </w:p>
    <w:p>
      <w:pPr>
        <w:pStyle w:val="Heading5"/>
        <w:rPr>
          <w:snapToGrid w:val="0"/>
        </w:rPr>
      </w:pPr>
      <w:bookmarkStart w:id="18" w:name="_Toc154066567"/>
      <w:r>
        <w:rPr>
          <w:rStyle w:val="CharSectno"/>
        </w:rPr>
        <w:lastRenderedPageBreak/>
        <w:t>15</w:t>
      </w:r>
      <w:r>
        <w:rPr>
          <w:snapToGrid w:val="0"/>
        </w:rPr>
        <w:t xml:space="preserve">. </w:t>
      </w:r>
      <w:r>
        <w:rPr>
          <w:snapToGrid w:val="0"/>
        </w:rPr>
        <w:tab/>
        <w:t>Cancellation or suspension of licence</w:t>
      </w:r>
      <w:bookmarkEnd w:id="18"/>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lastRenderedPageBreak/>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Gazette 13 Nov 1987 p. 4142; 4 May 1990 p. 2238; 12 Dec 1997 p. 7288; 4 Oct 2016 p. 4241.] </w:t>
      </w:r>
    </w:p>
    <w:p>
      <w:pPr>
        <w:pStyle w:val="Heading5"/>
      </w:pPr>
      <w:bookmarkStart w:id="19" w:name="_Toc154066568"/>
      <w:r>
        <w:rPr>
          <w:rStyle w:val="CharSectno"/>
        </w:rPr>
        <w:t>16</w:t>
      </w:r>
      <w:r>
        <w:t>.</w:t>
      </w:r>
      <w:r>
        <w:tab/>
        <w:t>Letter of censure</w:t>
      </w:r>
      <w:bookmarkEnd w:id="19"/>
    </w:p>
    <w:p>
      <w:pPr>
        <w:pStyle w:val="Subsection"/>
      </w:pPr>
      <w:r>
        <w:tab/>
        <w:t>(1)</w:t>
      </w:r>
      <w:r>
        <w:tab/>
        <w:t xml:space="preserve">If the Commission considers that the circumstances warrant it, the Commission may serve on a casino key employee licence </w:t>
      </w:r>
      <w:r>
        <w:lastRenderedPageBreak/>
        <w:t>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Gazette 5 Feb 1999 p. 406.]</w:t>
      </w:r>
    </w:p>
    <w:p>
      <w:pPr>
        <w:pStyle w:val="Heading5"/>
      </w:pPr>
      <w:bookmarkStart w:id="20" w:name="_Toc154066569"/>
      <w:r>
        <w:rPr>
          <w:rStyle w:val="CharSectno"/>
        </w:rPr>
        <w:t>16A</w:t>
      </w:r>
      <w:r>
        <w:t>.</w:t>
      </w:r>
      <w:r>
        <w:tab/>
        <w:t>Imposition of fine</w:t>
      </w:r>
      <w:bookmarkEnd w:id="2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Gazette 5 Feb 1999 p. 406.]</w:t>
      </w:r>
    </w:p>
    <w:p>
      <w:pPr>
        <w:pStyle w:val="Heading5"/>
      </w:pPr>
      <w:bookmarkStart w:id="21" w:name="_Toc154066570"/>
      <w:r>
        <w:rPr>
          <w:rStyle w:val="CharSectno"/>
        </w:rPr>
        <w:t>16B</w:t>
      </w:r>
      <w:r>
        <w:t>.</w:t>
      </w:r>
      <w:r>
        <w:tab/>
        <w:t>Combination of punitive measures</w:t>
      </w:r>
      <w:bookmarkEnd w:id="21"/>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Gazette 5 Feb 1999 p. 406</w:t>
      </w:r>
      <w:r>
        <w:noBreakHyphen/>
        <w:t>7.]</w:t>
      </w:r>
    </w:p>
    <w:p>
      <w:pPr>
        <w:pStyle w:val="Heading5"/>
        <w:rPr>
          <w:snapToGrid w:val="0"/>
        </w:rPr>
      </w:pPr>
      <w:bookmarkStart w:id="22" w:name="_Toc154066571"/>
      <w:r>
        <w:rPr>
          <w:rStyle w:val="CharSectno"/>
        </w:rPr>
        <w:t>17</w:t>
      </w:r>
      <w:r>
        <w:rPr>
          <w:snapToGrid w:val="0"/>
        </w:rPr>
        <w:t xml:space="preserve">. </w:t>
      </w:r>
      <w:r>
        <w:rPr>
          <w:snapToGrid w:val="0"/>
        </w:rPr>
        <w:tab/>
        <w:t>Surrender of licence</w:t>
      </w:r>
      <w:bookmarkEnd w:id="2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Gazette 4 May 1990 p. 2238.] </w:t>
      </w:r>
    </w:p>
    <w:p>
      <w:pPr>
        <w:pStyle w:val="Heading5"/>
        <w:rPr>
          <w:snapToGrid w:val="0"/>
        </w:rPr>
      </w:pPr>
      <w:bookmarkStart w:id="23" w:name="_Toc154066572"/>
      <w:r>
        <w:rPr>
          <w:rStyle w:val="CharSectno"/>
        </w:rPr>
        <w:lastRenderedPageBreak/>
        <w:t>18</w:t>
      </w:r>
      <w:r>
        <w:rPr>
          <w:snapToGrid w:val="0"/>
        </w:rPr>
        <w:t xml:space="preserve">. </w:t>
      </w:r>
      <w:r>
        <w:rPr>
          <w:snapToGrid w:val="0"/>
        </w:rPr>
        <w:tab/>
        <w:t>Termination of employment and notification of termination</w:t>
      </w:r>
      <w:bookmarkEnd w:id="2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24" w:name="_Toc154066573"/>
      <w:r>
        <w:rPr>
          <w:rStyle w:val="CharSectno"/>
        </w:rPr>
        <w:t>19</w:t>
      </w:r>
      <w:r>
        <w:rPr>
          <w:snapToGrid w:val="0"/>
        </w:rPr>
        <w:t>.</w:t>
      </w:r>
      <w:r>
        <w:rPr>
          <w:snapToGrid w:val="0"/>
        </w:rPr>
        <w:tab/>
        <w:t>Provisional licences</w:t>
      </w:r>
      <w:bookmarkEnd w:id="24"/>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 xml:space="preserve">unless a report has been received under regulation 5(3), the applicant has provided to the Chief Casino Officer a certificate from the Commissioner of Police, given not more than 3 months before the application was lodged, setting out details of any offences committed by the </w:t>
      </w:r>
      <w:r>
        <w:lastRenderedPageBreak/>
        <w:t>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lastRenderedPageBreak/>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Gazette 4 May 1990 p. 2238; 13 Sep 1991 p. 4831; 12 Dec 1997 p. 7289; 2 May 2006 p. 1707; 11 Apr 2014 p. 1019.]</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25" w:name="_Toc153979687"/>
      <w:bookmarkStart w:id="26" w:name="_Toc154047611"/>
      <w:bookmarkStart w:id="27" w:name="_Toc154066574"/>
      <w:r>
        <w:rPr>
          <w:rStyle w:val="CharSchNo"/>
        </w:rPr>
        <w:lastRenderedPageBreak/>
        <w:t>Schedule</w:t>
      </w:r>
      <w:bookmarkEnd w:id="25"/>
      <w:bookmarkEnd w:id="26"/>
      <w:bookmarkEnd w:id="27"/>
    </w:p>
    <w:p>
      <w:pPr>
        <w:pStyle w:val="yEdnotedivision"/>
      </w:pPr>
      <w:r>
        <w:t>[Form 1 deleted: Gazette 14 Oct 2005 p. 4558.]</w:t>
      </w:r>
    </w:p>
    <w:p>
      <w:pPr>
        <w:pStyle w:val="yHeading3"/>
      </w:pPr>
      <w:bookmarkStart w:id="28" w:name="_Toc153979688"/>
      <w:bookmarkStart w:id="29" w:name="_Toc154047612"/>
      <w:bookmarkStart w:id="30" w:name="_Toc154066575"/>
      <w:r>
        <w:rPr>
          <w:rStyle w:val="CharSClsNo"/>
        </w:rPr>
        <w:t>Form 2</w:t>
      </w:r>
      <w:bookmarkEnd w:id="28"/>
      <w:bookmarkEnd w:id="29"/>
      <w:bookmarkEnd w:id="30"/>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[Form 2 amended: Gazette 4 May 1990 p. 2243; 30 Jan 2004 p. 414; 24 Jun 2005 p. 2773.]</w:t>
      </w:r>
    </w:p>
    <w:p>
      <w:pPr>
        <w:pStyle w:val="yHeading3"/>
        <w:keepNext w:val="0"/>
        <w:pageBreakBefore/>
        <w:widowControl w:val="0"/>
        <w:rPr>
          <w:b w:val="0"/>
        </w:rPr>
      </w:pPr>
      <w:bookmarkStart w:id="31" w:name="_Toc153979689"/>
      <w:bookmarkStart w:id="32" w:name="_Toc154047613"/>
      <w:bookmarkStart w:id="33" w:name="_Toc154066576"/>
      <w:r>
        <w:rPr>
          <w:rStyle w:val="CharSClsNo"/>
        </w:rPr>
        <w:lastRenderedPageBreak/>
        <w:t>Form 3</w:t>
      </w:r>
      <w:bookmarkEnd w:id="31"/>
      <w:bookmarkEnd w:id="32"/>
      <w:bookmarkEnd w:id="33"/>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 xml:space="preserve">[Form 3 amended: Gazette 4 May 1990 p. 2243; 30 Jan 2004 p. 414; 24 Jun 2005 p. 2773.] </w:t>
      </w:r>
    </w:p>
    <w:p>
      <w:pPr>
        <w:pStyle w:val="yMiscellaneousHeading"/>
        <w:pageBreakBefore/>
        <w:spacing w:before="240"/>
        <w:rPr>
          <w:b/>
          <w:bCs/>
          <w:snapToGrid w:val="0"/>
        </w:rPr>
      </w:pPr>
      <w:r>
        <w:rPr>
          <w:rStyle w:val="CharSClsNo"/>
          <w:b/>
        </w:rPr>
        <w:lastRenderedPageBreak/>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Gazette 4 May 1990 p. 2243; 30 Jan 2004 p. 414.]</w:t>
      </w:r>
    </w:p>
    <w:p>
      <w:pPr>
        <w:pStyle w:val="yMiscellaneousHeading"/>
        <w:pageBreakBefore/>
        <w:spacing w:before="0"/>
        <w:rPr>
          <w:b/>
        </w:rPr>
      </w:pPr>
      <w:r>
        <w:rPr>
          <w:rStyle w:val="CharSClsNo"/>
          <w:b/>
        </w:rPr>
        <w:lastRenderedPageBreak/>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(Burswood Island)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lastRenderedPageBreak/>
        <w:tab/>
      </w:r>
      <w:r>
        <w:rPr>
          <w:spacing w:val="-2"/>
        </w:rPr>
        <w:t>[Form 5 amended: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(Burswood Island)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Western Australia.</w:t>
      </w:r>
    </w:p>
    <w:p>
      <w:pPr>
        <w:pStyle w:val="yFootnotesection"/>
        <w:rPr>
          <w:b/>
        </w:rPr>
      </w:pPr>
      <w:r>
        <w:tab/>
        <w:t>[Form 6 amended: Gazette 4 May 1990 p. 2243; 30 Jan 2004 p. 415; 24 Jun 2005 p. 2773.]</w:t>
      </w:r>
    </w:p>
    <w:p>
      <w:pPr>
        <w:pStyle w:val="yMiscellaneousHeading"/>
        <w:keepLines/>
        <w:pageBreakBefore/>
        <w:rPr>
          <w:b/>
          <w:bCs/>
          <w:snapToGrid w:val="0"/>
        </w:rPr>
      </w:pPr>
      <w:r>
        <w:rPr>
          <w:rStyle w:val="CharSClsNo"/>
          <w:b/>
        </w:rPr>
        <w:lastRenderedPageBreak/>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Western Australia.</w:t>
      </w:r>
    </w:p>
    <w:p>
      <w:pPr>
        <w:pStyle w:val="yFootnotesection"/>
      </w:pPr>
      <w:r>
        <w:tab/>
        <w:t>[Form 7 amended: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pStyle w:val="yFootnotesection"/>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35" w:name="_Toc153979690"/>
      <w:bookmarkStart w:id="36" w:name="_Toc154047614"/>
      <w:bookmarkStart w:id="37" w:name="_Toc154066577"/>
      <w:r>
        <w:lastRenderedPageBreak/>
        <w:t>Notes</w:t>
      </w:r>
      <w:bookmarkEnd w:id="35"/>
      <w:bookmarkEnd w:id="36"/>
      <w:bookmarkEnd w:id="37"/>
    </w:p>
    <w:p>
      <w:pPr>
        <w:pStyle w:val="nStatement"/>
      </w:pPr>
      <w:r>
        <w:t xml:space="preserve">This is a compilation of the </w:t>
      </w:r>
      <w:r>
        <w:rPr>
          <w:i/>
          <w:noProof/>
        </w:rPr>
        <w:t>Casino Control (Burswood Island) (Licensing of Employees) Regulations 1985</w:t>
      </w:r>
      <w:r>
        <w:t xml:space="preserve"> and includes amendments made by other written laws. For provisions that have come into operation, and for information about any reprints, see the compilation table. </w:t>
      </w:r>
    </w:p>
    <w:p>
      <w:pPr>
        <w:pStyle w:val="nHeading3"/>
      </w:pPr>
      <w:bookmarkStart w:id="38" w:name="_Toc154066578"/>
      <w:r>
        <w:t>Compilation table</w:t>
      </w:r>
      <w:bookmarkEnd w:id="38"/>
    </w:p>
    <w:tbl>
      <w:tblPr>
        <w:tblW w:w="709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9"/>
      </w:tblGrid>
      <w:tr>
        <w:trPr>
          <w:gridAfter w:val="1"/>
          <w:wAfter w:w="9"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Borders>
              <w:top w:val="single" w:sz="8" w:space="0" w:color="auto"/>
            </w:tcBorders>
          </w:tcPr>
          <w:p>
            <w:pPr>
              <w:pStyle w:val="nTable"/>
              <w:spacing w:after="40"/>
              <w:ind w:right="113"/>
            </w:pPr>
            <w:r>
              <w:rPr>
                <w:i/>
              </w:rPr>
              <w:t>Casino Control (Burswood Island)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lastRenderedPageBreak/>
              <w:t>Casino Control (Burswood Island)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of the </w:t>
            </w:r>
            <w:r>
              <w:rPr>
                <w:b/>
                <w:bCs/>
                <w:i/>
              </w:rPr>
              <w:t>Casino Control (Burswood Island) (Licensing of Employees) Regulations 1985</w:t>
            </w:r>
            <w:r>
              <w:rPr>
                <w:b/>
                <w:bCs/>
              </w:rPr>
              <w:t xml:space="preserve"> as at 2 Jan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2: The </w:t>
            </w:r>
            <w:r>
              <w:rPr>
                <w:b/>
                <w:bCs/>
                <w:i/>
              </w:rPr>
              <w:t>Casino Control (Burswood Island) (Licensing of Employees) Regulations 1985</w:t>
            </w:r>
            <w:r>
              <w:rPr>
                <w:b/>
                <w:bCs/>
              </w:rPr>
              <w:t xml:space="preserve"> as at 23 Jun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vertAlign w:val="superscript"/>
              </w:rPr>
            </w:pPr>
            <w:r>
              <w:rPr>
                <w:i/>
              </w:rPr>
              <w:t>Casino Control (Burswood Island)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t>Casino Control (Burswood Island)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lastRenderedPageBreak/>
              <w:t>Casino Control (Burswood Island)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vertAlign w:val="superscript"/>
              </w:rPr>
            </w:pPr>
            <w:r>
              <w:rPr>
                <w:i/>
              </w:rPr>
              <w:t>Casino Control (Burswood Island)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3: The </w:t>
            </w:r>
            <w:r>
              <w:rPr>
                <w:b/>
                <w:bCs/>
                <w:i/>
              </w:rPr>
              <w:t>Casino Control (Burswood Island) (Licensing of Employees) Regulations 1985</w:t>
            </w:r>
            <w:r>
              <w:rPr>
                <w:b/>
                <w:bCs/>
              </w:rPr>
              <w:t xml:space="preserve"> as at 20 Aug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vertAlign w:val="superscript"/>
              </w:rPr>
            </w:pPr>
            <w:r>
              <w:rPr>
                <w:i/>
              </w:rPr>
              <w:t xml:space="preserve">Casino Control (Burswood Island) (Licensing of Employees) Amendment Regulations (No. 2) 2010 </w:t>
            </w:r>
          </w:p>
        </w:tc>
        <w:tc>
          <w:tcPr>
            <w:tcW w:w="1276" w:type="dxa"/>
            <w:gridSpan w:val="2"/>
          </w:tcPr>
          <w:p>
            <w:pPr>
              <w:pStyle w:val="nTable"/>
              <w:spacing w:after="40"/>
            </w:pPr>
            <w:r>
              <w:t>19 Nov 2010 p. 5741</w:t>
            </w:r>
            <w:r>
              <w:noBreakHyphen/>
              <w:t>2</w:t>
            </w:r>
          </w:p>
        </w:tc>
        <w:tc>
          <w:tcPr>
            <w:tcW w:w="2694"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2011</w:t>
            </w:r>
          </w:p>
        </w:tc>
        <w:tc>
          <w:tcPr>
            <w:tcW w:w="1276" w:type="dxa"/>
            <w:gridSpan w:val="2"/>
          </w:tcPr>
          <w:p>
            <w:pPr>
              <w:pStyle w:val="nTable"/>
              <w:spacing w:after="40"/>
            </w:pPr>
            <w:r>
              <w:t>12 Apr 2011 p. 1324-5</w:t>
            </w:r>
          </w:p>
        </w:tc>
        <w:tc>
          <w:tcPr>
            <w:tcW w:w="2694"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(No. 2) 2011</w:t>
            </w:r>
          </w:p>
        </w:tc>
        <w:tc>
          <w:tcPr>
            <w:tcW w:w="1276" w:type="dxa"/>
            <w:gridSpan w:val="2"/>
          </w:tcPr>
          <w:p>
            <w:pPr>
              <w:pStyle w:val="nTable"/>
              <w:spacing w:after="40"/>
            </w:pPr>
            <w:r>
              <w:t>4 Nov 2011 p. 4638-9</w:t>
            </w:r>
          </w:p>
        </w:tc>
        <w:tc>
          <w:tcPr>
            <w:tcW w:w="2694"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2012</w:t>
            </w:r>
          </w:p>
        </w:tc>
        <w:tc>
          <w:tcPr>
            <w:tcW w:w="1276" w:type="dxa"/>
            <w:gridSpan w:val="2"/>
          </w:tcPr>
          <w:p>
            <w:pPr>
              <w:pStyle w:val="nTable"/>
              <w:spacing w:after="40"/>
            </w:pPr>
            <w:r>
              <w:t>16 Nov 2012 p. 5648-9</w:t>
            </w:r>
          </w:p>
        </w:tc>
        <w:tc>
          <w:tcPr>
            <w:tcW w:w="2694"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4"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4"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spacing w:val="-2"/>
              </w:rPr>
            </w:pPr>
            <w:r>
              <w:rPr>
                <w:b/>
                <w:bCs/>
              </w:rPr>
              <w:t xml:space="preserve">Reprint 4: The </w:t>
            </w:r>
            <w:r>
              <w:rPr>
                <w:b/>
                <w:bCs/>
                <w:i/>
              </w:rPr>
              <w:t>Casino Control (Burswood Island) (Licensing of Employees) Regulations 1985</w:t>
            </w:r>
            <w:r>
              <w:rPr>
                <w:b/>
                <w:bCs/>
              </w:rPr>
              <w:t xml:space="preserve"> as at 6 Jun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4"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lastRenderedPageBreak/>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4" w:type="dxa"/>
            <w:gridSpan w:val="2"/>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4"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2016</w:t>
            </w:r>
            <w:r>
              <w:t xml:space="preserve"> Pt. 3</w:t>
            </w:r>
          </w:p>
        </w:tc>
        <w:tc>
          <w:tcPr>
            <w:tcW w:w="1276" w:type="dxa"/>
            <w:gridSpan w:val="2"/>
          </w:tcPr>
          <w:p>
            <w:pPr>
              <w:pStyle w:val="nTable"/>
              <w:spacing w:after="40"/>
            </w:pPr>
            <w:r>
              <w:t>28 Oct 2016 p. 4910</w:t>
            </w:r>
            <w:r>
              <w:noBreakHyphen/>
              <w:t>16</w:t>
            </w:r>
          </w:p>
        </w:tc>
        <w:tc>
          <w:tcPr>
            <w:tcW w:w="2694" w:type="dxa"/>
            <w:gridSpan w:val="2"/>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2017</w:t>
            </w:r>
            <w:r>
              <w:t xml:space="preserve"> Pt. 3</w:t>
            </w:r>
          </w:p>
        </w:tc>
        <w:tc>
          <w:tcPr>
            <w:tcW w:w="1276" w:type="dxa"/>
            <w:gridSpan w:val="2"/>
          </w:tcPr>
          <w:p>
            <w:pPr>
              <w:pStyle w:val="nTable"/>
              <w:spacing w:after="40"/>
            </w:pPr>
            <w:r>
              <w:t>10 Nov 2017 p. 5579</w:t>
            </w:r>
            <w:r>
              <w:noBreakHyphen/>
              <w:t>94</w:t>
            </w:r>
          </w:p>
        </w:tc>
        <w:tc>
          <w:tcPr>
            <w:tcW w:w="2694"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2018</w:t>
            </w:r>
            <w:r>
              <w:t xml:space="preserve"> Pt. 3</w:t>
            </w:r>
          </w:p>
        </w:tc>
        <w:tc>
          <w:tcPr>
            <w:tcW w:w="1276" w:type="dxa"/>
            <w:gridSpan w:val="2"/>
          </w:tcPr>
          <w:p>
            <w:pPr>
              <w:pStyle w:val="nTable"/>
              <w:spacing w:after="40"/>
            </w:pPr>
            <w:r>
              <w:t>7 Sep 2018 p. 3192</w:t>
            </w:r>
            <w:r>
              <w:noBreakHyphen/>
              <w:t>200</w:t>
            </w:r>
          </w:p>
        </w:tc>
        <w:tc>
          <w:tcPr>
            <w:tcW w:w="2694" w:type="dxa"/>
            <w:gridSpan w:val="2"/>
          </w:tcPr>
          <w:p>
            <w:pPr>
              <w:pStyle w:val="nTable"/>
              <w:spacing w:after="40"/>
            </w:pPr>
            <w:r>
              <w:t>1 Jan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Racing, Gaming and Liquor Regulations Amendment (Fees and Charges) Regulations 2019</w:t>
            </w:r>
            <w:r>
              <w:t xml:space="preserve"> Pt. 3</w:t>
            </w:r>
          </w:p>
        </w:tc>
        <w:tc>
          <w:tcPr>
            <w:tcW w:w="1276" w:type="dxa"/>
            <w:gridSpan w:val="2"/>
            <w:tcBorders>
              <w:top w:val="nil"/>
              <w:bottom w:val="nil"/>
            </w:tcBorders>
          </w:tcPr>
          <w:p>
            <w:pPr>
              <w:pStyle w:val="nTable"/>
              <w:spacing w:after="40"/>
            </w:pPr>
            <w:r>
              <w:t>22 Oct 2019 p. 3720</w:t>
            </w:r>
            <w:r>
              <w:noBreakHyphen/>
              <w:t>9</w:t>
            </w:r>
          </w:p>
        </w:tc>
        <w:tc>
          <w:tcPr>
            <w:tcW w:w="2694" w:type="dxa"/>
            <w:gridSpan w:val="2"/>
            <w:tcBorders>
              <w:top w:val="nil"/>
              <w:bottom w:val="nil"/>
            </w:tcBorders>
          </w:tcPr>
          <w:p>
            <w:pPr>
              <w:pStyle w:val="nTable"/>
              <w:spacing w:after="40"/>
            </w:pPr>
            <w:r>
              <w:t>1 Jan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Racing and Gaming Regulations Amendment (Fees and Charges) Regulations 2022</w:t>
            </w:r>
            <w:r>
              <w:t xml:space="preserve"> Pt. 3</w:t>
            </w:r>
          </w:p>
        </w:tc>
        <w:tc>
          <w:tcPr>
            <w:tcW w:w="1276" w:type="dxa"/>
            <w:gridSpan w:val="2"/>
            <w:tcBorders>
              <w:top w:val="nil"/>
              <w:bottom w:val="nil"/>
            </w:tcBorders>
          </w:tcPr>
          <w:p>
            <w:pPr>
              <w:pStyle w:val="nTable"/>
              <w:spacing w:after="40"/>
            </w:pPr>
            <w:r>
              <w:t>SL 2022/144 12 Aug 2022</w:t>
            </w:r>
          </w:p>
        </w:tc>
        <w:tc>
          <w:tcPr>
            <w:tcW w:w="2694" w:type="dxa"/>
            <w:gridSpan w:val="2"/>
            <w:tcBorders>
              <w:top w:val="nil"/>
              <w:bottom w:val="nil"/>
            </w:tcBorders>
          </w:tcPr>
          <w:p>
            <w:pPr>
              <w:pStyle w:val="nTable"/>
              <w:spacing w:after="40"/>
            </w:pPr>
            <w:r>
              <w:t>1 Jan 2023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 xml:space="preserve">Racing and Gaming Regulations Amendment (Fees and Charges) Regulations 2023 </w:t>
            </w:r>
            <w:r>
              <w:t>Pt. 3</w:t>
            </w:r>
          </w:p>
        </w:tc>
        <w:tc>
          <w:tcPr>
            <w:tcW w:w="1276" w:type="dxa"/>
            <w:gridSpan w:val="2"/>
            <w:tcBorders>
              <w:bottom w:val="single" w:sz="4" w:space="0" w:color="auto"/>
            </w:tcBorders>
          </w:tcPr>
          <w:p>
            <w:pPr>
              <w:pStyle w:val="nTable"/>
              <w:spacing w:after="40"/>
            </w:pPr>
            <w:r>
              <w:t>SL 2023/156 18 Oct 2023</w:t>
            </w:r>
          </w:p>
        </w:tc>
        <w:tc>
          <w:tcPr>
            <w:tcW w:w="2694" w:type="dxa"/>
            <w:gridSpan w:val="2"/>
            <w:tcBorders>
              <w:bottom w:val="single" w:sz="4" w:space="0" w:color="auto"/>
            </w:tcBorders>
          </w:tcPr>
          <w:p>
            <w:pPr>
              <w:pStyle w:val="nTable"/>
              <w:spacing w:after="40"/>
            </w:pPr>
            <w:r>
              <w:t>1 Jan 2024 (see r. 2(b))</w:t>
            </w:r>
          </w:p>
        </w:tc>
      </w:tr>
    </w:tbl>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40" w:name="_Toc153979693"/>
      <w:bookmarkStart w:id="41" w:name="_Toc154047616"/>
      <w:bookmarkStart w:id="42" w:name="_Toc154066579"/>
      <w:r>
        <w:rPr>
          <w:sz w:val="28"/>
        </w:rPr>
        <w:lastRenderedPageBreak/>
        <w:t>Defined terms</w:t>
      </w:r>
      <w:bookmarkEnd w:id="40"/>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Casino</w:t>
      </w:r>
      <w:r>
        <w:tab/>
        <w:t>2(1)</w:t>
      </w:r>
    </w:p>
    <w:p>
      <w:pPr>
        <w:pStyle w:val="DefinedTerms"/>
      </w:pPr>
      <w:r>
        <w:t>Casino Gaming Licence</w:t>
      </w:r>
      <w:r>
        <w:tab/>
        <w:t>2(1)</w:t>
      </w:r>
    </w:p>
    <w:p>
      <w:pPr>
        <w:pStyle w:val="DefinedTerms"/>
      </w:pPr>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Operator</w:t>
      </w:r>
      <w:r>
        <w:tab/>
        <w:t>2(1)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9BCE61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A5907D5" w14:textId="54BDFA09" w:rsidR="00B00119" w:rsidRDefault="00B0011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048E505F" w14:textId="77777777" w:rsidR="00B00119" w:rsidRDefault="00B0011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2AE05C1" w14:textId="6B668764" w:rsidR="00B00119" w:rsidRDefault="00B0011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491FB4A0" w14:textId="77777777" w:rsidR="00B00119" w:rsidRDefault="00B0011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04-r0-00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04-r0-00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04-r0-00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04-r0-00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04-r0-00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04-r0-00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470"/>
    </w:tblGrid>
    <w:tr>
      <w:trPr>
        <w:cantSplit/>
        <w:jc w:val="center"/>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470" w:type="dxa"/>
        </w:tcPr>
        <w:p>
          <w:pPr>
            <w:pStyle w:val="Header"/>
            <w:spacing w:before="40"/>
          </w:pPr>
        </w:p>
      </w:tc>
    </w:tr>
    <w:tr>
      <w:trPr>
        <w:jc w:val="center"/>
      </w:trPr>
      <w:tc>
        <w:tcPr>
          <w:tcW w:w="1548" w:type="dxa"/>
        </w:tcPr>
        <w:p>
          <w:pPr>
            <w:pStyle w:val="Header"/>
            <w:spacing w:before="40"/>
          </w:pPr>
        </w:p>
      </w:tc>
      <w:tc>
        <w:tcPr>
          <w:tcW w:w="5470" w:type="dxa"/>
        </w:tcPr>
        <w:p>
          <w:pPr>
            <w:pStyle w:val="Header"/>
            <w:spacing w:before="40"/>
          </w:pPr>
        </w:p>
      </w:tc>
    </w:tr>
    <w:tr>
      <w:trPr>
        <w:cantSplit/>
        <w:jc w:val="center"/>
      </w:trPr>
      <w:tc>
        <w:tcPr>
          <w:tcW w:w="701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546"/>
      <w:gridCol w:w="1516"/>
    </w:tblGrid>
    <w:tr>
      <w:trPr>
        <w:cantSplit/>
        <w:jc w:val="center"/>
      </w:trPr>
      <w:tc>
        <w:tcPr>
          <w:tcW w:w="706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jc w:val="center"/>
      </w:trPr>
      <w:tc>
        <w:tcPr>
          <w:tcW w:w="5546" w:type="dxa"/>
        </w:tcPr>
        <w:p>
          <w:pPr>
            <w:pStyle w:val="Header"/>
            <w:spacing w:before="40"/>
            <w:jc w:val="right"/>
          </w:pP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jc w:val="center"/>
      </w:trPr>
      <w:tc>
        <w:tcPr>
          <w:tcW w:w="5546" w:type="dxa"/>
        </w:tcPr>
        <w:p>
          <w:pPr>
            <w:pStyle w:val="Header"/>
            <w:spacing w:before="40"/>
            <w:jc w:val="right"/>
          </w:pPr>
        </w:p>
      </w:tc>
      <w:tc>
        <w:tcPr>
          <w:tcW w:w="1516" w:type="dxa"/>
        </w:tcPr>
        <w:p>
          <w:pPr>
            <w:pStyle w:val="Header"/>
            <w:spacing w:before="40"/>
            <w:ind w:right="17"/>
            <w:jc w:val="right"/>
          </w:pPr>
        </w:p>
      </w:tc>
    </w:tr>
    <w:tr>
      <w:trPr>
        <w:cantSplit/>
        <w:jc w:val="center"/>
      </w:trPr>
      <w:tc>
        <w:tcPr>
          <w:tcW w:w="7062"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397"/>
      <w:gridCol w:w="318"/>
    </w:tblGrid>
    <w:tr>
      <w:trPr>
        <w:gridAfter w:val="1"/>
        <w:wAfter w:w="318" w:type="dxa"/>
        <w:cantSplit/>
        <w:jc w:val="center"/>
      </w:trPr>
      <w:tc>
        <w:tcPr>
          <w:tcW w:w="6945"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gridSpan w:val="2"/>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gridSpan w:val="2"/>
        </w:tcPr>
        <w:p>
          <w:pPr>
            <w:pStyle w:val="Header"/>
            <w:spacing w:before="40"/>
          </w:pP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trPr>
        <w:gridBefore w:val="1"/>
        <w:wBefore w:w="284" w:type="dxa"/>
        <w:cantSplit/>
        <w:jc w:val="center"/>
      </w:trPr>
      <w:tc>
        <w:tcPr>
          <w:tcW w:w="6979"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5715" w:type="dxa"/>
          <w:gridSpan w:val="2"/>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49" w:type="dxa"/>
      <w:jc w:val="center"/>
      <w:tblLayout w:type="fixed"/>
      <w:tblCellMar>
        <w:left w:w="72" w:type="dxa"/>
        <w:right w:w="72" w:type="dxa"/>
      </w:tblCellMar>
      <w:tblLook w:val="0000" w:firstRow="0" w:lastRow="0" w:firstColumn="0" w:lastColumn="0" w:noHBand="0" w:noVBand="0"/>
    </w:tblPr>
    <w:tblGrid>
      <w:gridCol w:w="5670"/>
      <w:gridCol w:w="1379"/>
    </w:tblGrid>
    <w:tr>
      <w:trPr>
        <w:cantSplit/>
        <w:jc w:val="center"/>
      </w:trPr>
      <w:tc>
        <w:tcPr>
          <w:tcW w:w="7049"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5670" w:type="dxa"/>
        </w:tcPr>
        <w:p>
          <w:pPr>
            <w:pStyle w:val="Header"/>
            <w:spacing w:before="40"/>
            <w:jc w:val="right"/>
          </w:pPr>
        </w:p>
      </w:tc>
      <w:tc>
        <w:tcPr>
          <w:tcW w:w="1379" w:type="dxa"/>
        </w:tcPr>
        <w:p>
          <w:pPr>
            <w:pStyle w:val="Header"/>
            <w:spacing w:before="40"/>
            <w:ind w:right="17"/>
            <w:jc w:val="right"/>
          </w:pPr>
        </w:p>
      </w:tc>
    </w:tr>
    <w:tr>
      <w:trPr>
        <w:jc w:val="center"/>
      </w:trPr>
      <w:tc>
        <w:tcPr>
          <w:tcW w:w="5670" w:type="dxa"/>
        </w:tcPr>
        <w:p>
          <w:pPr>
            <w:pStyle w:val="Header"/>
            <w:spacing w:before="40"/>
            <w:jc w:val="right"/>
          </w:pPr>
        </w:p>
      </w:tc>
      <w:tc>
        <w:tcPr>
          <w:tcW w:w="1379" w:type="dxa"/>
        </w:tcPr>
        <w:p>
          <w:pPr>
            <w:pStyle w:val="Header"/>
            <w:spacing w:before="40"/>
            <w:ind w:right="17"/>
            <w:jc w:val="right"/>
          </w:pPr>
        </w:p>
      </w:tc>
    </w:tr>
    <w:tr>
      <w:trPr>
        <w:cantSplit/>
        <w:jc w:val="center"/>
      </w:trPr>
      <w:tc>
        <w:tcPr>
          <w:tcW w:w="7049"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398"/>
      <w:gridCol w:w="317"/>
    </w:tblGrid>
    <w:tr>
      <w:trPr>
        <w:gridAfter w:val="1"/>
        <w:wAfter w:w="317" w:type="dxa"/>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p>
      </w:tc>
      <w:tc>
        <w:tcPr>
          <w:tcW w:w="5715" w:type="dxa"/>
          <w:gridSpan w:val="2"/>
        </w:tcPr>
        <w:p>
          <w:pPr>
            <w:pStyle w:val="Header"/>
            <w:spacing w:before="40"/>
          </w:pPr>
        </w:p>
      </w:tc>
    </w:tr>
    <w:tr>
      <w:trPr>
        <w:jc w:val="center"/>
      </w:trPr>
      <w:tc>
        <w:tcPr>
          <w:tcW w:w="1548" w:type="dxa"/>
        </w:tcPr>
        <w:p>
          <w:pPr>
            <w:pStyle w:val="Header"/>
            <w:spacing w:before="40"/>
          </w:pPr>
        </w:p>
      </w:tc>
      <w:tc>
        <w:tcPr>
          <w:tcW w:w="5715" w:type="dxa"/>
          <w:gridSpan w:val="2"/>
        </w:tcPr>
        <w:p>
          <w:pPr>
            <w:pStyle w:val="Header"/>
            <w:spacing w:before="40"/>
          </w:pPr>
        </w:p>
      </w:tc>
    </w:tr>
    <w:tr>
      <w:trPr>
        <w:cantSplit/>
        <w:jc w:val="center"/>
      </w:trPr>
      <w:tc>
        <w:tcPr>
          <w:tcW w:w="7263" w:type="dxa"/>
          <w:gridSpan w:val="3"/>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5713"/>
    </w:tblGrid>
    <w:tr>
      <w:trPr>
        <w:cantSplit/>
        <w:jc w:val="center"/>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713"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713" w:type="dxa"/>
        </w:tcPr>
        <w:p>
          <w:pPr>
            <w:pStyle w:val="Header"/>
            <w:spacing w:before="40"/>
          </w:pPr>
          <w:r>
            <w:fldChar w:fldCharType="begin"/>
          </w:r>
          <w:r>
            <w:instrText xml:space="preserve"> styleref CharDivText </w:instrText>
          </w:r>
          <w:r>
            <w:fldChar w:fldCharType="end"/>
          </w:r>
        </w:p>
      </w:tc>
    </w:tr>
    <w:tr>
      <w:trPr>
        <w:cantSplit/>
        <w:jc w:val="center"/>
      </w:trPr>
      <w:tc>
        <w:tcPr>
          <w:tcW w:w="701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58" w:type="dxa"/>
      <w:jc w:val="center"/>
      <w:tblLayout w:type="fixed"/>
      <w:tblCellMar>
        <w:left w:w="72" w:type="dxa"/>
        <w:right w:w="72" w:type="dxa"/>
      </w:tblCellMar>
      <w:tblLook w:val="0000" w:firstRow="0" w:lastRow="0" w:firstColumn="0" w:lastColumn="0" w:noHBand="0" w:noVBand="0"/>
    </w:tblPr>
    <w:tblGrid>
      <w:gridCol w:w="5771"/>
      <w:gridCol w:w="1287"/>
    </w:tblGrid>
    <w:tr>
      <w:trPr>
        <w:cantSplit/>
        <w:jc w:val="center"/>
      </w:trPr>
      <w:tc>
        <w:tcPr>
          <w:tcW w:w="70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5771"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71"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0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4158"/>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 w:name="WAFER_20181204115052" w:val="RemoveTocBookmarks,RemoveUnusedBookmarks,RemoveLanguageTags,UsedStyles,ResetPageSize"/>
    <w:docVar w:name="WAFER_20181204115052_GUID" w:val="856dbca1-d691-408d-a65b-b802c4be17b1"/>
    <w:docVar w:name="WAFER_20191022150312" w:val="RemoveTocBookmarks,RemoveUnusedBookmarks,RemoveLanguageTags,ResetPageSize,RunningHeaders,UpdateStyles,UsedStyles"/>
    <w:docVar w:name="WAFER_20191022150312_GUID" w:val="360663fb-c8cd-4b23-9285-2ccdf1277b0d"/>
    <w:docVar w:name="WAFER_20191203152247" w:val="RemoveTocBookmarks,RemoveUnusedBookmarks,RemoveLanguageTags,ResetPageSize,RunningHeaders,UpdateStyles,UsedStyles"/>
    <w:docVar w:name="WAFER_20191203152247_GUID" w:val="fce8491b-2f9d-4443-98b8-4bacd5fceb1f"/>
    <w:docVar w:name="WAFER_2020021013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229_GUID" w:val="83be0413-edf3-45aa-8295-409809aec15a"/>
    <w:docVar w:name="WAFER_20220809155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348_GUID" w:val="11a82b40-8cc4-489c-9379-02b8132fe5f1"/>
    <w:docVar w:name="WAFER_202212161036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3615_GUID" w:val="76d6843e-978f-4e30-a16a-93ddb04cf4b2"/>
    <w:docVar w:name="WAFER_202310121642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2164233_GUID" w:val="d3ab5f94-7f45-42af-8f92-e81236287ba6"/>
    <w:docVar w:name="WAFER_202312201541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54158_GUID" w:val="e6365347-a836-4904-bff0-0fa9376a8d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95480FF5-6BAC-429A-9C8D-DD2646C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7320</Words>
  <Characters>38945</Characters>
  <Application>Microsoft Office Word</Application>
  <DocSecurity>0</DocSecurity>
  <Lines>1112</Lines>
  <Paragraphs>616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1985 - 04-r0-00</dc:title>
  <dc:subject/>
  <dc:creator/>
  <cp:keywords/>
  <dc:description/>
  <cp:lastModifiedBy>Master Repository Process</cp:lastModifiedBy>
  <cp:revision>4</cp:revision>
  <cp:lastPrinted>2014-06-09T07:53:00Z</cp:lastPrinted>
  <dcterms:created xsi:type="dcterms:W3CDTF">2023-12-28T06:06:00Z</dcterms:created>
  <dcterms:modified xsi:type="dcterms:W3CDTF">2023-12-28T06:06:00Z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CommencementDate">
    <vt:lpwstr>20240101</vt:lpwstr>
  </property>
  <property fmtid="{D5CDD505-2E9C-101B-9397-08002B2CF9AE}" pid="8" name="CommencementYear">
    <vt:lpwstr>2024</vt:lpwstr>
  </property>
  <property fmtid="{D5CDD505-2E9C-101B-9397-08002B2CF9AE}" pid="9" name="AsAtDate">
    <vt:lpwstr>01 Jan 2024</vt:lpwstr>
  </property>
  <property fmtid="{D5CDD505-2E9C-101B-9397-08002B2CF9AE}" pid="10" name="Suffix">
    <vt:lpwstr>04-r0-00</vt:lpwstr>
  </property>
  <property fmtid="{D5CDD505-2E9C-101B-9397-08002B2CF9AE}" pid="11" name="Official">
    <vt:lpwstr/>
  </property>
</Properties>
</file>