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Swan and Canning Rivers Management Act 2006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and Canning Rivers Management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Swan and Canning Rivers Management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_Toc161741936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_Toc161741937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_Toc161741938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 4 amended</w:t>
      </w:r>
      <w:r>
        <w:tab/>
      </w:r>
      <w:r>
        <w:fldChar w:fldCharType="begin"/>
      </w:r>
      <w:r>
        <w:instrText xml:space="preserve"> PAGEREF _Toc161741939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 14A amended</w:t>
      </w:r>
      <w:r>
        <w:tab/>
      </w:r>
      <w:r>
        <w:fldChar w:fldCharType="begin"/>
      </w:r>
      <w:r>
        <w:instrText xml:space="preserve"> PAGEREF _Toc161741940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 14 amended</w:t>
      </w:r>
      <w:r>
        <w:tab/>
      </w:r>
      <w:r>
        <w:fldChar w:fldCharType="begin"/>
      </w:r>
      <w:r>
        <w:instrText xml:space="preserve"> PAGEREF _Toc161741941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 24 deleted</w:t>
      </w:r>
      <w:r>
        <w:tab/>
      </w:r>
      <w:r>
        <w:fldChar w:fldCharType="begin"/>
      </w:r>
      <w:r>
        <w:instrText xml:space="preserve"> PAGEREF _Toc161741942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Schedule 1 amended</w:t>
      </w:r>
      <w:r>
        <w:tab/>
      </w:r>
      <w:r>
        <w:fldChar w:fldCharType="begin"/>
      </w:r>
      <w:r>
        <w:instrText xml:space="preserve"> PAGEREF _Toc161741943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Swan and Canning Rivers Management Act 2006</w:t>
      </w:r>
    </w:p>
    <w:p>
      <w:pPr>
        <w:pStyle w:val="NameofActReg"/>
      </w:pPr>
      <w:r>
        <w:t>Swan and Canning Rivers Management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1312901"/>
      <w:bookmarkStart w:id="3" w:name="_Toc161741936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and Canning Rivers Management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1312902"/>
      <w:bookmarkStart w:id="6" w:name="_Toc1617419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1312903"/>
      <w:bookmarkStart w:id="8" w:name="_Toc1617419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Swan and Canning Rivers Management Regulations 2007</w:t>
      </w:r>
      <w:r>
        <w:t>.</w:t>
      </w:r>
    </w:p>
    <w:p>
      <w:pPr>
        <w:pStyle w:val="Heading5"/>
      </w:pPr>
      <w:bookmarkStart w:id="9" w:name="_Toc161312904"/>
      <w:bookmarkStart w:id="10" w:name="_Toc161741939"/>
      <w:r>
        <w:rPr>
          <w:rStyle w:val="CharSectno"/>
        </w:rPr>
        <w:t>4</w:t>
      </w:r>
      <w:r>
        <w:t>.</w:t>
      </w:r>
      <w:r>
        <w:tab/>
        <w:t>Regulation 4 amended</w:t>
      </w:r>
      <w:bookmarkEnd w:id="9"/>
      <w:bookmarkEnd w:id="10"/>
    </w:p>
    <w:p>
      <w:pPr>
        <w:pStyle w:val="Subsection"/>
      </w:pPr>
      <w:r>
        <w:tab/>
      </w:r>
      <w:r>
        <w:tab/>
        <w:t>In regulation 4:</w:t>
      </w:r>
    </w:p>
    <w:p>
      <w:pPr>
        <w:pStyle w:val="Indenta"/>
      </w:pPr>
      <w:r>
        <w:tab/>
        <w:t>(a)</w:t>
      </w:r>
      <w:r>
        <w:tab/>
        <w:t>in paragraphs (b)(i) and (c) delete “change of use”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material change in the use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in paragraph (ga) delete “$50 000;”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>$500 000;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 (g)(ii) delete “$500 000;”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$5 000 000;</w:t>
      </w:r>
      <w:r>
        <w:tab/>
      </w:r>
    </w:p>
    <w:p>
      <w:pPr>
        <w:pStyle w:val="BlankClose"/>
      </w:pPr>
    </w:p>
    <w:p>
      <w:pPr>
        <w:pStyle w:val="Heading5"/>
      </w:pPr>
      <w:bookmarkStart w:id="11" w:name="_Toc161312905"/>
      <w:bookmarkStart w:id="12" w:name="_Toc161741940"/>
      <w:r>
        <w:rPr>
          <w:rStyle w:val="CharSectno"/>
        </w:rPr>
        <w:t>5</w:t>
      </w:r>
      <w:r>
        <w:t>.</w:t>
      </w:r>
      <w:r>
        <w:tab/>
        <w:t>Regulation 14A amended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In regulation 14A(1) in the definition of </w:t>
      </w:r>
      <w:r>
        <w:rPr>
          <w:b/>
          <w:i/>
        </w:rPr>
        <w:t>works</w:t>
      </w:r>
      <w:r>
        <w:t xml:space="preserve"> delete “10, 12 or 15.”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10, 11, 12, 13, 15 or 16B.</w:t>
      </w:r>
    </w:p>
    <w:p>
      <w:pPr>
        <w:pStyle w:val="BlankClose"/>
      </w:pPr>
    </w:p>
    <w:p>
      <w:pPr>
        <w:pStyle w:val="SectAltNote"/>
      </w:pPr>
      <w:r>
        <w:tab/>
        <w:t>Note: The heading to amended regulation 14A is to read:</w:t>
      </w:r>
    </w:p>
    <w:p>
      <w:pPr>
        <w:pStyle w:val="SectAltHeading"/>
      </w:pPr>
      <w:r>
        <w:tab/>
      </w:r>
      <w:r>
        <w:tab/>
        <w:t>Restrictions on works by leaseholders</w:t>
      </w:r>
    </w:p>
    <w:p>
      <w:pPr>
        <w:pStyle w:val="Heading5"/>
      </w:pPr>
      <w:bookmarkStart w:id="13" w:name="_Toc161312906"/>
      <w:bookmarkStart w:id="14" w:name="_Toc161741941"/>
      <w:r>
        <w:rPr>
          <w:rStyle w:val="CharSectno"/>
        </w:rPr>
        <w:t>6</w:t>
      </w:r>
      <w:r>
        <w:t>.</w:t>
      </w:r>
      <w:r>
        <w:tab/>
        <w:t>Regulation 14 amended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In regulation 14(1) in the definition of </w:t>
      </w:r>
      <w:r>
        <w:rPr>
          <w:b/>
          <w:i/>
        </w:rPr>
        <w:t>works</w:t>
      </w:r>
      <w:r>
        <w:t xml:space="preserve"> delete “10,12 or 15.”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10, 11, 12, 13, 15 or 16B.</w:t>
      </w:r>
    </w:p>
    <w:p>
      <w:pPr>
        <w:pStyle w:val="BlankClose"/>
      </w:pPr>
    </w:p>
    <w:p>
      <w:pPr>
        <w:pStyle w:val="SectAltNote"/>
      </w:pPr>
      <w:r>
        <w:tab/>
        <w:t>Note: The heading to amended regulation 14 is to read:</w:t>
      </w:r>
    </w:p>
    <w:p>
      <w:pPr>
        <w:pStyle w:val="SectAltHeading"/>
      </w:pPr>
      <w:r>
        <w:tab/>
      </w:r>
      <w:r>
        <w:tab/>
        <w:t>Restrictions on works by Schedule 5 authorities</w:t>
      </w:r>
    </w:p>
    <w:p>
      <w:pPr>
        <w:pStyle w:val="Heading5"/>
      </w:pPr>
      <w:bookmarkStart w:id="15" w:name="_Toc161312907"/>
      <w:bookmarkStart w:id="16" w:name="_Toc161741942"/>
      <w:r>
        <w:rPr>
          <w:rStyle w:val="CharSectno"/>
        </w:rPr>
        <w:t>7</w:t>
      </w:r>
      <w:r>
        <w:t>.</w:t>
      </w:r>
      <w:r>
        <w:tab/>
        <w:t>Regulation 24 deleted</w:t>
      </w:r>
      <w:bookmarkEnd w:id="15"/>
      <w:bookmarkEnd w:id="16"/>
    </w:p>
    <w:p>
      <w:pPr>
        <w:pStyle w:val="Subsection"/>
      </w:pPr>
      <w:r>
        <w:tab/>
      </w:r>
      <w:r>
        <w:tab/>
        <w:t>Delete regulation 24.</w:t>
      </w:r>
    </w:p>
    <w:p>
      <w:pPr>
        <w:pStyle w:val="Heading5"/>
      </w:pPr>
      <w:bookmarkStart w:id="17" w:name="_Toc161312908"/>
      <w:bookmarkStart w:id="18" w:name="_Toc161741943"/>
      <w:r>
        <w:rPr>
          <w:rStyle w:val="CharSectno"/>
        </w:rPr>
        <w:lastRenderedPageBreak/>
        <w:t>8</w:t>
      </w:r>
      <w:r>
        <w:t>.</w:t>
      </w:r>
      <w:r>
        <w:tab/>
        <w:t>Schedule 1 amended</w:t>
      </w:r>
      <w:bookmarkEnd w:id="17"/>
      <w:bookmarkEnd w:id="18"/>
    </w:p>
    <w:p>
      <w:pPr>
        <w:pStyle w:val="Subsection"/>
        <w:keepNext/>
      </w:pPr>
      <w:r>
        <w:tab/>
      </w:r>
      <w:r>
        <w:tab/>
        <w:t>In Schedule 1 delete:</w:t>
      </w:r>
    </w:p>
    <w:p>
      <w:pPr>
        <w:pStyle w:val="DeleteOpen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1114"/>
      </w:tblGrid>
      <w:tr>
        <w:trPr>
          <w:cantSplit/>
          <w:trHeight w:val="21"/>
        </w:trPr>
        <w:tc>
          <w:tcPr>
            <w:tcW w:w="1134" w:type="dxa"/>
            <w:hideMark/>
          </w:tcPr>
          <w:p>
            <w:pPr>
              <w:pStyle w:val="yTable"/>
              <w:spacing w:before="0"/>
            </w:pPr>
            <w:r>
              <w:t>r. 24(2)</w:t>
            </w:r>
          </w:p>
        </w:tc>
        <w:tc>
          <w:tcPr>
            <w:tcW w:w="4820" w:type="dxa"/>
            <w:hideMark/>
          </w:tcPr>
          <w:p>
            <w:pPr>
              <w:pStyle w:val="yTable"/>
              <w:spacing w:before="0"/>
            </w:pPr>
            <w:r>
              <w:t xml:space="preserve">Securing vessel to </w:t>
            </w:r>
            <w:r>
              <w:rPr>
                <w:szCs w:val="22"/>
              </w:rPr>
              <w:t>Department courtesy mooring</w:t>
            </w:r>
            <w:r>
              <w:t xml:space="preserve"> for period that is longer than authorised</w:t>
            </w:r>
          </w:p>
        </w:tc>
        <w:tc>
          <w:tcPr>
            <w:tcW w:w="1114" w:type="dxa"/>
            <w:hideMark/>
          </w:tcPr>
          <w:p>
            <w:pPr>
              <w:pStyle w:val="yTable"/>
              <w:spacing w:before="0"/>
              <w:ind w:left="113" w:right="58"/>
            </w:pPr>
            <w:r>
              <w:t>$200</w:t>
            </w:r>
          </w:p>
        </w:tc>
      </w:tr>
      <w:tr>
        <w:trPr>
          <w:cantSplit/>
          <w:trHeight w:val="21"/>
        </w:trPr>
        <w:tc>
          <w:tcPr>
            <w:tcW w:w="1134" w:type="dxa"/>
            <w:hideMark/>
          </w:tcPr>
          <w:p>
            <w:pPr>
              <w:pStyle w:val="yTable"/>
              <w:spacing w:before="0"/>
            </w:pPr>
            <w:r>
              <w:t>r. 24(3)</w:t>
            </w:r>
          </w:p>
        </w:tc>
        <w:tc>
          <w:tcPr>
            <w:tcW w:w="4820" w:type="dxa"/>
            <w:hideMark/>
          </w:tcPr>
          <w:p>
            <w:pPr>
              <w:pStyle w:val="yTable"/>
              <w:spacing w:before="0"/>
            </w:pPr>
            <w:r>
              <w:t xml:space="preserve">Securing long or commercial vessel to </w:t>
            </w:r>
            <w:r>
              <w:rPr>
                <w:szCs w:val="22"/>
              </w:rPr>
              <w:t>Department courtesy mooring</w:t>
            </w:r>
          </w:p>
        </w:tc>
        <w:tc>
          <w:tcPr>
            <w:tcW w:w="1114" w:type="dxa"/>
            <w:hideMark/>
          </w:tcPr>
          <w:p>
            <w:pPr>
              <w:pStyle w:val="yTable"/>
              <w:spacing w:before="0"/>
              <w:ind w:left="113" w:right="58"/>
            </w:pPr>
            <w:r>
              <w:t>$200</w:t>
            </w:r>
          </w:p>
        </w:tc>
      </w:tr>
    </w:tbl>
    <w:p>
      <w:pPr>
        <w:pStyle w:val="Delete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877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 w14:paraId="2D153E9C" w14:textId="43157C87" w:rsidR="003E23ED" w:rsidRDefault="003E23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93066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30FB426" w14:textId="77777777" w:rsidR="003E23ED" w:rsidRDefault="003E23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C7EE89A" w14:textId="5F7CAC7F" w:rsidR="003E23ED" w:rsidRDefault="003E23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93066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BAE2AC6" w14:textId="77777777" w:rsidR="003E23ED" w:rsidRDefault="003E23E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Swan and Canning Rivers Management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1412474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402270841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7084116_GUID" w:val="dd3423c1-c73b-49a7-8248-8a7a7fed5f48"/>
    <w:docVar w:name="WAFER_202402270903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7090354_GUID" w:val="29a38522-12f4-4365-b9b8-38379579ee12"/>
    <w:docVar w:name="WAFER_202403141247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14124749_GUID" w:val="b54c6273-2aa8-4d72-b26c-b26181f486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7F94DAC4-381F-44DF-B8D5-D954F61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F599-251D-4CFC-BA9D-1CBDF0F3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2308</Characters>
  <Application>Microsoft Office Word</Application>
  <DocSecurity>0</DocSecurity>
  <Lines>115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and Canning Rivers Management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2024-03-19T04:28:00Z</dcterms:created>
  <dcterms:modified xsi:type="dcterms:W3CDTF">2024-03-19T04:28:00Z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54501</vt:lpwstr>
  </property>
  <property fmtid="{D5CDD505-2E9C-101B-9397-08002B2CF9AE}" pid="3" name="DocumentType">
    <vt:lpwstr>Reg</vt:lpwstr>
  </property>
  <property fmtid="{D5CDD505-2E9C-101B-9397-08002B2CF9AE}" pid="4" name="AsAtDate">
    <vt:lpwstr>20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2024/35</vt:lpwstr>
  </property>
  <property fmtid="{D5CDD505-2E9C-101B-9397-08002B2CF9AE}" pid="8" name="PublishDate">
    <vt:lpwstr>20 Mar 2024</vt:lpwstr>
  </property>
  <property fmtid="{D5CDD505-2E9C-101B-9397-08002B2CF9AE}" pid="9" name="CommencementDate">
    <vt:lpwstr>20240320</vt:lpwstr>
  </property>
  <property fmtid="{D5CDD505-2E9C-101B-9397-08002B2CF9AE}" pid="10" name="CommencementAsAt">
    <vt:filetime>2024-03-19T16:00:00Z</vt:filetime>
  </property>
  <property fmtid="{D5CDD505-2E9C-101B-9397-08002B2CF9AE}" pid="11" name="CommencementYear">
    <vt:lpwstr>2024</vt:lpwstr>
  </property>
</Properties>
</file>