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Freedom of Information Act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Freedom of Information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_Toc161845384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_Toc161845385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Act</w:t>
      </w:r>
      <w:r>
        <w:tab/>
      </w:r>
      <w:r>
        <w:fldChar w:fldCharType="begin"/>
      </w:r>
      <w:r>
        <w:instrText xml:space="preserve"> PAGEREF _Toc161845386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Agencies, duties of when applying Act</w:t>
      </w:r>
      <w:r>
        <w:tab/>
      </w:r>
      <w:r>
        <w:fldChar w:fldCharType="begin"/>
      </w:r>
      <w:r>
        <w:instrText xml:space="preserve"> PAGEREF _Toc161845387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_Toc161845388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Access rights etc. in Parts 2 and 4 do not apply to documents that are already available</w:t>
      </w:r>
      <w:r>
        <w:tab/>
      </w:r>
      <w:r>
        <w:fldChar w:fldCharType="begin"/>
      </w:r>
      <w:r>
        <w:instrText xml:space="preserve"> PAGEREF _Toc161845389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Access rights in Parts 2 and 4, application of to private collections</w:t>
      </w:r>
      <w:r>
        <w:tab/>
      </w:r>
      <w:r>
        <w:fldChar w:fldCharType="begin"/>
      </w:r>
      <w:r>
        <w:instrText xml:space="preserve"> PAGEREF _Toc161845390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Access rights etc. in Parts 2 and 4, effect of on other Acts etc.</w:t>
      </w:r>
      <w:r>
        <w:tab/>
      </w:r>
      <w:r>
        <w:fldChar w:fldCharType="begin"/>
      </w:r>
      <w:r>
        <w:instrText xml:space="preserve"> PAGEREF _Toc161845391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Terms used (Glossary)</w:t>
      </w:r>
      <w:r>
        <w:tab/>
      </w:r>
      <w:r>
        <w:fldChar w:fldCharType="begin"/>
      </w:r>
      <w:r>
        <w:instrText xml:space="preserve"> PAGEREF _Toc161845392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Access to documents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Right of access and applications for access</w:t>
      </w:r>
    </w:p>
    <w:p>
      <w:pPr>
        <w:pStyle w:val="TOC8"/>
        <w:rPr>
          <w:rFonts w:asciiTheme="minorHAnsi" w:eastAsiaTheme="minorEastAsia" w:hAnsiTheme="minorHAnsi" w:cstheme="minorBidi"/>
          <w:szCs w:val="22"/>
        </w:rPr>
      </w:pPr>
      <w:r>
        <w:t>10</w:t>
      </w:r>
      <w:r>
        <w:rPr>
          <w:snapToGrid w:val="0"/>
        </w:rPr>
        <w:t>.</w:t>
      </w:r>
      <w:r>
        <w:rPr>
          <w:snapToGrid w:val="0"/>
        </w:rPr>
        <w:tab/>
        <w:t>Right of access to documents</w:t>
      </w:r>
      <w:r>
        <w:tab/>
      </w:r>
      <w:r>
        <w:fldChar w:fldCharType="begin"/>
      </w:r>
      <w:r>
        <w:instrText xml:space="preserve"> PAGEREF _Toc161845395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for access</w:t>
      </w:r>
      <w:r>
        <w:tab/>
      </w:r>
      <w:r>
        <w:fldChar w:fldCharType="begin"/>
      </w:r>
      <w:r>
        <w:instrText xml:space="preserve"> PAGEREF _Toc161845396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Access application, form etc. of</w:t>
      </w:r>
      <w:r>
        <w:tab/>
      </w:r>
      <w:r>
        <w:fldChar w:fldCharType="begin"/>
      </w:r>
      <w:r>
        <w:instrText xml:space="preserve"> PAGEREF _Toc161845397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Procedure for dealing with access applications</w:t>
      </w:r>
    </w:p>
    <w:p>
      <w:pPr>
        <w:pStyle w:val="TOC8"/>
        <w:rPr>
          <w:rFonts w:asciiTheme="minorHAnsi" w:eastAsiaTheme="minorEastAsia" w:hAnsiTheme="minorHAnsi" w:cstheme="minorBidi"/>
          <w:szCs w:val="22"/>
        </w:rPr>
      </w:pPr>
      <w:r>
        <w:t>13</w:t>
      </w:r>
      <w:r>
        <w:rPr>
          <w:snapToGrid w:val="0"/>
        </w:rPr>
        <w:t>.</w:t>
      </w:r>
      <w:r>
        <w:rPr>
          <w:snapToGrid w:val="0"/>
        </w:rPr>
        <w:tab/>
        <w:t>Agency’s duties as to access application etc.</w:t>
      </w:r>
      <w:r>
        <w:tab/>
      </w:r>
      <w:r>
        <w:fldChar w:fldCharType="begin"/>
      </w:r>
      <w:r>
        <w:instrText xml:space="preserve"> PAGEREF _Toc161845399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Ambit of application may be reduced by agreement</w:t>
      </w:r>
      <w:r>
        <w:tab/>
      </w:r>
      <w:r>
        <w:fldChar w:fldCharType="begin"/>
      </w:r>
      <w:r>
        <w:instrText xml:space="preserve"> PAGEREF _Toc161845400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Document held etc. by another agency, transferring application etc. in case of</w:t>
      </w:r>
      <w:r>
        <w:tab/>
      </w:r>
      <w:r>
        <w:fldChar w:fldCharType="begin"/>
      </w:r>
      <w:r>
        <w:instrText xml:space="preserve"> PAGEREF _Toc161845401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Charge for access, calculation of etc.</w:t>
      </w:r>
      <w:r>
        <w:tab/>
      </w:r>
      <w:r>
        <w:fldChar w:fldCharType="begin"/>
      </w:r>
      <w:r>
        <w:instrText xml:space="preserve"> PAGEREF _Toc161845402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Charge for access, applicant may request estimate of etc.</w:t>
      </w:r>
      <w:r>
        <w:tab/>
      </w:r>
      <w:r>
        <w:fldChar w:fldCharType="begin"/>
      </w:r>
      <w:r>
        <w:instrText xml:space="preserve"> PAGEREF _Toc161845403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Deposit for charges, agency may require etc.</w:t>
      </w:r>
      <w:r>
        <w:tab/>
      </w:r>
      <w:r>
        <w:fldChar w:fldCharType="begin"/>
      </w:r>
      <w:r>
        <w:instrText xml:space="preserve"> PAGEREF _Toc161845404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Notice given under s. 17(3) or 18, effect of on s. 13(1); applicant failing to respond to notice, effect of</w:t>
      </w:r>
      <w:r>
        <w:tab/>
      </w:r>
      <w:r>
        <w:fldChar w:fldCharType="begin"/>
      </w:r>
      <w:r>
        <w:instrText xml:space="preserve"> PAGEREF _Toc161845405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Agency may refuse to deal with application in certain cases</w:t>
      </w:r>
      <w:r>
        <w:tab/>
      </w:r>
      <w:r>
        <w:fldChar w:fldCharType="begin"/>
      </w:r>
      <w:r>
        <w:instrText xml:space="preserve"> PAGEREF _Toc161845406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for personal information about applicant, consideration of</w:t>
      </w:r>
      <w:r>
        <w:tab/>
      </w:r>
      <w:r>
        <w:fldChar w:fldCharType="begin"/>
      </w:r>
      <w:r>
        <w:instrText xml:space="preserve"> PAGEREF _Toc161845407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Access, when agency must give</w:t>
      </w:r>
      <w:r>
        <w:tab/>
      </w:r>
      <w:r>
        <w:fldChar w:fldCharType="begin"/>
      </w:r>
      <w:r>
        <w:instrText xml:space="preserve"> PAGEREF _Toc161845408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Refusing access, grounds for</w:t>
      </w:r>
      <w:r>
        <w:tab/>
      </w:r>
      <w:r>
        <w:fldChar w:fldCharType="begin"/>
      </w:r>
      <w:r>
        <w:instrText xml:space="preserve"> PAGEREF _Toc161845409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Exempt matter, deleting before access given</w:t>
      </w:r>
      <w:r>
        <w:tab/>
      </w:r>
      <w:r>
        <w:fldChar w:fldCharType="begin"/>
      </w:r>
      <w:r>
        <w:instrText xml:space="preserve"> PAGEREF _Toc161845410 \h </w:instrText>
      </w:r>
      <w:r>
        <w:fldChar w:fldCharType="separate"/>
      </w:r>
      <w:r>
        <w:t>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Deferring access, grounds for</w:t>
      </w:r>
      <w:r>
        <w:tab/>
      </w:r>
      <w:r>
        <w:fldChar w:fldCharType="begin"/>
      </w:r>
      <w:r>
        <w:instrText xml:space="preserve"> PAGEREF _Toc161845411 \h </w:instrText>
      </w:r>
      <w:r>
        <w:fldChar w:fldCharType="separate"/>
      </w:r>
      <w:r>
        <w:t>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Documents that cannot be found or do not exist, notice of</w:t>
      </w:r>
      <w:r>
        <w:tab/>
      </w:r>
      <w:r>
        <w:fldChar w:fldCharType="begin"/>
      </w:r>
      <w:r>
        <w:instrText xml:space="preserve"> PAGEREF _Toc161845412 \h </w:instrText>
      </w:r>
      <w:r>
        <w:fldChar w:fldCharType="separate"/>
      </w:r>
      <w:r>
        <w:t>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Ways in which access can be given</w:t>
      </w:r>
      <w:r>
        <w:tab/>
      </w:r>
      <w:r>
        <w:fldChar w:fldCharType="begin"/>
      </w:r>
      <w:r>
        <w:instrText xml:space="preserve"> PAGEREF _Toc161845413 \h </w:instrText>
      </w:r>
      <w:r>
        <w:fldChar w:fldCharType="separate"/>
      </w:r>
      <w:r>
        <w:t>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Medical and psychiatric information about applicant, giving access to</w:t>
      </w:r>
      <w:r>
        <w:tab/>
      </w:r>
      <w:r>
        <w:fldChar w:fldCharType="begin"/>
      </w:r>
      <w:r>
        <w:instrText xml:space="preserve"> PAGEREF _Toc161845414 \h </w:instrText>
      </w:r>
      <w:r>
        <w:fldChar w:fldCharType="separate"/>
      </w:r>
      <w:r>
        <w:t>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Personal information about applicant, agency’s duties when giving access to</w:t>
      </w:r>
      <w:r>
        <w:tab/>
      </w:r>
      <w:r>
        <w:fldChar w:fldCharType="begin"/>
      </w:r>
      <w:r>
        <w:instrText xml:space="preserve"> PAGEREF _Toc161845415 \h </w:instrText>
      </w:r>
      <w:r>
        <w:fldChar w:fldCharType="separate"/>
      </w:r>
      <w:r>
        <w:t>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under s. 13(1)(b) of decision, form etc. of</w:t>
      </w:r>
      <w:r>
        <w:tab/>
      </w:r>
      <w:r>
        <w:fldChar w:fldCharType="begin"/>
      </w:r>
      <w:r>
        <w:instrText xml:space="preserve"> PAGEREF _Toc161845416 \h </w:instrText>
      </w:r>
      <w:r>
        <w:fldChar w:fldCharType="separate"/>
      </w:r>
      <w:r>
        <w:t>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Certain exempt matter (Sch. 1 cl. 1, 2 or 5), giving information about existence etc. of</w:t>
      </w:r>
      <w:r>
        <w:tab/>
      </w:r>
      <w:r>
        <w:fldChar w:fldCharType="begin"/>
      </w:r>
      <w:r>
        <w:instrText xml:space="preserve"> PAGEREF _Toc161845417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Consultation with third parties</w:t>
      </w:r>
    </w:p>
    <w:p>
      <w:pPr>
        <w:pStyle w:val="TOC8"/>
        <w:rPr>
          <w:rFonts w:asciiTheme="minorHAnsi" w:eastAsiaTheme="minorEastAsia" w:hAnsiTheme="minorHAnsi" w:cstheme="minorBidi"/>
          <w:szCs w:val="22"/>
        </w:rPr>
      </w:pPr>
      <w:r>
        <w:t>32</w:t>
      </w:r>
      <w:r>
        <w:rPr>
          <w:snapToGrid w:val="0"/>
        </w:rPr>
        <w:t>.</w:t>
      </w:r>
      <w:r>
        <w:rPr>
          <w:snapToGrid w:val="0"/>
        </w:rPr>
        <w:tab/>
        <w:t>Personal information about third party, when access to may be given</w:t>
      </w:r>
      <w:r>
        <w:tab/>
      </w:r>
      <w:r>
        <w:fldChar w:fldCharType="begin"/>
      </w:r>
      <w:r>
        <w:instrText xml:space="preserve"> PAGEREF _Toc161845419 \h </w:instrText>
      </w:r>
      <w:r>
        <w:fldChar w:fldCharType="separate"/>
      </w:r>
      <w:r>
        <w:t>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Commercial etc. information of third party, when access to may be given</w:t>
      </w:r>
      <w:r>
        <w:tab/>
      </w:r>
      <w:r>
        <w:fldChar w:fldCharType="begin"/>
      </w:r>
      <w:r>
        <w:instrText xml:space="preserve"> PAGEREF _Toc161845420 \h </w:instrText>
      </w:r>
      <w:r>
        <w:fldChar w:fldCharType="separate"/>
      </w:r>
      <w:r>
        <w:t>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Consultation under s. 32 or 33, procedure after</w:t>
      </w:r>
      <w:r>
        <w:tab/>
      </w:r>
      <w:r>
        <w:fldChar w:fldCharType="begin"/>
      </w:r>
      <w:r>
        <w:instrText xml:space="preserve"> PAGEREF _Toc161845421 \h </w:instrText>
      </w:r>
      <w:r>
        <w:fldChar w:fldCharType="separate"/>
      </w:r>
      <w:r>
        <w:t>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Consultation under s. 32 or 33, Commissioner may waive</w:t>
      </w:r>
      <w:r>
        <w:tab/>
      </w:r>
      <w:r>
        <w:fldChar w:fldCharType="begin"/>
      </w:r>
      <w:r>
        <w:instrText xml:space="preserve"> PAGEREF _Toc161845422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Exemption certificates</w:t>
      </w:r>
    </w:p>
    <w:p>
      <w:pPr>
        <w:pStyle w:val="TOC8"/>
        <w:rPr>
          <w:rFonts w:asciiTheme="minorHAnsi" w:eastAsiaTheme="minorEastAsia" w:hAnsiTheme="minorHAnsi" w:cstheme="minorBidi"/>
          <w:szCs w:val="22"/>
        </w:rPr>
      </w:pPr>
      <w:r>
        <w:t>36</w:t>
      </w:r>
      <w:r>
        <w:rPr>
          <w:snapToGrid w:val="0"/>
        </w:rPr>
        <w:t>.</w:t>
      </w:r>
      <w:r>
        <w:rPr>
          <w:snapToGrid w:val="0"/>
        </w:rPr>
        <w:tab/>
        <w:t>Premier may issue certificate</w:t>
      </w:r>
      <w:r>
        <w:tab/>
      </w:r>
      <w:r>
        <w:fldChar w:fldCharType="begin"/>
      </w:r>
      <w:r>
        <w:instrText xml:space="preserve"> PAGEREF _Toc161845424 \h </w:instrText>
      </w:r>
      <w:r>
        <w:fldChar w:fldCharType="separate"/>
      </w:r>
      <w:r>
        <w:t>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Effect of certificate</w:t>
      </w:r>
      <w:r>
        <w:tab/>
      </w:r>
      <w:r>
        <w:fldChar w:fldCharType="begin"/>
      </w:r>
      <w:r>
        <w:instrText xml:space="preserve"> PAGEREF _Toc161845425 \h </w:instrText>
      </w:r>
      <w:r>
        <w:fldChar w:fldCharType="separate"/>
      </w:r>
      <w:r>
        <w:t>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Duration of certificate</w:t>
      </w:r>
      <w:r>
        <w:tab/>
      </w:r>
      <w:r>
        <w:fldChar w:fldCharType="begin"/>
      </w:r>
      <w:r>
        <w:instrText xml:space="preserve"> PAGEREF _Toc161845426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Internal review of decisions as to access</w:t>
      </w:r>
    </w:p>
    <w:p>
      <w:pPr>
        <w:pStyle w:val="TOC8"/>
        <w:rPr>
          <w:rFonts w:asciiTheme="minorHAnsi" w:eastAsiaTheme="minorEastAsia" w:hAnsiTheme="minorHAnsi" w:cstheme="minorBidi"/>
          <w:szCs w:val="22"/>
        </w:rPr>
      </w:pPr>
      <w:r>
        <w:t>39</w:t>
      </w:r>
      <w:r>
        <w:rPr>
          <w:snapToGrid w:val="0"/>
        </w:rPr>
        <w:t>.</w:t>
      </w:r>
      <w:r>
        <w:rPr>
          <w:snapToGrid w:val="0"/>
        </w:rPr>
        <w:tab/>
        <w:t>Review of decision under this Part, right to</w:t>
      </w:r>
      <w:r>
        <w:tab/>
      </w:r>
      <w:r>
        <w:fldChar w:fldCharType="begin"/>
      </w:r>
      <w:r>
        <w:instrText xml:space="preserve"> PAGEREF _Toc161845428 \h </w:instrText>
      </w:r>
      <w:r>
        <w:fldChar w:fldCharType="separate"/>
      </w:r>
      <w:r>
        <w:t>1</w:t>
      </w:r>
      <w:r>
        <w:fldChar w:fldCharType="end"/>
      </w:r>
    </w:p>
    <w:p>
      <w:pPr>
        <w:pStyle w:val="TOC8"/>
        <w:rPr>
          <w:rFonts w:asciiTheme="minorHAnsi" w:eastAsiaTheme="minorEastAsia" w:hAnsiTheme="minorHAnsi" w:cstheme="minorBidi"/>
          <w:szCs w:val="22"/>
        </w:rPr>
      </w:pPr>
      <w:r>
        <w:lastRenderedPageBreak/>
        <w:t>40</w:t>
      </w:r>
      <w:r>
        <w:rPr>
          <w:snapToGrid w:val="0"/>
        </w:rPr>
        <w:t>.</w:t>
      </w:r>
      <w:r>
        <w:rPr>
          <w:snapToGrid w:val="0"/>
        </w:rPr>
        <w:tab/>
        <w:t>Application for review</w:t>
      </w:r>
      <w:r>
        <w:tab/>
      </w:r>
      <w:r>
        <w:fldChar w:fldCharType="begin"/>
      </w:r>
      <w:r>
        <w:instrText xml:space="preserve"> PAGEREF _Toc161845429 \h </w:instrText>
      </w:r>
      <w:r>
        <w:fldChar w:fldCharType="separate"/>
      </w:r>
      <w:r>
        <w:t>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Who is to deal with application for review</w:t>
      </w:r>
      <w:r>
        <w:tab/>
      </w:r>
      <w:r>
        <w:fldChar w:fldCharType="begin"/>
      </w:r>
      <w:r>
        <w:instrText xml:space="preserve"> PAGEREF _Toc161845430 \h </w:instrText>
      </w:r>
      <w:r>
        <w:fldChar w:fldCharType="separate"/>
      </w:r>
      <w:r>
        <w:t>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How application for review to be dealt with</w:t>
      </w:r>
      <w:r>
        <w:tab/>
      </w:r>
      <w:r>
        <w:fldChar w:fldCharType="begin"/>
      </w:r>
      <w:r>
        <w:instrText xml:space="preserve"> PAGEREF _Toc161845431 \h </w:instrText>
      </w:r>
      <w:r>
        <w:fldChar w:fldCharType="separate"/>
      </w:r>
      <w:r>
        <w:t>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Decision can be confirmed, varied or reversed on review</w:t>
      </w:r>
      <w:r>
        <w:tab/>
      </w:r>
      <w:r>
        <w:fldChar w:fldCharType="begin"/>
      </w:r>
      <w:r>
        <w:instrText xml:space="preserve"> PAGEREF _Toc161845432 \h </w:instrText>
      </w:r>
      <w:r>
        <w:fldChar w:fldCharType="separate"/>
      </w:r>
      <w:r>
        <w:t>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charge for review</w:t>
      </w:r>
      <w:r>
        <w:tab/>
      </w:r>
      <w:r>
        <w:fldChar w:fldCharType="begin"/>
      </w:r>
      <w:r>
        <w:instrText xml:space="preserve"> PAGEREF _Toc161845433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Amendment of personal information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Applications for amendment</w:t>
      </w:r>
    </w:p>
    <w:p>
      <w:pPr>
        <w:pStyle w:val="TOC8"/>
        <w:rPr>
          <w:rFonts w:asciiTheme="minorHAnsi" w:eastAsiaTheme="minorEastAsia" w:hAnsiTheme="minorHAnsi" w:cstheme="minorBidi"/>
          <w:szCs w:val="22"/>
        </w:rPr>
      </w:pPr>
      <w:r>
        <w:t>45</w:t>
      </w:r>
      <w:r>
        <w:rPr>
          <w:snapToGrid w:val="0"/>
        </w:rPr>
        <w:t>.</w:t>
      </w:r>
      <w:r>
        <w:rPr>
          <w:snapToGrid w:val="0"/>
        </w:rPr>
        <w:tab/>
        <w:t>Right to apply for information to be amended</w:t>
      </w:r>
      <w:r>
        <w:tab/>
      </w:r>
      <w:r>
        <w:fldChar w:fldCharType="begin"/>
      </w:r>
      <w:r>
        <w:instrText xml:space="preserve"> PAGEREF _Toc161845436 \h </w:instrText>
      </w:r>
      <w:r>
        <w:fldChar w:fldCharType="separate"/>
      </w:r>
      <w:r>
        <w:t>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Application for amendment, form etc. of</w:t>
      </w:r>
      <w:r>
        <w:tab/>
      </w:r>
      <w:r>
        <w:fldChar w:fldCharType="begin"/>
      </w:r>
      <w:r>
        <w:instrText xml:space="preserve"> PAGEREF _Toc161845437 \h </w:instrText>
      </w:r>
      <w:r>
        <w:fldChar w:fldCharType="separate"/>
      </w:r>
      <w:r>
        <w:t>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Document held etc. by another agency, transferring application in case of</w:t>
      </w:r>
      <w:r>
        <w:tab/>
      </w:r>
      <w:r>
        <w:fldChar w:fldCharType="begin"/>
      </w:r>
      <w:r>
        <w:instrText xml:space="preserve"> PAGEREF _Toc161845438 \h </w:instrText>
      </w:r>
      <w:r>
        <w:fldChar w:fldCharType="separate"/>
      </w:r>
      <w:r>
        <w:t>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Amending information, ways of</w:t>
      </w:r>
      <w:r>
        <w:tab/>
      </w:r>
      <w:r>
        <w:fldChar w:fldCharType="begin"/>
      </w:r>
      <w:r>
        <w:instrText xml:space="preserve"> PAGEREF _Toc161845439 \h </w:instrText>
      </w:r>
      <w:r>
        <w:fldChar w:fldCharType="separate"/>
      </w:r>
      <w:r>
        <w:t>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Decision on application, notice of</w:t>
      </w:r>
      <w:r>
        <w:tab/>
      </w:r>
      <w:r>
        <w:fldChar w:fldCharType="begin"/>
      </w:r>
      <w:r>
        <w:instrText xml:space="preserve"> PAGEREF _Toc161845440 \h </w:instrText>
      </w:r>
      <w:r>
        <w:fldChar w:fldCharType="separate"/>
      </w:r>
      <w:r>
        <w:t>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If application for amendment refused, applicant may request notation etc. disputing accuracy of information etc.</w:t>
      </w:r>
      <w:r>
        <w:tab/>
      </w:r>
      <w:r>
        <w:fldChar w:fldCharType="begin"/>
      </w:r>
      <w:r>
        <w:instrText xml:space="preserve"> PAGEREF _Toc161845441 \h </w:instrText>
      </w:r>
      <w:r>
        <w:fldChar w:fldCharType="separate"/>
      </w:r>
      <w:r>
        <w:t>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Claim that information is inaccurate etc., agency to give notice of in some cases</w:t>
      </w:r>
      <w:r>
        <w:tab/>
      </w:r>
      <w:r>
        <w:fldChar w:fldCharType="begin"/>
      </w:r>
      <w:r>
        <w:instrText xml:space="preserve"> PAGEREF _Toc161845442 \h </w:instrText>
      </w:r>
      <w:r>
        <w:fldChar w:fldCharType="separate"/>
      </w:r>
      <w:r>
        <w:t>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Reasons for not amending information, agency may add to notation</w:t>
      </w:r>
      <w:r>
        <w:tab/>
      </w:r>
      <w:r>
        <w:fldChar w:fldCharType="begin"/>
      </w:r>
      <w:r>
        <w:instrText xml:space="preserve"> PAGEREF _Toc161845443 \h </w:instrText>
      </w:r>
      <w:r>
        <w:fldChar w:fldCharType="separate"/>
      </w:r>
      <w:r>
        <w:t>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No charge for application or request</w:t>
      </w:r>
      <w:r>
        <w:tab/>
      </w:r>
      <w:r>
        <w:fldChar w:fldCharType="begin"/>
      </w:r>
      <w:r>
        <w:instrText xml:space="preserve"> PAGEREF _Toc161845444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Internal review of decisions as to amendment of information</w:t>
      </w:r>
    </w:p>
    <w:p>
      <w:pPr>
        <w:pStyle w:val="TOC8"/>
        <w:rPr>
          <w:rFonts w:asciiTheme="minorHAnsi" w:eastAsiaTheme="minorEastAsia" w:hAnsiTheme="minorHAnsi" w:cstheme="minorBidi"/>
          <w:szCs w:val="22"/>
        </w:rPr>
      </w:pPr>
      <w:r>
        <w:t>54</w:t>
      </w:r>
      <w:r>
        <w:rPr>
          <w:snapToGrid w:val="0"/>
        </w:rPr>
        <w:t>.</w:t>
      </w:r>
      <w:r>
        <w:rPr>
          <w:snapToGrid w:val="0"/>
        </w:rPr>
        <w:tab/>
        <w:t>Review of decision under Div. 1, right to etc.</w:t>
      </w:r>
      <w:r>
        <w:tab/>
      </w:r>
      <w:r>
        <w:fldChar w:fldCharType="begin"/>
      </w:r>
      <w:r>
        <w:instrText xml:space="preserve"> PAGEREF _Toc161845446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External review of decisions; appeals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Information Commissioner</w:t>
      </w:r>
    </w:p>
    <w:p>
      <w:pPr>
        <w:pStyle w:val="TOC8"/>
        <w:rPr>
          <w:rFonts w:asciiTheme="minorHAnsi" w:eastAsiaTheme="minorEastAsia" w:hAnsiTheme="minorHAnsi" w:cstheme="minorBidi"/>
          <w:szCs w:val="22"/>
        </w:rPr>
      </w:pPr>
      <w:r>
        <w:t>55</w:t>
      </w:r>
      <w:r>
        <w:rPr>
          <w:snapToGrid w:val="0"/>
        </w:rPr>
        <w:t>.</w:t>
      </w:r>
      <w:r>
        <w:rPr>
          <w:snapToGrid w:val="0"/>
        </w:rPr>
        <w:tab/>
        <w:t>Office established etc.</w:t>
      </w:r>
      <w:r>
        <w:tab/>
      </w:r>
      <w:r>
        <w:fldChar w:fldCharType="begin"/>
      </w:r>
      <w:r>
        <w:instrText xml:space="preserve"> PAGEREF _Toc161845449 \h </w:instrText>
      </w:r>
      <w:r>
        <w:fldChar w:fldCharType="separate"/>
      </w:r>
      <w:r>
        <w:t>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Appointment, terms and conditions</w:t>
      </w:r>
      <w:r>
        <w:tab/>
      </w:r>
      <w:r>
        <w:fldChar w:fldCharType="begin"/>
      </w:r>
      <w:r>
        <w:instrText xml:space="preserve"> PAGEREF _Toc161845450 \h </w:instrText>
      </w:r>
      <w:r>
        <w:fldChar w:fldCharType="separate"/>
      </w:r>
      <w:r>
        <w:t>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Resignation</w:t>
      </w:r>
      <w:r>
        <w:tab/>
      </w:r>
      <w:r>
        <w:fldChar w:fldCharType="begin"/>
      </w:r>
      <w:r>
        <w:instrText xml:space="preserve"> PAGEREF _Toc161845451 \h </w:instrText>
      </w:r>
      <w:r>
        <w:fldChar w:fldCharType="separate"/>
      </w:r>
      <w:r>
        <w:t>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Suspension and removal</w:t>
      </w:r>
      <w:r>
        <w:tab/>
      </w:r>
      <w:r>
        <w:fldChar w:fldCharType="begin"/>
      </w:r>
      <w:r>
        <w:instrText xml:space="preserve"> PAGEREF _Toc161845452 \h </w:instrText>
      </w:r>
      <w:r>
        <w:fldChar w:fldCharType="separate"/>
      </w:r>
      <w:r>
        <w:t>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Acting Information Commissioner, appointing etc.</w:t>
      </w:r>
      <w:r>
        <w:tab/>
      </w:r>
      <w:r>
        <w:fldChar w:fldCharType="begin"/>
      </w:r>
      <w:r>
        <w:instrText xml:space="preserve"> PAGEREF _Toc161845453 \h </w:instrText>
      </w:r>
      <w:r>
        <w:fldChar w:fldCharType="separate"/>
      </w:r>
      <w:r>
        <w:t>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Oath or affirmation of office</w:t>
      </w:r>
      <w:r>
        <w:tab/>
      </w:r>
      <w:r>
        <w:fldChar w:fldCharType="begin"/>
      </w:r>
      <w:r>
        <w:instrText xml:space="preserve"> PAGEREF _Toc161845454 \h </w:instrText>
      </w:r>
      <w:r>
        <w:fldChar w:fldCharType="separate"/>
      </w:r>
      <w:r>
        <w:t>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Staff, appointment of etc.</w:t>
      </w:r>
      <w:r>
        <w:tab/>
      </w:r>
      <w:r>
        <w:fldChar w:fldCharType="begin"/>
      </w:r>
      <w:r>
        <w:instrText xml:space="preserve"> PAGEREF _Toc161845455 \h </w:instrText>
      </w:r>
      <w:r>
        <w:fldChar w:fldCharType="separate"/>
      </w:r>
      <w:r>
        <w:t>1</w:t>
      </w:r>
      <w:r>
        <w:fldChar w:fldCharType="end"/>
      </w:r>
    </w:p>
    <w:p>
      <w:pPr>
        <w:pStyle w:val="TOC8"/>
        <w:rPr>
          <w:rFonts w:asciiTheme="minorHAnsi" w:eastAsiaTheme="minorEastAsia" w:hAnsiTheme="minorHAnsi" w:cstheme="minorBidi"/>
          <w:szCs w:val="22"/>
        </w:rPr>
      </w:pPr>
      <w:r>
        <w:lastRenderedPageBreak/>
        <w:t>62</w:t>
      </w:r>
      <w:r>
        <w:rPr>
          <w:snapToGrid w:val="0"/>
        </w:rPr>
        <w:t>.</w:t>
      </w:r>
      <w:r>
        <w:rPr>
          <w:snapToGrid w:val="0"/>
        </w:rPr>
        <w:tab/>
        <w:t>Commissioner and staff, additional provisions about</w:t>
      </w:r>
      <w:r>
        <w:tab/>
      </w:r>
      <w:r>
        <w:fldChar w:fldCharType="begin"/>
      </w:r>
      <w:r>
        <w:instrText xml:space="preserve"> PAGEREF _Toc161845456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Information Commissioner</w:t>
      </w:r>
    </w:p>
    <w:p>
      <w:pPr>
        <w:pStyle w:val="TOC8"/>
        <w:rPr>
          <w:rFonts w:asciiTheme="minorHAnsi" w:eastAsiaTheme="minorEastAsia" w:hAnsiTheme="minorHAnsi" w:cstheme="minorBidi"/>
          <w:szCs w:val="22"/>
        </w:rPr>
      </w:pPr>
      <w:r>
        <w:t>63</w:t>
      </w:r>
      <w:r>
        <w:rPr>
          <w:snapToGrid w:val="0"/>
        </w:rPr>
        <w:t>.</w:t>
      </w:r>
      <w:r>
        <w:rPr>
          <w:snapToGrid w:val="0"/>
        </w:rPr>
        <w:tab/>
        <w:t>Functions</w:t>
      </w:r>
      <w:r>
        <w:tab/>
      </w:r>
      <w:r>
        <w:fldChar w:fldCharType="begin"/>
      </w:r>
      <w:r>
        <w:instrText xml:space="preserve"> PAGEREF _Toc161845458 \h </w:instrText>
      </w:r>
      <w:r>
        <w:fldChar w:fldCharType="separate"/>
      </w:r>
      <w:r>
        <w:t>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Powers</w:t>
      </w:r>
      <w:r>
        <w:tab/>
      </w:r>
      <w:r>
        <w:fldChar w:fldCharType="begin"/>
      </w:r>
      <w:r>
        <w:instrText xml:space="preserve"> PAGEREF _Toc161845459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Complaints and procedure for dealing with them</w:t>
      </w:r>
    </w:p>
    <w:p>
      <w:pPr>
        <w:pStyle w:val="TOC8"/>
        <w:rPr>
          <w:rFonts w:asciiTheme="minorHAnsi" w:eastAsiaTheme="minorEastAsia" w:hAnsiTheme="minorHAnsi" w:cstheme="minorBidi"/>
          <w:szCs w:val="22"/>
        </w:rPr>
      </w:pPr>
      <w:r>
        <w:t>65</w:t>
      </w:r>
      <w:r>
        <w:rPr>
          <w:snapToGrid w:val="0"/>
        </w:rPr>
        <w:t>.</w:t>
      </w:r>
      <w:r>
        <w:rPr>
          <w:snapToGrid w:val="0"/>
        </w:rPr>
        <w:tab/>
        <w:t>Complaint against agency’s decision, making</w:t>
      </w:r>
      <w:r>
        <w:tab/>
      </w:r>
      <w:r>
        <w:fldChar w:fldCharType="begin"/>
      </w:r>
      <w:r>
        <w:instrText xml:space="preserve"> PAGEREF _Toc161845461 \h </w:instrText>
      </w:r>
      <w:r>
        <w:fldChar w:fldCharType="separate"/>
      </w:r>
      <w:r>
        <w:t>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Complaint, form etc. of</w:t>
      </w:r>
      <w:r>
        <w:tab/>
      </w:r>
      <w:r>
        <w:fldChar w:fldCharType="begin"/>
      </w:r>
      <w:r>
        <w:instrText xml:space="preserve"> PAGEREF _Toc161845462 \h </w:instrText>
      </w:r>
      <w:r>
        <w:fldChar w:fldCharType="separate"/>
      </w:r>
      <w:r>
        <w:t>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Commissioner may decide not to deal with a complaint</w:t>
      </w:r>
      <w:r>
        <w:tab/>
      </w:r>
      <w:r>
        <w:fldChar w:fldCharType="begin"/>
      </w:r>
      <w:r>
        <w:instrText xml:space="preserve"> PAGEREF _Toc161845463 \h </w:instrText>
      </w:r>
      <w:r>
        <w:fldChar w:fldCharType="separate"/>
      </w:r>
      <w:r>
        <w:t>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Complaint, agency etc. to be notified of</w:t>
      </w:r>
      <w:r>
        <w:tab/>
      </w:r>
      <w:r>
        <w:fldChar w:fldCharType="begin"/>
      </w:r>
      <w:r>
        <w:instrText xml:space="preserve"> PAGEREF _Toc161845464 \h </w:instrText>
      </w:r>
      <w:r>
        <w:fldChar w:fldCharType="separate"/>
      </w:r>
      <w:r>
        <w:t>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Complaint, who are parties to etc.</w:t>
      </w:r>
      <w:r>
        <w:tab/>
      </w:r>
      <w:r>
        <w:fldChar w:fldCharType="begin"/>
      </w:r>
      <w:r>
        <w:instrText xml:space="preserve"> PAGEREF _Toc161845465 \h </w:instrText>
      </w:r>
      <w:r>
        <w:fldChar w:fldCharType="separate"/>
      </w:r>
      <w:r>
        <w:t>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Complaint, procedure for dealing with</w:t>
      </w:r>
      <w:r>
        <w:tab/>
      </w:r>
      <w:r>
        <w:fldChar w:fldCharType="begin"/>
      </w:r>
      <w:r>
        <w:instrText xml:space="preserve"> PAGEREF _Toc161845466 \h </w:instrText>
      </w:r>
      <w:r>
        <w:fldChar w:fldCharType="separate"/>
      </w:r>
      <w:r>
        <w:t>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Complaint, conciliation etc. of</w:t>
      </w:r>
      <w:r>
        <w:tab/>
      </w:r>
      <w:r>
        <w:fldChar w:fldCharType="begin"/>
      </w:r>
      <w:r>
        <w:instrText xml:space="preserve"> PAGEREF _Toc161845467 \h </w:instrText>
      </w:r>
      <w:r>
        <w:fldChar w:fldCharType="separate"/>
      </w:r>
      <w:r>
        <w:t>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Information etc. relevant to complaint, Commissioner’s powers to obtain etc.</w:t>
      </w:r>
      <w:r>
        <w:tab/>
      </w:r>
      <w:r>
        <w:fldChar w:fldCharType="begin"/>
      </w:r>
      <w:r>
        <w:instrText xml:space="preserve"> PAGEREF _Toc161845468 \h </w:instrText>
      </w:r>
      <w:r>
        <w:fldChar w:fldCharType="separate"/>
      </w:r>
      <w:r>
        <w:t>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Examination on oath, powers as to</w:t>
      </w:r>
      <w:r>
        <w:tab/>
      </w:r>
      <w:r>
        <w:fldChar w:fldCharType="begin"/>
      </w:r>
      <w:r>
        <w:instrText xml:space="preserve"> PAGEREF _Toc161845469 \h </w:instrText>
      </w:r>
      <w:r>
        <w:fldChar w:fldCharType="separate"/>
      </w:r>
      <w:r>
        <w:t>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Exempt matter etc., Commissioner to ensure non</w:t>
      </w:r>
      <w:r>
        <w:rPr>
          <w:snapToGrid w:val="0"/>
        </w:rPr>
        <w:noBreakHyphen/>
        <w:t>disclosure of</w:t>
      </w:r>
      <w:r>
        <w:tab/>
      </w:r>
      <w:r>
        <w:fldChar w:fldCharType="begin"/>
      </w:r>
      <w:r>
        <w:instrText xml:space="preserve"> PAGEREF _Toc161845470 \h </w:instrText>
      </w:r>
      <w:r>
        <w:fldChar w:fldCharType="separate"/>
      </w:r>
      <w:r>
        <w:t>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Document held by agency, Commissioner may require production of</w:t>
      </w:r>
      <w:r>
        <w:tab/>
      </w:r>
      <w:r>
        <w:fldChar w:fldCharType="begin"/>
      </w:r>
      <w:r>
        <w:instrText xml:space="preserve"> PAGEREF _Toc161845471 \h </w:instrText>
      </w:r>
      <w:r>
        <w:fldChar w:fldCharType="separate"/>
      </w:r>
      <w:r>
        <w:t>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Commissioner’s other powers and duties when dealing with complaint</w:t>
      </w:r>
      <w:r>
        <w:tab/>
      </w:r>
      <w:r>
        <w:fldChar w:fldCharType="begin"/>
      </w:r>
      <w:r>
        <w:instrText xml:space="preserve"> PAGEREF _Toc161845472 \h </w:instrText>
      </w:r>
      <w:r>
        <w:fldChar w:fldCharType="separate"/>
      </w:r>
      <w:r>
        <w:t>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Exemption certificate, review of grounds for etc.</w:t>
      </w:r>
      <w:r>
        <w:tab/>
      </w:r>
      <w:r>
        <w:fldChar w:fldCharType="begin"/>
      </w:r>
      <w:r>
        <w:instrText xml:space="preserve"> PAGEREF _Toc161845473 \h </w:instrText>
      </w:r>
      <w:r>
        <w:fldChar w:fldCharType="separate"/>
      </w:r>
      <w:r>
        <w:t>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Question of law on complaint, referral of to Supreme Court</w:t>
      </w:r>
      <w:r>
        <w:tab/>
      </w:r>
      <w:r>
        <w:fldChar w:fldCharType="begin"/>
      </w:r>
      <w:r>
        <w:instrText xml:space="preserve"> PAGEREF _Toc161845474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provisions as to the Information Commissioner and staff</w:t>
      </w:r>
    </w:p>
    <w:p>
      <w:pPr>
        <w:pStyle w:val="TOC8"/>
        <w:rPr>
          <w:rFonts w:asciiTheme="minorHAnsi" w:eastAsiaTheme="minorEastAsia" w:hAnsiTheme="minorHAnsi" w:cstheme="minorBidi"/>
          <w:szCs w:val="22"/>
        </w:rPr>
      </w:pPr>
      <w:r>
        <w:t>79</w:t>
      </w:r>
      <w:r>
        <w:rPr>
          <w:snapToGrid w:val="0"/>
        </w:rPr>
        <w:t>.</w:t>
      </w:r>
      <w:r>
        <w:rPr>
          <w:snapToGrid w:val="0"/>
        </w:rPr>
        <w:tab/>
        <w:t>Delegation by Commissioner to staff</w:t>
      </w:r>
      <w:r>
        <w:tab/>
      </w:r>
      <w:r>
        <w:fldChar w:fldCharType="begin"/>
      </w:r>
      <w:r>
        <w:instrText xml:space="preserve"> PAGEREF _Toc161845476 \h </w:instrText>
      </w:r>
      <w:r>
        <w:fldChar w:fldCharType="separate"/>
      </w:r>
      <w:r>
        <w:t>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Protection from personal liability</w:t>
      </w:r>
      <w:r>
        <w:tab/>
      </w:r>
      <w:r>
        <w:fldChar w:fldCharType="begin"/>
      </w:r>
      <w:r>
        <w:instrText xml:space="preserve"> PAGEREF _Toc161845477 \h </w:instrText>
      </w:r>
      <w:r>
        <w:fldChar w:fldCharType="separate"/>
      </w:r>
      <w:r>
        <w:t>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Disclosure restriction under other law does not apply to disclosing to Commissioner; privileges of parties</w:t>
      </w:r>
      <w:r>
        <w:tab/>
      </w:r>
      <w:r>
        <w:fldChar w:fldCharType="begin"/>
      </w:r>
      <w:r>
        <w:instrText xml:space="preserve"> PAGEREF _Toc161845478 \h </w:instrText>
      </w:r>
      <w:r>
        <w:fldChar w:fldCharType="separate"/>
      </w:r>
      <w:r>
        <w:t>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Disclosure etc. of information obtained under Act restricted</w:t>
      </w:r>
      <w:r>
        <w:tab/>
      </w:r>
      <w:r>
        <w:fldChar w:fldCharType="begin"/>
      </w:r>
      <w:r>
        <w:instrText xml:space="preserve"> PAGEREF _Toc161845479 \h </w:instrText>
      </w:r>
      <w:r>
        <w:fldChar w:fldCharType="separate"/>
      </w:r>
      <w:r>
        <w:t>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Failure to give information etc. when required, offence</w:t>
      </w:r>
      <w:r>
        <w:tab/>
      </w:r>
      <w:r>
        <w:fldChar w:fldCharType="begin"/>
      </w:r>
      <w:r>
        <w:instrText xml:space="preserve"> PAGEREF _Toc161845480 \h </w:instrText>
      </w:r>
      <w:r>
        <w:fldChar w:fldCharType="separate"/>
      </w:r>
      <w:r>
        <w:t>1</w:t>
      </w:r>
      <w:r>
        <w:fldChar w:fldCharType="end"/>
      </w:r>
    </w:p>
    <w:p>
      <w:pPr>
        <w:pStyle w:val="TOC8"/>
        <w:rPr>
          <w:rFonts w:asciiTheme="minorHAnsi" w:eastAsiaTheme="minorEastAsia" w:hAnsiTheme="minorHAnsi" w:cstheme="minorBidi"/>
          <w:szCs w:val="22"/>
        </w:rPr>
      </w:pPr>
      <w:r>
        <w:lastRenderedPageBreak/>
        <w:t>84</w:t>
      </w:r>
      <w:r>
        <w:rPr>
          <w:snapToGrid w:val="0"/>
        </w:rPr>
        <w:t>.</w:t>
      </w:r>
      <w:r>
        <w:rPr>
          <w:snapToGrid w:val="0"/>
        </w:rPr>
        <w:tab/>
        <w:t>Costs of parties to complaints</w:t>
      </w:r>
      <w:r>
        <w:tab/>
      </w:r>
      <w:r>
        <w:fldChar w:fldCharType="begin"/>
      </w:r>
      <w:r>
        <w:instrText xml:space="preserve"> PAGEREF _Toc161845481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Appeals to the Supreme Court</w:t>
      </w:r>
    </w:p>
    <w:p>
      <w:pPr>
        <w:pStyle w:val="TOC8"/>
        <w:rPr>
          <w:rFonts w:asciiTheme="minorHAnsi" w:eastAsiaTheme="minorEastAsia" w:hAnsiTheme="minorHAnsi" w:cstheme="minorBidi"/>
          <w:szCs w:val="22"/>
        </w:rPr>
      </w:pPr>
      <w:r>
        <w:t>85</w:t>
      </w:r>
      <w:r>
        <w:rPr>
          <w:snapToGrid w:val="0"/>
        </w:rPr>
        <w:t>.</w:t>
      </w:r>
      <w:r>
        <w:rPr>
          <w:snapToGrid w:val="0"/>
        </w:rPr>
        <w:tab/>
        <w:t>What may be appealed etc.</w:t>
      </w:r>
      <w:r>
        <w:tab/>
      </w:r>
      <w:r>
        <w:fldChar w:fldCharType="begin"/>
      </w:r>
      <w:r>
        <w:instrText xml:space="preserve"> PAGEREF _Toc161845483 \h </w:instrText>
      </w:r>
      <w:r>
        <w:fldChar w:fldCharType="separate"/>
      </w:r>
      <w:r>
        <w:t>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Parties to an appeal</w:t>
      </w:r>
      <w:r>
        <w:tab/>
      </w:r>
      <w:r>
        <w:fldChar w:fldCharType="begin"/>
      </w:r>
      <w:r>
        <w:instrText xml:space="preserve"> PAGEREF _Toc161845484 \h </w:instrText>
      </w:r>
      <w:r>
        <w:fldChar w:fldCharType="separate"/>
      </w:r>
      <w:r>
        <w:t>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Court’s powers on appeal</w:t>
      </w:r>
      <w:r>
        <w:tab/>
      </w:r>
      <w:r>
        <w:fldChar w:fldCharType="begin"/>
      </w:r>
      <w:r>
        <w:instrText xml:space="preserve"> PAGEREF _Toc161845485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 provisions as to proceedings in the Supreme Court</w:t>
      </w:r>
    </w:p>
    <w:p>
      <w:pPr>
        <w:pStyle w:val="TOC8"/>
        <w:rPr>
          <w:rFonts w:asciiTheme="minorHAnsi" w:eastAsiaTheme="minorEastAsia" w:hAnsiTheme="minorHAnsi" w:cstheme="minorBidi"/>
          <w:szCs w:val="22"/>
        </w:rPr>
      </w:pPr>
      <w:r>
        <w:t>88</w:t>
      </w:r>
      <w:r>
        <w:rPr>
          <w:snapToGrid w:val="0"/>
        </w:rPr>
        <w:t>.</w:t>
      </w:r>
      <w:r>
        <w:rPr>
          <w:snapToGrid w:val="0"/>
        </w:rPr>
        <w:tab/>
        <w:t>Term used: review proceedings</w:t>
      </w:r>
      <w:r>
        <w:tab/>
      </w:r>
      <w:r>
        <w:fldChar w:fldCharType="begin"/>
      </w:r>
      <w:r>
        <w:instrText xml:space="preserve"> PAGEREF _Toc161845487 \h </w:instrText>
      </w:r>
      <w:r>
        <w:fldChar w:fldCharType="separate"/>
      </w:r>
      <w:r>
        <w:t>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Terms etc., Court may impose; costs</w:t>
      </w:r>
      <w:r>
        <w:tab/>
      </w:r>
      <w:r>
        <w:fldChar w:fldCharType="begin"/>
      </w:r>
      <w:r>
        <w:instrText xml:space="preserve"> PAGEREF _Toc161845488 \h </w:instrText>
      </w:r>
      <w:r>
        <w:fldChar w:fldCharType="separate"/>
      </w:r>
      <w:r>
        <w:t>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Exempt matter etc., Court to ensure non</w:t>
      </w:r>
      <w:r>
        <w:rPr>
          <w:snapToGrid w:val="0"/>
        </w:rPr>
        <w:noBreakHyphen/>
        <w:t>disclosure of</w:t>
      </w:r>
      <w:r>
        <w:tab/>
      </w:r>
      <w:r>
        <w:fldChar w:fldCharType="begin"/>
      </w:r>
      <w:r>
        <w:instrText xml:space="preserve"> PAGEREF _Toc161845489 \h </w:instrText>
      </w:r>
      <w:r>
        <w:fldChar w:fldCharType="separate"/>
      </w:r>
      <w:r>
        <w:t>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Document held by agency, Court may require production of etc.</w:t>
      </w:r>
      <w:r>
        <w:tab/>
      </w:r>
      <w:r>
        <w:fldChar w:fldCharType="begin"/>
      </w:r>
      <w:r>
        <w:instrText xml:space="preserve"> PAGEREF _Toc161845490 \h </w:instrText>
      </w:r>
      <w:r>
        <w:fldChar w:fldCharType="separate"/>
      </w:r>
      <w:r>
        <w:t>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Disclosure restriction under other law does not apply to disclosing to Court</w:t>
      </w:r>
      <w:r>
        <w:tab/>
      </w:r>
      <w:r>
        <w:fldChar w:fldCharType="begin"/>
      </w:r>
      <w:r>
        <w:instrText xml:space="preserve"> PAGEREF _Toc161845491 \h </w:instrText>
      </w:r>
      <w:r>
        <w:fldChar w:fldCharType="separate"/>
      </w:r>
      <w:r>
        <w:t>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Other procedure, Court may determine</w:t>
      </w:r>
      <w:r>
        <w:tab/>
      </w:r>
      <w:r>
        <w:fldChar w:fldCharType="begin"/>
      </w:r>
      <w:r>
        <w:instrText xml:space="preserve"> PAGEREF _Toc161845492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Publication of information about agencies</w:t>
      </w:r>
    </w:p>
    <w:p>
      <w:pPr>
        <w:pStyle w:val="TOC8"/>
        <w:rPr>
          <w:rFonts w:asciiTheme="minorHAnsi" w:eastAsiaTheme="minorEastAsia" w:hAnsiTheme="minorHAnsi" w:cstheme="minorBidi"/>
          <w:szCs w:val="22"/>
        </w:rPr>
      </w:pPr>
      <w:r>
        <w:t>94</w:t>
      </w:r>
      <w:r>
        <w:rPr>
          <w:snapToGrid w:val="0"/>
        </w:rPr>
        <w:t>.</w:t>
      </w:r>
      <w:r>
        <w:rPr>
          <w:snapToGrid w:val="0"/>
        </w:rPr>
        <w:tab/>
        <w:t>Term used: information statement</w:t>
      </w:r>
      <w:r>
        <w:tab/>
      </w:r>
      <w:r>
        <w:fldChar w:fldCharType="begin"/>
      </w:r>
      <w:r>
        <w:instrText xml:space="preserve"> PAGEREF _Toc161845494 \h </w:instrText>
      </w:r>
      <w:r>
        <w:fldChar w:fldCharType="separate"/>
      </w:r>
      <w:r>
        <w:t>1</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Term used: internal manual</w:t>
      </w:r>
      <w:r>
        <w:tab/>
      </w:r>
      <w:r>
        <w:fldChar w:fldCharType="begin"/>
      </w:r>
      <w:r>
        <w:instrText xml:space="preserve"> PAGEREF _Toc161845495 \h </w:instrText>
      </w:r>
      <w:r>
        <w:fldChar w:fldCharType="separate"/>
      </w:r>
      <w:r>
        <w:t>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Information statement, each agency to publish annually</w:t>
      </w:r>
      <w:r>
        <w:tab/>
      </w:r>
      <w:r>
        <w:fldChar w:fldCharType="begin"/>
      </w:r>
      <w:r>
        <w:instrText xml:space="preserve"> PAGEREF _Toc161845496 \h </w:instrText>
      </w:r>
      <w:r>
        <w:fldChar w:fldCharType="separate"/>
      </w:r>
      <w:r>
        <w:t>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Information statement and internal manual, each agency to make available etc.</w:t>
      </w:r>
      <w:r>
        <w:tab/>
      </w:r>
      <w:r>
        <w:fldChar w:fldCharType="begin"/>
      </w:r>
      <w:r>
        <w:instrText xml:space="preserve"> PAGEREF _Toc161845497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98</w:t>
      </w:r>
      <w:r>
        <w:rPr>
          <w:snapToGrid w:val="0"/>
        </w:rPr>
        <w:t>.</w:t>
      </w:r>
      <w:r>
        <w:rPr>
          <w:snapToGrid w:val="0"/>
        </w:rPr>
        <w:tab/>
        <w:t>Child or handicapped person, applications on behalf of</w:t>
      </w:r>
      <w:r>
        <w:tab/>
      </w:r>
      <w:r>
        <w:fldChar w:fldCharType="begin"/>
      </w:r>
      <w:r>
        <w:instrText xml:space="preserve"> PAGEREF _Toc161845499 \h </w:instrText>
      </w:r>
      <w:r>
        <w:fldChar w:fldCharType="separate"/>
      </w:r>
      <w:r>
        <w:t>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Defunct agency, performance of functions on behalf of</w:t>
      </w:r>
      <w:r>
        <w:tab/>
      </w:r>
      <w:r>
        <w:fldChar w:fldCharType="begin"/>
      </w:r>
      <w:r>
        <w:instrText xml:space="preserve"> PAGEREF _Toc161845500 \h </w:instrText>
      </w:r>
      <w:r>
        <w:fldChar w:fldCharType="separate"/>
      </w:r>
      <w:r>
        <w:t>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Who in agency makes its decisions</w:t>
      </w:r>
      <w:r>
        <w:tab/>
      </w:r>
      <w:r>
        <w:fldChar w:fldCharType="begin"/>
      </w:r>
      <w:r>
        <w:instrText xml:space="preserve"> PAGEREF _Toc161845501 \h </w:instrText>
      </w:r>
      <w:r>
        <w:fldChar w:fldCharType="separate"/>
      </w:r>
      <w:r>
        <w:t>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Notice sent by post or fax, presumed time of service of</w:t>
      </w:r>
      <w:r>
        <w:tab/>
      </w:r>
      <w:r>
        <w:fldChar w:fldCharType="begin"/>
      </w:r>
      <w:r>
        <w:instrText xml:space="preserve"> PAGEREF _Toc161845502 \h </w:instrText>
      </w:r>
      <w:r>
        <w:fldChar w:fldCharType="separate"/>
      </w:r>
      <w:r>
        <w:t>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Burden of proof</w:t>
      </w:r>
      <w:r>
        <w:tab/>
      </w:r>
      <w:r>
        <w:fldChar w:fldCharType="begin"/>
      </w:r>
      <w:r>
        <w:instrText xml:space="preserve"> PAGEREF _Toc161845503 \h </w:instrText>
      </w:r>
      <w:r>
        <w:fldChar w:fldCharType="separate"/>
      </w:r>
      <w:r>
        <w:t>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No review of decisions etc. except under this Act</w:t>
      </w:r>
      <w:r>
        <w:tab/>
      </w:r>
      <w:r>
        <w:fldChar w:fldCharType="begin"/>
      </w:r>
      <w:r>
        <w:instrText xml:space="preserve"> PAGEREF _Toc161845504 \h </w:instrText>
      </w:r>
      <w:r>
        <w:fldChar w:fldCharType="separate"/>
      </w:r>
      <w:r>
        <w:t>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Defamation or breach of confidence action, certain people protected from</w:t>
      </w:r>
      <w:r>
        <w:tab/>
      </w:r>
      <w:r>
        <w:fldChar w:fldCharType="begin"/>
      </w:r>
      <w:r>
        <w:instrText xml:space="preserve"> PAGEREF _Toc161845505 \h </w:instrText>
      </w:r>
      <w:r>
        <w:fldChar w:fldCharType="separate"/>
      </w:r>
      <w:r>
        <w:t>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Criminal liability, certain people protected from</w:t>
      </w:r>
      <w:r>
        <w:tab/>
      </w:r>
      <w:r>
        <w:fldChar w:fldCharType="begin"/>
      </w:r>
      <w:r>
        <w:instrText xml:space="preserve"> PAGEREF _Toc161845506 \h </w:instrText>
      </w:r>
      <w:r>
        <w:fldChar w:fldCharType="separate"/>
      </w:r>
      <w:r>
        <w:t>1</w:t>
      </w:r>
      <w:r>
        <w:fldChar w:fldCharType="end"/>
      </w:r>
    </w:p>
    <w:p>
      <w:pPr>
        <w:pStyle w:val="TOC8"/>
        <w:rPr>
          <w:rFonts w:asciiTheme="minorHAnsi" w:eastAsiaTheme="minorEastAsia" w:hAnsiTheme="minorHAnsi" w:cstheme="minorBidi"/>
          <w:szCs w:val="22"/>
        </w:rPr>
      </w:pPr>
      <w:r>
        <w:lastRenderedPageBreak/>
        <w:t>106</w:t>
      </w:r>
      <w:r>
        <w:rPr>
          <w:snapToGrid w:val="0"/>
        </w:rPr>
        <w:t>.</w:t>
      </w:r>
      <w:r>
        <w:rPr>
          <w:snapToGrid w:val="0"/>
        </w:rPr>
        <w:tab/>
        <w:t>Personal liability, certain people protected from</w:t>
      </w:r>
      <w:r>
        <w:tab/>
      </w:r>
      <w:r>
        <w:fldChar w:fldCharType="begin"/>
      </w:r>
      <w:r>
        <w:instrText xml:space="preserve"> PAGEREF _Toc161845507 \h </w:instrText>
      </w:r>
      <w:r>
        <w:fldChar w:fldCharType="separate"/>
      </w:r>
      <w:r>
        <w:t>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Failure to consult under Part 2 Div. 3, Crown etc. not liable in case of</w:t>
      </w:r>
      <w:r>
        <w:tab/>
      </w:r>
      <w:r>
        <w:fldChar w:fldCharType="begin"/>
      </w:r>
      <w:r>
        <w:instrText xml:space="preserve"> PAGEREF _Toc161845508 \h </w:instrText>
      </w:r>
      <w:r>
        <w:fldChar w:fldCharType="separate"/>
      </w:r>
      <w:r>
        <w:t>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Exempt matter does not have to be published</w:t>
      </w:r>
      <w:r>
        <w:tab/>
      </w:r>
      <w:r>
        <w:fldChar w:fldCharType="begin"/>
      </w:r>
      <w:r>
        <w:instrText xml:space="preserve"> PAGEREF _Toc161845509 \h </w:instrText>
      </w:r>
      <w:r>
        <w:fldChar w:fldCharType="separate"/>
      </w:r>
      <w:r>
        <w:t>1</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Personal information of another etc., obtaining access to by deceit etc. is offence</w:t>
      </w:r>
      <w:r>
        <w:tab/>
      </w:r>
      <w:r>
        <w:fldChar w:fldCharType="begin"/>
      </w:r>
      <w:r>
        <w:instrText xml:space="preserve"> PAGEREF _Toc161845510 \h </w:instrText>
      </w:r>
      <w:r>
        <w:fldChar w:fldCharType="separate"/>
      </w:r>
      <w:r>
        <w:t>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Destroying document to prevent access, offence</w:t>
      </w:r>
      <w:r>
        <w:tab/>
      </w:r>
      <w:r>
        <w:fldChar w:fldCharType="begin"/>
      </w:r>
      <w:r>
        <w:instrText xml:space="preserve"> PAGEREF _Toc161845511 \h </w:instrText>
      </w:r>
      <w:r>
        <w:fldChar w:fldCharType="separate"/>
      </w:r>
      <w:r>
        <w:t>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Annual report to Parliament</w:t>
      </w:r>
      <w:r>
        <w:tab/>
      </w:r>
      <w:r>
        <w:fldChar w:fldCharType="begin"/>
      </w:r>
      <w:r>
        <w:instrText xml:space="preserve"> PAGEREF _Toc161845512 \h </w:instrText>
      </w:r>
      <w:r>
        <w:fldChar w:fldCharType="separate"/>
      </w:r>
      <w:r>
        <w:t>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Regulations</w:t>
      </w:r>
      <w:r>
        <w:tab/>
      </w:r>
      <w:r>
        <w:fldChar w:fldCharType="begin"/>
      </w:r>
      <w:r>
        <w:instrText xml:space="preserve"> PAGEREF _Toc161845513 \h </w:instrText>
      </w:r>
      <w:r>
        <w:fldChar w:fldCharType="separate"/>
      </w:r>
      <w:r>
        <w:t>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Review of Act</w:t>
      </w:r>
      <w:r>
        <w:tab/>
      </w:r>
      <w:r>
        <w:fldChar w:fldCharType="begin"/>
      </w:r>
      <w:r>
        <w:instrText xml:space="preserve"> PAGEREF _Toc161845514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Exempt matter</w:t>
      </w:r>
    </w:p>
    <w:p>
      <w:pPr>
        <w:pStyle w:val="TOC8"/>
        <w:rPr>
          <w:rFonts w:asciiTheme="minorHAnsi" w:eastAsiaTheme="minorEastAsia" w:hAnsiTheme="minorHAnsi" w:cstheme="minorBidi"/>
          <w:szCs w:val="22"/>
        </w:rPr>
      </w:pPr>
      <w:r>
        <w:t>1.</w:t>
      </w:r>
      <w:r>
        <w:tab/>
        <w:t>Cabinet and Executive Council, deliberations etc. of</w:t>
      </w:r>
      <w:r>
        <w:tab/>
      </w:r>
      <w:r>
        <w:fldChar w:fldCharType="begin"/>
      </w:r>
      <w:r>
        <w:instrText xml:space="preserve"> PAGEREF _Toc161845516 \h </w:instrText>
      </w:r>
      <w:r>
        <w:fldChar w:fldCharType="separate"/>
      </w:r>
      <w:r>
        <w:t>1</w:t>
      </w:r>
      <w:r>
        <w:fldChar w:fldCharType="end"/>
      </w:r>
    </w:p>
    <w:p>
      <w:pPr>
        <w:pStyle w:val="TOC8"/>
        <w:rPr>
          <w:rFonts w:asciiTheme="minorHAnsi" w:eastAsiaTheme="minorEastAsia" w:hAnsiTheme="minorHAnsi" w:cstheme="minorBidi"/>
          <w:szCs w:val="22"/>
        </w:rPr>
      </w:pPr>
      <w:r>
        <w:t>2.</w:t>
      </w:r>
      <w:r>
        <w:tab/>
        <w:t>Inter</w:t>
      </w:r>
      <w:r>
        <w:noBreakHyphen/>
        <w:t>governmental relations, matter that could damage etc.</w:t>
      </w:r>
      <w:r>
        <w:tab/>
      </w:r>
      <w:r>
        <w:fldChar w:fldCharType="begin"/>
      </w:r>
      <w:r>
        <w:instrText xml:space="preserve"> PAGEREF _Toc161845517 \h </w:instrText>
      </w:r>
      <w:r>
        <w:fldChar w:fldCharType="separate"/>
      </w:r>
      <w:r>
        <w:t>1</w:t>
      </w:r>
      <w:r>
        <w:fldChar w:fldCharType="end"/>
      </w:r>
    </w:p>
    <w:p>
      <w:pPr>
        <w:pStyle w:val="TOC8"/>
        <w:rPr>
          <w:rFonts w:asciiTheme="minorHAnsi" w:eastAsiaTheme="minorEastAsia" w:hAnsiTheme="minorHAnsi" w:cstheme="minorBidi"/>
          <w:szCs w:val="22"/>
        </w:rPr>
      </w:pPr>
      <w:r>
        <w:t>3.</w:t>
      </w:r>
      <w:r>
        <w:tab/>
        <w:t>Personal information</w:t>
      </w:r>
      <w:r>
        <w:tab/>
      </w:r>
      <w:r>
        <w:fldChar w:fldCharType="begin"/>
      </w:r>
      <w:r>
        <w:instrText xml:space="preserve"> PAGEREF _Toc161845518 \h </w:instrText>
      </w:r>
      <w:r>
        <w:fldChar w:fldCharType="separate"/>
      </w:r>
      <w:r>
        <w:t>1</w:t>
      </w:r>
      <w:r>
        <w:fldChar w:fldCharType="end"/>
      </w:r>
    </w:p>
    <w:p>
      <w:pPr>
        <w:pStyle w:val="TOC8"/>
        <w:rPr>
          <w:rFonts w:asciiTheme="minorHAnsi" w:eastAsiaTheme="minorEastAsia" w:hAnsiTheme="minorHAnsi" w:cstheme="minorBidi"/>
          <w:szCs w:val="22"/>
        </w:rPr>
      </w:pPr>
      <w:r>
        <w:t>4.</w:t>
      </w:r>
      <w:r>
        <w:tab/>
        <w:t>Trade secrets, commercial and business information</w:t>
      </w:r>
      <w:r>
        <w:tab/>
      </w:r>
      <w:r>
        <w:fldChar w:fldCharType="begin"/>
      </w:r>
      <w:r>
        <w:instrText xml:space="preserve"> PAGEREF _Toc161845519 \h </w:instrText>
      </w:r>
      <w:r>
        <w:fldChar w:fldCharType="separate"/>
      </w:r>
      <w:r>
        <w:t>1</w:t>
      </w:r>
      <w:r>
        <w:fldChar w:fldCharType="end"/>
      </w:r>
    </w:p>
    <w:p>
      <w:pPr>
        <w:pStyle w:val="TOC8"/>
        <w:rPr>
          <w:rFonts w:asciiTheme="minorHAnsi" w:eastAsiaTheme="minorEastAsia" w:hAnsiTheme="minorHAnsi" w:cstheme="minorBidi"/>
          <w:szCs w:val="22"/>
        </w:rPr>
      </w:pPr>
      <w:r>
        <w:t>4A.</w:t>
      </w:r>
      <w:r>
        <w:tab/>
        <w:t xml:space="preserve">Information given to Treasurer etc. under </w:t>
      </w:r>
      <w:r>
        <w:rPr>
          <w:i/>
        </w:rPr>
        <w:t>Bank of Western Australia Act 1995</w:t>
      </w:r>
      <w:r>
        <w:tab/>
      </w:r>
      <w:r>
        <w:fldChar w:fldCharType="begin"/>
      </w:r>
      <w:r>
        <w:instrText xml:space="preserve"> PAGEREF _Toc161845520 \h </w:instrText>
      </w:r>
      <w:r>
        <w:fldChar w:fldCharType="separate"/>
      </w:r>
      <w:r>
        <w:t>1</w:t>
      </w:r>
      <w:r>
        <w:fldChar w:fldCharType="end"/>
      </w:r>
    </w:p>
    <w:p>
      <w:pPr>
        <w:pStyle w:val="TOC8"/>
        <w:rPr>
          <w:rFonts w:asciiTheme="minorHAnsi" w:eastAsiaTheme="minorEastAsia" w:hAnsiTheme="minorHAnsi" w:cstheme="minorBidi"/>
          <w:szCs w:val="22"/>
        </w:rPr>
      </w:pPr>
      <w:r>
        <w:t>5.</w:t>
      </w:r>
      <w:r>
        <w:tab/>
        <w:t>Law enforcement, public safety and property security, matter prejudicial etc. to</w:t>
      </w:r>
      <w:r>
        <w:tab/>
      </w:r>
      <w:r>
        <w:fldChar w:fldCharType="begin"/>
      </w:r>
      <w:r>
        <w:instrText xml:space="preserve"> PAGEREF _Toc161845521 \h </w:instrText>
      </w:r>
      <w:r>
        <w:fldChar w:fldCharType="separate"/>
      </w:r>
      <w:r>
        <w:t>1</w:t>
      </w:r>
      <w:r>
        <w:fldChar w:fldCharType="end"/>
      </w:r>
    </w:p>
    <w:p>
      <w:pPr>
        <w:pStyle w:val="TOC8"/>
        <w:rPr>
          <w:rFonts w:asciiTheme="minorHAnsi" w:eastAsiaTheme="minorEastAsia" w:hAnsiTheme="minorHAnsi" w:cstheme="minorBidi"/>
          <w:szCs w:val="22"/>
        </w:rPr>
      </w:pPr>
      <w:r>
        <w:t>6.</w:t>
      </w:r>
      <w:r>
        <w:tab/>
        <w:t>Deliberative processes of Government etc., matter revealing</w:t>
      </w:r>
      <w:r>
        <w:tab/>
      </w:r>
      <w:r>
        <w:fldChar w:fldCharType="begin"/>
      </w:r>
      <w:r>
        <w:instrText xml:space="preserve"> PAGEREF _Toc161845522 \h </w:instrText>
      </w:r>
      <w:r>
        <w:fldChar w:fldCharType="separate"/>
      </w:r>
      <w:r>
        <w:t>1</w:t>
      </w:r>
      <w:r>
        <w:fldChar w:fldCharType="end"/>
      </w:r>
    </w:p>
    <w:p>
      <w:pPr>
        <w:pStyle w:val="TOC8"/>
        <w:rPr>
          <w:rFonts w:asciiTheme="minorHAnsi" w:eastAsiaTheme="minorEastAsia" w:hAnsiTheme="minorHAnsi" w:cstheme="minorBidi"/>
          <w:szCs w:val="22"/>
        </w:rPr>
      </w:pPr>
      <w:r>
        <w:t>7.</w:t>
      </w:r>
      <w:r>
        <w:tab/>
        <w:t>Legal professional privilege, matter subject to</w:t>
      </w:r>
      <w:r>
        <w:tab/>
      </w:r>
      <w:r>
        <w:fldChar w:fldCharType="begin"/>
      </w:r>
      <w:r>
        <w:instrText xml:space="preserve"> PAGEREF _Toc161845523 \h </w:instrText>
      </w:r>
      <w:r>
        <w:fldChar w:fldCharType="separate"/>
      </w:r>
      <w:r>
        <w:t>1</w:t>
      </w:r>
      <w:r>
        <w:fldChar w:fldCharType="end"/>
      </w:r>
    </w:p>
    <w:p>
      <w:pPr>
        <w:pStyle w:val="TOC8"/>
        <w:rPr>
          <w:rFonts w:asciiTheme="minorHAnsi" w:eastAsiaTheme="minorEastAsia" w:hAnsiTheme="minorHAnsi" w:cstheme="minorBidi"/>
          <w:szCs w:val="22"/>
        </w:rPr>
      </w:pPr>
      <w:r>
        <w:t>8.</w:t>
      </w:r>
      <w:r>
        <w:tab/>
        <w:t>Confidential communications</w:t>
      </w:r>
      <w:r>
        <w:tab/>
      </w:r>
      <w:r>
        <w:fldChar w:fldCharType="begin"/>
      </w:r>
      <w:r>
        <w:instrText xml:space="preserve"> PAGEREF _Toc161845524 \h </w:instrText>
      </w:r>
      <w:r>
        <w:fldChar w:fldCharType="separate"/>
      </w:r>
      <w:r>
        <w:t>1</w:t>
      </w:r>
      <w:r>
        <w:fldChar w:fldCharType="end"/>
      </w:r>
    </w:p>
    <w:p>
      <w:pPr>
        <w:pStyle w:val="TOC8"/>
        <w:rPr>
          <w:rFonts w:asciiTheme="minorHAnsi" w:eastAsiaTheme="minorEastAsia" w:hAnsiTheme="minorHAnsi" w:cstheme="minorBidi"/>
          <w:szCs w:val="22"/>
        </w:rPr>
      </w:pPr>
      <w:r>
        <w:t>9.</w:t>
      </w:r>
      <w:r>
        <w:tab/>
        <w:t>State’s economy, matter adversely affecting management of etc.</w:t>
      </w:r>
      <w:r>
        <w:tab/>
      </w:r>
      <w:r>
        <w:fldChar w:fldCharType="begin"/>
      </w:r>
      <w:r>
        <w:instrText xml:space="preserve"> PAGEREF _Toc161845525 \h </w:instrText>
      </w:r>
      <w:r>
        <w:fldChar w:fldCharType="separate"/>
      </w:r>
      <w:r>
        <w:t>1</w:t>
      </w:r>
      <w:r>
        <w:fldChar w:fldCharType="end"/>
      </w:r>
    </w:p>
    <w:p>
      <w:pPr>
        <w:pStyle w:val="TOC8"/>
        <w:rPr>
          <w:rFonts w:asciiTheme="minorHAnsi" w:eastAsiaTheme="minorEastAsia" w:hAnsiTheme="minorHAnsi" w:cstheme="minorBidi"/>
          <w:szCs w:val="22"/>
        </w:rPr>
      </w:pPr>
      <w:r>
        <w:t>10.</w:t>
      </w:r>
      <w:r>
        <w:tab/>
        <w:t>State’s financial or property affairs, matter adversely affecting etc.</w:t>
      </w:r>
      <w:r>
        <w:tab/>
      </w:r>
      <w:r>
        <w:fldChar w:fldCharType="begin"/>
      </w:r>
      <w:r>
        <w:instrText xml:space="preserve"> PAGEREF _Toc161845526 \h </w:instrText>
      </w:r>
      <w:r>
        <w:fldChar w:fldCharType="separate"/>
      </w:r>
      <w:r>
        <w:t>1</w:t>
      </w:r>
      <w:r>
        <w:fldChar w:fldCharType="end"/>
      </w:r>
    </w:p>
    <w:p>
      <w:pPr>
        <w:pStyle w:val="TOC8"/>
        <w:rPr>
          <w:rFonts w:asciiTheme="minorHAnsi" w:eastAsiaTheme="minorEastAsia" w:hAnsiTheme="minorHAnsi" w:cstheme="minorBidi"/>
          <w:szCs w:val="22"/>
        </w:rPr>
      </w:pPr>
      <w:r>
        <w:t>11.</w:t>
      </w:r>
      <w:r>
        <w:tab/>
        <w:t>Effective operation of agencies, matter impairing etc.</w:t>
      </w:r>
      <w:r>
        <w:tab/>
      </w:r>
      <w:r>
        <w:fldChar w:fldCharType="begin"/>
      </w:r>
      <w:r>
        <w:instrText xml:space="preserve"> PAGEREF _Toc161845527 \h </w:instrText>
      </w:r>
      <w:r>
        <w:fldChar w:fldCharType="separate"/>
      </w:r>
      <w:r>
        <w:t>1</w:t>
      </w:r>
      <w:r>
        <w:fldChar w:fldCharType="end"/>
      </w:r>
    </w:p>
    <w:p>
      <w:pPr>
        <w:pStyle w:val="TOC8"/>
        <w:rPr>
          <w:rFonts w:asciiTheme="minorHAnsi" w:eastAsiaTheme="minorEastAsia" w:hAnsiTheme="minorHAnsi" w:cstheme="minorBidi"/>
          <w:szCs w:val="22"/>
        </w:rPr>
      </w:pPr>
      <w:r>
        <w:t>12.</w:t>
      </w:r>
      <w:r>
        <w:tab/>
        <w:t>Contempt of Parliament or court, matter that would be</w:t>
      </w:r>
      <w:r>
        <w:tab/>
      </w:r>
      <w:r>
        <w:fldChar w:fldCharType="begin"/>
      </w:r>
      <w:r>
        <w:instrText xml:space="preserve"> PAGEREF _Toc161845528 \h </w:instrText>
      </w:r>
      <w:r>
        <w:fldChar w:fldCharType="separate"/>
      </w:r>
      <w:r>
        <w:t>1</w:t>
      </w:r>
      <w:r>
        <w:fldChar w:fldCharType="end"/>
      </w:r>
    </w:p>
    <w:p>
      <w:pPr>
        <w:pStyle w:val="TOC8"/>
        <w:rPr>
          <w:rFonts w:asciiTheme="minorHAnsi" w:eastAsiaTheme="minorEastAsia" w:hAnsiTheme="minorHAnsi" w:cstheme="minorBidi"/>
          <w:szCs w:val="22"/>
        </w:rPr>
      </w:pPr>
      <w:r>
        <w:t>13.</w:t>
      </w:r>
      <w:r>
        <w:tab/>
        <w:t>Adoption or artificial conception information</w:t>
      </w:r>
      <w:r>
        <w:tab/>
      </w:r>
      <w:r>
        <w:fldChar w:fldCharType="begin"/>
      </w:r>
      <w:r>
        <w:instrText xml:space="preserve"> PAGEREF _Toc161845529 \h </w:instrText>
      </w:r>
      <w:r>
        <w:fldChar w:fldCharType="separate"/>
      </w:r>
      <w:r>
        <w:t>1</w:t>
      </w:r>
      <w:r>
        <w:fldChar w:fldCharType="end"/>
      </w:r>
    </w:p>
    <w:p>
      <w:pPr>
        <w:pStyle w:val="TOC8"/>
        <w:rPr>
          <w:rFonts w:asciiTheme="minorHAnsi" w:eastAsiaTheme="minorEastAsia" w:hAnsiTheme="minorHAnsi" w:cstheme="minorBidi"/>
          <w:szCs w:val="22"/>
        </w:rPr>
      </w:pPr>
      <w:r>
        <w:t>13A.</w:t>
      </w:r>
      <w:r>
        <w:tab/>
        <w:t>Abortion information</w:t>
      </w:r>
      <w:r>
        <w:tab/>
      </w:r>
      <w:r>
        <w:fldChar w:fldCharType="begin"/>
      </w:r>
      <w:r>
        <w:instrText xml:space="preserve"> PAGEREF _Toc161845530 \h </w:instrText>
      </w:r>
      <w:r>
        <w:fldChar w:fldCharType="separate"/>
      </w:r>
      <w:r>
        <w:t>1</w:t>
      </w:r>
      <w:r>
        <w:fldChar w:fldCharType="end"/>
      </w:r>
    </w:p>
    <w:p>
      <w:pPr>
        <w:pStyle w:val="TOC8"/>
        <w:rPr>
          <w:rFonts w:asciiTheme="minorHAnsi" w:eastAsiaTheme="minorEastAsia" w:hAnsiTheme="minorHAnsi" w:cstheme="minorBidi"/>
          <w:szCs w:val="22"/>
        </w:rPr>
      </w:pPr>
      <w:r>
        <w:t>14.</w:t>
      </w:r>
      <w:r>
        <w:tab/>
        <w:t>Information protected by certain statutory provisions</w:t>
      </w:r>
      <w:r>
        <w:tab/>
      </w:r>
      <w:r>
        <w:fldChar w:fldCharType="begin"/>
      </w:r>
      <w:r>
        <w:instrText xml:space="preserve"> PAGEREF _Toc161845531 \h </w:instrText>
      </w:r>
      <w:r>
        <w:fldChar w:fldCharType="separate"/>
      </w:r>
      <w:r>
        <w:t>1</w:t>
      </w:r>
      <w:r>
        <w:fldChar w:fldCharType="end"/>
      </w:r>
    </w:p>
    <w:p>
      <w:pPr>
        <w:pStyle w:val="TOC8"/>
        <w:rPr>
          <w:rFonts w:asciiTheme="minorHAnsi" w:eastAsiaTheme="minorEastAsia" w:hAnsiTheme="minorHAnsi" w:cstheme="minorBidi"/>
          <w:szCs w:val="22"/>
        </w:rPr>
      </w:pPr>
      <w:r>
        <w:t>15.</w:t>
      </w:r>
      <w:r>
        <w:tab/>
        <w:t>Precious metal transactions, information as to</w:t>
      </w:r>
      <w:r>
        <w:tab/>
      </w:r>
      <w:r>
        <w:fldChar w:fldCharType="begin"/>
      </w:r>
      <w:r>
        <w:instrText xml:space="preserve"> PAGEREF _Toc161845532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 — Exempt agencies</w:t>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_Toc161845535 \h </w:instrText>
      </w:r>
      <w:r>
        <w:fldChar w:fldCharType="separate"/>
      </w:r>
      <w:r>
        <w:t>1</w:t>
      </w:r>
      <w:r>
        <w:fldChar w:fldCharType="end"/>
      </w:r>
    </w:p>
    <w:p>
      <w:pPr>
        <w:pStyle w:val="TOC8"/>
        <w:rPr>
          <w:rFonts w:asciiTheme="minorHAnsi" w:eastAsiaTheme="minorEastAsia" w:hAnsiTheme="minorHAnsi" w:cstheme="minorBidi"/>
          <w:szCs w:val="22"/>
        </w:rPr>
      </w:pPr>
      <w:r>
        <w:t>2.</w:t>
      </w:r>
      <w:r>
        <w:tab/>
        <w:t>Separate agencies, which are</w:t>
      </w:r>
      <w:r>
        <w:tab/>
      </w:r>
      <w:r>
        <w:fldChar w:fldCharType="begin"/>
      </w:r>
      <w:r>
        <w:instrText xml:space="preserve"> PAGEREF _Toc161845536 \h </w:instrText>
      </w:r>
      <w:r>
        <w:fldChar w:fldCharType="separate"/>
      </w:r>
      <w:r>
        <w:t>1</w:t>
      </w:r>
      <w:r>
        <w:fldChar w:fldCharType="end"/>
      </w:r>
    </w:p>
    <w:p>
      <w:pPr>
        <w:pStyle w:val="TOC8"/>
        <w:rPr>
          <w:rFonts w:asciiTheme="minorHAnsi" w:eastAsiaTheme="minorEastAsia" w:hAnsiTheme="minorHAnsi" w:cstheme="minorBidi"/>
          <w:szCs w:val="22"/>
        </w:rPr>
      </w:pPr>
      <w:r>
        <w:t>3.</w:t>
      </w:r>
      <w:r>
        <w:tab/>
        <w:t>Courts are agencies but judges etc. are not</w:t>
      </w:r>
      <w:r>
        <w:tab/>
      </w:r>
      <w:r>
        <w:fldChar w:fldCharType="begin"/>
      </w:r>
      <w:r>
        <w:instrText xml:space="preserve"> PAGEREF _Toc161845537 \h </w:instrText>
      </w:r>
      <w:r>
        <w:fldChar w:fldCharType="separate"/>
      </w:r>
      <w:r>
        <w:t>1</w:t>
      </w:r>
      <w:r>
        <w:fldChar w:fldCharType="end"/>
      </w:r>
    </w:p>
    <w:p>
      <w:pPr>
        <w:pStyle w:val="TOC8"/>
        <w:rPr>
          <w:rFonts w:asciiTheme="minorHAnsi" w:eastAsiaTheme="minorEastAsia" w:hAnsiTheme="minorHAnsi" w:cstheme="minorBidi"/>
          <w:szCs w:val="22"/>
        </w:rPr>
      </w:pPr>
      <w:r>
        <w:t>4.</w:t>
      </w:r>
      <w:r>
        <w:tab/>
        <w:t>Documents of an agency, which are</w:t>
      </w:r>
      <w:r>
        <w:tab/>
      </w:r>
      <w:r>
        <w:fldChar w:fldCharType="begin"/>
      </w:r>
      <w:r>
        <w:instrText xml:space="preserve"> PAGEREF _Toc161845538 \h </w:instrText>
      </w:r>
      <w:r>
        <w:fldChar w:fldCharType="separate"/>
      </w:r>
      <w:r>
        <w:t>1</w:t>
      </w:r>
      <w:r>
        <w:fldChar w:fldCharType="end"/>
      </w:r>
    </w:p>
    <w:p>
      <w:pPr>
        <w:pStyle w:val="TOC8"/>
        <w:rPr>
          <w:rFonts w:asciiTheme="minorHAnsi" w:eastAsiaTheme="minorEastAsia" w:hAnsiTheme="minorHAnsi" w:cstheme="minorBidi"/>
          <w:szCs w:val="22"/>
        </w:rPr>
      </w:pPr>
      <w:r>
        <w:t>5.</w:t>
      </w:r>
      <w:r>
        <w:tab/>
        <w:t>Documents of a court, which are</w:t>
      </w:r>
      <w:r>
        <w:tab/>
      </w:r>
      <w:r>
        <w:fldChar w:fldCharType="begin"/>
      </w:r>
      <w:r>
        <w:instrText xml:space="preserve"> PAGEREF _Toc161845539 \h </w:instrText>
      </w:r>
      <w:r>
        <w:fldChar w:fldCharType="separate"/>
      </w:r>
      <w:r>
        <w:t>1</w:t>
      </w:r>
      <w:r>
        <w:fldChar w:fldCharType="end"/>
      </w:r>
    </w:p>
    <w:p>
      <w:pPr>
        <w:pStyle w:val="TOC8"/>
        <w:rPr>
          <w:rFonts w:asciiTheme="minorHAnsi" w:eastAsiaTheme="minorEastAsia" w:hAnsiTheme="minorHAnsi" w:cstheme="minorBidi"/>
          <w:szCs w:val="22"/>
        </w:rPr>
      </w:pPr>
      <w:r>
        <w:t>6.</w:t>
      </w:r>
      <w:r>
        <w:tab/>
        <w:t>Documents of units of Police Force and of Department of Corrective Services</w:t>
      </w:r>
      <w:r>
        <w:tab/>
      </w:r>
      <w:r>
        <w:fldChar w:fldCharType="begin"/>
      </w:r>
      <w:r>
        <w:instrText xml:space="preserve"> PAGEREF _Toc161845540 \h </w:instrText>
      </w:r>
      <w:r>
        <w:fldChar w:fldCharType="separate"/>
      </w:r>
      <w:r>
        <w:t>1</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Documents of Authority etc. under gas pipelines access legislation</w:t>
      </w:r>
      <w:r>
        <w:tab/>
      </w:r>
      <w:r>
        <w:fldChar w:fldCharType="begin"/>
      </w:r>
      <w:r>
        <w:instrText xml:space="preserve"> PAGEREF _Toc161845541 \h </w:instrText>
      </w:r>
      <w:r>
        <w:fldChar w:fldCharType="separate"/>
      </w:r>
      <w:r>
        <w:t>1</w:t>
      </w:r>
      <w:r>
        <w:fldChar w:fldCharType="end"/>
      </w:r>
    </w:p>
    <w:p>
      <w:pPr>
        <w:pStyle w:val="TOC8"/>
        <w:rPr>
          <w:rFonts w:asciiTheme="minorHAnsi" w:eastAsiaTheme="minorEastAsia" w:hAnsiTheme="minorHAnsi" w:cstheme="minorBidi"/>
          <w:szCs w:val="22"/>
        </w:rPr>
      </w:pPr>
      <w:r>
        <w:t>8.</w:t>
      </w:r>
      <w:r>
        <w:tab/>
        <w:t>Charges for dealing with applications</w:t>
      </w:r>
      <w:r>
        <w:tab/>
      </w:r>
      <w:r>
        <w:fldChar w:fldCharType="begin"/>
      </w:r>
      <w:r>
        <w:instrText xml:space="preserve"> PAGEREF _Toc161845542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_Toc161845544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_Toc161845545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_Toc161845546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800"/>
      </w:pPr>
      <w:r>
        <w:t>Freedom of Information Act 1992</w:t>
      </w:r>
    </w:p>
    <w:p>
      <w:pPr>
        <w:pStyle w:val="LongTitle"/>
        <w:rPr>
          <w:snapToGrid w:val="0"/>
        </w:rPr>
      </w:pPr>
      <w:r>
        <w:rPr>
          <w:snapToGrid w:val="0"/>
        </w:rPr>
        <w:t>An Act to provide for public access to documents, and to enable the public to ensure that personal information in documents is accurate, complete, up to date and not misleading, and for related purposes.</w:t>
      </w:r>
    </w:p>
    <w:p>
      <w:pPr>
        <w:pStyle w:val="Heading2"/>
      </w:pPr>
      <w:bookmarkStart w:id="2" w:name="_Toc161842663"/>
      <w:bookmarkStart w:id="3" w:name="_Toc161842935"/>
      <w:bookmarkStart w:id="4" w:name="_Toc16184538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p>
    <w:p>
      <w:pPr>
        <w:pStyle w:val="Heading5"/>
        <w:rPr>
          <w:snapToGrid w:val="0"/>
        </w:rPr>
      </w:pPr>
      <w:bookmarkStart w:id="5" w:name="_Toc161845384"/>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Freedom of Information Act 1992</w:t>
      </w:r>
      <w:r>
        <w:rPr>
          <w:snapToGrid w:val="0"/>
        </w:rPr>
        <w:t>.</w:t>
      </w:r>
    </w:p>
    <w:p>
      <w:pPr>
        <w:pStyle w:val="Heading5"/>
        <w:rPr>
          <w:snapToGrid w:val="0"/>
        </w:rPr>
      </w:pPr>
      <w:bookmarkStart w:id="6" w:name="_Toc161845385"/>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7" w:name="_Toc161845386"/>
      <w:r>
        <w:rPr>
          <w:rStyle w:val="CharSectno"/>
        </w:rPr>
        <w:t>3</w:t>
      </w:r>
      <w:r>
        <w:rPr>
          <w:snapToGrid w:val="0"/>
        </w:rPr>
        <w:t>.</w:t>
      </w:r>
      <w:r>
        <w:rPr>
          <w:snapToGrid w:val="0"/>
        </w:rPr>
        <w:tab/>
        <w:t>Objects of Act</w:t>
      </w:r>
      <w:bookmarkEnd w:id="7"/>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 and</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(3)</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8" w:name="_Toc161845387"/>
      <w:r>
        <w:rPr>
          <w:rStyle w:val="CharSectno"/>
        </w:rPr>
        <w:lastRenderedPageBreak/>
        <w:t>4</w:t>
      </w:r>
      <w:r>
        <w:rPr>
          <w:snapToGrid w:val="0"/>
        </w:rPr>
        <w:t>.</w:t>
      </w:r>
      <w:r>
        <w:rPr>
          <w:snapToGrid w:val="0"/>
        </w:rPr>
        <w:tab/>
        <w:t>Agencies, duties of when applying Act</w:t>
      </w:r>
      <w:bookmarkEnd w:id="8"/>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 and</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9" w:name="_Toc161845388"/>
      <w:r>
        <w:rPr>
          <w:rStyle w:val="CharSectno"/>
        </w:rPr>
        <w:t>5</w:t>
      </w:r>
      <w:r>
        <w:rPr>
          <w:snapToGrid w:val="0"/>
        </w:rPr>
        <w:t>.</w:t>
      </w:r>
      <w:r>
        <w:rPr>
          <w:snapToGrid w:val="0"/>
        </w:rPr>
        <w:tab/>
        <w:t>Crown bound</w:t>
      </w:r>
      <w:bookmarkEnd w:id="9"/>
    </w:p>
    <w:p>
      <w:pPr>
        <w:pStyle w:val="Subsection"/>
        <w:rPr>
          <w:snapToGrid w:val="0"/>
        </w:rPr>
      </w:pPr>
      <w:r>
        <w:rPr>
          <w:snapToGrid w:val="0"/>
        </w:rPr>
        <w:tab/>
      </w:r>
      <w:r>
        <w:rPr>
          <w:snapToGrid w:val="0"/>
        </w:rPr>
        <w:tab/>
        <w:t>This Act binds the Crown.</w:t>
      </w:r>
    </w:p>
    <w:p>
      <w:pPr>
        <w:pStyle w:val="Heading5"/>
        <w:rPr>
          <w:snapToGrid w:val="0"/>
        </w:rPr>
      </w:pPr>
      <w:bookmarkStart w:id="10" w:name="_Toc161845389"/>
      <w:r>
        <w:rPr>
          <w:rStyle w:val="CharSectno"/>
        </w:rPr>
        <w:t>6</w:t>
      </w:r>
      <w:r>
        <w:rPr>
          <w:snapToGrid w:val="0"/>
        </w:rPr>
        <w:t>.</w:t>
      </w:r>
      <w:r>
        <w:rPr>
          <w:snapToGrid w:val="0"/>
        </w:rPr>
        <w:tab/>
        <w:t>Access rights etc. in Parts 2 and 4 do not apply to documents that are already available</w:t>
      </w:r>
      <w:bookmarkEnd w:id="10"/>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 or</w:t>
      </w:r>
    </w:p>
    <w:p>
      <w:pPr>
        <w:pStyle w:val="Indenta"/>
        <w:rPr>
          <w:snapToGrid w:val="0"/>
        </w:rPr>
      </w:pPr>
      <w:r>
        <w:rPr>
          <w:snapToGrid w:val="0"/>
        </w:rPr>
        <w:tab/>
        <w:t>(b)</w:t>
      </w:r>
      <w:r>
        <w:rPr>
          <w:snapToGrid w:val="0"/>
        </w:rPr>
        <w:tab/>
        <w:t>available for inspection (whether for a fee or charge or not) under Part 5 or another enactment; or</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 or</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No. 53 of 2000 s. 6.]</w:t>
      </w:r>
    </w:p>
    <w:p>
      <w:pPr>
        <w:pStyle w:val="Heading5"/>
        <w:rPr>
          <w:snapToGrid w:val="0"/>
        </w:rPr>
      </w:pPr>
      <w:bookmarkStart w:id="11" w:name="_Toc161845390"/>
      <w:r>
        <w:rPr>
          <w:rStyle w:val="CharSectno"/>
        </w:rPr>
        <w:lastRenderedPageBreak/>
        <w:t>7</w:t>
      </w:r>
      <w:r>
        <w:rPr>
          <w:snapToGrid w:val="0"/>
        </w:rPr>
        <w:t>.</w:t>
      </w:r>
      <w:r>
        <w:rPr>
          <w:snapToGrid w:val="0"/>
        </w:rPr>
        <w:tab/>
        <w:t>Access rights in Parts 2 and 4, application of to private collections</w:t>
      </w:r>
      <w:bookmarkEnd w:id="11"/>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r>
        <w:tab/>
        <w:t>[Section 7 amended: No. 53 of 2000 s. 7.]</w:t>
      </w:r>
    </w:p>
    <w:p>
      <w:pPr>
        <w:pStyle w:val="Heading5"/>
        <w:rPr>
          <w:snapToGrid w:val="0"/>
        </w:rPr>
      </w:pPr>
      <w:bookmarkStart w:id="12" w:name="_Toc161845391"/>
      <w:r>
        <w:rPr>
          <w:rStyle w:val="CharSectno"/>
        </w:rPr>
        <w:t>8</w:t>
      </w:r>
      <w:r>
        <w:rPr>
          <w:snapToGrid w:val="0"/>
        </w:rPr>
        <w:t>.</w:t>
      </w:r>
      <w:r>
        <w:rPr>
          <w:snapToGrid w:val="0"/>
        </w:rPr>
        <w:tab/>
        <w:t>Access rights etc. in Parts 2 and 4, effect of on other Acts etc.</w:t>
      </w:r>
      <w:bookmarkEnd w:id="12"/>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(2)</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(3)</w:t>
      </w:r>
      <w:r>
        <w:rPr>
          <w:snapToGrid w:val="0"/>
        </w:rPr>
        <w:tab/>
        <w:t>The application of subsection (1) is subject to clause 14 of Schedule 1.</w:t>
      </w:r>
    </w:p>
    <w:p>
      <w:pPr>
        <w:pStyle w:val="Subsection"/>
        <w:rPr>
          <w:snapToGrid w:val="0"/>
        </w:rPr>
      </w:pPr>
      <w:r>
        <w:rPr>
          <w:snapToGrid w:val="0"/>
        </w:rPr>
        <w:tab/>
        <w:t>(4)</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r>
        <w:tab/>
        <w:t>[Section 8 amended: No. 53 of 2000 s. 8.]</w:t>
      </w:r>
    </w:p>
    <w:p>
      <w:pPr>
        <w:pStyle w:val="Heading5"/>
        <w:rPr>
          <w:snapToGrid w:val="0"/>
        </w:rPr>
      </w:pPr>
      <w:bookmarkStart w:id="13" w:name="_Toc161845392"/>
      <w:r>
        <w:rPr>
          <w:rStyle w:val="CharSectno"/>
        </w:rPr>
        <w:t>9</w:t>
      </w:r>
      <w:r>
        <w:rPr>
          <w:snapToGrid w:val="0"/>
        </w:rPr>
        <w:t>.</w:t>
      </w:r>
      <w:r>
        <w:rPr>
          <w:snapToGrid w:val="0"/>
        </w:rPr>
        <w:tab/>
        <w:t>Terms used (Glossary)</w:t>
      </w:r>
      <w:bookmarkEnd w:id="13"/>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14" w:name="_Toc161842673"/>
      <w:bookmarkStart w:id="15" w:name="_Toc161842945"/>
      <w:bookmarkStart w:id="16" w:name="_Toc161845393"/>
      <w:r>
        <w:rPr>
          <w:rStyle w:val="CharPartNo"/>
        </w:rPr>
        <w:lastRenderedPageBreak/>
        <w:t>Part 2</w:t>
      </w:r>
      <w:r>
        <w:t> — </w:t>
      </w:r>
      <w:r>
        <w:rPr>
          <w:rStyle w:val="CharPartText"/>
        </w:rPr>
        <w:t>Access to documents</w:t>
      </w:r>
      <w:bookmarkEnd w:id="14"/>
      <w:bookmarkEnd w:id="15"/>
      <w:bookmarkEnd w:id="16"/>
    </w:p>
    <w:p>
      <w:pPr>
        <w:pStyle w:val="Heading3"/>
      </w:pPr>
      <w:bookmarkStart w:id="17" w:name="_Toc161842674"/>
      <w:bookmarkStart w:id="18" w:name="_Toc161842946"/>
      <w:bookmarkStart w:id="19" w:name="_Toc161845394"/>
      <w:r>
        <w:rPr>
          <w:rStyle w:val="CharDivNo"/>
        </w:rPr>
        <w:t>Division 1</w:t>
      </w:r>
      <w:r>
        <w:rPr>
          <w:snapToGrid w:val="0"/>
        </w:rPr>
        <w:t> — </w:t>
      </w:r>
      <w:r>
        <w:rPr>
          <w:rStyle w:val="CharDivText"/>
        </w:rPr>
        <w:t>Right of access and applications for access</w:t>
      </w:r>
      <w:bookmarkEnd w:id="17"/>
      <w:bookmarkEnd w:id="18"/>
      <w:bookmarkEnd w:id="19"/>
    </w:p>
    <w:p>
      <w:pPr>
        <w:pStyle w:val="Heading5"/>
        <w:rPr>
          <w:snapToGrid w:val="0"/>
        </w:rPr>
      </w:pPr>
      <w:bookmarkStart w:id="20" w:name="_Toc161845395"/>
      <w:r>
        <w:rPr>
          <w:rStyle w:val="CharSectno"/>
        </w:rPr>
        <w:t>10</w:t>
      </w:r>
      <w:r>
        <w:rPr>
          <w:snapToGrid w:val="0"/>
        </w:rPr>
        <w:t>.</w:t>
      </w:r>
      <w:r>
        <w:rPr>
          <w:snapToGrid w:val="0"/>
        </w:rPr>
        <w:tab/>
        <w:t>Right of access to documents</w:t>
      </w:r>
      <w:bookmarkEnd w:id="20"/>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(2)</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21" w:name="_Toc161845396"/>
      <w:r>
        <w:rPr>
          <w:rStyle w:val="CharSectno"/>
        </w:rPr>
        <w:t>11</w:t>
      </w:r>
      <w:r>
        <w:rPr>
          <w:snapToGrid w:val="0"/>
        </w:rPr>
        <w:t>.</w:t>
      </w:r>
      <w:r>
        <w:rPr>
          <w:snapToGrid w:val="0"/>
        </w:rPr>
        <w:tab/>
        <w:t>Application for access</w:t>
      </w:r>
      <w:bookmarkEnd w:id="21"/>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(2)</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(3)</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22" w:name="_Toc161845397"/>
      <w:r>
        <w:rPr>
          <w:rStyle w:val="CharSectno"/>
        </w:rPr>
        <w:t>12</w:t>
      </w:r>
      <w:r>
        <w:rPr>
          <w:snapToGrid w:val="0"/>
        </w:rPr>
        <w:t>.</w:t>
      </w:r>
      <w:r>
        <w:rPr>
          <w:snapToGrid w:val="0"/>
        </w:rPr>
        <w:tab/>
        <w:t>Access application, form etc. of</w:t>
      </w:r>
      <w:bookmarkEnd w:id="22"/>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lastRenderedPageBreak/>
        <w:tab/>
        <w:t>(b)</w:t>
      </w:r>
      <w:r>
        <w:rPr>
          <w:snapToGrid w:val="0"/>
        </w:rPr>
        <w:tab/>
        <w:t>give enough information to enable the requested documents to be identified; and</w:t>
      </w:r>
    </w:p>
    <w:p>
      <w:pPr>
        <w:pStyle w:val="Indenta"/>
        <w:rPr>
          <w:snapToGrid w:val="0"/>
        </w:rPr>
      </w:pPr>
      <w:r>
        <w:rPr>
          <w:snapToGrid w:val="0"/>
        </w:rPr>
        <w:tab/>
        <w:t>(c)</w:t>
      </w:r>
      <w:r>
        <w:rPr>
          <w:snapToGrid w:val="0"/>
        </w:rPr>
        <w:tab/>
        <w:t>give an address in Australia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(2)</w:t>
      </w:r>
      <w:r>
        <w:rPr>
          <w:snapToGrid w:val="0"/>
        </w:rPr>
        <w:tab/>
        <w:t>The access application may request that access to the documents be given in a particular way described in section 27(1).</w:t>
      </w:r>
    </w:p>
    <w:p>
      <w:pPr>
        <w:pStyle w:val="Subsection"/>
        <w:rPr>
          <w:snapToGrid w:val="0"/>
        </w:rPr>
      </w:pPr>
      <w:r>
        <w:rPr>
          <w:snapToGrid w:val="0"/>
        </w:rPr>
        <w:tab/>
        <w:t>(3)</w:t>
      </w:r>
      <w:r>
        <w:rPr>
          <w:snapToGrid w:val="0"/>
        </w:rPr>
        <w:tab/>
        <w:t>An application may be lodged by delivery by hand, post or facsimile at an office of the agency to which it is directed.</w:t>
      </w:r>
    </w:p>
    <w:p>
      <w:pPr>
        <w:pStyle w:val="Subsection"/>
        <w:rPr>
          <w:snapToGrid w:val="0"/>
        </w:rPr>
      </w:pPr>
      <w:r>
        <w:rPr>
          <w:snapToGrid w:val="0"/>
        </w:rPr>
        <w:tab/>
        <w:t>(4)</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(5)</w:t>
      </w:r>
      <w:r>
        <w:rPr>
          <w:snapToGrid w:val="0"/>
        </w:rPr>
        <w:tab/>
        <w:t>If an application is lodged with an agency by facsimile it is to be regarded as having been lodged with the agency on the day on which it is transmitted.</w:t>
      </w:r>
    </w:p>
    <w:p>
      <w:pPr>
        <w:pStyle w:val="Heading3"/>
      </w:pPr>
      <w:bookmarkStart w:id="23" w:name="_Toc161842678"/>
      <w:bookmarkStart w:id="24" w:name="_Toc161842950"/>
      <w:bookmarkStart w:id="25" w:name="_Toc161845398"/>
      <w:r>
        <w:rPr>
          <w:rStyle w:val="CharDivNo"/>
        </w:rPr>
        <w:t>Division 2</w:t>
      </w:r>
      <w:r>
        <w:rPr>
          <w:snapToGrid w:val="0"/>
        </w:rPr>
        <w:t> — </w:t>
      </w:r>
      <w:r>
        <w:rPr>
          <w:rStyle w:val="CharDivText"/>
        </w:rPr>
        <w:t>Procedure for dealing with access applications</w:t>
      </w:r>
      <w:bookmarkEnd w:id="23"/>
      <w:bookmarkEnd w:id="24"/>
      <w:bookmarkEnd w:id="25"/>
    </w:p>
    <w:p>
      <w:pPr>
        <w:pStyle w:val="Heading5"/>
        <w:rPr>
          <w:snapToGrid w:val="0"/>
        </w:rPr>
      </w:pPr>
      <w:bookmarkStart w:id="26" w:name="_Toc161845399"/>
      <w:r>
        <w:rPr>
          <w:rStyle w:val="CharSectno"/>
        </w:rPr>
        <w:t>13</w:t>
      </w:r>
      <w:r>
        <w:rPr>
          <w:snapToGrid w:val="0"/>
        </w:rPr>
        <w:t>.</w:t>
      </w:r>
      <w:r>
        <w:rPr>
          <w:snapToGrid w:val="0"/>
        </w:rPr>
        <w:tab/>
        <w:t>Agency’s duties as to access application etc.</w:t>
      </w:r>
      <w:bookmarkEnd w:id="26"/>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giving the applicant written notice of the decision in the form required by section 30.</w:t>
      </w:r>
    </w:p>
    <w:p>
      <w:pPr>
        <w:pStyle w:val="Subsection"/>
        <w:rPr>
          <w:snapToGrid w:val="0"/>
        </w:rPr>
      </w:pPr>
      <w:r>
        <w:rPr>
          <w:snapToGrid w:val="0"/>
        </w:rPr>
        <w:tab/>
        <w:t>(2)</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(3)</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(4)</w:t>
      </w:r>
      <w:r>
        <w:rPr>
          <w:snapToGrid w:val="0"/>
        </w:rPr>
        <w:tab/>
        <w:t>On the application of the applicant, the Commissioner may reduce the time allowed to the agency to comply with subsection (1).</w:t>
      </w:r>
    </w:p>
    <w:p>
      <w:pPr>
        <w:pStyle w:val="Subsection"/>
        <w:rPr>
          <w:snapToGrid w:val="0"/>
        </w:rPr>
      </w:pPr>
      <w:r>
        <w:rPr>
          <w:snapToGrid w:val="0"/>
        </w:rPr>
        <w:tab/>
        <w:t>(5)</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(6)</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(7)</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(8)</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lastRenderedPageBreak/>
        <w:tab/>
        <w:t>(9)</w:t>
      </w:r>
      <w:r>
        <w:rPr>
          <w:snapToGrid w:val="0"/>
        </w:rPr>
        <w:tab/>
        <w:t>This Division has effect subject to Division 3.</w:t>
      </w:r>
    </w:p>
    <w:p>
      <w:pPr>
        <w:pStyle w:val="Heading5"/>
        <w:rPr>
          <w:snapToGrid w:val="0"/>
        </w:rPr>
      </w:pPr>
      <w:bookmarkStart w:id="27" w:name="_Toc161845400"/>
      <w:r>
        <w:rPr>
          <w:rStyle w:val="CharSectno"/>
        </w:rPr>
        <w:t>14</w:t>
      </w:r>
      <w:r>
        <w:rPr>
          <w:snapToGrid w:val="0"/>
        </w:rPr>
        <w:t>.</w:t>
      </w:r>
      <w:r>
        <w:rPr>
          <w:snapToGrid w:val="0"/>
        </w:rPr>
        <w:tab/>
        <w:t>Ambit of application may be reduced by agreement</w:t>
      </w:r>
      <w:bookmarkEnd w:id="27"/>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28" w:name="_Toc161845401"/>
      <w:r>
        <w:rPr>
          <w:rStyle w:val="CharSectno"/>
        </w:rPr>
        <w:t>15</w:t>
      </w:r>
      <w:r>
        <w:rPr>
          <w:snapToGrid w:val="0"/>
        </w:rPr>
        <w:t>.</w:t>
      </w:r>
      <w:r>
        <w:rPr>
          <w:snapToGrid w:val="0"/>
        </w:rPr>
        <w:tab/>
        <w:t>Document held etc. by another agency, transferring application etc. in case of</w:t>
      </w:r>
      <w:bookmarkEnd w:id="28"/>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(2)</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(3)</w:t>
      </w:r>
      <w:r>
        <w:rPr>
          <w:snapToGrid w:val="0"/>
        </w:rPr>
        <w:tab/>
        <w:t>The transferring agency has to give the applicant written notice of the transfer without delay.</w:t>
      </w:r>
    </w:p>
    <w:p>
      <w:pPr>
        <w:pStyle w:val="Subsection"/>
        <w:rPr>
          <w:snapToGrid w:val="0"/>
        </w:rPr>
      </w:pPr>
      <w:r>
        <w:rPr>
          <w:snapToGrid w:val="0"/>
        </w:rPr>
        <w:tab/>
        <w:t>(4)</w:t>
      </w:r>
      <w:r>
        <w:rPr>
          <w:snapToGrid w:val="0"/>
        </w:rPr>
        <w:tab/>
        <w:t>The notice has to clearly state the day on which, and the agency to which, the access application was transferred.</w:t>
      </w:r>
    </w:p>
    <w:p>
      <w:pPr>
        <w:pStyle w:val="Subsection"/>
        <w:rPr>
          <w:snapToGrid w:val="0"/>
        </w:rPr>
      </w:pPr>
      <w:r>
        <w:rPr>
          <w:snapToGrid w:val="0"/>
        </w:rPr>
        <w:tab/>
        <w:t>(5)</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(6)</w:t>
      </w:r>
      <w:r>
        <w:rPr>
          <w:snapToGrid w:val="0"/>
        </w:rPr>
        <w:tab/>
        <w:t xml:space="preserve">The agency to which the access application is transferred under subsection (2) is required to make decisions as to access in respect of the documents of which it receives copies but not in </w:t>
      </w:r>
      <w:r>
        <w:rPr>
          <w:snapToGrid w:val="0"/>
        </w:rPr>
        <w:lastRenderedPageBreak/>
        <w:t>respect of other documents that it holds which may fall within the scope of the documents requested in the original application.</w:t>
      </w:r>
    </w:p>
    <w:p>
      <w:pPr>
        <w:pStyle w:val="Subsection"/>
        <w:rPr>
          <w:snapToGrid w:val="0"/>
        </w:rPr>
      </w:pPr>
      <w:r>
        <w:rPr>
          <w:snapToGrid w:val="0"/>
        </w:rPr>
        <w:tab/>
        <w:t>(7)</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(8)</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29" w:name="_Toc161845402"/>
      <w:r>
        <w:rPr>
          <w:rStyle w:val="CharSectno"/>
        </w:rPr>
        <w:t>16</w:t>
      </w:r>
      <w:r>
        <w:rPr>
          <w:snapToGrid w:val="0"/>
        </w:rPr>
        <w:t>.</w:t>
      </w:r>
      <w:r>
        <w:rPr>
          <w:snapToGrid w:val="0"/>
        </w:rPr>
        <w:tab/>
        <w:t>Charge for access, calculation of etc.</w:t>
      </w:r>
      <w:bookmarkEnd w:id="29"/>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spacing w:before="70"/>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 and</w:t>
      </w:r>
    </w:p>
    <w:p>
      <w:pPr>
        <w:pStyle w:val="Indenta"/>
        <w:spacing w:before="70"/>
        <w:rPr>
          <w:snapToGrid w:val="0"/>
        </w:rPr>
      </w:pPr>
      <w:r>
        <w:rPr>
          <w:snapToGrid w:val="0"/>
        </w:rPr>
        <w:tab/>
        <w:t>(b)</w:t>
      </w:r>
      <w:r>
        <w:rPr>
          <w:snapToGrid w:val="0"/>
        </w:rPr>
        <w:tab/>
        <w:t>the charge in relation to time made under paragraph (a) must be fixed on an hourly rate basis; and</w:t>
      </w:r>
    </w:p>
    <w:p>
      <w:pPr>
        <w:pStyle w:val="Indenta"/>
        <w:spacing w:before="70"/>
        <w:rPr>
          <w:snapToGrid w:val="0"/>
        </w:rPr>
      </w:pPr>
      <w:r>
        <w:rPr>
          <w:snapToGrid w:val="0"/>
        </w:rPr>
        <w:tab/>
        <w:t>(c)</w:t>
      </w:r>
      <w:r>
        <w:rPr>
          <w:snapToGrid w:val="0"/>
        </w:rPr>
        <w:tab/>
        <w:t>a charge may be made for the identifiable cost incurred in supervising the inspection by the applicant of the matter to which access is granted; and</w:t>
      </w:r>
    </w:p>
    <w:p>
      <w:pPr>
        <w:pStyle w:val="Indenta"/>
        <w:spacing w:before="70"/>
        <w:rPr>
          <w:snapToGrid w:val="0"/>
        </w:rPr>
      </w:pPr>
      <w:r>
        <w:rPr>
          <w:snapToGrid w:val="0"/>
        </w:rPr>
        <w:tab/>
        <w:t>(d)</w:t>
      </w:r>
      <w:r>
        <w:rPr>
          <w:snapToGrid w:val="0"/>
        </w:rPr>
        <w:tab/>
        <w:t>no charge may be made for providing an applicant with access to personal information about the applicant; and</w:t>
      </w:r>
    </w:p>
    <w:p>
      <w:pPr>
        <w:pStyle w:val="Indenta"/>
        <w:spacing w:before="70"/>
        <w:rPr>
          <w:snapToGrid w:val="0"/>
        </w:rPr>
      </w:pPr>
      <w:r>
        <w:rPr>
          <w:snapToGrid w:val="0"/>
        </w:rPr>
        <w:tab/>
        <w:t>(e)</w:t>
      </w:r>
      <w:r>
        <w:rPr>
          <w:snapToGrid w:val="0"/>
        </w:rPr>
        <w:tab/>
        <w:t xml:space="preserve">a charge may be made for the reasonable costs incurred by an agency in supplying copies of documents, in making arrangements for viewing documents or in </w:t>
      </w:r>
      <w:r>
        <w:rPr>
          <w:snapToGrid w:val="0"/>
        </w:rPr>
        <w:lastRenderedPageBreak/>
        <w:t>providing a written transcript of the words recorded or contained in documents; and</w:t>
      </w:r>
    </w:p>
    <w:p>
      <w:pPr>
        <w:pStyle w:val="Indenta"/>
        <w:spacing w:before="70"/>
        <w:rPr>
          <w:snapToGrid w:val="0"/>
        </w:rPr>
      </w:pPr>
      <w:r>
        <w:rPr>
          <w:snapToGrid w:val="0"/>
        </w:rPr>
        <w:tab/>
        <w:t>(f)</w:t>
      </w:r>
      <w:r>
        <w:rPr>
          <w:snapToGrid w:val="0"/>
        </w:rPr>
        <w:tab/>
        <w:t>a charge must not be made for producing for inspection a document referred to in section 94 or 95; and</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(2)</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No. 57 of 1997 s. 62(1).]</w:t>
      </w:r>
    </w:p>
    <w:p>
      <w:pPr>
        <w:pStyle w:val="Heading5"/>
        <w:rPr>
          <w:snapToGrid w:val="0"/>
        </w:rPr>
      </w:pPr>
      <w:bookmarkStart w:id="30" w:name="_Toc161845403"/>
      <w:r>
        <w:rPr>
          <w:rStyle w:val="CharSectno"/>
        </w:rPr>
        <w:t>17</w:t>
      </w:r>
      <w:r>
        <w:rPr>
          <w:snapToGrid w:val="0"/>
        </w:rPr>
        <w:t>.</w:t>
      </w:r>
      <w:r>
        <w:rPr>
          <w:snapToGrid w:val="0"/>
        </w:rPr>
        <w:tab/>
        <w:t>Charge for access, applicant may request estimate of etc.</w:t>
      </w:r>
      <w:bookmarkEnd w:id="30"/>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(2)</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(3)</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31" w:name="_Toc161845404"/>
      <w:r>
        <w:rPr>
          <w:rStyle w:val="CharSectno"/>
        </w:rPr>
        <w:t>18</w:t>
      </w:r>
      <w:r>
        <w:rPr>
          <w:snapToGrid w:val="0"/>
        </w:rPr>
        <w:t>.</w:t>
      </w:r>
      <w:r>
        <w:rPr>
          <w:snapToGrid w:val="0"/>
        </w:rPr>
        <w:tab/>
        <w:t>Deposit for charges, agency may require etc.</w:t>
      </w:r>
      <w:bookmarkEnd w:id="31"/>
    </w:p>
    <w:p>
      <w:pPr>
        <w:pStyle w:val="Subsection"/>
        <w:rPr>
          <w:snapToGrid w:val="0"/>
        </w:rPr>
      </w:pPr>
      <w:r>
        <w:rPr>
          <w:snapToGrid w:val="0"/>
        </w:rPr>
        <w:tab/>
        <w:t>(1)</w:t>
      </w:r>
      <w:r>
        <w:rPr>
          <w:snapToGrid w:val="0"/>
        </w:rPr>
        <w:tab/>
        <w:t xml:space="preserve">The agency may, in a notice given to an applicant under section 17(3), require the applicant to pay a deposit of a </w:t>
      </w:r>
      <w:r>
        <w:rPr>
          <w:snapToGrid w:val="0"/>
        </w:rPr>
        <w:lastRenderedPageBreak/>
        <w:t>prescribed amount or at a prescribed rate on account of the charges for dealing with the application.</w:t>
      </w:r>
    </w:p>
    <w:p>
      <w:pPr>
        <w:pStyle w:val="Subsection"/>
        <w:rPr>
          <w:snapToGrid w:val="0"/>
        </w:rPr>
      </w:pPr>
      <w:r>
        <w:rPr>
          <w:snapToGrid w:val="0"/>
        </w:rPr>
        <w:tab/>
        <w:t>(2)</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(3)</w:t>
      </w:r>
      <w:r>
        <w:rPr>
          <w:snapToGrid w:val="0"/>
        </w:rPr>
        <w:tab/>
        <w:t>A notice under subsection (1) requiring an applicant to pay a deposit has to give details of —</w:t>
      </w:r>
    </w:p>
    <w:p>
      <w:pPr>
        <w:pStyle w:val="Indenta"/>
        <w:spacing w:before="60"/>
        <w:rPr>
          <w:snapToGrid w:val="0"/>
        </w:rPr>
      </w:pPr>
      <w:r>
        <w:rPr>
          <w:snapToGrid w:val="0"/>
        </w:rPr>
        <w:tab/>
        <w:t>(a)</w:t>
      </w:r>
      <w:r>
        <w:rPr>
          <w:snapToGrid w:val="0"/>
        </w:rPr>
        <w:tab/>
        <w:t>the name and designation of the person who calculated the charge; and</w:t>
      </w:r>
    </w:p>
    <w:p>
      <w:pPr>
        <w:pStyle w:val="Indenta"/>
        <w:spacing w:before="60"/>
        <w:rPr>
          <w:snapToGrid w:val="0"/>
        </w:rPr>
      </w:pPr>
      <w:r>
        <w:rPr>
          <w:snapToGrid w:val="0"/>
        </w:rPr>
        <w:tab/>
        <w:t>(b)</w:t>
      </w:r>
      <w:r>
        <w:rPr>
          <w:snapToGrid w:val="0"/>
        </w:rPr>
        <w:tab/>
        <w:t>the rights of review under this Act and the procedure to be followed to exercise those rights; and</w:t>
      </w:r>
    </w:p>
    <w:p>
      <w:pPr>
        <w:pStyle w:val="Indenta"/>
        <w:spacing w:before="60"/>
        <w:rPr>
          <w:snapToGrid w:val="0"/>
        </w:rPr>
      </w:pPr>
      <w:r>
        <w:rPr>
          <w:snapToGrid w:val="0"/>
        </w:rPr>
        <w:tab/>
        <w:t>(c)</w:t>
      </w:r>
      <w:r>
        <w:rPr>
          <w:snapToGrid w:val="0"/>
        </w:rPr>
        <w:tab/>
        <w:t>the requirements of section 19(2)(b).</w:t>
      </w:r>
    </w:p>
    <w:p>
      <w:pPr>
        <w:pStyle w:val="Subsection"/>
        <w:rPr>
          <w:snapToGrid w:val="0"/>
        </w:rPr>
      </w:pPr>
      <w:r>
        <w:rPr>
          <w:snapToGrid w:val="0"/>
        </w:rPr>
        <w:tab/>
        <w:t>(4)</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32" w:name="_Toc161845405"/>
      <w:r>
        <w:rPr>
          <w:rStyle w:val="CharSectno"/>
        </w:rPr>
        <w:t>19</w:t>
      </w:r>
      <w:r>
        <w:rPr>
          <w:snapToGrid w:val="0"/>
        </w:rPr>
        <w:t>.</w:t>
      </w:r>
      <w:r>
        <w:rPr>
          <w:snapToGrid w:val="0"/>
        </w:rPr>
        <w:tab/>
        <w:t>Notice given under s. 17(3) or 18, effect of on s. 13(1); applicant failing to respond to notice, effect of</w:t>
      </w:r>
      <w:bookmarkEnd w:id="32"/>
    </w:p>
    <w:p>
      <w:pPr>
        <w:pStyle w:val="Subsection"/>
        <w:rPr>
          <w:snapToGrid w:val="0"/>
        </w:rPr>
      </w:pPr>
      <w:r>
        <w:rPr>
          <w:snapToGrid w:val="0"/>
        </w:rPr>
        <w:tab/>
        <w:t>(1)</w:t>
      </w:r>
      <w:r>
        <w:rPr>
          <w:snapToGrid w:val="0"/>
        </w:rPr>
        <w:tab/>
        <w:t>If the agency has given the applicant a notice under section 17(3) —</w:t>
      </w:r>
    </w:p>
    <w:p>
      <w:pPr>
        <w:pStyle w:val="Indenta"/>
        <w:spacing w:before="60"/>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spacing w:before="60"/>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lastRenderedPageBreak/>
        <w:tab/>
        <w:t>(2)</w:t>
      </w:r>
      <w:r>
        <w:rPr>
          <w:snapToGrid w:val="0"/>
        </w:rPr>
        <w:tab/>
        <w:t>If, under section 18(1) or (4), a notice requires the applicant to pay a deposit —</w:t>
      </w:r>
    </w:p>
    <w:p>
      <w:pPr>
        <w:pStyle w:val="Indenta"/>
        <w:spacing w:before="60"/>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(3)</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(4)</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33" w:name="_Toc161845406"/>
      <w:r>
        <w:rPr>
          <w:rStyle w:val="CharSectno"/>
        </w:rPr>
        <w:t>20</w:t>
      </w:r>
      <w:r>
        <w:rPr>
          <w:snapToGrid w:val="0"/>
        </w:rPr>
        <w:t>.</w:t>
      </w:r>
      <w:r>
        <w:rPr>
          <w:snapToGrid w:val="0"/>
        </w:rPr>
        <w:tab/>
        <w:t>Agency may refuse to deal with application in certain cases</w:t>
      </w:r>
      <w:bookmarkEnd w:id="33"/>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(2)</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(3)</w:t>
      </w:r>
      <w:r>
        <w:rPr>
          <w:snapToGrid w:val="0"/>
        </w:rPr>
        <w:tab/>
        <w:t>If, under subsection (2), the agency refuses to deal with the access application, it has to give the applicant written notice of the refusal without delay.</w:t>
      </w:r>
    </w:p>
    <w:p>
      <w:pPr>
        <w:pStyle w:val="Subsection"/>
        <w:keepNext/>
        <w:rPr>
          <w:snapToGrid w:val="0"/>
        </w:rPr>
      </w:pPr>
      <w:r>
        <w:rPr>
          <w:snapToGrid w:val="0"/>
        </w:rPr>
        <w:lastRenderedPageBreak/>
        <w:tab/>
        <w:t>(4)</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34" w:name="_Toc161845407"/>
      <w:r>
        <w:rPr>
          <w:rStyle w:val="CharSectno"/>
        </w:rPr>
        <w:t>21</w:t>
      </w:r>
      <w:r>
        <w:rPr>
          <w:snapToGrid w:val="0"/>
        </w:rPr>
        <w:t>.</w:t>
      </w:r>
      <w:r>
        <w:rPr>
          <w:snapToGrid w:val="0"/>
        </w:rPr>
        <w:tab/>
        <w:t>Application for personal information about applicant, consideration of</w:t>
      </w:r>
      <w:bookmarkEnd w:id="34"/>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35" w:name="_Toc161845408"/>
      <w:r>
        <w:rPr>
          <w:rStyle w:val="CharSectno"/>
        </w:rPr>
        <w:t>22</w:t>
      </w:r>
      <w:r>
        <w:rPr>
          <w:snapToGrid w:val="0"/>
        </w:rPr>
        <w:t>.</w:t>
      </w:r>
      <w:r>
        <w:rPr>
          <w:snapToGrid w:val="0"/>
        </w:rPr>
        <w:tab/>
        <w:t>Access, when agency must give</w:t>
      </w:r>
      <w:bookmarkEnd w:id="35"/>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36" w:name="_Toc161845409"/>
      <w:r>
        <w:rPr>
          <w:rStyle w:val="CharSectno"/>
        </w:rPr>
        <w:t>23</w:t>
      </w:r>
      <w:r>
        <w:rPr>
          <w:snapToGrid w:val="0"/>
        </w:rPr>
        <w:t>.</w:t>
      </w:r>
      <w:r>
        <w:rPr>
          <w:snapToGrid w:val="0"/>
        </w:rPr>
        <w:tab/>
        <w:t>Refusing access, grounds for</w:t>
      </w:r>
      <w:bookmarkEnd w:id="36"/>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 or</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lastRenderedPageBreak/>
        <w:tab/>
        <w:t>(2)</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(3)</w:t>
      </w:r>
      <w:r>
        <w:rPr>
          <w:snapToGrid w:val="0"/>
        </w:rPr>
        <w:tab/>
        <w:t>Subject to section 24 the agency has to refuse access to a document that is the subject of an exemption certificate.</w:t>
      </w:r>
    </w:p>
    <w:p>
      <w:pPr>
        <w:pStyle w:val="Subsection"/>
        <w:rPr>
          <w:snapToGrid w:val="0"/>
        </w:rPr>
      </w:pPr>
      <w:r>
        <w:rPr>
          <w:snapToGrid w:val="0"/>
        </w:rPr>
        <w:tab/>
        <w:t>(4)</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(5)</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37" w:name="_Toc161845410"/>
      <w:r>
        <w:rPr>
          <w:rStyle w:val="CharSectno"/>
        </w:rPr>
        <w:t>24</w:t>
      </w:r>
      <w:r>
        <w:rPr>
          <w:snapToGrid w:val="0"/>
        </w:rPr>
        <w:t>.</w:t>
      </w:r>
      <w:r>
        <w:rPr>
          <w:snapToGrid w:val="0"/>
        </w:rPr>
        <w:tab/>
        <w:t>Exempt matter, deleting before access given</w:t>
      </w:r>
      <w:bookmarkEnd w:id="3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lastRenderedPageBreak/>
        <w:tab/>
        <w:t>(c)</w:t>
      </w:r>
      <w:r>
        <w:rPr>
          <w:snapToGrid w:val="0"/>
        </w:rPr>
        <w:tab/>
        <w:t>the agency considers (either from the terms of the application or after consultation with the applicant) that the applicant would wish to be given access to an edited copy,</w:t>
      </w:r>
    </w:p>
    <w:p>
      <w:pPr>
        <w:pStyle w:val="Subsection"/>
        <w:spacing w:before="120"/>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38" w:name="_Toc161845411"/>
      <w:r>
        <w:rPr>
          <w:rStyle w:val="CharSectno"/>
        </w:rPr>
        <w:t>25</w:t>
      </w:r>
      <w:r>
        <w:rPr>
          <w:snapToGrid w:val="0"/>
        </w:rPr>
        <w:t>.</w:t>
      </w:r>
      <w:r>
        <w:rPr>
          <w:snapToGrid w:val="0"/>
        </w:rPr>
        <w:tab/>
        <w:t>Deferring access, grounds for</w:t>
      </w:r>
      <w:bookmarkEnd w:id="38"/>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(2)</w:t>
      </w:r>
      <w:r>
        <w:rPr>
          <w:snapToGrid w:val="0"/>
        </w:rPr>
        <w:tab/>
        <w:t>The applicant has to be notified under section 30(d) of the likely period for which access is to be deferred.</w:t>
      </w:r>
    </w:p>
    <w:p>
      <w:pPr>
        <w:pStyle w:val="Heading5"/>
        <w:rPr>
          <w:snapToGrid w:val="0"/>
        </w:rPr>
      </w:pPr>
      <w:bookmarkStart w:id="39" w:name="_Toc161845412"/>
      <w:r>
        <w:rPr>
          <w:rStyle w:val="CharSectno"/>
        </w:rPr>
        <w:t>26</w:t>
      </w:r>
      <w:r>
        <w:rPr>
          <w:snapToGrid w:val="0"/>
        </w:rPr>
        <w:t>.</w:t>
      </w:r>
      <w:r>
        <w:rPr>
          <w:snapToGrid w:val="0"/>
        </w:rPr>
        <w:tab/>
        <w:t>Documents that cannot be found or do not exist, notice of</w:t>
      </w:r>
      <w:bookmarkEnd w:id="39"/>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spacing w:before="60"/>
        <w:rPr>
          <w:snapToGrid w:val="0"/>
        </w:rPr>
      </w:pPr>
      <w:r>
        <w:rPr>
          <w:snapToGrid w:val="0"/>
        </w:rPr>
        <w:tab/>
        <w:t>(a)</w:t>
      </w:r>
      <w:r>
        <w:rPr>
          <w:snapToGrid w:val="0"/>
        </w:rPr>
        <w:tab/>
        <w:t>all reasonable steps have been taken to find the document; and</w:t>
      </w:r>
    </w:p>
    <w:p>
      <w:pPr>
        <w:pStyle w:val="Indenta"/>
        <w:spacing w:before="60"/>
        <w:rPr>
          <w:snapToGrid w:val="0"/>
        </w:rPr>
      </w:pPr>
      <w:r>
        <w:rPr>
          <w:snapToGrid w:val="0"/>
        </w:rPr>
        <w:tab/>
        <w:t>(b)</w:t>
      </w:r>
      <w:r>
        <w:rPr>
          <w:snapToGrid w:val="0"/>
        </w:rPr>
        <w:tab/>
        <w:t>the agency is satisfied that the document —</w:t>
      </w:r>
    </w:p>
    <w:p>
      <w:pPr>
        <w:pStyle w:val="Indenti"/>
        <w:spacing w:before="60"/>
        <w:rPr>
          <w:snapToGrid w:val="0"/>
        </w:rPr>
      </w:pPr>
      <w:r>
        <w:rPr>
          <w:snapToGrid w:val="0"/>
        </w:rPr>
        <w:tab/>
        <w:t>(i)</w:t>
      </w:r>
      <w:r>
        <w:rPr>
          <w:snapToGrid w:val="0"/>
        </w:rPr>
        <w:tab/>
        <w:t>is in the agency’s possession but cannot be found; or</w:t>
      </w:r>
    </w:p>
    <w:p>
      <w:pPr>
        <w:pStyle w:val="Indenti"/>
        <w:spacing w:before="60"/>
        <w:rPr>
          <w:snapToGrid w:val="0"/>
        </w:rPr>
      </w:pPr>
      <w:r>
        <w:rPr>
          <w:snapToGrid w:val="0"/>
        </w:rPr>
        <w:tab/>
        <w:t>(ii)</w:t>
      </w:r>
      <w:r>
        <w:rPr>
          <w:snapToGrid w:val="0"/>
        </w:rPr>
        <w:tab/>
        <w:t>does not exist.</w:t>
      </w:r>
    </w:p>
    <w:p>
      <w:pPr>
        <w:pStyle w:val="Subsection"/>
        <w:spacing w:before="150"/>
        <w:rPr>
          <w:snapToGrid w:val="0"/>
        </w:rPr>
      </w:pPr>
      <w:r>
        <w:rPr>
          <w:snapToGrid w:val="0"/>
        </w:rPr>
        <w:tab/>
        <w:t>(2)</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40" w:name="_Toc161845413"/>
      <w:r>
        <w:rPr>
          <w:rStyle w:val="CharSectno"/>
        </w:rPr>
        <w:lastRenderedPageBreak/>
        <w:t>27</w:t>
      </w:r>
      <w:r>
        <w:rPr>
          <w:snapToGrid w:val="0"/>
        </w:rPr>
        <w:t>.</w:t>
      </w:r>
      <w:r>
        <w:rPr>
          <w:snapToGrid w:val="0"/>
        </w:rPr>
        <w:tab/>
        <w:t>Ways in which access can be given</w:t>
      </w:r>
      <w:bookmarkEnd w:id="40"/>
    </w:p>
    <w:p>
      <w:pPr>
        <w:pStyle w:val="Subsection"/>
        <w:spacing w:before="150"/>
        <w:rPr>
          <w:snapToGrid w:val="0"/>
        </w:rPr>
      </w:pPr>
      <w:r>
        <w:rPr>
          <w:snapToGrid w:val="0"/>
        </w:rPr>
        <w:tab/>
        <w:t>(1)</w:t>
      </w:r>
      <w:r>
        <w:rPr>
          <w:snapToGrid w:val="0"/>
        </w:rPr>
        <w:tab/>
        <w:t>Access to a document may be given to the applicant in one or more of the following ways —</w:t>
      </w:r>
    </w:p>
    <w:p>
      <w:pPr>
        <w:pStyle w:val="Indenta"/>
        <w:spacing w:before="60"/>
        <w:rPr>
          <w:snapToGrid w:val="0"/>
        </w:rPr>
      </w:pPr>
      <w:r>
        <w:rPr>
          <w:snapToGrid w:val="0"/>
        </w:rPr>
        <w:tab/>
        <w:t>(a)</w:t>
      </w:r>
      <w:r>
        <w:rPr>
          <w:snapToGrid w:val="0"/>
        </w:rPr>
        <w:tab/>
        <w:t>by giving a reasonable opportunity to inspect the document; or</w:t>
      </w:r>
    </w:p>
    <w:p>
      <w:pPr>
        <w:pStyle w:val="Indenta"/>
        <w:spacing w:before="60"/>
        <w:rPr>
          <w:snapToGrid w:val="0"/>
        </w:rPr>
      </w:pPr>
      <w:r>
        <w:rPr>
          <w:snapToGrid w:val="0"/>
        </w:rPr>
        <w:tab/>
        <w:t>(b)</w:t>
      </w:r>
      <w:r>
        <w:rPr>
          <w:snapToGrid w:val="0"/>
        </w:rPr>
        <w:tab/>
        <w:t>by giving a copy of the document; or</w:t>
      </w:r>
    </w:p>
    <w:p>
      <w:pPr>
        <w:pStyle w:val="Indenta"/>
        <w:spacing w:before="60"/>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 or</w:t>
      </w:r>
    </w:p>
    <w:p>
      <w:pPr>
        <w:pStyle w:val="Indenta"/>
        <w:spacing w:before="60"/>
        <w:rPr>
          <w:snapToGrid w:val="0"/>
        </w:rPr>
      </w:pPr>
      <w:r>
        <w:rPr>
          <w:snapToGrid w:val="0"/>
        </w:rPr>
        <w:tab/>
        <w:t>(d)</w:t>
      </w:r>
      <w:r>
        <w:rPr>
          <w:snapToGrid w:val="0"/>
        </w:rPr>
        <w:tab/>
        <w:t>in the case of a document from which words can be reproduced in the form of sound — by giving a written transcript of the words recorded in the document; or</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 or</w:t>
      </w:r>
    </w:p>
    <w:p>
      <w:pPr>
        <w:pStyle w:val="Indenta"/>
        <w:spacing w:before="70"/>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spacing w:before="70"/>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(2)</w:t>
      </w:r>
      <w:r>
        <w:rPr>
          <w:snapToGrid w:val="0"/>
        </w:rPr>
        <w:tab/>
        <w:t>If the applicant has requested that access to a document be given in a particular way the agency has to comply with the request unless giving access in that way —</w:t>
      </w:r>
    </w:p>
    <w:p>
      <w:pPr>
        <w:pStyle w:val="Indenta"/>
        <w:spacing w:before="70"/>
        <w:rPr>
          <w:snapToGrid w:val="0"/>
        </w:rPr>
      </w:pPr>
      <w:r>
        <w:rPr>
          <w:snapToGrid w:val="0"/>
        </w:rPr>
        <w:tab/>
        <w:t>(a)</w:t>
      </w:r>
      <w:r>
        <w:rPr>
          <w:snapToGrid w:val="0"/>
        </w:rPr>
        <w:tab/>
        <w:t>would interfere unreasonably with the agency’s other operations; or</w:t>
      </w:r>
    </w:p>
    <w:p>
      <w:pPr>
        <w:pStyle w:val="Indenta"/>
        <w:spacing w:before="70"/>
        <w:rPr>
          <w:snapToGrid w:val="0"/>
        </w:rPr>
      </w:pPr>
      <w:r>
        <w:rPr>
          <w:snapToGrid w:val="0"/>
        </w:rPr>
        <w:lastRenderedPageBreak/>
        <w:tab/>
        <w:t>(b)</w:t>
      </w:r>
      <w:r>
        <w:rPr>
          <w:snapToGrid w:val="0"/>
        </w:rPr>
        <w:tab/>
        <w:t>would damage or harm the document or would be inappropriate because of the physical nature of the document; or</w:t>
      </w:r>
    </w:p>
    <w:p>
      <w:pPr>
        <w:pStyle w:val="Indenta"/>
        <w:spacing w:before="70"/>
        <w:rPr>
          <w:snapToGrid w:val="0"/>
        </w:rPr>
      </w:pPr>
      <w:r>
        <w:rPr>
          <w:snapToGrid w:val="0"/>
        </w:rPr>
        <w:tab/>
        <w:t>(c)</w:t>
      </w:r>
      <w:r>
        <w:rPr>
          <w:snapToGrid w:val="0"/>
        </w:rPr>
        <w:tab/>
        <w:t>would involve an infringement of copyright belonging to a person other than the State,</w:t>
      </w:r>
    </w:p>
    <w:p>
      <w:pPr>
        <w:pStyle w:val="Subsection"/>
        <w:spacing w:before="120"/>
        <w:rPr>
          <w:snapToGrid w:val="0"/>
        </w:rPr>
      </w:pPr>
      <w:r>
        <w:rPr>
          <w:snapToGrid w:val="0"/>
        </w:rPr>
        <w:tab/>
      </w:r>
      <w:r>
        <w:rPr>
          <w:snapToGrid w:val="0"/>
        </w:rPr>
        <w:tab/>
        <w:t>in which case access may be given in some other way.</w:t>
      </w:r>
    </w:p>
    <w:p>
      <w:pPr>
        <w:pStyle w:val="Subsection"/>
        <w:rPr>
          <w:snapToGrid w:val="0"/>
        </w:rPr>
      </w:pPr>
      <w:r>
        <w:rPr>
          <w:snapToGrid w:val="0"/>
        </w:rPr>
        <w:tab/>
        <w:t>(3)</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(4)</w:t>
      </w:r>
      <w:r>
        <w:rPr>
          <w:snapToGrid w:val="0"/>
        </w:rPr>
        <w:tab/>
        <w:t>This section does not prevent the agency from giving access to a document in any way agreed on between the agency and the applicant.</w:t>
      </w:r>
    </w:p>
    <w:p>
      <w:pPr>
        <w:pStyle w:val="Heading5"/>
        <w:rPr>
          <w:snapToGrid w:val="0"/>
        </w:rPr>
      </w:pPr>
      <w:bookmarkStart w:id="41" w:name="_Toc161845414"/>
      <w:r>
        <w:rPr>
          <w:rStyle w:val="CharSectno"/>
        </w:rPr>
        <w:t>28</w:t>
      </w:r>
      <w:r>
        <w:rPr>
          <w:snapToGrid w:val="0"/>
        </w:rPr>
        <w:t>.</w:t>
      </w:r>
      <w:r>
        <w:rPr>
          <w:snapToGrid w:val="0"/>
        </w:rPr>
        <w:tab/>
        <w:t>Medical and psychiatric information about applicant, giving access to</w:t>
      </w:r>
      <w:bookmarkEnd w:id="4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42" w:name="_Toc161845415"/>
      <w:r>
        <w:rPr>
          <w:rStyle w:val="CharSectno"/>
        </w:rPr>
        <w:lastRenderedPageBreak/>
        <w:t>29</w:t>
      </w:r>
      <w:r>
        <w:rPr>
          <w:snapToGrid w:val="0"/>
        </w:rPr>
        <w:t>.</w:t>
      </w:r>
      <w:r>
        <w:rPr>
          <w:snapToGrid w:val="0"/>
        </w:rPr>
        <w:tab/>
        <w:t>Personal information about applicant, agency’s duties when giving access to</w:t>
      </w:r>
      <w:bookmarkEnd w:id="42"/>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43" w:name="_Toc161845416"/>
      <w:r>
        <w:rPr>
          <w:rStyle w:val="CharSectno"/>
        </w:rPr>
        <w:t>30</w:t>
      </w:r>
      <w:r>
        <w:rPr>
          <w:snapToGrid w:val="0"/>
        </w:rPr>
        <w:t>.</w:t>
      </w:r>
      <w:r>
        <w:rPr>
          <w:snapToGrid w:val="0"/>
        </w:rPr>
        <w:tab/>
        <w:t>Notice under s. 13(1)(b) of decision, form etc. of</w:t>
      </w:r>
      <w:bookmarkEnd w:id="43"/>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officer who made the decision; and</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 and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 and</w:t>
      </w:r>
    </w:p>
    <w:p>
      <w:pPr>
        <w:pStyle w:val="Indenta"/>
        <w:rPr>
          <w:snapToGrid w:val="0"/>
        </w:rPr>
      </w:pPr>
      <w:r>
        <w:rPr>
          <w:snapToGrid w:val="0"/>
        </w:rPr>
        <w:lastRenderedPageBreak/>
        <w:tab/>
        <w:t>(f)</w:t>
      </w:r>
      <w:r>
        <w:rPr>
          <w:snapToGrid w:val="0"/>
        </w:rPr>
        <w:tab/>
        <w:t>if the decision is to refuse access to a document — the reasons for the refusal and the findings on any material questions of fact underlying those reasons, referring to the material on which those findings were based; and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44" w:name="_Toc161845417"/>
      <w:r>
        <w:rPr>
          <w:rStyle w:val="CharSectno"/>
        </w:rPr>
        <w:t>31</w:t>
      </w:r>
      <w:r>
        <w:rPr>
          <w:snapToGrid w:val="0"/>
        </w:rPr>
        <w:t>.</w:t>
      </w:r>
      <w:r>
        <w:rPr>
          <w:snapToGrid w:val="0"/>
        </w:rPr>
        <w:tab/>
        <w:t>Certain exempt matter (Sch. 1 cl. 1, 2 or 5), giving information about existence etc. of</w:t>
      </w:r>
      <w:bookmarkEnd w:id="44"/>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(2)</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spacing w:before="60"/>
        <w:rPr>
          <w:snapToGrid w:val="0"/>
        </w:rPr>
      </w:pPr>
      <w:r>
        <w:rPr>
          <w:snapToGrid w:val="0"/>
        </w:rPr>
        <w:tab/>
        <w:t>(a)</w:t>
      </w:r>
      <w:r>
        <w:rPr>
          <w:snapToGrid w:val="0"/>
        </w:rPr>
        <w:tab/>
        <w:t>section 30 applies as if the decision to give such a notice were a decision referred to in that section; and</w:t>
      </w:r>
    </w:p>
    <w:p>
      <w:pPr>
        <w:pStyle w:val="Indenta"/>
        <w:spacing w:before="60"/>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45" w:name="_Toc161842698"/>
      <w:bookmarkStart w:id="46" w:name="_Toc161842970"/>
      <w:bookmarkStart w:id="47" w:name="_Toc161845418"/>
      <w:r>
        <w:rPr>
          <w:rStyle w:val="CharDivNo"/>
        </w:rPr>
        <w:lastRenderedPageBreak/>
        <w:t>Division 3</w:t>
      </w:r>
      <w:r>
        <w:rPr>
          <w:snapToGrid w:val="0"/>
        </w:rPr>
        <w:t> — </w:t>
      </w:r>
      <w:r>
        <w:rPr>
          <w:rStyle w:val="CharDivText"/>
        </w:rPr>
        <w:t>Consultation with third parties</w:t>
      </w:r>
      <w:bookmarkEnd w:id="45"/>
      <w:bookmarkEnd w:id="46"/>
      <w:bookmarkEnd w:id="47"/>
    </w:p>
    <w:p>
      <w:pPr>
        <w:pStyle w:val="Heading5"/>
        <w:rPr>
          <w:snapToGrid w:val="0"/>
        </w:rPr>
      </w:pPr>
      <w:bookmarkStart w:id="48" w:name="_Toc161845419"/>
      <w:r>
        <w:rPr>
          <w:rStyle w:val="CharSectno"/>
        </w:rPr>
        <w:t>32</w:t>
      </w:r>
      <w:r>
        <w:rPr>
          <w:snapToGrid w:val="0"/>
        </w:rPr>
        <w:t>.</w:t>
      </w:r>
      <w:r>
        <w:rPr>
          <w:snapToGrid w:val="0"/>
        </w:rPr>
        <w:tab/>
        <w:t>Personal information about third party, when access to may be given</w:t>
      </w:r>
      <w:bookmarkEnd w:id="48"/>
    </w:p>
    <w:p>
      <w:pPr>
        <w:pStyle w:val="Subsection"/>
        <w:spacing w:before="140"/>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spacing w:before="140"/>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w:t>
      </w:r>
    </w:p>
    <w:p>
      <w:pPr>
        <w:pStyle w:val="Indenta"/>
        <w:spacing w:before="60"/>
        <w:rPr>
          <w:snapToGrid w:val="0"/>
        </w:rPr>
      </w:pPr>
      <w:r>
        <w:rPr>
          <w:snapToGrid w:val="0"/>
        </w:rPr>
        <w:tab/>
        <w:t>(a)</w:t>
      </w:r>
      <w:r>
        <w:rPr>
          <w:snapToGrid w:val="0"/>
        </w:rPr>
        <w:tab/>
        <w:t>the third party; or</w:t>
      </w:r>
    </w:p>
    <w:p>
      <w:pPr>
        <w:pStyle w:val="Indenta"/>
        <w:spacing w:before="60"/>
        <w:rPr>
          <w:snapToGrid w:val="0"/>
        </w:rPr>
      </w:pPr>
      <w:r>
        <w:rPr>
          <w:snapToGrid w:val="0"/>
        </w:rPr>
        <w:tab/>
        <w:t>(b)</w:t>
      </w:r>
      <w:r>
        <w:rPr>
          <w:snapToGrid w:val="0"/>
        </w:rPr>
        <w:tab/>
        <w:t>if the third party is dead, his or her closest relative,</w:t>
      </w:r>
    </w:p>
    <w:p>
      <w:pPr>
        <w:pStyle w:val="Subsection"/>
        <w:spacing w:before="120"/>
        <w:rPr>
          <w:snapToGrid w:val="0"/>
        </w:rPr>
      </w:pPr>
      <w:r>
        <w:rPr>
          <w:snapToGrid w:val="0"/>
        </w:rPr>
        <w:tab/>
      </w:r>
      <w:r>
        <w:rPr>
          <w:snapToGrid w:val="0"/>
        </w:rPr>
        <w:tab/>
        <w:t>as to whether the document contains matter that is exempt matter under clause 3 of Schedule 1.</w:t>
      </w:r>
    </w:p>
    <w:p>
      <w:pPr>
        <w:pStyle w:val="Subsection"/>
        <w:spacing w:before="140"/>
        <w:rPr>
          <w:snapToGrid w:val="0"/>
        </w:rPr>
      </w:pPr>
      <w:r>
        <w:rPr>
          <w:snapToGrid w:val="0"/>
        </w:rPr>
        <w:tab/>
        <w:t>(3)</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(4)</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(5)</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(6)</w:t>
      </w:r>
      <w:r>
        <w:rPr>
          <w:snapToGrid w:val="0"/>
        </w:rPr>
        <w:tab/>
        <w:t>This section does not apply if access is given to a copy of the document from which the personal information referred to in subsection (1) has been deleted under section 24.</w:t>
      </w:r>
    </w:p>
    <w:p>
      <w:pPr>
        <w:pStyle w:val="Heading5"/>
        <w:spacing w:before="280"/>
        <w:rPr>
          <w:snapToGrid w:val="0"/>
        </w:rPr>
      </w:pPr>
      <w:bookmarkStart w:id="49" w:name="_Toc161845420"/>
      <w:r>
        <w:rPr>
          <w:rStyle w:val="CharSectno"/>
        </w:rPr>
        <w:lastRenderedPageBreak/>
        <w:t>33</w:t>
      </w:r>
      <w:r>
        <w:rPr>
          <w:snapToGrid w:val="0"/>
        </w:rPr>
        <w:t>.</w:t>
      </w:r>
      <w:r>
        <w:rPr>
          <w:snapToGrid w:val="0"/>
        </w:rPr>
        <w:tab/>
        <w:t>Commercial etc. information of third party, when access to may be given</w:t>
      </w:r>
      <w:bookmarkEnd w:id="49"/>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 or</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(3)</w:t>
      </w:r>
      <w:r>
        <w:rPr>
          <w:snapToGrid w:val="0"/>
        </w:rPr>
        <w:tab/>
        <w:t>An agency is not a third party for the purposes of this Part or Part 4.</w:t>
      </w:r>
    </w:p>
    <w:p>
      <w:pPr>
        <w:pStyle w:val="Subsection"/>
        <w:rPr>
          <w:snapToGrid w:val="0"/>
        </w:rPr>
      </w:pPr>
      <w:r>
        <w:rPr>
          <w:snapToGrid w:val="0"/>
        </w:rPr>
        <w:tab/>
        <w:t>(4)</w:t>
      </w:r>
      <w:r>
        <w:rPr>
          <w:snapToGrid w:val="0"/>
        </w:rPr>
        <w:tab/>
        <w:t>This section does not apply if access is given to a copy of the document from which the information referred to in subsection (1) has been deleted under section 24.</w:t>
      </w:r>
    </w:p>
    <w:p>
      <w:pPr>
        <w:pStyle w:val="Heading5"/>
        <w:rPr>
          <w:snapToGrid w:val="0"/>
        </w:rPr>
      </w:pPr>
      <w:bookmarkStart w:id="50" w:name="_Toc161845421"/>
      <w:r>
        <w:rPr>
          <w:rStyle w:val="CharSectno"/>
        </w:rPr>
        <w:t>34</w:t>
      </w:r>
      <w:r>
        <w:rPr>
          <w:snapToGrid w:val="0"/>
        </w:rPr>
        <w:t>.</w:t>
      </w:r>
      <w:r>
        <w:rPr>
          <w:snapToGrid w:val="0"/>
        </w:rPr>
        <w:tab/>
        <w:t>Consultation under s. 32 or 33, procedure after</w:t>
      </w:r>
      <w:bookmarkEnd w:id="50"/>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 and</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2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lastRenderedPageBreak/>
        <w:tab/>
        <w:t>(e)</w:t>
      </w:r>
      <w:r>
        <w:rPr>
          <w:snapToGrid w:val="0"/>
        </w:rPr>
        <w:tab/>
        <w:t>defer giving access to the document until the decision is final.</w:t>
      </w:r>
    </w:p>
    <w:p>
      <w:pPr>
        <w:pStyle w:val="Subsection"/>
        <w:rPr>
          <w:snapToGrid w:val="0"/>
        </w:rPr>
      </w:pPr>
      <w:r>
        <w:rPr>
          <w:snapToGrid w:val="0"/>
        </w:rPr>
        <w:tab/>
        <w:t>(2)</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person who made the decision; and</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rPr>
          <w:snapToGrid w:val="0"/>
        </w:rPr>
      </w:pPr>
      <w:r>
        <w:rPr>
          <w:snapToGrid w:val="0"/>
        </w:rPr>
        <w:tab/>
        <w:t>(3)</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(4)</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 xml:space="preserve">the time prescribed by Division 3 of Part 4 for third parties to make complaints against a decision made under Division 5 of this Part confirming the agency’s </w:t>
      </w:r>
      <w:r>
        <w:rPr>
          <w:snapToGrid w:val="0"/>
        </w:rPr>
        <w:lastRenderedPageBreak/>
        <w:t>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51" w:name="_Toc161845422"/>
      <w:r>
        <w:rPr>
          <w:rStyle w:val="CharSectno"/>
        </w:rPr>
        <w:t>35</w:t>
      </w:r>
      <w:r>
        <w:rPr>
          <w:snapToGrid w:val="0"/>
        </w:rPr>
        <w:t>.</w:t>
      </w:r>
      <w:r>
        <w:rPr>
          <w:snapToGrid w:val="0"/>
        </w:rPr>
        <w:tab/>
        <w:t>Consultation under s. 32 or 33, Commissioner may waive</w:t>
      </w:r>
      <w:bookmarkEnd w:id="51"/>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(2)</w:t>
      </w:r>
      <w:r>
        <w:rPr>
          <w:snapToGrid w:val="0"/>
        </w:rPr>
        <w:tab/>
        <w:t>The agency may proceed in accordance with approval given under subsection (1).</w:t>
      </w:r>
    </w:p>
    <w:p>
      <w:pPr>
        <w:pStyle w:val="Heading3"/>
      </w:pPr>
      <w:bookmarkStart w:id="52" w:name="_Toc161842703"/>
      <w:bookmarkStart w:id="53" w:name="_Toc161842975"/>
      <w:bookmarkStart w:id="54" w:name="_Toc161845423"/>
      <w:r>
        <w:rPr>
          <w:rStyle w:val="CharDivNo"/>
        </w:rPr>
        <w:t>Division 4</w:t>
      </w:r>
      <w:r>
        <w:rPr>
          <w:snapToGrid w:val="0"/>
        </w:rPr>
        <w:t> — </w:t>
      </w:r>
      <w:r>
        <w:rPr>
          <w:rStyle w:val="CharDivText"/>
        </w:rPr>
        <w:t>Exemption certificates</w:t>
      </w:r>
      <w:bookmarkEnd w:id="52"/>
      <w:bookmarkEnd w:id="53"/>
      <w:bookmarkEnd w:id="54"/>
    </w:p>
    <w:p>
      <w:pPr>
        <w:pStyle w:val="Heading5"/>
        <w:rPr>
          <w:snapToGrid w:val="0"/>
        </w:rPr>
      </w:pPr>
      <w:bookmarkStart w:id="55" w:name="_Toc161845424"/>
      <w:r>
        <w:rPr>
          <w:rStyle w:val="CharSectno"/>
        </w:rPr>
        <w:t>36</w:t>
      </w:r>
      <w:r>
        <w:rPr>
          <w:snapToGrid w:val="0"/>
        </w:rPr>
        <w:t>.</w:t>
      </w:r>
      <w:r>
        <w:rPr>
          <w:snapToGrid w:val="0"/>
        </w:rPr>
        <w:tab/>
        <w:t>Premier may issue certificate</w:t>
      </w:r>
      <w:bookmarkEnd w:id="55"/>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(2)</w:t>
      </w:r>
      <w:r>
        <w:rPr>
          <w:snapToGrid w:val="0"/>
        </w:rPr>
        <w:tab/>
        <w:t xml:space="preserve">An exemption certificate may be issued in a form that neither confirms nor denies the existence of a document but states that if it did exist it would contain matter that would be exempt </w:t>
      </w:r>
      <w:r>
        <w:rPr>
          <w:snapToGrid w:val="0"/>
        </w:rPr>
        <w:lastRenderedPageBreak/>
        <w:t>matter under a specified provision of clause 1 or 2 of Schedule 1.</w:t>
      </w:r>
    </w:p>
    <w:p>
      <w:pPr>
        <w:pStyle w:val="Heading5"/>
        <w:rPr>
          <w:snapToGrid w:val="0"/>
        </w:rPr>
      </w:pPr>
      <w:bookmarkStart w:id="56" w:name="_Toc161845425"/>
      <w:r>
        <w:rPr>
          <w:rStyle w:val="CharSectno"/>
        </w:rPr>
        <w:t>37</w:t>
      </w:r>
      <w:r>
        <w:rPr>
          <w:snapToGrid w:val="0"/>
        </w:rPr>
        <w:t>.</w:t>
      </w:r>
      <w:r>
        <w:rPr>
          <w:snapToGrid w:val="0"/>
        </w:rPr>
        <w:tab/>
        <w:t>Effect of certificate</w:t>
      </w:r>
      <w:bookmarkEnd w:id="56"/>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(2)</w:t>
      </w:r>
      <w:r>
        <w:rPr>
          <w:snapToGrid w:val="0"/>
        </w:rPr>
        <w:tab/>
        <w:t>Subsection (1) does not apply to section 77, 85(2) or 87(2).</w:t>
      </w:r>
    </w:p>
    <w:p>
      <w:pPr>
        <w:pStyle w:val="Heading5"/>
        <w:rPr>
          <w:snapToGrid w:val="0"/>
        </w:rPr>
      </w:pPr>
      <w:bookmarkStart w:id="57" w:name="_Toc161845426"/>
      <w:r>
        <w:rPr>
          <w:rStyle w:val="CharSectno"/>
        </w:rPr>
        <w:t>38</w:t>
      </w:r>
      <w:r>
        <w:rPr>
          <w:snapToGrid w:val="0"/>
        </w:rPr>
        <w:t>.</w:t>
      </w:r>
      <w:r>
        <w:rPr>
          <w:snapToGrid w:val="0"/>
        </w:rPr>
        <w:tab/>
        <w:t>Duration of certificate</w:t>
      </w:r>
      <w:bookmarkEnd w:id="57"/>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(2)</w:t>
      </w:r>
      <w:r>
        <w:rPr>
          <w:snapToGrid w:val="0"/>
        </w:rPr>
        <w:tab/>
        <w:t>Subsection (1), other than paragraph (c), does not prevent the Premier from signing a further exemption certificate in respect of the same document.</w:t>
      </w:r>
    </w:p>
    <w:p>
      <w:pPr>
        <w:pStyle w:val="Heading3"/>
      </w:pPr>
      <w:bookmarkStart w:id="58" w:name="_Toc161842707"/>
      <w:bookmarkStart w:id="59" w:name="_Toc161842979"/>
      <w:bookmarkStart w:id="60" w:name="_Toc161845427"/>
      <w:r>
        <w:rPr>
          <w:rStyle w:val="CharDivNo"/>
        </w:rPr>
        <w:t>Division 5</w:t>
      </w:r>
      <w:r>
        <w:rPr>
          <w:snapToGrid w:val="0"/>
        </w:rPr>
        <w:t> — </w:t>
      </w:r>
      <w:r>
        <w:rPr>
          <w:rStyle w:val="CharDivText"/>
        </w:rPr>
        <w:t>Internal review of decisions as to access</w:t>
      </w:r>
      <w:bookmarkEnd w:id="58"/>
      <w:bookmarkEnd w:id="59"/>
      <w:bookmarkEnd w:id="60"/>
    </w:p>
    <w:p>
      <w:pPr>
        <w:pStyle w:val="Heading5"/>
        <w:rPr>
          <w:snapToGrid w:val="0"/>
        </w:rPr>
      </w:pPr>
      <w:bookmarkStart w:id="61" w:name="_Toc161845428"/>
      <w:r>
        <w:rPr>
          <w:rStyle w:val="CharSectno"/>
        </w:rPr>
        <w:t>39</w:t>
      </w:r>
      <w:r>
        <w:rPr>
          <w:snapToGrid w:val="0"/>
        </w:rPr>
        <w:t>.</w:t>
      </w:r>
      <w:r>
        <w:rPr>
          <w:snapToGrid w:val="0"/>
        </w:rPr>
        <w:tab/>
        <w:t>Review of decision under this Part, right to</w:t>
      </w:r>
      <w:bookmarkEnd w:id="61"/>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keepNext/>
        <w:rPr>
          <w:snapToGrid w:val="0"/>
        </w:rPr>
      </w:pPr>
      <w:r>
        <w:rPr>
          <w:snapToGrid w:val="0"/>
        </w:rPr>
        <w:lastRenderedPageBreak/>
        <w:tab/>
        <w:t>(2)</w:t>
      </w:r>
      <w:r>
        <w:rPr>
          <w:snapToGrid w:val="0"/>
        </w:rPr>
        <w:tab/>
        <w:t>A person is aggrieved by a decision —</w:t>
      </w:r>
    </w:p>
    <w:p>
      <w:pPr>
        <w:pStyle w:val="Indenta"/>
        <w:spacing w:before="70"/>
        <w:rPr>
          <w:snapToGrid w:val="0"/>
        </w:rPr>
      </w:pPr>
      <w:r>
        <w:rPr>
          <w:snapToGrid w:val="0"/>
        </w:rPr>
        <w:tab/>
        <w:t>(a)</w:t>
      </w:r>
      <w:r>
        <w:rPr>
          <w:snapToGrid w:val="0"/>
        </w:rPr>
        <w:tab/>
        <w:t>if the person is the access applicant and the effect of the decision is to —</w:t>
      </w:r>
    </w:p>
    <w:p>
      <w:pPr>
        <w:pStyle w:val="Indenti"/>
        <w:spacing w:before="70"/>
        <w:rPr>
          <w:snapToGrid w:val="0"/>
        </w:rPr>
      </w:pPr>
      <w:r>
        <w:rPr>
          <w:snapToGrid w:val="0"/>
        </w:rPr>
        <w:tab/>
        <w:t>(i)</w:t>
      </w:r>
      <w:r>
        <w:rPr>
          <w:snapToGrid w:val="0"/>
        </w:rPr>
        <w:tab/>
        <w:t>give access to an edited copy of a document; or</w:t>
      </w:r>
    </w:p>
    <w:p>
      <w:pPr>
        <w:pStyle w:val="Indenti"/>
        <w:spacing w:before="70"/>
        <w:rPr>
          <w:snapToGrid w:val="0"/>
        </w:rPr>
      </w:pPr>
      <w:r>
        <w:rPr>
          <w:snapToGrid w:val="0"/>
        </w:rPr>
        <w:tab/>
        <w:t>(ii)</w:t>
      </w:r>
      <w:r>
        <w:rPr>
          <w:snapToGrid w:val="0"/>
        </w:rPr>
        <w:tab/>
        <w:t>refuse to deal with the access application; or</w:t>
      </w:r>
    </w:p>
    <w:p>
      <w:pPr>
        <w:pStyle w:val="Indenti"/>
        <w:spacing w:before="70"/>
        <w:rPr>
          <w:snapToGrid w:val="0"/>
        </w:rPr>
      </w:pPr>
      <w:r>
        <w:rPr>
          <w:snapToGrid w:val="0"/>
        </w:rPr>
        <w:tab/>
        <w:t>(iii)</w:t>
      </w:r>
      <w:r>
        <w:rPr>
          <w:snapToGrid w:val="0"/>
        </w:rPr>
        <w:tab/>
        <w:t>refuse access to a document; or</w:t>
      </w:r>
    </w:p>
    <w:p>
      <w:pPr>
        <w:pStyle w:val="Indenti"/>
        <w:spacing w:before="70"/>
        <w:rPr>
          <w:snapToGrid w:val="0"/>
        </w:rPr>
      </w:pPr>
      <w:r>
        <w:rPr>
          <w:snapToGrid w:val="0"/>
        </w:rPr>
        <w:tab/>
        <w:t>(iv)</w:t>
      </w:r>
      <w:r>
        <w:rPr>
          <w:snapToGrid w:val="0"/>
        </w:rPr>
        <w:tab/>
        <w:t>defer the giving of access to a document; or</w:t>
      </w:r>
    </w:p>
    <w:p>
      <w:pPr>
        <w:pStyle w:val="Indenti"/>
        <w:spacing w:before="70"/>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spacing w:before="70"/>
        <w:rPr>
          <w:snapToGrid w:val="0"/>
        </w:rPr>
      </w:pPr>
      <w:r>
        <w:rPr>
          <w:snapToGrid w:val="0"/>
        </w:rPr>
        <w:tab/>
        <w:t>(vi)</w:t>
      </w:r>
      <w:r>
        <w:rPr>
          <w:snapToGrid w:val="0"/>
        </w:rPr>
        <w:tab/>
        <w:t>impose a charge, or require a deposit, that the applicant considers to be unreasonable;</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(3)</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62" w:name="_Toc161845429"/>
      <w:r>
        <w:rPr>
          <w:rStyle w:val="CharSectno"/>
        </w:rPr>
        <w:t>40</w:t>
      </w:r>
      <w:r>
        <w:rPr>
          <w:snapToGrid w:val="0"/>
        </w:rPr>
        <w:t>.</w:t>
      </w:r>
      <w:r>
        <w:rPr>
          <w:snapToGrid w:val="0"/>
        </w:rPr>
        <w:tab/>
        <w:t>Application for review</w:t>
      </w:r>
      <w:bookmarkEnd w:id="62"/>
    </w:p>
    <w:p>
      <w:pPr>
        <w:pStyle w:val="Subsection"/>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which the aggrieved person wishes to have reviewed; and</w:t>
      </w:r>
    </w:p>
    <w:p>
      <w:pPr>
        <w:pStyle w:val="Indenta"/>
        <w:rPr>
          <w:snapToGrid w:val="0"/>
        </w:rPr>
      </w:pPr>
      <w:r>
        <w:rPr>
          <w:snapToGrid w:val="0"/>
        </w:rPr>
        <w:tab/>
        <w:t>(c)</w:t>
      </w:r>
      <w:r>
        <w:rPr>
          <w:snapToGrid w:val="0"/>
        </w:rPr>
        <w:tab/>
        <w:t>give an address in Australia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lastRenderedPageBreak/>
        <w:tab/>
        <w:t>(2)</w:t>
      </w:r>
      <w:r>
        <w:rPr>
          <w:snapToGrid w:val="0"/>
        </w:rPr>
        <w:tab/>
        <w:t>An aggrieved person may lodge an application for review within 30 days after being given written notice of the decision.</w:t>
      </w:r>
    </w:p>
    <w:p>
      <w:pPr>
        <w:pStyle w:val="Subsection"/>
        <w:rPr>
          <w:snapToGrid w:val="0"/>
        </w:rPr>
      </w:pPr>
      <w:r>
        <w:rPr>
          <w:snapToGrid w:val="0"/>
        </w:rPr>
        <w:tab/>
        <w:t>(3)</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63" w:name="_Toc161845430"/>
      <w:r>
        <w:rPr>
          <w:rStyle w:val="CharSectno"/>
        </w:rPr>
        <w:t>41</w:t>
      </w:r>
      <w:r>
        <w:rPr>
          <w:snapToGrid w:val="0"/>
        </w:rPr>
        <w:t>.</w:t>
      </w:r>
      <w:r>
        <w:rPr>
          <w:snapToGrid w:val="0"/>
        </w:rPr>
        <w:tab/>
        <w:t>Who is to deal with application for review</w:t>
      </w:r>
      <w:bookmarkEnd w:id="63"/>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64" w:name="_Toc161845431"/>
      <w:r>
        <w:rPr>
          <w:rStyle w:val="CharSectno"/>
        </w:rPr>
        <w:t>42</w:t>
      </w:r>
      <w:r>
        <w:rPr>
          <w:snapToGrid w:val="0"/>
        </w:rPr>
        <w:t>.</w:t>
      </w:r>
      <w:r>
        <w:rPr>
          <w:snapToGrid w:val="0"/>
        </w:rPr>
        <w:tab/>
        <w:t>How application for review to be dealt with</w:t>
      </w:r>
      <w:bookmarkEnd w:id="64"/>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65" w:name="_Toc161845432"/>
      <w:r>
        <w:rPr>
          <w:rStyle w:val="CharSectno"/>
        </w:rPr>
        <w:t>43</w:t>
      </w:r>
      <w:r>
        <w:rPr>
          <w:snapToGrid w:val="0"/>
        </w:rPr>
        <w:t>.</w:t>
      </w:r>
      <w:r>
        <w:rPr>
          <w:snapToGrid w:val="0"/>
        </w:rPr>
        <w:tab/>
        <w:t>Decision can be confirmed, varied or reversed on review</w:t>
      </w:r>
      <w:bookmarkEnd w:id="65"/>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(2)</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66" w:name="_Toc161845433"/>
      <w:r>
        <w:rPr>
          <w:rStyle w:val="CharSectno"/>
        </w:rPr>
        <w:t>44</w:t>
      </w:r>
      <w:r>
        <w:rPr>
          <w:snapToGrid w:val="0"/>
        </w:rPr>
        <w:t>.</w:t>
      </w:r>
      <w:r>
        <w:rPr>
          <w:snapToGrid w:val="0"/>
        </w:rPr>
        <w:tab/>
        <w:t>No charge for review</w:t>
      </w:r>
      <w:bookmarkEnd w:id="66"/>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67" w:name="_Toc161842714"/>
      <w:bookmarkStart w:id="68" w:name="_Toc161842986"/>
      <w:bookmarkStart w:id="69" w:name="_Toc161845434"/>
      <w:r>
        <w:rPr>
          <w:rStyle w:val="CharPartNo"/>
        </w:rPr>
        <w:lastRenderedPageBreak/>
        <w:t>Part 3</w:t>
      </w:r>
      <w:r>
        <w:t> — </w:t>
      </w:r>
      <w:r>
        <w:rPr>
          <w:rStyle w:val="CharPartText"/>
        </w:rPr>
        <w:t>Amendment of personal information</w:t>
      </w:r>
      <w:bookmarkEnd w:id="67"/>
      <w:bookmarkEnd w:id="68"/>
      <w:bookmarkEnd w:id="69"/>
    </w:p>
    <w:p>
      <w:pPr>
        <w:pStyle w:val="Heading3"/>
      </w:pPr>
      <w:bookmarkStart w:id="70" w:name="_Toc161842715"/>
      <w:bookmarkStart w:id="71" w:name="_Toc161842987"/>
      <w:bookmarkStart w:id="72" w:name="_Toc161845435"/>
      <w:r>
        <w:rPr>
          <w:rStyle w:val="CharDivNo"/>
        </w:rPr>
        <w:t>Division 1</w:t>
      </w:r>
      <w:r>
        <w:rPr>
          <w:snapToGrid w:val="0"/>
        </w:rPr>
        <w:t> — </w:t>
      </w:r>
      <w:r>
        <w:rPr>
          <w:rStyle w:val="CharDivText"/>
        </w:rPr>
        <w:t>Applications for amendment</w:t>
      </w:r>
      <w:bookmarkEnd w:id="70"/>
      <w:bookmarkEnd w:id="71"/>
      <w:bookmarkEnd w:id="72"/>
    </w:p>
    <w:p>
      <w:pPr>
        <w:pStyle w:val="Heading5"/>
        <w:rPr>
          <w:snapToGrid w:val="0"/>
        </w:rPr>
      </w:pPr>
      <w:bookmarkStart w:id="73" w:name="_Toc161845436"/>
      <w:r>
        <w:rPr>
          <w:rStyle w:val="CharSectno"/>
        </w:rPr>
        <w:t>45</w:t>
      </w:r>
      <w:r>
        <w:rPr>
          <w:snapToGrid w:val="0"/>
        </w:rPr>
        <w:t>.</w:t>
      </w:r>
      <w:r>
        <w:rPr>
          <w:snapToGrid w:val="0"/>
        </w:rPr>
        <w:tab/>
        <w:t>Right to apply for information to be amended</w:t>
      </w:r>
      <w:bookmarkEnd w:id="73"/>
    </w:p>
    <w:p>
      <w:pPr>
        <w:pStyle w:val="Subsection"/>
        <w:rPr>
          <w:snapToGrid w:val="0"/>
        </w:rPr>
      </w:pPr>
      <w:r>
        <w:rPr>
          <w:snapToGrid w:val="0"/>
        </w:rPr>
        <w:tab/>
        <w:t>(1)</w:t>
      </w:r>
      <w:r>
        <w:rPr>
          <w:snapToGrid w:val="0"/>
        </w:rPr>
        <w:tab/>
        <w:t>An individual (</w:t>
      </w:r>
      <w:r>
        <w:t xml:space="preserve">the </w:t>
      </w:r>
      <w:r>
        <w:rPr>
          <w:rStyle w:val="CharDefText"/>
        </w:rPr>
        <w:t>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(2)</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(3)</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(4)</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(5)</w:t>
      </w:r>
      <w:r>
        <w:rPr>
          <w:snapToGrid w:val="0"/>
        </w:rPr>
        <w:tab/>
        <w:t>This section does not apply if another enactment provides a means or procedure by which the person can have the information amended.</w:t>
      </w:r>
    </w:p>
    <w:p>
      <w:pPr>
        <w:pStyle w:val="Heading5"/>
        <w:rPr>
          <w:snapToGrid w:val="0"/>
        </w:rPr>
      </w:pPr>
      <w:bookmarkStart w:id="74" w:name="_Toc161845437"/>
      <w:r>
        <w:rPr>
          <w:rStyle w:val="CharSectno"/>
        </w:rPr>
        <w:t>46</w:t>
      </w:r>
      <w:r>
        <w:rPr>
          <w:snapToGrid w:val="0"/>
        </w:rPr>
        <w:t>.</w:t>
      </w:r>
      <w:r>
        <w:rPr>
          <w:snapToGrid w:val="0"/>
        </w:rPr>
        <w:tab/>
        <w:t>Application for amendment, form etc. of</w:t>
      </w:r>
      <w:bookmarkEnd w:id="74"/>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details to enable the document that contains the information to be identified; and</w:t>
      </w:r>
    </w:p>
    <w:p>
      <w:pPr>
        <w:pStyle w:val="Indenta"/>
        <w:rPr>
          <w:snapToGrid w:val="0"/>
        </w:rPr>
      </w:pPr>
      <w:r>
        <w:rPr>
          <w:snapToGrid w:val="0"/>
        </w:rPr>
        <w:lastRenderedPageBreak/>
        <w:tab/>
        <w:t>(c)</w:t>
      </w:r>
      <w:r>
        <w:rPr>
          <w:snapToGrid w:val="0"/>
        </w:rPr>
        <w:tab/>
        <w:t>give details of the matters in relation to which the person believes the information is inaccurate, incomplete, out of date or misleading; and</w:t>
      </w:r>
    </w:p>
    <w:p>
      <w:pPr>
        <w:pStyle w:val="Indenta"/>
        <w:rPr>
          <w:snapToGrid w:val="0"/>
        </w:rPr>
      </w:pPr>
      <w:r>
        <w:rPr>
          <w:snapToGrid w:val="0"/>
        </w:rPr>
        <w:tab/>
        <w:t>(d)</w:t>
      </w:r>
      <w:r>
        <w:rPr>
          <w:snapToGrid w:val="0"/>
        </w:rPr>
        <w:tab/>
        <w:t>give the person’s reasons for holding that belief; and</w:t>
      </w:r>
    </w:p>
    <w:p>
      <w:pPr>
        <w:pStyle w:val="Indenta"/>
        <w:rPr>
          <w:snapToGrid w:val="0"/>
        </w:rPr>
      </w:pPr>
      <w:r>
        <w:rPr>
          <w:snapToGrid w:val="0"/>
        </w:rPr>
        <w:tab/>
        <w:t>(e)</w:t>
      </w:r>
      <w:r>
        <w:rPr>
          <w:snapToGrid w:val="0"/>
        </w:rPr>
        <w:tab/>
        <w:t>give details of the amendment that the person wishes to have made; and</w:t>
      </w:r>
    </w:p>
    <w:p>
      <w:pPr>
        <w:pStyle w:val="Indenta"/>
        <w:rPr>
          <w:snapToGrid w:val="0"/>
        </w:rPr>
      </w:pPr>
      <w:r>
        <w:rPr>
          <w:snapToGrid w:val="0"/>
        </w:rPr>
        <w:tab/>
        <w:t>(f)</w:t>
      </w:r>
      <w:r>
        <w:rPr>
          <w:snapToGrid w:val="0"/>
        </w:rPr>
        <w:tab/>
        <w:t>give an address in Australia to which notices under this Act can be sent; and</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(2)</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75" w:name="_Toc161845438"/>
      <w:r>
        <w:rPr>
          <w:rStyle w:val="CharSectno"/>
        </w:rPr>
        <w:t>47</w:t>
      </w:r>
      <w:r>
        <w:rPr>
          <w:snapToGrid w:val="0"/>
        </w:rPr>
        <w:t>.</w:t>
      </w:r>
      <w:r>
        <w:rPr>
          <w:snapToGrid w:val="0"/>
        </w:rPr>
        <w:tab/>
        <w:t>Document held etc. by another agency, transferring application in case of</w:t>
      </w:r>
      <w:bookmarkEnd w:id="75"/>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(2)</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lastRenderedPageBreak/>
        <w:tab/>
        <w:t>(3)</w:t>
      </w:r>
      <w:r>
        <w:rPr>
          <w:snapToGrid w:val="0"/>
        </w:rPr>
        <w:tab/>
        <w:t>The transferring agency is to give the person written notice of the transfer without delay.</w:t>
      </w:r>
    </w:p>
    <w:p>
      <w:pPr>
        <w:pStyle w:val="Subsection"/>
        <w:rPr>
          <w:snapToGrid w:val="0"/>
        </w:rPr>
      </w:pPr>
      <w:r>
        <w:rPr>
          <w:snapToGrid w:val="0"/>
        </w:rPr>
        <w:tab/>
        <w:t>(4)</w:t>
      </w:r>
      <w:r>
        <w:rPr>
          <w:snapToGrid w:val="0"/>
        </w:rPr>
        <w:tab/>
        <w:t>The notice is to clearly state the day on which, and the agency to which, the application was transferred.</w:t>
      </w:r>
    </w:p>
    <w:p>
      <w:pPr>
        <w:pStyle w:val="Subsection"/>
        <w:rPr>
          <w:snapToGrid w:val="0"/>
        </w:rPr>
      </w:pPr>
      <w:r>
        <w:rPr>
          <w:snapToGrid w:val="0"/>
        </w:rPr>
        <w:tab/>
        <w:t>(5)</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76" w:name="_Toc161845439"/>
      <w:r>
        <w:rPr>
          <w:rStyle w:val="CharSectno"/>
        </w:rPr>
        <w:t>48</w:t>
      </w:r>
      <w:r>
        <w:rPr>
          <w:snapToGrid w:val="0"/>
        </w:rPr>
        <w:t>.</w:t>
      </w:r>
      <w:r>
        <w:rPr>
          <w:snapToGrid w:val="0"/>
        </w:rPr>
        <w:tab/>
        <w:t>Amending information, ways of</w:t>
      </w:r>
      <w:bookmarkEnd w:id="76"/>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 or</w:t>
      </w:r>
    </w:p>
    <w:p>
      <w:pPr>
        <w:pStyle w:val="Indenta"/>
        <w:rPr>
          <w:snapToGrid w:val="0"/>
        </w:rPr>
      </w:pPr>
      <w:r>
        <w:rPr>
          <w:snapToGrid w:val="0"/>
        </w:rPr>
        <w:tab/>
        <w:t>(b)</w:t>
      </w:r>
      <w:r>
        <w:rPr>
          <w:snapToGrid w:val="0"/>
        </w:rPr>
        <w:tab/>
        <w:t>striking out or deleting information; or</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(2)</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(3)</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keepNext/>
        <w:rPr>
          <w:snapToGrid w:val="0"/>
        </w:rPr>
      </w:pPr>
      <w:r>
        <w:rPr>
          <w:snapToGrid w:val="0"/>
        </w:rPr>
        <w:lastRenderedPageBreak/>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r>
        <w:rPr>
          <w:snapToGrid w:val="0"/>
        </w:rPr>
        <w:tab/>
        <w:t>(4)</w:t>
      </w:r>
      <w:r>
        <w:rPr>
          <w:snapToGrid w:val="0"/>
        </w:rPr>
        <w:tab/>
        <w:t>Before information is amended under subsection (1) in a manner that —</w:t>
      </w:r>
    </w:p>
    <w:p>
      <w:pPr>
        <w:pStyle w:val="Indenta"/>
        <w:spacing w:before="60"/>
        <w:rPr>
          <w:snapToGrid w:val="0"/>
        </w:rPr>
      </w:pPr>
      <w:r>
        <w:rPr>
          <w:snapToGrid w:val="0"/>
        </w:rPr>
        <w:tab/>
        <w:t>(a)</w:t>
      </w:r>
      <w:r>
        <w:rPr>
          <w:snapToGrid w:val="0"/>
        </w:rPr>
        <w:tab/>
        <w:t>obliterates or removes the information; or</w:t>
      </w:r>
    </w:p>
    <w:p>
      <w:pPr>
        <w:pStyle w:val="Indenta"/>
        <w:spacing w:before="60"/>
        <w:rPr>
          <w:snapToGrid w:val="0"/>
        </w:rPr>
      </w:pPr>
      <w:r>
        <w:rPr>
          <w:snapToGrid w:val="0"/>
        </w:rPr>
        <w:tab/>
        <w:t>(b)</w:t>
      </w:r>
      <w:r>
        <w:rPr>
          <w:snapToGrid w:val="0"/>
        </w:rPr>
        <w:tab/>
        <w:t>results in the destruction of a document containing the information,</w:t>
      </w:r>
    </w:p>
    <w:p>
      <w:pPr>
        <w:pStyle w:val="Subsection"/>
        <w:spacing w:before="120"/>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No. 53 of 2000 s. 9.]</w:t>
      </w:r>
    </w:p>
    <w:p>
      <w:pPr>
        <w:pStyle w:val="Heading5"/>
        <w:rPr>
          <w:snapToGrid w:val="0"/>
        </w:rPr>
      </w:pPr>
      <w:bookmarkStart w:id="77" w:name="_Toc161845440"/>
      <w:r>
        <w:rPr>
          <w:rStyle w:val="CharSectno"/>
        </w:rPr>
        <w:t>49</w:t>
      </w:r>
      <w:r>
        <w:rPr>
          <w:snapToGrid w:val="0"/>
        </w:rPr>
        <w:t>.</w:t>
      </w:r>
      <w:r>
        <w:rPr>
          <w:snapToGrid w:val="0"/>
        </w:rPr>
        <w:tab/>
        <w:t>Decision on application, notice of</w:t>
      </w:r>
      <w:bookmarkEnd w:id="77"/>
    </w:p>
    <w:p>
      <w:pPr>
        <w:pStyle w:val="Subsection"/>
        <w:spacing w:before="150"/>
        <w:rPr>
          <w:snapToGrid w:val="0"/>
        </w:rPr>
      </w:pPr>
      <w:r>
        <w:rPr>
          <w:snapToGrid w:val="0"/>
        </w:rPr>
        <w:tab/>
        <w:t>(1)</w:t>
      </w:r>
      <w:r>
        <w:rPr>
          <w:snapToGrid w:val="0"/>
        </w:rPr>
        <w:tab/>
        <w:t>The agency has to give the person written notice of its decision on the application for amendment.</w:t>
      </w:r>
    </w:p>
    <w:p>
      <w:pPr>
        <w:pStyle w:val="Subsection"/>
        <w:spacing w:before="150"/>
        <w:rPr>
          <w:snapToGrid w:val="0"/>
        </w:rPr>
      </w:pPr>
      <w:r>
        <w:rPr>
          <w:snapToGrid w:val="0"/>
        </w:rPr>
        <w:tab/>
        <w:t>(2)</w:t>
      </w:r>
      <w:r>
        <w:rPr>
          <w:snapToGrid w:val="0"/>
        </w:rPr>
        <w:tab/>
        <w:t>Section 13 applies with any necessary modifications to a notice under subsection (1) except that the references to 45 days are to be read as references to 30 days.</w:t>
      </w:r>
    </w:p>
    <w:p>
      <w:pPr>
        <w:pStyle w:val="Subsection"/>
        <w:spacing w:before="150"/>
        <w:rPr>
          <w:snapToGrid w:val="0"/>
        </w:rPr>
      </w:pPr>
      <w:r>
        <w:rPr>
          <w:snapToGrid w:val="0"/>
        </w:rPr>
        <w:tab/>
        <w:t>(3)</w:t>
      </w:r>
      <w:r>
        <w:rPr>
          <w:snapToGrid w:val="0"/>
        </w:rPr>
        <w:tab/>
        <w:t>Section 30(a) and (b) apply to a notice under subsection (1).</w:t>
      </w:r>
    </w:p>
    <w:p>
      <w:pPr>
        <w:pStyle w:val="Subsection"/>
        <w:spacing w:before="150"/>
        <w:rPr>
          <w:snapToGrid w:val="0"/>
        </w:rPr>
      </w:pPr>
      <w:r>
        <w:rPr>
          <w:snapToGrid w:val="0"/>
        </w:rPr>
        <w:tab/>
        <w:t>(4)</w:t>
      </w:r>
      <w:r>
        <w:rPr>
          <w:snapToGrid w:val="0"/>
        </w:rPr>
        <w:tab/>
        <w:t>If the agency decides to amend the information the notice has to give details of the amendment made.</w:t>
      </w:r>
    </w:p>
    <w:p>
      <w:pPr>
        <w:pStyle w:val="Subsection"/>
        <w:keepNext/>
        <w:spacing w:before="150"/>
        <w:rPr>
          <w:snapToGrid w:val="0"/>
        </w:rPr>
      </w:pPr>
      <w:r>
        <w:rPr>
          <w:snapToGrid w:val="0"/>
        </w:rPr>
        <w:lastRenderedPageBreak/>
        <w:tab/>
        <w:t>(5)</w:t>
      </w:r>
      <w:r>
        <w:rPr>
          <w:snapToGrid w:val="0"/>
        </w:rPr>
        <w:tab/>
        <w:t>If the agency decides not to amend the information in accordance with the application the notice has to give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and appeal under this Act and the procedure to be followed to exercise those rights; and</w:t>
      </w:r>
    </w:p>
    <w:p>
      <w:pPr>
        <w:pStyle w:val="Indenta"/>
        <w:spacing w:before="70"/>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(6)</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78" w:name="_Toc161845441"/>
      <w:r>
        <w:rPr>
          <w:rStyle w:val="CharSectno"/>
        </w:rPr>
        <w:t>50</w:t>
      </w:r>
      <w:r>
        <w:rPr>
          <w:snapToGrid w:val="0"/>
        </w:rPr>
        <w:t>.</w:t>
      </w:r>
      <w:r>
        <w:rPr>
          <w:snapToGrid w:val="0"/>
        </w:rPr>
        <w:tab/>
        <w:t>If application for amendment refused, applicant may request notation etc. disputing accuracy of information etc.</w:t>
      </w:r>
      <w:bookmarkEnd w:id="78"/>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spacing w:before="60"/>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spacing w:before="60"/>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(2)</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lastRenderedPageBreak/>
        <w:tab/>
        <w:t>(3)</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(4)</w:t>
      </w:r>
      <w:r>
        <w:rPr>
          <w:snapToGrid w:val="0"/>
        </w:rPr>
        <w:tab/>
        <w:t>If the agency decides not to comply with the request it has to give the person written notice of its decision giving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(5)</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79" w:name="_Toc161845442"/>
      <w:r>
        <w:rPr>
          <w:rStyle w:val="CharSectno"/>
        </w:rPr>
        <w:t>51</w:t>
      </w:r>
      <w:r>
        <w:rPr>
          <w:snapToGrid w:val="0"/>
        </w:rPr>
        <w:t>.</w:t>
      </w:r>
      <w:r>
        <w:rPr>
          <w:snapToGrid w:val="0"/>
        </w:rPr>
        <w:tab/>
        <w:t>Claim that information is inaccurate etc., agency to give notice of in some cases</w:t>
      </w:r>
      <w:bookmarkEnd w:id="79"/>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(2)</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80" w:name="_Toc161845443"/>
      <w:r>
        <w:rPr>
          <w:rStyle w:val="CharSectno"/>
        </w:rPr>
        <w:t>52</w:t>
      </w:r>
      <w:r>
        <w:rPr>
          <w:snapToGrid w:val="0"/>
        </w:rPr>
        <w:t>.</w:t>
      </w:r>
      <w:r>
        <w:rPr>
          <w:snapToGrid w:val="0"/>
        </w:rPr>
        <w:tab/>
        <w:t>Reasons for not amending information, agency may add to notation</w:t>
      </w:r>
      <w:bookmarkEnd w:id="80"/>
    </w:p>
    <w:p>
      <w:pPr>
        <w:pStyle w:val="Subsection"/>
        <w:rPr>
          <w:snapToGrid w:val="0"/>
        </w:rPr>
      </w:pPr>
      <w:r>
        <w:rPr>
          <w:snapToGrid w:val="0"/>
        </w:rPr>
        <w:tab/>
      </w:r>
      <w:r>
        <w:rPr>
          <w:snapToGrid w:val="0"/>
        </w:rPr>
        <w:tab/>
        <w:t xml:space="preserve">This Division does not prevent the agency from adding to a notation or attachment made under section 50 the agency’s reasons for deciding not to amend the information in accordance </w:t>
      </w:r>
      <w:r>
        <w:rPr>
          <w:snapToGrid w:val="0"/>
        </w:rPr>
        <w:lastRenderedPageBreak/>
        <w:t>with the application, or from including those reasons in, or attaching them to, a statement given under section 51(1).</w:t>
      </w:r>
    </w:p>
    <w:p>
      <w:pPr>
        <w:pStyle w:val="Heading5"/>
        <w:rPr>
          <w:snapToGrid w:val="0"/>
        </w:rPr>
      </w:pPr>
      <w:bookmarkStart w:id="81" w:name="_Toc161845444"/>
      <w:r>
        <w:rPr>
          <w:rStyle w:val="CharSectno"/>
        </w:rPr>
        <w:t>53</w:t>
      </w:r>
      <w:r>
        <w:rPr>
          <w:snapToGrid w:val="0"/>
        </w:rPr>
        <w:t>.</w:t>
      </w:r>
      <w:r>
        <w:rPr>
          <w:snapToGrid w:val="0"/>
        </w:rPr>
        <w:tab/>
        <w:t>No charge for application or request</w:t>
      </w:r>
      <w:bookmarkEnd w:id="81"/>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82" w:name="_Toc161842725"/>
      <w:bookmarkStart w:id="83" w:name="_Toc161842997"/>
      <w:bookmarkStart w:id="84" w:name="_Toc161845445"/>
      <w:r>
        <w:rPr>
          <w:rStyle w:val="CharDivNo"/>
        </w:rPr>
        <w:t>Division 2</w:t>
      </w:r>
      <w:r>
        <w:rPr>
          <w:snapToGrid w:val="0"/>
        </w:rPr>
        <w:t> — </w:t>
      </w:r>
      <w:r>
        <w:rPr>
          <w:rStyle w:val="CharDivText"/>
        </w:rPr>
        <w:t>Internal review of decisions as to amendment of information</w:t>
      </w:r>
      <w:bookmarkEnd w:id="82"/>
      <w:bookmarkEnd w:id="83"/>
      <w:bookmarkEnd w:id="84"/>
    </w:p>
    <w:p>
      <w:pPr>
        <w:pStyle w:val="Heading5"/>
        <w:rPr>
          <w:snapToGrid w:val="0"/>
        </w:rPr>
      </w:pPr>
      <w:bookmarkStart w:id="85" w:name="_Toc161845446"/>
      <w:r>
        <w:rPr>
          <w:rStyle w:val="CharSectno"/>
        </w:rPr>
        <w:t>54</w:t>
      </w:r>
      <w:r>
        <w:rPr>
          <w:snapToGrid w:val="0"/>
        </w:rPr>
        <w:t>.</w:t>
      </w:r>
      <w:r>
        <w:rPr>
          <w:snapToGrid w:val="0"/>
        </w:rPr>
        <w:tab/>
        <w:t>Review of decision under Div. 1, right to etc.</w:t>
      </w:r>
      <w:bookmarkEnd w:id="85"/>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(2)</w:t>
      </w:r>
      <w:r>
        <w:rPr>
          <w:snapToGrid w:val="0"/>
        </w:rPr>
        <w:tab/>
        <w:t>Sections 39(3), 40, 41, 43 and 44 apply with any necessary modifications to an application for review under this Division.</w:t>
      </w:r>
    </w:p>
    <w:p>
      <w:pPr>
        <w:pStyle w:val="Subsection"/>
        <w:rPr>
          <w:snapToGrid w:val="0"/>
        </w:rPr>
      </w:pPr>
      <w:r>
        <w:rPr>
          <w:snapToGrid w:val="0"/>
        </w:rPr>
        <w:tab/>
        <w:t>(3)</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86" w:name="_Toc161842727"/>
      <w:bookmarkStart w:id="87" w:name="_Toc161842999"/>
      <w:bookmarkStart w:id="88" w:name="_Toc161845447"/>
      <w:r>
        <w:rPr>
          <w:rStyle w:val="CharPartNo"/>
        </w:rPr>
        <w:lastRenderedPageBreak/>
        <w:t>Part 4</w:t>
      </w:r>
      <w:r>
        <w:t> — </w:t>
      </w:r>
      <w:r>
        <w:rPr>
          <w:rStyle w:val="CharPartText"/>
        </w:rPr>
        <w:t>External review of decisions; appeals</w:t>
      </w:r>
      <w:bookmarkEnd w:id="86"/>
      <w:bookmarkEnd w:id="87"/>
      <w:bookmarkEnd w:id="88"/>
    </w:p>
    <w:p>
      <w:pPr>
        <w:pStyle w:val="Heading3"/>
      </w:pPr>
      <w:bookmarkStart w:id="89" w:name="_Toc161842728"/>
      <w:bookmarkStart w:id="90" w:name="_Toc161843000"/>
      <w:bookmarkStart w:id="91" w:name="_Toc161845448"/>
      <w:r>
        <w:rPr>
          <w:rStyle w:val="CharDivNo"/>
        </w:rPr>
        <w:t>Division 1</w:t>
      </w:r>
      <w:r>
        <w:rPr>
          <w:snapToGrid w:val="0"/>
        </w:rPr>
        <w:t> — </w:t>
      </w:r>
      <w:r>
        <w:rPr>
          <w:rStyle w:val="CharDivText"/>
        </w:rPr>
        <w:t>Information Commissioner</w:t>
      </w:r>
      <w:bookmarkEnd w:id="89"/>
      <w:bookmarkEnd w:id="90"/>
      <w:bookmarkEnd w:id="91"/>
    </w:p>
    <w:p>
      <w:pPr>
        <w:pStyle w:val="Heading5"/>
        <w:rPr>
          <w:snapToGrid w:val="0"/>
        </w:rPr>
      </w:pPr>
      <w:bookmarkStart w:id="92" w:name="_Toc161845449"/>
      <w:r>
        <w:rPr>
          <w:rStyle w:val="CharSectno"/>
        </w:rPr>
        <w:t>55</w:t>
      </w:r>
      <w:r>
        <w:rPr>
          <w:snapToGrid w:val="0"/>
        </w:rPr>
        <w:t>.</w:t>
      </w:r>
      <w:r>
        <w:rPr>
          <w:snapToGrid w:val="0"/>
        </w:rPr>
        <w:tab/>
        <w:t>Office established etc.</w:t>
      </w:r>
      <w:bookmarkEnd w:id="92"/>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(2)</w:t>
      </w:r>
      <w:r>
        <w:rPr>
          <w:snapToGrid w:val="0"/>
        </w:rPr>
        <w:tab/>
        <w:t>The office is not an office in the Public Service.</w:t>
      </w:r>
    </w:p>
    <w:p>
      <w:pPr>
        <w:pStyle w:val="Heading5"/>
        <w:rPr>
          <w:snapToGrid w:val="0"/>
        </w:rPr>
      </w:pPr>
      <w:bookmarkStart w:id="93" w:name="_Toc161845450"/>
      <w:r>
        <w:rPr>
          <w:rStyle w:val="CharSectno"/>
        </w:rPr>
        <w:t>56</w:t>
      </w:r>
      <w:r>
        <w:rPr>
          <w:snapToGrid w:val="0"/>
        </w:rPr>
        <w:t>.</w:t>
      </w:r>
      <w:r>
        <w:rPr>
          <w:snapToGrid w:val="0"/>
        </w:rPr>
        <w:tab/>
        <w:t>Appointment, terms and conditions</w:t>
      </w:r>
      <w:bookmarkEnd w:id="93"/>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(2)</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snapToGrid w:val="0"/>
          <w:vertAlign w:val="superscript"/>
        </w:rPr>
        <w:t> 1</w:t>
      </w:r>
      <w:r>
        <w:rPr>
          <w:snapToGrid w:val="0"/>
        </w:rPr>
        <w:t xml:space="preserve"> and this subsection appropriates the Consolidated Account</w:t>
      </w:r>
      <w:r>
        <w:rPr>
          <w:snapToGrid w:val="0"/>
          <w:vertAlign w:val="superscript"/>
        </w:rPr>
        <w:t> 1</w:t>
      </w:r>
      <w:r>
        <w:rPr>
          <w:snapToGrid w:val="0"/>
        </w:rPr>
        <w:t xml:space="preserve"> accordingly.</w:t>
      </w:r>
    </w:p>
    <w:p>
      <w:pPr>
        <w:pStyle w:val="Subsection"/>
        <w:rPr>
          <w:snapToGrid w:val="0"/>
        </w:rPr>
      </w:pPr>
      <w:r>
        <w:rPr>
          <w:snapToGrid w:val="0"/>
        </w:rPr>
        <w:tab/>
        <w:t>(4)</w:t>
      </w:r>
      <w:r>
        <w:rPr>
          <w:snapToGrid w:val="0"/>
        </w:rPr>
        <w:tab/>
        <w:t>The rate of remuneration of the Commissioner is not to be reduced during a term of office without the Commissioner’s consent.</w:t>
      </w:r>
    </w:p>
    <w:p>
      <w:pPr>
        <w:pStyle w:val="Subsection"/>
        <w:rPr>
          <w:snapToGrid w:val="0"/>
        </w:rPr>
      </w:pPr>
      <w:r>
        <w:rPr>
          <w:snapToGrid w:val="0"/>
        </w:rPr>
        <w:tab/>
        <w:t>(5)</w:t>
      </w:r>
      <w:r>
        <w:rPr>
          <w:snapToGrid w:val="0"/>
        </w:rPr>
        <w:tab/>
        <w:t>The Commissioner is entitled to such leave of absence as the Governor determines.</w:t>
      </w:r>
    </w:p>
    <w:p>
      <w:pPr>
        <w:pStyle w:val="Subsection"/>
        <w:rPr>
          <w:snapToGrid w:val="0"/>
        </w:rPr>
      </w:pPr>
      <w:r>
        <w:rPr>
          <w:snapToGrid w:val="0"/>
        </w:rPr>
        <w:tab/>
        <w:t>(6)</w:t>
      </w:r>
      <w:r>
        <w:rPr>
          <w:snapToGrid w:val="0"/>
        </w:rPr>
        <w:tab/>
        <w:t>Subject to this Division the Governor may determine other terms and conditions of service (if any) that apply to the Commissioner.</w:t>
      </w:r>
    </w:p>
    <w:p>
      <w:pPr>
        <w:pStyle w:val="Footnotesection"/>
      </w:pPr>
      <w:r>
        <w:tab/>
        <w:t>[Section 56 amended: No. 49 of 1996 s. 54.]</w:t>
      </w:r>
    </w:p>
    <w:p>
      <w:pPr>
        <w:pStyle w:val="Heading5"/>
        <w:rPr>
          <w:snapToGrid w:val="0"/>
        </w:rPr>
      </w:pPr>
      <w:bookmarkStart w:id="94" w:name="_Toc161845451"/>
      <w:r>
        <w:rPr>
          <w:rStyle w:val="CharSectno"/>
        </w:rPr>
        <w:lastRenderedPageBreak/>
        <w:t>57</w:t>
      </w:r>
      <w:r>
        <w:rPr>
          <w:snapToGrid w:val="0"/>
        </w:rPr>
        <w:t>.</w:t>
      </w:r>
      <w:r>
        <w:rPr>
          <w:snapToGrid w:val="0"/>
        </w:rPr>
        <w:tab/>
        <w:t>Resignation</w:t>
      </w:r>
      <w:bookmarkEnd w:id="94"/>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95" w:name="_Toc161845452"/>
      <w:r>
        <w:rPr>
          <w:rStyle w:val="CharSectno"/>
        </w:rPr>
        <w:t>58</w:t>
      </w:r>
      <w:r>
        <w:rPr>
          <w:snapToGrid w:val="0"/>
        </w:rPr>
        <w:t>.</w:t>
      </w:r>
      <w:r>
        <w:rPr>
          <w:snapToGrid w:val="0"/>
        </w:rPr>
        <w:tab/>
        <w:t>Suspension and removal</w:t>
      </w:r>
      <w:bookmarkEnd w:id="95"/>
    </w:p>
    <w:p>
      <w:pPr>
        <w:pStyle w:val="Subsection"/>
        <w:rPr>
          <w:snapToGrid w:val="0"/>
        </w:rPr>
      </w:pPr>
      <w:r>
        <w:rPr>
          <w:snapToGrid w:val="0"/>
        </w:rPr>
        <w:tab/>
        <w:t>(1)</w:t>
      </w:r>
      <w:r>
        <w:rPr>
          <w:snapToGrid w:val="0"/>
        </w:rPr>
        <w:tab/>
        <w:t>If the Governor is satisfied that the Commissioner —</w:t>
      </w:r>
    </w:p>
    <w:p>
      <w:pPr>
        <w:pStyle w:val="Indenta"/>
        <w:spacing w:before="60"/>
        <w:rPr>
          <w:snapToGrid w:val="0"/>
        </w:rPr>
      </w:pPr>
      <w:r>
        <w:rPr>
          <w:snapToGrid w:val="0"/>
        </w:rPr>
        <w:tab/>
        <w:t>(a)</w:t>
      </w:r>
      <w:r>
        <w:rPr>
          <w:snapToGrid w:val="0"/>
        </w:rPr>
        <w:tab/>
        <w:t>is physically or mentally incapable of performing the duties of the office of Commissioner; or</w:t>
      </w:r>
    </w:p>
    <w:p>
      <w:pPr>
        <w:pStyle w:val="Indenta"/>
        <w:spacing w:before="60"/>
        <w:rPr>
          <w:snapToGrid w:val="0"/>
        </w:rPr>
      </w:pPr>
      <w:r>
        <w:rPr>
          <w:snapToGrid w:val="0"/>
        </w:rPr>
        <w:tab/>
        <w:t>(b)</w:t>
      </w:r>
      <w:r>
        <w:rPr>
          <w:snapToGrid w:val="0"/>
        </w:rPr>
        <w:tab/>
        <w:t>has shown incompetence or neglect in performing those duties; or</w:t>
      </w:r>
    </w:p>
    <w:p>
      <w:pPr>
        <w:pStyle w:val="Indenta"/>
        <w:spacing w:before="60"/>
        <w:rPr>
          <w:snapToGrid w:val="0"/>
        </w:rPr>
      </w:pPr>
      <w:r>
        <w:rPr>
          <w:snapToGrid w:val="0"/>
        </w:rPr>
        <w:tab/>
        <w:t>(c)</w:t>
      </w:r>
      <w:r>
        <w:rPr>
          <w:snapToGrid w:val="0"/>
        </w:rPr>
        <w:tab/>
        <w:t>has been guilty of misbehaviour,</w:t>
      </w:r>
    </w:p>
    <w:p>
      <w:pPr>
        <w:pStyle w:val="Subsection"/>
        <w:spacing w:before="120"/>
        <w:rPr>
          <w:snapToGrid w:val="0"/>
        </w:rPr>
      </w:pPr>
      <w:r>
        <w:rPr>
          <w:snapToGrid w:val="0"/>
        </w:rPr>
        <w:tab/>
      </w:r>
      <w:r>
        <w:rPr>
          <w:snapToGrid w:val="0"/>
        </w:rPr>
        <w:tab/>
        <w:t>the Governor may suspend the Commissioner from office.</w:t>
      </w:r>
    </w:p>
    <w:p>
      <w:pPr>
        <w:pStyle w:val="Subsection"/>
        <w:rPr>
          <w:snapToGrid w:val="0"/>
        </w:rPr>
      </w:pPr>
      <w:r>
        <w:rPr>
          <w:snapToGrid w:val="0"/>
        </w:rPr>
        <w:tab/>
        <w:t>(2)</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(3)</w:t>
      </w:r>
      <w:r>
        <w:rPr>
          <w:snapToGrid w:val="0"/>
        </w:rPr>
        <w:tab/>
        <w:t>After being suspended from office under subsection (1) the Commissioner is entitled to be restored to office unless —</w:t>
      </w:r>
    </w:p>
    <w:p>
      <w:pPr>
        <w:pStyle w:val="Indenta"/>
        <w:spacing w:before="60"/>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(4)</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96" w:name="_Toc161845453"/>
      <w:r>
        <w:rPr>
          <w:rStyle w:val="CharSectno"/>
        </w:rPr>
        <w:lastRenderedPageBreak/>
        <w:t>59</w:t>
      </w:r>
      <w:r>
        <w:rPr>
          <w:snapToGrid w:val="0"/>
        </w:rPr>
        <w:t>.</w:t>
      </w:r>
      <w:r>
        <w:rPr>
          <w:snapToGrid w:val="0"/>
        </w:rPr>
        <w:tab/>
        <w:t>Acting Information Commissioner, appointing etc.</w:t>
      </w:r>
      <w:bookmarkEnd w:id="96"/>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(2)</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(3)</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(4)</w:t>
      </w:r>
      <w:r>
        <w:rPr>
          <w:snapToGrid w:val="0"/>
        </w:rPr>
        <w:tab/>
        <w:t>The Acting Commissioner is entitled to such remuneration and allowances and leave of absence as the Governor may determine.</w:t>
      </w:r>
    </w:p>
    <w:p>
      <w:pPr>
        <w:pStyle w:val="Subsection"/>
        <w:rPr>
          <w:snapToGrid w:val="0"/>
        </w:rPr>
      </w:pPr>
      <w:r>
        <w:rPr>
          <w:snapToGrid w:val="0"/>
        </w:rPr>
        <w:tab/>
        <w:t>(5)</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97" w:name="_Toc161845454"/>
      <w:r>
        <w:rPr>
          <w:rStyle w:val="CharSectno"/>
        </w:rPr>
        <w:t>60</w:t>
      </w:r>
      <w:r>
        <w:rPr>
          <w:snapToGrid w:val="0"/>
        </w:rPr>
        <w:t>.</w:t>
      </w:r>
      <w:r>
        <w:rPr>
          <w:snapToGrid w:val="0"/>
        </w:rPr>
        <w:tab/>
        <w:t>Oath or affirmation of office</w:t>
      </w:r>
      <w:bookmarkEnd w:id="97"/>
    </w:p>
    <w:p>
      <w:pPr>
        <w:pStyle w:val="Subsection"/>
        <w:rPr>
          <w:snapToGrid w:val="0"/>
        </w:rPr>
      </w:pPr>
      <w:r>
        <w:rPr>
          <w:snapToGrid w:val="0"/>
        </w:rPr>
        <w:tab/>
        <w:t>(1)</w:t>
      </w:r>
      <w:r>
        <w:rPr>
          <w:snapToGrid w:val="0"/>
        </w:rPr>
        <w:tab/>
        <w:t xml:space="preserve">Before commencing to perform the functions of the office of Commissioner or Acting Commissioner a person has to take an oath or make an affirmation that he or she will faithfully and </w:t>
      </w:r>
      <w:r>
        <w:rPr>
          <w:snapToGrid w:val="0"/>
        </w:rPr>
        <w:lastRenderedPageBreak/>
        <w:t>impartially perform the functions of the office, and that he or she will not, except in accordance with this Act, divulge any information received under this Act.</w:t>
      </w:r>
    </w:p>
    <w:p>
      <w:pPr>
        <w:pStyle w:val="Subsection"/>
        <w:rPr>
          <w:snapToGrid w:val="0"/>
        </w:rPr>
      </w:pPr>
      <w:r>
        <w:rPr>
          <w:snapToGrid w:val="0"/>
        </w:rPr>
        <w:tab/>
        <w:t>(2)</w:t>
      </w:r>
      <w:r>
        <w:rPr>
          <w:snapToGrid w:val="0"/>
        </w:rPr>
        <w:tab/>
        <w:t>The oath or affirmation is to be administered by the Speaker of the Legislative Assembly.</w:t>
      </w:r>
    </w:p>
    <w:p>
      <w:pPr>
        <w:pStyle w:val="Subsection"/>
        <w:rPr>
          <w:snapToGrid w:val="0"/>
        </w:rPr>
      </w:pPr>
      <w:r>
        <w:rPr>
          <w:snapToGrid w:val="0"/>
        </w:rPr>
        <w:tab/>
        <w:t>(3)</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(4)</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98" w:name="_Toc161845455"/>
      <w:r>
        <w:rPr>
          <w:rStyle w:val="CharSectno"/>
        </w:rPr>
        <w:t>61</w:t>
      </w:r>
      <w:r>
        <w:rPr>
          <w:snapToGrid w:val="0"/>
        </w:rPr>
        <w:t>.</w:t>
      </w:r>
      <w:r>
        <w:rPr>
          <w:snapToGrid w:val="0"/>
        </w:rPr>
        <w:tab/>
        <w:t>Staff, appointment of etc.</w:t>
      </w:r>
      <w:bookmarkEnd w:id="98"/>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(2)</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(4)</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(5)</w:t>
      </w:r>
      <w:r>
        <w:rPr>
          <w:snapToGrid w:val="0"/>
        </w:rPr>
        <w:tab/>
        <w:t xml:space="preserve">Before commencing to carry out his or her duties under this Act a person who is appointed under subsection (1), or whose services are used under subsection (4), has to take an oath or </w:t>
      </w:r>
      <w:r>
        <w:rPr>
          <w:snapToGrid w:val="0"/>
        </w:rPr>
        <w:lastRenderedPageBreak/>
        <w:t>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(6)</w:t>
      </w:r>
      <w:r>
        <w:rPr>
          <w:snapToGrid w:val="0"/>
        </w:rPr>
        <w:tab/>
        <w:t>The oath or affirmation has to be administered by the Commissioner.</w:t>
      </w:r>
    </w:p>
    <w:p>
      <w:pPr>
        <w:pStyle w:val="Footnotesection"/>
      </w:pPr>
      <w:r>
        <w:tab/>
        <w:t>[Section 61 amended: No. 32 of 1994 s. 19.]</w:t>
      </w:r>
    </w:p>
    <w:p>
      <w:pPr>
        <w:pStyle w:val="Heading5"/>
        <w:rPr>
          <w:snapToGrid w:val="0"/>
        </w:rPr>
      </w:pPr>
      <w:bookmarkStart w:id="99" w:name="_Toc161845456"/>
      <w:r>
        <w:rPr>
          <w:rStyle w:val="CharSectno"/>
        </w:rPr>
        <w:t>62</w:t>
      </w:r>
      <w:r>
        <w:rPr>
          <w:snapToGrid w:val="0"/>
        </w:rPr>
        <w:t>.</w:t>
      </w:r>
      <w:r>
        <w:rPr>
          <w:snapToGrid w:val="0"/>
        </w:rPr>
        <w:tab/>
        <w:t>Commissioner and staff, additional provisions about</w:t>
      </w:r>
      <w:bookmarkEnd w:id="99"/>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(4)</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(5)</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spacing w:before="60"/>
        <w:rPr>
          <w:snapToGrid w:val="0"/>
        </w:rPr>
      </w:pPr>
      <w:r>
        <w:rPr>
          <w:snapToGrid w:val="0"/>
        </w:rPr>
        <w:tab/>
        <w:t>(a)</w:t>
      </w:r>
      <w:r>
        <w:rPr>
          <w:snapToGrid w:val="0"/>
        </w:rPr>
        <w:tab/>
        <w:t>the person ceases to hold office as Commissioner on the completion of a periodical appointment; and</w:t>
      </w:r>
    </w:p>
    <w:p>
      <w:pPr>
        <w:pStyle w:val="Indenta"/>
        <w:spacing w:before="60"/>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lastRenderedPageBreak/>
        <w:tab/>
        <w:t>(6)</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No. 57 of 1997 s. 62(2).]</w:t>
      </w:r>
    </w:p>
    <w:p>
      <w:pPr>
        <w:pStyle w:val="Heading3"/>
      </w:pPr>
      <w:bookmarkStart w:id="100" w:name="_Toc161842737"/>
      <w:bookmarkStart w:id="101" w:name="_Toc161843009"/>
      <w:bookmarkStart w:id="102" w:name="_Toc161845457"/>
      <w:r>
        <w:rPr>
          <w:rStyle w:val="CharDivNo"/>
        </w:rPr>
        <w:t>Division 2</w:t>
      </w:r>
      <w:r>
        <w:rPr>
          <w:snapToGrid w:val="0"/>
        </w:rPr>
        <w:t> — </w:t>
      </w:r>
      <w:r>
        <w:rPr>
          <w:rStyle w:val="CharDivText"/>
        </w:rPr>
        <w:t>Functions of Information Commissioner</w:t>
      </w:r>
      <w:bookmarkEnd w:id="100"/>
      <w:bookmarkEnd w:id="101"/>
      <w:bookmarkEnd w:id="102"/>
    </w:p>
    <w:p>
      <w:pPr>
        <w:pStyle w:val="Heading5"/>
        <w:rPr>
          <w:snapToGrid w:val="0"/>
        </w:rPr>
      </w:pPr>
      <w:bookmarkStart w:id="103" w:name="_Toc161845458"/>
      <w:r>
        <w:rPr>
          <w:rStyle w:val="CharSectno"/>
        </w:rPr>
        <w:t>63</w:t>
      </w:r>
      <w:r>
        <w:rPr>
          <w:snapToGrid w:val="0"/>
        </w:rPr>
        <w:t>.</w:t>
      </w:r>
      <w:r>
        <w:rPr>
          <w:snapToGrid w:val="0"/>
        </w:rPr>
        <w:tab/>
        <w:t>Functions</w:t>
      </w:r>
      <w:bookmarkEnd w:id="103"/>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(2)</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keepNext/>
        <w:rPr>
          <w:snapToGrid w:val="0"/>
        </w:rPr>
      </w:pPr>
      <w:r>
        <w:rPr>
          <w:snapToGrid w:val="0"/>
          <w:spacing w:val="-4"/>
        </w:rPr>
        <w:tab/>
        <w:t>(3)</w:t>
      </w:r>
      <w:r>
        <w:rPr>
          <w:snapToGrid w:val="0"/>
          <w:spacing w:val="-4"/>
        </w:rPr>
        <w:tab/>
      </w:r>
      <w:r>
        <w:rPr>
          <w:snapToGrid w:val="0"/>
        </w:rPr>
        <w:t xml:space="preserve">If in dealing with a complaint the Commissioner forms the opinion that there is evidence that an officer of an agency has been guilty of a breach of duty, or of misconduct, in the administration of </w:t>
      </w:r>
      <w:r>
        <w:t>this</w:t>
      </w:r>
      <w:r>
        <w:rPr>
          <w:snapToGrid w:val="0"/>
        </w:rPr>
        <w:t xml:space="preserve"> Act, the Commissioner may take such </w:t>
      </w:r>
      <w:r>
        <w:rPr>
          <w:snapToGrid w:val="0"/>
        </w:rPr>
        <w:lastRenderedPageBreak/>
        <w:t>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No. 43 of 1999 s. 20; No. 47 of 1999 s. 12; No. 4 of 2015 s. 86(2).]</w:t>
      </w:r>
    </w:p>
    <w:p>
      <w:pPr>
        <w:pStyle w:val="Heading5"/>
        <w:rPr>
          <w:snapToGrid w:val="0"/>
        </w:rPr>
      </w:pPr>
      <w:bookmarkStart w:id="104" w:name="_Toc161845459"/>
      <w:r>
        <w:rPr>
          <w:rStyle w:val="CharSectno"/>
        </w:rPr>
        <w:t>64</w:t>
      </w:r>
      <w:r>
        <w:rPr>
          <w:snapToGrid w:val="0"/>
        </w:rPr>
        <w:t>.</w:t>
      </w:r>
      <w:r>
        <w:rPr>
          <w:snapToGrid w:val="0"/>
        </w:rPr>
        <w:tab/>
        <w:t>Powers</w:t>
      </w:r>
      <w:bookmarkEnd w:id="104"/>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105" w:name="_Toc161842740"/>
      <w:bookmarkStart w:id="106" w:name="_Toc161843012"/>
      <w:bookmarkStart w:id="107" w:name="_Toc161845460"/>
      <w:r>
        <w:rPr>
          <w:rStyle w:val="CharDivNo"/>
        </w:rPr>
        <w:t>Division 3</w:t>
      </w:r>
      <w:r>
        <w:rPr>
          <w:snapToGrid w:val="0"/>
        </w:rPr>
        <w:t> — </w:t>
      </w:r>
      <w:r>
        <w:rPr>
          <w:rStyle w:val="CharDivText"/>
        </w:rPr>
        <w:t>Complaints and procedure for dealing with them</w:t>
      </w:r>
      <w:bookmarkEnd w:id="105"/>
      <w:bookmarkEnd w:id="106"/>
      <w:bookmarkEnd w:id="107"/>
    </w:p>
    <w:p>
      <w:pPr>
        <w:pStyle w:val="Heading5"/>
        <w:rPr>
          <w:snapToGrid w:val="0"/>
        </w:rPr>
      </w:pPr>
      <w:bookmarkStart w:id="108" w:name="_Toc161845461"/>
      <w:r>
        <w:rPr>
          <w:rStyle w:val="CharSectno"/>
        </w:rPr>
        <w:t>65</w:t>
      </w:r>
      <w:r>
        <w:rPr>
          <w:snapToGrid w:val="0"/>
        </w:rPr>
        <w:t>.</w:t>
      </w:r>
      <w:r>
        <w:rPr>
          <w:snapToGrid w:val="0"/>
        </w:rPr>
        <w:tab/>
        <w:t>Complaint against agency’s decision, making</w:t>
      </w:r>
      <w:bookmarkEnd w:id="108"/>
    </w:p>
    <w:p>
      <w:pPr>
        <w:pStyle w:val="Subsection"/>
        <w:rPr>
          <w:snapToGrid w:val="0"/>
        </w:rPr>
      </w:pPr>
      <w:r>
        <w:rPr>
          <w:snapToGrid w:val="0"/>
        </w:rPr>
        <w:tab/>
        <w:t>(1)</w:t>
      </w:r>
      <w:r>
        <w:rPr>
          <w:snapToGrid w:val="0"/>
        </w:rPr>
        <w:tab/>
        <w:t>A complaint may be made against an agency’s decision —</w:t>
      </w:r>
    </w:p>
    <w:p>
      <w:pPr>
        <w:pStyle w:val="Indenta"/>
        <w:spacing w:before="70"/>
        <w:rPr>
          <w:snapToGrid w:val="0"/>
        </w:rPr>
      </w:pPr>
      <w:r>
        <w:rPr>
          <w:snapToGrid w:val="0"/>
        </w:rPr>
        <w:tab/>
        <w:t>(a)</w:t>
      </w:r>
      <w:r>
        <w:rPr>
          <w:snapToGrid w:val="0"/>
        </w:rPr>
        <w:tab/>
        <w:t>to give access to a document; or</w:t>
      </w:r>
    </w:p>
    <w:p>
      <w:pPr>
        <w:pStyle w:val="Indenta"/>
        <w:spacing w:before="70"/>
        <w:rPr>
          <w:snapToGrid w:val="0"/>
        </w:rPr>
      </w:pPr>
      <w:r>
        <w:rPr>
          <w:snapToGrid w:val="0"/>
        </w:rPr>
        <w:tab/>
        <w:t>(b)</w:t>
      </w:r>
      <w:r>
        <w:rPr>
          <w:snapToGrid w:val="0"/>
        </w:rPr>
        <w:tab/>
        <w:t>to give access to an edited copy of a document; or</w:t>
      </w:r>
    </w:p>
    <w:p>
      <w:pPr>
        <w:pStyle w:val="Indenta"/>
        <w:spacing w:before="70"/>
        <w:rPr>
          <w:snapToGrid w:val="0"/>
        </w:rPr>
      </w:pPr>
      <w:r>
        <w:rPr>
          <w:snapToGrid w:val="0"/>
        </w:rPr>
        <w:tab/>
        <w:t>(c)</w:t>
      </w:r>
      <w:r>
        <w:rPr>
          <w:snapToGrid w:val="0"/>
        </w:rPr>
        <w:tab/>
        <w:t>to refuse to deal with an access application; or</w:t>
      </w:r>
    </w:p>
    <w:p>
      <w:pPr>
        <w:pStyle w:val="Indenta"/>
        <w:spacing w:before="70"/>
        <w:rPr>
          <w:snapToGrid w:val="0"/>
        </w:rPr>
      </w:pPr>
      <w:r>
        <w:rPr>
          <w:snapToGrid w:val="0"/>
        </w:rPr>
        <w:tab/>
        <w:t>(d)</w:t>
      </w:r>
      <w:r>
        <w:rPr>
          <w:snapToGrid w:val="0"/>
        </w:rPr>
        <w:tab/>
        <w:t>to refuse access to a document; or</w:t>
      </w:r>
    </w:p>
    <w:p>
      <w:pPr>
        <w:pStyle w:val="Indenta"/>
        <w:spacing w:before="70"/>
        <w:rPr>
          <w:snapToGrid w:val="0"/>
        </w:rPr>
      </w:pPr>
      <w:r>
        <w:rPr>
          <w:snapToGrid w:val="0"/>
        </w:rPr>
        <w:tab/>
        <w:t>(e)</w:t>
      </w:r>
      <w:r>
        <w:rPr>
          <w:snapToGrid w:val="0"/>
        </w:rPr>
        <w:tab/>
        <w:t>to defer the giving of access to a document; or</w:t>
      </w:r>
    </w:p>
    <w:p>
      <w:pPr>
        <w:pStyle w:val="Indenta"/>
        <w:spacing w:before="70"/>
        <w:rPr>
          <w:snapToGrid w:val="0"/>
        </w:rPr>
      </w:pPr>
      <w:r>
        <w:rPr>
          <w:snapToGrid w:val="0"/>
        </w:rPr>
        <w:tab/>
        <w:t>(f)</w:t>
      </w:r>
      <w:r>
        <w:rPr>
          <w:snapToGrid w:val="0"/>
        </w:rPr>
        <w:tab/>
        <w:t>to give access to a document in the manner referred to in section 28 or withhold access under that section; or</w:t>
      </w:r>
    </w:p>
    <w:p>
      <w:pPr>
        <w:pStyle w:val="Indenta"/>
        <w:spacing w:before="70"/>
        <w:rPr>
          <w:snapToGrid w:val="0"/>
        </w:rPr>
      </w:pPr>
      <w:r>
        <w:rPr>
          <w:snapToGrid w:val="0"/>
        </w:rPr>
        <w:tab/>
        <w:t>(g)</w:t>
      </w:r>
      <w:r>
        <w:rPr>
          <w:snapToGrid w:val="0"/>
        </w:rPr>
        <w:tab/>
        <w:t>to impose a charge or require the payment of a deposit.</w:t>
      </w:r>
    </w:p>
    <w:p>
      <w:pPr>
        <w:pStyle w:val="Subsection"/>
        <w:keepNext/>
        <w:rPr>
          <w:snapToGrid w:val="0"/>
        </w:rPr>
      </w:pPr>
      <w:r>
        <w:rPr>
          <w:snapToGrid w:val="0"/>
        </w:rPr>
        <w:lastRenderedPageBreak/>
        <w:tab/>
        <w:t>(2)</w:t>
      </w:r>
      <w:r>
        <w:rPr>
          <w:snapToGrid w:val="0"/>
        </w:rPr>
        <w:tab/>
        <w:t>A complaint under subsection (1) may be made by —</w:t>
      </w:r>
    </w:p>
    <w:p>
      <w:pPr>
        <w:pStyle w:val="Indenta"/>
        <w:spacing w:before="70"/>
        <w:rPr>
          <w:snapToGrid w:val="0"/>
        </w:rPr>
      </w:pPr>
      <w:r>
        <w:rPr>
          <w:snapToGrid w:val="0"/>
        </w:rPr>
        <w:tab/>
        <w:t>(a)</w:t>
      </w:r>
      <w:r>
        <w:rPr>
          <w:snapToGrid w:val="0"/>
        </w:rPr>
        <w:tab/>
        <w:t>the access applicant; or</w:t>
      </w:r>
    </w:p>
    <w:p>
      <w:pPr>
        <w:pStyle w:val="Indenta"/>
        <w:spacing w:before="70"/>
        <w:rPr>
          <w:snapToGrid w:val="0"/>
        </w:rPr>
      </w:pPr>
      <w:r>
        <w:rPr>
          <w:snapToGrid w:val="0"/>
        </w:rPr>
        <w:tab/>
        <w:t>(b)</w:t>
      </w:r>
      <w:r>
        <w:rPr>
          <w:snapToGrid w:val="0"/>
        </w:rPr>
        <w:tab/>
        <w:t>a third party.</w:t>
      </w:r>
    </w:p>
    <w:p>
      <w:pPr>
        <w:pStyle w:val="Subsection"/>
        <w:keepNext/>
        <w:rPr>
          <w:snapToGrid w:val="0"/>
        </w:rPr>
      </w:pPr>
      <w:r>
        <w:rPr>
          <w:snapToGrid w:val="0"/>
        </w:rPr>
        <w:tab/>
        <w:t>(3)</w:t>
      </w:r>
      <w:r>
        <w:rPr>
          <w:snapToGrid w:val="0"/>
        </w:rPr>
        <w:tab/>
        <w:t>A complaint may be made against an agency’s decision —</w:t>
      </w:r>
    </w:p>
    <w:p>
      <w:pPr>
        <w:pStyle w:val="Indenta"/>
        <w:spacing w:before="60"/>
        <w:rPr>
          <w:snapToGrid w:val="0"/>
        </w:rPr>
      </w:pPr>
      <w:r>
        <w:rPr>
          <w:snapToGrid w:val="0"/>
        </w:rPr>
        <w:tab/>
        <w:t>(a)</w:t>
      </w:r>
      <w:r>
        <w:rPr>
          <w:snapToGrid w:val="0"/>
        </w:rPr>
        <w:tab/>
        <w:t>not to amend information in accordance with an application for amendment under Part 3; or</w:t>
      </w:r>
    </w:p>
    <w:p>
      <w:pPr>
        <w:pStyle w:val="Indenta"/>
        <w:spacing w:before="60"/>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(4)</w:t>
      </w:r>
      <w:r>
        <w:rPr>
          <w:snapToGrid w:val="0"/>
        </w:rPr>
        <w:tab/>
        <w:t>A complaint under subsection (3) may be made by the applicant for amendment.</w:t>
      </w:r>
    </w:p>
    <w:p>
      <w:pPr>
        <w:pStyle w:val="Heading5"/>
        <w:rPr>
          <w:snapToGrid w:val="0"/>
        </w:rPr>
      </w:pPr>
      <w:bookmarkStart w:id="109" w:name="_Toc161845462"/>
      <w:r>
        <w:rPr>
          <w:rStyle w:val="CharSectno"/>
        </w:rPr>
        <w:t>66</w:t>
      </w:r>
      <w:r>
        <w:rPr>
          <w:snapToGrid w:val="0"/>
        </w:rPr>
        <w:t>.</w:t>
      </w:r>
      <w:r>
        <w:rPr>
          <w:snapToGrid w:val="0"/>
        </w:rPr>
        <w:tab/>
        <w:t>Complaint, form etc. of</w:t>
      </w:r>
      <w:bookmarkEnd w:id="109"/>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to which the complaint relates; and</w:t>
      </w:r>
    </w:p>
    <w:p>
      <w:pPr>
        <w:pStyle w:val="Indenta"/>
        <w:rPr>
          <w:snapToGrid w:val="0"/>
        </w:rPr>
      </w:pPr>
      <w:r>
        <w:rPr>
          <w:snapToGrid w:val="0"/>
        </w:rPr>
        <w:tab/>
        <w:t>(c)</w:t>
      </w:r>
      <w:r>
        <w:rPr>
          <w:snapToGrid w:val="0"/>
        </w:rPr>
        <w:tab/>
        <w:t>give an address in Australia to which notices under the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(2)</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(3)</w:t>
      </w:r>
      <w:r>
        <w:rPr>
          <w:snapToGrid w:val="0"/>
        </w:rPr>
        <w:tab/>
        <w:t>A third party may lodge a complaint within 30 days after being given written notice of the decision.</w:t>
      </w:r>
    </w:p>
    <w:p>
      <w:pPr>
        <w:pStyle w:val="Subsection"/>
        <w:rPr>
          <w:snapToGrid w:val="0"/>
        </w:rPr>
      </w:pPr>
      <w:r>
        <w:rPr>
          <w:snapToGrid w:val="0"/>
        </w:rPr>
        <w:tab/>
        <w:t>(4)</w:t>
      </w:r>
      <w:r>
        <w:rPr>
          <w:snapToGrid w:val="0"/>
        </w:rPr>
        <w:tab/>
        <w:t>The Commissioner may allow a complaint to be lodged after the period mentioned in subsection (2) or (3) has expired.</w:t>
      </w:r>
    </w:p>
    <w:p>
      <w:pPr>
        <w:pStyle w:val="Subsection"/>
        <w:rPr>
          <w:snapToGrid w:val="0"/>
        </w:rPr>
      </w:pPr>
      <w:r>
        <w:rPr>
          <w:snapToGrid w:val="0"/>
        </w:rPr>
        <w:lastRenderedPageBreak/>
        <w:tab/>
        <w:t>(5)</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(6)</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110" w:name="_Toc161845463"/>
      <w:r>
        <w:rPr>
          <w:rStyle w:val="CharSectno"/>
        </w:rPr>
        <w:t>67</w:t>
      </w:r>
      <w:r>
        <w:rPr>
          <w:snapToGrid w:val="0"/>
        </w:rPr>
        <w:t>.</w:t>
      </w:r>
      <w:r>
        <w:rPr>
          <w:snapToGrid w:val="0"/>
        </w:rPr>
        <w:tab/>
        <w:t>Commissioner may decide not to deal with a complaint</w:t>
      </w:r>
      <w:bookmarkEnd w:id="110"/>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(2)</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111" w:name="_Toc161845464"/>
      <w:r>
        <w:rPr>
          <w:rStyle w:val="CharSectno"/>
        </w:rPr>
        <w:t>68</w:t>
      </w:r>
      <w:r>
        <w:rPr>
          <w:snapToGrid w:val="0"/>
        </w:rPr>
        <w:t>.</w:t>
      </w:r>
      <w:r>
        <w:rPr>
          <w:snapToGrid w:val="0"/>
        </w:rPr>
        <w:tab/>
        <w:t>Complaint, agency etc. to be notified of</w:t>
      </w:r>
      <w:bookmarkEnd w:id="111"/>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(2)</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 xml:space="preserve">in the case of a complaint made by the access applicant where the agency has decided to refuse access to a document, or give access to an edited copy of a document, on the grounds that matter in the document is </w:t>
      </w:r>
      <w:r>
        <w:rPr>
          <w:snapToGrid w:val="0"/>
        </w:rPr>
        <w:lastRenderedPageBreak/>
        <w:t>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112" w:name="_Toc161845465"/>
      <w:r>
        <w:rPr>
          <w:rStyle w:val="CharSectno"/>
        </w:rPr>
        <w:t>69</w:t>
      </w:r>
      <w:r>
        <w:rPr>
          <w:snapToGrid w:val="0"/>
        </w:rPr>
        <w:t>.</w:t>
      </w:r>
      <w:r>
        <w:rPr>
          <w:snapToGrid w:val="0"/>
        </w:rPr>
        <w:tab/>
        <w:t>Complaint, who are parties to etc.</w:t>
      </w:r>
      <w:bookmarkEnd w:id="112"/>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(2)</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(3)</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(4)</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113" w:name="_Toc161845466"/>
      <w:r>
        <w:rPr>
          <w:rStyle w:val="CharSectno"/>
        </w:rPr>
        <w:t>70</w:t>
      </w:r>
      <w:r>
        <w:rPr>
          <w:snapToGrid w:val="0"/>
        </w:rPr>
        <w:t>.</w:t>
      </w:r>
      <w:r>
        <w:rPr>
          <w:snapToGrid w:val="0"/>
        </w:rPr>
        <w:tab/>
        <w:t>Complaint, procedure for dealing with</w:t>
      </w:r>
      <w:bookmarkEnd w:id="113"/>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(2)</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(3)</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lastRenderedPageBreak/>
        <w:tab/>
        <w:t>(4)</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(5)</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(6)</w:t>
      </w:r>
      <w:r>
        <w:rPr>
          <w:snapToGrid w:val="0"/>
        </w:rPr>
        <w:tab/>
        <w:t>If a party is required or permitted to appear before the Commissioner the party may be represented by a legal practitioner or by any other person.</w:t>
      </w:r>
    </w:p>
    <w:p>
      <w:pPr>
        <w:pStyle w:val="Heading5"/>
        <w:rPr>
          <w:snapToGrid w:val="0"/>
        </w:rPr>
      </w:pPr>
      <w:bookmarkStart w:id="114" w:name="_Toc161845467"/>
      <w:r>
        <w:rPr>
          <w:rStyle w:val="CharSectno"/>
        </w:rPr>
        <w:t>71</w:t>
      </w:r>
      <w:r>
        <w:rPr>
          <w:snapToGrid w:val="0"/>
        </w:rPr>
        <w:t>.</w:t>
      </w:r>
      <w:r>
        <w:rPr>
          <w:snapToGrid w:val="0"/>
        </w:rPr>
        <w:tab/>
        <w:t>Complaint, conciliation etc. of</w:t>
      </w:r>
      <w:bookmarkEnd w:id="114"/>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(2)</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(3)</w:t>
      </w:r>
      <w:r>
        <w:rPr>
          <w:snapToGrid w:val="0"/>
        </w:rPr>
        <w:tab/>
        <w:t>Without limiting subsection (2), the Commissioner may nominate a person to act as a conciliator in relation to a complaint.</w:t>
      </w:r>
    </w:p>
    <w:p>
      <w:pPr>
        <w:pStyle w:val="Subsection"/>
        <w:rPr>
          <w:snapToGrid w:val="0"/>
        </w:rPr>
      </w:pPr>
      <w:r>
        <w:rPr>
          <w:snapToGrid w:val="0"/>
        </w:rPr>
        <w:tab/>
        <w:t>(4)</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115" w:name="_Toc161845468"/>
      <w:r>
        <w:rPr>
          <w:rStyle w:val="CharSectno"/>
        </w:rPr>
        <w:lastRenderedPageBreak/>
        <w:t>72</w:t>
      </w:r>
      <w:r>
        <w:rPr>
          <w:snapToGrid w:val="0"/>
        </w:rPr>
        <w:t>.</w:t>
      </w:r>
      <w:r>
        <w:rPr>
          <w:snapToGrid w:val="0"/>
        </w:rPr>
        <w:tab/>
        <w:t>Information etc. relevant to complaint, Commissioner’s powers to obtain etc.</w:t>
      </w:r>
      <w:bookmarkEnd w:id="115"/>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(2)</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(3)</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spacing w:before="200"/>
        <w:rPr>
          <w:snapToGrid w:val="0"/>
        </w:rPr>
      </w:pPr>
      <w:bookmarkStart w:id="116" w:name="_Toc161845469"/>
      <w:r>
        <w:rPr>
          <w:rStyle w:val="CharSectno"/>
        </w:rPr>
        <w:t>73</w:t>
      </w:r>
      <w:r>
        <w:rPr>
          <w:snapToGrid w:val="0"/>
        </w:rPr>
        <w:t>.</w:t>
      </w:r>
      <w:r>
        <w:rPr>
          <w:snapToGrid w:val="0"/>
        </w:rPr>
        <w:tab/>
        <w:t>Examination on oath, powers as to</w:t>
      </w:r>
      <w:bookmarkEnd w:id="116"/>
    </w:p>
    <w:p>
      <w:pPr>
        <w:pStyle w:val="Subsection"/>
        <w:spacing w:before="140"/>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spacing w:before="140"/>
        <w:rPr>
          <w:snapToGrid w:val="0"/>
        </w:rPr>
      </w:pPr>
      <w:r>
        <w:rPr>
          <w:snapToGrid w:val="0"/>
        </w:rPr>
        <w:tab/>
        <w:t>(2)</w:t>
      </w:r>
      <w:r>
        <w:rPr>
          <w:snapToGrid w:val="0"/>
        </w:rPr>
        <w:tab/>
        <w:t>The oath or affirmation to be taken or made by a person for the purposes of this section is an oath or affirmation that the answers the person will give will be true.</w:t>
      </w:r>
    </w:p>
    <w:p>
      <w:pPr>
        <w:pStyle w:val="Heading5"/>
        <w:spacing w:before="200"/>
        <w:rPr>
          <w:snapToGrid w:val="0"/>
        </w:rPr>
      </w:pPr>
      <w:bookmarkStart w:id="117" w:name="_Toc161845470"/>
      <w:r>
        <w:rPr>
          <w:rStyle w:val="CharSectno"/>
        </w:rPr>
        <w:lastRenderedPageBreak/>
        <w:t>74</w:t>
      </w:r>
      <w:r>
        <w:rPr>
          <w:snapToGrid w:val="0"/>
        </w:rPr>
        <w:t>.</w:t>
      </w:r>
      <w:r>
        <w:rPr>
          <w:snapToGrid w:val="0"/>
        </w:rPr>
        <w:tab/>
        <w:t>Exempt matter etc., Commissioner to ensure non</w:t>
      </w:r>
      <w:r>
        <w:rPr>
          <w:snapToGrid w:val="0"/>
        </w:rPr>
        <w:noBreakHyphen/>
        <w:t>disclosure of</w:t>
      </w:r>
      <w:bookmarkEnd w:id="117"/>
    </w:p>
    <w:p>
      <w:pPr>
        <w:pStyle w:val="Subsection"/>
        <w:spacing w:before="140"/>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spacing w:before="130"/>
        <w:rPr>
          <w:snapToGrid w:val="0"/>
        </w:rPr>
      </w:pPr>
      <w:r>
        <w:rPr>
          <w:snapToGrid w:val="0"/>
        </w:rPr>
        <w:tab/>
        <w:t>(2)</w:t>
      </w:r>
      <w:r>
        <w:rPr>
          <w:snapToGrid w:val="0"/>
        </w:rPr>
        <w:tab/>
        <w:t>The Commissioner is not to include exempt matter, or information of a kind referred to in subsection (1)(b), in a decision on a complaint or in reasons given for the decision.</w:t>
      </w:r>
    </w:p>
    <w:p>
      <w:pPr>
        <w:pStyle w:val="Subsection"/>
        <w:spacing w:before="130"/>
        <w:rPr>
          <w:snapToGrid w:val="0"/>
        </w:rPr>
      </w:pPr>
      <w:r>
        <w:rPr>
          <w:snapToGrid w:val="0"/>
        </w:rPr>
        <w:tab/>
        <w:t>(3)</w:t>
      </w:r>
      <w:r>
        <w:rPr>
          <w:snapToGrid w:val="0"/>
        </w:rPr>
        <w:tab/>
        <w:t>If the question of whether or not a document is a document of the agency is in issue, subsections (1) and (2) apply to the contents of the document as if those contents were exempt matter.</w:t>
      </w:r>
    </w:p>
    <w:p>
      <w:pPr>
        <w:pStyle w:val="Heading5"/>
        <w:spacing w:before="200"/>
        <w:rPr>
          <w:snapToGrid w:val="0"/>
        </w:rPr>
      </w:pPr>
      <w:bookmarkStart w:id="118" w:name="_Toc161845471"/>
      <w:r>
        <w:rPr>
          <w:rStyle w:val="CharSectno"/>
        </w:rPr>
        <w:t>75</w:t>
      </w:r>
      <w:r>
        <w:rPr>
          <w:snapToGrid w:val="0"/>
        </w:rPr>
        <w:t>.</w:t>
      </w:r>
      <w:r>
        <w:rPr>
          <w:snapToGrid w:val="0"/>
        </w:rPr>
        <w:tab/>
        <w:t>Document held by agency, Commissioner may require production of</w:t>
      </w:r>
      <w:bookmarkEnd w:id="118"/>
    </w:p>
    <w:p>
      <w:pPr>
        <w:pStyle w:val="Subsection"/>
        <w:spacing w:before="140"/>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(2)</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119" w:name="_Toc161845472"/>
      <w:r>
        <w:rPr>
          <w:rStyle w:val="CharSectno"/>
        </w:rPr>
        <w:lastRenderedPageBreak/>
        <w:t>76</w:t>
      </w:r>
      <w:r>
        <w:rPr>
          <w:snapToGrid w:val="0"/>
        </w:rPr>
        <w:t>.</w:t>
      </w:r>
      <w:r>
        <w:rPr>
          <w:snapToGrid w:val="0"/>
        </w:rPr>
        <w:tab/>
        <w:t>Commissioner’s other powers and duties when dealing with complaint</w:t>
      </w:r>
      <w:bookmarkEnd w:id="119"/>
    </w:p>
    <w:p>
      <w:pPr>
        <w:pStyle w:val="Subsection"/>
        <w:keepNext/>
        <w:spacing w:before="150"/>
        <w:rPr>
          <w:snapToGrid w:val="0"/>
        </w:rPr>
      </w:pPr>
      <w:r>
        <w:rPr>
          <w:snapToGrid w:val="0"/>
        </w:rPr>
        <w:tab/>
        <w:t>(1)</w:t>
      </w:r>
      <w:r>
        <w:rPr>
          <w:snapToGrid w:val="0"/>
        </w:rPr>
        <w:tab/>
        <w:t>In dealing with a complaint the Commissioner has, in addition to any other power, power to —</w:t>
      </w:r>
    </w:p>
    <w:p>
      <w:pPr>
        <w:pStyle w:val="Indenta"/>
        <w:spacing w:before="60"/>
        <w:rPr>
          <w:snapToGrid w:val="0"/>
        </w:rPr>
      </w:pPr>
      <w:r>
        <w:rPr>
          <w:snapToGrid w:val="0"/>
        </w:rPr>
        <w:tab/>
        <w:t>(a)</w:t>
      </w:r>
      <w:r>
        <w:rPr>
          <w:snapToGrid w:val="0"/>
        </w:rPr>
        <w:tab/>
        <w:t>review any decision that has been made by the agency in respect of the access application or application for amendment; and</w:t>
      </w:r>
    </w:p>
    <w:p>
      <w:pPr>
        <w:pStyle w:val="Indenta"/>
        <w:spacing w:before="60"/>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spacing w:before="150"/>
        <w:rPr>
          <w:snapToGrid w:val="0"/>
        </w:rPr>
      </w:pPr>
      <w:r>
        <w:rPr>
          <w:snapToGrid w:val="0"/>
        </w:rPr>
        <w:tab/>
        <w:t>(2)</w:t>
      </w:r>
      <w:r>
        <w:rPr>
          <w:snapToGrid w:val="0"/>
        </w:rPr>
        <w:tab/>
        <w:t>The Commissioner has to make a decision in writing —</w:t>
      </w:r>
    </w:p>
    <w:p>
      <w:pPr>
        <w:pStyle w:val="Indenta"/>
        <w:spacing w:before="60"/>
        <w:rPr>
          <w:snapToGrid w:val="0"/>
        </w:rPr>
      </w:pPr>
      <w:r>
        <w:rPr>
          <w:snapToGrid w:val="0"/>
        </w:rPr>
        <w:tab/>
        <w:t>(a)</w:t>
      </w:r>
      <w:r>
        <w:rPr>
          <w:snapToGrid w:val="0"/>
        </w:rPr>
        <w:tab/>
        <w:t>confirming the agency’s decision to which the complaint relates; or</w:t>
      </w:r>
    </w:p>
    <w:p>
      <w:pPr>
        <w:pStyle w:val="Indenta"/>
        <w:spacing w:before="60"/>
        <w:rPr>
          <w:snapToGrid w:val="0"/>
        </w:rPr>
      </w:pPr>
      <w:r>
        <w:rPr>
          <w:snapToGrid w:val="0"/>
        </w:rPr>
        <w:tab/>
        <w:t>(b)</w:t>
      </w:r>
      <w:r>
        <w:rPr>
          <w:snapToGrid w:val="0"/>
        </w:rPr>
        <w:tab/>
        <w:t>varying the agency’s decision to which the complaint relates; or</w:t>
      </w:r>
    </w:p>
    <w:p>
      <w:pPr>
        <w:pStyle w:val="Indenta"/>
        <w:spacing w:before="60"/>
        <w:rPr>
          <w:snapToGrid w:val="0"/>
        </w:rPr>
      </w:pPr>
      <w:r>
        <w:rPr>
          <w:snapToGrid w:val="0"/>
        </w:rPr>
        <w:tab/>
        <w:t>(c)</w:t>
      </w:r>
      <w:r>
        <w:rPr>
          <w:snapToGrid w:val="0"/>
        </w:rPr>
        <w:tab/>
        <w:t>setting aside the agency’s decision to which the complaint relates and making a decision in substitution for that decision.</w:t>
      </w:r>
    </w:p>
    <w:p>
      <w:pPr>
        <w:pStyle w:val="Subsection"/>
        <w:spacing w:before="150"/>
        <w:rPr>
          <w:snapToGrid w:val="0"/>
        </w:rPr>
      </w:pPr>
      <w:r>
        <w:rPr>
          <w:snapToGrid w:val="0"/>
        </w:rPr>
        <w:tab/>
        <w:t>(3)</w:t>
      </w:r>
      <w:r>
        <w:rPr>
          <w:snapToGrid w:val="0"/>
        </w:rPr>
        <w:tab/>
        <w:t>The Commissioner has to make a decision on the complaint within 30 days after the complaint was made unless the Commissioner considers that it is impracticable to do so.</w:t>
      </w:r>
    </w:p>
    <w:p>
      <w:pPr>
        <w:pStyle w:val="Subsection"/>
        <w:spacing w:before="150"/>
        <w:rPr>
          <w:snapToGrid w:val="0"/>
        </w:rPr>
      </w:pPr>
      <w:r>
        <w:rPr>
          <w:snapToGrid w:val="0"/>
        </w:rPr>
        <w:tab/>
        <w:t>(4)</w:t>
      </w:r>
      <w:r>
        <w:rPr>
          <w:snapToGrid w:val="0"/>
        </w:rPr>
        <w:tab/>
        <w:t>If it is established that a document is an exempt document, the Commissioner does not have power to make a decision to the effect that access is to be given to the document.</w:t>
      </w:r>
    </w:p>
    <w:p>
      <w:pPr>
        <w:pStyle w:val="Subsection"/>
        <w:spacing w:before="150"/>
        <w:rPr>
          <w:snapToGrid w:val="0"/>
        </w:rPr>
      </w:pPr>
      <w:r>
        <w:rPr>
          <w:snapToGrid w:val="0"/>
        </w:rPr>
        <w:tab/>
        <w:t>(5)</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(6)</w:t>
      </w:r>
      <w:r>
        <w:rPr>
          <w:snapToGrid w:val="0"/>
        </w:rPr>
        <w:tab/>
        <w:t>The Commissioner has to give a copy of the decision to each party.</w:t>
      </w:r>
    </w:p>
    <w:p>
      <w:pPr>
        <w:pStyle w:val="Subsection"/>
        <w:rPr>
          <w:snapToGrid w:val="0"/>
        </w:rPr>
      </w:pPr>
      <w:r>
        <w:rPr>
          <w:snapToGrid w:val="0"/>
        </w:rPr>
        <w:tab/>
        <w:t>(7)</w:t>
      </w:r>
      <w:r>
        <w:rPr>
          <w:snapToGrid w:val="0"/>
        </w:rPr>
        <w:tab/>
        <w:t>The decision of the Commissioner is to be regarded as the decision of the agency and has effect accordingly.</w:t>
      </w:r>
    </w:p>
    <w:p>
      <w:pPr>
        <w:pStyle w:val="Subsection"/>
        <w:rPr>
          <w:snapToGrid w:val="0"/>
        </w:rPr>
      </w:pPr>
      <w:r>
        <w:rPr>
          <w:snapToGrid w:val="0"/>
        </w:rPr>
        <w:lastRenderedPageBreak/>
        <w:tab/>
        <w:t>(8)</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120" w:name="_Toc161845473"/>
      <w:r>
        <w:rPr>
          <w:rStyle w:val="CharSectno"/>
        </w:rPr>
        <w:t>77</w:t>
      </w:r>
      <w:r>
        <w:rPr>
          <w:snapToGrid w:val="0"/>
        </w:rPr>
        <w:t>.</w:t>
      </w:r>
      <w:r>
        <w:rPr>
          <w:snapToGrid w:val="0"/>
        </w:rPr>
        <w:tab/>
        <w:t>Exemption certificate, review of grounds for etc.</w:t>
      </w:r>
      <w:bookmarkEnd w:id="120"/>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(2)</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(3)</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(4)</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(5)</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lastRenderedPageBreak/>
        <w:tab/>
        <w:t>(6)</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(7)</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121" w:name="_Toc161845474"/>
      <w:r>
        <w:rPr>
          <w:rStyle w:val="CharSectno"/>
        </w:rPr>
        <w:t>78</w:t>
      </w:r>
      <w:r>
        <w:rPr>
          <w:snapToGrid w:val="0"/>
        </w:rPr>
        <w:t>.</w:t>
      </w:r>
      <w:r>
        <w:rPr>
          <w:snapToGrid w:val="0"/>
        </w:rPr>
        <w:tab/>
        <w:t>Question of law on complaint, referral of to Supreme Court</w:t>
      </w:r>
      <w:bookmarkEnd w:id="121"/>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(2)</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(3)</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lastRenderedPageBreak/>
        <w:tab/>
        <w:t>(4)</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(5)</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122" w:name="_Toc161842755"/>
      <w:bookmarkStart w:id="123" w:name="_Toc161843027"/>
      <w:bookmarkStart w:id="124" w:name="_Toc161845475"/>
      <w:r>
        <w:rPr>
          <w:rStyle w:val="CharDivNo"/>
        </w:rPr>
        <w:t>Division 4</w:t>
      </w:r>
      <w:r>
        <w:rPr>
          <w:snapToGrid w:val="0"/>
        </w:rPr>
        <w:t> — </w:t>
      </w:r>
      <w:r>
        <w:rPr>
          <w:rStyle w:val="CharDivText"/>
        </w:rPr>
        <w:t>General provisions as to the Information Commissioner and staff</w:t>
      </w:r>
      <w:bookmarkEnd w:id="122"/>
      <w:bookmarkEnd w:id="123"/>
      <w:bookmarkEnd w:id="124"/>
    </w:p>
    <w:p>
      <w:pPr>
        <w:pStyle w:val="Heading5"/>
        <w:rPr>
          <w:snapToGrid w:val="0"/>
        </w:rPr>
      </w:pPr>
      <w:bookmarkStart w:id="125" w:name="_Toc161845476"/>
      <w:r>
        <w:rPr>
          <w:rStyle w:val="CharSectno"/>
        </w:rPr>
        <w:t>79</w:t>
      </w:r>
      <w:r>
        <w:rPr>
          <w:snapToGrid w:val="0"/>
        </w:rPr>
        <w:t>.</w:t>
      </w:r>
      <w:r>
        <w:rPr>
          <w:snapToGrid w:val="0"/>
        </w:rPr>
        <w:tab/>
        <w:t>Delegation by Commissioner to staff</w:t>
      </w:r>
      <w:bookmarkEnd w:id="125"/>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126" w:name="_Toc161845477"/>
      <w:r>
        <w:rPr>
          <w:rStyle w:val="CharSectno"/>
        </w:rPr>
        <w:t>80</w:t>
      </w:r>
      <w:r>
        <w:rPr>
          <w:snapToGrid w:val="0"/>
        </w:rPr>
        <w:t>.</w:t>
      </w:r>
      <w:r>
        <w:rPr>
          <w:snapToGrid w:val="0"/>
        </w:rPr>
        <w:tab/>
        <w:t>Protection from personal liability</w:t>
      </w:r>
      <w:bookmarkEnd w:id="126"/>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127" w:name="_Toc161845478"/>
      <w:r>
        <w:rPr>
          <w:rStyle w:val="CharSectno"/>
        </w:rPr>
        <w:lastRenderedPageBreak/>
        <w:t>81</w:t>
      </w:r>
      <w:r>
        <w:rPr>
          <w:snapToGrid w:val="0"/>
        </w:rPr>
        <w:t>.</w:t>
      </w:r>
      <w:r>
        <w:rPr>
          <w:snapToGrid w:val="0"/>
        </w:rPr>
        <w:tab/>
        <w:t>Disclosure restriction under other law does not apply to disclosing to Commissioner; privileges of parties</w:t>
      </w:r>
      <w:bookmarkEnd w:id="127"/>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(3)</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128" w:name="_Toc161845479"/>
      <w:r>
        <w:rPr>
          <w:rStyle w:val="CharSectno"/>
        </w:rPr>
        <w:t>82</w:t>
      </w:r>
      <w:r>
        <w:rPr>
          <w:snapToGrid w:val="0"/>
        </w:rPr>
        <w:t>.</w:t>
      </w:r>
      <w:r>
        <w:rPr>
          <w:snapToGrid w:val="0"/>
        </w:rPr>
        <w:tab/>
        <w:t>Disclosure etc. of information obtained under Act restricted</w:t>
      </w:r>
      <w:bookmarkEnd w:id="128"/>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No. 50 of 2003 s. 64(2).]</w:t>
      </w:r>
    </w:p>
    <w:p>
      <w:pPr>
        <w:pStyle w:val="Heading5"/>
        <w:rPr>
          <w:snapToGrid w:val="0"/>
        </w:rPr>
      </w:pPr>
      <w:bookmarkStart w:id="129" w:name="_Toc161845480"/>
      <w:r>
        <w:rPr>
          <w:rStyle w:val="CharSectno"/>
        </w:rPr>
        <w:lastRenderedPageBreak/>
        <w:t>83</w:t>
      </w:r>
      <w:r>
        <w:rPr>
          <w:snapToGrid w:val="0"/>
        </w:rPr>
        <w:t>.</w:t>
      </w:r>
      <w:r>
        <w:rPr>
          <w:snapToGrid w:val="0"/>
        </w:rPr>
        <w:tab/>
        <w:t>Failure to give information etc. when required, offence</w:t>
      </w:r>
      <w:bookmarkEnd w:id="129"/>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 or</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(b)</w:t>
      </w:r>
      <w:r>
        <w:rPr>
          <w:snapToGrid w:val="0"/>
        </w:rPr>
        <w:tab/>
        <w:t>for a body corporate — $10 000.</w:t>
      </w:r>
    </w:p>
    <w:p>
      <w:pPr>
        <w:pStyle w:val="Footnotesection"/>
      </w:pPr>
      <w:r>
        <w:tab/>
        <w:t>[Section 83 amended: No. 50 of 2003 s. 64(3).]</w:t>
      </w:r>
    </w:p>
    <w:p>
      <w:pPr>
        <w:pStyle w:val="Heading5"/>
        <w:rPr>
          <w:snapToGrid w:val="0"/>
        </w:rPr>
      </w:pPr>
      <w:bookmarkStart w:id="130" w:name="_Toc161845481"/>
      <w:r>
        <w:rPr>
          <w:rStyle w:val="CharSectno"/>
        </w:rPr>
        <w:t>84</w:t>
      </w:r>
      <w:r>
        <w:rPr>
          <w:snapToGrid w:val="0"/>
        </w:rPr>
        <w:t>.</w:t>
      </w:r>
      <w:r>
        <w:rPr>
          <w:snapToGrid w:val="0"/>
        </w:rPr>
        <w:tab/>
        <w:t>Costs of parties to complaints</w:t>
      </w:r>
      <w:bookmarkEnd w:id="130"/>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Pr>
      <w:bookmarkStart w:id="131" w:name="_Toc161842762"/>
      <w:bookmarkStart w:id="132" w:name="_Toc161843034"/>
      <w:bookmarkStart w:id="133" w:name="_Toc161845482"/>
      <w:r>
        <w:rPr>
          <w:rStyle w:val="CharDivNo"/>
        </w:rPr>
        <w:t>Division 5</w:t>
      </w:r>
      <w:r>
        <w:rPr>
          <w:snapToGrid w:val="0"/>
        </w:rPr>
        <w:t> — </w:t>
      </w:r>
      <w:r>
        <w:rPr>
          <w:rStyle w:val="CharDivText"/>
        </w:rPr>
        <w:t>Appeals to the Supreme Court</w:t>
      </w:r>
      <w:bookmarkEnd w:id="131"/>
      <w:bookmarkEnd w:id="132"/>
      <w:bookmarkEnd w:id="133"/>
    </w:p>
    <w:p>
      <w:pPr>
        <w:pStyle w:val="Heading5"/>
        <w:rPr>
          <w:snapToGrid w:val="0"/>
        </w:rPr>
      </w:pPr>
      <w:bookmarkStart w:id="134" w:name="_Toc161845483"/>
      <w:r>
        <w:rPr>
          <w:rStyle w:val="CharSectno"/>
        </w:rPr>
        <w:t>85</w:t>
      </w:r>
      <w:r>
        <w:rPr>
          <w:snapToGrid w:val="0"/>
        </w:rPr>
        <w:t>.</w:t>
      </w:r>
      <w:r>
        <w:rPr>
          <w:snapToGrid w:val="0"/>
        </w:rPr>
        <w:tab/>
        <w:t>What may be appealed etc.</w:t>
      </w:r>
      <w:bookmarkEnd w:id="134"/>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(2)</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lastRenderedPageBreak/>
        <w:tab/>
        <w:t>(3)</w:t>
      </w:r>
      <w:r>
        <w:rPr>
          <w:snapToGrid w:val="0"/>
        </w:rPr>
        <w:tab/>
        <w:t>There is no appeal under subsection (1) in relation to a decision of the Commissioner as to —</w:t>
      </w:r>
    </w:p>
    <w:p>
      <w:pPr>
        <w:pStyle w:val="Indenta"/>
        <w:spacing w:before="60"/>
        <w:rPr>
          <w:snapToGrid w:val="0"/>
        </w:rPr>
      </w:pPr>
      <w:r>
        <w:rPr>
          <w:snapToGrid w:val="0"/>
        </w:rPr>
        <w:tab/>
        <w:t>(a)</w:t>
      </w:r>
      <w:r>
        <w:rPr>
          <w:snapToGrid w:val="0"/>
        </w:rPr>
        <w:tab/>
        <w:t>the deferral of the giving of access to a document;</w:t>
      </w:r>
    </w:p>
    <w:p>
      <w:pPr>
        <w:pStyle w:val="Indenta"/>
        <w:spacing w:before="60"/>
        <w:rPr>
          <w:snapToGrid w:val="0"/>
        </w:rPr>
      </w:pPr>
      <w:r>
        <w:rPr>
          <w:snapToGrid w:val="0"/>
        </w:rPr>
        <w:tab/>
        <w:t>(b)</w:t>
      </w:r>
      <w:r>
        <w:rPr>
          <w:snapToGrid w:val="0"/>
        </w:rPr>
        <w:tab/>
        <w:t>the charges to be imposed for dealing with the access application;</w:t>
      </w:r>
    </w:p>
    <w:p>
      <w:pPr>
        <w:pStyle w:val="Indenta"/>
        <w:spacing w:before="60"/>
        <w:rPr>
          <w:snapToGrid w:val="0"/>
        </w:rPr>
      </w:pPr>
      <w:r>
        <w:rPr>
          <w:snapToGrid w:val="0"/>
        </w:rPr>
        <w:tab/>
        <w:t>(c)</w:t>
      </w:r>
      <w:r>
        <w:rPr>
          <w:snapToGrid w:val="0"/>
        </w:rPr>
        <w:tab/>
        <w:t>the payment of a deposit under section 18.</w:t>
      </w:r>
    </w:p>
    <w:p>
      <w:pPr>
        <w:pStyle w:val="Subsection"/>
        <w:rPr>
          <w:snapToGrid w:val="0"/>
        </w:rPr>
      </w:pPr>
      <w:r>
        <w:rPr>
          <w:snapToGrid w:val="0"/>
        </w:rPr>
        <w:tab/>
        <w:t>(4)</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(5)</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(6)</w:t>
      </w:r>
      <w:r>
        <w:rPr>
          <w:snapToGrid w:val="0"/>
        </w:rPr>
        <w:tab/>
        <w:t>An appeal under subsection (1) or (4) may be brought by any party to the complaint.</w:t>
      </w:r>
    </w:p>
    <w:p>
      <w:pPr>
        <w:pStyle w:val="Subsection"/>
        <w:rPr>
          <w:snapToGrid w:val="0"/>
        </w:rPr>
      </w:pPr>
      <w:r>
        <w:rPr>
          <w:snapToGrid w:val="0"/>
        </w:rPr>
        <w:tab/>
        <w:t>(6a)</w:t>
      </w:r>
      <w:r>
        <w:rPr>
          <w:snapToGrid w:val="0"/>
        </w:rPr>
        <w:tab/>
        <w:t>An appeal under subsection (2) may be brought by the access applicant.</w:t>
      </w:r>
    </w:p>
    <w:p>
      <w:pPr>
        <w:pStyle w:val="Subsection"/>
        <w:rPr>
          <w:snapToGrid w:val="0"/>
        </w:rPr>
      </w:pPr>
      <w:r>
        <w:rPr>
          <w:snapToGrid w:val="0"/>
        </w:rPr>
        <w:tab/>
        <w:t>(7)</w:t>
      </w:r>
      <w:r>
        <w:rPr>
          <w:snapToGrid w:val="0"/>
        </w:rPr>
        <w:tab/>
        <w:t>An appeal may be lodged within the time prescribed or allowed under Rules of Court.</w:t>
      </w:r>
    </w:p>
    <w:p>
      <w:pPr>
        <w:pStyle w:val="Footnotesection"/>
        <w:spacing w:before="100"/>
        <w:ind w:left="890" w:hanging="890"/>
      </w:pPr>
      <w:r>
        <w:tab/>
        <w:t>[Section 85 amended: No. 73 of 1994 s. 4.]</w:t>
      </w:r>
    </w:p>
    <w:p>
      <w:pPr>
        <w:pStyle w:val="Heading5"/>
        <w:rPr>
          <w:snapToGrid w:val="0"/>
        </w:rPr>
      </w:pPr>
      <w:bookmarkStart w:id="135" w:name="_Toc161845484"/>
      <w:r>
        <w:rPr>
          <w:rStyle w:val="CharSectno"/>
        </w:rPr>
        <w:t>86</w:t>
      </w:r>
      <w:r>
        <w:rPr>
          <w:snapToGrid w:val="0"/>
        </w:rPr>
        <w:t>.</w:t>
      </w:r>
      <w:r>
        <w:rPr>
          <w:snapToGrid w:val="0"/>
        </w:rPr>
        <w:tab/>
        <w:t>Parties to an appeal</w:t>
      </w:r>
      <w:bookmarkEnd w:id="135"/>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(2)</w:t>
      </w:r>
      <w:r>
        <w:rPr>
          <w:snapToGrid w:val="0"/>
        </w:rPr>
        <w:tab/>
        <w:t>Any other party to the complaint is entitled to be joined as a party to an appeal under section 85(1) or (4) in accordance with Rules of Court.</w:t>
      </w:r>
    </w:p>
    <w:p>
      <w:pPr>
        <w:pStyle w:val="Subsection"/>
        <w:keepNext/>
        <w:spacing w:before="120"/>
        <w:rPr>
          <w:snapToGrid w:val="0"/>
        </w:rPr>
      </w:pPr>
      <w:r>
        <w:rPr>
          <w:snapToGrid w:val="0"/>
        </w:rPr>
        <w:lastRenderedPageBreak/>
        <w:tab/>
        <w:t>(3)</w:t>
      </w:r>
      <w:r>
        <w:rPr>
          <w:snapToGrid w:val="0"/>
        </w:rPr>
        <w:tab/>
        <w:t>A third party is entitled to be joined as a party to an appeal under section 85(2) in accordance with Rules of Court.</w:t>
      </w:r>
    </w:p>
    <w:p>
      <w:pPr>
        <w:pStyle w:val="Footnotesection"/>
        <w:spacing w:before="100"/>
        <w:ind w:left="890" w:hanging="890"/>
      </w:pPr>
      <w:r>
        <w:tab/>
        <w:t>[Section 86 amended: No. 73 of 1994 s. 4.]</w:t>
      </w:r>
    </w:p>
    <w:p>
      <w:pPr>
        <w:pStyle w:val="Heading5"/>
        <w:rPr>
          <w:snapToGrid w:val="0"/>
        </w:rPr>
      </w:pPr>
      <w:bookmarkStart w:id="136" w:name="_Toc161845485"/>
      <w:r>
        <w:rPr>
          <w:rStyle w:val="CharSectno"/>
        </w:rPr>
        <w:t>87</w:t>
      </w:r>
      <w:r>
        <w:rPr>
          <w:snapToGrid w:val="0"/>
        </w:rPr>
        <w:t>.</w:t>
      </w:r>
      <w:r>
        <w:rPr>
          <w:snapToGrid w:val="0"/>
        </w:rPr>
        <w:tab/>
        <w:t>Court’s powers on appeal</w:t>
      </w:r>
      <w:bookmarkEnd w:id="136"/>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spacing w:before="60"/>
        <w:rPr>
          <w:snapToGrid w:val="0"/>
        </w:rPr>
      </w:pPr>
      <w:r>
        <w:rPr>
          <w:snapToGrid w:val="0"/>
        </w:rPr>
        <w:tab/>
        <w:t>(a)</w:t>
      </w:r>
      <w:r>
        <w:rPr>
          <w:snapToGrid w:val="0"/>
        </w:rPr>
        <w:tab/>
        <w:t>confirm the Commissioner’s decision; or</w:t>
      </w:r>
    </w:p>
    <w:p>
      <w:pPr>
        <w:pStyle w:val="Indenta"/>
        <w:spacing w:before="60"/>
        <w:rPr>
          <w:snapToGrid w:val="0"/>
        </w:rPr>
      </w:pPr>
      <w:r>
        <w:rPr>
          <w:snapToGrid w:val="0"/>
        </w:rPr>
        <w:tab/>
        <w:t>(b)</w:t>
      </w:r>
      <w:r>
        <w:rPr>
          <w:snapToGrid w:val="0"/>
        </w:rPr>
        <w:tab/>
        <w:t>vary the Commissioner’s decision; or</w:t>
      </w:r>
    </w:p>
    <w:p>
      <w:pPr>
        <w:pStyle w:val="Indenta"/>
        <w:spacing w:before="60"/>
        <w:rPr>
          <w:snapToGrid w:val="0"/>
        </w:rPr>
      </w:pPr>
      <w:r>
        <w:rPr>
          <w:snapToGrid w:val="0"/>
        </w:rPr>
        <w:tab/>
        <w:t>(c)</w:t>
      </w:r>
      <w:r>
        <w:rPr>
          <w:snapToGrid w:val="0"/>
        </w:rPr>
        <w:tab/>
        <w:t>set aside the Commissioner’s decision and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(2)</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(3)</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No. 73 of 1994 s. 4.]</w:t>
      </w:r>
    </w:p>
    <w:p>
      <w:pPr>
        <w:pStyle w:val="Heading3"/>
        <w:keepNext w:val="0"/>
      </w:pPr>
      <w:bookmarkStart w:id="137" w:name="_Toc161842766"/>
      <w:bookmarkStart w:id="138" w:name="_Toc161843038"/>
      <w:bookmarkStart w:id="139" w:name="_Toc161845486"/>
      <w:r>
        <w:rPr>
          <w:rStyle w:val="CharDivNo"/>
        </w:rPr>
        <w:t>Division 6</w:t>
      </w:r>
      <w:r>
        <w:rPr>
          <w:snapToGrid w:val="0"/>
        </w:rPr>
        <w:t> — </w:t>
      </w:r>
      <w:r>
        <w:rPr>
          <w:rStyle w:val="CharDivText"/>
        </w:rPr>
        <w:t>General provisions as to proceedings in the Supreme Court</w:t>
      </w:r>
      <w:bookmarkEnd w:id="137"/>
      <w:bookmarkEnd w:id="138"/>
      <w:bookmarkEnd w:id="139"/>
    </w:p>
    <w:p>
      <w:pPr>
        <w:pStyle w:val="Heading5"/>
        <w:keepNext w:val="0"/>
        <w:rPr>
          <w:snapToGrid w:val="0"/>
        </w:rPr>
      </w:pPr>
      <w:bookmarkStart w:id="140" w:name="_Toc161845487"/>
      <w:r>
        <w:rPr>
          <w:rStyle w:val="CharSectno"/>
        </w:rPr>
        <w:t>88</w:t>
      </w:r>
      <w:r>
        <w:rPr>
          <w:snapToGrid w:val="0"/>
        </w:rPr>
        <w:t>.</w:t>
      </w:r>
      <w:r>
        <w:rPr>
          <w:snapToGrid w:val="0"/>
        </w:rPr>
        <w:tab/>
        <w:t>Term used: review proceedings</w:t>
      </w:r>
      <w:bookmarkEnd w:id="140"/>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141" w:name="_Toc161845488"/>
      <w:r>
        <w:rPr>
          <w:rStyle w:val="CharSectno"/>
        </w:rPr>
        <w:t>89</w:t>
      </w:r>
      <w:r>
        <w:rPr>
          <w:snapToGrid w:val="0"/>
        </w:rPr>
        <w:t>.</w:t>
      </w:r>
      <w:r>
        <w:rPr>
          <w:snapToGrid w:val="0"/>
        </w:rPr>
        <w:tab/>
        <w:t>Terms etc., Court may impose; costs</w:t>
      </w:r>
      <w:bookmarkEnd w:id="141"/>
    </w:p>
    <w:p>
      <w:pPr>
        <w:pStyle w:val="Subsection"/>
        <w:rPr>
          <w:snapToGrid w:val="0"/>
        </w:rPr>
      </w:pPr>
      <w:r>
        <w:rPr>
          <w:snapToGrid w:val="0"/>
        </w:rPr>
        <w:tab/>
        <w:t>(1)</w:t>
      </w:r>
      <w:r>
        <w:rPr>
          <w:snapToGrid w:val="0"/>
        </w:rPr>
        <w:tab/>
        <w:t xml:space="preserve">Subject to subsections (2) and (3), an order or decision made by the Supreme Court in review proceedings may be made on such </w:t>
      </w:r>
      <w:r>
        <w:rPr>
          <w:snapToGrid w:val="0"/>
        </w:rPr>
        <w:lastRenderedPageBreak/>
        <w:t>terms and conditions (including terms and conditions as to costs) as the Supreme Court thinks fit.</w:t>
      </w:r>
    </w:p>
    <w:p>
      <w:pPr>
        <w:pStyle w:val="Subsection"/>
        <w:rPr>
          <w:snapToGrid w:val="0"/>
        </w:rPr>
      </w:pPr>
      <w:r>
        <w:rPr>
          <w:snapToGrid w:val="0"/>
        </w:rPr>
        <w:tab/>
        <w:t>(2)</w:t>
      </w:r>
      <w:r>
        <w:rPr>
          <w:snapToGrid w:val="0"/>
        </w:rPr>
        <w:tab/>
        <w:t>If the agency is the appellant under section 85 it bears its own costs.</w:t>
      </w:r>
    </w:p>
    <w:p>
      <w:pPr>
        <w:pStyle w:val="Subsection"/>
        <w:rPr>
          <w:snapToGrid w:val="0"/>
        </w:rPr>
      </w:pPr>
      <w:r>
        <w:rPr>
          <w:snapToGrid w:val="0"/>
        </w:rPr>
        <w:tab/>
        <w:t>(3)</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142" w:name="_Toc161845489"/>
      <w:r>
        <w:rPr>
          <w:rStyle w:val="CharSectno"/>
        </w:rPr>
        <w:t>90</w:t>
      </w:r>
      <w:r>
        <w:rPr>
          <w:snapToGrid w:val="0"/>
        </w:rPr>
        <w:t>.</w:t>
      </w:r>
      <w:r>
        <w:rPr>
          <w:snapToGrid w:val="0"/>
        </w:rPr>
        <w:tab/>
        <w:t>Exempt matter etc., Court to ensure non</w:t>
      </w:r>
      <w:r>
        <w:rPr>
          <w:snapToGrid w:val="0"/>
        </w:rPr>
        <w:noBreakHyphen/>
        <w:t>disclosure of</w:t>
      </w:r>
      <w:bookmarkEnd w:id="142"/>
    </w:p>
    <w:p>
      <w:pPr>
        <w:pStyle w:val="Subsection"/>
        <w:rPr>
          <w:snapToGrid w:val="0"/>
        </w:rPr>
      </w:pPr>
      <w:r>
        <w:rPr>
          <w:snapToGrid w:val="0"/>
        </w:rPr>
        <w:tab/>
        <w:t>(1)</w:t>
      </w:r>
      <w:r>
        <w:rPr>
          <w:snapToGrid w:val="0"/>
        </w:rPr>
        <w:tab/>
        <w:t>In hearing and determining review proceedings the Court has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(2)</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(3)</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(4)</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143" w:name="_Toc161845490"/>
      <w:r>
        <w:rPr>
          <w:rStyle w:val="CharSectno"/>
        </w:rPr>
        <w:lastRenderedPageBreak/>
        <w:t>91</w:t>
      </w:r>
      <w:r>
        <w:rPr>
          <w:snapToGrid w:val="0"/>
        </w:rPr>
        <w:t>.</w:t>
      </w:r>
      <w:r>
        <w:rPr>
          <w:snapToGrid w:val="0"/>
        </w:rPr>
        <w:tab/>
        <w:t>Document held by agency, Court may require production of etc.</w:t>
      </w:r>
      <w:bookmarkEnd w:id="143"/>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(2)</w:t>
      </w:r>
      <w:r>
        <w:rPr>
          <w:snapToGrid w:val="0"/>
        </w:rPr>
        <w:tab/>
        <w:t>The Supreme Court is entitled to access to and to view documents for the purpose of determining an appeal under section 85(2)(b).</w:t>
      </w:r>
    </w:p>
    <w:p>
      <w:pPr>
        <w:pStyle w:val="Subsection"/>
        <w:rPr>
          <w:snapToGrid w:val="0"/>
        </w:rPr>
      </w:pPr>
      <w:r>
        <w:rPr>
          <w:snapToGrid w:val="0"/>
        </w:rPr>
        <w:tab/>
        <w:t>(3)</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144" w:name="_Toc161845491"/>
      <w:r>
        <w:rPr>
          <w:rStyle w:val="CharSectno"/>
        </w:rPr>
        <w:t>92</w:t>
      </w:r>
      <w:r>
        <w:rPr>
          <w:snapToGrid w:val="0"/>
        </w:rPr>
        <w:t>.</w:t>
      </w:r>
      <w:r>
        <w:rPr>
          <w:snapToGrid w:val="0"/>
        </w:rPr>
        <w:tab/>
        <w:t>Disclosure restriction under other law does not apply to disclosing to Court</w:t>
      </w:r>
      <w:bookmarkEnd w:id="144"/>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145" w:name="_Toc161845492"/>
      <w:r>
        <w:rPr>
          <w:rStyle w:val="CharSectno"/>
        </w:rPr>
        <w:t>93</w:t>
      </w:r>
      <w:r>
        <w:rPr>
          <w:snapToGrid w:val="0"/>
        </w:rPr>
        <w:t>.</w:t>
      </w:r>
      <w:r>
        <w:rPr>
          <w:snapToGrid w:val="0"/>
        </w:rPr>
        <w:tab/>
        <w:t>Other procedure, Court may determine</w:t>
      </w:r>
      <w:bookmarkEnd w:id="145"/>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146" w:name="_Toc161842773"/>
      <w:bookmarkStart w:id="147" w:name="_Toc161843045"/>
      <w:bookmarkStart w:id="148" w:name="_Toc161845493"/>
      <w:r>
        <w:rPr>
          <w:rStyle w:val="CharPartNo"/>
        </w:rPr>
        <w:lastRenderedPageBreak/>
        <w:t>Part 5</w:t>
      </w:r>
      <w:r>
        <w:rPr>
          <w:rStyle w:val="CharDivNo"/>
        </w:rPr>
        <w:t> </w:t>
      </w:r>
      <w:r>
        <w:t>—</w:t>
      </w:r>
      <w:r>
        <w:rPr>
          <w:rStyle w:val="CharDivText"/>
        </w:rPr>
        <w:t> </w:t>
      </w:r>
      <w:r>
        <w:rPr>
          <w:rStyle w:val="CharPartText"/>
        </w:rPr>
        <w:t>Publication of information about agencies</w:t>
      </w:r>
      <w:bookmarkEnd w:id="146"/>
      <w:bookmarkEnd w:id="147"/>
      <w:bookmarkEnd w:id="148"/>
    </w:p>
    <w:p>
      <w:pPr>
        <w:pStyle w:val="Heading5"/>
        <w:rPr>
          <w:snapToGrid w:val="0"/>
        </w:rPr>
      </w:pPr>
      <w:bookmarkStart w:id="149" w:name="_Toc161845494"/>
      <w:r>
        <w:rPr>
          <w:rStyle w:val="CharSectno"/>
        </w:rPr>
        <w:t>94</w:t>
      </w:r>
      <w:r>
        <w:rPr>
          <w:snapToGrid w:val="0"/>
        </w:rPr>
        <w:t>.</w:t>
      </w:r>
      <w:r>
        <w:rPr>
          <w:snapToGrid w:val="0"/>
        </w:rPr>
        <w:tab/>
        <w:t>Term used: information statement</w:t>
      </w:r>
      <w:bookmarkEnd w:id="149"/>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 and</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lastRenderedPageBreak/>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150" w:name="_Toc161845495"/>
      <w:r>
        <w:rPr>
          <w:rStyle w:val="CharSectno"/>
        </w:rPr>
        <w:t>95</w:t>
      </w:r>
      <w:r>
        <w:rPr>
          <w:snapToGrid w:val="0"/>
        </w:rPr>
        <w:t>.</w:t>
      </w:r>
      <w:r>
        <w:rPr>
          <w:snapToGrid w:val="0"/>
        </w:rPr>
        <w:tab/>
        <w:t>Term used: internal manual</w:t>
      </w:r>
      <w:bookmarkEnd w:id="150"/>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 or</w:t>
      </w:r>
    </w:p>
    <w:p>
      <w:pPr>
        <w:pStyle w:val="Indenta"/>
        <w:rPr>
          <w:snapToGrid w:val="0"/>
        </w:rPr>
      </w:pPr>
      <w:r>
        <w:rPr>
          <w:snapToGrid w:val="0"/>
        </w:rPr>
        <w:tab/>
        <w:t>(b)</w:t>
      </w:r>
      <w:r>
        <w:rPr>
          <w:snapToGrid w:val="0"/>
        </w:rPr>
        <w:tab/>
        <w:t>a document containing particulars of any administrative scheme; or</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 or</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151" w:name="_Toc161845496"/>
      <w:r>
        <w:rPr>
          <w:rStyle w:val="CharSectno"/>
        </w:rPr>
        <w:lastRenderedPageBreak/>
        <w:t>96</w:t>
      </w:r>
      <w:r>
        <w:rPr>
          <w:snapToGrid w:val="0"/>
        </w:rPr>
        <w:t>.</w:t>
      </w:r>
      <w:r>
        <w:rPr>
          <w:snapToGrid w:val="0"/>
        </w:rPr>
        <w:tab/>
        <w:t>Information statement, each agency to publish annually</w:t>
      </w:r>
      <w:bookmarkEnd w:id="151"/>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(a)</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(2)</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(3)</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No. 47 of 1999 s. 13.]</w:t>
      </w:r>
    </w:p>
    <w:p>
      <w:pPr>
        <w:pStyle w:val="Heading5"/>
        <w:rPr>
          <w:snapToGrid w:val="0"/>
        </w:rPr>
      </w:pPr>
      <w:bookmarkStart w:id="152" w:name="_Toc161845497"/>
      <w:r>
        <w:rPr>
          <w:rStyle w:val="CharSectno"/>
        </w:rPr>
        <w:t>97</w:t>
      </w:r>
      <w:r>
        <w:rPr>
          <w:snapToGrid w:val="0"/>
        </w:rPr>
        <w:t>.</w:t>
      </w:r>
      <w:r>
        <w:rPr>
          <w:snapToGrid w:val="0"/>
        </w:rPr>
        <w:tab/>
        <w:t>Information statement and internal manual, each agency to make available etc.</w:t>
      </w:r>
      <w:bookmarkEnd w:id="152"/>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(2)</w:t>
      </w:r>
      <w:r>
        <w:rPr>
          <w:snapToGrid w:val="0"/>
        </w:rPr>
        <w:tab/>
        <w:t>An agency has to provide a copy of its information statement to the Commissioner as soon as is practicable after the statement is published under section 96.</w:t>
      </w:r>
    </w:p>
    <w:p>
      <w:pPr>
        <w:pStyle w:val="Subsection"/>
      </w:pPr>
      <w:r>
        <w:lastRenderedPageBreak/>
        <w:tab/>
        <w:t>(3)</w:t>
      </w:r>
      <w:r>
        <w:tab/>
        <w:t>A subcontractor does not have to comply with subsections (1) and (2) if the relevant contractor has complied with those subsections on behalf of the subcontractor.</w:t>
      </w:r>
    </w:p>
    <w:p>
      <w:pPr>
        <w:pStyle w:val="Footnotesection"/>
      </w:pPr>
      <w:r>
        <w:tab/>
        <w:t>[Section 97 amended: No. 47 of 1999 s. 14.]</w:t>
      </w:r>
    </w:p>
    <w:p>
      <w:pPr>
        <w:pStyle w:val="Heading2"/>
      </w:pPr>
      <w:bookmarkStart w:id="153" w:name="_Toc161842778"/>
      <w:bookmarkStart w:id="154" w:name="_Toc161843050"/>
      <w:bookmarkStart w:id="155" w:name="_Toc161845498"/>
      <w:r>
        <w:rPr>
          <w:rStyle w:val="CharPartNo"/>
        </w:rPr>
        <w:lastRenderedPageBreak/>
        <w:t>Part 6</w:t>
      </w:r>
      <w:r>
        <w:rPr>
          <w:rStyle w:val="CharDivNo"/>
        </w:rPr>
        <w:t> </w:t>
      </w:r>
      <w:r>
        <w:t>—</w:t>
      </w:r>
      <w:r>
        <w:rPr>
          <w:rStyle w:val="CharDivText"/>
        </w:rPr>
        <w:t> </w:t>
      </w:r>
      <w:r>
        <w:rPr>
          <w:rStyle w:val="CharPartText"/>
        </w:rPr>
        <w:t>Miscellaneous</w:t>
      </w:r>
      <w:bookmarkEnd w:id="153"/>
      <w:bookmarkEnd w:id="154"/>
      <w:bookmarkEnd w:id="155"/>
    </w:p>
    <w:p>
      <w:pPr>
        <w:pStyle w:val="Heading5"/>
        <w:rPr>
          <w:snapToGrid w:val="0"/>
        </w:rPr>
      </w:pPr>
      <w:bookmarkStart w:id="156" w:name="_Toc161845499"/>
      <w:r>
        <w:rPr>
          <w:rStyle w:val="CharSectno"/>
        </w:rPr>
        <w:t>98</w:t>
      </w:r>
      <w:r>
        <w:rPr>
          <w:snapToGrid w:val="0"/>
        </w:rPr>
        <w:t>.</w:t>
      </w:r>
      <w:r>
        <w:rPr>
          <w:snapToGrid w:val="0"/>
        </w:rPr>
        <w:tab/>
        <w:t>Child or handicapped person, applications on behalf of</w:t>
      </w:r>
      <w:bookmarkEnd w:id="156"/>
    </w:p>
    <w:p>
      <w:pPr>
        <w:pStyle w:val="Subsection"/>
        <w:spacing w:before="130"/>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spacing w:before="60"/>
        <w:rPr>
          <w:snapToGrid w:val="0"/>
        </w:rPr>
      </w:pPr>
      <w:r>
        <w:rPr>
          <w:snapToGrid w:val="0"/>
        </w:rPr>
        <w:tab/>
        <w:t>(a)</w:t>
      </w:r>
      <w:r>
        <w:rPr>
          <w:snapToGrid w:val="0"/>
        </w:rPr>
        <w:tab/>
        <w:t>on behalf of a child by the child’s guardian or the person who has custody or care and control of the child;</w:t>
      </w:r>
    </w:p>
    <w:p>
      <w:pPr>
        <w:pStyle w:val="Indenta"/>
        <w:spacing w:before="60"/>
        <w:rPr>
          <w:snapToGrid w:val="0"/>
        </w:rPr>
      </w:pPr>
      <w:r>
        <w:rPr>
          <w:snapToGrid w:val="0"/>
        </w:rPr>
        <w:tab/>
        <w:t>(b)</w:t>
      </w:r>
      <w:r>
        <w:rPr>
          <w:snapToGrid w:val="0"/>
        </w:rPr>
        <w:tab/>
        <w:t>on behalf of an intellectually handicapped person by the person’s closest relative or guardian.</w:t>
      </w:r>
    </w:p>
    <w:p>
      <w:pPr>
        <w:pStyle w:val="Heading5"/>
        <w:spacing w:before="200"/>
        <w:rPr>
          <w:snapToGrid w:val="0"/>
        </w:rPr>
      </w:pPr>
      <w:bookmarkStart w:id="157" w:name="_Toc161845500"/>
      <w:r>
        <w:rPr>
          <w:rStyle w:val="CharSectno"/>
        </w:rPr>
        <w:t>99</w:t>
      </w:r>
      <w:r>
        <w:rPr>
          <w:snapToGrid w:val="0"/>
        </w:rPr>
        <w:t>.</w:t>
      </w:r>
      <w:r>
        <w:rPr>
          <w:snapToGrid w:val="0"/>
        </w:rPr>
        <w:tab/>
        <w:t>Defunct agency, performance of functions on behalf of</w:t>
      </w:r>
      <w:bookmarkEnd w:id="157"/>
    </w:p>
    <w:p>
      <w:pPr>
        <w:pStyle w:val="Subsection"/>
        <w:spacing w:before="140"/>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spacing w:before="140"/>
        <w:rPr>
          <w:snapToGrid w:val="0"/>
        </w:rPr>
      </w:pPr>
      <w:r>
        <w:rPr>
          <w:snapToGrid w:val="0"/>
        </w:rPr>
        <w:tab/>
        <w:t>(2)</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spacing w:before="140"/>
        <w:rPr>
          <w:snapToGrid w:val="0"/>
        </w:rPr>
      </w:pPr>
      <w:r>
        <w:rPr>
          <w:snapToGrid w:val="0"/>
        </w:rPr>
        <w:tab/>
        <w:t>(3)</w:t>
      </w:r>
      <w:r>
        <w:rPr>
          <w:snapToGrid w:val="0"/>
        </w:rPr>
        <w:tab/>
        <w:t xml:space="preserve">In this section </w:t>
      </w:r>
      <w:r>
        <w:rPr>
          <w:rStyle w:val="CharDefText"/>
        </w:rPr>
        <w:t>agency</w:t>
      </w:r>
      <w:r>
        <w:rPr>
          <w:snapToGrid w:val="0"/>
        </w:rPr>
        <w:t xml:space="preserve"> does not include an exempt agency.</w:t>
      </w:r>
    </w:p>
    <w:p>
      <w:pPr>
        <w:pStyle w:val="Heading5"/>
        <w:spacing w:before="200"/>
        <w:rPr>
          <w:snapToGrid w:val="0"/>
        </w:rPr>
      </w:pPr>
      <w:bookmarkStart w:id="158" w:name="_Toc161845501"/>
      <w:r>
        <w:rPr>
          <w:rStyle w:val="CharSectno"/>
        </w:rPr>
        <w:t>100</w:t>
      </w:r>
      <w:r>
        <w:rPr>
          <w:snapToGrid w:val="0"/>
        </w:rPr>
        <w:t>.</w:t>
      </w:r>
      <w:r>
        <w:rPr>
          <w:snapToGrid w:val="0"/>
        </w:rPr>
        <w:tab/>
        <w:t>Who in agency makes its decisions</w:t>
      </w:r>
      <w:bookmarkEnd w:id="158"/>
    </w:p>
    <w:p>
      <w:pPr>
        <w:pStyle w:val="Subsection"/>
        <w:spacing w:before="140"/>
        <w:rPr>
          <w:snapToGrid w:val="0"/>
        </w:rPr>
      </w:pPr>
      <w:r>
        <w:rPr>
          <w:snapToGrid w:val="0"/>
        </w:rPr>
        <w:tab/>
        <w:t>(1)</w:t>
      </w:r>
      <w:r>
        <w:rPr>
          <w:snapToGrid w:val="0"/>
        </w:rPr>
        <w:tab/>
        <w:t>Decisions made under this Act by an agency are to be made by —</w:t>
      </w:r>
    </w:p>
    <w:p>
      <w:pPr>
        <w:pStyle w:val="Indenta"/>
        <w:spacing w:before="60"/>
        <w:rPr>
          <w:snapToGrid w:val="0"/>
        </w:rPr>
      </w:pPr>
      <w:r>
        <w:rPr>
          <w:snapToGrid w:val="0"/>
        </w:rPr>
        <w:tab/>
        <w:t>(a)</w:t>
      </w:r>
      <w:r>
        <w:rPr>
          <w:snapToGrid w:val="0"/>
        </w:rPr>
        <w:tab/>
        <w:t>the principal officer of the agency; or</w:t>
      </w:r>
    </w:p>
    <w:p>
      <w:pPr>
        <w:pStyle w:val="Indenta"/>
        <w:spacing w:before="60"/>
        <w:rPr>
          <w:snapToGrid w:val="0"/>
        </w:rPr>
      </w:pPr>
      <w:r>
        <w:rPr>
          <w:snapToGrid w:val="0"/>
        </w:rPr>
        <w:tab/>
        <w:t>(b)</w:t>
      </w:r>
      <w:r>
        <w:rPr>
          <w:snapToGrid w:val="0"/>
        </w:rPr>
        <w:tab/>
        <w:t>an officer of the agency directed by the principal officer for that purpose, either generally or in a particular case.</w:t>
      </w:r>
    </w:p>
    <w:p>
      <w:pPr>
        <w:pStyle w:val="Subsection"/>
        <w:spacing w:before="130"/>
        <w:rPr>
          <w:snapToGrid w:val="0"/>
        </w:rPr>
      </w:pPr>
      <w:r>
        <w:rPr>
          <w:snapToGrid w:val="0"/>
        </w:rPr>
        <w:tab/>
        <w:t>(2)</w:t>
      </w:r>
      <w:r>
        <w:rPr>
          <w:snapToGrid w:val="0"/>
        </w:rPr>
        <w:tab/>
        <w:t>Subsection (1)(b) does not apply if the agency is a Minister.</w:t>
      </w:r>
    </w:p>
    <w:p>
      <w:pPr>
        <w:pStyle w:val="Heading5"/>
        <w:spacing w:before="200"/>
        <w:rPr>
          <w:snapToGrid w:val="0"/>
        </w:rPr>
      </w:pPr>
      <w:bookmarkStart w:id="159" w:name="_Toc161845502"/>
      <w:r>
        <w:rPr>
          <w:rStyle w:val="CharSectno"/>
        </w:rPr>
        <w:lastRenderedPageBreak/>
        <w:t>101</w:t>
      </w:r>
      <w:r>
        <w:rPr>
          <w:snapToGrid w:val="0"/>
        </w:rPr>
        <w:t>.</w:t>
      </w:r>
      <w:r>
        <w:rPr>
          <w:snapToGrid w:val="0"/>
        </w:rPr>
        <w:tab/>
        <w:t>Notice sent by post or fax, presumed time of service of</w:t>
      </w:r>
      <w:bookmarkEnd w:id="159"/>
    </w:p>
    <w:p>
      <w:pPr>
        <w:pStyle w:val="Subsection"/>
        <w:spacing w:before="140"/>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(2)</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160" w:name="_Toc161845503"/>
      <w:r>
        <w:rPr>
          <w:rStyle w:val="CharSectno"/>
        </w:rPr>
        <w:t>102</w:t>
      </w:r>
      <w:r>
        <w:rPr>
          <w:snapToGrid w:val="0"/>
        </w:rPr>
        <w:t>.</w:t>
      </w:r>
      <w:r>
        <w:rPr>
          <w:snapToGrid w:val="0"/>
        </w:rPr>
        <w:tab/>
        <w:t>Burden of proof</w:t>
      </w:r>
      <w:bookmarkEnd w:id="160"/>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(2)</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(3)</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161" w:name="_Toc161845504"/>
      <w:r>
        <w:rPr>
          <w:rStyle w:val="CharSectno"/>
        </w:rPr>
        <w:t>103</w:t>
      </w:r>
      <w:r>
        <w:rPr>
          <w:snapToGrid w:val="0"/>
        </w:rPr>
        <w:t>.</w:t>
      </w:r>
      <w:r>
        <w:rPr>
          <w:snapToGrid w:val="0"/>
        </w:rPr>
        <w:tab/>
        <w:t>No review of decisions etc. except under this Act</w:t>
      </w:r>
      <w:bookmarkEnd w:id="161"/>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162" w:name="_Toc161845505"/>
      <w:r>
        <w:rPr>
          <w:rStyle w:val="CharSectno"/>
        </w:rPr>
        <w:lastRenderedPageBreak/>
        <w:t>104</w:t>
      </w:r>
      <w:r>
        <w:rPr>
          <w:snapToGrid w:val="0"/>
        </w:rPr>
        <w:t>.</w:t>
      </w:r>
      <w:r>
        <w:rPr>
          <w:snapToGrid w:val="0"/>
        </w:rPr>
        <w:tab/>
        <w:t>Defamation or breach of confidence action, certain people protected from</w:t>
      </w:r>
      <w:bookmarkEnd w:id="162"/>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(2)</w:t>
      </w:r>
      <w:r>
        <w:rPr>
          <w:snapToGrid w:val="0"/>
        </w:rPr>
        <w:tab/>
        <w:t>Subsection (1) applies even if, in giving access to the document, there has been a failure to comply with Division 3 of Part 2.</w:t>
      </w:r>
    </w:p>
    <w:p>
      <w:pPr>
        <w:pStyle w:val="Subsection"/>
        <w:rPr>
          <w:snapToGrid w:val="0"/>
        </w:rPr>
      </w:pPr>
      <w:r>
        <w:rPr>
          <w:snapToGrid w:val="0"/>
        </w:rPr>
        <w:tab/>
        <w:t>(3)</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163" w:name="_Toc161845506"/>
      <w:r>
        <w:rPr>
          <w:rStyle w:val="CharSectno"/>
        </w:rPr>
        <w:t>105</w:t>
      </w:r>
      <w:r>
        <w:rPr>
          <w:snapToGrid w:val="0"/>
        </w:rPr>
        <w:t>.</w:t>
      </w:r>
      <w:r>
        <w:rPr>
          <w:snapToGrid w:val="0"/>
        </w:rPr>
        <w:tab/>
        <w:t>Criminal liability, certain people protected from</w:t>
      </w:r>
      <w:bookmarkEnd w:id="163"/>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164" w:name="_Toc161845507"/>
      <w:r>
        <w:rPr>
          <w:rStyle w:val="CharSectno"/>
        </w:rPr>
        <w:lastRenderedPageBreak/>
        <w:t>106</w:t>
      </w:r>
      <w:r>
        <w:rPr>
          <w:snapToGrid w:val="0"/>
        </w:rPr>
        <w:t>.</w:t>
      </w:r>
      <w:r>
        <w:rPr>
          <w:snapToGrid w:val="0"/>
        </w:rPr>
        <w:tab/>
        <w:t>Personal liability, certain people protected from</w:t>
      </w:r>
      <w:bookmarkEnd w:id="164"/>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keepNext/>
        <w:rPr>
          <w:snapToGrid w:val="0"/>
        </w:rPr>
      </w:pPr>
      <w:r>
        <w:rPr>
          <w:snapToGrid w:val="0"/>
        </w:rPr>
        <w:tab/>
        <w:t>(b)</w:t>
      </w:r>
      <w:r>
        <w:rPr>
          <w:snapToGrid w:val="0"/>
        </w:rPr>
        <w:tab/>
        <w:t>a person acting under the direction of an agency or the principal officer of an agency,</w:t>
      </w:r>
    </w:p>
    <w:p>
      <w:pPr>
        <w:pStyle w:val="Subsection"/>
        <w:spacing w:before="10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00"/>
        <w:rPr>
          <w:snapToGrid w:val="0"/>
        </w:rPr>
      </w:pPr>
      <w:r>
        <w:rPr>
          <w:snapToGrid w:val="0"/>
        </w:rPr>
        <w:tab/>
        <w:t>(2)</w:t>
      </w:r>
      <w:r>
        <w:rPr>
          <w:snapToGrid w:val="0"/>
        </w:rPr>
        <w:tab/>
        <w:t>Subsection (1) applies even if, in giving access to a document, there has been a failure to comply with Division 3 of Part 2.</w:t>
      </w:r>
    </w:p>
    <w:p>
      <w:pPr>
        <w:pStyle w:val="Heading5"/>
        <w:spacing w:before="180"/>
        <w:rPr>
          <w:snapToGrid w:val="0"/>
        </w:rPr>
      </w:pPr>
      <w:bookmarkStart w:id="165" w:name="_Toc161845508"/>
      <w:r>
        <w:rPr>
          <w:rStyle w:val="CharSectno"/>
        </w:rPr>
        <w:t>107</w:t>
      </w:r>
      <w:r>
        <w:rPr>
          <w:snapToGrid w:val="0"/>
        </w:rPr>
        <w:t>.</w:t>
      </w:r>
      <w:r>
        <w:rPr>
          <w:snapToGrid w:val="0"/>
        </w:rPr>
        <w:tab/>
        <w:t>Failure to consult under Part 2 Div. 3, Crown etc. not liable in case of</w:t>
      </w:r>
      <w:bookmarkEnd w:id="165"/>
    </w:p>
    <w:p>
      <w:pPr>
        <w:pStyle w:val="Subsection"/>
        <w:spacing w:before="10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spacing w:before="180"/>
        <w:rPr>
          <w:snapToGrid w:val="0"/>
        </w:rPr>
      </w:pPr>
      <w:bookmarkStart w:id="166" w:name="_Toc161845509"/>
      <w:r>
        <w:rPr>
          <w:rStyle w:val="CharSectno"/>
        </w:rPr>
        <w:t>108</w:t>
      </w:r>
      <w:r>
        <w:rPr>
          <w:snapToGrid w:val="0"/>
        </w:rPr>
        <w:t>.</w:t>
      </w:r>
      <w:r>
        <w:rPr>
          <w:snapToGrid w:val="0"/>
        </w:rPr>
        <w:tab/>
        <w:t>Exempt matter does not have to be published</w:t>
      </w:r>
      <w:bookmarkEnd w:id="166"/>
    </w:p>
    <w:p>
      <w:pPr>
        <w:pStyle w:val="Subsection"/>
        <w:spacing w:before="10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spacing w:before="180"/>
        <w:rPr>
          <w:snapToGrid w:val="0"/>
        </w:rPr>
      </w:pPr>
      <w:bookmarkStart w:id="167" w:name="_Toc161845510"/>
      <w:r>
        <w:rPr>
          <w:rStyle w:val="CharSectno"/>
        </w:rPr>
        <w:t>109</w:t>
      </w:r>
      <w:r>
        <w:rPr>
          <w:snapToGrid w:val="0"/>
        </w:rPr>
        <w:t>.</w:t>
      </w:r>
      <w:r>
        <w:rPr>
          <w:snapToGrid w:val="0"/>
        </w:rPr>
        <w:tab/>
        <w:t>Personal information of another etc., obtaining access to by deceit etc. is offence</w:t>
      </w:r>
      <w:bookmarkEnd w:id="167"/>
    </w:p>
    <w:p>
      <w:pPr>
        <w:pStyle w:val="Subsection"/>
        <w:spacing w:before="100"/>
        <w:rPr>
          <w:snapToGrid w:val="0"/>
        </w:rPr>
      </w:pPr>
      <w:r>
        <w:rPr>
          <w:snapToGrid w:val="0"/>
        </w:rPr>
        <w:tab/>
      </w:r>
      <w:r>
        <w:rPr>
          <w:snapToGrid w:val="0"/>
        </w:rPr>
        <w:tab/>
        <w:t>A person who, in order to gain access to a document containing —</w:t>
      </w:r>
    </w:p>
    <w:p>
      <w:pPr>
        <w:pStyle w:val="Indenta"/>
        <w:spacing w:before="60"/>
        <w:rPr>
          <w:snapToGrid w:val="0"/>
        </w:rPr>
      </w:pPr>
      <w:r>
        <w:rPr>
          <w:snapToGrid w:val="0"/>
        </w:rPr>
        <w:tab/>
        <w:t>(a)</w:t>
      </w:r>
      <w:r>
        <w:rPr>
          <w:snapToGrid w:val="0"/>
        </w:rPr>
        <w:tab/>
        <w:t>personal information about another person; or</w:t>
      </w:r>
    </w:p>
    <w:p>
      <w:pPr>
        <w:pStyle w:val="Indenta"/>
        <w:keepNext/>
        <w:spacing w:before="60"/>
        <w:rPr>
          <w:snapToGrid w:val="0"/>
        </w:rPr>
      </w:pPr>
      <w:r>
        <w:rPr>
          <w:snapToGrid w:val="0"/>
        </w:rPr>
        <w:lastRenderedPageBreak/>
        <w:tab/>
        <w:t>(b)</w:t>
      </w:r>
      <w:r>
        <w:rPr>
          <w:snapToGrid w:val="0"/>
        </w:rPr>
        <w:tab/>
        <w:t>information about the business, professional, commercial or financial affairs of another person,</w:t>
      </w:r>
    </w:p>
    <w:p>
      <w:pPr>
        <w:pStyle w:val="Subsection"/>
        <w:keepNext/>
        <w:spacing w:before="10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spacing w:before="60"/>
      </w:pPr>
      <w:r>
        <w:tab/>
        <w:t>(a)</w:t>
      </w:r>
      <w:r>
        <w:tab/>
        <w:t>for an individual — $6 000;</w:t>
      </w:r>
    </w:p>
    <w:p>
      <w:pPr>
        <w:pStyle w:val="Penpara"/>
        <w:spacing w:before="60"/>
        <w:rPr>
          <w:snapToGrid w:val="0"/>
        </w:rPr>
      </w:pPr>
      <w:r>
        <w:rPr>
          <w:snapToGrid w:val="0"/>
        </w:rPr>
        <w:tab/>
        <w:t>(b)</w:t>
      </w:r>
      <w:r>
        <w:rPr>
          <w:snapToGrid w:val="0"/>
        </w:rPr>
        <w:tab/>
        <w:t>for a body corporate — $10 000.</w:t>
      </w:r>
    </w:p>
    <w:p>
      <w:pPr>
        <w:pStyle w:val="Footnotesection"/>
        <w:spacing w:before="80"/>
        <w:ind w:left="890" w:hanging="890"/>
      </w:pPr>
      <w:r>
        <w:tab/>
        <w:t>[Section 109 amended: No. 50 of 2003 s. 64(3).]</w:t>
      </w:r>
    </w:p>
    <w:p>
      <w:pPr>
        <w:pStyle w:val="Heading5"/>
        <w:rPr>
          <w:snapToGrid w:val="0"/>
        </w:rPr>
      </w:pPr>
      <w:bookmarkStart w:id="168" w:name="_Toc161845511"/>
      <w:r>
        <w:rPr>
          <w:rStyle w:val="CharSectno"/>
        </w:rPr>
        <w:t>110</w:t>
      </w:r>
      <w:r>
        <w:rPr>
          <w:snapToGrid w:val="0"/>
        </w:rPr>
        <w:t>.</w:t>
      </w:r>
      <w:r>
        <w:rPr>
          <w:snapToGrid w:val="0"/>
        </w:rPr>
        <w:tab/>
        <w:t>Destroying document to prevent access, offence</w:t>
      </w:r>
      <w:bookmarkEnd w:id="168"/>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No. 50 of 2003 s. 64(4).]</w:t>
      </w:r>
    </w:p>
    <w:p>
      <w:pPr>
        <w:pStyle w:val="Heading5"/>
        <w:rPr>
          <w:snapToGrid w:val="0"/>
        </w:rPr>
      </w:pPr>
      <w:bookmarkStart w:id="169" w:name="_Toc161845512"/>
      <w:r>
        <w:rPr>
          <w:rStyle w:val="CharSectno"/>
        </w:rPr>
        <w:t>111</w:t>
      </w:r>
      <w:r>
        <w:rPr>
          <w:snapToGrid w:val="0"/>
        </w:rPr>
        <w:t>.</w:t>
      </w:r>
      <w:r>
        <w:rPr>
          <w:snapToGrid w:val="0"/>
        </w:rPr>
        <w:tab/>
        <w:t>Annual report to Parliament</w:t>
      </w:r>
      <w:bookmarkEnd w:id="169"/>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(2)</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 and</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keepNext/>
        <w:rPr>
          <w:snapToGrid w:val="0"/>
        </w:rPr>
      </w:pPr>
      <w:r>
        <w:rPr>
          <w:snapToGrid w:val="0"/>
        </w:rPr>
        <w:lastRenderedPageBreak/>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number of times each of the clauses in Schedule 1 was used to characterize documents as exempt documents; and</w:t>
      </w:r>
    </w:p>
    <w:p>
      <w:pPr>
        <w:pStyle w:val="Indenta"/>
        <w:rPr>
          <w:snapToGrid w:val="0"/>
        </w:rPr>
      </w:pPr>
      <w:r>
        <w:rPr>
          <w:snapToGrid w:val="0"/>
        </w:rPr>
        <w:tab/>
        <w:t>(d)</w:t>
      </w:r>
      <w:r>
        <w:rPr>
          <w:snapToGrid w:val="0"/>
        </w:rPr>
        <w:tab/>
        <w:t>the number of applications for internal review under Part 2 and the results of the reviews; and</w:t>
      </w:r>
    </w:p>
    <w:p>
      <w:pPr>
        <w:pStyle w:val="Indenta"/>
        <w:rPr>
          <w:snapToGrid w:val="0"/>
        </w:rPr>
      </w:pPr>
      <w:r>
        <w:rPr>
          <w:snapToGrid w:val="0"/>
        </w:rPr>
        <w:tab/>
        <w:t>(e)</w:t>
      </w:r>
      <w:r>
        <w:rPr>
          <w:snapToGrid w:val="0"/>
        </w:rPr>
        <w:tab/>
        <w:t>the number of applications for amendment of personal information received and dealt with; and</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number of applications for internal review under Part 3 and the results of the reviews; and</w:t>
      </w:r>
    </w:p>
    <w:p>
      <w:pPr>
        <w:pStyle w:val="Indenta"/>
        <w:rPr>
          <w:snapToGrid w:val="0"/>
        </w:rPr>
      </w:pPr>
      <w:r>
        <w:rPr>
          <w:snapToGrid w:val="0"/>
        </w:rPr>
        <w:tab/>
        <w:t>(h)</w:t>
      </w:r>
      <w:r>
        <w:rPr>
          <w:snapToGrid w:val="0"/>
        </w:rPr>
        <w:tab/>
        <w:t>the number of complaints made to the Commissioner and the results of the complaints; and</w:t>
      </w:r>
    </w:p>
    <w:p>
      <w:pPr>
        <w:pStyle w:val="Indenta"/>
        <w:rPr>
          <w:snapToGrid w:val="0"/>
        </w:rPr>
      </w:pPr>
      <w:r>
        <w:rPr>
          <w:snapToGrid w:val="0"/>
        </w:rPr>
        <w:tab/>
        <w:t>(i)</w:t>
      </w:r>
      <w:r>
        <w:rPr>
          <w:snapToGrid w:val="0"/>
        </w:rPr>
        <w:tab/>
        <w:t>the number of other applications made to the Commissioner and the results of those applications; and</w:t>
      </w:r>
    </w:p>
    <w:p>
      <w:pPr>
        <w:pStyle w:val="Indenta"/>
        <w:rPr>
          <w:snapToGrid w:val="0"/>
        </w:rPr>
      </w:pPr>
      <w:r>
        <w:rPr>
          <w:snapToGrid w:val="0"/>
        </w:rPr>
        <w:tab/>
        <w:t>(j)</w:t>
      </w:r>
      <w:r>
        <w:rPr>
          <w:snapToGrid w:val="0"/>
        </w:rPr>
        <w:tab/>
        <w:t>the number of appeals to the Supreme Court and the results of those appeals; and</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keepNext/>
        <w:rPr>
          <w:snapToGrid w:val="0"/>
        </w:rPr>
      </w:pPr>
      <w:r>
        <w:rPr>
          <w:snapToGrid w:val="0"/>
        </w:rPr>
        <w:lastRenderedPageBreak/>
        <w:tab/>
        <w:t>(3)</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(4)</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(5)</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170" w:name="_Toc161845513"/>
      <w:r>
        <w:rPr>
          <w:rStyle w:val="CharSectno"/>
        </w:rPr>
        <w:t>112</w:t>
      </w:r>
      <w:r>
        <w:rPr>
          <w:snapToGrid w:val="0"/>
        </w:rPr>
        <w:t>.</w:t>
      </w:r>
      <w:r>
        <w:rPr>
          <w:snapToGrid w:val="0"/>
        </w:rPr>
        <w:tab/>
        <w:t>Regulations</w:t>
      </w:r>
      <w:bookmarkEnd w:id="17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(2)</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keepNext/>
        <w:rPr>
          <w:snapToGrid w:val="0"/>
        </w:rPr>
      </w:pPr>
      <w:r>
        <w:rPr>
          <w:snapToGrid w:val="0"/>
        </w:rPr>
        <w:tab/>
        <w:t>(3)</w:t>
      </w:r>
      <w:r>
        <w:rPr>
          <w:snapToGrid w:val="0"/>
        </w:rPr>
        <w:tab/>
        <w:t xml:space="preserve">In the making of regulations under subsection (2) (as read with section 45 of the </w:t>
      </w:r>
      <w:r>
        <w:rPr>
          <w:i/>
          <w:snapToGrid w:val="0"/>
        </w:rPr>
        <w:t>Interpretation Act 1984</w:t>
      </w:r>
      <w:r>
        <w:rPr>
          <w:snapToGrid w:val="0"/>
        </w:rPr>
        <w:t xml:space="preserve">) regard has to be had </w:t>
      </w:r>
      <w:r>
        <w:rPr>
          <w:snapToGrid w:val="0"/>
        </w:rPr>
        <w:lastRenderedPageBreak/>
        <w:t>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(4)</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171" w:name="_Toc161845514"/>
      <w:r>
        <w:rPr>
          <w:rStyle w:val="CharSectno"/>
        </w:rPr>
        <w:t>113</w:t>
      </w:r>
      <w:r>
        <w:rPr>
          <w:snapToGrid w:val="0"/>
        </w:rPr>
        <w:t>.</w:t>
      </w:r>
      <w:r>
        <w:rPr>
          <w:snapToGrid w:val="0"/>
        </w:rPr>
        <w:tab/>
        <w:t>Review of Act</w:t>
      </w:r>
      <w:bookmarkEnd w:id="171"/>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outlineLvl w:val="0"/>
      </w:pPr>
      <w:bookmarkStart w:id="172" w:name="_Toc161842795"/>
      <w:bookmarkStart w:id="173" w:name="_Toc161843067"/>
      <w:bookmarkStart w:id="174" w:name="_Toc161845515"/>
      <w:r>
        <w:rPr>
          <w:rStyle w:val="CharSchNo"/>
        </w:rPr>
        <w:lastRenderedPageBreak/>
        <w:t>Schedule 1</w:t>
      </w:r>
      <w:r>
        <w:t xml:space="preserve"> — </w:t>
      </w:r>
      <w:r>
        <w:rPr>
          <w:rStyle w:val="CharSchText"/>
        </w:rPr>
        <w:t>Exempt matter</w:t>
      </w:r>
      <w:bookmarkEnd w:id="172"/>
      <w:bookmarkEnd w:id="173"/>
      <w:bookmarkEnd w:id="174"/>
    </w:p>
    <w:p>
      <w:pPr>
        <w:pStyle w:val="yShoulderClause"/>
        <w:rPr>
          <w:snapToGrid w:val="0"/>
        </w:rPr>
      </w:pPr>
      <w:r>
        <w:rPr>
          <w:snapToGrid w:val="0"/>
        </w:rPr>
        <w:t>[Glossary cl. 1]</w:t>
      </w:r>
    </w:p>
    <w:p>
      <w:pPr>
        <w:pStyle w:val="yFootnotesection"/>
      </w:pPr>
      <w:r>
        <w:tab/>
        <w:t>[Heading amended: No. 19 of 2010 s. 4.]</w:t>
      </w:r>
    </w:p>
    <w:p>
      <w:pPr>
        <w:pStyle w:val="yHeading5"/>
      </w:pPr>
      <w:bookmarkStart w:id="175" w:name="_Toc161845516"/>
      <w:r>
        <w:rPr>
          <w:rStyle w:val="CharSClsNo"/>
        </w:rPr>
        <w:t>1</w:t>
      </w:r>
      <w:r>
        <w:t>.</w:t>
      </w:r>
      <w:r>
        <w:tab/>
        <w:t>Cabinet and Executive Council, deliberations etc. of</w:t>
      </w:r>
      <w:bookmarkEnd w:id="175"/>
    </w:p>
    <w:p>
      <w:pPr>
        <w:pStyle w:val="ySubsection"/>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 or</w:t>
      </w:r>
    </w:p>
    <w:p>
      <w:pPr>
        <w:pStyle w:val="yIndenta"/>
        <w:rPr>
          <w:snapToGrid w:val="0"/>
        </w:rPr>
      </w:pPr>
      <w:r>
        <w:rPr>
          <w:snapToGrid w:val="0"/>
        </w:rPr>
        <w:tab/>
        <w:t>(b)</w:t>
      </w:r>
      <w:r>
        <w:rPr>
          <w:snapToGrid w:val="0"/>
        </w:rPr>
        <w:tab/>
        <w:t>contains policy options or recommendations prepared for possible submission to an Executive body; or</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 or</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Subsection"/>
        <w:rPr>
          <w:snapToGrid w:val="0"/>
        </w:rPr>
      </w:pPr>
      <w:r>
        <w:rPr>
          <w:snapToGrid w:val="0"/>
        </w:rPr>
        <w:tab/>
        <w:t>(2)</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rPr>
          <w:snapToGrid w:val="0"/>
        </w:rPr>
      </w:pPr>
      <w:r>
        <w:rPr>
          <w:snapToGrid w:val="0"/>
        </w:rPr>
        <w:lastRenderedPageBreak/>
        <w:tab/>
        <w:t>(b)</w:t>
      </w:r>
      <w:r>
        <w:rPr>
          <w:snapToGrid w:val="0"/>
        </w:rPr>
        <w:tab/>
        <w:t>the fact of that deliberation or decision has not been officially published.</w:t>
      </w:r>
    </w:p>
    <w:p>
      <w:pPr>
        <w:pStyle w:val="ySubsection"/>
        <w:rPr>
          <w:snapToGrid w:val="0"/>
        </w:rPr>
      </w:pPr>
      <w:r>
        <w:rPr>
          <w:snapToGrid w:val="0"/>
        </w:rPr>
        <w:tab/>
        <w:t>(3)</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(4)</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(5)</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Subsection"/>
        <w:rPr>
          <w:snapToGrid w:val="0"/>
        </w:rPr>
      </w:pPr>
      <w:r>
        <w:rPr>
          <w:snapToGrid w:val="0"/>
        </w:rPr>
        <w:tab/>
        <w:t>(6)</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 or</w:t>
      </w:r>
    </w:p>
    <w:p>
      <w:pPr>
        <w:pStyle w:val="yIndenta"/>
        <w:rPr>
          <w:snapToGrid w:val="0"/>
        </w:rPr>
      </w:pPr>
      <w:r>
        <w:rPr>
          <w:snapToGrid w:val="0"/>
        </w:rPr>
        <w:tab/>
        <w:t>(b)</w:t>
      </w:r>
      <w:r>
        <w:rPr>
          <w:snapToGrid w:val="0"/>
        </w:rPr>
        <w:tab/>
        <w:t>a committee of Cabinet; or</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r>
        <w:tab/>
        <w:t>[Clause 1 amended: No. 57 of 1997 s. 62(3); No. 19 of 2010 s. 59.]</w:t>
      </w:r>
    </w:p>
    <w:p>
      <w:pPr>
        <w:pStyle w:val="yHeading5"/>
      </w:pPr>
      <w:bookmarkStart w:id="176" w:name="_Toc161845517"/>
      <w:r>
        <w:rPr>
          <w:rStyle w:val="CharSClsNo"/>
        </w:rPr>
        <w:t>2</w:t>
      </w:r>
      <w:r>
        <w:t>.</w:t>
      </w:r>
      <w:r>
        <w:tab/>
        <w:t>Inter</w:t>
      </w:r>
      <w:r>
        <w:noBreakHyphen/>
        <w:t>governmental relations, matter that could damage etc.</w:t>
      </w:r>
      <w:bookmarkEnd w:id="176"/>
    </w:p>
    <w:p>
      <w:pPr>
        <w:pStyle w:val="ySubsection"/>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Subsection"/>
        <w:keepNext/>
        <w:rPr>
          <w:snapToGrid w:val="0"/>
        </w:rPr>
      </w:pPr>
      <w:r>
        <w:rPr>
          <w:snapToGrid w:val="0"/>
        </w:rPr>
        <w:lastRenderedPageBreak/>
        <w:tab/>
        <w:t>(3)</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Footnotesection"/>
      </w:pPr>
      <w:r>
        <w:tab/>
        <w:t>[Clause 2 amended: No. 19 of 2010 s. 59.]</w:t>
      </w:r>
    </w:p>
    <w:p>
      <w:pPr>
        <w:pStyle w:val="yHeading5"/>
      </w:pPr>
      <w:bookmarkStart w:id="177" w:name="_Toc161845518"/>
      <w:r>
        <w:rPr>
          <w:rStyle w:val="CharSClsNo"/>
        </w:rPr>
        <w:t>3</w:t>
      </w:r>
      <w:r>
        <w:t>.</w:t>
      </w:r>
      <w:r>
        <w:tab/>
        <w:t>Personal information</w:t>
      </w:r>
      <w:bookmarkEnd w:id="177"/>
    </w:p>
    <w:p>
      <w:pPr>
        <w:pStyle w:val="ySubsection"/>
        <w:rPr>
          <w:snapToGrid w:val="0"/>
        </w:rPr>
      </w:pPr>
      <w:r>
        <w:rPr>
          <w:snapToGrid w:val="0"/>
        </w:rPr>
        <w:tab/>
        <w:t>(1)</w:t>
      </w:r>
      <w:r>
        <w:rPr>
          <w:snapToGrid w:val="0"/>
        </w:rPr>
        <w:tab/>
        <w:t>Matter is exempt matter if its disclosure would reveal personal information about an individual (whether living or dead).</w:t>
      </w:r>
    </w:p>
    <w:p>
      <w:pPr>
        <w:pStyle w:val="ySubsection"/>
        <w:ind w:left="890" w:hanging="890"/>
        <w:rPr>
          <w:snapToGrid w:val="0"/>
        </w:rPr>
      </w:pPr>
      <w:r>
        <w:rPr>
          <w:snapToGrid w:val="0"/>
        </w:rPr>
        <w:tab/>
        <w:t>(2)</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(3)</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(4)</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(5)</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(6)</w:t>
      </w:r>
      <w:r>
        <w:rPr>
          <w:snapToGrid w:val="0"/>
        </w:rPr>
        <w:tab/>
        <w:t>Matter is not exempt matter under subclause (1) if its disclosure would, on balance, be in the public interest.</w:t>
      </w:r>
    </w:p>
    <w:p>
      <w:pPr>
        <w:pStyle w:val="yFootnotesection"/>
      </w:pPr>
      <w:r>
        <w:tab/>
        <w:t>[Clause 3 amended: No. 19 of 2010 s. 59.]</w:t>
      </w:r>
    </w:p>
    <w:p>
      <w:pPr>
        <w:pStyle w:val="yHeading5"/>
      </w:pPr>
      <w:bookmarkStart w:id="178" w:name="_Toc161845519"/>
      <w:r>
        <w:rPr>
          <w:rStyle w:val="CharSClsNo"/>
        </w:rPr>
        <w:lastRenderedPageBreak/>
        <w:t>4</w:t>
      </w:r>
      <w:r>
        <w:t>.</w:t>
      </w:r>
      <w:r>
        <w:tab/>
        <w:t>Trade secrets, commercial and business information</w:t>
      </w:r>
      <w:bookmarkEnd w:id="178"/>
    </w:p>
    <w:p>
      <w:pPr>
        <w:pStyle w:val="ySubsection"/>
        <w:rPr>
          <w:snapToGrid w:val="0"/>
        </w:rPr>
      </w:pPr>
      <w:r>
        <w:rPr>
          <w:snapToGrid w:val="0"/>
        </w:rPr>
        <w:tab/>
        <w:t>(1)</w:t>
      </w:r>
      <w:r>
        <w:rPr>
          <w:snapToGrid w:val="0"/>
        </w:rPr>
        <w:tab/>
        <w:t>Matter is exempt matter if its disclosure would reveal trade secrets of a person.</w:t>
      </w:r>
    </w:p>
    <w:p>
      <w:pPr>
        <w:pStyle w:val="ySubsection"/>
        <w:rPr>
          <w:snapToGrid w:val="0"/>
        </w:rPr>
      </w:pPr>
      <w:r>
        <w:rPr>
          <w:snapToGrid w:val="0"/>
        </w:rPr>
        <w:tab/>
        <w:t>(2)</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(3)</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Subsection"/>
        <w:rPr>
          <w:snapToGrid w:val="0"/>
        </w:rPr>
      </w:pPr>
      <w:r>
        <w:rPr>
          <w:snapToGrid w:val="0"/>
        </w:rPr>
        <w:tab/>
        <w:t>(4)</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(5)</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(6)</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(7)</w:t>
      </w:r>
      <w:r>
        <w:rPr>
          <w:snapToGrid w:val="0"/>
        </w:rPr>
        <w:tab/>
        <w:t>Matter is not exempt matter under subclause (3) if its disclosure would, on balance, be in the public interest.</w:t>
      </w:r>
    </w:p>
    <w:p>
      <w:pPr>
        <w:pStyle w:val="yFootnotesection"/>
      </w:pPr>
      <w:r>
        <w:tab/>
        <w:t>[Clause 4 amended: No. 19 of 2010 s. 59.]</w:t>
      </w:r>
    </w:p>
    <w:p>
      <w:pPr>
        <w:pStyle w:val="yHeading5"/>
      </w:pPr>
      <w:bookmarkStart w:id="179" w:name="_Toc161845520"/>
      <w:r>
        <w:rPr>
          <w:rStyle w:val="CharSClsNo"/>
        </w:rPr>
        <w:t>4A</w:t>
      </w:r>
      <w:r>
        <w:t>.</w:t>
      </w:r>
      <w:r>
        <w:tab/>
        <w:t xml:space="preserve">Information given to Treasurer etc. under </w:t>
      </w:r>
      <w:r>
        <w:rPr>
          <w:i/>
        </w:rPr>
        <w:t>Bank of Western Australia Act 1995</w:t>
      </w:r>
      <w:bookmarkEnd w:id="179"/>
    </w:p>
    <w:p>
      <w:pPr>
        <w:pStyle w:val="ySubsection"/>
      </w:pPr>
      <w:r>
        <w:tab/>
      </w:r>
      <w:r>
        <w:tab/>
        <w:t xml:space="preserve">Matter is exempt matter if it consists of information provided to — </w:t>
      </w:r>
    </w:p>
    <w:p>
      <w:pPr>
        <w:pStyle w:val="yIndenta"/>
      </w:pPr>
      <w:r>
        <w:tab/>
        <w:t>(a)</w:t>
      </w:r>
      <w:r>
        <w:tab/>
        <w:t xml:space="preserve">the Treasurer under the </w:t>
      </w:r>
      <w:r>
        <w:rPr>
          <w:i/>
        </w:rPr>
        <w:t>Bank of Western Australia Act 1995</w:t>
      </w:r>
      <w:r>
        <w:t xml:space="preserve"> section 22; or</w:t>
      </w:r>
    </w:p>
    <w:p>
      <w:pPr>
        <w:pStyle w:val="yIndenta"/>
      </w:pPr>
      <w:r>
        <w:lastRenderedPageBreak/>
        <w:tab/>
        <w:t>(b)</w:t>
      </w:r>
      <w:r>
        <w:tab/>
        <w:t xml:space="preserve">the Minister under the </w:t>
      </w:r>
      <w:r>
        <w:rPr>
          <w:i/>
        </w:rPr>
        <w:t>Bank of Western Australia Act 1995</w:t>
      </w:r>
      <w:r>
        <w:t xml:space="preserve"> section 42O.</w:t>
      </w:r>
    </w:p>
    <w:p>
      <w:pPr>
        <w:pStyle w:val="yFootnotesection"/>
      </w:pPr>
      <w:r>
        <w:tab/>
        <w:t>[Clause 4A inserted: No. 14 of 2012 s. 9.]</w:t>
      </w:r>
    </w:p>
    <w:p>
      <w:pPr>
        <w:pStyle w:val="yHeading5"/>
      </w:pPr>
      <w:bookmarkStart w:id="180" w:name="_Toc161845521"/>
      <w:r>
        <w:rPr>
          <w:rStyle w:val="CharSClsNo"/>
        </w:rPr>
        <w:t>5</w:t>
      </w:r>
      <w:r>
        <w:t>.</w:t>
      </w:r>
      <w:r>
        <w:tab/>
        <w:t>Law enforcement, public safety and property security, matter prejudicial etc. to</w:t>
      </w:r>
      <w:bookmarkEnd w:id="180"/>
    </w:p>
    <w:p>
      <w:pPr>
        <w:pStyle w:val="ySubsection"/>
        <w:keepNext/>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 or</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 or</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 or</w:t>
      </w:r>
    </w:p>
    <w:p>
      <w:pPr>
        <w:pStyle w:val="yIndenta"/>
        <w:rPr>
          <w:snapToGrid w:val="0"/>
        </w:rPr>
      </w:pPr>
      <w:r>
        <w:rPr>
          <w:snapToGrid w:val="0"/>
        </w:rPr>
        <w:tab/>
        <w:t>(d)</w:t>
      </w:r>
      <w:r>
        <w:rPr>
          <w:snapToGrid w:val="0"/>
        </w:rPr>
        <w:tab/>
        <w:t>prejudice the fair trial of any person or the impartial adjudication of any case or hearing of disciplinary proceedings; or</w:t>
      </w:r>
    </w:p>
    <w:p>
      <w:pPr>
        <w:pStyle w:val="yIndenta"/>
        <w:rPr>
          <w:snapToGrid w:val="0"/>
        </w:rPr>
      </w:pPr>
      <w:r>
        <w:rPr>
          <w:snapToGrid w:val="0"/>
        </w:rPr>
        <w:tab/>
        <w:t>(e)</w:t>
      </w:r>
      <w:r>
        <w:rPr>
          <w:snapToGrid w:val="0"/>
        </w:rPr>
        <w:tab/>
        <w:t>endanger the life or physical safety of any person; or</w:t>
      </w:r>
    </w:p>
    <w:p>
      <w:pPr>
        <w:pStyle w:val="yIndenta"/>
        <w:rPr>
          <w:snapToGrid w:val="0"/>
        </w:rPr>
      </w:pPr>
      <w:r>
        <w:rPr>
          <w:snapToGrid w:val="0"/>
        </w:rPr>
        <w:tab/>
        <w:t>(f)</w:t>
      </w:r>
      <w:r>
        <w:rPr>
          <w:snapToGrid w:val="0"/>
        </w:rPr>
        <w:tab/>
        <w:t>endanger the security of any property; or</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(2)</w:t>
      </w:r>
      <w:r>
        <w:rPr>
          <w:snapToGrid w:val="0"/>
        </w:rPr>
        <w:tab/>
        <w:t>Matter is exempt matter if it was created by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(3)</w:t>
      </w:r>
      <w:r>
        <w:rPr>
          <w:snapToGrid w:val="0"/>
        </w:rPr>
        <w:tab/>
        <w:t>Matter is exempt matter if it originated with, or was received from, a Commonwealth intelligence or security agency.</w:t>
      </w:r>
    </w:p>
    <w:p>
      <w:pPr>
        <w:pStyle w:val="ySubsection"/>
      </w:pPr>
      <w:r>
        <w:tab/>
        <w:t>(3A)</w:t>
      </w:r>
      <w:r>
        <w:tab/>
        <w:t>A Commissioner of Police report is exempt matter.</w:t>
      </w:r>
    </w:p>
    <w:p>
      <w:pPr>
        <w:pStyle w:val="ySubsection"/>
        <w:keepNext/>
        <w:rPr>
          <w:snapToGrid w:val="0"/>
        </w:rPr>
      </w:pPr>
      <w:r>
        <w:rPr>
          <w:snapToGrid w:val="0"/>
        </w:rPr>
        <w:lastRenderedPageBreak/>
        <w:tab/>
        <w:t>(4)</w:t>
      </w:r>
      <w:r>
        <w:rPr>
          <w:snapToGrid w:val="0"/>
        </w:rPr>
        <w:tab/>
        <w:t>Matter is not exempt matter under subclause (1) or (2) if —</w:t>
      </w:r>
    </w:p>
    <w:p>
      <w:pPr>
        <w:pStyle w:val="yIndenta"/>
        <w:keepNext/>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 or</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Subsection"/>
        <w:rPr>
          <w:snapToGrid w:val="0"/>
        </w:rPr>
      </w:pPr>
      <w:r>
        <w:rPr>
          <w:snapToGrid w:val="0"/>
        </w:rPr>
        <w:tab/>
        <w:t>(5)</w:t>
      </w:r>
      <w:r>
        <w:rPr>
          <w:snapToGrid w:val="0"/>
        </w:rPr>
        <w:tab/>
        <w:t>In this clause —</w:t>
      </w:r>
    </w:p>
    <w:p>
      <w:pPr>
        <w:pStyle w:val="yDefstart"/>
      </w:pPr>
      <w:r>
        <w:tab/>
      </w:r>
      <w:r>
        <w:rPr>
          <w:rStyle w:val="CharDefText"/>
        </w:rPr>
        <w:t>Commissioner of Police report</w:t>
      </w:r>
      <w:r>
        <w:t xml:space="preserve"> means a written report referred to in —</w:t>
      </w:r>
    </w:p>
    <w:p>
      <w:pPr>
        <w:pStyle w:val="yDefpara"/>
      </w:pPr>
      <w:r>
        <w:tab/>
        <w:t>(a)</w:t>
      </w:r>
      <w:r>
        <w:tab/>
        <w:t xml:space="preserve">the </w:t>
      </w:r>
      <w:r>
        <w:rPr>
          <w:i/>
        </w:rPr>
        <w:t>Sentence Administration Act 1995</w:t>
      </w:r>
      <w:r>
        <w:t xml:space="preserve"> section 66H(1) or (4); and</w:t>
      </w:r>
    </w:p>
    <w:p>
      <w:pPr>
        <w:pStyle w:val="yDefpara"/>
      </w:pPr>
      <w:r>
        <w:tab/>
        <w:t>(b)</w:t>
      </w:r>
      <w:r>
        <w:tab/>
        <w:t xml:space="preserve">the </w:t>
      </w:r>
      <w:r>
        <w:rPr>
          <w:i/>
        </w:rPr>
        <w:t>Young Offenders Act 1994</w:t>
      </w:r>
      <w:r>
        <w:t xml:space="preserve"> section 150D(1) or (4);</w:t>
      </w:r>
    </w:p>
    <w:p>
      <w:pPr>
        <w:pStyle w:val="yDefstart"/>
      </w:pPr>
      <w:r>
        <w:tab/>
      </w:r>
      <w:r>
        <w:rPr>
          <w:rStyle w:val="CharDefText"/>
        </w:rPr>
        <w:t>Commonwealth intelligence or security agency</w:t>
      </w:r>
      <w:r>
        <w:t xml:space="preserve"> means —</w:t>
      </w:r>
    </w:p>
    <w:p>
      <w:pPr>
        <w:pStyle w:val="yDefpara"/>
      </w:pPr>
      <w:r>
        <w:tab/>
        <w:t>(a)</w:t>
      </w:r>
      <w:r>
        <w:tab/>
        <w:t>the Australian Security Intelligence Organization; or</w:t>
      </w:r>
    </w:p>
    <w:p>
      <w:pPr>
        <w:pStyle w:val="yDefpara"/>
      </w:pPr>
      <w:r>
        <w:tab/>
        <w:t>(b)</w:t>
      </w:r>
      <w:r>
        <w:tab/>
        <w:t>the Australian Secret Intelligence Service; or</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law</w:t>
      </w:r>
      <w:r>
        <w:t xml:space="preserve"> means the law of this State, the Commonwealth, another State, a Territory or a foreign country or state.</w:t>
      </w:r>
    </w:p>
    <w:p>
      <w:pPr>
        <w:pStyle w:val="yFootnotesection"/>
      </w:pPr>
      <w:r>
        <w:tab/>
        <w:t>[Clause 5 amended: No. 31 of 1993 s. 43; No. 11 of 1996 s. 41; No. 56 of 2004 s. 4; No. 19 of 2010 s. 59; No. 14 of 2022 s. 45.]</w:t>
      </w:r>
    </w:p>
    <w:p>
      <w:pPr>
        <w:pStyle w:val="yHeading5"/>
      </w:pPr>
      <w:bookmarkStart w:id="181" w:name="_Toc161845522"/>
      <w:r>
        <w:rPr>
          <w:rStyle w:val="CharSClsNo"/>
        </w:rPr>
        <w:lastRenderedPageBreak/>
        <w:t>6</w:t>
      </w:r>
      <w:r>
        <w:t>.</w:t>
      </w:r>
      <w:r>
        <w:tab/>
        <w:t>Deliberative processes of Government etc., matter revealing</w:t>
      </w:r>
      <w:bookmarkEnd w:id="181"/>
    </w:p>
    <w:p>
      <w:pPr>
        <w:pStyle w:val="ySubsection"/>
        <w:ind w:left="890" w:hanging="890"/>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keepNext/>
        <w:rPr>
          <w:snapToGrid w:val="0"/>
        </w:rPr>
      </w:pPr>
      <w:r>
        <w:rPr>
          <w:snapToGrid w:val="0"/>
        </w:rPr>
        <w:tab/>
        <w:t>(ii)</w:t>
      </w:r>
      <w:r>
        <w:rPr>
          <w:snapToGrid w:val="0"/>
        </w:rPr>
        <w:tab/>
        <w:t>any consultation or deliberation that has taken place,</w:t>
      </w:r>
    </w:p>
    <w:p>
      <w:pPr>
        <w:pStyle w:val="yIndenta"/>
        <w:spacing w:before="60"/>
        <w:rPr>
          <w:snapToGrid w:val="0"/>
        </w:rPr>
      </w:pPr>
      <w:r>
        <w:rPr>
          <w:snapToGrid w:val="0"/>
        </w:rPr>
        <w:tab/>
      </w:r>
      <w:r>
        <w:rPr>
          <w:snapToGrid w:val="0"/>
        </w:rPr>
        <w:tab/>
        <w:t>in the course of, or for the purpose of, the deliberative processes of the Government, a Minister or an agency; and</w:t>
      </w:r>
    </w:p>
    <w:p>
      <w:pPr>
        <w:pStyle w:val="yIndenta"/>
        <w:spacing w:before="60"/>
        <w:rPr>
          <w:snapToGrid w:val="0"/>
        </w:rPr>
      </w:pPr>
      <w:r>
        <w:rPr>
          <w:snapToGrid w:val="0"/>
        </w:rPr>
        <w:tab/>
        <w:t>(b)</w:t>
      </w:r>
      <w:r>
        <w:rPr>
          <w:snapToGrid w:val="0"/>
        </w:rPr>
        <w:tab/>
        <w:t>would, on balance, be contrary to the public interest.</w:t>
      </w:r>
    </w:p>
    <w:p>
      <w:pPr>
        <w:pStyle w:val="ySubsection"/>
        <w:spacing w:before="150"/>
        <w:ind w:left="890" w:hanging="890"/>
        <w:rPr>
          <w:snapToGrid w:val="0"/>
        </w:rPr>
      </w:pPr>
      <w:r>
        <w:rPr>
          <w:snapToGrid w:val="0"/>
        </w:rPr>
        <w:tab/>
        <w:t>(2)</w:t>
      </w:r>
      <w:r>
        <w:rPr>
          <w:snapToGrid w:val="0"/>
        </w:rPr>
        <w:tab/>
        <w:t>Matter that appears in an internal manual of an agency is not exempt matter under subclause (1).</w:t>
      </w:r>
    </w:p>
    <w:p>
      <w:pPr>
        <w:pStyle w:val="ySubsection"/>
        <w:spacing w:before="150"/>
        <w:ind w:left="890" w:hanging="890"/>
        <w:rPr>
          <w:snapToGrid w:val="0"/>
        </w:rPr>
      </w:pPr>
      <w:r>
        <w:rPr>
          <w:snapToGrid w:val="0"/>
        </w:rPr>
        <w:tab/>
        <w:t>(3)</w:t>
      </w:r>
      <w:r>
        <w:rPr>
          <w:snapToGrid w:val="0"/>
        </w:rPr>
        <w:tab/>
        <w:t>Matter that is merely factual or statistical is not exempt matter under subclause (1).</w:t>
      </w:r>
    </w:p>
    <w:p>
      <w:pPr>
        <w:pStyle w:val="ySubsection"/>
        <w:spacing w:before="150"/>
        <w:ind w:left="890" w:hanging="890"/>
        <w:rPr>
          <w:snapToGrid w:val="0"/>
        </w:rPr>
      </w:pPr>
      <w:r>
        <w:rPr>
          <w:snapToGrid w:val="0"/>
        </w:rPr>
        <w:tab/>
        <w:t>(4)</w:t>
      </w:r>
      <w:r>
        <w:rPr>
          <w:snapToGrid w:val="0"/>
        </w:rPr>
        <w:tab/>
        <w:t>Matter is not exempt matter under subclause (1) if at least 10 years have passed since the matter came into existence.</w:t>
      </w:r>
    </w:p>
    <w:p>
      <w:pPr>
        <w:pStyle w:val="yFootnotesection"/>
      </w:pPr>
      <w:r>
        <w:tab/>
        <w:t>[Clause 6 amended: No. 19 of 2010 s. 59.]</w:t>
      </w:r>
    </w:p>
    <w:p>
      <w:pPr>
        <w:pStyle w:val="yHeading5"/>
      </w:pPr>
      <w:bookmarkStart w:id="182" w:name="_Toc161845523"/>
      <w:r>
        <w:rPr>
          <w:rStyle w:val="CharSClsNo"/>
        </w:rPr>
        <w:t>7</w:t>
      </w:r>
      <w:r>
        <w:t>.</w:t>
      </w:r>
      <w:r>
        <w:tab/>
        <w:t>Legal professional privilege, matter subject to</w:t>
      </w:r>
      <w:bookmarkEnd w:id="182"/>
    </w:p>
    <w:p>
      <w:pPr>
        <w:pStyle w:val="ySubsection"/>
        <w:spacing w:before="150"/>
        <w:rPr>
          <w:snapToGrid w:val="0"/>
        </w:rPr>
      </w:pPr>
      <w:r>
        <w:rPr>
          <w:snapToGrid w:val="0"/>
        </w:rPr>
        <w:tab/>
        <w:t>(1)</w:t>
      </w:r>
      <w:r>
        <w:rPr>
          <w:snapToGrid w:val="0"/>
        </w:rPr>
        <w:tab/>
        <w:t>Matter is exempt matter if it would be privileged from production in legal proceedings on the ground of legal professional privilege.</w:t>
      </w:r>
    </w:p>
    <w:p>
      <w:pPr>
        <w:pStyle w:val="ySubsection"/>
        <w:spacing w:before="150"/>
        <w:rPr>
          <w:snapToGrid w:val="0"/>
        </w:rPr>
      </w:pPr>
      <w:r>
        <w:rPr>
          <w:snapToGrid w:val="0"/>
        </w:rPr>
        <w:tab/>
        <w:t>(2)</w:t>
      </w:r>
      <w:r>
        <w:rPr>
          <w:snapToGrid w:val="0"/>
        </w:rPr>
        <w:tab/>
        <w:t>Matter that appears in an internal manual of an agency is not exempt matter under subclause (1).</w:t>
      </w:r>
    </w:p>
    <w:p>
      <w:pPr>
        <w:pStyle w:val="yFootnotesection"/>
      </w:pPr>
      <w:r>
        <w:tab/>
        <w:t>[Clause 7 amended: No. 19 of 2010 s. 59.]</w:t>
      </w:r>
    </w:p>
    <w:p>
      <w:pPr>
        <w:pStyle w:val="yHeading5"/>
      </w:pPr>
      <w:bookmarkStart w:id="183" w:name="_Toc161845524"/>
      <w:r>
        <w:rPr>
          <w:rStyle w:val="CharSClsNo"/>
        </w:rPr>
        <w:t>8</w:t>
      </w:r>
      <w:r>
        <w:t>.</w:t>
      </w:r>
      <w:r>
        <w:tab/>
        <w:t>Confidential communications</w:t>
      </w:r>
      <w:bookmarkEnd w:id="183"/>
    </w:p>
    <w:p>
      <w:pPr>
        <w:pStyle w:val="ySubsection"/>
        <w:rPr>
          <w:snapToGrid w:val="0"/>
        </w:rPr>
      </w:pPr>
      <w:r>
        <w:rPr>
          <w:snapToGrid w:val="0"/>
        </w:rPr>
        <w:tab/>
        <w:t>(1)</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(2)</w:t>
      </w:r>
      <w:r>
        <w:rPr>
          <w:snapToGrid w:val="0"/>
        </w:rPr>
        <w:tab/>
        <w:t>Matter is exempt matter if its disclosure —</w:t>
      </w:r>
    </w:p>
    <w:p>
      <w:pPr>
        <w:pStyle w:val="yIndenta"/>
        <w:spacing w:before="60"/>
        <w:rPr>
          <w:snapToGrid w:val="0"/>
        </w:rPr>
      </w:pPr>
      <w:r>
        <w:rPr>
          <w:snapToGrid w:val="0"/>
        </w:rPr>
        <w:tab/>
        <w:t>(a)</w:t>
      </w:r>
      <w:r>
        <w:rPr>
          <w:snapToGrid w:val="0"/>
        </w:rPr>
        <w:tab/>
        <w:t>would reveal information of a confidential nature obtained in confidence; and</w:t>
      </w:r>
    </w:p>
    <w:p>
      <w:pPr>
        <w:pStyle w:val="yIndenta"/>
        <w:keepNext/>
        <w:spacing w:before="60"/>
        <w:rPr>
          <w:snapToGrid w:val="0"/>
        </w:rPr>
      </w:pPr>
      <w:r>
        <w:rPr>
          <w:snapToGrid w:val="0"/>
        </w:rPr>
        <w:lastRenderedPageBreak/>
        <w:tab/>
        <w:t>(b)</w:t>
      </w:r>
      <w:r>
        <w:rPr>
          <w:snapToGrid w:val="0"/>
        </w:rPr>
        <w:tab/>
        <w:t>could reasonably be expected to prejudice the future supply of information of that kind to the Government or to an agency.</w:t>
      </w:r>
    </w:p>
    <w:p>
      <w:pPr>
        <w:pStyle w:val="ySubsection"/>
        <w:ind w:left="890" w:hanging="890"/>
        <w:rPr>
          <w:snapToGrid w:val="0"/>
        </w:rPr>
      </w:pPr>
      <w:r>
        <w:rPr>
          <w:snapToGrid w:val="0"/>
        </w:rPr>
        <w:tab/>
        <w:t>(3)</w:t>
      </w:r>
      <w:r>
        <w:rPr>
          <w:snapToGrid w:val="0"/>
        </w:rPr>
        <w:tab/>
        <w:t>Matter referred to in clause 6(1)(a) is not exempt matter under subclause (1) unless its disclosure would enable a legal remedy to be obtained for a breach of confidence owed to a person other than —</w:t>
      </w:r>
    </w:p>
    <w:p>
      <w:pPr>
        <w:pStyle w:val="yIndenta"/>
        <w:spacing w:before="60"/>
        <w:rPr>
          <w:snapToGrid w:val="0"/>
        </w:rPr>
      </w:pPr>
      <w:r>
        <w:rPr>
          <w:snapToGrid w:val="0"/>
        </w:rPr>
        <w:tab/>
        <w:t>(a)</w:t>
      </w:r>
      <w:r>
        <w:rPr>
          <w:snapToGrid w:val="0"/>
        </w:rPr>
        <w:tab/>
        <w:t>a person in the capacity of a Minister, a member of the staff of a Minister, or an officer of an agency; or</w:t>
      </w:r>
    </w:p>
    <w:p>
      <w:pPr>
        <w:pStyle w:val="yIndenta"/>
        <w:spacing w:before="60"/>
        <w:rPr>
          <w:snapToGrid w:val="0"/>
        </w:rPr>
      </w:pPr>
      <w:r>
        <w:rPr>
          <w:snapToGrid w:val="0"/>
        </w:rPr>
        <w:tab/>
        <w:t>(b)</w:t>
      </w:r>
      <w:r>
        <w:rPr>
          <w:snapToGrid w:val="0"/>
        </w:rPr>
        <w:tab/>
        <w:t>an agency or the State.</w:t>
      </w:r>
    </w:p>
    <w:p>
      <w:pPr>
        <w:pStyle w:val="ySubsection"/>
        <w:ind w:left="890" w:hanging="890"/>
        <w:rPr>
          <w:snapToGrid w:val="0"/>
        </w:rPr>
      </w:pPr>
      <w:r>
        <w:rPr>
          <w:snapToGrid w:val="0"/>
        </w:rPr>
        <w:tab/>
        <w:t>(4)</w:t>
      </w:r>
      <w:r>
        <w:rPr>
          <w:snapToGrid w:val="0"/>
        </w:rPr>
        <w:tab/>
        <w:t>Matter is not exempt matter under subclause (2) if its disclosure would, on balance, be in the public interest.</w:t>
      </w:r>
    </w:p>
    <w:p>
      <w:pPr>
        <w:pStyle w:val="yFootnotesection"/>
      </w:pPr>
      <w:r>
        <w:tab/>
        <w:t>[Clause 8 amended: No. 19 of 2010 s. 59.]</w:t>
      </w:r>
    </w:p>
    <w:p>
      <w:pPr>
        <w:pStyle w:val="yHeading5"/>
      </w:pPr>
      <w:bookmarkStart w:id="184" w:name="_Toc161845525"/>
      <w:r>
        <w:rPr>
          <w:rStyle w:val="CharSClsNo"/>
        </w:rPr>
        <w:t>9</w:t>
      </w:r>
      <w:r>
        <w:t>.</w:t>
      </w:r>
      <w:r>
        <w:tab/>
        <w:t>State’s economy, matter adversely affecting management of etc.</w:t>
      </w:r>
      <w:bookmarkEnd w:id="184"/>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9 amended: No. 19 of 2010 s. 59.]</w:t>
      </w:r>
    </w:p>
    <w:p>
      <w:pPr>
        <w:pStyle w:val="yHeading5"/>
      </w:pPr>
      <w:bookmarkStart w:id="185" w:name="_Toc161845526"/>
      <w:r>
        <w:rPr>
          <w:rStyle w:val="CharSClsNo"/>
        </w:rPr>
        <w:t>10</w:t>
      </w:r>
      <w:r>
        <w:t>.</w:t>
      </w:r>
      <w:r>
        <w:tab/>
        <w:t>State’s financial or property affairs, matter adversely affecting etc.</w:t>
      </w:r>
      <w:bookmarkEnd w:id="185"/>
    </w:p>
    <w:p>
      <w:pPr>
        <w:pStyle w:val="ySubsection"/>
        <w:rPr>
          <w:snapToGrid w:val="0"/>
        </w:rPr>
      </w:pPr>
      <w:r>
        <w:rPr>
          <w:snapToGrid w:val="0"/>
        </w:rPr>
        <w:tab/>
        <w:t>(1)</w:t>
      </w:r>
      <w:r>
        <w:rPr>
          <w:snapToGrid w:val="0"/>
        </w:rPr>
        <w:tab/>
        <w:t>Matter is exempt matter if its disclosure could reasonably be expected to have a substantial adverse effect on the financial or property affairs of the State or an agency.</w:t>
      </w:r>
    </w:p>
    <w:p>
      <w:pPr>
        <w:pStyle w:val="ySubsection"/>
        <w:rPr>
          <w:snapToGrid w:val="0"/>
        </w:rPr>
      </w:pPr>
      <w:r>
        <w:rPr>
          <w:snapToGrid w:val="0"/>
        </w:rPr>
        <w:tab/>
        <w:t>(2)</w:t>
      </w:r>
      <w:r>
        <w:rPr>
          <w:snapToGrid w:val="0"/>
        </w:rPr>
        <w:tab/>
      </w:r>
      <w:r>
        <w:t>Matter</w:t>
      </w:r>
      <w:r>
        <w:rPr>
          <w:snapToGrid w:val="0"/>
        </w:rPr>
        <w:t xml:space="preserve"> is exempt matter if its disclosure would reveal trade secrets of an agency.</w:t>
      </w:r>
    </w:p>
    <w:p>
      <w:pPr>
        <w:pStyle w:val="ySubsection"/>
        <w:rPr>
          <w:snapToGrid w:val="0"/>
        </w:rPr>
      </w:pPr>
      <w:r>
        <w:rPr>
          <w:snapToGrid w:val="0"/>
        </w:rPr>
        <w:lastRenderedPageBreak/>
        <w:tab/>
        <w:t>(3)</w:t>
      </w:r>
      <w:r>
        <w:rPr>
          <w:snapToGrid w:val="0"/>
        </w:rPr>
        <w:tab/>
      </w:r>
      <w:r>
        <w:t>Matter</w:t>
      </w:r>
      <w:r>
        <w:rPr>
          <w:snapToGrid w:val="0"/>
        </w:rPr>
        <w:t xml:space="preserve"> is exempt matter if its disclosure —</w:t>
      </w:r>
    </w:p>
    <w:p>
      <w:pPr>
        <w:pStyle w:val="yIndenta"/>
        <w:spacing w:before="70"/>
        <w:rPr>
          <w:snapToGrid w:val="0"/>
        </w:rPr>
      </w:pPr>
      <w:r>
        <w:rPr>
          <w:snapToGrid w:val="0"/>
        </w:rPr>
        <w:tab/>
        <w:t>(a)</w:t>
      </w:r>
      <w:r>
        <w:rPr>
          <w:snapToGrid w:val="0"/>
        </w:rPr>
        <w:tab/>
        <w:t>would reveal information (other than trade secrets) that has a commercial value to an agency; and</w:t>
      </w:r>
    </w:p>
    <w:p>
      <w:pPr>
        <w:pStyle w:val="yIndenta"/>
        <w:spacing w:before="70"/>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(4)</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rPr>
          <w:snapToGrid w:val="0"/>
        </w:rPr>
      </w:pPr>
      <w:r>
        <w:rPr>
          <w:snapToGrid w:val="0"/>
        </w:rPr>
        <w:tab/>
        <w:t>(5)</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Subsection"/>
        <w:rPr>
          <w:snapToGrid w:val="0"/>
        </w:rPr>
      </w:pPr>
      <w:r>
        <w:rPr>
          <w:snapToGrid w:val="0"/>
        </w:rPr>
        <w:tab/>
        <w:t>(6)</w:t>
      </w:r>
      <w:r>
        <w:rPr>
          <w:snapToGrid w:val="0"/>
        </w:rPr>
        <w:tab/>
        <w:t>Matter is not exempt matter under subclause (1), (2), (3), (4) or (5) if its disclosure would, on balance, be in the public interest.</w:t>
      </w:r>
    </w:p>
    <w:p>
      <w:pPr>
        <w:pStyle w:val="yFootnotesection"/>
      </w:pPr>
      <w:r>
        <w:tab/>
        <w:t>[Clause 10 amended: No. 19 of 2010 s. 59.]</w:t>
      </w:r>
    </w:p>
    <w:p>
      <w:pPr>
        <w:pStyle w:val="yHeading5"/>
      </w:pPr>
      <w:bookmarkStart w:id="186" w:name="_Toc161845527"/>
      <w:r>
        <w:rPr>
          <w:rStyle w:val="CharSClsNo"/>
        </w:rPr>
        <w:t>11</w:t>
      </w:r>
      <w:r>
        <w:t>.</w:t>
      </w:r>
      <w:r>
        <w:tab/>
        <w:t>Effective operation of agencies, matter impairing etc.</w:t>
      </w:r>
      <w:bookmarkEnd w:id="186"/>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 or</w:t>
      </w:r>
    </w:p>
    <w:p>
      <w:pPr>
        <w:pStyle w:val="yIndenta"/>
        <w:rPr>
          <w:snapToGrid w:val="0"/>
        </w:rPr>
      </w:pPr>
      <w:r>
        <w:rPr>
          <w:snapToGrid w:val="0"/>
        </w:rPr>
        <w:tab/>
        <w:t>(b)</w:t>
      </w:r>
      <w:r>
        <w:rPr>
          <w:snapToGrid w:val="0"/>
        </w:rPr>
        <w:tab/>
        <w:t>prevent the objects of any test, examination or audit conducted by an agency from being attained; or</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Subsection"/>
        <w:rPr>
          <w:snapToGrid w:val="0"/>
        </w:rPr>
      </w:pPr>
      <w:r>
        <w:rPr>
          <w:snapToGrid w:val="0"/>
        </w:rPr>
        <w:lastRenderedPageBreak/>
        <w:tab/>
        <w:t>(2)</w:t>
      </w:r>
      <w:r>
        <w:rPr>
          <w:snapToGrid w:val="0"/>
        </w:rPr>
        <w:tab/>
        <w:t>Matter is not exempt matter under subclause (1) if its disclosure would, on balance, be in the public interest.</w:t>
      </w:r>
    </w:p>
    <w:p>
      <w:pPr>
        <w:pStyle w:val="yFootnotesection"/>
      </w:pPr>
      <w:r>
        <w:tab/>
        <w:t>[Clause 11 amended: No. 19 of 2010 s. 59.]</w:t>
      </w:r>
    </w:p>
    <w:p>
      <w:pPr>
        <w:pStyle w:val="yHeading5"/>
      </w:pPr>
      <w:bookmarkStart w:id="187" w:name="_Toc161845528"/>
      <w:r>
        <w:rPr>
          <w:rStyle w:val="CharSClsNo"/>
        </w:rPr>
        <w:t>12</w:t>
      </w:r>
      <w:r>
        <w:t>.</w:t>
      </w:r>
      <w:r>
        <w:tab/>
        <w:t>Contempt of Parliament or court, matter that would be</w:t>
      </w:r>
      <w:bookmarkEnd w:id="187"/>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 or</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Footnotesection"/>
      </w:pPr>
      <w:r>
        <w:tab/>
        <w:t>[Clause 12 amended: No. 19 of 2010 s. 59.]</w:t>
      </w:r>
    </w:p>
    <w:p>
      <w:pPr>
        <w:pStyle w:val="yHeading5"/>
      </w:pPr>
      <w:bookmarkStart w:id="188" w:name="_Toc161845529"/>
      <w:r>
        <w:rPr>
          <w:rStyle w:val="CharSClsNo"/>
        </w:rPr>
        <w:t>13</w:t>
      </w:r>
      <w:r>
        <w:t>.</w:t>
      </w:r>
      <w:r>
        <w:tab/>
        <w:t>Adoption or artificial conception information</w:t>
      </w:r>
      <w:bookmarkEnd w:id="188"/>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Footnotesection"/>
      </w:pPr>
      <w:r>
        <w:tab/>
        <w:t>[Clause 13 amended: No. 19 of 2010 s. 59.]</w:t>
      </w:r>
    </w:p>
    <w:p>
      <w:pPr>
        <w:pStyle w:val="yHeading5"/>
      </w:pPr>
      <w:bookmarkStart w:id="189" w:name="_Toc146789161"/>
      <w:bookmarkStart w:id="190" w:name="_Toc161845530"/>
      <w:r>
        <w:rPr>
          <w:rStyle w:val="CharSClsNo"/>
        </w:rPr>
        <w:t>13A</w:t>
      </w:r>
      <w:r>
        <w:t>.</w:t>
      </w:r>
      <w:r>
        <w:tab/>
        <w:t>Abortion information</w:t>
      </w:r>
      <w:bookmarkEnd w:id="189"/>
      <w:bookmarkEnd w:id="190"/>
    </w:p>
    <w:p>
      <w:pPr>
        <w:pStyle w:val="ySubsection"/>
      </w:pPr>
      <w:r>
        <w:tab/>
        <w:t>(1)</w:t>
      </w:r>
      <w:r>
        <w:tab/>
        <w:t xml:space="preserve">Matter is exempt matter if its disclosure would reveal or tend to reveal the identity of anyone as — </w:t>
      </w:r>
    </w:p>
    <w:p>
      <w:pPr>
        <w:pStyle w:val="yIndenta"/>
      </w:pPr>
      <w:r>
        <w:tab/>
        <w:t>(a)</w:t>
      </w:r>
      <w:r>
        <w:tab/>
        <w:t xml:space="preserve">a person on whom an abortion mentioned in the </w:t>
      </w:r>
      <w:r>
        <w:rPr>
          <w:i/>
        </w:rPr>
        <w:t>Public Health Act 2016</w:t>
      </w:r>
      <w:r>
        <w:t xml:space="preserve"> Part 12C Division 2 has been performed; or</w:t>
      </w:r>
    </w:p>
    <w:p>
      <w:pPr>
        <w:pStyle w:val="yIndenta"/>
      </w:pPr>
      <w:r>
        <w:tab/>
        <w:t>(b)</w:t>
      </w:r>
      <w:r>
        <w:tab/>
        <w:t xml:space="preserve">a person who has performed, or has assisted in the performance of, an abortion mentioned in the </w:t>
      </w:r>
      <w:r>
        <w:rPr>
          <w:i/>
        </w:rPr>
        <w:t>Public Health Act 2016</w:t>
      </w:r>
      <w:r>
        <w:t xml:space="preserve"> Part 12C Division 2.</w:t>
      </w:r>
    </w:p>
    <w:p>
      <w:pPr>
        <w:pStyle w:val="ySubsection"/>
      </w:pPr>
      <w:r>
        <w:tab/>
        <w:t>(2)</w:t>
      </w:r>
      <w:r>
        <w:tab/>
        <w:t xml:space="preserve">Without limiting subclause (1), matter is exempt matter under that subclause if it contains an identification number, or other identifying </w:t>
      </w:r>
      <w:r>
        <w:lastRenderedPageBreak/>
        <w:t>particular, by reference to which a person referred to in subclause (1)(a) or (b) can be identified.</w:t>
      </w:r>
    </w:p>
    <w:p>
      <w:pPr>
        <w:pStyle w:val="ySubsection"/>
      </w:pPr>
      <w:r>
        <w:tab/>
        <w:t>(3)</w:t>
      </w:r>
      <w:r>
        <w:tab/>
        <w:t xml:space="preserve">Matter is not exempt matter under subclause (1) merely because its disclosure would reveal or tend to reveal — </w:t>
      </w:r>
    </w:p>
    <w:p>
      <w:pPr>
        <w:pStyle w:val="yIndenta"/>
      </w:pPr>
      <w:r>
        <w:tab/>
        <w:t>(a)</w:t>
      </w:r>
      <w:r>
        <w:tab/>
        <w:t xml:space="preserve">the applicant as a person on whom an abortion mentioned in the </w:t>
      </w:r>
      <w:r>
        <w:rPr>
          <w:i/>
        </w:rPr>
        <w:t>Public Health Act 2016</w:t>
      </w:r>
      <w:r>
        <w:t xml:space="preserve"> Part 12C Division 2 has been performed; or</w:t>
      </w:r>
    </w:p>
    <w:p>
      <w:pPr>
        <w:pStyle w:val="yIndenta"/>
      </w:pPr>
      <w:r>
        <w:tab/>
        <w:t>(b)</w:t>
      </w:r>
      <w:r>
        <w:tab/>
        <w:t xml:space="preserve">the identity of a person who has performed on the applicant, or has assisted in the performance of on the applicant, an abortion mentioned in the </w:t>
      </w:r>
      <w:r>
        <w:rPr>
          <w:i/>
        </w:rPr>
        <w:t>Public Health Act 2016</w:t>
      </w:r>
      <w:r>
        <w:t xml:space="preserve"> Part 12C Division 2; or</w:t>
      </w:r>
    </w:p>
    <w:p>
      <w:pPr>
        <w:pStyle w:val="yIndenta"/>
      </w:pPr>
      <w:r>
        <w:tab/>
        <w:t>(c)</w:t>
      </w:r>
      <w:r>
        <w:tab/>
        <w:t xml:space="preserve">the applicant as a person who has performed, or has assisted in the performance of, an abortion mentioned in the </w:t>
      </w:r>
      <w:r>
        <w:rPr>
          <w:i/>
        </w:rPr>
        <w:t>Public Health Act 2016</w:t>
      </w:r>
      <w:r>
        <w:t xml:space="preserve"> Part 12C Division 2.</w:t>
      </w:r>
    </w:p>
    <w:p>
      <w:pPr>
        <w:pStyle w:val="ySubsection"/>
      </w:pPr>
      <w:r>
        <w:tab/>
        <w:t>(4)</w:t>
      </w:r>
      <w:r>
        <w:tab/>
        <w:t xml:space="preserve">This clause applies whether the abortion was performed before, on or after the day on which the </w:t>
      </w:r>
      <w:r>
        <w:rPr>
          <w:i/>
        </w:rPr>
        <w:t>Abortion Legislation Reform Act 2023</w:t>
      </w:r>
      <w:r>
        <w:t xml:space="preserve"> section 24 comes into operation.</w:t>
      </w:r>
    </w:p>
    <w:p>
      <w:pPr>
        <w:pStyle w:val="yFootnotesection"/>
      </w:pPr>
      <w:r>
        <w:tab/>
        <w:t>[Clause 13A inserted: No. 20 of 2023 s. 24.]</w:t>
      </w:r>
    </w:p>
    <w:p>
      <w:pPr>
        <w:pStyle w:val="yHeading5"/>
      </w:pPr>
      <w:bookmarkStart w:id="191" w:name="_Toc161845531"/>
      <w:r>
        <w:rPr>
          <w:rStyle w:val="CharSClsNo"/>
        </w:rPr>
        <w:t>14</w:t>
      </w:r>
      <w:r>
        <w:t>.</w:t>
      </w:r>
      <w:r>
        <w:tab/>
        <w:t>Information protected by certain statutory provisions</w:t>
      </w:r>
      <w:bookmarkEnd w:id="191"/>
    </w:p>
    <w:p>
      <w:pPr>
        <w:pStyle w:val="ySubsection"/>
        <w:rPr>
          <w:snapToGrid w:val="0"/>
        </w:rPr>
      </w:pPr>
      <w:r>
        <w:rPr>
          <w:snapToGrid w:val="0"/>
        </w:rPr>
        <w:tab/>
        <w:t>(1)</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 or</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or</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 xml:space="preserve">section 47 of the </w:t>
      </w:r>
      <w:r>
        <w:rPr>
          <w:i/>
        </w:rPr>
        <w:t>Inspector of Custodial Services Act 2003</w:t>
      </w:r>
      <w:r>
        <w:t>.</w:t>
      </w:r>
    </w:p>
    <w:p>
      <w:pPr>
        <w:pStyle w:val="ySubsection"/>
        <w:rPr>
          <w:snapToGrid w:val="0"/>
        </w:rPr>
      </w:pPr>
      <w:r>
        <w:rPr>
          <w:snapToGrid w:val="0"/>
        </w:rPr>
        <w:tab/>
        <w:t>(2)</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keepNext/>
        <w:rPr>
          <w:snapToGrid w:val="0"/>
        </w:rPr>
      </w:pPr>
      <w:r>
        <w:rPr>
          <w:snapToGrid w:val="0"/>
        </w:rPr>
        <w:lastRenderedPageBreak/>
        <w:tab/>
        <w:t>(3)</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pPr>
      <w:r>
        <w:tab/>
        <w:t>(a)</w:t>
      </w:r>
      <w:r>
        <w:tab/>
        <w:t>Part 3A;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keepNext/>
        <w:keepLines/>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spacing w:before="70"/>
      </w:pPr>
      <w:r>
        <w:tab/>
        <w:t>(a)</w:t>
      </w:r>
      <w:r>
        <w:tab/>
        <w:t xml:space="preserve">a person who has made an appropriate disclosure of public interest information under the </w:t>
      </w:r>
      <w:r>
        <w:rPr>
          <w:i/>
          <w:snapToGrid w:val="0"/>
        </w:rPr>
        <w:t>Public Interest Disclosure Act 2003</w:t>
      </w:r>
      <w:r>
        <w:t>; or</w:t>
      </w:r>
    </w:p>
    <w:p>
      <w:pPr>
        <w:pStyle w:val="yIndenta"/>
        <w:spacing w:before="70"/>
      </w:pPr>
      <w:r>
        <w:tab/>
        <w:t>(b)</w:t>
      </w:r>
      <w:r>
        <w:tab/>
        <w:t xml:space="preserve">a person in respect of whom a disclosure of public interest information has been made under the </w:t>
      </w:r>
      <w:r>
        <w:rPr>
          <w:i/>
          <w:snapToGrid w:val="0"/>
        </w:rPr>
        <w:t>Public Interest Disclosure Act 2003</w:t>
      </w:r>
      <w:r>
        <w:t>; or</w:t>
      </w:r>
    </w:p>
    <w:p>
      <w:pPr>
        <w:pStyle w:val="yIndenta"/>
        <w:spacing w:before="70"/>
      </w:pPr>
      <w:r>
        <w:tab/>
        <w:t>(c)</w:t>
      </w:r>
      <w:r>
        <w:tab/>
        <w:t xml:space="preserve">a person who has made, or a person who is mentioned in, a report under the </w:t>
      </w:r>
      <w:r>
        <w:rPr>
          <w:i/>
        </w:rPr>
        <w:t>Children and Community Services Act 2004</w:t>
      </w:r>
      <w:r>
        <w:t xml:space="preserve"> section 124B(1); or</w:t>
      </w:r>
    </w:p>
    <w:p>
      <w:pPr>
        <w:pStyle w:val="yIndenta"/>
        <w:spacing w:before="70"/>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spacing w:before="70"/>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w:t>
      </w:r>
      <w:r>
        <w:rPr>
          <w:color w:val="000000"/>
          <w:szCs w:val="22"/>
        </w:rPr>
        <w:t xml:space="preserve"> or (3); or</w:t>
      </w:r>
    </w:p>
    <w:p>
      <w:pPr>
        <w:pStyle w:val="yIndenta"/>
        <w:keepNext/>
        <w:keepLines/>
        <w:spacing w:before="70"/>
      </w:pPr>
      <w:r>
        <w:lastRenderedPageBreak/>
        <w:tab/>
        <w:t>(f)</w:t>
      </w:r>
      <w:r>
        <w:tab/>
        <w:t xml:space="preserve">a person in respect of whom information is contained in the Community Protection Offender Register established under the </w:t>
      </w:r>
      <w:r>
        <w:rPr>
          <w:i/>
        </w:rPr>
        <w:t>Community Protection (Offender Reporting) Act 2004</w:t>
      </w:r>
      <w:r>
        <w:t xml:space="preserve"> section 80.</w:t>
      </w:r>
    </w:p>
    <w:p>
      <w:pPr>
        <w:pStyle w:val="yFootnotesection"/>
      </w:pPr>
      <w:r>
        <w:tab/>
        <w:t>[Clause 14 amended: No. 94 of 1994 s. 3; No. 50 of 1995 s. 3; No. 75 of 1995 s. 80(4); No. 13 of 1998 s. 34(2); No. 43 of 1999 s. 20; No. 29 of 2003 s. 28; No. 75 of 2003 s. 56(1); No. 26 of 2008 s. 13; No. 33 of 2010 s. 57; No. 19 of 2010 s. 59; No. 54 of 2012 s. 44; No. 23 of 2022 s. 44.]</w:t>
      </w:r>
    </w:p>
    <w:p>
      <w:pPr>
        <w:pStyle w:val="yHeading5"/>
      </w:pPr>
      <w:bookmarkStart w:id="192" w:name="_Toc161845532"/>
      <w:r>
        <w:rPr>
          <w:rStyle w:val="CharSClsNo"/>
        </w:rPr>
        <w:t>15</w:t>
      </w:r>
      <w:r>
        <w:t>.</w:t>
      </w:r>
      <w:r>
        <w:tab/>
        <w:t>Precious metal transactions, information as to</w:t>
      </w:r>
      <w:bookmarkEnd w:id="192"/>
    </w:p>
    <w:p>
      <w:pPr>
        <w:pStyle w:val="ySubsection"/>
        <w:keepNext/>
        <w:rPr>
          <w:snapToGrid w:val="0"/>
        </w:rPr>
      </w:pPr>
      <w:r>
        <w:rPr>
          <w:snapToGrid w:val="0"/>
        </w:rPr>
        <w:tab/>
        <w:t>(1)</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Subsection"/>
        <w:rPr>
          <w:snapToGrid w:val="0"/>
        </w:rPr>
      </w:pPr>
      <w:r>
        <w:rPr>
          <w:snapToGrid w:val="0"/>
        </w:rPr>
        <w:tab/>
        <w:t>(2)</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Footnotesection"/>
      </w:pPr>
      <w:r>
        <w:tab/>
        <w:t>[Clause 15 amended: No. 19 of 2010 s. 59.]</w:t>
      </w:r>
    </w:p>
    <w:p>
      <w:pPr>
        <w:pStyle w:val="yScheduleHeading"/>
        <w:outlineLvl w:val="9"/>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outlineLvl w:val="0"/>
      </w:pPr>
      <w:bookmarkStart w:id="194" w:name="_Toc161842812"/>
      <w:bookmarkStart w:id="195" w:name="_Toc161843085"/>
      <w:bookmarkStart w:id="196" w:name="_Toc161845533"/>
      <w:r>
        <w:rPr>
          <w:rStyle w:val="CharSchNo"/>
        </w:rPr>
        <w:lastRenderedPageBreak/>
        <w:t>Schedule 2</w:t>
      </w:r>
      <w:r>
        <w:t xml:space="preserve"> — </w:t>
      </w:r>
      <w:r>
        <w:rPr>
          <w:rStyle w:val="CharSchText"/>
        </w:rPr>
        <w:t>Exempt agencies</w:t>
      </w:r>
      <w:bookmarkEnd w:id="194"/>
      <w:bookmarkEnd w:id="195"/>
      <w:bookmarkEnd w:id="196"/>
    </w:p>
    <w:p>
      <w:pPr>
        <w:pStyle w:val="yShoulderClause"/>
        <w:rPr>
          <w:snapToGrid w:val="0"/>
        </w:rPr>
      </w:pPr>
      <w:r>
        <w:rPr>
          <w:snapToGrid w:val="0"/>
        </w:rPr>
        <w:t>[Glossary cl. 1]</w:t>
      </w:r>
    </w:p>
    <w:p>
      <w:pPr>
        <w:pStyle w:val="yFootnotesection"/>
      </w:pPr>
      <w:r>
        <w:tab/>
        <w:t>[Heading amended: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pPr>
      <w:r>
        <w:tab/>
        <w:t xml:space="preserve">The Public Sector Commissioner, but only in relation to documents originating with or received by the Public Sector Commissioner in relation to his or her functions under the </w:t>
      </w:r>
      <w:r>
        <w:rPr>
          <w:i/>
        </w:rPr>
        <w:t>Corruption, Crime and Misconduct Act 2003</w:t>
      </w:r>
      <w:r>
        <w:t>.</w:t>
      </w:r>
    </w:p>
    <w:p>
      <w:pPr>
        <w:pStyle w:val="yNumberedItem"/>
        <w:rPr>
          <w:snapToGrid w:val="0"/>
        </w:rPr>
      </w:pPr>
      <w:r>
        <w:rPr>
          <w:snapToGrid w:val="0"/>
        </w:rPr>
        <w:tab/>
        <w:t>The Director of Public Prosecutions.</w:t>
      </w:r>
    </w:p>
    <w:p>
      <w:pPr>
        <w:pStyle w:val="yNumberedItem"/>
        <w:rPr>
          <w:szCs w:val="22"/>
        </w:rPr>
      </w:pPr>
      <w:r>
        <w:rPr>
          <w:szCs w:val="22"/>
        </w:rPr>
        <w:tab/>
        <w:t>The Electoral Distribution Commissioners.</w:t>
      </w:r>
    </w:p>
    <w:p>
      <w:pPr>
        <w:pStyle w:val="yNumberedItem"/>
      </w:pPr>
      <w:r>
        <w:tab/>
        <w:t>The High Risk Serious Offenders Board.</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pPr>
      <w:r>
        <w:tab/>
        <w:t xml:space="preserve">The State Solicitor, but only in relation to documents originating with or received by the State Solicitor in connection with functions under the </w:t>
      </w:r>
      <w:r>
        <w:rPr>
          <w:i/>
        </w:rPr>
        <w:t>High Risk Serious Offenders Act 2020</w:t>
      </w:r>
      <w:r>
        <w:t>.</w:t>
      </w:r>
    </w:p>
    <w:p>
      <w:pPr>
        <w:pStyle w:val="yNumberedItem"/>
        <w:rPr>
          <w:snapToGrid w:val="0"/>
        </w:rPr>
      </w:pPr>
      <w:r>
        <w:rPr>
          <w:snapToGrid w:val="0"/>
        </w:rPr>
        <w:tab/>
        <w:t>The Supervised Release Review Board.</w:t>
      </w:r>
    </w:p>
    <w:p>
      <w:pPr>
        <w:pStyle w:val="yNumberedItem"/>
        <w:rPr>
          <w:snapToGrid w:val="0"/>
        </w:rPr>
      </w:pPr>
      <w:r>
        <w:rPr>
          <w:snapToGrid w:val="0"/>
        </w:rPr>
        <w:lastRenderedPageBreak/>
        <w:tab/>
        <w:t>The State Government Insurance Corporation</w:t>
      </w:r>
      <w:r>
        <w:rPr>
          <w:snapToGrid w:val="0"/>
          <w:vertAlign w:val="superscript"/>
        </w:rPr>
        <w:t> 3</w:t>
      </w:r>
      <w:r>
        <w:rPr>
          <w:snapToGrid w:val="0"/>
        </w:rPr>
        <w:t>.</w:t>
      </w:r>
    </w:p>
    <w:p>
      <w:pPr>
        <w:pStyle w:val="yNumberedItem"/>
      </w:pPr>
      <w:r>
        <w:tab/>
        <w:t>The Western Australian Charitable Trusts Commission.</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snapToGrid w:val="0"/>
          <w:vertAlign w:val="superscript"/>
        </w:rPr>
        <w:t> 4</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No. 31 of 1993 s. 44; No. 6 of 1994 s. 13; No. 36 of 1994 s. 35; No. 104 of 1994 s. 236; No. 14 of 1995 s. 44(1); No. 11 of 1996 s. 41; No. 29 of 1996 s. 26; No. 21 of 2002 s. 72; No. 48 of 2003 s. 62; No. 75 of 2003 s. 56(1); No. 78 of 2003 s. 74(2); No. 41 of 2006 s. 90; No. 43 of 2006 s. 6; No. 14 of 2014 s. 11; No. 35 of 2014 s. 33; No. 29 of 2020 s. 101; No. 38 of 2022 s. 58(2).]</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yScheduleHeading"/>
        <w:outlineLvl w:val="0"/>
      </w:pPr>
      <w:bookmarkStart w:id="197" w:name="_Toc161842813"/>
      <w:bookmarkStart w:id="198" w:name="_Toc161843086"/>
      <w:bookmarkStart w:id="199" w:name="_Toc161845534"/>
      <w:r>
        <w:rPr>
          <w:rStyle w:val="CharSchNo"/>
        </w:rPr>
        <w:lastRenderedPageBreak/>
        <w:t>Glossary</w:t>
      </w:r>
      <w:bookmarkEnd w:id="197"/>
      <w:bookmarkEnd w:id="198"/>
      <w:bookmarkEnd w:id="199"/>
    </w:p>
    <w:p>
      <w:pPr>
        <w:pStyle w:val="yShoulderClause"/>
        <w:rPr>
          <w:snapToGrid w:val="0"/>
        </w:rPr>
      </w:pPr>
      <w:r>
        <w:rPr>
          <w:snapToGrid w:val="0"/>
        </w:rPr>
        <w:t>[Section</w:t>
      </w:r>
      <w:r>
        <w:rPr>
          <w:rStyle w:val="CharSchText"/>
        </w:rPr>
        <w:t> </w:t>
      </w:r>
      <w:r>
        <w:rPr>
          <w:snapToGrid w:val="0"/>
        </w:rPr>
        <w:t>9]</w:t>
      </w:r>
    </w:p>
    <w:p>
      <w:pPr>
        <w:pStyle w:val="yHeading5"/>
      </w:pPr>
      <w:bookmarkStart w:id="200" w:name="_Toc161845535"/>
      <w:r>
        <w:rPr>
          <w:rStyle w:val="CharSClsNo"/>
        </w:rPr>
        <w:t>1</w:t>
      </w:r>
      <w:r>
        <w:t>.</w:t>
      </w:r>
      <w:r>
        <w:tab/>
        <w:t>Terms used</w:t>
      </w:r>
      <w:bookmarkEnd w:id="200"/>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the </w:t>
      </w:r>
      <w:r>
        <w:rPr>
          <w:rStyle w:val="CharDefText"/>
        </w:rPr>
        <w:t>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 or</w:t>
      </w:r>
    </w:p>
    <w:p>
      <w:pPr>
        <w:pStyle w:val="yDefpara"/>
      </w:pPr>
      <w:r>
        <w:tab/>
        <w:t>(b)</w:t>
      </w:r>
      <w:r>
        <w:tab/>
        <w:t>any part of a record; or</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lastRenderedPageBreak/>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 and</w:t>
      </w:r>
    </w:p>
    <w:p>
      <w:pPr>
        <w:pStyle w:val="yDefpara"/>
      </w:pPr>
      <w:r>
        <w:tab/>
        <w:t>(b)</w:t>
      </w:r>
      <w:r>
        <w:tab/>
        <w:t>the principal officer of the agency; and</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(ea)</w:t>
      </w:r>
      <w:r>
        <w:tab/>
        <w:t>in relation to a regional subsidiary — the person who manages the affairs of the regional subsidiary;</w:t>
      </w:r>
    </w:p>
    <w:p>
      <w:pPr>
        <w:pStyle w:val="yDefpara"/>
      </w:pPr>
      <w:r>
        <w:tab/>
        <w:t>(e)</w:t>
      </w:r>
      <w:r>
        <w:tab/>
        <w:t>in relation to an agency that consists of one person (not being an incorporated body) — that person;</w:t>
      </w:r>
    </w:p>
    <w:p>
      <w:pPr>
        <w:pStyle w:val="yDefpara"/>
      </w:pPr>
      <w:r>
        <w:lastRenderedPageBreak/>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pPr>
      <w:r>
        <w:tab/>
        <w:t>(i)</w:t>
      </w:r>
      <w:r>
        <w:tab/>
        <w:t>if it is an incorporated body that has no members — the person who manages the affairs of the body; or</w:t>
      </w:r>
    </w:p>
    <w:p>
      <w:pPr>
        <w:pStyle w:val="yDefsubpara"/>
      </w:pPr>
      <w:r>
        <w:tab/>
        <w:t>(ii)</w:t>
      </w:r>
      <w: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 or</w:t>
      </w:r>
    </w:p>
    <w:p>
      <w:pPr>
        <w:pStyle w:val="yDefpara"/>
      </w:pPr>
      <w:r>
        <w:tab/>
        <w:t>(b)</w:t>
      </w:r>
      <w:r>
        <w:tab/>
        <w:t xml:space="preserve">an organization specified in column 2 of Schedule 2 to the </w:t>
      </w:r>
      <w:r>
        <w:rPr>
          <w:i/>
        </w:rPr>
        <w:t>Public Sector Management Act 1994</w:t>
      </w:r>
      <w:r>
        <w:t>; or</w:t>
      </w:r>
    </w:p>
    <w:p>
      <w:pPr>
        <w:pStyle w:val="yDefpara"/>
      </w:pPr>
      <w:r>
        <w:tab/>
        <w:t>(c)</w:t>
      </w:r>
      <w:r>
        <w:tab/>
        <w:t>the Police Force of Western Australia; or</w:t>
      </w:r>
    </w:p>
    <w:p>
      <w:pPr>
        <w:pStyle w:val="yDefpara"/>
      </w:pPr>
      <w:r>
        <w:tab/>
        <w:t>(d)</w:t>
      </w:r>
      <w:r>
        <w:tab/>
        <w:t>a local government, regional local government or regional subsidiary; or</w:t>
      </w:r>
    </w:p>
    <w:p>
      <w:pPr>
        <w:pStyle w:val="yDefpara"/>
      </w:pPr>
      <w:r>
        <w:tab/>
        <w:t>(e)</w:t>
      </w:r>
      <w:r>
        <w:tab/>
        <w:t>a body or office that is established for a public purpose under a written law; or</w:t>
      </w:r>
    </w:p>
    <w:p>
      <w:pPr>
        <w:pStyle w:val="yDefpara"/>
      </w:pPr>
      <w:r>
        <w:tab/>
        <w:t>(f)</w:t>
      </w:r>
      <w:r>
        <w:tab/>
        <w:t>a body or office that is established by the Governor or a Minister; or</w:t>
      </w:r>
    </w:p>
    <w:p>
      <w:pPr>
        <w:pStyle w:val="yDefpara"/>
      </w:pPr>
      <w:r>
        <w:tab/>
        <w:t>(g)</w:t>
      </w:r>
      <w:r>
        <w:tab/>
        <w:t>any other body or office that is declared by the regulations to be a public body or office being —</w:t>
      </w:r>
    </w:p>
    <w:p>
      <w:pPr>
        <w:pStyle w:val="yDefsubpara"/>
      </w:pPr>
      <w:r>
        <w:tab/>
        <w:t>(i)</w:t>
      </w:r>
      <w:r>
        <w:tab/>
        <w:t>a body or office established under a written law; or</w:t>
      </w:r>
    </w:p>
    <w:p>
      <w:pPr>
        <w:pStyle w:val="yDefsubpara"/>
      </w:pPr>
      <w:r>
        <w:tab/>
        <w:t>(ii)</w:t>
      </w:r>
      <w: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keepNext/>
      </w:pPr>
      <w:r>
        <w:rPr>
          <w:b/>
        </w:rPr>
        <w:lastRenderedPageBreak/>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No. 31 of 1993 s. 45(a); No. 32 of 1994 s. 19; No. 14 of 1996 s. 4; No. 43 of 1999 s. 20; No. 47 of 1999 s. 15; No. 53 of 2000 s. 10(1); No. 28 of 2003 s. 67; No. 4 of 2015 s. 86(3); No. 26 of 2016 s. 58.]</w:t>
      </w:r>
    </w:p>
    <w:p>
      <w:pPr>
        <w:pStyle w:val="yHeading5"/>
      </w:pPr>
      <w:bookmarkStart w:id="201" w:name="_Toc161845536"/>
      <w:r>
        <w:rPr>
          <w:rStyle w:val="CharSClsNo"/>
        </w:rPr>
        <w:t>2</w:t>
      </w:r>
      <w:r>
        <w:t>.</w:t>
      </w:r>
      <w:r>
        <w:tab/>
        <w:t>Separate agencies, which are</w:t>
      </w:r>
      <w:bookmarkEnd w:id="201"/>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lastRenderedPageBreak/>
        <w:tab/>
        <w:t>(2)</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(3)</w:t>
      </w:r>
      <w:r>
        <w:rPr>
          <w:snapToGrid w:val="0"/>
        </w:rPr>
        <w:tab/>
        <w:t>The Internal Investigations Unit of Corrective Services is to be regarded as a separate agency and is not to be regarded as part of the department in which it is established.</w:t>
      </w:r>
    </w:p>
    <w:p>
      <w:pPr>
        <w:pStyle w:val="ySubsection"/>
      </w:pPr>
      <w:r>
        <w:tab/>
        <w:t>(3A)</w:t>
      </w:r>
      <w:r>
        <w:tab/>
        <w:t xml:space="preserve">In connection with its functions under the </w:t>
      </w:r>
      <w:r>
        <w:rPr>
          <w:i/>
        </w:rPr>
        <w:t>High Risk Serious Offenders Act 2020</w:t>
      </w:r>
      <w:r>
        <w:t>,</w:t>
      </w:r>
      <w:r>
        <w:rPr>
          <w:i/>
        </w:rPr>
        <w:t xml:space="preserve"> </w:t>
      </w:r>
      <w:r>
        <w:t xml:space="preserve">the State Solicitor is to be regarded as a separate agency and is not to be regarded as a part of the department in which the State Solicitor is employed. </w:t>
      </w:r>
    </w:p>
    <w:p>
      <w:pPr>
        <w:pStyle w:val="ySubsection"/>
        <w:rPr>
          <w:snapToGrid w:val="0"/>
        </w:rPr>
      </w:pPr>
      <w:r>
        <w:rPr>
          <w:snapToGrid w:val="0"/>
        </w:rPr>
        <w:tab/>
        <w:t>(4)</w:t>
      </w:r>
      <w:r>
        <w:rPr>
          <w:snapToGrid w:val="0"/>
        </w:rPr>
        <w:tab/>
        <w:t>The regulations may declare that a specified office or body is not to be regarded as a separate agency but is to be regarded as part of a specified agency.</w:t>
      </w:r>
    </w:p>
    <w:p>
      <w:pPr>
        <w:pStyle w:val="yFootnotesection"/>
      </w:pPr>
      <w:r>
        <w:tab/>
        <w:t>[Clause 2 amended: No. 31 of 1993 s. 45(b); No. 11 of 1996 s. 41; No. 29 of 2020 s. 102(1).]</w:t>
      </w:r>
    </w:p>
    <w:p>
      <w:pPr>
        <w:pStyle w:val="yHeading5"/>
      </w:pPr>
      <w:bookmarkStart w:id="202" w:name="_Toc161845537"/>
      <w:r>
        <w:rPr>
          <w:rStyle w:val="CharSClsNo"/>
        </w:rPr>
        <w:t>3</w:t>
      </w:r>
      <w:r>
        <w:t>.</w:t>
      </w:r>
      <w:r>
        <w:tab/>
        <w:t>Courts are agencies but judges etc. are not</w:t>
      </w:r>
      <w:bookmarkEnd w:id="202"/>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pPr>
      <w:bookmarkStart w:id="203" w:name="_Toc161845538"/>
      <w:r>
        <w:rPr>
          <w:rStyle w:val="CharSClsNo"/>
        </w:rPr>
        <w:t>4</w:t>
      </w:r>
      <w:r>
        <w:t>.</w:t>
      </w:r>
      <w:r>
        <w:tab/>
        <w:t>Documents of an agency, which are</w:t>
      </w:r>
      <w:bookmarkEnd w:id="203"/>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keepNext/>
        <w:rPr>
          <w:snapToGrid w:val="0"/>
        </w:rPr>
      </w:pPr>
      <w:r>
        <w:rPr>
          <w:snapToGrid w:val="0"/>
        </w:rPr>
        <w:lastRenderedPageBreak/>
        <w:tab/>
        <w:t>(2)</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(3)</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pPr>
      <w:bookmarkStart w:id="204" w:name="_Toc161845539"/>
      <w:r>
        <w:rPr>
          <w:rStyle w:val="CharSClsNo"/>
        </w:rPr>
        <w:t>5</w:t>
      </w:r>
      <w:r>
        <w:t>.</w:t>
      </w:r>
      <w:r>
        <w:tab/>
        <w:t>Documents of a court, which are</w:t>
      </w:r>
      <w:bookmarkEnd w:id="204"/>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pPr>
      <w:bookmarkStart w:id="205" w:name="_Toc161845540"/>
      <w:r>
        <w:rPr>
          <w:rStyle w:val="CharSClsNo"/>
        </w:rPr>
        <w:t>6</w:t>
      </w:r>
      <w:r>
        <w:t>.</w:t>
      </w:r>
      <w:r>
        <w:tab/>
        <w:t>Documents of units of Police Force and of Department of Corrective Services</w:t>
      </w:r>
      <w:bookmarkEnd w:id="205"/>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(2)</w:t>
      </w:r>
      <w:r>
        <w:rPr>
          <w:snapToGrid w:val="0"/>
        </w:rPr>
        <w:tab/>
        <w:t>A document of the Internal Investigations Unit of Corrective Services is not to be regarded as a document of the department in which it is established.</w:t>
      </w:r>
    </w:p>
    <w:p>
      <w:pPr>
        <w:pStyle w:val="ySubsection"/>
        <w:keepNext/>
      </w:pPr>
      <w:r>
        <w:tab/>
        <w:t>(3)</w:t>
      </w:r>
      <w:r>
        <w:tab/>
        <w:t xml:space="preserve">A document originating with or received by the State Solicitor in connection with functions under the </w:t>
      </w:r>
      <w:r>
        <w:rPr>
          <w:i/>
        </w:rPr>
        <w:t xml:space="preserve">High Risk Serious Offenders </w:t>
      </w:r>
      <w:r>
        <w:rPr>
          <w:i/>
        </w:rPr>
        <w:lastRenderedPageBreak/>
        <w:t xml:space="preserve">Act 2020 </w:t>
      </w:r>
      <w:r>
        <w:t xml:space="preserve">is not to be regarded as a document of the department in which the State Solicitor is employed. </w:t>
      </w:r>
    </w:p>
    <w:p>
      <w:pPr>
        <w:pStyle w:val="yFootnotesection"/>
      </w:pPr>
      <w:r>
        <w:tab/>
        <w:t>[Clause 6 amended: No. 31 of 1993 s. 45(b); No. 11 of 1996 s. 41; No. 29 of 2020 s. 102(2).]</w:t>
      </w:r>
    </w:p>
    <w:p>
      <w:pPr>
        <w:pStyle w:val="yEdnotesection"/>
      </w:pPr>
      <w:r>
        <w:t>[</w:t>
      </w:r>
      <w:r>
        <w:rPr>
          <w:b/>
        </w:rPr>
        <w:t>7</w:t>
      </w:r>
      <w:r>
        <w:rPr>
          <w:b/>
          <w:bCs/>
        </w:rPr>
        <w:t>.</w:t>
      </w:r>
      <w:r>
        <w:tab/>
        <w:t>Deleted: No. 53 of 2000 s. 10(2).]</w:t>
      </w:r>
    </w:p>
    <w:p>
      <w:pPr>
        <w:pStyle w:val="yHeading5"/>
        <w:rPr>
          <w:snapToGrid w:val="0"/>
        </w:rPr>
      </w:pPr>
      <w:bookmarkStart w:id="206" w:name="_Toc161845541"/>
      <w:r>
        <w:rPr>
          <w:rStyle w:val="CharSClsNo"/>
        </w:rPr>
        <w:t>7A</w:t>
      </w:r>
      <w:r>
        <w:rPr>
          <w:snapToGrid w:val="0"/>
        </w:rPr>
        <w:t>.</w:t>
      </w:r>
      <w:r>
        <w:rPr>
          <w:snapToGrid w:val="0"/>
        </w:rPr>
        <w:tab/>
        <w:t>Documents of Authority etc. under gas pipelines access legislation</w:t>
      </w:r>
      <w:bookmarkEnd w:id="206"/>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No. 65 of 1998 Sch. 3 cl. 14; amended: No. 67 of 2003 Sch. 2 cl. 30; No. 16 of 2009 s. 70.]</w:t>
      </w:r>
    </w:p>
    <w:p>
      <w:pPr>
        <w:pStyle w:val="yHeading5"/>
      </w:pPr>
      <w:bookmarkStart w:id="207" w:name="_Toc161845542"/>
      <w:r>
        <w:rPr>
          <w:rStyle w:val="CharSClsNo"/>
        </w:rPr>
        <w:t>8</w:t>
      </w:r>
      <w:r>
        <w:t>.</w:t>
      </w:r>
      <w:r>
        <w:tab/>
        <w:t>Charges for dealing with applications</w:t>
      </w:r>
      <w:bookmarkEnd w:id="207"/>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76" w:right="2405" w:bottom="3542" w:left="2405" w:header="706" w:footer="3544" w:gutter="0"/>
          <w:cols w:space="720"/>
          <w:noEndnote/>
          <w:docGrid w:linePitch="326"/>
        </w:sectPr>
      </w:pPr>
    </w:p>
    <w:p>
      <w:pPr>
        <w:pStyle w:val="nHeading2"/>
      </w:pPr>
      <w:bookmarkStart w:id="208" w:name="_Toc161842822"/>
      <w:bookmarkStart w:id="209" w:name="_Toc161843095"/>
      <w:bookmarkStart w:id="210" w:name="_Toc161845543"/>
      <w:r>
        <w:lastRenderedPageBreak/>
        <w:t>Notes</w:t>
      </w:r>
      <w:bookmarkEnd w:id="208"/>
      <w:bookmarkEnd w:id="209"/>
      <w:bookmarkEnd w:id="210"/>
    </w:p>
    <w:p>
      <w:pPr>
        <w:pStyle w:val="nStatement"/>
      </w:pPr>
      <w:r>
        <w:t xml:space="preserve">This is a compilation of the </w:t>
      </w:r>
      <w:r>
        <w:rPr>
          <w:i/>
          <w:noProof/>
        </w:rPr>
        <w:t>Freedom of Information Act 1992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11" w:name="_Toc161845544"/>
      <w:r>
        <w:t>Compilation table</w:t>
      </w:r>
      <w:bookmarkEnd w:id="211"/>
    </w:p>
    <w:tbl>
      <w:tblPr>
        <w:tblW w:w="709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8"/>
        <w:gridCol w:w="26"/>
        <w:gridCol w:w="2526"/>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6"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Act 1992</w:t>
            </w:r>
          </w:p>
        </w:tc>
        <w:tc>
          <w:tcPr>
            <w:tcW w:w="1134" w:type="dxa"/>
            <w:gridSpan w:val="2"/>
          </w:tcPr>
          <w:p>
            <w:pPr>
              <w:pStyle w:val="nTable"/>
              <w:spacing w:after="40"/>
            </w:pPr>
            <w:r>
              <w:t>76 of 1992</w:t>
            </w:r>
          </w:p>
        </w:tc>
        <w:tc>
          <w:tcPr>
            <w:tcW w:w="1136" w:type="dxa"/>
            <w:gridSpan w:val="2"/>
          </w:tcPr>
          <w:p>
            <w:pPr>
              <w:pStyle w:val="nTable"/>
              <w:spacing w:after="40"/>
            </w:pPr>
            <w:r>
              <w:t>15 Dec 1992</w:t>
            </w:r>
          </w:p>
        </w:tc>
        <w:tc>
          <w:tcPr>
            <w:tcW w:w="2552" w:type="dxa"/>
            <w:gridSpan w:val="2"/>
          </w:tcPr>
          <w:p>
            <w:pPr>
              <w:pStyle w:val="nTable"/>
              <w:spacing w:after="40"/>
            </w:pPr>
            <w:r>
              <w:t>s. 1 and 2: 15 Dec 1992;</w:t>
            </w:r>
            <w:r>
              <w:br/>
              <w:t xml:space="preserve">Pt. 4 Div. 1 and 2: 11 Jun 1993 (see s. 2 and </w:t>
            </w:r>
            <w:r>
              <w:rPr>
                <w:i/>
              </w:rPr>
              <w:t>Gazette</w:t>
            </w:r>
            <w:r>
              <w:t xml:space="preserve"> 11 Jun 1993 p. 2867); </w:t>
            </w:r>
            <w:r>
              <w:br/>
              <w:t xml:space="preserve">Act other than s. 1 and 2 and Pt. 4 Div. 1 and 2: 1 Nov 1993 (see s. 2 and </w:t>
            </w:r>
            <w:r>
              <w:rPr>
                <w:i/>
              </w:rPr>
              <w:t>Gazette</w:t>
            </w:r>
            <w:r>
              <w:t xml:space="preserve"> 29 Oct 1993 p. 5881)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(Ministry of Justice) Act 1993</w:t>
            </w:r>
            <w:r>
              <w:t xml:space="preserve"> Pt. 10</w:t>
            </w:r>
            <w:r>
              <w:rPr>
                <w:vertAlign w:val="superscript"/>
              </w:rPr>
              <w:t> 5</w:t>
            </w:r>
          </w:p>
        </w:tc>
        <w:tc>
          <w:tcPr>
            <w:tcW w:w="1134" w:type="dxa"/>
            <w:gridSpan w:val="2"/>
          </w:tcPr>
          <w:p>
            <w:pPr>
              <w:pStyle w:val="nTable"/>
              <w:spacing w:after="40"/>
            </w:pPr>
            <w:r>
              <w:t>31 of 1993</w:t>
            </w:r>
          </w:p>
        </w:tc>
        <w:tc>
          <w:tcPr>
            <w:tcW w:w="1136" w:type="dxa"/>
            <w:gridSpan w:val="2"/>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 &amp; I Bank Amendment Act 1994</w:t>
            </w:r>
            <w:r>
              <w:t xml:space="preserve"> s. 13</w:t>
            </w:r>
          </w:p>
        </w:tc>
        <w:tc>
          <w:tcPr>
            <w:tcW w:w="1134" w:type="dxa"/>
            <w:gridSpan w:val="2"/>
          </w:tcPr>
          <w:p>
            <w:pPr>
              <w:pStyle w:val="nTable"/>
              <w:spacing w:after="40"/>
            </w:pPr>
            <w:r>
              <w:t>6 of 1994</w:t>
            </w:r>
          </w:p>
        </w:tc>
        <w:tc>
          <w:tcPr>
            <w:tcW w:w="1136" w:type="dxa"/>
            <w:gridSpan w:val="2"/>
          </w:tcPr>
          <w:p>
            <w:pPr>
              <w:pStyle w:val="nTable"/>
              <w:spacing w:after="40"/>
            </w:pPr>
            <w:r>
              <w:t>11 Apr 1994</w:t>
            </w:r>
          </w:p>
        </w:tc>
        <w:tc>
          <w:tcPr>
            <w:tcW w:w="2552" w:type="dxa"/>
            <w:gridSpan w:val="2"/>
          </w:tcPr>
          <w:p>
            <w:pPr>
              <w:pStyle w:val="nTable"/>
              <w:spacing w:after="40"/>
            </w:pPr>
            <w:r>
              <w:t xml:space="preserve">26 Apr 1994 (see s. 2(2) and </w:t>
            </w:r>
            <w:r>
              <w:rPr>
                <w:i/>
              </w:rPr>
              <w:t>Gazette</w:t>
            </w:r>
            <w:r>
              <w:t xml:space="preserve"> 26 Apr 1994 p. 1743)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Perth International Centre for Application of Solar Energy Act 1994</w:t>
            </w:r>
            <w:r>
              <w:t xml:space="preserve"> s. 35</w:t>
            </w:r>
          </w:p>
        </w:tc>
        <w:tc>
          <w:tcPr>
            <w:tcW w:w="1134" w:type="dxa"/>
            <w:gridSpan w:val="2"/>
          </w:tcPr>
          <w:p>
            <w:pPr>
              <w:pStyle w:val="nTable"/>
              <w:spacing w:after="40"/>
            </w:pPr>
            <w:r>
              <w:t>36 of 1994</w:t>
            </w:r>
          </w:p>
        </w:tc>
        <w:tc>
          <w:tcPr>
            <w:tcW w:w="1136" w:type="dxa"/>
            <w:gridSpan w:val="2"/>
          </w:tcPr>
          <w:p>
            <w:pPr>
              <w:pStyle w:val="nTable"/>
              <w:spacing w:after="40"/>
            </w:pPr>
            <w:r>
              <w:t>8 Jul 1994</w:t>
            </w:r>
          </w:p>
        </w:tc>
        <w:tc>
          <w:tcPr>
            <w:tcW w:w="2552" w:type="dxa"/>
            <w:gridSpan w:val="2"/>
          </w:tcPr>
          <w:p>
            <w:pPr>
              <w:pStyle w:val="nTable"/>
              <w:spacing w:after="40"/>
            </w:pPr>
            <w:r>
              <w:t xml:space="preserve">22 Jul 1994 (see s. 2 and </w:t>
            </w:r>
            <w:r>
              <w:rPr>
                <w:i/>
              </w:rPr>
              <w:t>Gazette</w:t>
            </w:r>
            <w:r>
              <w:t xml:space="preserve"> 22 Jul 1994 p. 3727)</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Statutes (Repeals and Minor Amendments) Act 1994</w:t>
            </w:r>
            <w:r>
              <w:t xml:space="preserve"> s. 4</w:t>
            </w:r>
          </w:p>
        </w:tc>
        <w:tc>
          <w:tcPr>
            <w:tcW w:w="1134" w:type="dxa"/>
            <w:gridSpan w:val="2"/>
          </w:tcPr>
          <w:p>
            <w:pPr>
              <w:pStyle w:val="nTable"/>
              <w:keepNext/>
              <w:spacing w:after="40"/>
            </w:pPr>
            <w:r>
              <w:t>73 of 1994</w:t>
            </w:r>
          </w:p>
        </w:tc>
        <w:tc>
          <w:tcPr>
            <w:tcW w:w="1136" w:type="dxa"/>
            <w:gridSpan w:val="2"/>
          </w:tcPr>
          <w:p>
            <w:pPr>
              <w:pStyle w:val="nTable"/>
              <w:keepNext/>
              <w:spacing w:after="40"/>
            </w:pPr>
            <w:r>
              <w:t>9 Dec 1994</w:t>
            </w:r>
          </w:p>
        </w:tc>
        <w:tc>
          <w:tcPr>
            <w:tcW w:w="2552" w:type="dxa"/>
            <w:gridSpan w:val="2"/>
          </w:tcPr>
          <w:p>
            <w:pPr>
              <w:pStyle w:val="nTable"/>
              <w:keepNext/>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Amendment Act 1994</w:t>
            </w:r>
          </w:p>
        </w:tc>
        <w:tc>
          <w:tcPr>
            <w:tcW w:w="1134" w:type="dxa"/>
            <w:gridSpan w:val="2"/>
          </w:tcPr>
          <w:p>
            <w:pPr>
              <w:pStyle w:val="nTable"/>
              <w:spacing w:after="40"/>
            </w:pPr>
            <w:r>
              <w:t>94 of 1994</w:t>
            </w:r>
          </w:p>
        </w:tc>
        <w:tc>
          <w:tcPr>
            <w:tcW w:w="1136" w:type="dxa"/>
            <w:gridSpan w:val="2"/>
          </w:tcPr>
          <w:p>
            <w:pPr>
              <w:pStyle w:val="nTable"/>
              <w:spacing w:after="40"/>
            </w:pPr>
            <w:r>
              <w:t>5 Jan 1995</w:t>
            </w:r>
          </w:p>
        </w:tc>
        <w:tc>
          <w:tcPr>
            <w:tcW w:w="2552" w:type="dxa"/>
            <w:gridSpan w:val="2"/>
          </w:tcPr>
          <w:p>
            <w:pPr>
              <w:pStyle w:val="nTable"/>
              <w:spacing w:after="40"/>
            </w:pPr>
            <w:r>
              <w:t>1 Nov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Young Offenders Act 1994</w:t>
            </w:r>
            <w:r>
              <w:t xml:space="preserve"> s. 236</w:t>
            </w:r>
          </w:p>
        </w:tc>
        <w:tc>
          <w:tcPr>
            <w:tcW w:w="1134" w:type="dxa"/>
            <w:gridSpan w:val="2"/>
          </w:tcPr>
          <w:p>
            <w:pPr>
              <w:pStyle w:val="nTable"/>
              <w:spacing w:after="40"/>
            </w:pPr>
            <w:r>
              <w:t>104 of 1994</w:t>
            </w:r>
          </w:p>
        </w:tc>
        <w:tc>
          <w:tcPr>
            <w:tcW w:w="1136" w:type="dxa"/>
            <w:gridSpan w:val="2"/>
          </w:tcPr>
          <w:p>
            <w:pPr>
              <w:pStyle w:val="nTable"/>
              <w:spacing w:after="40"/>
            </w:pPr>
            <w:r>
              <w:t>11 Jan 1995</w:t>
            </w:r>
          </w:p>
        </w:tc>
        <w:tc>
          <w:tcPr>
            <w:tcW w:w="2552" w:type="dxa"/>
            <w:gridSpan w:val="2"/>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Bank of Western Australia Act 1995</w:t>
            </w:r>
            <w:r>
              <w:t xml:space="preserve"> s. 44</w:t>
            </w:r>
          </w:p>
        </w:tc>
        <w:tc>
          <w:tcPr>
            <w:tcW w:w="1134" w:type="dxa"/>
            <w:gridSpan w:val="2"/>
          </w:tcPr>
          <w:p>
            <w:pPr>
              <w:pStyle w:val="nTable"/>
              <w:spacing w:after="40"/>
            </w:pPr>
            <w:r>
              <w:t>14 of 1995</w:t>
            </w:r>
          </w:p>
        </w:tc>
        <w:tc>
          <w:tcPr>
            <w:tcW w:w="1136" w:type="dxa"/>
            <w:gridSpan w:val="2"/>
          </w:tcPr>
          <w:p>
            <w:pPr>
              <w:pStyle w:val="nTable"/>
              <w:spacing w:after="40"/>
            </w:pPr>
            <w:r>
              <w:t>4 Jul 1995</w:t>
            </w:r>
          </w:p>
        </w:tc>
        <w:tc>
          <w:tcPr>
            <w:tcW w:w="2552" w:type="dxa"/>
            <w:gridSpan w:val="2"/>
          </w:tcPr>
          <w:p>
            <w:pPr>
              <w:pStyle w:val="nTable"/>
              <w:spacing w:after="40"/>
            </w:pPr>
            <w:r>
              <w:t xml:space="preserve">1 Dec 1995 (see s. 2(3) and 9(1) and </w:t>
            </w:r>
            <w:r>
              <w:rPr>
                <w:i/>
              </w:rPr>
              <w:t>Gazette</w:t>
            </w:r>
            <w:r>
              <w:t xml:space="preserve"> 29 Nov 1995 p. 5529)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Amendment Act 1995</w:t>
            </w:r>
          </w:p>
        </w:tc>
        <w:tc>
          <w:tcPr>
            <w:tcW w:w="1134" w:type="dxa"/>
            <w:gridSpan w:val="2"/>
          </w:tcPr>
          <w:p>
            <w:pPr>
              <w:pStyle w:val="nTable"/>
              <w:spacing w:after="40"/>
            </w:pPr>
            <w:r>
              <w:t>50 of 1995</w:t>
            </w:r>
          </w:p>
        </w:tc>
        <w:tc>
          <w:tcPr>
            <w:tcW w:w="1136" w:type="dxa"/>
            <w:gridSpan w:val="2"/>
          </w:tcPr>
          <w:p>
            <w:pPr>
              <w:pStyle w:val="nTable"/>
              <w:spacing w:after="40"/>
            </w:pPr>
            <w:r>
              <w:t>6 Nov 1995</w:t>
            </w:r>
          </w:p>
        </w:tc>
        <w:tc>
          <w:tcPr>
            <w:tcW w:w="2552" w:type="dxa"/>
            <w:gridSpan w:val="2"/>
          </w:tcPr>
          <w:p>
            <w:pPr>
              <w:pStyle w:val="nTable"/>
              <w:spacing w:after="40"/>
            </w:pPr>
            <w:r>
              <w:t>1 Nov 1995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Health Services (Conciliation and Review) Act 1995</w:t>
            </w:r>
            <w:r>
              <w:t xml:space="preserve"> s. 80(4)</w:t>
            </w:r>
          </w:p>
        </w:tc>
        <w:tc>
          <w:tcPr>
            <w:tcW w:w="1134" w:type="dxa"/>
            <w:gridSpan w:val="2"/>
          </w:tcPr>
          <w:p>
            <w:pPr>
              <w:pStyle w:val="nTable"/>
              <w:spacing w:after="40"/>
            </w:pPr>
            <w:r>
              <w:t>75 of 1995</w:t>
            </w:r>
          </w:p>
        </w:tc>
        <w:tc>
          <w:tcPr>
            <w:tcW w:w="1136" w:type="dxa"/>
            <w:gridSpan w:val="2"/>
          </w:tcPr>
          <w:p>
            <w:pPr>
              <w:pStyle w:val="nTable"/>
              <w:spacing w:after="40"/>
            </w:pPr>
            <w:r>
              <w:t>9 Jan 1996</w:t>
            </w:r>
          </w:p>
        </w:tc>
        <w:tc>
          <w:tcPr>
            <w:tcW w:w="2552" w:type="dxa"/>
            <w:gridSpan w:val="2"/>
          </w:tcPr>
          <w:p>
            <w:pPr>
              <w:pStyle w:val="nTable"/>
              <w:spacing w:after="40"/>
            </w:pPr>
            <w:r>
              <w:t xml:space="preserve">16 Aug 1996 (see s. 2 and </w:t>
            </w:r>
            <w:r>
              <w:rPr>
                <w:i/>
              </w:rPr>
              <w:t>Gazette</w:t>
            </w:r>
            <w:r>
              <w:t xml:space="preserve"> 16 Aug 1996 p. 4007)</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16 Jan 1996</w:t>
            </w:r>
            <w:r>
              <w:t xml:space="preserve"> (includes amendments listed above except those in the </w:t>
            </w:r>
            <w:r>
              <w:rPr>
                <w:i/>
              </w:rPr>
              <w:t>Health Services (Conciliation and Review) Act 1995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Witness Protection (Western Australia) Act 1996</w:t>
            </w:r>
            <w:r>
              <w:t xml:space="preserve"> s. 41</w:t>
            </w:r>
          </w:p>
        </w:tc>
        <w:tc>
          <w:tcPr>
            <w:tcW w:w="1134" w:type="dxa"/>
            <w:gridSpan w:val="2"/>
          </w:tcPr>
          <w:p>
            <w:pPr>
              <w:pStyle w:val="nTable"/>
              <w:spacing w:after="40"/>
            </w:pPr>
            <w:r>
              <w:t>11 of 1996</w:t>
            </w:r>
          </w:p>
        </w:tc>
        <w:tc>
          <w:tcPr>
            <w:tcW w:w="1136" w:type="dxa"/>
            <w:gridSpan w:val="2"/>
          </w:tcPr>
          <w:p>
            <w:pPr>
              <w:pStyle w:val="nTable"/>
              <w:spacing w:after="40"/>
            </w:pPr>
            <w:r>
              <w:t>28 Jun 1996</w:t>
            </w:r>
          </w:p>
        </w:tc>
        <w:tc>
          <w:tcPr>
            <w:tcW w:w="2552" w:type="dxa"/>
            <w:gridSpan w:val="2"/>
          </w:tcPr>
          <w:p>
            <w:pPr>
              <w:pStyle w:val="nTable"/>
              <w:spacing w:after="40"/>
            </w:pPr>
            <w:r>
              <w:t xml:space="preserve">7 Dec 1996 (see s. 2 and </w:t>
            </w:r>
            <w:r>
              <w:rPr>
                <w:i/>
              </w:rPr>
              <w:t>Gazette</w:t>
            </w:r>
            <w:r>
              <w:t xml:space="preserve"> 6 Dec 1996 p. 6699)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2"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6" w:type="dxa"/>
            <w:gridSpan w:val="2"/>
          </w:tcPr>
          <w:p>
            <w:pPr>
              <w:pStyle w:val="nTable"/>
              <w:keepNext/>
              <w:spacing w:after="40"/>
            </w:pPr>
            <w:r>
              <w:t>28 Aug 1996</w:t>
            </w:r>
          </w:p>
        </w:tc>
        <w:tc>
          <w:tcPr>
            <w:tcW w:w="2552" w:type="dxa"/>
            <w:gridSpan w:val="2"/>
          </w:tcPr>
          <w:p>
            <w:pPr>
              <w:pStyle w:val="nTable"/>
              <w:keepNext/>
              <w:spacing w:after="40"/>
            </w:pPr>
            <w:r>
              <w:t xml:space="preserve">30 Aug 1996 (see s. 2 and </w:t>
            </w:r>
            <w:r>
              <w:rPr>
                <w:i/>
              </w:rPr>
              <w:t>Gazette</w:t>
            </w:r>
            <w:r>
              <w:t xml:space="preserve"> 30 Aug 1996 p. 4365)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54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8 Jul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62</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Industry and Technology Development Act 1998</w:t>
            </w:r>
            <w:r>
              <w:t xml:space="preserve"> s. 34(2)</w:t>
            </w:r>
          </w:p>
        </w:tc>
        <w:tc>
          <w:tcPr>
            <w:tcW w:w="1134" w:type="dxa"/>
            <w:gridSpan w:val="2"/>
          </w:tcPr>
          <w:p>
            <w:pPr>
              <w:pStyle w:val="nTable"/>
              <w:spacing w:after="40"/>
            </w:pPr>
            <w:r>
              <w:t>13 of 1998</w:t>
            </w:r>
          </w:p>
        </w:tc>
        <w:tc>
          <w:tcPr>
            <w:tcW w:w="1136" w:type="dxa"/>
            <w:gridSpan w:val="2"/>
          </w:tcPr>
          <w:p>
            <w:pPr>
              <w:pStyle w:val="nTable"/>
              <w:spacing w:after="40"/>
            </w:pPr>
            <w:r>
              <w:t>20 May 1998</w:t>
            </w:r>
          </w:p>
        </w:tc>
        <w:tc>
          <w:tcPr>
            <w:tcW w:w="2552" w:type="dxa"/>
            <w:gridSpan w:val="2"/>
          </w:tcPr>
          <w:p>
            <w:pPr>
              <w:pStyle w:val="nTable"/>
              <w:spacing w:after="40"/>
            </w:pPr>
            <w:r>
              <w:t xml:space="preserve">1 Jul 1998 (see s.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Gas Pipelines Access (Western Australia) Act 1998</w:t>
            </w:r>
            <w:r>
              <w:t xml:space="preserve"> Sch. 3 Div. 6</w:t>
            </w:r>
          </w:p>
        </w:tc>
        <w:tc>
          <w:tcPr>
            <w:tcW w:w="1134" w:type="dxa"/>
            <w:gridSpan w:val="2"/>
          </w:tcPr>
          <w:p>
            <w:pPr>
              <w:pStyle w:val="nTable"/>
              <w:spacing w:after="40"/>
            </w:pPr>
            <w:r>
              <w:t>65 of 1998</w:t>
            </w:r>
          </w:p>
        </w:tc>
        <w:tc>
          <w:tcPr>
            <w:tcW w:w="1136" w:type="dxa"/>
            <w:gridSpan w:val="2"/>
          </w:tcPr>
          <w:p>
            <w:pPr>
              <w:pStyle w:val="nTable"/>
              <w:spacing w:after="40"/>
            </w:pPr>
            <w:r>
              <w:t>15 Jan 1999</w:t>
            </w:r>
          </w:p>
        </w:tc>
        <w:tc>
          <w:tcPr>
            <w:tcW w:w="2552" w:type="dxa"/>
            <w:gridSpan w:val="2"/>
          </w:tcPr>
          <w:p>
            <w:pPr>
              <w:pStyle w:val="nTable"/>
              <w:spacing w:after="40"/>
            </w:pPr>
            <w:r>
              <w:t xml:space="preserve">9 Feb 1999 (see s. 2 and </w:t>
            </w:r>
            <w:r>
              <w:rPr>
                <w:i/>
              </w:rPr>
              <w:t>Gazette</w:t>
            </w:r>
            <w:r>
              <w:t xml:space="preserve"> 8 Feb 1999 p. 441)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Prisons Amendment Act 1999</w:t>
            </w:r>
            <w:r>
              <w:t xml:space="preserve"> Sch. 1 cl. 4</w:t>
            </w:r>
          </w:p>
        </w:tc>
        <w:tc>
          <w:tcPr>
            <w:tcW w:w="1134" w:type="dxa"/>
            <w:gridSpan w:val="2"/>
          </w:tcPr>
          <w:p>
            <w:pPr>
              <w:pStyle w:val="nTable"/>
              <w:spacing w:after="40"/>
            </w:pPr>
            <w:r>
              <w:t>43 of 1999</w:t>
            </w:r>
          </w:p>
        </w:tc>
        <w:tc>
          <w:tcPr>
            <w:tcW w:w="1136" w:type="dxa"/>
            <w:gridSpan w:val="2"/>
          </w:tcPr>
          <w:p>
            <w:pPr>
              <w:pStyle w:val="nTable"/>
              <w:spacing w:after="40"/>
            </w:pPr>
            <w:r>
              <w:t>8 Dec 1999</w:t>
            </w:r>
          </w:p>
        </w:tc>
        <w:tc>
          <w:tcPr>
            <w:tcW w:w="2552" w:type="dxa"/>
            <w:gridSpan w:val="2"/>
          </w:tcPr>
          <w:p>
            <w:pPr>
              <w:pStyle w:val="nTable"/>
              <w:spacing w:after="40"/>
            </w:pPr>
            <w:r>
              <w:t xml:space="preserve">Sch. 1 cl. 4(1) and (3): 18 Dec 1999 (see s. 2(2) and </w:t>
            </w:r>
            <w:r>
              <w:rPr>
                <w:i/>
              </w:rPr>
              <w:t>Gazette</w:t>
            </w:r>
            <w:r>
              <w:t xml:space="preserve"> 17 Dec 1999 p. 6175); </w:t>
            </w:r>
            <w:r>
              <w:br/>
              <w:t xml:space="preserve">Sch. 1 cl. 4(2): 18 Jun 2000 (see s. 2(3) and (4)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Court Security and Custodial Services (Consequential Provisions) Act 1999</w:t>
            </w:r>
            <w:r>
              <w:t xml:space="preserve"> Pt. 6</w:t>
            </w:r>
          </w:p>
        </w:tc>
        <w:tc>
          <w:tcPr>
            <w:tcW w:w="1134" w:type="dxa"/>
            <w:gridSpan w:val="2"/>
          </w:tcPr>
          <w:p>
            <w:pPr>
              <w:pStyle w:val="nTable"/>
              <w:spacing w:after="40"/>
            </w:pPr>
            <w:r>
              <w:t>47 of 1999</w:t>
            </w:r>
          </w:p>
        </w:tc>
        <w:tc>
          <w:tcPr>
            <w:tcW w:w="1136" w:type="dxa"/>
            <w:gridSpan w:val="2"/>
          </w:tcPr>
          <w:p>
            <w:pPr>
              <w:pStyle w:val="nTable"/>
              <w:spacing w:after="40"/>
            </w:pPr>
            <w:r>
              <w:t>8 Dec 1999</w:t>
            </w:r>
          </w:p>
        </w:tc>
        <w:tc>
          <w:tcPr>
            <w:tcW w:w="2552" w:type="dxa"/>
            <w:gridSpan w:val="2"/>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lastRenderedPageBreak/>
              <w:t xml:space="preserve">Reprint of the </w:t>
            </w:r>
            <w:r>
              <w:rPr>
                <w:b/>
                <w:i/>
              </w:rPr>
              <w:t>Freedom of Information Act 1992</w:t>
            </w:r>
            <w:r>
              <w:rPr>
                <w:b/>
              </w:rPr>
              <w:t xml:space="preserve"> 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State Records (Consequential Provisions) Act 2000</w:t>
            </w:r>
            <w:r>
              <w:t xml:space="preserve"> Pt. 4</w:t>
            </w:r>
          </w:p>
        </w:tc>
        <w:tc>
          <w:tcPr>
            <w:tcW w:w="1134" w:type="dxa"/>
            <w:gridSpan w:val="2"/>
          </w:tcPr>
          <w:p>
            <w:pPr>
              <w:pStyle w:val="nTable"/>
              <w:spacing w:after="40"/>
            </w:pPr>
            <w:r>
              <w:t>53 of 2000</w:t>
            </w:r>
          </w:p>
        </w:tc>
        <w:tc>
          <w:tcPr>
            <w:tcW w:w="1136" w:type="dxa"/>
            <w:gridSpan w:val="2"/>
          </w:tcPr>
          <w:p>
            <w:pPr>
              <w:pStyle w:val="nTable"/>
              <w:spacing w:after="40"/>
            </w:pPr>
            <w:r>
              <w:t>28 Nov 2000</w:t>
            </w:r>
          </w:p>
        </w:tc>
        <w:tc>
          <w:tcPr>
            <w:tcW w:w="2552" w:type="dxa"/>
            <w:gridSpan w:val="2"/>
          </w:tcPr>
          <w:p>
            <w:pPr>
              <w:pStyle w:val="nTable"/>
              <w:spacing w:after="40"/>
            </w:pPr>
            <w:r>
              <w:t xml:space="preserve">1 Dec 2001 (see s. 2 and </w:t>
            </w:r>
            <w:r>
              <w:rPr>
                <w:i/>
              </w:rPr>
              <w:t>Gazette</w:t>
            </w:r>
            <w:r>
              <w:t xml:space="preserve"> 30 Nov 2001 p. 6067)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Investigation (Exceptional Powers) and Fortification Removal Act 2002</w:t>
            </w:r>
            <w:r>
              <w:t xml:space="preserve"> s. 72</w:t>
            </w:r>
          </w:p>
        </w:tc>
        <w:tc>
          <w:tcPr>
            <w:tcW w:w="1134" w:type="dxa"/>
            <w:gridSpan w:val="2"/>
          </w:tcPr>
          <w:p>
            <w:pPr>
              <w:pStyle w:val="nTable"/>
              <w:spacing w:after="40"/>
            </w:pPr>
            <w:r>
              <w:t>21 of 2002</w:t>
            </w:r>
          </w:p>
        </w:tc>
        <w:tc>
          <w:tcPr>
            <w:tcW w:w="1136" w:type="dxa"/>
            <w:gridSpan w:val="2"/>
          </w:tcPr>
          <w:p>
            <w:pPr>
              <w:pStyle w:val="nTable"/>
              <w:spacing w:after="40"/>
            </w:pPr>
            <w:r>
              <w:t>15 Jul 2002</w:t>
            </w:r>
          </w:p>
        </w:tc>
        <w:tc>
          <w:tcPr>
            <w:tcW w:w="2552" w:type="dxa"/>
            <w:gridSpan w:val="2"/>
          </w:tcPr>
          <w:p>
            <w:pPr>
              <w:pStyle w:val="nTable"/>
              <w:spacing w:after="40"/>
            </w:pPr>
            <w:r>
              <w:t>15 Jul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23</w:t>
            </w:r>
          </w:p>
        </w:tc>
        <w:tc>
          <w:tcPr>
            <w:tcW w:w="1134" w:type="dxa"/>
            <w:gridSpan w:val="2"/>
          </w:tcPr>
          <w:p>
            <w:pPr>
              <w:pStyle w:val="nTable"/>
              <w:spacing w:after="40"/>
            </w:pPr>
            <w:r>
              <w:t>28 of 2003</w:t>
            </w:r>
          </w:p>
        </w:tc>
        <w:tc>
          <w:tcPr>
            <w:tcW w:w="1136"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Public Interest Disclosure Act 2003 </w:t>
            </w:r>
            <w:r>
              <w:t>s. 28</w:t>
            </w:r>
          </w:p>
        </w:tc>
        <w:tc>
          <w:tcPr>
            <w:tcW w:w="1134" w:type="dxa"/>
            <w:gridSpan w:val="2"/>
          </w:tcPr>
          <w:p>
            <w:pPr>
              <w:pStyle w:val="nTable"/>
              <w:spacing w:after="40"/>
            </w:pPr>
            <w:r>
              <w:t>29 of 2003</w:t>
            </w:r>
          </w:p>
        </w:tc>
        <w:tc>
          <w:tcPr>
            <w:tcW w:w="1136"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Corruption and Crime Commission Act 2003</w:t>
            </w:r>
            <w:r>
              <w:t xml:space="preserve"> s. 62</w:t>
            </w:r>
            <w:r>
              <w:rPr>
                <w:vertAlign w:val="superscript"/>
              </w:rPr>
              <w:t> 6</w:t>
            </w:r>
          </w:p>
        </w:tc>
        <w:tc>
          <w:tcPr>
            <w:tcW w:w="1134" w:type="dxa"/>
            <w:gridSpan w:val="2"/>
          </w:tcPr>
          <w:p>
            <w:pPr>
              <w:pStyle w:val="nTable"/>
              <w:spacing w:after="40"/>
            </w:pPr>
            <w:r>
              <w:t>48 of 2003</w:t>
            </w:r>
          </w:p>
        </w:tc>
        <w:tc>
          <w:tcPr>
            <w:tcW w:w="1136" w:type="dxa"/>
            <w:gridSpan w:val="2"/>
          </w:tcPr>
          <w:p>
            <w:pPr>
              <w:pStyle w:val="nTable"/>
              <w:spacing w:after="40"/>
            </w:pPr>
            <w:r>
              <w:t>3 Jul 2003</w:t>
            </w:r>
          </w:p>
        </w:tc>
        <w:tc>
          <w:tcPr>
            <w:tcW w:w="2552" w:type="dxa"/>
            <w:gridSpan w:val="2"/>
          </w:tcPr>
          <w:p>
            <w:pPr>
              <w:pStyle w:val="nTable"/>
              <w:spacing w:after="40"/>
              <w:ind w:right="65"/>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Sentencing Legislation Amendment and Repeal Act 2003 </w:t>
            </w:r>
            <w:r>
              <w:t>s. 64</w:t>
            </w:r>
          </w:p>
        </w:tc>
        <w:tc>
          <w:tcPr>
            <w:tcW w:w="1134" w:type="dxa"/>
            <w:gridSpan w:val="2"/>
          </w:tcPr>
          <w:p>
            <w:pPr>
              <w:pStyle w:val="nTable"/>
              <w:spacing w:after="40"/>
            </w:pPr>
            <w:r>
              <w:t>50 of 2003</w:t>
            </w:r>
          </w:p>
        </w:tc>
        <w:tc>
          <w:tcPr>
            <w:tcW w:w="1136" w:type="dxa"/>
            <w:gridSpan w:val="2"/>
          </w:tcPr>
          <w:p>
            <w:pPr>
              <w:pStyle w:val="nTable"/>
              <w:spacing w:after="40"/>
            </w:pPr>
            <w:r>
              <w:t>9 Jul 2003</w:t>
            </w:r>
          </w:p>
        </w:tc>
        <w:tc>
          <w:tcPr>
            <w:tcW w:w="2552" w:type="dxa"/>
            <w:gridSpan w:val="2"/>
          </w:tcPr>
          <w:p>
            <w:pPr>
              <w:pStyle w:val="nTable"/>
              <w:spacing w:after="40"/>
              <w:ind w:right="65"/>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Economic Regulation Authority Act 2003</w:t>
            </w:r>
            <w:r>
              <w:t xml:space="preserve"> Sch. 2 Div. 7</w:t>
            </w:r>
          </w:p>
        </w:tc>
        <w:tc>
          <w:tcPr>
            <w:tcW w:w="1134" w:type="dxa"/>
            <w:gridSpan w:val="2"/>
          </w:tcPr>
          <w:p>
            <w:pPr>
              <w:pStyle w:val="nTable"/>
              <w:spacing w:after="40"/>
            </w:pPr>
            <w:r>
              <w:t>67 of 2003</w:t>
            </w:r>
          </w:p>
        </w:tc>
        <w:tc>
          <w:tcPr>
            <w:tcW w:w="1136" w:type="dxa"/>
            <w:gridSpan w:val="2"/>
          </w:tcPr>
          <w:p>
            <w:pPr>
              <w:pStyle w:val="nTable"/>
              <w:spacing w:after="40"/>
            </w:pPr>
            <w:r>
              <w:t>5 Dec 2003</w:t>
            </w:r>
          </w:p>
        </w:tc>
        <w:tc>
          <w:tcPr>
            <w:tcW w:w="2552" w:type="dxa"/>
            <w:gridSpan w:val="2"/>
          </w:tcPr>
          <w:p>
            <w:pPr>
              <w:pStyle w:val="nTable"/>
              <w:spacing w:after="40"/>
              <w:ind w:right="65"/>
              <w:rPr>
                <w:spacing w:val="-2"/>
              </w:rPr>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Inspector of Custodial Services Act 2003</w:t>
            </w:r>
            <w:r>
              <w:t xml:space="preserve"> s. 56(1)</w:t>
            </w:r>
          </w:p>
        </w:tc>
        <w:tc>
          <w:tcPr>
            <w:tcW w:w="1134" w:type="dxa"/>
            <w:gridSpan w:val="2"/>
          </w:tcPr>
          <w:p>
            <w:pPr>
              <w:pStyle w:val="nTable"/>
              <w:spacing w:after="40"/>
            </w:pPr>
            <w:r>
              <w:t>75 of 2003</w:t>
            </w:r>
          </w:p>
        </w:tc>
        <w:tc>
          <w:tcPr>
            <w:tcW w:w="1136" w:type="dxa"/>
            <w:gridSpan w:val="2"/>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Corruption and Crime Commission Amendment and Repeal Act 2003 </w:t>
            </w:r>
            <w:r>
              <w:rPr>
                <w:spacing w:val="-2"/>
              </w:rPr>
              <w:t>s. 74(2)</w:t>
            </w:r>
          </w:p>
        </w:tc>
        <w:tc>
          <w:tcPr>
            <w:tcW w:w="1134" w:type="dxa"/>
            <w:gridSpan w:val="2"/>
          </w:tcPr>
          <w:p>
            <w:pPr>
              <w:pStyle w:val="nTable"/>
              <w:spacing w:after="40"/>
            </w:pPr>
            <w:r>
              <w:t>78 of 2003</w:t>
            </w:r>
          </w:p>
        </w:tc>
        <w:tc>
          <w:tcPr>
            <w:tcW w:w="1136" w:type="dxa"/>
            <w:gridSpan w:val="2"/>
          </w:tcPr>
          <w:p>
            <w:pPr>
              <w:pStyle w:val="nTable"/>
              <w:spacing w:after="40"/>
            </w:pPr>
            <w:r>
              <w:t>22 Dec 2003</w:t>
            </w:r>
          </w:p>
        </w:tc>
        <w:tc>
          <w:tcPr>
            <w:tcW w:w="2552" w:type="dxa"/>
            <w:gridSpan w:val="2"/>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4: The </w:t>
            </w:r>
            <w:r>
              <w:rPr>
                <w:b/>
                <w:i/>
              </w:rPr>
              <w:t>Freedom of Information Act 1992</w:t>
            </w:r>
            <w:r>
              <w:rPr>
                <w:b/>
              </w:rPr>
              <w:t xml:space="preserve"> as at 10 Sep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Freedom of Information Amendment Act 2004</w:t>
            </w:r>
          </w:p>
        </w:tc>
        <w:tc>
          <w:tcPr>
            <w:tcW w:w="1134" w:type="dxa"/>
            <w:gridSpan w:val="2"/>
          </w:tcPr>
          <w:p>
            <w:pPr>
              <w:pStyle w:val="nTable"/>
              <w:spacing w:after="40"/>
            </w:pPr>
            <w:r>
              <w:t>56 of 2004</w:t>
            </w:r>
          </w:p>
        </w:tc>
        <w:tc>
          <w:tcPr>
            <w:tcW w:w="1136" w:type="dxa"/>
            <w:gridSpan w:val="2"/>
          </w:tcPr>
          <w:p>
            <w:pPr>
              <w:pStyle w:val="nTable"/>
              <w:spacing w:after="40"/>
            </w:pPr>
            <w:r>
              <w:t>19 Nov 2004</w:t>
            </w:r>
          </w:p>
        </w:tc>
        <w:tc>
          <w:tcPr>
            <w:tcW w:w="2552" w:type="dxa"/>
            <w:gridSpan w:val="2"/>
          </w:tcPr>
          <w:p>
            <w:pPr>
              <w:pStyle w:val="nTable"/>
              <w:spacing w:after="40"/>
            </w:pPr>
            <w:r>
              <w:t>19 Nov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90</w:t>
            </w:r>
          </w:p>
        </w:tc>
        <w:tc>
          <w:tcPr>
            <w:tcW w:w="1134" w:type="dxa"/>
            <w:gridSpan w:val="2"/>
          </w:tcPr>
          <w:p>
            <w:pPr>
              <w:pStyle w:val="nTable"/>
              <w:spacing w:after="40"/>
            </w:pPr>
            <w:r>
              <w:t>41 of 2006</w:t>
            </w:r>
          </w:p>
        </w:tc>
        <w:tc>
          <w:tcPr>
            <w:tcW w:w="1136" w:type="dxa"/>
            <w:gridSpan w:val="2"/>
          </w:tcPr>
          <w:p>
            <w:pPr>
              <w:pStyle w:val="nTable"/>
              <w:spacing w:after="40"/>
            </w:pPr>
            <w:r>
              <w:t>22 Sep 2006</w:t>
            </w:r>
          </w:p>
        </w:tc>
        <w:tc>
          <w:tcPr>
            <w:tcW w:w="2552" w:type="dxa"/>
            <w:gridSpan w:val="2"/>
          </w:tcPr>
          <w:p>
            <w:pPr>
              <w:pStyle w:val="nTable"/>
              <w:spacing w:after="40"/>
            </w:pPr>
            <w:r>
              <w:t xml:space="preserve">28 Jan 2007 (see s. 2(1) and </w:t>
            </w:r>
            <w:r>
              <w:rPr>
                <w:i/>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Perth International Centre for Application of Solar Energy Repeal Act 2006 </w:t>
            </w:r>
            <w:r>
              <w:rPr>
                <w:snapToGrid w:val="0"/>
              </w:rPr>
              <w:t>s. 6</w:t>
            </w:r>
          </w:p>
        </w:tc>
        <w:tc>
          <w:tcPr>
            <w:tcW w:w="1134" w:type="dxa"/>
            <w:gridSpan w:val="2"/>
          </w:tcPr>
          <w:p>
            <w:pPr>
              <w:pStyle w:val="nTable"/>
              <w:spacing w:after="40"/>
            </w:pPr>
            <w:r>
              <w:rPr>
                <w:snapToGrid w:val="0"/>
              </w:rPr>
              <w:t>43 of 2006</w:t>
            </w:r>
          </w:p>
        </w:tc>
        <w:tc>
          <w:tcPr>
            <w:tcW w:w="1136" w:type="dxa"/>
            <w:gridSpan w:val="2"/>
          </w:tcPr>
          <w:p>
            <w:pPr>
              <w:pStyle w:val="nTable"/>
              <w:spacing w:after="40"/>
            </w:pPr>
            <w:r>
              <w:rPr>
                <w:snapToGrid w:val="0"/>
              </w:rPr>
              <w:t>3 Oct 2006</w:t>
            </w:r>
          </w:p>
        </w:tc>
        <w:tc>
          <w:tcPr>
            <w:tcW w:w="2552" w:type="dxa"/>
            <w:gridSpan w:val="2"/>
          </w:tcPr>
          <w:p>
            <w:pPr>
              <w:pStyle w:val="nTable"/>
              <w:spacing w:after="40"/>
            </w:pPr>
            <w:r>
              <w:rPr>
                <w:snapToGrid w:val="0"/>
              </w:rPr>
              <w:t>31 Oct 2006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lastRenderedPageBreak/>
              <w:t>Children and Community Services Amendment (Reporting Sexual Abuse of Children) Act 2008</w:t>
            </w:r>
            <w:r>
              <w:rPr>
                <w:iCs/>
                <w:snapToGrid w:val="0"/>
              </w:rPr>
              <w:t xml:space="preserve"> s. 13</w:t>
            </w:r>
          </w:p>
        </w:tc>
        <w:tc>
          <w:tcPr>
            <w:tcW w:w="1134" w:type="dxa"/>
            <w:gridSpan w:val="2"/>
          </w:tcPr>
          <w:p>
            <w:pPr>
              <w:pStyle w:val="nTable"/>
              <w:spacing w:after="40"/>
              <w:rPr>
                <w:snapToGrid w:val="0"/>
              </w:rPr>
            </w:pPr>
            <w:r>
              <w:t>26 of 2008</w:t>
            </w:r>
          </w:p>
        </w:tc>
        <w:tc>
          <w:tcPr>
            <w:tcW w:w="1136" w:type="dxa"/>
            <w:gridSpan w:val="2"/>
          </w:tcPr>
          <w:p>
            <w:pPr>
              <w:pStyle w:val="nTable"/>
              <w:spacing w:after="40"/>
              <w:rPr>
                <w:snapToGrid w:val="0"/>
              </w:rPr>
            </w:pPr>
            <w:r>
              <w:t>19 Jun 2008</w:t>
            </w:r>
          </w:p>
        </w:tc>
        <w:tc>
          <w:tcPr>
            <w:tcW w:w="2552" w:type="dxa"/>
            <w:gridSpan w:val="2"/>
          </w:tcPr>
          <w:p>
            <w:pPr>
              <w:pStyle w:val="nTable"/>
              <w:spacing w:after="40"/>
              <w:rPr>
                <w:snapToGrid w:val="0"/>
              </w:rPr>
            </w:pPr>
            <w:r>
              <w:t xml:space="preserve">1 Jan 2009 (see s. 2(b) and </w:t>
            </w:r>
            <w:r>
              <w:rPr>
                <w:i/>
              </w:rPr>
              <w:t>Gazette</w:t>
            </w:r>
            <w:r>
              <w:rPr>
                <w:iCs/>
              </w:rPr>
              <w:t xml:space="preserve"> 9 Dec 2008 p. 5107</w:t>
            </w:r>
            <w:r>
              <w:t>)</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5: The </w:t>
            </w:r>
            <w:r>
              <w:rPr>
                <w:b/>
                <w:i/>
              </w:rPr>
              <w:t>Freedom of Information Act 1992</w:t>
            </w:r>
            <w:r>
              <w:rPr>
                <w:b/>
              </w:rPr>
              <w:t xml:space="preserve"> as at 27 Feb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National Gas Access (WA) Act 2009</w:t>
            </w:r>
            <w:r>
              <w:rPr>
                <w:iCs/>
              </w:rPr>
              <w:t xml:space="preserve"> s. 70</w:t>
            </w:r>
          </w:p>
        </w:tc>
        <w:tc>
          <w:tcPr>
            <w:tcW w:w="1134" w:type="dxa"/>
            <w:gridSpan w:val="2"/>
          </w:tcPr>
          <w:p>
            <w:pPr>
              <w:pStyle w:val="nTable"/>
              <w:spacing w:after="40"/>
            </w:pPr>
            <w:r>
              <w:t>16 of 2009</w:t>
            </w:r>
          </w:p>
        </w:tc>
        <w:tc>
          <w:tcPr>
            <w:tcW w:w="1136" w:type="dxa"/>
            <w:gridSpan w:val="2"/>
          </w:tcPr>
          <w:p>
            <w:pPr>
              <w:pStyle w:val="nTable"/>
              <w:spacing w:after="40"/>
            </w:pPr>
            <w:r>
              <w:t>1 Sep 2009</w:t>
            </w:r>
          </w:p>
        </w:tc>
        <w:tc>
          <w:tcPr>
            <w:tcW w:w="2552" w:type="dxa"/>
            <w:gridSpan w:val="2"/>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59</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s. 57</w:t>
            </w:r>
          </w:p>
        </w:tc>
        <w:tc>
          <w:tcPr>
            <w:tcW w:w="1134" w:type="dxa"/>
            <w:gridSpan w:val="2"/>
          </w:tcPr>
          <w:p>
            <w:pPr>
              <w:pStyle w:val="nTable"/>
              <w:spacing w:after="40"/>
              <w:rPr>
                <w:snapToGrid w:val="0"/>
              </w:rPr>
            </w:pPr>
            <w:r>
              <w:rPr>
                <w:snapToGrid w:val="0"/>
              </w:rPr>
              <w:t>33 of 2010</w:t>
            </w:r>
          </w:p>
        </w:tc>
        <w:tc>
          <w:tcPr>
            <w:tcW w:w="1136" w:type="dxa"/>
            <w:gridSpan w:val="2"/>
          </w:tcPr>
          <w:p>
            <w:pPr>
              <w:pStyle w:val="nTable"/>
              <w:spacing w:after="40"/>
              <w:rPr>
                <w:snapToGrid w:val="0"/>
              </w:rPr>
            </w:pPr>
            <w:r>
              <w:rPr>
                <w:snapToGrid w:val="0"/>
              </w:rPr>
              <w:t>30 Aug 2010</w:t>
            </w:r>
          </w:p>
        </w:tc>
        <w:tc>
          <w:tcPr>
            <w:tcW w:w="2552"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Bank of Western Australia Amendment Act 2012</w:t>
            </w:r>
            <w:r>
              <w:rPr>
                <w:snapToGrid w:val="0"/>
              </w:rPr>
              <w:t xml:space="preserve"> Pt. 3</w:t>
            </w:r>
          </w:p>
        </w:tc>
        <w:tc>
          <w:tcPr>
            <w:tcW w:w="1134" w:type="dxa"/>
            <w:gridSpan w:val="2"/>
            <w:shd w:val="clear" w:color="auto" w:fill="auto"/>
          </w:tcPr>
          <w:p>
            <w:pPr>
              <w:pStyle w:val="nTable"/>
              <w:spacing w:after="40"/>
              <w:rPr>
                <w:snapToGrid w:val="0"/>
              </w:rPr>
            </w:pPr>
            <w:r>
              <w:rPr>
                <w:snapToGrid w:val="0"/>
              </w:rPr>
              <w:t>14 of 2012</w:t>
            </w:r>
          </w:p>
        </w:tc>
        <w:tc>
          <w:tcPr>
            <w:tcW w:w="1136" w:type="dxa"/>
            <w:gridSpan w:val="2"/>
            <w:shd w:val="clear" w:color="auto" w:fill="auto"/>
          </w:tcPr>
          <w:p>
            <w:pPr>
              <w:pStyle w:val="nTable"/>
              <w:spacing w:after="40"/>
              <w:rPr>
                <w:snapToGrid w:val="0"/>
              </w:rPr>
            </w:pPr>
            <w:r>
              <w:rPr>
                <w:snapToGrid w:val="0"/>
              </w:rPr>
              <w:t>3 Jul 2012</w:t>
            </w:r>
          </w:p>
        </w:tc>
        <w:tc>
          <w:tcPr>
            <w:tcW w:w="2552" w:type="dxa"/>
            <w:gridSpan w:val="2"/>
            <w:shd w:val="clear" w:color="auto" w:fill="auto"/>
          </w:tcPr>
          <w:p>
            <w:pPr>
              <w:pStyle w:val="nTable"/>
              <w:spacing w:after="40"/>
              <w:rPr>
                <w:snapToGrid w:val="0"/>
              </w:rPr>
            </w:pPr>
            <w:r>
              <w:rPr>
                <w:snapToGrid w:val="0"/>
              </w:rPr>
              <w:t xml:space="preserve">11 Aug 2012 (see s. 2(b) and </w:t>
            </w:r>
            <w:r>
              <w:rPr>
                <w:i/>
                <w:snapToGrid w:val="0"/>
              </w:rPr>
              <w:t>Gazette</w:t>
            </w:r>
            <w:r>
              <w:rPr>
                <w:snapToGrid w:val="0"/>
              </w:rPr>
              <w:t xml:space="preserve"> 10 Aug 2012 p. 3803)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color w:val="000000"/>
              </w:rPr>
              <w:t>Community Protection (Offender Reporting) Amendment Act (No. 2) 2012</w:t>
            </w:r>
            <w:r>
              <w:rPr>
                <w:snapToGrid w:val="0"/>
              </w:rPr>
              <w:t xml:space="preserve"> Pt. 3</w:t>
            </w:r>
          </w:p>
        </w:tc>
        <w:tc>
          <w:tcPr>
            <w:tcW w:w="1134" w:type="dxa"/>
            <w:gridSpan w:val="2"/>
            <w:shd w:val="clear" w:color="auto" w:fill="auto"/>
          </w:tcPr>
          <w:p>
            <w:pPr>
              <w:pStyle w:val="nTable"/>
              <w:spacing w:after="40"/>
              <w:rPr>
                <w:snapToGrid w:val="0"/>
              </w:rPr>
            </w:pPr>
            <w:r>
              <w:t>54 of 2012</w:t>
            </w:r>
          </w:p>
        </w:tc>
        <w:tc>
          <w:tcPr>
            <w:tcW w:w="1136" w:type="dxa"/>
            <w:gridSpan w:val="2"/>
            <w:shd w:val="clear" w:color="auto" w:fill="auto"/>
          </w:tcPr>
          <w:p>
            <w:pPr>
              <w:pStyle w:val="nTable"/>
              <w:spacing w:after="40"/>
              <w:rPr>
                <w:snapToGrid w:val="0"/>
              </w:rPr>
            </w:pPr>
            <w:r>
              <w:t>3 Dec 2012</w:t>
            </w:r>
          </w:p>
        </w:tc>
        <w:tc>
          <w:tcPr>
            <w:tcW w:w="2552" w:type="dxa"/>
            <w:gridSpan w:val="2"/>
            <w:shd w:val="clear" w:color="auto" w:fill="auto"/>
          </w:tcPr>
          <w:p>
            <w:pPr>
              <w:pStyle w:val="nTable"/>
              <w:spacing w:after="40"/>
              <w:rPr>
                <w:snapToGrid w:val="0"/>
              </w:rPr>
            </w:pPr>
            <w:r>
              <w:rPr>
                <w:snapToGrid w:val="0"/>
              </w:rPr>
              <w:t xml:space="preserve">23 Feb 2013 (see s. 2(b) and </w:t>
            </w:r>
            <w:r>
              <w:rPr>
                <w:i/>
                <w:snapToGrid w:val="0"/>
              </w:rPr>
              <w:t>Gazette</w:t>
            </w:r>
            <w:r>
              <w:rPr>
                <w:snapToGrid w:val="0"/>
              </w:rPr>
              <w:t xml:space="preserve"> 22 Feb 2013 p. 1045)</w:t>
            </w:r>
          </w:p>
        </w:tc>
      </w:tr>
      <w:tr>
        <w:tblPrEx>
          <w:tblBorders>
            <w:top w:val="none" w:sz="0" w:space="0" w:color="auto"/>
            <w:bottom w:val="none" w:sz="0" w:space="0" w:color="auto"/>
            <w:insideH w:val="none" w:sz="0" w:space="0" w:color="auto"/>
          </w:tblBorders>
        </w:tblPrEx>
        <w:trPr>
          <w:cantSplit/>
        </w:trPr>
        <w:tc>
          <w:tcPr>
            <w:tcW w:w="7090" w:type="dxa"/>
            <w:gridSpan w:val="7"/>
            <w:shd w:val="clear" w:color="auto" w:fill="auto"/>
          </w:tcPr>
          <w:p>
            <w:pPr>
              <w:pStyle w:val="nTable"/>
              <w:spacing w:after="40"/>
              <w:rPr>
                <w:snapToGrid w:val="0"/>
              </w:rPr>
            </w:pPr>
            <w:r>
              <w:rPr>
                <w:b/>
              </w:rPr>
              <w:t xml:space="preserve">Reprint 6: The </w:t>
            </w:r>
            <w:r>
              <w:rPr>
                <w:b/>
                <w:i/>
              </w:rPr>
              <w:t>Freedom of Information Act 1992</w:t>
            </w:r>
            <w:r>
              <w:rPr>
                <w:b/>
              </w:rPr>
              <w:t xml:space="preserve"> as at 1 Feb 2013</w:t>
            </w:r>
            <w:r>
              <w:t xml:space="preserve"> (includes amendments listed above except those in the </w:t>
            </w:r>
            <w:r>
              <w:rPr>
                <w:i/>
                <w:snapToGrid w:val="0"/>
                <w:color w:val="000000"/>
              </w:rPr>
              <w:t>Community Protection (Offender Reporting) Amendment Act (No. 2) 2012</w:t>
            </w:r>
            <w:r>
              <w:rPr>
                <w:snapToGrid w:val="0"/>
              </w:rPr>
              <w:t xml:space="preserve"> Pt. 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snapToGrid w:val="0"/>
              </w:rPr>
              <w:t>Electoral Amendment Act 2014</w:t>
            </w:r>
            <w:r>
              <w:rPr>
                <w:snapToGrid w:val="0"/>
              </w:rPr>
              <w:t xml:space="preserve"> Pt. 3</w:t>
            </w:r>
          </w:p>
        </w:tc>
        <w:tc>
          <w:tcPr>
            <w:tcW w:w="1134" w:type="dxa"/>
            <w:gridSpan w:val="2"/>
          </w:tcPr>
          <w:p>
            <w:pPr>
              <w:pStyle w:val="nTable"/>
              <w:keepNext/>
              <w:spacing w:after="40"/>
            </w:pPr>
            <w:r>
              <w:t>14 of 2014</w:t>
            </w:r>
          </w:p>
        </w:tc>
        <w:tc>
          <w:tcPr>
            <w:tcW w:w="1136" w:type="dxa"/>
            <w:gridSpan w:val="2"/>
          </w:tcPr>
          <w:p>
            <w:pPr>
              <w:pStyle w:val="nTable"/>
              <w:keepNext/>
              <w:spacing w:after="40"/>
            </w:pPr>
            <w:r>
              <w:t>2 Jul 2014</w:t>
            </w:r>
          </w:p>
        </w:tc>
        <w:tc>
          <w:tcPr>
            <w:tcW w:w="2552" w:type="dxa"/>
            <w:gridSpan w:val="2"/>
          </w:tcPr>
          <w:p>
            <w:pPr>
              <w:pStyle w:val="nTable"/>
              <w:keepNext/>
              <w:spacing w:after="40"/>
            </w:pPr>
            <w:r>
              <w:t>3 Jul 2014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33</w:t>
            </w:r>
          </w:p>
        </w:tc>
        <w:tc>
          <w:tcPr>
            <w:tcW w:w="1134" w:type="dxa"/>
            <w:gridSpan w:val="2"/>
          </w:tcPr>
          <w:p>
            <w:pPr>
              <w:pStyle w:val="nTable"/>
              <w:keepNext/>
              <w:spacing w:after="40"/>
            </w:pPr>
            <w:r>
              <w:rPr>
                <w:snapToGrid w:val="0"/>
              </w:rPr>
              <w:t>35 of 2014</w:t>
            </w:r>
          </w:p>
        </w:tc>
        <w:tc>
          <w:tcPr>
            <w:tcW w:w="1136" w:type="dxa"/>
            <w:gridSpan w:val="2"/>
          </w:tcPr>
          <w:p>
            <w:pPr>
              <w:pStyle w:val="nTable"/>
              <w:keepNext/>
              <w:spacing w:after="40"/>
            </w:pPr>
            <w:r>
              <w:t>9 Dec 2014</w:t>
            </w:r>
          </w:p>
        </w:tc>
        <w:tc>
          <w:tcPr>
            <w:tcW w:w="2552" w:type="dxa"/>
            <w:gridSpan w:val="2"/>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Declared Places (Mentally Impaired Accused) Act 2015</w:t>
            </w:r>
            <w:r>
              <w:t xml:space="preserve"> s. 86</w:t>
            </w:r>
          </w:p>
        </w:tc>
        <w:tc>
          <w:tcPr>
            <w:tcW w:w="1134" w:type="dxa"/>
            <w:gridSpan w:val="2"/>
          </w:tcPr>
          <w:p>
            <w:pPr>
              <w:pStyle w:val="nTable"/>
              <w:keepNext/>
              <w:spacing w:after="40"/>
            </w:pPr>
            <w:r>
              <w:rPr>
                <w:snapToGrid w:val="0"/>
              </w:rPr>
              <w:t>4 of 2015</w:t>
            </w:r>
          </w:p>
        </w:tc>
        <w:tc>
          <w:tcPr>
            <w:tcW w:w="1136" w:type="dxa"/>
            <w:gridSpan w:val="2"/>
          </w:tcPr>
          <w:p>
            <w:pPr>
              <w:pStyle w:val="nTable"/>
              <w:keepNext/>
              <w:spacing w:after="40"/>
            </w:pPr>
            <w:r>
              <w:t>3 Mar 2015</w:t>
            </w:r>
          </w:p>
        </w:tc>
        <w:tc>
          <w:tcPr>
            <w:tcW w:w="2552" w:type="dxa"/>
            <w:gridSpan w:val="2"/>
          </w:tcPr>
          <w:p>
            <w:pPr>
              <w:pStyle w:val="nTable"/>
              <w:keepNext/>
              <w:spacing w:after="40"/>
            </w:pPr>
            <w:r>
              <w:t xml:space="preserve">17 Jun 2015 (see s. 2(b) and </w:t>
            </w:r>
            <w:r>
              <w:rPr>
                <w:i/>
              </w:rPr>
              <w:t>Gazette</w:t>
            </w:r>
            <w:r>
              <w:t xml:space="preserve"> 16 Jun 2015 p. 2071)</w:t>
            </w:r>
          </w:p>
        </w:tc>
      </w:tr>
      <w:tr>
        <w:tblPrEx>
          <w:tblBorders>
            <w:top w:val="none" w:sz="0" w:space="0" w:color="auto"/>
            <w:bottom w:val="none" w:sz="0" w:space="0" w:color="auto"/>
            <w:insideH w:val="none" w:sz="0" w:space="0" w:color="auto"/>
          </w:tblBorders>
        </w:tblPrEx>
        <w:trPr>
          <w:cantSplit/>
        </w:trPr>
        <w:tc>
          <w:tcPr>
            <w:tcW w:w="7090" w:type="dxa"/>
            <w:gridSpan w:val="7"/>
            <w:shd w:val="clear" w:color="auto" w:fill="auto"/>
          </w:tcPr>
          <w:p>
            <w:pPr>
              <w:pStyle w:val="nTable"/>
              <w:keepNext/>
              <w:spacing w:after="40"/>
            </w:pPr>
            <w:r>
              <w:rPr>
                <w:b/>
              </w:rPr>
              <w:t xml:space="preserve">Reprint 7: The </w:t>
            </w:r>
            <w:r>
              <w:rPr>
                <w:b/>
                <w:i/>
                <w:noProof/>
              </w:rPr>
              <w:t>Freedom of Information Act 1992</w:t>
            </w:r>
            <w:r>
              <w:rPr>
                <w:b/>
              </w:rPr>
              <w:t xml:space="preserve"> as at 11 Nov 2016</w:t>
            </w:r>
            <w:r>
              <w:t xml:space="preserve"> (includes amendments listed above)</w:t>
            </w:r>
          </w:p>
        </w:tc>
      </w:tr>
      <w:tr>
        <w:trPr>
          <w:cantSplit/>
        </w:trPr>
        <w:tc>
          <w:tcPr>
            <w:tcW w:w="2296" w:type="dxa"/>
            <w:gridSpan w:val="2"/>
            <w:tcBorders>
              <w:top w:val="nil"/>
              <w:bottom w:val="nil"/>
            </w:tcBorders>
            <w:shd w:val="clear" w:color="auto" w:fill="auto"/>
          </w:tcPr>
          <w:p>
            <w:pPr>
              <w:pStyle w:val="nTable"/>
              <w:spacing w:after="40"/>
              <w:rPr>
                <w:b/>
              </w:rPr>
            </w:pPr>
            <w:r>
              <w:rPr>
                <w:i/>
                <w:snapToGrid w:val="0"/>
              </w:rPr>
              <w:t>Local Government Legislation Amendment Act 2016</w:t>
            </w:r>
            <w:r>
              <w:rPr>
                <w:snapToGrid w:val="0"/>
              </w:rPr>
              <w:t xml:space="preserve"> Pt. 3 Div. 16</w:t>
            </w:r>
          </w:p>
        </w:tc>
        <w:tc>
          <w:tcPr>
            <w:tcW w:w="1134" w:type="dxa"/>
            <w:gridSpan w:val="2"/>
            <w:tcBorders>
              <w:top w:val="nil"/>
              <w:bottom w:val="nil"/>
            </w:tcBorders>
            <w:shd w:val="clear" w:color="auto" w:fill="auto"/>
          </w:tcPr>
          <w:p>
            <w:pPr>
              <w:pStyle w:val="nTable"/>
              <w:spacing w:after="40"/>
              <w:rPr>
                <w:b/>
              </w:rPr>
            </w:pPr>
            <w:r>
              <w:t>26 of 2016</w:t>
            </w:r>
          </w:p>
        </w:tc>
        <w:tc>
          <w:tcPr>
            <w:tcW w:w="1134" w:type="dxa"/>
            <w:gridSpan w:val="2"/>
            <w:tcBorders>
              <w:top w:val="nil"/>
              <w:bottom w:val="nil"/>
            </w:tcBorders>
            <w:shd w:val="clear" w:color="auto" w:fill="auto"/>
          </w:tcPr>
          <w:p>
            <w:pPr>
              <w:pStyle w:val="nTable"/>
              <w:spacing w:after="40"/>
              <w:rPr>
                <w:b/>
              </w:rPr>
            </w:pPr>
            <w:r>
              <w:t>21 Sep 2016</w:t>
            </w:r>
          </w:p>
        </w:tc>
        <w:tc>
          <w:tcPr>
            <w:tcW w:w="2526" w:type="dxa"/>
            <w:tcBorders>
              <w:top w:val="nil"/>
              <w:bottom w:val="nil"/>
            </w:tcBorders>
            <w:shd w:val="clear" w:color="auto" w:fill="auto"/>
          </w:tcPr>
          <w:p>
            <w:pPr>
              <w:pStyle w:val="nTable"/>
              <w:spacing w:after="40"/>
              <w:rPr>
                <w:b/>
              </w:rPr>
            </w:pPr>
            <w:r>
              <w:rPr>
                <w:snapToGrid w:val="0"/>
              </w:rPr>
              <w:t xml:space="preserve">21 Jan 2017 (see s. 2(b) and </w:t>
            </w:r>
            <w:r>
              <w:rPr>
                <w:i/>
                <w:snapToGrid w:val="0"/>
              </w:rPr>
              <w:t>Gazette</w:t>
            </w:r>
            <w:r>
              <w:rPr>
                <w:snapToGrid w:val="0"/>
              </w:rPr>
              <w:t xml:space="preserve"> 20 Jan 2017 p. 648)</w:t>
            </w:r>
          </w:p>
        </w:tc>
      </w:tr>
      <w:tr>
        <w:trPr>
          <w:cantSplit/>
        </w:trPr>
        <w:tc>
          <w:tcPr>
            <w:tcW w:w="2296" w:type="dxa"/>
            <w:gridSpan w:val="2"/>
            <w:tcBorders>
              <w:top w:val="nil"/>
              <w:bottom w:val="nil"/>
            </w:tcBorders>
            <w:shd w:val="clear" w:color="auto" w:fill="auto"/>
          </w:tcPr>
          <w:p>
            <w:pPr>
              <w:pStyle w:val="nTable"/>
              <w:keepNext/>
              <w:spacing w:after="40"/>
              <w:rPr>
                <w:i/>
                <w:snapToGrid w:val="0"/>
              </w:rPr>
            </w:pPr>
            <w:r>
              <w:rPr>
                <w:i/>
              </w:rPr>
              <w:lastRenderedPageBreak/>
              <w:t>High Risk Serious Offenders Act 2020</w:t>
            </w:r>
            <w:r>
              <w:t xml:space="preserve"> Pt. 9 Div. 3</w:t>
            </w:r>
          </w:p>
        </w:tc>
        <w:tc>
          <w:tcPr>
            <w:tcW w:w="1134" w:type="dxa"/>
            <w:gridSpan w:val="2"/>
            <w:tcBorders>
              <w:top w:val="nil"/>
              <w:bottom w:val="nil"/>
            </w:tcBorders>
            <w:shd w:val="clear" w:color="auto" w:fill="auto"/>
          </w:tcPr>
          <w:p>
            <w:pPr>
              <w:pStyle w:val="nTable"/>
              <w:keepNext/>
              <w:spacing w:after="40"/>
            </w:pPr>
            <w:r>
              <w:t>29 of 2020</w:t>
            </w:r>
          </w:p>
        </w:tc>
        <w:tc>
          <w:tcPr>
            <w:tcW w:w="1134" w:type="dxa"/>
            <w:gridSpan w:val="2"/>
            <w:tcBorders>
              <w:top w:val="nil"/>
              <w:bottom w:val="nil"/>
            </w:tcBorders>
            <w:shd w:val="clear" w:color="auto" w:fill="auto"/>
          </w:tcPr>
          <w:p>
            <w:pPr>
              <w:pStyle w:val="nTable"/>
              <w:keepNext/>
              <w:spacing w:after="40"/>
            </w:pPr>
            <w:r>
              <w:t>9 Jul 2020</w:t>
            </w:r>
          </w:p>
        </w:tc>
        <w:tc>
          <w:tcPr>
            <w:tcW w:w="2526" w:type="dxa"/>
            <w:tcBorders>
              <w:top w:val="nil"/>
              <w:bottom w:val="nil"/>
            </w:tcBorders>
            <w:shd w:val="clear" w:color="auto" w:fill="auto"/>
          </w:tcPr>
          <w:p>
            <w:pPr>
              <w:pStyle w:val="nTable"/>
              <w:keepNext/>
              <w:spacing w:after="40"/>
              <w:rPr>
                <w:snapToGrid w:val="0"/>
              </w:rPr>
            </w:pPr>
            <w:r>
              <w:t>26 Aug 2020 (see s. 2(1)(c) and SL 2020/131 cl. 2)</w:t>
            </w:r>
          </w:p>
        </w:tc>
      </w:tr>
      <w:tr>
        <w:trPr>
          <w:cantSplit/>
        </w:trPr>
        <w:tc>
          <w:tcPr>
            <w:tcW w:w="2296" w:type="dxa"/>
            <w:gridSpan w:val="2"/>
            <w:tcBorders>
              <w:top w:val="nil"/>
              <w:bottom w:val="nil"/>
            </w:tcBorders>
            <w:shd w:val="clear" w:color="auto" w:fill="auto"/>
          </w:tcPr>
          <w:p>
            <w:pPr>
              <w:pStyle w:val="nTable"/>
              <w:keepNext/>
              <w:spacing w:after="40"/>
              <w:rPr>
                <w:i/>
              </w:rPr>
            </w:pPr>
            <w:r>
              <w:rPr>
                <w:i/>
              </w:rPr>
              <w:t xml:space="preserve">Sentencing Legislation Amendment (Persons Linked to Terrorism) Act 2022 </w:t>
            </w:r>
            <w:r>
              <w:t>Pt. 5</w:t>
            </w:r>
          </w:p>
        </w:tc>
        <w:tc>
          <w:tcPr>
            <w:tcW w:w="1134" w:type="dxa"/>
            <w:gridSpan w:val="2"/>
            <w:tcBorders>
              <w:top w:val="nil"/>
              <w:bottom w:val="nil"/>
            </w:tcBorders>
            <w:shd w:val="clear" w:color="auto" w:fill="auto"/>
          </w:tcPr>
          <w:p>
            <w:pPr>
              <w:pStyle w:val="nTable"/>
              <w:keepNext/>
              <w:spacing w:after="40"/>
            </w:pPr>
            <w:r>
              <w:t>14 of 2022</w:t>
            </w:r>
          </w:p>
        </w:tc>
        <w:tc>
          <w:tcPr>
            <w:tcW w:w="1134" w:type="dxa"/>
            <w:gridSpan w:val="2"/>
            <w:tcBorders>
              <w:top w:val="nil"/>
              <w:bottom w:val="nil"/>
            </w:tcBorders>
            <w:shd w:val="clear" w:color="auto" w:fill="auto"/>
          </w:tcPr>
          <w:p>
            <w:pPr>
              <w:pStyle w:val="nTable"/>
              <w:keepNext/>
              <w:spacing w:after="40"/>
            </w:pPr>
            <w:r>
              <w:t>18 May 2022</w:t>
            </w:r>
          </w:p>
        </w:tc>
        <w:tc>
          <w:tcPr>
            <w:tcW w:w="2526" w:type="dxa"/>
            <w:tcBorders>
              <w:top w:val="nil"/>
              <w:bottom w:val="nil"/>
            </w:tcBorders>
            <w:shd w:val="clear" w:color="auto" w:fill="auto"/>
          </w:tcPr>
          <w:p>
            <w:pPr>
              <w:pStyle w:val="nTable"/>
              <w:keepNext/>
              <w:spacing w:after="40"/>
            </w:pPr>
            <w:r>
              <w:t>11 Nov 2022 (see s. 2(b) and SL 2022/182 cl. 2)</w:t>
            </w:r>
          </w:p>
        </w:tc>
      </w:tr>
      <w:tr>
        <w:trPr>
          <w:cantSplit/>
        </w:trPr>
        <w:tc>
          <w:tcPr>
            <w:tcW w:w="2296" w:type="dxa"/>
            <w:gridSpan w:val="2"/>
            <w:tcBorders>
              <w:top w:val="nil"/>
              <w:bottom w:val="nil"/>
            </w:tcBorders>
            <w:shd w:val="clear" w:color="auto" w:fill="auto"/>
          </w:tcPr>
          <w:p>
            <w:pPr>
              <w:pStyle w:val="nTable"/>
              <w:spacing w:after="40"/>
            </w:pPr>
            <w:r>
              <w:rPr>
                <w:i/>
              </w:rPr>
              <w:t>Health and Disability Services (Complaints) Amendment Act 2022</w:t>
            </w:r>
            <w:r>
              <w:t xml:space="preserve"> s. 44</w:t>
            </w:r>
          </w:p>
        </w:tc>
        <w:tc>
          <w:tcPr>
            <w:tcW w:w="1134" w:type="dxa"/>
            <w:gridSpan w:val="2"/>
            <w:tcBorders>
              <w:top w:val="nil"/>
              <w:bottom w:val="nil"/>
            </w:tcBorders>
            <w:shd w:val="clear" w:color="auto" w:fill="auto"/>
          </w:tcPr>
          <w:p>
            <w:pPr>
              <w:pStyle w:val="nTable"/>
              <w:spacing w:after="40"/>
            </w:pPr>
            <w:r>
              <w:t>35 of 2022</w:t>
            </w:r>
          </w:p>
        </w:tc>
        <w:tc>
          <w:tcPr>
            <w:tcW w:w="1134" w:type="dxa"/>
            <w:gridSpan w:val="2"/>
            <w:tcBorders>
              <w:top w:val="nil"/>
              <w:bottom w:val="nil"/>
            </w:tcBorders>
            <w:shd w:val="clear" w:color="auto" w:fill="auto"/>
          </w:tcPr>
          <w:p>
            <w:pPr>
              <w:pStyle w:val="nTable"/>
              <w:spacing w:after="40"/>
            </w:pPr>
            <w:r>
              <w:t>28 Oct 2022</w:t>
            </w:r>
          </w:p>
        </w:tc>
        <w:tc>
          <w:tcPr>
            <w:tcW w:w="2526" w:type="dxa"/>
            <w:tcBorders>
              <w:top w:val="nil"/>
              <w:bottom w:val="nil"/>
            </w:tcBorders>
            <w:shd w:val="clear" w:color="auto" w:fill="auto"/>
          </w:tcPr>
          <w:p>
            <w:pPr>
              <w:pStyle w:val="nTable"/>
              <w:spacing w:after="40"/>
            </w:pPr>
            <w:r>
              <w:t>27 Jul 2023 (see s. 2(b) and SL 2023/112 cl. 2)</w:t>
            </w:r>
          </w:p>
        </w:tc>
      </w:tr>
      <w:tr>
        <w:trPr>
          <w:cantSplit/>
        </w:trPr>
        <w:tc>
          <w:tcPr>
            <w:tcW w:w="2296" w:type="dxa"/>
            <w:gridSpan w:val="2"/>
            <w:tcBorders>
              <w:top w:val="nil"/>
              <w:bottom w:val="nil"/>
            </w:tcBorders>
            <w:shd w:val="clear" w:color="auto" w:fill="auto"/>
          </w:tcPr>
          <w:p>
            <w:pPr>
              <w:pStyle w:val="nTable"/>
              <w:keepNext/>
              <w:spacing w:after="40"/>
              <w:rPr>
                <w:i/>
              </w:rPr>
            </w:pPr>
            <w:r>
              <w:rPr>
                <w:i/>
              </w:rPr>
              <w:t>Charitable Trusts Act 2022</w:t>
            </w:r>
            <w:r>
              <w:t xml:space="preserve"> s. 58</w:t>
            </w:r>
          </w:p>
        </w:tc>
        <w:tc>
          <w:tcPr>
            <w:tcW w:w="1134" w:type="dxa"/>
            <w:gridSpan w:val="2"/>
            <w:tcBorders>
              <w:top w:val="nil"/>
              <w:bottom w:val="nil"/>
            </w:tcBorders>
            <w:shd w:val="clear" w:color="auto" w:fill="auto"/>
          </w:tcPr>
          <w:p>
            <w:pPr>
              <w:pStyle w:val="nTable"/>
              <w:keepNext/>
              <w:spacing w:after="40"/>
            </w:pPr>
            <w:r>
              <w:t>38 of 2022</w:t>
            </w:r>
          </w:p>
        </w:tc>
        <w:tc>
          <w:tcPr>
            <w:tcW w:w="1134" w:type="dxa"/>
            <w:gridSpan w:val="2"/>
            <w:tcBorders>
              <w:top w:val="nil"/>
              <w:bottom w:val="nil"/>
            </w:tcBorders>
            <w:shd w:val="clear" w:color="auto" w:fill="auto"/>
          </w:tcPr>
          <w:p>
            <w:pPr>
              <w:pStyle w:val="nTable"/>
              <w:keepNext/>
              <w:spacing w:after="40"/>
            </w:pPr>
            <w:r>
              <w:t>1 Nov 2022</w:t>
            </w:r>
          </w:p>
        </w:tc>
        <w:tc>
          <w:tcPr>
            <w:tcW w:w="2526" w:type="dxa"/>
            <w:tcBorders>
              <w:top w:val="nil"/>
              <w:bottom w:val="nil"/>
            </w:tcBorders>
            <w:shd w:val="clear" w:color="auto" w:fill="auto"/>
          </w:tcPr>
          <w:p>
            <w:pPr>
              <w:pStyle w:val="nTable"/>
              <w:keepNext/>
              <w:spacing w:after="40"/>
            </w:pPr>
            <w:r>
              <w:t>21 Nov 2022 (see s. 2(b) and SL 2022/194 cl. 2)</w:t>
            </w:r>
          </w:p>
        </w:tc>
      </w:tr>
      <w:tr>
        <w:tblPrEx>
          <w:tblBorders>
            <w:top w:val="none" w:sz="0" w:space="0" w:color="auto"/>
            <w:bottom w:val="none" w:sz="0" w:space="0" w:color="auto"/>
            <w:insideH w:val="none" w:sz="0" w:space="0" w:color="auto"/>
          </w:tblBorders>
        </w:tblPrEx>
        <w:trPr>
          <w:cantSplit/>
        </w:trPr>
        <w:tc>
          <w:tcPr>
            <w:tcW w:w="2296" w:type="dxa"/>
            <w:gridSpan w:val="2"/>
            <w:tcBorders>
              <w:bottom w:val="single" w:sz="2" w:space="0" w:color="auto"/>
            </w:tcBorders>
            <w:shd w:val="clear" w:color="auto" w:fill="auto"/>
          </w:tcPr>
          <w:p>
            <w:pPr>
              <w:pStyle w:val="nTable"/>
              <w:keepNext/>
              <w:spacing w:after="40"/>
              <w:rPr>
                <w:i/>
              </w:rPr>
            </w:pPr>
            <w:r>
              <w:rPr>
                <w:i/>
              </w:rPr>
              <w:t xml:space="preserve">Abortion Legislation Reform Act 2023 </w:t>
            </w:r>
            <w:r>
              <w:t>Pt. 4 Div. 4</w:t>
            </w:r>
          </w:p>
        </w:tc>
        <w:tc>
          <w:tcPr>
            <w:tcW w:w="1134" w:type="dxa"/>
            <w:gridSpan w:val="2"/>
            <w:tcBorders>
              <w:bottom w:val="single" w:sz="2" w:space="0" w:color="auto"/>
            </w:tcBorders>
            <w:shd w:val="clear" w:color="auto" w:fill="auto"/>
          </w:tcPr>
          <w:p>
            <w:pPr>
              <w:pStyle w:val="nTable"/>
              <w:keepNext/>
              <w:spacing w:after="40"/>
            </w:pPr>
            <w:r>
              <w:t>20 of 2023</w:t>
            </w:r>
          </w:p>
        </w:tc>
        <w:tc>
          <w:tcPr>
            <w:tcW w:w="1134" w:type="dxa"/>
            <w:gridSpan w:val="2"/>
            <w:tcBorders>
              <w:bottom w:val="single" w:sz="2" w:space="0" w:color="auto"/>
            </w:tcBorders>
            <w:shd w:val="clear" w:color="auto" w:fill="auto"/>
          </w:tcPr>
          <w:p>
            <w:pPr>
              <w:pStyle w:val="nTable"/>
              <w:keepNext/>
              <w:spacing w:after="40"/>
            </w:pPr>
            <w:r>
              <w:t>27 Sep 2023</w:t>
            </w:r>
          </w:p>
        </w:tc>
        <w:tc>
          <w:tcPr>
            <w:tcW w:w="2526" w:type="dxa"/>
            <w:tcBorders>
              <w:bottom w:val="single" w:sz="2" w:space="0" w:color="auto"/>
            </w:tcBorders>
            <w:shd w:val="clear" w:color="auto" w:fill="auto"/>
          </w:tcPr>
          <w:p>
            <w:pPr>
              <w:pStyle w:val="nTable"/>
              <w:keepNext/>
              <w:spacing w:after="40"/>
            </w:pPr>
            <w:r>
              <w:t>27 Mar 2024 (see s. 2(b) and SL 2024/21 cl. 2)</w:t>
            </w:r>
          </w:p>
        </w:tc>
      </w:tr>
    </w:tbl>
    <w:p>
      <w:pPr>
        <w:pStyle w:val="nHeading3"/>
      </w:pPr>
      <w:bookmarkStart w:id="212" w:name="_Toc161845545"/>
      <w:r>
        <w:t>Uncommenced provisions table</w:t>
      </w:r>
      <w:bookmarkEnd w:id="212"/>
    </w:p>
    <w:p>
      <w:pPr>
        <w:pStyle w:val="nStatement"/>
        <w:keepNext/>
        <w:spacing w:after="240"/>
      </w:pPr>
      <w:r>
        <w:t xml:space="preserve">To view the text of the uncommenced provisions see </w:t>
      </w:r>
      <w:r>
        <w:rPr>
          <w:i/>
        </w:rPr>
        <w:t>Acts as passed</w:t>
      </w:r>
      <w:r>
        <w:t xml:space="preserve"> on the WA Legislation website.</w:t>
      </w:r>
    </w:p>
    <w:tbl>
      <w:tblPr>
        <w:tblW w:w="706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382"/>
        <w:gridCol w:w="1134"/>
        <w:gridCol w:w="1134"/>
        <w:gridCol w:w="2410"/>
      </w:tblGrid>
      <w:tr>
        <w:trPr>
          <w:tblHeader/>
        </w:trPr>
        <w:tc>
          <w:tcPr>
            <w:tcW w:w="2382"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410" w:type="dxa"/>
          </w:tcPr>
          <w:p>
            <w:pPr>
              <w:pStyle w:val="nTable"/>
              <w:spacing w:after="40"/>
              <w:rPr>
                <w:b/>
              </w:rPr>
            </w:pPr>
            <w:r>
              <w:rPr>
                <w:b/>
              </w:rPr>
              <w:t>Commencement</w:t>
            </w:r>
          </w:p>
        </w:tc>
      </w:tr>
      <w:tr>
        <w:trPr>
          <w:cantSplit/>
        </w:trPr>
        <w:tc>
          <w:tcPr>
            <w:tcW w:w="2382" w:type="dxa"/>
            <w:tcBorders>
              <w:top w:val="single" w:sz="8" w:space="0" w:color="auto"/>
              <w:bottom w:val="nil"/>
            </w:tcBorders>
          </w:tcPr>
          <w:p>
            <w:pPr>
              <w:pStyle w:val="nTable"/>
              <w:spacing w:after="40"/>
              <w:ind w:right="113"/>
              <w:rPr>
                <w:vertAlign w:val="superscript"/>
              </w:rPr>
            </w:pPr>
            <w:r>
              <w:rPr>
                <w:i/>
                <w:snapToGrid w:val="0"/>
              </w:rPr>
              <w:t xml:space="preserve">Acts Amendment (ICWA) Act 1996 </w:t>
            </w:r>
            <w:r>
              <w:rPr>
                <w:snapToGrid w:val="0"/>
              </w:rPr>
              <w:t>Sch. 1 it. 4</w:t>
            </w:r>
          </w:p>
        </w:tc>
        <w:tc>
          <w:tcPr>
            <w:tcW w:w="1134" w:type="dxa"/>
            <w:tcBorders>
              <w:top w:val="single" w:sz="8" w:space="0" w:color="auto"/>
              <w:bottom w:val="nil"/>
            </w:tcBorders>
          </w:tcPr>
          <w:p>
            <w:pPr>
              <w:pStyle w:val="nTable"/>
              <w:keepNext/>
              <w:spacing w:after="40"/>
            </w:pPr>
            <w:r>
              <w:t>45 of 1996</w:t>
            </w:r>
          </w:p>
        </w:tc>
        <w:tc>
          <w:tcPr>
            <w:tcW w:w="1134" w:type="dxa"/>
            <w:tcBorders>
              <w:top w:val="single" w:sz="8" w:space="0" w:color="auto"/>
              <w:bottom w:val="nil"/>
            </w:tcBorders>
          </w:tcPr>
          <w:p>
            <w:pPr>
              <w:pStyle w:val="nTable"/>
              <w:keepNext/>
              <w:spacing w:after="40"/>
            </w:pPr>
            <w:r>
              <w:t>25 Oct 1996</w:t>
            </w:r>
          </w:p>
        </w:tc>
        <w:tc>
          <w:tcPr>
            <w:tcW w:w="2410" w:type="dxa"/>
            <w:tcBorders>
              <w:top w:val="single" w:sz="8" w:space="0" w:color="auto"/>
              <w:bottom w:val="nil"/>
            </w:tcBorders>
          </w:tcPr>
          <w:p>
            <w:pPr>
              <w:pStyle w:val="nTable"/>
              <w:keepNext/>
              <w:spacing w:after="40"/>
            </w:pPr>
            <w:r>
              <w:t>To be proclaimed (see s. 2)</w:t>
            </w:r>
          </w:p>
        </w:tc>
      </w:tr>
      <w:tr>
        <w:trPr>
          <w:cantSplit/>
        </w:trPr>
        <w:tc>
          <w:tcPr>
            <w:tcW w:w="2382" w:type="dxa"/>
            <w:tcBorders>
              <w:top w:val="nil"/>
              <w:bottom w:val="nil"/>
            </w:tcBorders>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tcBorders>
              <w:top w:val="nil"/>
              <w:bottom w:val="nil"/>
            </w:tcBorders>
          </w:tcPr>
          <w:p>
            <w:pPr>
              <w:pStyle w:val="nTable"/>
              <w:keepNext/>
              <w:spacing w:after="40"/>
            </w:pPr>
            <w:r>
              <w:t>43 of 2000</w:t>
            </w:r>
          </w:p>
        </w:tc>
        <w:tc>
          <w:tcPr>
            <w:tcW w:w="1134" w:type="dxa"/>
            <w:tcBorders>
              <w:top w:val="nil"/>
              <w:bottom w:val="nil"/>
            </w:tcBorders>
          </w:tcPr>
          <w:p>
            <w:pPr>
              <w:pStyle w:val="nTable"/>
              <w:keepNext/>
              <w:spacing w:after="40"/>
            </w:pPr>
            <w:r>
              <w:t>2 Nov 2000</w:t>
            </w:r>
          </w:p>
        </w:tc>
        <w:tc>
          <w:tcPr>
            <w:tcW w:w="2410" w:type="dxa"/>
            <w:tcBorders>
              <w:top w:val="nil"/>
              <w:bottom w:val="nil"/>
            </w:tcBorders>
          </w:tcPr>
          <w:p>
            <w:pPr>
              <w:pStyle w:val="nTable"/>
              <w:keepNext/>
              <w:spacing w:after="40"/>
            </w:pPr>
            <w:r>
              <w:t>To be proclaimed (see s. 2(2))</w:t>
            </w:r>
          </w:p>
        </w:tc>
      </w:tr>
      <w:tr>
        <w:tc>
          <w:tcPr>
            <w:tcW w:w="2382" w:type="dxa"/>
            <w:tcBorders>
              <w:top w:val="nil"/>
              <w:bottom w:val="single" w:sz="4" w:space="0" w:color="auto"/>
            </w:tcBorders>
          </w:tcPr>
          <w:p>
            <w:pPr>
              <w:pStyle w:val="nTable"/>
              <w:spacing w:after="40"/>
            </w:pPr>
            <w:r>
              <w:rPr>
                <w:i/>
              </w:rPr>
              <w:t>Criminal Law (Mental Impairment) Act 2023</w:t>
            </w:r>
            <w:r>
              <w:t xml:space="preserve"> s. 410</w:t>
            </w:r>
          </w:p>
        </w:tc>
        <w:tc>
          <w:tcPr>
            <w:tcW w:w="1134" w:type="dxa"/>
            <w:tcBorders>
              <w:top w:val="nil"/>
              <w:bottom w:val="single" w:sz="4" w:space="0" w:color="auto"/>
            </w:tcBorders>
          </w:tcPr>
          <w:p>
            <w:pPr>
              <w:pStyle w:val="nTable"/>
              <w:spacing w:after="40"/>
            </w:pPr>
            <w:r>
              <w:t>10 of 2023</w:t>
            </w:r>
          </w:p>
        </w:tc>
        <w:tc>
          <w:tcPr>
            <w:tcW w:w="1134" w:type="dxa"/>
            <w:tcBorders>
              <w:top w:val="nil"/>
              <w:bottom w:val="single" w:sz="4" w:space="0" w:color="auto"/>
            </w:tcBorders>
          </w:tcPr>
          <w:p>
            <w:pPr>
              <w:pStyle w:val="nTable"/>
              <w:spacing w:after="40"/>
            </w:pPr>
            <w:r>
              <w:t>13 Apr 2023</w:t>
            </w:r>
          </w:p>
        </w:tc>
        <w:tc>
          <w:tcPr>
            <w:tcW w:w="2410" w:type="dxa"/>
            <w:tcBorders>
              <w:top w:val="nil"/>
              <w:bottom w:val="single" w:sz="4" w:space="0" w:color="auto"/>
            </w:tcBorders>
          </w:tcPr>
          <w:p>
            <w:pPr>
              <w:pStyle w:val="nTable"/>
              <w:spacing w:after="40"/>
            </w:pPr>
            <w:r>
              <w:t>To be proclaimed (see s. 2(b))</w:t>
            </w:r>
          </w:p>
        </w:tc>
      </w:tr>
    </w:tbl>
    <w:p>
      <w:pPr>
        <w:pStyle w:val="nHeading3"/>
      </w:pPr>
      <w:bookmarkStart w:id="213" w:name="_Toc161845546"/>
      <w:r>
        <w:t>Other notes</w:t>
      </w:r>
      <w:bookmarkEnd w:id="213"/>
    </w:p>
    <w:p>
      <w:pPr>
        <w:pStyle w:val="nNote"/>
        <w:spacing w:before="160"/>
      </w:pPr>
      <w:r>
        <w:rPr>
          <w:vertAlign w:val="superscript"/>
        </w:rPr>
        <w:t>1</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w:t>
      </w:r>
      <w:r>
        <w:lastRenderedPageBreak/>
        <w:t xml:space="preserve">relation to certain schemes because of the </w:t>
      </w:r>
      <w:r>
        <w:rPr>
          <w:i/>
        </w:rPr>
        <w:t>State Superannuation (Transitional and Consequential Provisions) Act 2000</w:t>
      </w:r>
      <w:r>
        <w:t xml:space="preserve"> s. 26</w:t>
      </w:r>
      <w:r>
        <w:rPr>
          <w:snapToGrid w:val="0"/>
        </w:rPr>
        <w:t>.</w:t>
      </w:r>
    </w:p>
    <w:p>
      <w:pPr>
        <w:pStyle w:val="nNote"/>
        <w:keepNext/>
        <w:rPr>
          <w:snapToGrid w:val="0"/>
        </w:rPr>
      </w:pPr>
      <w:r>
        <w:rPr>
          <w:snapToGrid w:val="0"/>
          <w:vertAlign w:val="superscript"/>
        </w:rPr>
        <w:t>3</w:t>
      </w:r>
      <w:r>
        <w:rPr>
          <w:snapToGrid w:val="0"/>
        </w:rPr>
        <w:tab/>
        <w:t>The State Government Insurance Corporation ceased to exist on 1 July 2012.</w:t>
      </w:r>
    </w:p>
    <w:p>
      <w:pPr>
        <w:pStyle w:val="nNote"/>
        <w:keepNext/>
        <w:rPr>
          <w:snapToGrid w:val="0"/>
        </w:rPr>
      </w:pPr>
      <w:r>
        <w:rPr>
          <w:snapToGrid w:val="0"/>
          <w:vertAlign w:val="superscript"/>
        </w:rPr>
        <w:t>4</w:t>
      </w:r>
      <w:r>
        <w:rPr>
          <w:snapToGrid w:val="0"/>
        </w:rPr>
        <w:tab/>
        <w:t xml:space="preserve">Repealed by the </w:t>
      </w:r>
      <w:r>
        <w:rPr>
          <w:i/>
        </w:rPr>
        <w:t>Corruption and Crime Commission Amendment and Repeal Act 2003</w:t>
      </w:r>
      <w:r>
        <w:rPr>
          <w:snapToGrid w:val="0"/>
        </w:rPr>
        <w:t>.</w:t>
      </w:r>
    </w:p>
    <w:p>
      <w:pPr>
        <w:pStyle w:val="nNote"/>
        <w:keepNext/>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Note"/>
        <w:rPr>
          <w:snapToGrid w:val="0"/>
        </w:rPr>
      </w:pPr>
      <w:r>
        <w:rPr>
          <w:snapToGrid w:val="0"/>
          <w:vertAlign w:val="superscript"/>
        </w:rPr>
        <w:t>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sectPr>
          <w:headerReference w:type="even" r:id="rId33"/>
          <w:headerReference w:type="default" r:id="rId34"/>
          <w:pgSz w:w="11907" w:h="16840" w:code="9"/>
          <w:pgMar w:top="2376" w:right="2405" w:bottom="3542" w:left="2405" w:header="706" w:footer="3544" w:gutter="0"/>
          <w:cols w:space="720"/>
          <w:noEndnote/>
          <w:docGrid w:linePitch="326"/>
        </w:sectPr>
      </w:pPr>
    </w:p>
    <w:p>
      <w:pPr>
        <w:pStyle w:val="nHeading2"/>
        <w:rPr>
          <w:sz w:val="28"/>
        </w:rPr>
      </w:pPr>
      <w:bookmarkStart w:id="215" w:name="_Toc161842826"/>
      <w:bookmarkStart w:id="216" w:name="_Toc161843099"/>
      <w:bookmarkStart w:id="217" w:name="_Toc161845547"/>
      <w:r>
        <w:rPr>
          <w:sz w:val="28"/>
        </w:rPr>
        <w:lastRenderedPageBreak/>
        <w:t>Defined terms</w:t>
      </w:r>
      <w:bookmarkEnd w:id="215"/>
      <w:bookmarkEnd w:id="216"/>
      <w:bookmarkEnd w:id="2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spacing w:line="210" w:lineRule="exact"/>
      </w:pPr>
      <w:r>
        <w:t>access applicant</w:t>
      </w:r>
      <w:r>
        <w:tab/>
        <w:t>Gl.</w:t>
      </w:r>
    </w:p>
    <w:p>
      <w:pPr>
        <w:pStyle w:val="DefinedTerms"/>
        <w:spacing w:line="210" w:lineRule="exact"/>
      </w:pPr>
      <w:r>
        <w:t>access regulation functions</w:t>
      </w:r>
      <w:r>
        <w:tab/>
        <w:t>Gl.</w:t>
      </w:r>
    </w:p>
    <w:p>
      <w:pPr>
        <w:pStyle w:val="DefinedTerms"/>
        <w:spacing w:line="210" w:lineRule="exact"/>
      </w:pPr>
      <w:r>
        <w:t>agency</w:t>
      </w:r>
      <w:r>
        <w:tab/>
        <w:t>99(3), Gl.</w:t>
      </w:r>
    </w:p>
    <w:p>
      <w:pPr>
        <w:pStyle w:val="DefinedTerms"/>
        <w:spacing w:line="210" w:lineRule="exact"/>
      </w:pPr>
      <w:r>
        <w:t>applicant</w:t>
      </w:r>
      <w:r>
        <w:tab/>
        <w:t>Gl.</w:t>
      </w:r>
    </w:p>
    <w:p>
      <w:pPr>
        <w:pStyle w:val="DefinedTerms"/>
        <w:spacing w:line="210" w:lineRule="exact"/>
      </w:pPr>
      <w:r>
        <w:t>applicant for amendment</w:t>
      </w:r>
      <w:r>
        <w:tab/>
        <w:t>Gl.</w:t>
      </w:r>
    </w:p>
    <w:p>
      <w:pPr>
        <w:pStyle w:val="DefinedTerms"/>
        <w:spacing w:line="210" w:lineRule="exact"/>
      </w:pPr>
      <w:r>
        <w:t>arbitrator</w:t>
      </w:r>
      <w:r>
        <w:tab/>
        <w:t>Gl.</w:t>
      </w:r>
    </w:p>
    <w:p>
      <w:pPr>
        <w:pStyle w:val="DefinedTerms"/>
        <w:spacing w:line="210" w:lineRule="exact"/>
      </w:pPr>
      <w:r>
        <w:t>Authority</w:t>
      </w:r>
      <w:r>
        <w:tab/>
        <w:t>Gl.</w:t>
      </w:r>
    </w:p>
    <w:p>
      <w:pPr>
        <w:pStyle w:val="DefinedTerms"/>
        <w:spacing w:line="210" w:lineRule="exact"/>
      </w:pPr>
      <w:r>
        <w:t>Board</w:t>
      </w:r>
      <w:r>
        <w:tab/>
        <w:t>Gl.</w:t>
      </w:r>
    </w:p>
    <w:p>
      <w:pPr>
        <w:pStyle w:val="DefinedTerms"/>
        <w:spacing w:line="210" w:lineRule="exact"/>
      </w:pPr>
      <w:r>
        <w:t>Commonwealth intelligence or security agency</w:t>
      </w:r>
      <w:r>
        <w:tab/>
        <w:t>Sch. 1 cl. 5(5)</w:t>
      </w:r>
    </w:p>
    <w:p>
      <w:pPr>
        <w:pStyle w:val="DefinedTerms"/>
        <w:spacing w:line="210" w:lineRule="exact"/>
      </w:pPr>
      <w:r>
        <w:t>confidential information</w:t>
      </w:r>
      <w:r>
        <w:tab/>
        <w:t>82(1)</w:t>
      </w:r>
    </w:p>
    <w:p>
      <w:pPr>
        <w:pStyle w:val="DefinedTerms"/>
        <w:spacing w:line="210" w:lineRule="exact"/>
      </w:pPr>
      <w:r>
        <w:t>contractor</w:t>
      </w:r>
      <w:r>
        <w:tab/>
        <w:t>Gl.</w:t>
      </w:r>
    </w:p>
    <w:p>
      <w:pPr>
        <w:pStyle w:val="DefinedTerms"/>
        <w:spacing w:line="210" w:lineRule="exact"/>
      </w:pPr>
      <w:r>
        <w:t>contravention</w:t>
      </w:r>
      <w:r>
        <w:tab/>
        <w:t>Sch. 1 cl. 5(5)</w:t>
      </w:r>
    </w:p>
    <w:p>
      <w:pPr>
        <w:pStyle w:val="DefinedTerms"/>
        <w:spacing w:line="210" w:lineRule="exact"/>
      </w:pPr>
      <w:r>
        <w:t>Corrective Services</w:t>
      </w:r>
      <w:r>
        <w:tab/>
        <w:t>Gl.</w:t>
      </w:r>
    </w:p>
    <w:p>
      <w:pPr>
        <w:pStyle w:val="DefinedTerms"/>
        <w:spacing w:line="210" w:lineRule="exact"/>
      </w:pPr>
      <w:r>
        <w:t>court</w:t>
      </w:r>
      <w:r>
        <w:tab/>
        <w:t>Gl.</w:t>
      </w:r>
    </w:p>
    <w:p>
      <w:pPr>
        <w:pStyle w:val="DefinedTerms"/>
        <w:spacing w:line="210" w:lineRule="exact"/>
      </w:pPr>
      <w:r>
        <w:t>document</w:t>
      </w:r>
      <w:r>
        <w:tab/>
        <w:t>Gl.</w:t>
      </w:r>
    </w:p>
    <w:p>
      <w:pPr>
        <w:pStyle w:val="DefinedTerms"/>
        <w:spacing w:line="210" w:lineRule="exact"/>
      </w:pPr>
      <w:r>
        <w:t>edited copy</w:t>
      </w:r>
      <w:r>
        <w:tab/>
        <w:t>Gl.</w:t>
      </w:r>
    </w:p>
    <w:p>
      <w:pPr>
        <w:pStyle w:val="DefinedTerms"/>
        <w:spacing w:line="210" w:lineRule="exact"/>
      </w:pPr>
      <w:r>
        <w:t>Executive body</w:t>
      </w:r>
      <w:r>
        <w:tab/>
        <w:t>Sch. 1 cl. 1(6)</w:t>
      </w:r>
    </w:p>
    <w:p>
      <w:pPr>
        <w:pStyle w:val="DefinedTerms"/>
        <w:spacing w:line="210" w:lineRule="exact"/>
      </w:pPr>
      <w:r>
        <w:t>exempt agency</w:t>
      </w:r>
      <w:r>
        <w:tab/>
        <w:t>Gl.</w:t>
      </w:r>
    </w:p>
    <w:p>
      <w:pPr>
        <w:pStyle w:val="DefinedTerms"/>
        <w:spacing w:line="210" w:lineRule="exact"/>
      </w:pPr>
      <w:r>
        <w:t>exempt document</w:t>
      </w:r>
      <w:r>
        <w:tab/>
        <w:t>Gl.</w:t>
      </w:r>
    </w:p>
    <w:p>
      <w:pPr>
        <w:pStyle w:val="DefinedTerms"/>
        <w:spacing w:line="210" w:lineRule="exact"/>
      </w:pPr>
      <w:r>
        <w:t>exempt matter</w:t>
      </w:r>
      <w:r>
        <w:tab/>
        <w:t>Gl.</w:t>
      </w:r>
    </w:p>
    <w:p>
      <w:pPr>
        <w:pStyle w:val="DefinedTerms"/>
        <w:spacing w:line="210" w:lineRule="exact"/>
      </w:pPr>
      <w:r>
        <w:t>exemption certificate</w:t>
      </w:r>
      <w:r>
        <w:tab/>
        <w:t>Gl.</w:t>
      </w:r>
    </w:p>
    <w:p>
      <w:pPr>
        <w:pStyle w:val="DefinedTerms"/>
        <w:spacing w:line="210" w:lineRule="exact"/>
      </w:pPr>
      <w:r>
        <w:t>Gold Corporation</w:t>
      </w:r>
      <w:r>
        <w:tab/>
        <w:t>Sch. 1 cl. 15(2)</w:t>
      </w:r>
    </w:p>
    <w:p>
      <w:pPr>
        <w:pStyle w:val="DefinedTerms"/>
        <w:spacing w:line="210" w:lineRule="exact"/>
      </w:pPr>
      <w:r>
        <w:t>information statement</w:t>
      </w:r>
      <w:r>
        <w:tab/>
        <w:t>94</w:t>
      </w:r>
    </w:p>
    <w:p>
      <w:pPr>
        <w:pStyle w:val="DefinedTerms"/>
        <w:spacing w:line="210" w:lineRule="exact"/>
      </w:pPr>
      <w:r>
        <w:t>internal manual</w:t>
      </w:r>
      <w:r>
        <w:tab/>
        <w:t>95</w:t>
      </w:r>
    </w:p>
    <w:p>
      <w:pPr>
        <w:pStyle w:val="DefinedTerms"/>
        <w:spacing w:line="210" w:lineRule="exact"/>
      </w:pPr>
      <w:r>
        <w:t>law</w:t>
      </w:r>
      <w:r>
        <w:tab/>
        <w:t>Sch. 1 cl. 5(5)</w:t>
      </w:r>
    </w:p>
    <w:p>
      <w:pPr>
        <w:pStyle w:val="DefinedTerms"/>
        <w:spacing w:line="210" w:lineRule="exact"/>
      </w:pPr>
      <w:r>
        <w:t>misbehaviour</w:t>
      </w:r>
      <w:r>
        <w:tab/>
        <w:t>58(2)</w:t>
      </w:r>
    </w:p>
    <w:p>
      <w:pPr>
        <w:pStyle w:val="DefinedTerms"/>
        <w:spacing w:line="210" w:lineRule="exact"/>
      </w:pPr>
      <w:r>
        <w:t>officer</w:t>
      </w:r>
      <w:r>
        <w:tab/>
        <w:t>Gl.</w:t>
      </w:r>
    </w:p>
    <w:p>
      <w:pPr>
        <w:pStyle w:val="DefinedTerms"/>
        <w:spacing w:line="210" w:lineRule="exact"/>
      </w:pPr>
      <w:r>
        <w:t>other government</w:t>
      </w:r>
      <w:r>
        <w:tab/>
        <w:t>Sch. 1 cl. 2(3)</w:t>
      </w:r>
    </w:p>
    <w:p>
      <w:pPr>
        <w:pStyle w:val="DefinedTerms"/>
        <w:spacing w:line="210" w:lineRule="exact"/>
      </w:pPr>
      <w:r>
        <w:t>permitted period</w:t>
      </w:r>
      <w:r>
        <w:tab/>
        <w:t>13(3)</w:t>
      </w:r>
    </w:p>
    <w:p>
      <w:pPr>
        <w:pStyle w:val="DefinedTerms"/>
        <w:spacing w:line="210" w:lineRule="exact"/>
      </w:pPr>
      <w:r>
        <w:t>person</w:t>
      </w:r>
      <w:r>
        <w:tab/>
        <w:t>45(1)</w:t>
      </w:r>
    </w:p>
    <w:p>
      <w:pPr>
        <w:pStyle w:val="DefinedTerms"/>
        <w:spacing w:line="210" w:lineRule="exact"/>
      </w:pPr>
      <w:r>
        <w:t>personal information</w:t>
      </w:r>
      <w:r>
        <w:tab/>
        <w:t>Gl.</w:t>
      </w:r>
    </w:p>
    <w:p>
      <w:pPr>
        <w:pStyle w:val="DefinedTerms"/>
        <w:spacing w:line="210" w:lineRule="exact"/>
      </w:pPr>
      <w:r>
        <w:t>principal officer</w:t>
      </w:r>
      <w:r>
        <w:tab/>
        <w:t>Gl.</w:t>
      </w:r>
    </w:p>
    <w:p>
      <w:pPr>
        <w:pStyle w:val="DefinedTerms"/>
        <w:spacing w:line="210" w:lineRule="exact"/>
      </w:pPr>
      <w:r>
        <w:t>public body or office</w:t>
      </w:r>
      <w:r>
        <w:tab/>
        <w:t>Gl.</w:t>
      </w:r>
    </w:p>
    <w:p>
      <w:pPr>
        <w:pStyle w:val="DefinedTerms"/>
        <w:spacing w:line="210" w:lineRule="exact"/>
      </w:pPr>
      <w:r>
        <w:t>record</w:t>
      </w:r>
      <w:r>
        <w:tab/>
        <w:t>Gl.</w:t>
      </w:r>
    </w:p>
    <w:p>
      <w:pPr>
        <w:pStyle w:val="DefinedTerms"/>
        <w:spacing w:line="210" w:lineRule="exact"/>
      </w:pPr>
      <w:r>
        <w:t>relative</w:t>
      </w:r>
      <w:r>
        <w:tab/>
        <w:t>Gl.</w:t>
      </w:r>
    </w:p>
    <w:p>
      <w:pPr>
        <w:pStyle w:val="DefinedTerms"/>
        <w:spacing w:line="210" w:lineRule="exact"/>
      </w:pPr>
      <w:r>
        <w:t>relevant office</w:t>
      </w:r>
      <w:r>
        <w:tab/>
        <w:t>62(1)</w:t>
      </w:r>
    </w:p>
    <w:p>
      <w:pPr>
        <w:pStyle w:val="DefinedTerms"/>
        <w:spacing w:line="210" w:lineRule="exact"/>
      </w:pPr>
      <w:r>
        <w:t>requested documents</w:t>
      </w:r>
      <w:r>
        <w:tab/>
        <w:t>Gl.</w:t>
      </w:r>
    </w:p>
    <w:p>
      <w:pPr>
        <w:pStyle w:val="DefinedTerms"/>
        <w:spacing w:line="210" w:lineRule="exact"/>
      </w:pPr>
      <w:r>
        <w:t>review proceedings</w:t>
      </w:r>
      <w:r>
        <w:tab/>
        <w:t>88</w:t>
      </w:r>
    </w:p>
    <w:p>
      <w:pPr>
        <w:pStyle w:val="DefinedTerms"/>
        <w:spacing w:line="210" w:lineRule="exact"/>
      </w:pPr>
      <w:r>
        <w:t>State archive</w:t>
      </w:r>
      <w:r>
        <w:tab/>
        <w:t>Gl.</w:t>
      </w:r>
    </w:p>
    <w:p>
      <w:pPr>
        <w:pStyle w:val="DefinedTerms"/>
        <w:spacing w:line="210" w:lineRule="exact"/>
      </w:pPr>
      <w:r>
        <w:t>subcontractor</w:t>
      </w:r>
      <w:r>
        <w:tab/>
        <w:t>Gl.</w:t>
      </w:r>
    </w:p>
    <w:p>
      <w:pPr>
        <w:pStyle w:val="DefinedTerms"/>
        <w:spacing w:line="210" w:lineRule="exact"/>
      </w:pPr>
      <w:r>
        <w:t>third party</w:t>
      </w:r>
      <w:r>
        <w:tab/>
        <w:t>32(1), 33(1), Gl.</w:t>
      </w:r>
    </w:p>
    <w:p>
      <w:pPr>
        <w:sectPr>
          <w:headerReference w:type="even" r:id="rId35"/>
          <w:headerReference w:type="default" r:id="rId36"/>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3CF4AA68"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DF37189" w14:textId="1A31CD46" w:rsidR="00AD0ADF" w:rsidRDefault="008368E0">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DD3763">
                        <w:rPr>
                          <w:sz w:val="16"/>
                        </w:rPr>
                        <w:t>2024</w:t>
                      </w:r>
                      <w:r>
                        <w:rPr>
                          <w:sz w:val="16"/>
                        </w:rPr>
                        <w:fldChar w:fldCharType="end"/>
                      </w:r>
                      <w:r>
                        <w:rPr>
                          <w:sz w:val="16"/>
                        </w:rPr>
                        <w:t>.</w:t>
                      </w:r>
                    </w:p>
                    <w:p w14:paraId="7F579771" w14:textId="77777777" w:rsidR="00AD0ADF" w:rsidRDefault="008368E0">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E59C1DC" w14:textId="527E0D19" w:rsidR="00AD0ADF" w:rsidRDefault="008368E0">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DD3763">
                        <w:rPr>
                          <w:sz w:val="16"/>
                        </w:rPr>
                        <w:t>2024</w:t>
                      </w:r>
                      <w:r>
                        <w:rPr>
                          <w:sz w:val="16"/>
                        </w:rPr>
                        <w:fldChar w:fldCharType="end"/>
                      </w:r>
                      <w:r>
                        <w:rPr>
                          <w:sz w:val="16"/>
                        </w:rPr>
                        <w:t>.</w:t>
                      </w:r>
                    </w:p>
                    <w:p w14:paraId="346EFFD8" w14:textId="77777777" w:rsidR="00AD0ADF" w:rsidRDefault="008368E0">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07-m0-00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07-m0-00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07-m0-00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07-m0-00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07-m0-00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07-m0-00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3" w:name="Schedule"/>
    <w:bookmarkEnd w:id="19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Exempt matter</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Exempt matter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 agencies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Exempt agencies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14" w:name="Compilation"/>
    <w:bookmarkEnd w:id="2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8" w:name="DefinedTerms"/>
    <w:bookmarkEnd w:id="218"/>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19" w:name="Coversheet"/>
    <w:bookmarkEnd w:id="21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AB9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6001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4C0A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70F5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7035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224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04BF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DA43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E98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86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7F630C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0155604"/>
    <w:docVar w:name="WAFER_20140123151749" w:val="RemoveTocBookmarks,RemoveUnusedBookmarks,RemoveLanguageTags,UsedStyles,ResetPageSize,UpdateArrangement"/>
    <w:docVar w:name="WAFER_20140123151749_GUID" w:val="1eec8ed8-62da-487e-969c-6560b03d1f39"/>
    <w:docVar w:name="WAFER_20140123152052" w:val="RemoveTocBookmarks,RunningHeaders"/>
    <w:docVar w:name="WAFER_20140123152052_GUID" w:val="dc6673e6-fb68-421f-8999-104e04978851"/>
    <w:docVar w:name="WAFER_20140703162615" w:val="RemoveTocBookmarks,RemoveUnusedBookmarks,RemoveLanguageTags,UsedStyles,ResetPageSize,UpdateArrangement"/>
    <w:docVar w:name="WAFER_20140703162615_GUID" w:val="2a23bca5-8544-4238-90f1-02d3191e1732"/>
    <w:docVar w:name="WAFER_20150304144520" w:val="ResetPageSize,UpdateArrangement,UpdateNTable"/>
    <w:docVar w:name="WAFER_20150304144520_GUID" w:val="2d555939-4ecb-44ad-8b14-b82a222158ac"/>
    <w:docVar w:name="WAFER_20151105100606" w:val="UpdateStyles,UsedStyles"/>
    <w:docVar w:name="WAFER_20151105100606_GUID" w:val="29c4d8da-2165-49b4-9f20-6f02079ae9cc"/>
    <w:docVar w:name="WAFER_20160823134408" w:val="RemoveTocBookmarks,RemoveUnusedBookmarks,RemoveLanguageTags,UsedStyles,ResetPageSize,RemoveCustomizations"/>
    <w:docVar w:name="WAFER_20160823134408_GUID" w:val="2fdc6f93-fcd5-4f18-b47b-439dbc1d6090"/>
    <w:docVar w:name="WAFER_202002131415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501_GUID" w:val="0f138085-2bbb-46fb-9194-32ffce198673"/>
    <w:docVar w:name="WAFER_202007100911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157_GUID" w:val="e1d0bbd6-b6e5-4374-a114-d9c5f8d411c2"/>
    <w:docVar w:name="WAFER_20200812113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534_GUID" w:val="c34cd021-6b48-4a8a-ba16-f1c2432c4a7d"/>
    <w:docVar w:name="WAFER_202008260945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4509_GUID" w:val="43f7b6bf-377b-4a95-8e98-f1e42aca3e6a"/>
    <w:docVar w:name="WAFER_202205191459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5908_GUID" w:val="f0959b04-4263-47cb-a4a1-02682d1021ad"/>
    <w:docVar w:name="WAFER_202210271455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45524_GUID" w:val="59c8f273-0391-47ca-8bf2-133e11c06493"/>
    <w:docVar w:name="WAFER_202211011008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1100845_GUID" w:val="d8ec6904-abcd-4a06-b272-4e0d698ffb29"/>
    <w:docVar w:name="WAFER_202211030936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637_GUID" w:val="0ba6bb64-0bd8-4d35-b3ae-e416916b02ef"/>
    <w:docVar w:name="WAFER_202304121152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5242_GUID" w:val="b351a66e-7a3c-493b-848b-7f31b6ddaf3b"/>
    <w:docVar w:name="WAFER_202307241617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4161747_GUID" w:val="266530ed-f813-4319-a0c4-6075816b604d"/>
    <w:docVar w:name="WAFER_202309211629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1162901_GUID" w:val="0c64d101-9629-4e86-8e21-ab680695d494"/>
    <w:docVar w:name="WAFER_202309221151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2115143_GUID" w:val="54c35208-c5fb-43e8-a242-82fa7bc45d5a"/>
    <w:docVar w:name="WAFER_202312221036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03602_GUID" w:val="857288cd-820e-4fe0-abc2-e5511cc04fdc"/>
    <w:docVar w:name="WAFER_202402161223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22352_GUID" w:val="99c33356-b090-4439-b964-cbe902cd0f7c"/>
    <w:docVar w:name="WAFER_202403201556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0155604_GUID" w:val="32658d04-09df-44e1-8932-5a051ca994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5:docId w15:val="{57DF1DEA-74AA-4BD8-A4F0-B663013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2703">
      <w:bodyDiv w:val="1"/>
      <w:marLeft w:val="0"/>
      <w:marRight w:val="0"/>
      <w:marTop w:val="0"/>
      <w:marBottom w:val="0"/>
      <w:divBdr>
        <w:top w:val="none" w:sz="0" w:space="0" w:color="auto"/>
        <w:left w:val="none" w:sz="0" w:space="0" w:color="auto"/>
        <w:bottom w:val="none" w:sz="0" w:space="0" w:color="auto"/>
        <w:right w:val="none" w:sz="0" w:space="0" w:color="auto"/>
      </w:divBdr>
    </w:div>
    <w:div w:id="361631161">
      <w:bodyDiv w:val="1"/>
      <w:marLeft w:val="0"/>
      <w:marRight w:val="0"/>
      <w:marTop w:val="0"/>
      <w:marBottom w:val="0"/>
      <w:divBdr>
        <w:top w:val="none" w:sz="0" w:space="0" w:color="auto"/>
        <w:left w:val="none" w:sz="0" w:space="0" w:color="auto"/>
        <w:bottom w:val="none" w:sz="0" w:space="0" w:color="auto"/>
        <w:right w:val="none" w:sz="0" w:space="0" w:color="auto"/>
      </w:divBdr>
    </w:div>
    <w:div w:id="468329957">
      <w:bodyDiv w:val="1"/>
      <w:marLeft w:val="0"/>
      <w:marRight w:val="0"/>
      <w:marTop w:val="0"/>
      <w:marBottom w:val="0"/>
      <w:divBdr>
        <w:top w:val="none" w:sz="0" w:space="0" w:color="auto"/>
        <w:left w:val="none" w:sz="0" w:space="0" w:color="auto"/>
        <w:bottom w:val="none" w:sz="0" w:space="0" w:color="auto"/>
        <w:right w:val="none" w:sz="0" w:space="0" w:color="auto"/>
      </w:divBdr>
    </w:div>
    <w:div w:id="496305803">
      <w:bodyDiv w:val="1"/>
      <w:marLeft w:val="0"/>
      <w:marRight w:val="0"/>
      <w:marTop w:val="0"/>
      <w:marBottom w:val="0"/>
      <w:divBdr>
        <w:top w:val="none" w:sz="0" w:space="0" w:color="auto"/>
        <w:left w:val="none" w:sz="0" w:space="0" w:color="auto"/>
        <w:bottom w:val="none" w:sz="0" w:space="0" w:color="auto"/>
        <w:right w:val="none" w:sz="0" w:space="0" w:color="auto"/>
      </w:divBdr>
    </w:div>
    <w:div w:id="589778451">
      <w:bodyDiv w:val="1"/>
      <w:marLeft w:val="0"/>
      <w:marRight w:val="0"/>
      <w:marTop w:val="0"/>
      <w:marBottom w:val="0"/>
      <w:divBdr>
        <w:top w:val="none" w:sz="0" w:space="0" w:color="auto"/>
        <w:left w:val="none" w:sz="0" w:space="0" w:color="auto"/>
        <w:bottom w:val="none" w:sz="0" w:space="0" w:color="auto"/>
        <w:right w:val="none" w:sz="0" w:space="0" w:color="auto"/>
      </w:divBdr>
    </w:div>
    <w:div w:id="1389108374">
      <w:bodyDiv w:val="1"/>
      <w:marLeft w:val="0"/>
      <w:marRight w:val="0"/>
      <w:marTop w:val="0"/>
      <w:marBottom w:val="0"/>
      <w:divBdr>
        <w:top w:val="none" w:sz="0" w:space="0" w:color="auto"/>
        <w:left w:val="none" w:sz="0" w:space="0" w:color="auto"/>
        <w:bottom w:val="none" w:sz="0" w:space="0" w:color="auto"/>
        <w:right w:val="none" w:sz="0" w:space="0" w:color="auto"/>
      </w:divBdr>
    </w:div>
    <w:div w:id="1551499563">
      <w:bodyDiv w:val="1"/>
      <w:marLeft w:val="0"/>
      <w:marRight w:val="0"/>
      <w:marTop w:val="0"/>
      <w:marBottom w:val="0"/>
      <w:divBdr>
        <w:top w:val="none" w:sz="0" w:space="0" w:color="auto"/>
        <w:left w:val="none" w:sz="0" w:space="0" w:color="auto"/>
        <w:bottom w:val="none" w:sz="0" w:space="0" w:color="auto"/>
        <w:right w:val="none" w:sz="0" w:space="0" w:color="auto"/>
      </w:divBdr>
    </w:div>
    <w:div w:id="1692411745">
      <w:bodyDiv w:val="1"/>
      <w:marLeft w:val="0"/>
      <w:marRight w:val="0"/>
      <w:marTop w:val="0"/>
      <w:marBottom w:val="0"/>
      <w:divBdr>
        <w:top w:val="none" w:sz="0" w:space="0" w:color="auto"/>
        <w:left w:val="none" w:sz="0" w:space="0" w:color="auto"/>
        <w:bottom w:val="none" w:sz="0" w:space="0" w:color="auto"/>
        <w:right w:val="none" w:sz="0" w:space="0" w:color="auto"/>
      </w:divBdr>
    </w:div>
    <w:div w:id="1807897041">
      <w:bodyDiv w:val="1"/>
      <w:marLeft w:val="0"/>
      <w:marRight w:val="0"/>
      <w:marTop w:val="0"/>
      <w:marBottom w:val="0"/>
      <w:divBdr>
        <w:top w:val="none" w:sz="0" w:space="0" w:color="auto"/>
        <w:left w:val="none" w:sz="0" w:space="0" w:color="auto"/>
        <w:bottom w:val="none" w:sz="0" w:space="0" w:color="auto"/>
        <w:right w:val="none" w:sz="0" w:space="0" w:color="auto"/>
      </w:divBdr>
    </w:div>
    <w:div w:id="20817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92B04-CE3B-4CE3-9587-82D3584F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26712</Words>
  <Characters>126616</Characters>
  <Application>Microsoft Office Word</Application>
  <DocSecurity>0</DocSecurity>
  <Lines>3422</Lines>
  <Paragraphs>1991</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151337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1992 - 07-m0-00</dc:title>
  <dc:subject/>
  <dc:creator/>
  <cp:keywords/>
  <dc:description/>
  <cp:lastModifiedBy>Master Repository Process</cp:lastModifiedBy>
  <cp:revision>4</cp:revision>
  <cp:lastPrinted>2016-11-29T03:04:00Z</cp:lastPrinted>
  <dcterms:created xsi:type="dcterms:W3CDTF">2024-03-26T03:26:00Z</dcterms:created>
  <dcterms:modified xsi:type="dcterms:W3CDTF">2024-03-26T03:26:00Z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DocumentType">
    <vt:lpwstr>Act</vt:lpwstr>
  </property>
  <property fmtid="{D5CDD505-2E9C-101B-9397-08002B2CF9AE}" pid="4" name="OwlsUID">
    <vt:i4>290</vt:i4>
  </property>
  <property fmtid="{D5CDD505-2E9C-101B-9397-08002B2CF9AE}" pid="5" name="ReprintedAsAt">
    <vt:filetime>2016-11-10T16:00:00Z</vt:filetime>
  </property>
  <property fmtid="{D5CDD505-2E9C-101B-9397-08002B2CF9AE}" pid="6" name="ReprintNo">
    <vt:lpwstr>7</vt:lpwstr>
  </property>
  <property fmtid="{D5CDD505-2E9C-101B-9397-08002B2CF9AE}" pid="7" name="AsAtDate">
    <vt:lpwstr>27 Mar 2024</vt:lpwstr>
  </property>
  <property fmtid="{D5CDD505-2E9C-101B-9397-08002B2CF9AE}" pid="8" name="Suffix">
    <vt:lpwstr>07-m0-00</vt:lpwstr>
  </property>
  <property fmtid="{D5CDD505-2E9C-101B-9397-08002B2CF9AE}" pid="9" name="Official">
    <vt:lpwstr/>
  </property>
  <property fmtid="{D5CDD505-2E9C-101B-9397-08002B2CF9AE}" pid="10" name="CommencementDate">
    <vt:lpwstr>20240327</vt:lpwstr>
  </property>
  <property fmtid="{D5CDD505-2E9C-101B-9397-08002B2CF9AE}" pid="11" name="CommencementAsAt">
    <vt:filetime>2024-03-26T16:00:00Z</vt:filetime>
  </property>
  <property fmtid="{D5CDD505-2E9C-101B-9397-08002B2CF9AE}" pid="12" name="CommencementYear">
    <vt:lpwstr>2024</vt:lpwstr>
  </property>
</Properties>
</file>