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Education and Care Services National Law (Western Australia)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_Toc164160131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_Toc164160132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_Toc164160133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236C amended</w:t>
      </w:r>
      <w:r>
        <w:tab/>
      </w:r>
      <w:r>
        <w:fldChar w:fldCharType="begin"/>
      </w:r>
      <w:r>
        <w:instrText xml:space="preserve"> PAGEREF _Toc164160134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236D amended</w:t>
      </w:r>
      <w:r>
        <w:tab/>
      </w:r>
      <w:r>
        <w:fldChar w:fldCharType="begin"/>
      </w:r>
      <w:r>
        <w:instrText xml:space="preserve"> PAGEREF _Toc164160135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236E amended</w:t>
      </w:r>
      <w:r>
        <w:tab/>
      </w:r>
      <w:r>
        <w:fldChar w:fldCharType="begin"/>
      </w:r>
      <w:r>
        <w:instrText xml:space="preserve"> PAGEREF _Toc164160136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236G amended</w:t>
      </w:r>
      <w:r>
        <w:tab/>
      </w:r>
      <w:r>
        <w:fldChar w:fldCharType="begin"/>
      </w:r>
      <w:r>
        <w:instrText xml:space="preserve"> PAGEREF _Toc164160137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236L amended</w:t>
      </w:r>
      <w:r>
        <w:tab/>
      </w:r>
      <w:r>
        <w:fldChar w:fldCharType="begin"/>
      </w:r>
      <w:r>
        <w:instrText xml:space="preserve"> PAGEREF _Toc164160138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 236O amended</w:t>
      </w:r>
      <w:r>
        <w:tab/>
      </w:r>
      <w:r>
        <w:fldChar w:fldCharType="begin"/>
      </w:r>
      <w:r>
        <w:instrText xml:space="preserve"> PAGEREF _Toc164160139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Education and Care Services National Law (Western Australia)</w:t>
      </w:r>
    </w:p>
    <w:p>
      <w:pPr>
        <w:pStyle w:val="NameofActReg"/>
      </w:pPr>
      <w:r>
        <w:t>Education and Care Services National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3732390"/>
      <w:bookmarkStart w:id="3" w:name="_Toc16416013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Education and Care Services National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3732391"/>
      <w:bookmarkStart w:id="6" w:name="_Toc16416013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3732392"/>
      <w:bookmarkStart w:id="8" w:name="_Toc1641601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Education and Care Services National Regulations 2012</w:t>
      </w:r>
      <w:r>
        <w:t>.</w:t>
      </w:r>
    </w:p>
    <w:p>
      <w:pPr>
        <w:pStyle w:val="Heading5"/>
        <w:keepLines w:val="0"/>
      </w:pPr>
      <w:bookmarkStart w:id="9" w:name="_Toc163732393"/>
      <w:bookmarkStart w:id="10" w:name="_Toc164160134"/>
      <w:r>
        <w:rPr>
          <w:rStyle w:val="CharSectno"/>
        </w:rPr>
        <w:t>4</w:t>
      </w:r>
      <w:r>
        <w:t>.</w:t>
      </w:r>
      <w:r>
        <w:tab/>
        <w:t>Regulation 236C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Delete regulation 236C(2) and insert:</w:t>
      </w:r>
    </w:p>
    <w:p>
      <w:pPr>
        <w:pStyle w:val="BlankOpen"/>
      </w:pPr>
    </w:p>
    <w:p>
      <w:pPr>
        <w:pStyle w:val="zSubsection"/>
        <w:keepNext/>
        <w:keepLines/>
      </w:pPr>
      <w:r>
        <w:tab/>
        <w:t>(2)</w:t>
      </w:r>
      <w:r>
        <w:tab/>
        <w:t xml:space="preserve">For the purposes of section 11(d) of the Law, the prescribed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keepNext/>
        <w:tabs>
          <w:tab w:val="left" w:pos="1701"/>
        </w:tabs>
        <w:ind w:left="2268" w:hanging="1701"/>
      </w:pPr>
      <w:r>
        <w:lastRenderedPageBreak/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2023 calculated in accordance with subregulation (1);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</w:pPr>
      <w:r>
        <w:tab/>
        <w:t>(3)</w:t>
      </w:r>
      <w:r>
        <w:tab/>
        <w:t xml:space="preserve">For the purposes of section 11(d) of the Law, the prescribed fee for the financial year beginning on 1 July 2025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keepNext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2024 calculated in accordance with subregulation (2);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</w:pPr>
      <w:r>
        <w:tab/>
        <w:t>(4)</w:t>
      </w:r>
      <w:r>
        <w:tab/>
        <w:t xml:space="preserve">For the purposes of section 11(d) of the Law, in a financial year beginning on 1 July 2026 or 1 July in a later year (the </w:t>
      </w:r>
      <w:r>
        <w:rPr>
          <w:rStyle w:val="CharDefText"/>
        </w:rPr>
        <w:t>relevant financial year</w:t>
      </w:r>
      <w:r>
        <w:t xml:space="preserve">), the prescribed fee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PermNoteHeading"/>
      </w:pPr>
      <w:r>
        <w:lastRenderedPageBreak/>
        <w:tab/>
        <w:t>Note:</w:t>
      </w:r>
    </w:p>
    <w:p>
      <w:pPr>
        <w:pStyle w:val="PermNoteText"/>
      </w:pPr>
      <w:r>
        <w:tab/>
      </w:r>
      <w:r>
        <w:tab/>
        <w:t>The note at the end of regulation 236C is to be deleted.</w:t>
      </w:r>
    </w:p>
    <w:p>
      <w:pPr>
        <w:pStyle w:val="Heading5"/>
      </w:pPr>
      <w:bookmarkStart w:id="11" w:name="_Toc163732394"/>
      <w:bookmarkStart w:id="12" w:name="_Toc164160135"/>
      <w:r>
        <w:rPr>
          <w:rStyle w:val="CharSectno"/>
        </w:rPr>
        <w:t>5</w:t>
      </w:r>
      <w:r>
        <w:t>.</w:t>
      </w:r>
      <w:r>
        <w:tab/>
        <w:t>Regulation 236D amended</w:t>
      </w:r>
      <w:bookmarkEnd w:id="11"/>
      <w:bookmarkEnd w:id="12"/>
    </w:p>
    <w:p>
      <w:pPr>
        <w:pStyle w:val="Subsection"/>
      </w:pPr>
      <w:r>
        <w:tab/>
      </w:r>
      <w:r>
        <w:tab/>
        <w:t>Delete regulation 236D(4) and insert:</w:t>
      </w:r>
    </w:p>
    <w:p>
      <w:pPr>
        <w:pStyle w:val="BlankOpen"/>
      </w:pPr>
    </w:p>
    <w:p>
      <w:pPr>
        <w:pStyle w:val="zSubsection"/>
        <w:keepNext/>
      </w:pPr>
      <w:r>
        <w:tab/>
        <w:t>(4)</w:t>
      </w:r>
      <w:r>
        <w:tab/>
        <w:t xml:space="preserve">For the purposes of section 44(1)(e) of the Law, the prescribed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keepNext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2023 calculated in accordance with subregulation (1), (2) or (3);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</w:pPr>
      <w:r>
        <w:tab/>
        <w:t>(5)</w:t>
      </w:r>
      <w:r>
        <w:tab/>
        <w:t xml:space="preserve">For the purposes of section 44(1)(e) of the Law, the prescribed fee for the financial year beginning on 1 July 2025 is to be calculated in accordance with the following formula — </w:t>
      </w:r>
    </w:p>
    <w:p>
      <w:pPr>
        <w:pStyle w:val="Equation"/>
        <w:keepNext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2024 calculated in accordance with subregulation (4);</w:t>
      </w:r>
    </w:p>
    <w:p>
      <w:pPr>
        <w:pStyle w:val="zMiscellaneousBody"/>
        <w:tabs>
          <w:tab w:val="left" w:pos="1701"/>
        </w:tabs>
        <w:ind w:left="2127" w:hanging="1560"/>
        <w:rPr>
          <w:rStyle w:val="DraftersNotes"/>
          <w:b w:val="0"/>
          <w:i w:val="0"/>
          <w:sz w:val="24"/>
        </w:rPr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</w:pPr>
      <w:r>
        <w:lastRenderedPageBreak/>
        <w:tab/>
        <w:t>(6)</w:t>
      </w:r>
      <w:r>
        <w:tab/>
        <w:t xml:space="preserve">For the purposes of section 44(1)(e) of the Law, in a financial year beginning on 1 July 2026 or 1 July in a later year (the </w:t>
      </w:r>
      <w:r>
        <w:rPr>
          <w:rStyle w:val="CharDefText"/>
        </w:rPr>
        <w:t>relevant financial year</w:t>
      </w:r>
      <w:r>
        <w:t xml:space="preserve">), the prescribed fee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keepNext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Heading5"/>
      </w:pPr>
      <w:bookmarkStart w:id="13" w:name="_Toc163732395"/>
      <w:bookmarkStart w:id="14" w:name="_Toc164160136"/>
      <w:r>
        <w:rPr>
          <w:rStyle w:val="CharSectno"/>
        </w:rPr>
        <w:t>6</w:t>
      </w:r>
      <w:r>
        <w:t>.</w:t>
      </w:r>
      <w:r>
        <w:tab/>
        <w:t>Regulation 236E amended</w:t>
      </w:r>
      <w:bookmarkEnd w:id="13"/>
      <w:bookmarkEnd w:id="14"/>
    </w:p>
    <w:p>
      <w:pPr>
        <w:pStyle w:val="Subsection"/>
      </w:pPr>
      <w:r>
        <w:tab/>
      </w:r>
      <w:r>
        <w:tab/>
        <w:t>Delete regulation 236E(3) and insert:</w:t>
      </w:r>
    </w:p>
    <w:p>
      <w:pPr>
        <w:pStyle w:val="BlankOpen"/>
      </w:pPr>
    </w:p>
    <w:p>
      <w:pPr>
        <w:pStyle w:val="zSubsection"/>
      </w:pPr>
      <w:r>
        <w:tab/>
        <w:t>(3)</w:t>
      </w:r>
      <w:r>
        <w:tab/>
        <w:t xml:space="preserve">For the purposes of section 53 of the Law, the prescribed annual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2023 calculated in accordance with subregulation (1) or (2);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  <w:keepNext/>
        <w:keepLines/>
      </w:pPr>
      <w:r>
        <w:lastRenderedPageBreak/>
        <w:tab/>
        <w:t>(4)</w:t>
      </w:r>
      <w:r>
        <w:tab/>
        <w:t xml:space="preserve">For the purposes of section 53 of the Law, the prescribed annual fee for the financial year beginning on 1 July 2025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keepNext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2024 calculated in accordance with subregulation (3);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</w:pPr>
      <w:r>
        <w:tab/>
        <w:t>(5)</w:t>
      </w:r>
      <w:r>
        <w:tab/>
        <w:t xml:space="preserve">For the purposes of section 53 of the Law, in a financial year beginning on 1 July 2026 or 1 July in a later year (the </w:t>
      </w:r>
      <w:r>
        <w:rPr>
          <w:rStyle w:val="CharDefText"/>
        </w:rPr>
        <w:t>relevant financial year</w:t>
      </w:r>
      <w:r>
        <w:t xml:space="preserve">), the prescribed annual fee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The note at the end of regulation 236E is to be deleted.</w:t>
      </w:r>
    </w:p>
    <w:p>
      <w:pPr>
        <w:pStyle w:val="Heading5"/>
      </w:pPr>
      <w:bookmarkStart w:id="15" w:name="_Toc163732396"/>
      <w:bookmarkStart w:id="16" w:name="_Toc164160137"/>
      <w:r>
        <w:rPr>
          <w:rStyle w:val="CharSectno"/>
        </w:rPr>
        <w:lastRenderedPageBreak/>
        <w:t>7</w:t>
      </w:r>
      <w:r>
        <w:t>.</w:t>
      </w:r>
      <w:r>
        <w:tab/>
        <w:t>Regulation 236G amended</w:t>
      </w:r>
      <w:bookmarkEnd w:id="15"/>
      <w:bookmarkEnd w:id="16"/>
    </w:p>
    <w:p>
      <w:pPr>
        <w:pStyle w:val="Subsection"/>
        <w:keepNext/>
      </w:pPr>
      <w:r>
        <w:tab/>
      </w:r>
      <w:r>
        <w:tab/>
        <w:t>Delete regulation 236G(2)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For the purposes of section 59(2)(c) of the Law, the prescribed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2023 calculated in accordance with subregulation (1);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</w:pPr>
      <w:r>
        <w:tab/>
        <w:t>(3)</w:t>
      </w:r>
      <w:r>
        <w:tab/>
        <w:t xml:space="preserve">For the purposes of section 59(2)(c) of the Law, the prescribed fee for the financial year beginning on 1 July 2025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2024 calculated in accordance with subregulation (2);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  <w:keepNext/>
        <w:keepLines/>
      </w:pPr>
      <w:r>
        <w:lastRenderedPageBreak/>
        <w:tab/>
        <w:t>(4)</w:t>
      </w:r>
      <w:r>
        <w:tab/>
        <w:t xml:space="preserve">For the purposes of section 59(2)(c) of the Law, in a financial year beginning on 1 July 2026 or 1 July in a later year (the </w:t>
      </w:r>
      <w:r>
        <w:rPr>
          <w:rStyle w:val="CharDefText"/>
        </w:rPr>
        <w:t>relevant financial year</w:t>
      </w:r>
      <w:r>
        <w:t xml:space="preserve">), the prescribed fee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The note at the end of regulation 236G is to be deleted.</w:t>
      </w:r>
    </w:p>
    <w:p>
      <w:pPr>
        <w:pStyle w:val="Heading5"/>
      </w:pPr>
      <w:bookmarkStart w:id="17" w:name="_Toc163732397"/>
      <w:bookmarkStart w:id="18" w:name="_Toc164160138"/>
      <w:r>
        <w:rPr>
          <w:rStyle w:val="CharSectno"/>
        </w:rPr>
        <w:t>8</w:t>
      </w:r>
      <w:r>
        <w:t>.</w:t>
      </w:r>
      <w:r>
        <w:tab/>
        <w:t>Regulation 236L amended</w:t>
      </w:r>
      <w:bookmarkEnd w:id="17"/>
      <w:bookmarkEnd w:id="18"/>
    </w:p>
    <w:p>
      <w:pPr>
        <w:pStyle w:val="Subsection"/>
      </w:pPr>
      <w:r>
        <w:tab/>
      </w:r>
      <w:r>
        <w:tab/>
        <w:t>Delete regulation 236L(3) and insert:</w:t>
      </w:r>
    </w:p>
    <w:p>
      <w:pPr>
        <w:pStyle w:val="BlankOpen"/>
      </w:pPr>
    </w:p>
    <w:p>
      <w:pPr>
        <w:pStyle w:val="zSubsection"/>
      </w:pPr>
      <w:r>
        <w:tab/>
        <w:t>(3)</w:t>
      </w:r>
      <w:r>
        <w:tab/>
        <w:t xml:space="preserve">For the purposes of section 145(2)(c) of the Law, the prescribed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×FX×1.12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2023 calculated in accordance with subregulation (1) or (2);</w:t>
      </w:r>
    </w:p>
    <w:p>
      <w:pPr>
        <w:pStyle w:val="zMiscellaneousBody"/>
        <w:keepNext/>
        <w:tabs>
          <w:tab w:val="left" w:pos="1701"/>
        </w:tabs>
        <w:ind w:left="2127" w:hanging="1560"/>
      </w:pPr>
      <w:r>
        <w:lastRenderedPageBreak/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</w:pPr>
      <w:r>
        <w:tab/>
        <w:t>(4)</w:t>
      </w:r>
      <w:r>
        <w:tab/>
        <w:t xml:space="preserve">For the purposes of section 145(2)(c) of the Law, the prescribed fee for the financial year beginning on 1 July 2025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×FX×1.12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for the financial year beginning on 1 July 2024 calculated in accordance with subregulation (3);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</w:pPr>
      <w:r>
        <w:tab/>
        <w:t>(5)</w:t>
      </w:r>
      <w:r>
        <w:tab/>
        <w:t xml:space="preserve">For the purposes of section 145(2)(c) of the Law, in a financial year beginning on 1 July 2026 or 1 July in a later year (the </w:t>
      </w:r>
      <w:r>
        <w:rPr>
          <w:rStyle w:val="CharDefText"/>
        </w:rPr>
        <w:t>relevant financial year</w:t>
      </w:r>
      <w:r>
        <w:t xml:space="preserve">), the prescribed fee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relevant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Heading5"/>
        <w:keepLines w:val="0"/>
      </w:pPr>
      <w:bookmarkStart w:id="19" w:name="_Toc163732398"/>
      <w:bookmarkStart w:id="20" w:name="_Toc164160139"/>
      <w:r>
        <w:rPr>
          <w:rStyle w:val="CharSectno"/>
        </w:rPr>
        <w:lastRenderedPageBreak/>
        <w:t>9</w:t>
      </w:r>
      <w:r>
        <w:t>.</w:t>
      </w:r>
      <w:r>
        <w:tab/>
        <w:t>Regulation 236O amended</w:t>
      </w:r>
      <w:bookmarkEnd w:id="19"/>
      <w:bookmarkEnd w:id="20"/>
    </w:p>
    <w:p>
      <w:pPr>
        <w:pStyle w:val="Subsection"/>
        <w:keepNext/>
      </w:pPr>
      <w:r>
        <w:tab/>
      </w:r>
      <w:r>
        <w:tab/>
        <w:t>Delete regulation 236O(2) and insert:</w:t>
      </w:r>
    </w:p>
    <w:p>
      <w:pPr>
        <w:pStyle w:val="BlankOpen"/>
      </w:pPr>
    </w:p>
    <w:p>
      <w:pPr>
        <w:pStyle w:val="zSubsection"/>
        <w:keepNext/>
      </w:pPr>
      <w:r>
        <w:tab/>
        <w:t>(2)</w:t>
      </w:r>
      <w:r>
        <w:tab/>
        <w:t xml:space="preserve">For the purposes of regulation 138, the relevant fee for the financial year beginning on 1 July 2024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×FX×1.12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2023 calculated in accordance with subregulation (1);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2024.</w:t>
      </w:r>
    </w:p>
    <w:p>
      <w:pPr>
        <w:pStyle w:val="zSubsection"/>
      </w:pPr>
      <w:r>
        <w:tab/>
        <w:t>(3)</w:t>
      </w:r>
      <w:r>
        <w:tab/>
        <w:t xml:space="preserve">For the purposes of regulation 138, the relevant fee for the financial year beginning on 1 July 2025 is to be calculated in accordance with the following formula — </w:t>
      </w:r>
    </w:p>
    <w:p>
      <w:pPr>
        <w:pStyle w:val="Equation"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×FX×1.12</m:t>
        </m:r>
      </m:oMath>
    </w:p>
    <w:p>
      <w:pPr>
        <w:pStyle w:val="zMiscellaneousBody"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for the financial year beginning on 1 July 2024 calculated in accordance with subregulation (2);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financial year beginning on 1 July 2025.</w:t>
      </w:r>
    </w:p>
    <w:p>
      <w:pPr>
        <w:pStyle w:val="zSubsection"/>
        <w:keepNext/>
      </w:pPr>
      <w:r>
        <w:tab/>
        <w:t>(4)</w:t>
      </w:r>
      <w:r>
        <w:tab/>
        <w:t xml:space="preserve">For the purposes of regulation 138, in a financial year beginning on 1 July 2026 or 1 July in a later year (the </w:t>
      </w:r>
      <w:r>
        <w:rPr>
          <w:rStyle w:val="CharDefText"/>
        </w:rPr>
        <w:lastRenderedPageBreak/>
        <w:t>relevant financial year</w:t>
      </w:r>
      <w:r>
        <w:t xml:space="preserve">), the relevant fee is to be calculated in accordance with the following formula — </w:t>
      </w:r>
    </w:p>
    <w:p>
      <w:pPr>
        <w:pStyle w:val="Equation"/>
        <w:keepNext/>
        <w:tabs>
          <w:tab w:val="left" w:pos="1701"/>
        </w:tabs>
        <w:spacing w:before="16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 ×FX</m:t>
        </m:r>
      </m:oMath>
    </w:p>
    <w:p>
      <w:pPr>
        <w:pStyle w:val="zMiscellaneousBody"/>
        <w:keepNext/>
        <w:tabs>
          <w:tab w:val="left" w:pos="1701"/>
        </w:tabs>
      </w:pPr>
      <w:r>
        <w:tab/>
        <w:t xml:space="preserve">where — 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P</w:t>
      </w:r>
      <w:r>
        <w:tab/>
        <w:t>is the amount of the fee payable in the previous financial year;</w:t>
      </w:r>
    </w:p>
    <w:p>
      <w:pPr>
        <w:pStyle w:val="zMiscellaneousBody"/>
        <w:tabs>
          <w:tab w:val="left" w:pos="1701"/>
        </w:tabs>
        <w:ind w:left="2127" w:hanging="1560"/>
      </w:pPr>
      <w:r>
        <w:tab/>
      </w:r>
      <w:r>
        <w:rPr>
          <w:b/>
        </w:rPr>
        <w:t>FX</w:t>
      </w:r>
      <w:r>
        <w:tab/>
        <w:t>is the indexation factor for the relevant financial year.</w:t>
      </w:r>
    </w:p>
    <w:p>
      <w:pPr>
        <w:pStyle w:val="BlankClose"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The note at the end of regulation 236O is to be deleted.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552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326EFB9" w14:textId="55A9B500" w:rsidR="001C2D8E" w:rsidRDefault="001C2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D351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7C77A59" w14:textId="77777777" w:rsidR="001C2D8E" w:rsidRDefault="001C2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AADA8FB" w14:textId="15B0BFFF" w:rsidR="001C2D8E" w:rsidRDefault="001C2D8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D351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338A0AB" w14:textId="77777777" w:rsidR="001C2D8E" w:rsidRDefault="001C2D8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1112433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11155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1115515_GUID" w:val="46a8a220-d9dd-4bd9-af49-6226645d7456"/>
    <w:docVar w:name="WAFER_202403181001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8100105_GUID" w:val="e508770a-16a1-413f-8804-8dfa27200e54"/>
    <w:docVar w:name="WAFER_202404111243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11124339_GUID" w:val="3462ac25-cee9-4d4d-a40c-c55a94db5a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497263D2-E492-49C3-BE53-5EFCB758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</Words>
  <Characters>8166</Characters>
  <Application>Microsoft Office Word</Application>
  <DocSecurity>0</DocSecurity>
  <Lines>302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Care Services National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2024-04-16T04:19:00Z</dcterms:created>
  <dcterms:modified xsi:type="dcterms:W3CDTF">2024-04-16T04:19:00Z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54672</vt:lpwstr>
  </property>
  <property fmtid="{D5CDD505-2E9C-101B-9397-08002B2CF9AE}" pid="3" name="DocumentType">
    <vt:lpwstr>Reg</vt:lpwstr>
  </property>
  <property fmtid="{D5CDD505-2E9C-101B-9397-08002B2CF9AE}" pid="4" name="AsAtDate">
    <vt:lpwstr>17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2024/48</vt:lpwstr>
  </property>
  <property fmtid="{D5CDD505-2E9C-101B-9397-08002B2CF9AE}" pid="8" name="PublishDate">
    <vt:lpwstr>17 Apr 2024</vt:lpwstr>
  </property>
  <property fmtid="{D5CDD505-2E9C-101B-9397-08002B2CF9AE}" pid="9" name="CommencementDate">
    <vt:lpwstr>20240417</vt:lpwstr>
  </property>
  <property fmtid="{D5CDD505-2E9C-101B-9397-08002B2CF9AE}" pid="10" name="CommencementAsAt">
    <vt:filetime>2024-04-16T16:00:00Z</vt:filetime>
  </property>
  <property fmtid="{D5CDD505-2E9C-101B-9397-08002B2CF9AE}" pid="11" name="CommencementYear">
    <vt:lpwstr>2024</vt:lpwstr>
  </property>
</Properties>
</file>