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(Alcohol and Drug Testing)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(Alcohol and Drug Testing)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_Toc165378645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_Toc165378646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section</w:t>
      </w:r>
      <w:r>
        <w:tab/>
      </w:r>
      <w:r>
        <w:fldChar w:fldCharType="begin"/>
      </w:r>
      <w:r>
        <w:instrText xml:space="preserve"> PAGEREF _Toc165378647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sample taker</w:t>
      </w:r>
      <w:r>
        <w:tab/>
      </w:r>
      <w:r>
        <w:fldChar w:fldCharType="begin"/>
      </w:r>
      <w:r>
        <w:instrText xml:space="preserve"> PAGEREF _Toc165378648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Testing for alcohol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Operation of Dräger Alcotest 9510 breath analysing equipment</w:t>
      </w:r>
      <w:r>
        <w:tab/>
      </w:r>
      <w:r>
        <w:fldChar w:fldCharType="begin"/>
      </w:r>
      <w:r>
        <w:instrText xml:space="preserve"> PAGEREF _Toc165378650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Indication of result of breath analysis</w:t>
      </w:r>
      <w:r>
        <w:tab/>
      </w:r>
      <w:r>
        <w:fldChar w:fldCharType="begin"/>
      </w:r>
      <w:r>
        <w:instrText xml:space="preserve"> PAGEREF _Toc165378651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Testing for drugs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Conduct of preliminary oral fluid test</w:t>
      </w:r>
      <w:r>
        <w:tab/>
      </w:r>
      <w:r>
        <w:fldChar w:fldCharType="begin"/>
      </w:r>
      <w:r>
        <w:instrText xml:space="preserve"> PAGEREF _Toc165378653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Collection and testing of oral fluid</w:t>
      </w:r>
      <w:r>
        <w:tab/>
      </w:r>
      <w:r>
        <w:fldChar w:fldCharType="begin"/>
      </w:r>
      <w:r>
        <w:instrText xml:space="preserve"> PAGEREF _Toc165378654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Assessments of drug impairment</w:t>
      </w:r>
      <w:r>
        <w:tab/>
      </w:r>
      <w:r>
        <w:fldChar w:fldCharType="begin"/>
      </w:r>
      <w:r>
        <w:instrText xml:space="preserve"> PAGEREF _Toc165378655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Blood samples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Taking blood samples for analysis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 used: sampling equipment</w:t>
      </w:r>
      <w:r>
        <w:tab/>
      </w:r>
      <w:r>
        <w:fldChar w:fldCharType="begin"/>
      </w:r>
      <w:r>
        <w:instrText xml:space="preserve"> PAGEREF _Toc165378658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Application of Division</w:t>
      </w:r>
      <w:r>
        <w:tab/>
      </w:r>
      <w:r>
        <w:fldChar w:fldCharType="begin"/>
      </w:r>
      <w:r>
        <w:instrText xml:space="preserve"> PAGEREF _Toc165378659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Sampling equipment</w:t>
      </w:r>
      <w:r>
        <w:tab/>
      </w:r>
      <w:r>
        <w:fldChar w:fldCharType="begin"/>
      </w:r>
      <w:r>
        <w:instrText xml:space="preserve"> PAGEREF _Toc165378660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Preparation of sampling equipment</w:t>
      </w:r>
      <w:r>
        <w:tab/>
      </w:r>
      <w:r>
        <w:fldChar w:fldCharType="begin"/>
      </w:r>
      <w:r>
        <w:instrText xml:space="preserve"> PAGEREF _Toc165378661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Method of sampling</w:t>
      </w:r>
      <w:r>
        <w:tab/>
      </w:r>
      <w:r>
        <w:fldChar w:fldCharType="begin"/>
      </w:r>
      <w:r>
        <w:instrText xml:space="preserve"> PAGEREF _Toc165378662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Certification</w:t>
      </w:r>
      <w:r>
        <w:tab/>
      </w:r>
      <w:r>
        <w:fldChar w:fldCharType="begin"/>
      </w:r>
      <w:r>
        <w:instrText xml:space="preserve"> PAGEREF _Toc165378663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Request for taking of blood sample</w:t>
      </w:r>
      <w:r>
        <w:tab/>
      </w:r>
      <w:r>
        <w:fldChar w:fldCharType="begin"/>
      </w:r>
      <w:r>
        <w:instrText xml:space="preserve"> PAGEREF _Toc165378664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lastRenderedPageBreak/>
        <w:t>Division 2 — Analysis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Analysis of blood sample</w:t>
      </w:r>
      <w:r>
        <w:tab/>
      </w:r>
      <w:r>
        <w:fldChar w:fldCharType="begin"/>
      </w:r>
      <w:r>
        <w:instrText xml:space="preserve"> PAGEREF _Toc165378666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Blood samples and analysis</w:t>
      </w:r>
      <w:r>
        <w:tab/>
      </w:r>
      <w:r>
        <w:fldChar w:fldCharType="begin"/>
      </w:r>
      <w:r>
        <w:instrText xml:space="preserve"> PAGEREF _Toc165378668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Oral fluid analysis</w:t>
      </w:r>
      <w:r>
        <w:tab/>
      </w:r>
      <w:r>
        <w:fldChar w:fldCharType="begin"/>
      </w:r>
      <w:r>
        <w:instrText xml:space="preserve"> PAGEREF _Toc165378669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Marine Act 1982</w:t>
      </w:r>
    </w:p>
    <w:p>
      <w:pPr>
        <w:pStyle w:val="NameofActReg"/>
      </w:pPr>
      <w:r>
        <w:t>Western Australian Marine (Alcohol and Drug Testing) Regulations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  <w:rPr>
          <w:rStyle w:val="DraftersNotes"/>
          <w:b/>
          <w:i w:val="0"/>
          <w:sz w:val="30"/>
        </w:rPr>
      </w:pPr>
      <w:bookmarkStart w:id="2" w:name="_Toc165037397"/>
      <w:bookmarkStart w:id="3" w:name="_Toc165037461"/>
      <w:bookmarkStart w:id="4" w:name="_Toc165037567"/>
      <w:bookmarkStart w:id="5" w:name="_Toc16537864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</w:p>
    <w:p>
      <w:pPr>
        <w:pStyle w:val="Heading5"/>
      </w:pPr>
      <w:bookmarkStart w:id="6" w:name="_Toc165037398"/>
      <w:bookmarkStart w:id="7" w:name="_Toc165378645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Marine (Alcohol and Drug Testing) Regulations 2024</w:t>
      </w:r>
      <w:r>
        <w:t>.</w:t>
      </w:r>
    </w:p>
    <w:p>
      <w:pPr>
        <w:pStyle w:val="Heading5"/>
        <w:rPr>
          <w:spacing w:val="-2"/>
        </w:rPr>
      </w:pPr>
      <w:bookmarkStart w:id="9" w:name="_Toc165037399"/>
      <w:bookmarkStart w:id="10" w:name="_Toc1653786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on 2 May 2024.</w:t>
      </w:r>
    </w:p>
    <w:p>
      <w:pPr>
        <w:pStyle w:val="Heading5"/>
      </w:pPr>
      <w:bookmarkStart w:id="11" w:name="_Toc165037400"/>
      <w:bookmarkStart w:id="12" w:name="_Toc165378647"/>
      <w:r>
        <w:rPr>
          <w:rStyle w:val="CharSectno"/>
        </w:rPr>
        <w:t>3</w:t>
      </w:r>
      <w:r>
        <w:t>.</w:t>
      </w:r>
      <w:r>
        <w:tab/>
        <w:t>Term used: section</w:t>
      </w:r>
      <w:bookmarkEnd w:id="11"/>
      <w:bookmarkEnd w:id="12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Heading5"/>
      </w:pPr>
      <w:bookmarkStart w:id="13" w:name="_Toc165037401"/>
      <w:bookmarkStart w:id="14" w:name="_Toc165378648"/>
      <w:r>
        <w:rPr>
          <w:rStyle w:val="CharSectno"/>
        </w:rPr>
        <w:t>4</w:t>
      </w:r>
      <w:r>
        <w:t>.</w:t>
      </w:r>
      <w:r>
        <w:tab/>
        <w:t>Prescribed sample taker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For the purposes of paragraph (c) of the definition of </w:t>
      </w:r>
      <w:r>
        <w:rPr>
          <w:b/>
          <w:bCs/>
          <w:i/>
          <w:iCs/>
        </w:rPr>
        <w:t>prescribed sample taker</w:t>
      </w:r>
      <w:r>
        <w:t xml:space="preserve"> in section 75E(1), the following persons are prescribed — </w:t>
      </w:r>
    </w:p>
    <w:p>
      <w:pPr>
        <w:pStyle w:val="Indenta"/>
      </w:pPr>
      <w:r>
        <w:tab/>
        <w:t>(a)</w:t>
      </w:r>
      <w:r>
        <w:tab/>
        <w:t>pathology collector;</w:t>
      </w:r>
    </w:p>
    <w:p>
      <w:pPr>
        <w:pStyle w:val="Indenta"/>
      </w:pPr>
      <w:r>
        <w:tab/>
        <w:t>(b)</w:t>
      </w:r>
      <w:r>
        <w:tab/>
        <w:t>phlebotomist.</w:t>
      </w:r>
    </w:p>
    <w:p>
      <w:pPr>
        <w:pStyle w:val="Heading2"/>
      </w:pPr>
      <w:bookmarkStart w:id="15" w:name="_Toc165037402"/>
      <w:bookmarkStart w:id="16" w:name="_Toc165037466"/>
      <w:bookmarkStart w:id="17" w:name="_Toc165037572"/>
      <w:bookmarkStart w:id="18" w:name="_Toc165378649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Testing for alcohol</w:t>
      </w:r>
      <w:bookmarkEnd w:id="15"/>
      <w:bookmarkEnd w:id="16"/>
      <w:bookmarkEnd w:id="17"/>
      <w:bookmarkEnd w:id="18"/>
    </w:p>
    <w:p>
      <w:pPr>
        <w:pStyle w:val="Heading5"/>
      </w:pPr>
      <w:bookmarkStart w:id="19" w:name="_Toc165037403"/>
      <w:bookmarkStart w:id="20" w:name="_Toc165378650"/>
      <w:r>
        <w:rPr>
          <w:rStyle w:val="CharSectno"/>
        </w:rPr>
        <w:t>5</w:t>
      </w:r>
      <w:r>
        <w:t>.</w:t>
      </w:r>
      <w:r>
        <w:tab/>
        <w:t>Operation of Dräger Alcotest 9510 breath analysing equipment</w:t>
      </w:r>
      <w:bookmarkEnd w:id="19"/>
      <w:bookmarkEnd w:id="20"/>
    </w:p>
    <w:p>
      <w:pPr>
        <w:pStyle w:val="Subsection"/>
      </w:pPr>
      <w:r>
        <w:tab/>
      </w:r>
      <w:r>
        <w:tab/>
        <w:t xml:space="preserve">For the purpose of conducting a breath analysis using the apparatus known as the “Dräger Alcotest 9510”, the breath analysing equipment must be operated in accordance with the instructions set out in the </w:t>
      </w:r>
      <w:r>
        <w:rPr>
          <w:i/>
          <w:iCs/>
        </w:rPr>
        <w:t>Road Traffic (Breath Analysis) Regulations 1975</w:t>
      </w:r>
      <w:r>
        <w:t xml:space="preserve"> Schedule 2.</w:t>
      </w:r>
    </w:p>
    <w:p>
      <w:pPr>
        <w:pStyle w:val="Heading5"/>
      </w:pPr>
      <w:bookmarkStart w:id="21" w:name="_Toc165037404"/>
      <w:bookmarkStart w:id="22" w:name="_Toc165378651"/>
      <w:r>
        <w:rPr>
          <w:rStyle w:val="CharSectno"/>
        </w:rPr>
        <w:t>6</w:t>
      </w:r>
      <w:r>
        <w:t>.</w:t>
      </w:r>
      <w:r>
        <w:tab/>
        <w:t>Indication of result of breath analysis</w:t>
      </w:r>
      <w:bookmarkEnd w:id="21"/>
      <w:bookmarkEnd w:id="22"/>
    </w:p>
    <w:p>
      <w:pPr>
        <w:pStyle w:val="Subsection"/>
      </w:pPr>
      <w:r>
        <w:tab/>
      </w:r>
      <w:r>
        <w:tab/>
        <w:t>For the purposes of section 75EM(3), the manner of indicating the result of an analysis by breath analysing equipment is the printing of a statement by the equipment.</w:t>
      </w:r>
    </w:p>
    <w:p>
      <w:pPr>
        <w:pStyle w:val="Heading2"/>
      </w:pPr>
      <w:bookmarkStart w:id="23" w:name="_Toc165037405"/>
      <w:bookmarkStart w:id="24" w:name="_Toc165037469"/>
      <w:bookmarkStart w:id="25" w:name="_Toc165037575"/>
      <w:bookmarkStart w:id="26" w:name="_Toc165378652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Testing for drugs</w:t>
      </w:r>
      <w:bookmarkEnd w:id="23"/>
      <w:bookmarkEnd w:id="24"/>
      <w:bookmarkEnd w:id="25"/>
      <w:bookmarkEnd w:id="26"/>
    </w:p>
    <w:p>
      <w:pPr>
        <w:pStyle w:val="Heading5"/>
      </w:pPr>
      <w:bookmarkStart w:id="27" w:name="_Toc165037406"/>
      <w:bookmarkStart w:id="28" w:name="_Toc165378653"/>
      <w:r>
        <w:rPr>
          <w:rStyle w:val="CharSectno"/>
        </w:rPr>
        <w:t>7</w:t>
      </w:r>
      <w:r>
        <w:t>.</w:t>
      </w:r>
      <w:r>
        <w:tab/>
        <w:t>Conduct of preliminary oral fluid test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For the purposes of section 75F(2), the procedure for conducting a preliminary oral fluid test is the procedure set out in the </w:t>
      </w:r>
      <w:r>
        <w:rPr>
          <w:i/>
          <w:iCs/>
        </w:rPr>
        <w:t>Road Traffic (Drug Driving) Regulations 2007</w:t>
      </w:r>
      <w:r>
        <w:t xml:space="preserve"> regulation 5.</w:t>
      </w:r>
    </w:p>
    <w:p>
      <w:pPr>
        <w:pStyle w:val="Subsection"/>
      </w:pPr>
      <w:r>
        <w:tab/>
        <w:t>(2)</w:t>
      </w:r>
      <w:r>
        <w:tab/>
        <w:t xml:space="preserve">If the procedure referred to in subregulation (1) does not appear to fully describe the steps required for a preliminary oral fluid testing device, an inspector or police officer may have regard to any manufacturer’s instructions in the device’s packaging. </w:t>
      </w:r>
    </w:p>
    <w:p>
      <w:pPr>
        <w:pStyle w:val="Heading5"/>
      </w:pPr>
      <w:bookmarkStart w:id="29" w:name="_Toc165037407"/>
      <w:bookmarkStart w:id="30" w:name="_Toc165378654"/>
      <w:r>
        <w:rPr>
          <w:rStyle w:val="CharSectno"/>
        </w:rPr>
        <w:t>8</w:t>
      </w:r>
      <w:r>
        <w:t>.</w:t>
      </w:r>
      <w:r>
        <w:tab/>
        <w:t>Collection and testing of oral fluid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For the purposes of section 75FC(3)(a) and (b), the steps to be taken by an authorised drug tester when collecting a sample of oral fluid for drug testing and conducting the drug testing are the steps set out in the </w:t>
      </w:r>
      <w:r>
        <w:rPr>
          <w:i/>
          <w:iCs/>
        </w:rPr>
        <w:t>Road Traffic (Drug Driving) Regulations 2007</w:t>
      </w:r>
      <w:r>
        <w:t xml:space="preserve"> Schedule 2.</w:t>
      </w:r>
    </w:p>
    <w:p>
      <w:pPr>
        <w:pStyle w:val="Subsection"/>
      </w:pPr>
      <w:r>
        <w:tab/>
        <w:t>(2)</w:t>
      </w:r>
      <w:r>
        <w:tab/>
        <w:t>If the procedure referred to in subregulation (1) does not appear to fully describe the steps required for a drug testing device, an inspector or police officer may have regard to any manufacturer’s instructions in the device’s packaging.</w:t>
      </w:r>
    </w:p>
    <w:p>
      <w:pPr>
        <w:pStyle w:val="Heading5"/>
      </w:pPr>
      <w:bookmarkStart w:id="31" w:name="_Toc165037408"/>
      <w:bookmarkStart w:id="32" w:name="_Toc165378655"/>
      <w:r>
        <w:rPr>
          <w:rStyle w:val="CharSectno"/>
        </w:rPr>
        <w:t>9</w:t>
      </w:r>
      <w:r>
        <w:t>.</w:t>
      </w:r>
      <w:r>
        <w:tab/>
        <w:t>Assessments of drug impairment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For the purposes of section 75FH(4), the procedure is to base an assessment of a person’s drug impairment on observations of aspects of the person’s behaviour, demeanour and condition, which can include whether — </w:t>
      </w:r>
    </w:p>
    <w:p>
      <w:pPr>
        <w:pStyle w:val="Indenta"/>
      </w:pPr>
      <w:r>
        <w:tab/>
        <w:t>(a)</w:t>
      </w:r>
      <w:r>
        <w:tab/>
        <w:t>there is any apparent injury to the person; or</w:t>
      </w:r>
    </w:p>
    <w:p>
      <w:pPr>
        <w:pStyle w:val="Indenta"/>
      </w:pPr>
      <w:r>
        <w:tab/>
        <w:t>(b)</w:t>
      </w:r>
      <w:r>
        <w:tab/>
        <w:t>there are any unusual or indicative skin responses; or</w:t>
      </w:r>
    </w:p>
    <w:p>
      <w:pPr>
        <w:pStyle w:val="Indenta"/>
      </w:pPr>
      <w:r>
        <w:tab/>
        <w:t>(c)</w:t>
      </w:r>
      <w:r>
        <w:tab/>
        <w:t>there is a smell of alcohol; or</w:t>
      </w:r>
    </w:p>
    <w:p>
      <w:pPr>
        <w:pStyle w:val="Indenta"/>
      </w:pPr>
      <w:r>
        <w:tab/>
        <w:t>(d)</w:t>
      </w:r>
      <w:r>
        <w:tab/>
        <w:t>the person’s speech, action, movement or balance appears affected; or</w:t>
      </w:r>
    </w:p>
    <w:p>
      <w:pPr>
        <w:pStyle w:val="Indenta"/>
      </w:pPr>
      <w:r>
        <w:lastRenderedPageBreak/>
        <w:tab/>
        <w:t>(e)</w:t>
      </w:r>
      <w:r>
        <w:tab/>
        <w:t>the appearance of the person’s eyes indicates drug ingestion (for example, dilated, constricted or bloodshot); or</w:t>
      </w:r>
    </w:p>
    <w:p>
      <w:pPr>
        <w:pStyle w:val="Indenta"/>
      </w:pPr>
      <w:r>
        <w:tab/>
        <w:t>(f)</w:t>
      </w:r>
      <w:r>
        <w:tab/>
        <w:t>the person’s rate or manner of breathing appears affected by drugs; or</w:t>
      </w:r>
    </w:p>
    <w:p>
      <w:pPr>
        <w:pStyle w:val="Indenta"/>
      </w:pPr>
      <w:r>
        <w:tab/>
        <w:t>(g)</w:t>
      </w:r>
      <w:r>
        <w:tab/>
        <w:t>the person’s attitude or the appearance of the person’s clothing appears to indicate drug ingestion; or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(h)</w:t>
      </w:r>
      <w:r>
        <w:tab/>
        <w:t>the person’s general comprehension appears affected by drugs.</w:t>
      </w:r>
    </w:p>
    <w:p>
      <w:pPr>
        <w:pStyle w:val="Heading2"/>
      </w:pPr>
      <w:bookmarkStart w:id="33" w:name="_Toc165037409"/>
      <w:bookmarkStart w:id="34" w:name="_Toc165037473"/>
      <w:bookmarkStart w:id="35" w:name="_Toc165037579"/>
      <w:bookmarkStart w:id="36" w:name="_Toc165378656"/>
      <w:r>
        <w:rPr>
          <w:rStyle w:val="CharPartNo"/>
        </w:rPr>
        <w:lastRenderedPageBreak/>
        <w:t>Part 4</w:t>
      </w:r>
      <w:r>
        <w:t> — </w:t>
      </w:r>
      <w:r>
        <w:rPr>
          <w:rStyle w:val="CharPartText"/>
        </w:rPr>
        <w:t>Blood samples</w:t>
      </w:r>
      <w:bookmarkEnd w:id="33"/>
      <w:bookmarkEnd w:id="34"/>
      <w:bookmarkEnd w:id="35"/>
      <w:bookmarkEnd w:id="36"/>
    </w:p>
    <w:p>
      <w:pPr>
        <w:pStyle w:val="Heading3"/>
      </w:pPr>
      <w:bookmarkStart w:id="37" w:name="_Toc165037410"/>
      <w:bookmarkStart w:id="38" w:name="_Toc165037474"/>
      <w:bookmarkStart w:id="39" w:name="_Toc165037580"/>
      <w:bookmarkStart w:id="40" w:name="_Toc165378657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Taking blood samples for analysis</w:t>
      </w:r>
      <w:bookmarkEnd w:id="37"/>
      <w:bookmarkEnd w:id="38"/>
      <w:bookmarkEnd w:id="39"/>
      <w:bookmarkEnd w:id="40"/>
    </w:p>
    <w:p>
      <w:pPr>
        <w:pStyle w:val="Heading5"/>
      </w:pPr>
      <w:bookmarkStart w:id="41" w:name="_Toc165037411"/>
      <w:bookmarkStart w:id="42" w:name="_Toc165378658"/>
      <w:r>
        <w:rPr>
          <w:rStyle w:val="CharSectno"/>
        </w:rPr>
        <w:t>10</w:t>
      </w:r>
      <w:r>
        <w:t>.</w:t>
      </w:r>
      <w:r>
        <w:tab/>
        <w:t>Term used: sampling equipment</w:t>
      </w:r>
      <w:bookmarkEnd w:id="41"/>
      <w:bookmarkEnd w:id="42"/>
    </w:p>
    <w:p>
      <w:pPr>
        <w:pStyle w:val="Subsection"/>
      </w:pPr>
      <w:r>
        <w:tab/>
      </w:r>
      <w:r>
        <w:tab/>
        <w:t xml:space="preserve">In this Division — </w:t>
      </w:r>
    </w:p>
    <w:p>
      <w:pPr>
        <w:pStyle w:val="Defstart"/>
      </w:pPr>
      <w:r>
        <w:tab/>
      </w:r>
      <w:r>
        <w:rPr>
          <w:rStyle w:val="CharDefText"/>
        </w:rPr>
        <w:t>sampling equipment</w:t>
      </w:r>
      <w:r>
        <w:t xml:space="preserve"> means equipment that — </w:t>
      </w:r>
    </w:p>
    <w:p>
      <w:pPr>
        <w:pStyle w:val="Defpara"/>
      </w:pPr>
      <w:r>
        <w:tab/>
        <w:t>(a)</w:t>
      </w:r>
      <w:r>
        <w:tab/>
        <w:t xml:space="preserve">is provided for the purpose of taking a sample of blood under the </w:t>
      </w:r>
      <w:r>
        <w:rPr>
          <w:i/>
          <w:iCs/>
        </w:rPr>
        <w:t>Road Traffic Act 1974</w:t>
      </w:r>
      <w:r>
        <w:t xml:space="preserve"> section 69(1a) by a body referred to in the </w:t>
      </w:r>
      <w:r>
        <w:rPr>
          <w:i/>
          <w:iCs/>
        </w:rPr>
        <w:t>Road Traffic (Blood Sampling and Analysis) Regulations 1975</w:t>
      </w:r>
      <w:r>
        <w:t xml:space="preserve"> regulation 4; and</w:t>
      </w:r>
    </w:p>
    <w:p>
      <w:pPr>
        <w:pStyle w:val="Defpara"/>
      </w:pPr>
      <w:r>
        <w:tab/>
        <w:t>(b)</w:t>
      </w:r>
      <w:r>
        <w:tab/>
        <w:t>comprises the items set out in regulation 5 of those regulations.</w:t>
      </w:r>
    </w:p>
    <w:p>
      <w:pPr>
        <w:pStyle w:val="Heading5"/>
      </w:pPr>
      <w:bookmarkStart w:id="43" w:name="_Toc165037412"/>
      <w:bookmarkStart w:id="44" w:name="_Toc165378659"/>
      <w:r>
        <w:rPr>
          <w:rStyle w:val="CharSectno"/>
        </w:rPr>
        <w:t>11</w:t>
      </w:r>
      <w:r>
        <w:t>.</w:t>
      </w:r>
      <w:r>
        <w:tab/>
        <w:t>Application of Division</w:t>
      </w:r>
      <w:bookmarkEnd w:id="43"/>
      <w:bookmarkEnd w:id="44"/>
    </w:p>
    <w:p>
      <w:pPr>
        <w:pStyle w:val="Subsection"/>
      </w:pPr>
      <w:r>
        <w:tab/>
        <w:t>(1)</w:t>
      </w:r>
      <w:r>
        <w:tab/>
        <w:t>This Division applies for the purposes of section 75IE(2)(a) if, instead of a sample of a person’s blood being taken and divided into 2 parts, 2 samples of the person’s blood are taken 1 immediately after the other in accordance with section 75IE(2)(b)(ii).</w:t>
      </w:r>
    </w:p>
    <w:p>
      <w:pPr>
        <w:pStyle w:val="Subsection"/>
      </w:pPr>
      <w:r>
        <w:tab/>
        <w:t>(2)</w:t>
      </w:r>
      <w:r>
        <w:tab/>
        <w:t>This Division does not apply to a sample of blood taken in a proper manner other than in accordance with these regulations as referred to in section 75IE(2)(a).</w:t>
      </w:r>
    </w:p>
    <w:p>
      <w:pPr>
        <w:pStyle w:val="Heading5"/>
      </w:pPr>
      <w:bookmarkStart w:id="45" w:name="_Toc165037413"/>
      <w:bookmarkStart w:id="46" w:name="_Toc165378660"/>
      <w:r>
        <w:rPr>
          <w:rStyle w:val="CharSectno"/>
        </w:rPr>
        <w:t>12</w:t>
      </w:r>
      <w:r>
        <w:t>.</w:t>
      </w:r>
      <w:r>
        <w:tab/>
        <w:t>Sampling equipment</w:t>
      </w:r>
      <w:bookmarkEnd w:id="45"/>
      <w:bookmarkEnd w:id="46"/>
    </w:p>
    <w:p>
      <w:pPr>
        <w:pStyle w:val="Subsection"/>
      </w:pPr>
      <w:r>
        <w:tab/>
      </w:r>
      <w:r>
        <w:tab/>
        <w:t>A blood sample must be taken by means of sampling equipment.</w:t>
      </w:r>
    </w:p>
    <w:p>
      <w:pPr>
        <w:pStyle w:val="Heading5"/>
      </w:pPr>
      <w:bookmarkStart w:id="47" w:name="_Toc165037414"/>
      <w:bookmarkStart w:id="48" w:name="_Toc165378661"/>
      <w:r>
        <w:rPr>
          <w:rStyle w:val="CharSectno"/>
        </w:rPr>
        <w:t>13</w:t>
      </w:r>
      <w:r>
        <w:t>.</w:t>
      </w:r>
      <w:r>
        <w:tab/>
        <w:t>Preparation of sampling equipment</w:t>
      </w:r>
      <w:bookmarkEnd w:id="47"/>
      <w:bookmarkEnd w:id="4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approved body</w:t>
      </w:r>
      <w:r>
        <w:t xml:space="preserve"> has the meaning given in section 124HQ(1);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technologist</w:t>
      </w:r>
      <w:r>
        <w:t xml:space="preserve"> has the meaning given in section 124HQ(1).</w:t>
      </w:r>
    </w:p>
    <w:p>
      <w:pPr>
        <w:pStyle w:val="Subsection"/>
      </w:pPr>
      <w:r>
        <w:tab/>
        <w:t>(2)</w:t>
      </w:r>
      <w:r>
        <w:tab/>
        <w:t>The sampling equipment must be prepared by a technologist of an approved body.</w:t>
      </w:r>
    </w:p>
    <w:p>
      <w:pPr>
        <w:pStyle w:val="Subsection"/>
      </w:pPr>
      <w:r>
        <w:tab/>
        <w:t>(3)</w:t>
      </w:r>
      <w:r>
        <w:tab/>
        <w:t xml:space="preserve">The technologist must — </w:t>
      </w:r>
    </w:p>
    <w:p>
      <w:pPr>
        <w:pStyle w:val="Indenta"/>
      </w:pPr>
      <w:r>
        <w:tab/>
        <w:t>(a)</w:t>
      </w:r>
      <w:r>
        <w:tab/>
        <w:t>complete and sign a certificate in the form approved by the chief executive officer; and</w:t>
      </w:r>
    </w:p>
    <w:p>
      <w:pPr>
        <w:pStyle w:val="Indenta"/>
      </w:pPr>
      <w:r>
        <w:tab/>
        <w:t>(b)</w:t>
      </w:r>
      <w:r>
        <w:tab/>
        <w:t>seal the equipment in a serially numbered package by signing the technologist’s name over the sealed portion or flap of the package.</w:t>
      </w:r>
    </w:p>
    <w:p>
      <w:pPr>
        <w:pStyle w:val="Heading5"/>
      </w:pPr>
      <w:bookmarkStart w:id="49" w:name="_Toc165037415"/>
      <w:bookmarkStart w:id="50" w:name="_Toc165378662"/>
      <w:r>
        <w:rPr>
          <w:rStyle w:val="CharSectno"/>
        </w:rPr>
        <w:t>14</w:t>
      </w:r>
      <w:r>
        <w:t>.</w:t>
      </w:r>
      <w:r>
        <w:tab/>
        <w:t>Method of sampling</w:t>
      </w:r>
      <w:bookmarkEnd w:id="49"/>
      <w:bookmarkEnd w:id="50"/>
    </w:p>
    <w:p>
      <w:pPr>
        <w:pStyle w:val="Subsection"/>
      </w:pPr>
      <w:r>
        <w:tab/>
        <w:t>(1)</w:t>
      </w:r>
      <w:r>
        <w:tab/>
        <w:t>A blood sample must be taken by the prescribed sample taker by venepuncture, with the vacutainer kit provided in the sampling equipment and no other.</w:t>
      </w:r>
    </w:p>
    <w:p>
      <w:pPr>
        <w:pStyle w:val="Subsection"/>
      </w:pPr>
      <w:r>
        <w:tab/>
        <w:t>(2)</w:t>
      </w:r>
      <w:r>
        <w:tab/>
        <w:t>The prescribed sample taker must —</w:t>
      </w:r>
    </w:p>
    <w:p>
      <w:pPr>
        <w:pStyle w:val="Indenta"/>
      </w:pPr>
      <w:r>
        <w:tab/>
        <w:t>(a)</w:t>
      </w:r>
      <w:r>
        <w:tab/>
        <w:t>examine the package containing the sampling equipment produced to the prescribed sample taker, and in the presence of the person producing it, ensure that —</w:t>
      </w:r>
    </w:p>
    <w:p>
      <w:pPr>
        <w:pStyle w:val="Indenti"/>
      </w:pPr>
      <w:r>
        <w:tab/>
        <w:t>(i)</w:t>
      </w:r>
      <w:r>
        <w:tab/>
        <w:t>the package is sealed and intact; and</w:t>
      </w:r>
    </w:p>
    <w:p>
      <w:pPr>
        <w:pStyle w:val="Indenti"/>
      </w:pPr>
      <w:r>
        <w:tab/>
        <w:t>(ii)</w:t>
      </w:r>
      <w:r>
        <w:tab/>
        <w:t>the indicated expiry date for the use of the equipment has not passed;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not use any sampling equipment contained in a package that is not sealed and intact or in respect of which the indicated expiry date has passed; and</w:t>
      </w:r>
    </w:p>
    <w:p>
      <w:pPr>
        <w:pStyle w:val="Indenta"/>
      </w:pPr>
      <w:r>
        <w:tab/>
        <w:t>(c)</w:t>
      </w:r>
      <w:r>
        <w:tab/>
        <w:t>cleanse the proposed site of the venepuncture by means of a sterile, non</w:t>
      </w:r>
      <w:r>
        <w:noBreakHyphen/>
        <w:t>alcoholic antiseptic cleansing skin prep wipe contained in the sampling equipment and by no other means; and</w:t>
      </w:r>
    </w:p>
    <w:p>
      <w:pPr>
        <w:pStyle w:val="Indenta"/>
        <w:keepNext/>
      </w:pPr>
      <w:r>
        <w:lastRenderedPageBreak/>
        <w:tab/>
        <w:t>(d)</w:t>
      </w:r>
      <w:r>
        <w:tab/>
        <w:t>discharge each sample (or each part of the sample if the sample is divided into 2 parts) into a separate container provided in the sampling equipment; and</w:t>
      </w:r>
    </w:p>
    <w:p>
      <w:pPr>
        <w:pStyle w:val="Indenta"/>
      </w:pPr>
      <w:r>
        <w:tab/>
        <w:t>(e)</w:t>
      </w:r>
      <w:r>
        <w:tab/>
        <w:t>ensure that the cover of each container is securely tightened; and</w:t>
      </w:r>
    </w:p>
    <w:p>
      <w:pPr>
        <w:pStyle w:val="Indenta"/>
      </w:pPr>
      <w:r>
        <w:tab/>
        <w:t>(f)</w:t>
      </w:r>
      <w:r>
        <w:tab/>
        <w:t>shake each container thoroughly and in so doing invert it at least 20 times, to mix the contents.</w:t>
      </w:r>
    </w:p>
    <w:p>
      <w:pPr>
        <w:pStyle w:val="Heading5"/>
      </w:pPr>
      <w:bookmarkStart w:id="51" w:name="_Toc165037416"/>
      <w:bookmarkStart w:id="52" w:name="_Toc165378663"/>
      <w:r>
        <w:rPr>
          <w:rStyle w:val="CharSectno"/>
        </w:rPr>
        <w:t>15</w:t>
      </w:r>
      <w:r>
        <w:t>.</w:t>
      </w:r>
      <w:r>
        <w:tab/>
        <w:t>Certification</w:t>
      </w:r>
      <w:bookmarkEnd w:id="51"/>
      <w:bookmarkEnd w:id="52"/>
    </w:p>
    <w:p>
      <w:pPr>
        <w:pStyle w:val="Subsection"/>
      </w:pPr>
      <w:r>
        <w:tab/>
      </w:r>
      <w:r>
        <w:tab/>
        <w:t xml:space="preserve">If a blood sample is taken and dealt with in accordance with regulation 14 — </w:t>
      </w:r>
    </w:p>
    <w:p>
      <w:pPr>
        <w:pStyle w:val="Indenta"/>
      </w:pPr>
      <w:r>
        <w:tab/>
        <w:t>(a)</w:t>
      </w:r>
      <w:r>
        <w:tab/>
        <w:t>the prescribed sample taker must complete and sign 2 copies of the form approved by the chief executive officer for the purposes of this paragraph; and</w:t>
      </w:r>
    </w:p>
    <w:p>
      <w:pPr>
        <w:pStyle w:val="Indenta"/>
      </w:pPr>
      <w:r>
        <w:tab/>
        <w:t>(b)</w:t>
      </w:r>
      <w:r>
        <w:tab/>
        <w:t>an inspector or police officer who was present when the sample was taken must complete and sign 2 copies of the form approved by the chief executive officer for the purposes of this paragraph; and</w:t>
      </w:r>
    </w:p>
    <w:p>
      <w:pPr>
        <w:pStyle w:val="Indenta"/>
      </w:pPr>
      <w:r>
        <w:tab/>
        <w:t>(c)</w:t>
      </w:r>
      <w:r>
        <w:tab/>
        <w:t>on completion of the forms, each of the containers containing a portion of the blood sample must be sealed in a separate package by the prescribed sample taker or the inspector or police officer.</w:t>
      </w:r>
    </w:p>
    <w:p>
      <w:pPr>
        <w:pStyle w:val="Heading5"/>
        <w:keepNext w:val="0"/>
      </w:pPr>
      <w:bookmarkStart w:id="53" w:name="_Toc165037417"/>
      <w:bookmarkStart w:id="54" w:name="_Toc165378664"/>
      <w:r>
        <w:rPr>
          <w:rStyle w:val="CharSectno"/>
        </w:rPr>
        <w:t>16</w:t>
      </w:r>
      <w:r>
        <w:t>.</w:t>
      </w:r>
      <w:r>
        <w:tab/>
        <w:t>Request for taking of blood sample</w:t>
      </w:r>
      <w:bookmarkEnd w:id="53"/>
      <w:bookmarkEnd w:id="54"/>
    </w:p>
    <w:p>
      <w:pPr>
        <w:pStyle w:val="Subsection"/>
      </w:pPr>
      <w:r>
        <w:tab/>
      </w:r>
      <w:r>
        <w:tab/>
        <w:t>For the purposes of sections 75EN(4), 75EO(3), 75FF(3) and 75FJ(3), an inspector or police officer causes a prescribed sample taker to take a sample of a person’s blood for analysis by giving the prescribed sample taker a request to take a sample of blood in the form approved by the chief executive officer for the purposes of this regulation.</w:t>
      </w:r>
    </w:p>
    <w:p>
      <w:pPr>
        <w:pStyle w:val="Heading3"/>
      </w:pPr>
      <w:bookmarkStart w:id="55" w:name="_Toc165037418"/>
      <w:bookmarkStart w:id="56" w:name="_Toc165037482"/>
      <w:bookmarkStart w:id="57" w:name="_Toc165037588"/>
      <w:bookmarkStart w:id="58" w:name="_Toc165378665"/>
      <w:r>
        <w:rPr>
          <w:rStyle w:val="CharDivNo"/>
        </w:rPr>
        <w:lastRenderedPageBreak/>
        <w:t>Division 2</w:t>
      </w:r>
      <w:r>
        <w:t> — </w:t>
      </w:r>
      <w:r>
        <w:rPr>
          <w:rStyle w:val="CharDivText"/>
        </w:rPr>
        <w:t>Analysis</w:t>
      </w:r>
      <w:bookmarkEnd w:id="55"/>
      <w:bookmarkEnd w:id="56"/>
      <w:bookmarkEnd w:id="57"/>
      <w:bookmarkEnd w:id="58"/>
    </w:p>
    <w:p>
      <w:pPr>
        <w:pStyle w:val="Heading5"/>
      </w:pPr>
      <w:bookmarkStart w:id="59" w:name="_Toc165037419"/>
      <w:bookmarkStart w:id="60" w:name="_Toc165378666"/>
      <w:r>
        <w:rPr>
          <w:rStyle w:val="CharSectno"/>
        </w:rPr>
        <w:t>17</w:t>
      </w:r>
      <w:r>
        <w:t>.</w:t>
      </w:r>
      <w:r>
        <w:tab/>
        <w:t>Analysis of blood sample</w:t>
      </w:r>
      <w:bookmarkEnd w:id="59"/>
      <w:bookmarkEnd w:id="60"/>
    </w:p>
    <w:p>
      <w:pPr>
        <w:pStyle w:val="Subsection"/>
      </w:pPr>
      <w:r>
        <w:tab/>
      </w:r>
      <w:r>
        <w:tab/>
        <w:t xml:space="preserve">For the purposes of section 75IE(6), a blood sample must be analysed for alcohol by — </w:t>
      </w:r>
    </w:p>
    <w:p>
      <w:pPr>
        <w:pStyle w:val="Indenta"/>
      </w:pPr>
      <w:r>
        <w:tab/>
        <w:t>(a)</w:t>
      </w:r>
      <w:r>
        <w:tab/>
        <w:t>ascertaining the change in concentration of a solution of a dichromate; or</w:t>
      </w:r>
    </w:p>
    <w:p>
      <w:pPr>
        <w:pStyle w:val="Indenta"/>
      </w:pPr>
      <w:r>
        <w:tab/>
        <w:t>(b)</w:t>
      </w:r>
      <w:r>
        <w:tab/>
        <w:t>gas chromatography.</w:t>
      </w:r>
    </w:p>
    <w:p>
      <w:pPr>
        <w:pStyle w:val="Heading2"/>
      </w:pPr>
      <w:bookmarkStart w:id="61" w:name="_Toc165037420"/>
      <w:bookmarkStart w:id="62" w:name="_Toc165037484"/>
      <w:bookmarkStart w:id="63" w:name="_Toc165037590"/>
      <w:bookmarkStart w:id="64" w:name="_Toc165378667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Fees</w:t>
      </w:r>
      <w:bookmarkEnd w:id="61"/>
      <w:bookmarkEnd w:id="62"/>
      <w:bookmarkEnd w:id="63"/>
      <w:bookmarkEnd w:id="64"/>
    </w:p>
    <w:p>
      <w:pPr>
        <w:pStyle w:val="Heading5"/>
      </w:pPr>
      <w:bookmarkStart w:id="65" w:name="_Toc165037421"/>
      <w:bookmarkStart w:id="66" w:name="_Toc165378668"/>
      <w:r>
        <w:rPr>
          <w:rStyle w:val="CharSectno"/>
        </w:rPr>
        <w:t>18</w:t>
      </w:r>
      <w:r>
        <w:t>.</w:t>
      </w:r>
      <w:r>
        <w:tab/>
        <w:t>Blood samples and analysis</w:t>
      </w:r>
      <w:bookmarkEnd w:id="65"/>
      <w:bookmarkEnd w:id="66"/>
    </w:p>
    <w:p>
      <w:pPr>
        <w:pStyle w:val="Subsection"/>
      </w:pPr>
      <w:r>
        <w:tab/>
        <w:t>(1)</w:t>
      </w:r>
      <w:r>
        <w:tab/>
        <w:t xml:space="preserve">The fees for the attendance of a prescribed sample taker for the purpose of taking a sample of blood under section 75IE are the fees set out in the </w:t>
      </w:r>
      <w:r>
        <w:rPr>
          <w:i/>
          <w:iCs/>
        </w:rPr>
        <w:t>Road Traffic (Blood Sampling and Analysis) Regulations 1975</w:t>
      </w:r>
      <w:r>
        <w:t xml:space="preserve"> regulation 15(1) in relation to a sample of blood taken under the </w:t>
      </w:r>
      <w:r>
        <w:rPr>
          <w:i/>
          <w:iCs/>
        </w:rPr>
        <w:t xml:space="preserve">Road Traffic Act 1974 </w:t>
      </w:r>
      <w:r>
        <w:t>section 69(1) or (1a).</w:t>
      </w:r>
    </w:p>
    <w:p>
      <w:pPr>
        <w:pStyle w:val="Subsection"/>
      </w:pPr>
      <w:r>
        <w:tab/>
        <w:t>(2)</w:t>
      </w:r>
      <w:r>
        <w:tab/>
        <w:t xml:space="preserve">The fees for the analysis of a blood sample by an analyst at the Chemistry Centre (WA) are the fees set out in the </w:t>
      </w:r>
      <w:r>
        <w:rPr>
          <w:i/>
          <w:iCs/>
        </w:rPr>
        <w:t>Road Traffic (Blood Sampling and Analysis) Regulations 1975</w:t>
      </w:r>
      <w:r>
        <w:t xml:space="preserve"> regulation 15(3) and (4) in relation to a sample of blood taken under the </w:t>
      </w:r>
      <w:r>
        <w:rPr>
          <w:i/>
          <w:iCs/>
        </w:rPr>
        <w:t xml:space="preserve">Road Traffic Act 1974 </w:t>
      </w:r>
      <w:r>
        <w:t>section 69(1) or (1a).</w:t>
      </w:r>
    </w:p>
    <w:p>
      <w:pPr>
        <w:pStyle w:val="Subsection"/>
      </w:pPr>
      <w:r>
        <w:tab/>
        <w:t>(3)</w:t>
      </w:r>
      <w:r>
        <w:tab/>
        <w:t>The fees payable under this regulation must be paid by the chief executive officer.</w:t>
      </w:r>
    </w:p>
    <w:p>
      <w:pPr>
        <w:pStyle w:val="Subsection"/>
      </w:pPr>
      <w:r>
        <w:tab/>
        <w:t>(4)</w:t>
      </w:r>
      <w:r>
        <w:tab/>
        <w:t xml:space="preserve">If a person is convicted of an offence under section 75B(1), 75BA(1), 75BB(1), 75C(1), 75CA(1), 75CD(1), 75D(1), 75DA(1),75DB(1), 75DC(1) or 75DD(1) and the chief executive officer has paid a fee under subregulation (1) or (2) for the purposes of Part 3B of the Act — </w:t>
      </w:r>
    </w:p>
    <w:p>
      <w:pPr>
        <w:pStyle w:val="Indenta"/>
      </w:pPr>
      <w:r>
        <w:tab/>
        <w:t>(a)</w:t>
      </w:r>
      <w:r>
        <w:tab/>
        <w:t>the court convicting the person must order the person to repay the chief executive officer the amount of the fee; and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that amount may be recovered by the chief executive officer as if it were a penalty imposed under the Act.</w:t>
      </w:r>
    </w:p>
    <w:p>
      <w:pPr>
        <w:pStyle w:val="Heading5"/>
      </w:pPr>
      <w:bookmarkStart w:id="67" w:name="_Toc165037422"/>
      <w:bookmarkStart w:id="68" w:name="_Toc165378669"/>
      <w:r>
        <w:rPr>
          <w:rStyle w:val="CharSectno"/>
        </w:rPr>
        <w:t>19</w:t>
      </w:r>
      <w:r>
        <w:t>.</w:t>
      </w:r>
      <w:r>
        <w:tab/>
        <w:t>Oral fluid analysis</w:t>
      </w:r>
      <w:bookmarkEnd w:id="67"/>
      <w:bookmarkEnd w:id="68"/>
    </w:p>
    <w:p>
      <w:pPr>
        <w:pStyle w:val="Subsection"/>
      </w:pPr>
      <w:r>
        <w:tab/>
        <w:t>(1)</w:t>
      </w:r>
      <w:r>
        <w:tab/>
        <w:t xml:space="preserve">The fee for the analysis of an oral fluid sample by a drugs analyst at the Chemistry Centre (WA) is the fee set out in the </w:t>
      </w:r>
      <w:r>
        <w:rPr>
          <w:i/>
          <w:iCs/>
        </w:rPr>
        <w:t>Road Traffic (Drug Driving) Regulations 2007</w:t>
      </w:r>
      <w:r>
        <w:t xml:space="preserve"> regulation 11(1).</w:t>
      </w:r>
    </w:p>
    <w:p>
      <w:pPr>
        <w:pStyle w:val="Subsection"/>
      </w:pPr>
      <w:r>
        <w:tab/>
        <w:t>(2)</w:t>
      </w:r>
      <w:r>
        <w:tab/>
        <w:t>The fee payable under subregulation (1) must be paid by the chief executive officer.</w:t>
      </w:r>
    </w:p>
    <w:p>
      <w:pPr>
        <w:pStyle w:val="Subsection"/>
      </w:pPr>
      <w:r>
        <w:lastRenderedPageBreak/>
        <w:tab/>
        <w:t>(3)</w:t>
      </w:r>
      <w:r>
        <w:tab/>
        <w:t>If a person is convicted of an offence under section 75CD(1), 75DB(1), 75DC(1) or 75DD(1) and the chief executive officer has paid a fee under subregulation (1) for the purposes of Part 3B Division 3 of the Act —</w:t>
      </w:r>
    </w:p>
    <w:p>
      <w:pPr>
        <w:pStyle w:val="Indenta"/>
      </w:pPr>
      <w:r>
        <w:tab/>
        <w:t>(a)</w:t>
      </w:r>
      <w:r>
        <w:tab/>
        <w:t>the court convicting the person must order the person to repay the chief executive officer the amount of the fee; and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that amount may be recovered by the chief executive officer as if it were a penalty imposed under the Act.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pPr>
        <w:pStyle w:val="nHeading2"/>
        <w:rPr>
          <w:sz w:val="28"/>
        </w:rPr>
      </w:pPr>
      <w:bookmarkStart w:id="69" w:name="_Toc165037593"/>
      <w:bookmarkStart w:id="70" w:name="_Toc165378670"/>
      <w:r>
        <w:rPr>
          <w:sz w:val="28"/>
        </w:rPr>
        <w:lastRenderedPageBreak/>
        <w:t>Defined terms</w:t>
      </w:r>
      <w:bookmarkEnd w:id="69"/>
      <w:bookmarkEnd w:id="7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 body</w:t>
      </w:r>
      <w:r>
        <w:tab/>
        <w:t>13(1)</w:t>
      </w:r>
    </w:p>
    <w:p>
      <w:pPr>
        <w:pStyle w:val="DefinedTerms"/>
      </w:pPr>
      <w:r>
        <w:t>sampling equipment</w:t>
      </w:r>
      <w:r>
        <w:tab/>
        <w:t>10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technologist</w:t>
      </w:r>
      <w:r>
        <w:tab/>
        <w:t>13(1)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rPr>
          <w:rStyle w:val="DraftersNotes"/>
          <w:i w:val="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8274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39D9562" w14:textId="36948E03" w:rsidR="001E3C93" w:rsidRDefault="001E3C9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D91EA3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F78C423" w14:textId="77777777" w:rsidR="001E3C93" w:rsidRDefault="001E3C9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7097683" w14:textId="59330C9C" w:rsidR="001E3C93" w:rsidRDefault="001E3C93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D91EA3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1146CEA" w14:textId="77777777" w:rsidR="001E3C93" w:rsidRDefault="001E3C93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71" w:name="DefinedTerms"/>
    <w:bookmarkEnd w:id="7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2" w:name="Coversheet"/>
    <w:bookmarkEnd w:id="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5224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4101521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10152148_GUID" w:val="84b84273-bd1e-4476-b08f-66992f2ec2c6"/>
    <w:docVar w:name="WAFER_202404160840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16084009_GUID" w:val="3b114b34-d2a4-4df1-8d0d-43c137bdc13e"/>
    <w:docVar w:name="WAFER_202404261522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2242_GUID" w:val="23d80cec-5e92-427a-821e-7cd1ee8962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597D6E6E-25D4-4D9E-98C5-481E9EF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1924</Words>
  <Characters>9548</Characters>
  <Application>Microsoft Office Word</Application>
  <DocSecurity>0</DocSecurity>
  <Lines>280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(Alcohol and Drug Testing)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2024-04-30T07:04:00Z</dcterms:created>
  <dcterms:modified xsi:type="dcterms:W3CDTF">2024-04-30T07:04:00Z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54708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2024/63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