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Chemistry Centre (WA)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Chemistry Centre (WA)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Chemistry Centre (WA)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_Toc415234789 \h </w:instrText>
      </w:r>
      <w:r>
        <w:fldChar w:fldCharType="separate"/>
      </w:r>
      <w:r>
        <w:t>1</w:t>
      </w:r>
      <w:r>
        <w:fldChar w:fldCharType="end"/>
      </w:r>
    </w:p>
    <w:p>
      <w:pPr>
        <w:pStyle w:val="TOC8"/>
        <w:rPr>
          <w:rFonts w:asciiTheme="minorHAnsi" w:eastAsiaTheme="minorEastAsia" w:hAnsiTheme="minorHAnsi" w:cstheme="minorBidi"/>
          <w:szCs w:val="22"/>
        </w:rPr>
      </w:pPr>
      <w:r>
        <w:t>2.</w:t>
      </w:r>
      <w:r>
        <w:tab/>
        <w:t>Meaning of Treasurer in these regulations</w:t>
      </w:r>
      <w:r>
        <w:tab/>
      </w:r>
      <w:r>
        <w:fldChar w:fldCharType="begin"/>
      </w:r>
      <w:r>
        <w:instrText xml:space="preserve"> PAGEREF _Toc415234790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Strategic development plans</w:t>
      </w:r>
    </w:p>
    <w:p>
      <w:pPr>
        <w:pStyle w:val="TOC8"/>
        <w:rPr>
          <w:rFonts w:asciiTheme="minorHAnsi" w:eastAsiaTheme="minorEastAsia" w:hAnsiTheme="minorHAnsi" w:cstheme="minorBidi"/>
          <w:szCs w:val="22"/>
        </w:rPr>
      </w:pPr>
      <w:r>
        <w:t>3.</w:t>
      </w:r>
      <w:r>
        <w:tab/>
        <w:t>Draft strategic development plan</w:t>
      </w:r>
      <w:r>
        <w:tab/>
      </w:r>
      <w:r>
        <w:fldChar w:fldCharType="begin"/>
      </w:r>
      <w:r>
        <w:instrText xml:space="preserve"> PAGEREF _Toc415234792 \h </w:instrText>
      </w:r>
      <w:r>
        <w:fldChar w:fldCharType="separate"/>
      </w:r>
      <w:r>
        <w:t>2</w:t>
      </w:r>
      <w:r>
        <w:fldChar w:fldCharType="end"/>
      </w:r>
    </w:p>
    <w:p>
      <w:pPr>
        <w:pStyle w:val="TOC8"/>
        <w:rPr>
          <w:rFonts w:asciiTheme="minorHAnsi" w:eastAsiaTheme="minorEastAsia" w:hAnsiTheme="minorHAnsi" w:cstheme="minorBidi"/>
          <w:szCs w:val="22"/>
        </w:rPr>
      </w:pPr>
      <w:r>
        <w:t>4.</w:t>
      </w:r>
      <w:r>
        <w:tab/>
        <w:t>Period and content of strategic development plan</w:t>
      </w:r>
      <w:r>
        <w:tab/>
      </w:r>
      <w:r>
        <w:fldChar w:fldCharType="begin"/>
      </w:r>
      <w:r>
        <w:instrText xml:space="preserve"> PAGEREF _Toc415234793 \h </w:instrText>
      </w:r>
      <w:r>
        <w:fldChar w:fldCharType="separate"/>
      </w:r>
      <w:r>
        <w:t>2</w:t>
      </w:r>
      <w:r>
        <w:fldChar w:fldCharType="end"/>
      </w:r>
    </w:p>
    <w:p>
      <w:pPr>
        <w:pStyle w:val="TOC8"/>
        <w:rPr>
          <w:rFonts w:asciiTheme="minorHAnsi" w:eastAsiaTheme="minorEastAsia" w:hAnsiTheme="minorHAnsi" w:cstheme="minorBidi"/>
          <w:szCs w:val="22"/>
        </w:rPr>
      </w:pPr>
      <w:r>
        <w:t>5.</w:t>
      </w:r>
      <w:r>
        <w:tab/>
        <w:t>Strategic development plan to be agreed if possible</w:t>
      </w:r>
      <w:r>
        <w:tab/>
      </w:r>
      <w:r>
        <w:fldChar w:fldCharType="begin"/>
      </w:r>
      <w:r>
        <w:instrText xml:space="preserve"> PAGEREF _Toc415234794 \h </w:instrText>
      </w:r>
      <w:r>
        <w:fldChar w:fldCharType="separate"/>
      </w:r>
      <w:r>
        <w:t>3</w:t>
      </w:r>
      <w:r>
        <w:fldChar w:fldCharType="end"/>
      </w:r>
    </w:p>
    <w:p>
      <w:pPr>
        <w:pStyle w:val="TOC8"/>
        <w:rPr>
          <w:rFonts w:asciiTheme="minorHAnsi" w:eastAsiaTheme="minorEastAsia" w:hAnsiTheme="minorHAnsi" w:cstheme="minorBidi"/>
          <w:szCs w:val="22"/>
        </w:rPr>
      </w:pPr>
      <w:r>
        <w:t>6.</w:t>
      </w:r>
      <w:r>
        <w:tab/>
        <w:t>Minister’s powers in relation to draft strategic development plan</w:t>
      </w:r>
      <w:r>
        <w:tab/>
      </w:r>
      <w:r>
        <w:fldChar w:fldCharType="begin"/>
      </w:r>
      <w:r>
        <w:instrText xml:space="preserve"> PAGEREF _Toc415234795 \h </w:instrText>
      </w:r>
      <w:r>
        <w:fldChar w:fldCharType="separate"/>
      </w:r>
      <w:r>
        <w:t>3</w:t>
      </w:r>
      <w:r>
        <w:fldChar w:fldCharType="end"/>
      </w:r>
    </w:p>
    <w:p>
      <w:pPr>
        <w:pStyle w:val="TOC8"/>
        <w:rPr>
          <w:rFonts w:asciiTheme="minorHAnsi" w:eastAsiaTheme="minorEastAsia" w:hAnsiTheme="minorHAnsi" w:cstheme="minorBidi"/>
          <w:szCs w:val="22"/>
        </w:rPr>
      </w:pPr>
      <w:r>
        <w:t>7.</w:t>
      </w:r>
      <w:r>
        <w:tab/>
        <w:t>Strategic development plan pending agreement</w:t>
      </w:r>
      <w:r>
        <w:tab/>
      </w:r>
      <w:r>
        <w:fldChar w:fldCharType="begin"/>
      </w:r>
      <w:r>
        <w:instrText xml:space="preserve"> PAGEREF _Toc415234796 \h </w:instrText>
      </w:r>
      <w:r>
        <w:fldChar w:fldCharType="separate"/>
      </w:r>
      <w:r>
        <w:t>4</w:t>
      </w:r>
      <w:r>
        <w:fldChar w:fldCharType="end"/>
      </w:r>
    </w:p>
    <w:p>
      <w:pPr>
        <w:pStyle w:val="TOC8"/>
        <w:rPr>
          <w:rFonts w:asciiTheme="minorHAnsi" w:eastAsiaTheme="minorEastAsia" w:hAnsiTheme="minorHAnsi" w:cstheme="minorBidi"/>
          <w:szCs w:val="22"/>
        </w:rPr>
      </w:pPr>
      <w:r>
        <w:t>8.</w:t>
      </w:r>
      <w:r>
        <w:tab/>
        <w:t>Minister’s agreement to draft strategic development plan</w:t>
      </w:r>
      <w:r>
        <w:tab/>
      </w:r>
      <w:r>
        <w:fldChar w:fldCharType="begin"/>
      </w:r>
      <w:r>
        <w:instrText xml:space="preserve"> PAGEREF _Toc415234797 \h </w:instrText>
      </w:r>
      <w:r>
        <w:fldChar w:fldCharType="separate"/>
      </w:r>
      <w:r>
        <w:t>4</w:t>
      </w:r>
      <w:r>
        <w:fldChar w:fldCharType="end"/>
      </w:r>
    </w:p>
    <w:p>
      <w:pPr>
        <w:pStyle w:val="TOC8"/>
        <w:rPr>
          <w:rFonts w:asciiTheme="minorHAnsi" w:eastAsiaTheme="minorEastAsia" w:hAnsiTheme="minorHAnsi" w:cstheme="minorBidi"/>
          <w:szCs w:val="22"/>
        </w:rPr>
      </w:pPr>
      <w:r>
        <w:t>9.</w:t>
      </w:r>
      <w:r>
        <w:tab/>
        <w:t>Modifications of strategic development plan</w:t>
      </w:r>
      <w:r>
        <w:tab/>
      </w:r>
      <w:r>
        <w:fldChar w:fldCharType="begin"/>
      </w:r>
      <w:r>
        <w:instrText xml:space="preserve"> PAGEREF _Toc415234798 \h </w:instrText>
      </w:r>
      <w:r>
        <w:fldChar w:fldCharType="separate"/>
      </w:r>
      <w:r>
        <w:t>4</w:t>
      </w:r>
      <w:r>
        <w:fldChar w:fldCharType="end"/>
      </w:r>
    </w:p>
    <w:p>
      <w:pPr>
        <w:pStyle w:val="TOC8"/>
        <w:rPr>
          <w:rFonts w:asciiTheme="minorHAnsi" w:eastAsiaTheme="minorEastAsia" w:hAnsiTheme="minorHAnsi" w:cstheme="minorBidi"/>
          <w:szCs w:val="22"/>
        </w:rPr>
      </w:pPr>
      <w:r>
        <w:t>10.</w:t>
      </w:r>
      <w:r>
        <w:tab/>
        <w:t>Concurrence of Treasurer</w:t>
      </w:r>
      <w:r>
        <w:tab/>
      </w:r>
      <w:r>
        <w:fldChar w:fldCharType="begin"/>
      </w:r>
      <w:r>
        <w:instrText xml:space="preserve"> PAGEREF _Toc415234799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Statements of corporate intent</w:t>
      </w:r>
    </w:p>
    <w:p>
      <w:pPr>
        <w:pStyle w:val="TOC8"/>
        <w:rPr>
          <w:rFonts w:asciiTheme="minorHAnsi" w:eastAsiaTheme="minorEastAsia" w:hAnsiTheme="minorHAnsi" w:cstheme="minorBidi"/>
          <w:szCs w:val="22"/>
        </w:rPr>
      </w:pPr>
      <w:r>
        <w:t>11.</w:t>
      </w:r>
      <w:r>
        <w:tab/>
        <w:t>Draft statement of corporate intent</w:t>
      </w:r>
      <w:r>
        <w:tab/>
      </w:r>
      <w:r>
        <w:fldChar w:fldCharType="begin"/>
      </w:r>
      <w:r>
        <w:instrText xml:space="preserve"> PAGEREF _Toc415234801 \h </w:instrText>
      </w:r>
      <w:r>
        <w:fldChar w:fldCharType="separate"/>
      </w:r>
      <w:r>
        <w:t>6</w:t>
      </w:r>
      <w:r>
        <w:fldChar w:fldCharType="end"/>
      </w:r>
    </w:p>
    <w:p>
      <w:pPr>
        <w:pStyle w:val="TOC8"/>
        <w:rPr>
          <w:rFonts w:asciiTheme="minorHAnsi" w:eastAsiaTheme="minorEastAsia" w:hAnsiTheme="minorHAnsi" w:cstheme="minorBidi"/>
          <w:szCs w:val="22"/>
        </w:rPr>
      </w:pPr>
      <w:r>
        <w:t>12.</w:t>
      </w:r>
      <w:r>
        <w:tab/>
        <w:t>Period and content of statement of corporate intent</w:t>
      </w:r>
      <w:r>
        <w:tab/>
      </w:r>
      <w:r>
        <w:fldChar w:fldCharType="begin"/>
      </w:r>
      <w:r>
        <w:instrText xml:space="preserve"> PAGEREF _Toc415234802 \h </w:instrText>
      </w:r>
      <w:r>
        <w:fldChar w:fldCharType="separate"/>
      </w:r>
      <w:r>
        <w:t>6</w:t>
      </w:r>
      <w:r>
        <w:fldChar w:fldCharType="end"/>
      </w:r>
    </w:p>
    <w:p>
      <w:pPr>
        <w:pStyle w:val="TOC8"/>
        <w:rPr>
          <w:rFonts w:asciiTheme="minorHAnsi" w:eastAsiaTheme="minorEastAsia" w:hAnsiTheme="minorHAnsi" w:cstheme="minorBidi"/>
          <w:szCs w:val="22"/>
        </w:rPr>
      </w:pPr>
      <w:r>
        <w:t>13.</w:t>
      </w:r>
      <w:r>
        <w:tab/>
        <w:t>Statement of corporate intent to be agreed if possible</w:t>
      </w:r>
      <w:r>
        <w:tab/>
      </w:r>
      <w:r>
        <w:fldChar w:fldCharType="begin"/>
      </w:r>
      <w:r>
        <w:instrText xml:space="preserve"> PAGEREF _Toc415234803 \h </w:instrText>
      </w:r>
      <w:r>
        <w:fldChar w:fldCharType="separate"/>
      </w:r>
      <w:r>
        <w:t>7</w:t>
      </w:r>
      <w:r>
        <w:fldChar w:fldCharType="end"/>
      </w:r>
    </w:p>
    <w:p>
      <w:pPr>
        <w:pStyle w:val="TOC8"/>
        <w:rPr>
          <w:rFonts w:asciiTheme="minorHAnsi" w:eastAsiaTheme="minorEastAsia" w:hAnsiTheme="minorHAnsi" w:cstheme="minorBidi"/>
          <w:szCs w:val="22"/>
        </w:rPr>
      </w:pPr>
      <w:r>
        <w:t>14.</w:t>
      </w:r>
      <w:r>
        <w:tab/>
        <w:t>Minister’s powers in relation to draft statement of corporate intent</w:t>
      </w:r>
      <w:r>
        <w:tab/>
      </w:r>
      <w:r>
        <w:fldChar w:fldCharType="begin"/>
      </w:r>
      <w:r>
        <w:instrText xml:space="preserve"> PAGEREF _Toc415234804 \h </w:instrText>
      </w:r>
      <w:r>
        <w:fldChar w:fldCharType="separate"/>
      </w:r>
      <w:r>
        <w:t>7</w:t>
      </w:r>
      <w:r>
        <w:fldChar w:fldCharType="end"/>
      </w:r>
    </w:p>
    <w:p>
      <w:pPr>
        <w:pStyle w:val="TOC8"/>
        <w:rPr>
          <w:rFonts w:asciiTheme="minorHAnsi" w:eastAsiaTheme="minorEastAsia" w:hAnsiTheme="minorHAnsi" w:cstheme="minorBidi"/>
          <w:szCs w:val="22"/>
        </w:rPr>
      </w:pPr>
      <w:r>
        <w:t>15.</w:t>
      </w:r>
      <w:r>
        <w:tab/>
        <w:t>Statement of corporate intent pending agreement</w:t>
      </w:r>
      <w:r>
        <w:tab/>
      </w:r>
      <w:r>
        <w:fldChar w:fldCharType="begin"/>
      </w:r>
      <w:r>
        <w:instrText xml:space="preserve"> PAGEREF _Toc415234805 \h </w:instrText>
      </w:r>
      <w:r>
        <w:fldChar w:fldCharType="separate"/>
      </w:r>
      <w:r>
        <w:t>8</w:t>
      </w:r>
      <w:r>
        <w:fldChar w:fldCharType="end"/>
      </w:r>
    </w:p>
    <w:p>
      <w:pPr>
        <w:pStyle w:val="TOC8"/>
        <w:rPr>
          <w:rFonts w:asciiTheme="minorHAnsi" w:eastAsiaTheme="minorEastAsia" w:hAnsiTheme="minorHAnsi" w:cstheme="minorBidi"/>
          <w:szCs w:val="22"/>
        </w:rPr>
      </w:pPr>
      <w:r>
        <w:t>16.</w:t>
      </w:r>
      <w:r>
        <w:tab/>
        <w:t>Minister’s agreement to draft statement of corporate intent</w:t>
      </w:r>
      <w:r>
        <w:tab/>
      </w:r>
      <w:r>
        <w:fldChar w:fldCharType="begin"/>
      </w:r>
      <w:r>
        <w:instrText xml:space="preserve"> PAGEREF _Toc415234806 \h </w:instrText>
      </w:r>
      <w:r>
        <w:fldChar w:fldCharType="separate"/>
      </w:r>
      <w:r>
        <w:t>8</w:t>
      </w:r>
      <w:r>
        <w:fldChar w:fldCharType="end"/>
      </w:r>
    </w:p>
    <w:p>
      <w:pPr>
        <w:pStyle w:val="TOC8"/>
        <w:rPr>
          <w:rFonts w:asciiTheme="minorHAnsi" w:eastAsiaTheme="minorEastAsia" w:hAnsiTheme="minorHAnsi" w:cstheme="minorBidi"/>
          <w:szCs w:val="22"/>
        </w:rPr>
      </w:pPr>
      <w:r>
        <w:t>17.</w:t>
      </w:r>
      <w:r>
        <w:tab/>
        <w:t>Modification of statement of corporate intent</w:t>
      </w:r>
      <w:r>
        <w:tab/>
      </w:r>
      <w:r>
        <w:fldChar w:fldCharType="begin"/>
      </w:r>
      <w:r>
        <w:instrText xml:space="preserve"> PAGEREF _Toc415234807 \h </w:instrText>
      </w:r>
      <w:r>
        <w:fldChar w:fldCharType="separate"/>
      </w:r>
      <w:r>
        <w:t>9</w:t>
      </w:r>
      <w:r>
        <w:fldChar w:fldCharType="end"/>
      </w:r>
    </w:p>
    <w:p>
      <w:pPr>
        <w:pStyle w:val="TOC8"/>
        <w:rPr>
          <w:rFonts w:asciiTheme="minorHAnsi" w:eastAsiaTheme="minorEastAsia" w:hAnsiTheme="minorHAnsi" w:cstheme="minorBidi"/>
          <w:szCs w:val="22"/>
        </w:rPr>
      </w:pPr>
      <w:r>
        <w:t>18.</w:t>
      </w:r>
      <w:r>
        <w:tab/>
        <w:t>Concurrence of Treasurer</w:t>
      </w:r>
      <w:r>
        <w:tab/>
      </w:r>
      <w:r>
        <w:fldChar w:fldCharType="begin"/>
      </w:r>
      <w:r>
        <w:instrText xml:space="preserve"> PAGEREF _Toc415234808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_Toc415234810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Chemistry Centre (WA) Act 2007</w:t>
      </w:r>
    </w:p>
    <w:p>
      <w:pPr>
        <w:pStyle w:val="NameofActReg"/>
      </w:pPr>
      <w:r>
        <w:t>Chemistry Centre (WA) Regulations 2007</w:t>
      </w:r>
    </w:p>
    <w:p>
      <w:pPr>
        <w:pStyle w:val="Heading2"/>
        <w:keepNext w:val="0"/>
        <w:pageBreakBefore w:val="0"/>
        <w:spacing w:before="240"/>
      </w:pPr>
      <w:bookmarkStart w:id="3" w:name="_Toc378073751"/>
      <w:bookmarkStart w:id="4" w:name="_Toc415234756"/>
      <w:bookmarkStart w:id="5" w:name="_Toc41523478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073752"/>
      <w:bookmarkStart w:id="7" w:name="_Toc415234789"/>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Chemistry Centre (WA) Regulations 2007</w:t>
      </w:r>
      <w:r>
        <w:rPr>
          <w:iCs/>
        </w:rPr>
        <w:t> </w:t>
      </w:r>
      <w:r>
        <w:rPr>
          <w:iCs/>
          <w:vertAlign w:val="superscript"/>
        </w:rPr>
        <w:t>1</w:t>
      </w:r>
      <w:r>
        <w:t>.</w:t>
      </w:r>
    </w:p>
    <w:p>
      <w:pPr>
        <w:pStyle w:val="PermNoteHeading"/>
      </w:pPr>
      <w:r>
        <w:tab/>
        <w:t>Note for this regulation:</w:t>
      </w:r>
    </w:p>
    <w:p>
      <w:pPr>
        <w:pStyle w:val="PermNoteText"/>
      </w:pPr>
      <w:r>
        <w:tab/>
      </w:r>
      <w:r>
        <w:tab/>
        <w:t xml:space="preserve">Under the </w:t>
      </w:r>
      <w:r>
        <w:rPr>
          <w:i/>
          <w:iCs/>
        </w:rPr>
        <w:t>Interpretation Act 1984</w:t>
      </w:r>
      <w:r>
        <w:t xml:space="preserve"> section 25(3) these regulations take effect on the day on which the </w:t>
      </w:r>
      <w:r>
        <w:rPr>
          <w:i/>
          <w:iCs/>
        </w:rPr>
        <w:t>Chemistry Centre (WA) Act 2007</w:t>
      </w:r>
      <w:r>
        <w:t xml:space="preserve"> section 40 commences.</w:t>
      </w:r>
    </w:p>
    <w:p>
      <w:pPr>
        <w:pStyle w:val="Heading5"/>
      </w:pPr>
      <w:bookmarkStart w:id="9" w:name="_Toc378073753"/>
      <w:bookmarkStart w:id="10" w:name="_Toc415234790"/>
      <w:r>
        <w:rPr>
          <w:rStyle w:val="CharSectno"/>
        </w:rPr>
        <w:t>2</w:t>
      </w:r>
      <w:r>
        <w:t>.</w:t>
      </w:r>
      <w:r>
        <w:tab/>
        <w:t>Meaning of Treasurer in these regulations</w:t>
      </w:r>
      <w:bookmarkEnd w:id="9"/>
      <w:bookmarkEnd w:id="10"/>
    </w:p>
    <w:p>
      <w:pPr>
        <w:pStyle w:val="Subsection"/>
      </w:pPr>
      <w:r>
        <w:tab/>
      </w:r>
      <w:r>
        <w:tab/>
        <w:t xml:space="preserve">In these regulations — </w:t>
      </w:r>
    </w:p>
    <w:p>
      <w:pPr>
        <w:pStyle w:val="Defstart"/>
      </w:pPr>
      <w:r>
        <w:rPr>
          <w:b/>
        </w:rPr>
        <w:tab/>
      </w:r>
      <w:r>
        <w:rPr>
          <w:rStyle w:val="CharDefText"/>
        </w:rPr>
        <w:t>Treasurer</w:t>
      </w:r>
      <w:r>
        <w:t xml:space="preserve"> means the Treasurer of the State.</w:t>
      </w:r>
    </w:p>
    <w:p>
      <w:pPr>
        <w:pStyle w:val="Heading2"/>
      </w:pPr>
      <w:bookmarkStart w:id="11" w:name="_Toc378073754"/>
      <w:bookmarkStart w:id="12" w:name="_Toc415234759"/>
      <w:bookmarkStart w:id="13" w:name="_Toc415234791"/>
      <w:r>
        <w:rPr>
          <w:rStyle w:val="CharPartNo"/>
        </w:rPr>
        <w:t>Part 2</w:t>
      </w:r>
      <w:r>
        <w:rPr>
          <w:rStyle w:val="CharDivNo"/>
        </w:rPr>
        <w:t> </w:t>
      </w:r>
      <w:r>
        <w:t>—</w:t>
      </w:r>
      <w:r>
        <w:rPr>
          <w:rStyle w:val="CharDivText"/>
        </w:rPr>
        <w:t> </w:t>
      </w:r>
      <w:r>
        <w:rPr>
          <w:rStyle w:val="CharPartText"/>
        </w:rPr>
        <w:t>Strategic development plans</w:t>
      </w:r>
      <w:bookmarkEnd w:id="11"/>
      <w:bookmarkEnd w:id="12"/>
      <w:bookmarkEnd w:id="13"/>
    </w:p>
    <w:p>
      <w:pPr>
        <w:pStyle w:val="Heading5"/>
      </w:pPr>
      <w:bookmarkStart w:id="14" w:name="_Toc378073755"/>
      <w:bookmarkStart w:id="15" w:name="_Toc415234792"/>
      <w:r>
        <w:rPr>
          <w:rStyle w:val="CharSectno"/>
        </w:rPr>
        <w:t>3</w:t>
      </w:r>
      <w:r>
        <w:t>.</w:t>
      </w:r>
      <w:r>
        <w:tab/>
        <w:t>Draft strategic development plan</w:t>
      </w:r>
      <w:bookmarkEnd w:id="14"/>
      <w:bookmarkEnd w:id="15"/>
    </w:p>
    <w:p>
      <w:pPr>
        <w:pStyle w:val="Subsection"/>
      </w:pPr>
      <w:r>
        <w:tab/>
        <w:t>(1)</w:t>
      </w:r>
      <w:r>
        <w:tab/>
        <w:t>The Board must in each financial year prepare and submit to the Minister for agreement a draft strategic development plan for the Chemistry Centre for the next financial year.</w:t>
      </w:r>
    </w:p>
    <w:p>
      <w:pPr>
        <w:pStyle w:val="Subsection"/>
      </w:pPr>
      <w:r>
        <w:tab/>
        <w:t>(2)</w:t>
      </w:r>
      <w:r>
        <w:tab/>
        <w:t>A draft strategic development plan is to be submitted not later than 6 months before the start of the next financial year.</w:t>
      </w:r>
    </w:p>
    <w:p>
      <w:pPr>
        <w:pStyle w:val="Subsection"/>
      </w:pPr>
      <w:r>
        <w:tab/>
        <w:t>(3)</w:t>
      </w:r>
      <w:r>
        <w:tab/>
        <w:t>For the financial year in which this regulation comes into operation, the Board must, as soon as is practicable, prepare and submit to the Minister for agreement a draft strategic development plan for the Chemistry Centre for the financial year.</w:t>
      </w:r>
    </w:p>
    <w:p>
      <w:pPr>
        <w:pStyle w:val="Heading5"/>
      </w:pPr>
      <w:bookmarkStart w:id="16" w:name="_Toc378073756"/>
      <w:bookmarkStart w:id="17" w:name="_Toc415234793"/>
      <w:r>
        <w:rPr>
          <w:rStyle w:val="CharSectno"/>
        </w:rPr>
        <w:t>4</w:t>
      </w:r>
      <w:r>
        <w:t>.</w:t>
      </w:r>
      <w:r>
        <w:tab/>
        <w:t>Period and content of strategic development plan</w:t>
      </w:r>
      <w:bookmarkEnd w:id="16"/>
      <w:bookmarkEnd w:id="17"/>
    </w:p>
    <w:p>
      <w:pPr>
        <w:pStyle w:val="Subsection"/>
      </w:pPr>
      <w:r>
        <w:tab/>
        <w:t>(1)</w:t>
      </w:r>
      <w:r>
        <w:tab/>
        <w:t>The strategic development plan is to cover the forecast period of 5 years commencing at the beginning of the relevant financial year, or a lesser period agreed to by the Minister.</w:t>
      </w:r>
    </w:p>
    <w:p>
      <w:pPr>
        <w:pStyle w:val="Subsection"/>
      </w:pPr>
      <w:r>
        <w:tab/>
        <w:t>(2)</w:t>
      </w:r>
      <w:r>
        <w:tab/>
        <w:t xml:space="preserve">The strategic development plan must set out the Chemistry Centre’s medium to long term objectives in performing its functions under the or any other Act and must cover the following matters — </w:t>
      </w:r>
    </w:p>
    <w:p>
      <w:pPr>
        <w:pStyle w:val="Indenta"/>
      </w:pPr>
      <w:r>
        <w:tab/>
        <w:t>(a)</w:t>
      </w:r>
      <w:r>
        <w:tab/>
        <w:t>strategic objectives to be achieved during the forecast period including how those objectives will be achieved;</w:t>
      </w:r>
    </w:p>
    <w:p>
      <w:pPr>
        <w:pStyle w:val="Indenta"/>
      </w:pPr>
      <w:r>
        <w:tab/>
        <w:t>(b)</w:t>
      </w:r>
      <w:r>
        <w:tab/>
        <w:t>operational targets for those objectives;</w:t>
      </w:r>
    </w:p>
    <w:p>
      <w:pPr>
        <w:pStyle w:val="Indenta"/>
      </w:pPr>
      <w:r>
        <w:tab/>
        <w:t>(c)</w:t>
      </w:r>
      <w:r>
        <w:tab/>
        <w:t>the market environment in which the Chemistry Centre operates;</w:t>
      </w:r>
    </w:p>
    <w:p>
      <w:pPr>
        <w:pStyle w:val="Indenta"/>
      </w:pPr>
      <w:r>
        <w:tab/>
        <w:t>(d)</w:t>
      </w:r>
      <w:r>
        <w:tab/>
        <w:t>an analysis of significant issues and trends during the forecast period and any major risks;</w:t>
      </w:r>
    </w:p>
    <w:p>
      <w:pPr>
        <w:pStyle w:val="Indenta"/>
      </w:pPr>
      <w:r>
        <w:tab/>
        <w:t>(e)</w:t>
      </w:r>
      <w:r>
        <w:tab/>
        <w:t>the scope and financial implications of the Chemistry Centre’s community service obligations;</w:t>
      </w:r>
    </w:p>
    <w:p>
      <w:pPr>
        <w:pStyle w:val="Indenta"/>
      </w:pPr>
      <w:r>
        <w:tab/>
        <w:t>(f)</w:t>
      </w:r>
      <w:r>
        <w:tab/>
        <w:t>financial requirements;</w:t>
      </w:r>
    </w:p>
    <w:p>
      <w:pPr>
        <w:pStyle w:val="Indenta"/>
      </w:pPr>
      <w:r>
        <w:tab/>
        <w:t>(g)</w:t>
      </w:r>
      <w:r>
        <w:tab/>
        <w:t>personnel requirements;</w:t>
      </w:r>
    </w:p>
    <w:p>
      <w:pPr>
        <w:pStyle w:val="Indenta"/>
      </w:pPr>
      <w:r>
        <w:tab/>
        <w:t>(h)</w:t>
      </w:r>
      <w:r>
        <w:tab/>
        <w:t>capital expenditure and investment strategies;</w:t>
      </w:r>
    </w:p>
    <w:p>
      <w:pPr>
        <w:pStyle w:val="Indenta"/>
      </w:pPr>
      <w:r>
        <w:tab/>
        <w:t>(i)</w:t>
      </w:r>
      <w:r>
        <w:tab/>
        <w:t>strategies for asset management;</w:t>
      </w:r>
    </w:p>
    <w:p>
      <w:pPr>
        <w:pStyle w:val="Indenta"/>
      </w:pPr>
      <w:r>
        <w:tab/>
        <w:t>(j)</w:t>
      </w:r>
      <w:r>
        <w:tab/>
        <w:t>the nature and extent of commercial and competitive strategies;</w:t>
      </w:r>
    </w:p>
    <w:p>
      <w:pPr>
        <w:pStyle w:val="Indenta"/>
      </w:pPr>
      <w:r>
        <w:tab/>
        <w:t>(k)</w:t>
      </w:r>
      <w:r>
        <w:tab/>
        <w:t>charging for goods and services;</w:t>
      </w:r>
    </w:p>
    <w:p>
      <w:pPr>
        <w:pStyle w:val="Indenta"/>
      </w:pPr>
      <w:r>
        <w:tab/>
        <w:t>(l)</w:t>
      </w:r>
      <w:r>
        <w:tab/>
        <w:t>pricing principles and strategies;</w:t>
      </w:r>
    </w:p>
    <w:p>
      <w:pPr>
        <w:pStyle w:val="Indenta"/>
      </w:pPr>
      <w:r>
        <w:tab/>
        <w:t>(m)</w:t>
      </w:r>
      <w:r>
        <w:tab/>
        <w:t>sales and revenue projections;</w:t>
      </w:r>
    </w:p>
    <w:p>
      <w:pPr>
        <w:pStyle w:val="Indenta"/>
      </w:pPr>
      <w:r>
        <w:tab/>
        <w:t>(n)</w:t>
      </w:r>
      <w:r>
        <w:tab/>
        <w:t>customer service arrangements;</w:t>
      </w:r>
    </w:p>
    <w:p>
      <w:pPr>
        <w:pStyle w:val="Indenta"/>
      </w:pPr>
      <w:r>
        <w:tab/>
        <w:t>(o)</w:t>
      </w:r>
      <w:r>
        <w:tab/>
        <w:t>compliance with relevant government policies;</w:t>
      </w:r>
    </w:p>
    <w:p>
      <w:pPr>
        <w:pStyle w:val="Indenta"/>
      </w:pPr>
      <w:r>
        <w:tab/>
        <w:t>(p)</w:t>
      </w:r>
      <w:r>
        <w:tab/>
        <w:t>other matters that the Minister and the Board agree should be covered.</w:t>
      </w:r>
    </w:p>
    <w:p>
      <w:pPr>
        <w:pStyle w:val="Heading5"/>
      </w:pPr>
      <w:bookmarkStart w:id="18" w:name="_Toc378073757"/>
      <w:bookmarkStart w:id="19" w:name="_Toc415234794"/>
      <w:r>
        <w:rPr>
          <w:rStyle w:val="CharSectno"/>
        </w:rPr>
        <w:t>5</w:t>
      </w:r>
      <w:r>
        <w:t>.</w:t>
      </w:r>
      <w:r>
        <w:tab/>
        <w:t>Strategic development plan to be agreed if possible</w:t>
      </w:r>
      <w:bookmarkEnd w:id="18"/>
      <w:bookmarkEnd w:id="19"/>
    </w:p>
    <w:p>
      <w:pPr>
        <w:pStyle w:val="Subsection"/>
      </w:pPr>
      <w:r>
        <w:tab/>
      </w:r>
      <w:r>
        <w:tab/>
        <w:t>The Board and the Minister must try to reach agreement on a strategic development plan as soon as possible and, in any case, not later than one month before the start of the relevant financial year.</w:t>
      </w:r>
    </w:p>
    <w:p>
      <w:pPr>
        <w:pStyle w:val="Heading5"/>
      </w:pPr>
      <w:bookmarkStart w:id="20" w:name="_Toc378073758"/>
      <w:bookmarkStart w:id="21" w:name="_Toc415234795"/>
      <w:r>
        <w:rPr>
          <w:rStyle w:val="CharSectno"/>
        </w:rPr>
        <w:t>6</w:t>
      </w:r>
      <w:r>
        <w:t>.</w:t>
      </w:r>
      <w:r>
        <w:tab/>
        <w:t>Minister’s powers in relation to draft strategic development plan</w:t>
      </w:r>
      <w:bookmarkEnd w:id="20"/>
      <w:bookmarkEnd w:id="2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w:t>
      </w:r>
    </w:p>
    <w:p>
      <w:pPr>
        <w:pStyle w:val="Indenta"/>
      </w:pPr>
      <w:r>
        <w:tab/>
        <w:t>(b)</w:t>
      </w:r>
      <w:r>
        <w:tab/>
        <w:t>deal with the matter in the draft plan accordingly.</w:t>
      </w:r>
    </w:p>
    <w:p>
      <w:pPr>
        <w:pStyle w:val="Subsection"/>
      </w:pPr>
      <w:r>
        <w:tab/>
        <w:t>(2)</w:t>
      </w:r>
      <w:r>
        <w:tab/>
        <w:t>The Board must comply with a request under subregulation (1) as soon as is practicable.</w:t>
      </w:r>
    </w:p>
    <w:p>
      <w:pPr>
        <w:pStyle w:val="Subsection"/>
      </w:pPr>
      <w:r>
        <w:tab/>
        <w:t>(3)</w:t>
      </w:r>
      <w:r>
        <w:tab/>
        <w:t xml:space="preserve">If the Board and the Minister have not reached agreement on a draft strategic development plan by one month before the start of the relevant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subregulation (3) as soon as is practicable.</w:t>
      </w:r>
    </w:p>
    <w:p>
      <w:pPr>
        <w:pStyle w:val="Heading5"/>
      </w:pPr>
      <w:bookmarkStart w:id="22" w:name="_Toc378073759"/>
      <w:bookmarkStart w:id="23" w:name="_Toc415234796"/>
      <w:r>
        <w:rPr>
          <w:rStyle w:val="CharSectno"/>
        </w:rPr>
        <w:t>7</w:t>
      </w:r>
      <w:r>
        <w:t>.</w:t>
      </w:r>
      <w:r>
        <w:tab/>
        <w:t>Strategic development plan pending agreement</w:t>
      </w:r>
      <w:bookmarkEnd w:id="22"/>
      <w:bookmarkEnd w:id="23"/>
    </w:p>
    <w:p>
      <w:pPr>
        <w:pStyle w:val="Subsection"/>
      </w:pPr>
      <w:r>
        <w:tab/>
        <w:t>(1)</w:t>
      </w:r>
      <w:r>
        <w:tab/>
        <w:t xml:space="preserve">In this regulation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Subsection"/>
      </w:pPr>
      <w:r>
        <w:tab/>
        <w:t>(2)</w:t>
      </w:r>
      <w:r>
        <w:tab/>
        <w:t>If the Board and the Minister have not reached agreement on a draft strategic development plan before the start of the relevant financial year, the latest draft plan is to be the strategic development plan for the Chemistry Centre for that year until a draft strategic development plan is agreed to under regulation 8.</w:t>
      </w:r>
    </w:p>
    <w:p>
      <w:pPr>
        <w:pStyle w:val="Heading5"/>
      </w:pPr>
      <w:bookmarkStart w:id="24" w:name="_Toc378073760"/>
      <w:bookmarkStart w:id="25" w:name="_Toc415234797"/>
      <w:r>
        <w:rPr>
          <w:rStyle w:val="CharSectno"/>
        </w:rPr>
        <w:t>8</w:t>
      </w:r>
      <w:r>
        <w:t>.</w:t>
      </w:r>
      <w:r>
        <w:tab/>
        <w:t>Minister’s agreement to draft strategic development plan</w:t>
      </w:r>
      <w:bookmarkEnd w:id="24"/>
      <w:bookmarkEnd w:id="25"/>
    </w:p>
    <w:p>
      <w:pPr>
        <w:pStyle w:val="Subsection"/>
      </w:pPr>
      <w:r>
        <w:tab/>
      </w:r>
      <w:r>
        <w:tab/>
        <w:t>When the Board and the Minister reach agreement on a draft strategic development plan it becomes the Chemistry Centre’s strategic development plan for the relevant financial year or the remainder of that year (whichever is relevant).</w:t>
      </w:r>
    </w:p>
    <w:p>
      <w:pPr>
        <w:pStyle w:val="Heading5"/>
      </w:pPr>
      <w:bookmarkStart w:id="26" w:name="_Toc378073761"/>
      <w:bookmarkStart w:id="27" w:name="_Toc415234798"/>
      <w:r>
        <w:rPr>
          <w:rStyle w:val="CharSectno"/>
        </w:rPr>
        <w:t>9</w:t>
      </w:r>
      <w:r>
        <w:t>.</w:t>
      </w:r>
      <w:r>
        <w:tab/>
        <w:t>Modifications of strategic development plan</w:t>
      </w:r>
      <w:bookmarkEnd w:id="26"/>
      <w:bookmarkEnd w:id="2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subregulation (2), the Minister must consult with the Board and take its views into account.</w:t>
      </w:r>
    </w:p>
    <w:p>
      <w:pPr>
        <w:pStyle w:val="Heading5"/>
      </w:pPr>
      <w:bookmarkStart w:id="28" w:name="_Toc378073762"/>
      <w:bookmarkStart w:id="29" w:name="_Toc415234799"/>
      <w:r>
        <w:rPr>
          <w:rStyle w:val="CharSectno"/>
        </w:rPr>
        <w:t>10</w:t>
      </w:r>
      <w:r>
        <w:t>.</w:t>
      </w:r>
      <w:r>
        <w:tab/>
        <w:t>Concurrence of Treasurer</w:t>
      </w:r>
      <w:bookmarkEnd w:id="28"/>
      <w:bookmarkEnd w:id="29"/>
    </w:p>
    <w:p>
      <w:pPr>
        <w:pStyle w:val="Subsection"/>
      </w:pPr>
      <w:r>
        <w:tab/>
      </w:r>
      <w:r>
        <w:tab/>
        <w:t xml:space="preserve">The Minister is not to — </w:t>
      </w:r>
    </w:p>
    <w:p>
      <w:pPr>
        <w:pStyle w:val="Indenta"/>
      </w:pPr>
      <w:r>
        <w:tab/>
        <w:t>(a)</w:t>
      </w:r>
      <w:r>
        <w:tab/>
        <w:t>agree to a draft strategic plan under regulation 8; or</w:t>
      </w:r>
    </w:p>
    <w:p>
      <w:pPr>
        <w:pStyle w:val="Indenta"/>
      </w:pPr>
      <w:r>
        <w:tab/>
        <w:t>(b)</w:t>
      </w:r>
      <w:r>
        <w:tab/>
        <w:t>agree to or direct any modification of a strategic development plan under regulation 9,</w:t>
      </w:r>
    </w:p>
    <w:p>
      <w:pPr>
        <w:pStyle w:val="Subsection"/>
      </w:pPr>
      <w:r>
        <w:tab/>
      </w:r>
      <w:r>
        <w:tab/>
        <w:t>except with the Treasurer’s concurrence.</w:t>
      </w:r>
    </w:p>
    <w:p>
      <w:pPr>
        <w:pStyle w:val="Heading2"/>
      </w:pPr>
      <w:bookmarkStart w:id="30" w:name="_Toc378073763"/>
      <w:bookmarkStart w:id="31" w:name="_Toc415234768"/>
      <w:bookmarkStart w:id="32" w:name="_Toc415234800"/>
      <w:r>
        <w:rPr>
          <w:rStyle w:val="CharPartNo"/>
        </w:rPr>
        <w:t>Part 3</w:t>
      </w:r>
      <w:r>
        <w:rPr>
          <w:rStyle w:val="CharDivNo"/>
        </w:rPr>
        <w:t> </w:t>
      </w:r>
      <w:r>
        <w:t>—</w:t>
      </w:r>
      <w:r>
        <w:rPr>
          <w:rStyle w:val="CharDivText"/>
        </w:rPr>
        <w:t> </w:t>
      </w:r>
      <w:r>
        <w:rPr>
          <w:rStyle w:val="CharPartText"/>
        </w:rPr>
        <w:t>Statements of corporate intent</w:t>
      </w:r>
      <w:bookmarkEnd w:id="30"/>
      <w:bookmarkEnd w:id="31"/>
      <w:bookmarkEnd w:id="32"/>
    </w:p>
    <w:p>
      <w:pPr>
        <w:pStyle w:val="Heading5"/>
      </w:pPr>
      <w:bookmarkStart w:id="33" w:name="_Toc378073764"/>
      <w:bookmarkStart w:id="34" w:name="_Toc415234801"/>
      <w:r>
        <w:rPr>
          <w:rStyle w:val="CharSectno"/>
        </w:rPr>
        <w:t>11</w:t>
      </w:r>
      <w:r>
        <w:t>.</w:t>
      </w:r>
      <w:r>
        <w:tab/>
        <w:t>Draft statement of corporate intent</w:t>
      </w:r>
      <w:bookmarkEnd w:id="33"/>
      <w:bookmarkEnd w:id="34"/>
    </w:p>
    <w:p>
      <w:pPr>
        <w:pStyle w:val="Subsection"/>
      </w:pPr>
      <w:r>
        <w:tab/>
        <w:t>(1)</w:t>
      </w:r>
      <w:r>
        <w:tab/>
        <w:t>The Board must in each financial year prepare and submit to the Minister for agreement a draft statement of corporate intent for the Chemistry Centre for the next financial year.</w:t>
      </w:r>
    </w:p>
    <w:p>
      <w:pPr>
        <w:pStyle w:val="Subsection"/>
      </w:pPr>
      <w:r>
        <w:tab/>
        <w:t>(2)</w:t>
      </w:r>
      <w:r>
        <w:tab/>
        <w:t>A draft statement of corporate intent is to be submitted not later than 6 months before the start of the next financial year.</w:t>
      </w:r>
    </w:p>
    <w:p>
      <w:pPr>
        <w:pStyle w:val="Subsection"/>
      </w:pPr>
      <w:r>
        <w:tab/>
        <w:t>(3)</w:t>
      </w:r>
      <w:r>
        <w:tab/>
        <w:t>For the financial year in which this regulation comes into operation, the Board must, as soon as is practicable, prepare and submit to the Minister for agreement a draft statement of corporate intent for the Chemistry Centre for the financial year.</w:t>
      </w:r>
    </w:p>
    <w:p>
      <w:pPr>
        <w:pStyle w:val="Heading5"/>
      </w:pPr>
      <w:bookmarkStart w:id="35" w:name="_Toc378073765"/>
      <w:bookmarkStart w:id="36" w:name="_Toc415234802"/>
      <w:r>
        <w:rPr>
          <w:rStyle w:val="CharSectno"/>
        </w:rPr>
        <w:t>12</w:t>
      </w:r>
      <w:r>
        <w:t>.</w:t>
      </w:r>
      <w:r>
        <w:tab/>
        <w:t>Period and content of statement of corporate intent</w:t>
      </w:r>
      <w:bookmarkEnd w:id="35"/>
      <w:bookmarkEnd w:id="36"/>
    </w:p>
    <w:p>
      <w:pPr>
        <w:pStyle w:val="Subsection"/>
      </w:pPr>
      <w:r>
        <w:tab/>
        <w:t>(1)</w:t>
      </w:r>
      <w:r>
        <w:tab/>
        <w:t>The statement of corporate intent is to cover the relevant financial year.</w:t>
      </w:r>
    </w:p>
    <w:p>
      <w:pPr>
        <w:pStyle w:val="Subsection"/>
      </w:pPr>
      <w:r>
        <w:tab/>
        <w:t>(2)</w:t>
      </w:r>
      <w:r>
        <w:tab/>
        <w:t>The statement of corporate intent must be consistent with the strategic development plan for the Chemistry Centre.</w:t>
      </w:r>
    </w:p>
    <w:p>
      <w:pPr>
        <w:pStyle w:val="Subsection"/>
      </w:pPr>
      <w:r>
        <w:tab/>
        <w:t>(3)</w:t>
      </w:r>
      <w:r>
        <w:tab/>
        <w:t xml:space="preserve">The statement of corporate intent must cover the following matters — </w:t>
      </w:r>
    </w:p>
    <w:p>
      <w:pPr>
        <w:pStyle w:val="Indenta"/>
      </w:pPr>
      <w:r>
        <w:tab/>
        <w:t>(a)</w:t>
      </w:r>
      <w:r>
        <w:tab/>
        <w:t>major initiatives for achieving strategic objectives (in outline);</w:t>
      </w:r>
    </w:p>
    <w:p>
      <w:pPr>
        <w:pStyle w:val="Indenta"/>
      </w:pPr>
      <w:r>
        <w:tab/>
        <w:t>(b)</w:t>
      </w:r>
      <w:r>
        <w:tab/>
        <w:t>major planned achievements (in outline);</w:t>
      </w:r>
    </w:p>
    <w:p>
      <w:pPr>
        <w:pStyle w:val="Indenta"/>
      </w:pPr>
      <w:r>
        <w:tab/>
        <w:t>(c)</w:t>
      </w:r>
      <w:r>
        <w:tab/>
        <w:t>operational targets and other measures by which performance may be judged and related to achieving those objectives and planned achievements;</w:t>
      </w:r>
    </w:p>
    <w:p>
      <w:pPr>
        <w:pStyle w:val="Indenta"/>
      </w:pPr>
      <w:r>
        <w:tab/>
        <w:t>(d)</w:t>
      </w:r>
      <w:r>
        <w:tab/>
        <w:t>proposed arrangements to facilitate achieving of objectives that do not involve making a profit;</w:t>
      </w:r>
    </w:p>
    <w:p>
      <w:pPr>
        <w:pStyle w:val="Indenta"/>
      </w:pPr>
      <w:r>
        <w:tab/>
        <w:t>(e)</w:t>
      </w:r>
      <w:r>
        <w:tab/>
        <w:t>the nature and extent of activities for which a fee is not to be charged;</w:t>
      </w:r>
    </w:p>
    <w:p>
      <w:pPr>
        <w:pStyle w:val="Indenta"/>
      </w:pPr>
      <w:r>
        <w:tab/>
        <w:t>(f)</w:t>
      </w:r>
      <w:r>
        <w:tab/>
        <w:t>the cost, method of costing and funding for activities for which a fee is not to be charged;</w:t>
      </w:r>
    </w:p>
    <w:p>
      <w:pPr>
        <w:pStyle w:val="Indenta"/>
      </w:pPr>
      <w:r>
        <w:tab/>
        <w:t>(g)</w:t>
      </w:r>
      <w:r>
        <w:tab/>
        <w:t>the cost, method of costing and funding for Chemistry Centre’s community service obligations;</w:t>
      </w:r>
    </w:p>
    <w:p>
      <w:pPr>
        <w:pStyle w:val="Indenta"/>
      </w:pPr>
      <w:r>
        <w:tab/>
        <w:t>(h)</w:t>
      </w:r>
      <w:r>
        <w:tab/>
        <w:t>the method of compensating the Chemistry Centre for performing its community service obligations and the extent of that compensation;</w:t>
      </w:r>
    </w:p>
    <w:p>
      <w:pPr>
        <w:pStyle w:val="Indenta"/>
      </w:pPr>
      <w:r>
        <w:tab/>
        <w:t>(i)</w:t>
      </w:r>
      <w:r>
        <w:tab/>
        <w:t>proposed pricing arrangements;</w:t>
      </w:r>
    </w:p>
    <w:p>
      <w:pPr>
        <w:pStyle w:val="Indenta"/>
      </w:pPr>
      <w:r>
        <w:tab/>
        <w:t>(j)</w:t>
      </w:r>
      <w:r>
        <w:tab/>
        <w:t>operating income and expenditure;</w:t>
      </w:r>
    </w:p>
    <w:p>
      <w:pPr>
        <w:pStyle w:val="Indenta"/>
      </w:pPr>
      <w:r>
        <w:tab/>
        <w:t>(k)</w:t>
      </w:r>
      <w:r>
        <w:tab/>
        <w:t>capital expenditure and borrowing requirements (in outline);</w:t>
      </w:r>
    </w:p>
    <w:p>
      <w:pPr>
        <w:pStyle w:val="Indenta"/>
      </w:pPr>
      <w:r>
        <w:tab/>
        <w:t>(l)</w:t>
      </w:r>
      <w:r>
        <w:tab/>
        <w:t>the dividend policy for the financial year or the provision proposed to be made for dividends;</w:t>
      </w:r>
    </w:p>
    <w:p>
      <w:pPr>
        <w:pStyle w:val="Indenta"/>
      </w:pPr>
      <w:r>
        <w:tab/>
        <w:t>(m)</w:t>
      </w:r>
      <w:r>
        <w:tab/>
        <w:t>reporting on performance in the previous financial year by reference to the previous statement of corporate intent;</w:t>
      </w:r>
    </w:p>
    <w:p>
      <w:pPr>
        <w:pStyle w:val="Indenta"/>
      </w:pPr>
      <w:r>
        <w:tab/>
        <w:t>(n)</w:t>
      </w:r>
      <w:r>
        <w:tab/>
        <w:t>other matters that the Minister and the Board agree should be covered.</w:t>
      </w:r>
    </w:p>
    <w:p>
      <w:pPr>
        <w:pStyle w:val="Subsection"/>
      </w:pPr>
      <w:r>
        <w:tab/>
        <w:t>(4)</w:t>
      </w:r>
      <w:r>
        <w:tab/>
        <w:t>The Minister may exempt the Chemistry Centre from including any matter, or any aspect of a matter, mentioned in subregulation (3) in the statement of corporate intent.</w:t>
      </w:r>
    </w:p>
    <w:p>
      <w:pPr>
        <w:pStyle w:val="Heading5"/>
      </w:pPr>
      <w:bookmarkStart w:id="37" w:name="_Toc378073766"/>
      <w:bookmarkStart w:id="38" w:name="_Toc415234803"/>
      <w:r>
        <w:rPr>
          <w:rStyle w:val="CharSectno"/>
        </w:rPr>
        <w:t>13</w:t>
      </w:r>
      <w:r>
        <w:t>.</w:t>
      </w:r>
      <w:r>
        <w:tab/>
        <w:t>Statement of corporate intent to be agreed if possible</w:t>
      </w:r>
      <w:bookmarkEnd w:id="37"/>
      <w:bookmarkEnd w:id="38"/>
    </w:p>
    <w:p>
      <w:pPr>
        <w:pStyle w:val="Subsection"/>
      </w:pPr>
      <w:r>
        <w:tab/>
      </w:r>
      <w:r>
        <w:tab/>
        <w:t>The Board and the Minister must try to reach agreement on a statement of corporate intent as soon as possible and, in any case, not later than the start of the next financial year.</w:t>
      </w:r>
    </w:p>
    <w:p>
      <w:pPr>
        <w:pStyle w:val="Heading5"/>
      </w:pPr>
      <w:bookmarkStart w:id="39" w:name="_Toc378073767"/>
      <w:bookmarkStart w:id="40" w:name="_Toc415234804"/>
      <w:r>
        <w:rPr>
          <w:rStyle w:val="CharSectno"/>
        </w:rPr>
        <w:t>14</w:t>
      </w:r>
      <w:r>
        <w:t>.</w:t>
      </w:r>
      <w:r>
        <w:tab/>
        <w:t>Minister’s powers in relation to draft statement of corporate intent</w:t>
      </w:r>
      <w:bookmarkEnd w:id="39"/>
      <w:bookmarkEnd w:id="40"/>
    </w:p>
    <w:p>
      <w:pPr>
        <w:pStyle w:val="Subsection"/>
      </w:pPr>
      <w:r>
        <w:tab/>
        <w:t>(1)</w:t>
      </w:r>
      <w:r>
        <w:tab/>
        <w:t xml:space="preserve">The Minister may return a draft statement of corporate intent to the Board and request it to — </w:t>
      </w:r>
    </w:p>
    <w:p>
      <w:pPr>
        <w:pStyle w:val="Indenta"/>
      </w:pPr>
      <w:r>
        <w:tab/>
        <w:t>(a)</w:t>
      </w:r>
      <w:r>
        <w:tab/>
        <w:t>consider or further consider any matter; and</w:t>
      </w:r>
    </w:p>
    <w:p>
      <w:pPr>
        <w:pStyle w:val="Indenta"/>
      </w:pPr>
      <w:r>
        <w:tab/>
        <w:t>(b)</w:t>
      </w:r>
      <w:r>
        <w:tab/>
        <w:t>deal with the matter in the relevant draft statement accordingly.</w:t>
      </w:r>
    </w:p>
    <w:p>
      <w:pPr>
        <w:pStyle w:val="Subsection"/>
      </w:pPr>
      <w:r>
        <w:tab/>
        <w:t>(2)</w:t>
      </w:r>
      <w:r>
        <w:tab/>
        <w:t>The Board must comply with a request under subregulation (1) as soon as is practicable.</w:t>
      </w:r>
    </w:p>
    <w:p>
      <w:pPr>
        <w:pStyle w:val="Subsection"/>
      </w:pPr>
      <w:r>
        <w:tab/>
        <w:t>(3)</w:t>
      </w:r>
      <w:r>
        <w:tab/>
        <w:t xml:space="preserve">If the Board and the Minister have not reached agreement on a draft statement of corporate intent by one month before the start of the relevant financial year, the Minister may, by written notice, direct the Board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must comply with a direction under subregulation (3) as soon as is practicable.</w:t>
      </w:r>
    </w:p>
    <w:p>
      <w:pPr>
        <w:pStyle w:val="Heading5"/>
      </w:pPr>
      <w:bookmarkStart w:id="41" w:name="_Toc378073768"/>
      <w:bookmarkStart w:id="42" w:name="_Toc415234805"/>
      <w:r>
        <w:rPr>
          <w:rStyle w:val="CharSectno"/>
        </w:rPr>
        <w:t>15</w:t>
      </w:r>
      <w:r>
        <w:t>.</w:t>
      </w:r>
      <w:r>
        <w:tab/>
        <w:t>Statement of corporate intent pending agreement</w:t>
      </w:r>
      <w:bookmarkEnd w:id="41"/>
      <w:bookmarkEnd w:id="42"/>
    </w:p>
    <w:p>
      <w:pPr>
        <w:pStyle w:val="Subsection"/>
      </w:pPr>
      <w:r>
        <w:tab/>
        <w:t>(1)</w:t>
      </w:r>
      <w:r>
        <w:tab/>
        <w:t xml:space="preserve">In this regulation —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Subsection"/>
      </w:pPr>
      <w:r>
        <w:tab/>
        <w:t>(2)</w:t>
      </w:r>
      <w:r>
        <w:tab/>
        <w:t>If the Board and the Minister have not reached agreement on a draft statement of corporate intent before the start of the relevant financial year, the latest draft statement is to be the statement of corporate intent for the Chemistry Centre for that year until a draft statement of corporate intent is agreed to under regulation 16.</w:t>
      </w:r>
    </w:p>
    <w:p>
      <w:pPr>
        <w:pStyle w:val="Heading5"/>
      </w:pPr>
      <w:bookmarkStart w:id="43" w:name="_Toc378073769"/>
      <w:bookmarkStart w:id="44" w:name="_Toc415234806"/>
      <w:r>
        <w:rPr>
          <w:rStyle w:val="CharSectno"/>
        </w:rPr>
        <w:t>16</w:t>
      </w:r>
      <w:r>
        <w:t>.</w:t>
      </w:r>
      <w:r>
        <w:tab/>
        <w:t>Minister’s agreement to draft statement of corporate intent</w:t>
      </w:r>
      <w:bookmarkEnd w:id="43"/>
      <w:bookmarkEnd w:id="44"/>
    </w:p>
    <w:p>
      <w:pPr>
        <w:pStyle w:val="Subsection"/>
      </w:pPr>
      <w:r>
        <w:tab/>
        <w:t>(1)</w:t>
      </w:r>
      <w:r>
        <w:tab/>
        <w:t>When the Board and the Minister reach agreement on a draft statement of corporate intent it becomes the Chemistry Centre’s statement of corporate intent for the relevant financial year or the remainder of that year (whichever is relevant).</w:t>
      </w:r>
    </w:p>
    <w:p>
      <w:pPr>
        <w:pStyle w:val="Subsection"/>
      </w:pPr>
      <w:r>
        <w:tab/>
        <w:t>(2)</w:t>
      </w:r>
      <w:r>
        <w:tab/>
        <w:t>The Minister must within 14 days after agreeing to a draft statement of corporate intent under subregulation (1) cause a copy of it to be laid before each House of Parliament or dealt with in accordance with section 36 of the Act.</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subregulation (2), comply with the request.</w:t>
      </w:r>
    </w:p>
    <w:p>
      <w:pPr>
        <w:pStyle w:val="Heading5"/>
      </w:pPr>
      <w:bookmarkStart w:id="45" w:name="_Toc378073770"/>
      <w:bookmarkStart w:id="46" w:name="_Toc415234807"/>
      <w:r>
        <w:rPr>
          <w:rStyle w:val="CharSectno"/>
        </w:rPr>
        <w:t>17</w:t>
      </w:r>
      <w:r>
        <w:t>.</w:t>
      </w:r>
      <w:r>
        <w:tab/>
        <w:t>Modification of statement of corporate intent</w:t>
      </w:r>
      <w:bookmarkEnd w:id="45"/>
      <w:bookmarkEnd w:id="46"/>
    </w:p>
    <w:p>
      <w:pPr>
        <w:pStyle w:val="Subsection"/>
      </w:pPr>
      <w:r>
        <w:tab/>
        <w:t>(1)</w:t>
      </w:r>
      <w:r>
        <w:tab/>
        <w:t>A statement of corporate intent may be modified by the Board with the agreement of the Minister.</w:t>
      </w:r>
    </w:p>
    <w:p>
      <w:pPr>
        <w:pStyle w:val="Subsection"/>
      </w:pPr>
      <w:r>
        <w:tab/>
        <w:t>(2)</w:t>
      </w:r>
      <w:r>
        <w:tab/>
        <w:t>The Minister may, by written notice, direct the Board to modify a statement of corporate intent, and the Board must comply with any such direction.</w:t>
      </w:r>
    </w:p>
    <w:p>
      <w:pPr>
        <w:pStyle w:val="Subsection"/>
      </w:pPr>
      <w:r>
        <w:tab/>
        <w:t>(3)</w:t>
      </w:r>
      <w:r>
        <w:tab/>
        <w:t>Before giving a direction to the Board under subregulation (2), the Minister must consult with the Board and take its views into account.</w:t>
      </w:r>
    </w:p>
    <w:p>
      <w:pPr>
        <w:pStyle w:val="Heading5"/>
      </w:pPr>
      <w:bookmarkStart w:id="47" w:name="_Toc378073771"/>
      <w:bookmarkStart w:id="48" w:name="_Toc415234808"/>
      <w:r>
        <w:rPr>
          <w:rStyle w:val="CharSectno"/>
        </w:rPr>
        <w:t>18</w:t>
      </w:r>
      <w:r>
        <w:t>.</w:t>
      </w:r>
      <w:r>
        <w:tab/>
        <w:t>Concurrence of Treasurer</w:t>
      </w:r>
      <w:bookmarkEnd w:id="47"/>
      <w:bookmarkEnd w:id="48"/>
    </w:p>
    <w:p>
      <w:pPr>
        <w:pStyle w:val="Subsection"/>
      </w:pPr>
      <w:r>
        <w:tab/>
      </w:r>
      <w:r>
        <w:tab/>
        <w:t xml:space="preserve">The Minister is not to — </w:t>
      </w:r>
    </w:p>
    <w:p>
      <w:pPr>
        <w:pStyle w:val="Indenta"/>
      </w:pPr>
      <w:r>
        <w:tab/>
        <w:t>(a)</w:t>
      </w:r>
      <w:r>
        <w:tab/>
        <w:t>agree to a draft statement of corporate intent under regulation 16; or</w:t>
      </w:r>
    </w:p>
    <w:p>
      <w:pPr>
        <w:pStyle w:val="Indenta"/>
      </w:pPr>
      <w:r>
        <w:tab/>
        <w:t>(b)</w:t>
      </w:r>
      <w:r>
        <w:tab/>
        <w:t>agree to or direct any modification of a statement of corporate intent under regulation 17,</w:t>
      </w:r>
    </w:p>
    <w:p>
      <w:pPr>
        <w:pStyle w:val="Subsection"/>
      </w:pPr>
      <w:r>
        <w:tab/>
      </w:r>
      <w:r>
        <w:tab/>
        <w:t>except with the Treasurer’s concurrence.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9" w:name="_Toc378073772"/>
      <w:bookmarkStart w:id="50" w:name="_Toc415234777"/>
      <w:bookmarkStart w:id="51" w:name="_Toc415234809"/>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rPr>
        <w:t>Chemistry Centre (WA) Regulations 2007.</w:t>
      </w:r>
      <w:r>
        <w:t xml:space="preserve">  </w:t>
      </w:r>
      <w:r>
        <w:rPr>
          <w:snapToGrid w:val="0"/>
        </w:rPr>
        <w:t>The following table contains information about those regulations.</w:t>
      </w:r>
    </w:p>
    <w:p>
      <w:pPr>
        <w:pStyle w:val="nHeading3"/>
      </w:pPr>
      <w:bookmarkStart w:id="52" w:name="_Toc378073773"/>
      <w:bookmarkStart w:id="53" w:name="_Toc415234810"/>
      <w:r>
        <w:t>Compilation table</w:t>
      </w:r>
      <w:bookmarkEnd w:id="52"/>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Chemistry Centre (WA) Regulations 2007</w:t>
            </w:r>
          </w:p>
        </w:tc>
        <w:tc>
          <w:tcPr>
            <w:tcW w:w="1276" w:type="dxa"/>
          </w:tcPr>
          <w:p>
            <w:pPr>
              <w:pStyle w:val="nTable"/>
              <w:spacing w:after="40"/>
            </w:pPr>
            <w:r>
              <w:t>27 Jul 2007 p. 3757-69</w:t>
            </w:r>
          </w:p>
        </w:tc>
        <w:tc>
          <w:tcPr>
            <w:tcW w:w="2693" w:type="dxa"/>
          </w:tcPr>
          <w:p>
            <w:pPr>
              <w:pStyle w:val="nTable"/>
              <w:spacing w:after="40"/>
            </w:pPr>
            <w:r>
              <w:t xml:space="preserve">1 Aug 2007 (see note to r. 1 and </w:t>
            </w:r>
            <w:r>
              <w:rPr>
                <w:i/>
                <w:iCs/>
              </w:rPr>
              <w:t>Gazette</w:t>
            </w:r>
            <w:r>
              <w:t xml:space="preserve"> 27 Jul 2007 p. 3735)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5" w:name="_Toc415234811"/>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latest draft plan</w:t>
      </w:r>
      <w:r>
        <w:tab/>
        <w:t>7(1)</w:t>
      </w:r>
    </w:p>
    <w:p>
      <w:pPr>
        <w:pStyle w:val="DefinedTerms"/>
      </w:pPr>
      <w:r>
        <w:t>latest draft statement</w:t>
      </w:r>
      <w:r>
        <w:tab/>
        <w:t>15(1)</w:t>
      </w:r>
    </w:p>
    <w:p>
      <w:pPr>
        <w:pStyle w:val="DefinedTerms"/>
      </w:pPr>
      <w:r>
        <w:t>Treasurer</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Chemistry Centre (WA)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Chemistry Centre (WA)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Chemistry Centre (WA)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49D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EC0D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8AE6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2B1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C41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0FF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460A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9EE8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E83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2E59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D427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15414"/>
    <w:docVar w:name="WAFER_20140121131659" w:val="RemoveTocBookmarks,RemoveUnusedBookmarks,RemoveLanguageTags,UsedStyles,ResetPageSize,UpdateArrangement"/>
    <w:docVar w:name="WAFER_20140121131659_GUID" w:val="ba1c7e0e-e6ad-415e-90a9-b42575bdbec5"/>
    <w:docVar w:name="WAFER_20140121131804" w:val="RemoveTocBookmarks,RunningHeaders"/>
    <w:docVar w:name="WAFER_20140121131804_GUID" w:val="3f508304-5795-4d79-b867-f6c77b7e8448"/>
    <w:docVar w:name="WAFER_20150327152825" w:val="ResetPageSize,UpdateArrangement,UpdateNTable"/>
    <w:docVar w:name="WAFER_20150327152825_GUID" w:val="67f88bb8-9b67-487b-97bc-d8b483c1b540"/>
    <w:docVar w:name="WAFER_20151125093953" w:val="UpdateStyles"/>
    <w:docVar w:name="WAFER_20151125093953_GUID" w:val="36f6b99e-f2a8-4b1b-ba36-f573777b12b5"/>
    <w:docVar w:name="WAFER_20151125115414" w:val="UsedStyles"/>
    <w:docVar w:name="WAFER_20151125115414_GUID" w:val="2939f9b5-2670-44b2-8e1f-501be32554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2205</Words>
  <Characters>11404</Characters>
  <Application>Microsoft Office Word</Application>
  <DocSecurity>0</DocSecurity>
  <Lines>316</Lines>
  <Paragraphs>203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Strategic development plans</vt:lpstr>
      <vt:lpstr>    Part 3 — Statements of corporate intent</vt:lpstr>
      <vt:lpstr>    Notes</vt:lpstr>
    </vt:vector>
  </TitlesOfParts>
  <Manager/>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Regulations 2007 - 00-a0-07</dc:title>
  <dc:subject/>
  <dc:creator/>
  <cp:keywords/>
  <dc:description/>
  <cp:lastModifiedBy>svcMRProcess</cp:lastModifiedBy>
  <cp:revision>4</cp:revision>
  <cp:lastPrinted>2007-07-06T06:56:00Z</cp:lastPrinted>
  <dcterms:created xsi:type="dcterms:W3CDTF">2019-01-18T01:32:00Z</dcterms:created>
  <dcterms:modified xsi:type="dcterms:W3CDTF">2019-01-18T01:32:00Z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 2007 p 3757-69</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39986</vt:i4>
  </property>
  <property fmtid="{D5CDD505-2E9C-101B-9397-08002B2CF9AE}" pid="6" name="AsAtDate">
    <vt:lpwstr>01 Aug 2007</vt:lpwstr>
  </property>
  <property fmtid="{D5CDD505-2E9C-101B-9397-08002B2CF9AE}" pid="7" name="Suffix">
    <vt:lpwstr>00-a0-07</vt:lpwstr>
  </property>
</Properties>
</file>