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_Toc390071175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_Toc390071176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_Toc390071177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_Toc390071178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_Toc390071179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_Toc390071181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_Toc390071182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_Toc390071183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_Toc390071184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_Toc390071185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_Toc390071186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_Toc390071187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_Toc390071190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_Toc390071191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_Toc390071192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_Toc390071193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_Toc390071194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_Toc390071195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_Toc390071196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_Toc390071197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_Toc390071198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_Toc390071199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_Toc390071200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_Toc390071202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_Toc390071203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_Toc390071204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_Toc390071206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_Toc390071207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_Toc390071208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_Toc390071209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_Toc390071210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_Toc390071213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_Toc390071214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_Toc390071215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_Toc390071217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_Toc390071218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_Toc390071219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_Toc390071220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_Toc390071221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_Toc390071222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_Toc390071224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_Toc390071225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_Toc390071226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_Toc390071227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_Toc390071228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_Toc390071231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_Toc390071232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_Toc390071233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_Toc390071235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_Toc390071236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_Toc390071237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_Toc390071238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_Toc390071239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_Toc390071241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_Toc390071242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_Toc390071244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_Toc390071245 \h </w:instrText>
      </w:r>
      <w:r>
        <w:fldChar w:fldCharType="separate"/>
      </w:r>
      <w:r>
        <w:t>34</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_Toc390071246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_Toc390071249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_Toc390071250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_Toc390071251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_Toc390071252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_Toc390071253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_Toc390071254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_Toc390071255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_Toc390071256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_Toc390071257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_Toc390071258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_Toc390071259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_Toc390071260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_Toc390071261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_Toc390071262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_Toc390071263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_Toc390071264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_Toc390071266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_Toc390071267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_Toc390071268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_Toc390071269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_Toc390071270 \h </w:instrText>
      </w:r>
      <w:r>
        <w:fldChar w:fldCharType="separate"/>
      </w:r>
      <w:r>
        <w:t>47</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_Toc390071271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_Toc390071272 \h </w:instrText>
      </w:r>
      <w:r>
        <w:fldChar w:fldCharType="separate"/>
      </w:r>
      <w:r>
        <w:t>48</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_Toc390071273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_Toc390071274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_Toc390071275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_Toc390071276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_Toc390071278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_Toc390071279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_Toc390071280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_Toc390071281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_Toc390071282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_Toc390071285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_Toc390071286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_Toc390071288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_Toc390071289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_Toc390071290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_Toc390071291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_Toc390071293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_Toc390071294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_Toc390071295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_Toc390071296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_Toc390071298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_Toc390071299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_Toc390071300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_Toc390071302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_Toc390071303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_Toc390071304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_Toc390071305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_Toc390071306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_Toc390071307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_Toc390071308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_Toc390071309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_Toc390071310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_Toc390071313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_Toc390071315 \h </w:instrText>
      </w:r>
      <w:r>
        <w:fldChar w:fldCharType="separate"/>
      </w:r>
      <w:r>
        <w:t>73</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_Toc390071316 \h </w:instrText>
      </w:r>
      <w:r>
        <w:fldChar w:fldCharType="separate"/>
      </w:r>
      <w:r>
        <w:t>73</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_Toc390071317 \h </w:instrText>
      </w:r>
      <w:r>
        <w:fldChar w:fldCharType="separate"/>
      </w:r>
      <w:r>
        <w:t>74</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_Toc390071318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_Toc390071320 \h </w:instrText>
      </w:r>
      <w:r>
        <w:fldChar w:fldCharType="separate"/>
      </w:r>
      <w:r>
        <w:t>75</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_Toc390071321 \h </w:instrText>
      </w:r>
      <w:r>
        <w:fldChar w:fldCharType="separate"/>
      </w:r>
      <w:r>
        <w:t>76</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_Toc390071322 \h </w:instrText>
      </w:r>
      <w:r>
        <w:fldChar w:fldCharType="separate"/>
      </w:r>
      <w:r>
        <w:t>76</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_Toc390071323 \h </w:instrText>
      </w:r>
      <w:r>
        <w:fldChar w:fldCharType="separate"/>
      </w:r>
      <w:r>
        <w:t>77</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_Toc390071324 \h </w:instrText>
      </w:r>
      <w:r>
        <w:fldChar w:fldCharType="separate"/>
      </w:r>
      <w:r>
        <w:t>77</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_Toc390071325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_Toc390071327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_Toc390071329 \h </w:instrText>
      </w:r>
      <w:r>
        <w:fldChar w:fldCharType="separate"/>
      </w:r>
      <w:r>
        <w:t>78</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_Toc390071330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_Toc390071333 \h </w:instrText>
      </w:r>
      <w:r>
        <w:fldChar w:fldCharType="separate"/>
      </w:r>
      <w:r>
        <w:t>84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_Toc390071334 \h </w:instrText>
      </w:r>
      <w:r>
        <w:fldChar w:fldCharType="separate"/>
      </w:r>
      <w:r>
        <w:t>85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17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17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176"/>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177"/>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1178"/>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179"/>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1180"/>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181"/>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182"/>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1183"/>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184"/>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185"/>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186"/>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187"/>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188"/>
      <w:r>
        <w:rPr>
          <w:rStyle w:val="CharPartNo"/>
        </w:rPr>
        <w:t>Part 3</w:t>
      </w:r>
      <w:r>
        <w:t xml:space="preserve"> — </w:t>
      </w:r>
      <w:r>
        <w:rPr>
          <w:rStyle w:val="CharPartText"/>
        </w:rPr>
        <w:t>Assessments of tax</w:t>
      </w:r>
      <w:bookmarkEnd w:id="15"/>
    </w:p>
    <w:p>
      <w:pPr>
        <w:pStyle w:val="Heading3"/>
      </w:pPr>
      <w:bookmarkStart w:id="16" w:name="_Toc390071189"/>
      <w:r>
        <w:rPr>
          <w:rStyle w:val="CharDivNo"/>
        </w:rPr>
        <w:t>Division 1</w:t>
      </w:r>
      <w:r>
        <w:t xml:space="preserve"> — </w:t>
      </w:r>
      <w:r>
        <w:rPr>
          <w:rStyle w:val="CharDivText"/>
        </w:rPr>
        <w:t>Assessments</w:t>
      </w:r>
      <w:bookmarkEnd w:id="16"/>
    </w:p>
    <w:p>
      <w:pPr>
        <w:pStyle w:val="Heading5"/>
      </w:pPr>
      <w:bookmarkStart w:id="17" w:name="_Toc390071190"/>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191"/>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192"/>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193"/>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194"/>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195"/>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1196"/>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197"/>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198"/>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pPr>
      <w:r>
        <w:tab/>
        <w:t>(7)</w:t>
      </w:r>
      <w:r>
        <w:tab/>
        <w:t>This section does not limit the powers of the Commissioner under section 19.</w:t>
      </w:r>
    </w:p>
    <w:p>
      <w:pPr>
        <w:pStyle w:val="Footnotesection"/>
        <w:ind w:left="890" w:hanging="890"/>
      </w:pPr>
      <w:r>
        <w:tab/>
        <w:t>[Section 20 amended by No. 66 of 2003 s. 95(3).]</w:t>
      </w:r>
    </w:p>
    <w:p>
      <w:pPr>
        <w:pStyle w:val="Heading5"/>
        <w:spacing w:before="180"/>
      </w:pPr>
      <w:bookmarkStart w:id="26" w:name="_Toc390071199"/>
      <w:r>
        <w:rPr>
          <w:rStyle w:val="CharSectno"/>
        </w:rPr>
        <w:t>21</w:t>
      </w:r>
      <w:r>
        <w:t>.</w:t>
      </w:r>
      <w:r>
        <w:tab/>
        <w:t>Ascertaining value of property, consideration or benefit</w:t>
      </w:r>
      <w:bookmarkEnd w:id="26"/>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7" w:name="_Toc390071200"/>
      <w:r>
        <w:rPr>
          <w:rStyle w:val="CharSectno"/>
        </w:rPr>
        <w:t>22</w:t>
      </w:r>
      <w:r>
        <w:t>.</w:t>
      </w:r>
      <w:r>
        <w:tab/>
        <w:t>Commissioner’s power to have valuation made</w:t>
      </w:r>
      <w:bookmarkEnd w:id="2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1201"/>
      <w:r>
        <w:rPr>
          <w:rStyle w:val="CharDivNo"/>
        </w:rPr>
        <w:t>Division 2</w:t>
      </w:r>
      <w:r>
        <w:t xml:space="preserve"> — </w:t>
      </w:r>
      <w:r>
        <w:rPr>
          <w:rStyle w:val="CharDivText"/>
        </w:rPr>
        <w:t>Assessment notices and returns</w:t>
      </w:r>
      <w:bookmarkEnd w:id="28"/>
    </w:p>
    <w:p>
      <w:pPr>
        <w:pStyle w:val="Heading5"/>
        <w:spacing w:before="180"/>
      </w:pPr>
      <w:bookmarkStart w:id="29" w:name="_Toc390071202"/>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w:t>
      </w:r>
    </w:p>
    <w:p>
      <w:pPr>
        <w:pStyle w:val="Heading5"/>
      </w:pPr>
      <w:bookmarkStart w:id="30" w:name="_Toc390071203"/>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1204"/>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1205"/>
      <w:r>
        <w:rPr>
          <w:rStyle w:val="CharDivNo"/>
        </w:rPr>
        <w:t>Division 3</w:t>
      </w:r>
      <w:r>
        <w:t xml:space="preserve"> — </w:t>
      </w:r>
      <w:r>
        <w:rPr>
          <w:rStyle w:val="CharDivText"/>
        </w:rPr>
        <w:t>Penalty tax</w:t>
      </w:r>
      <w:bookmarkEnd w:id="32"/>
    </w:p>
    <w:p>
      <w:pPr>
        <w:pStyle w:val="Heading5"/>
      </w:pPr>
      <w:bookmarkStart w:id="33" w:name="_Toc390071206"/>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1207"/>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1208"/>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1209"/>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1210"/>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1211"/>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1212"/>
      <w:r>
        <w:rPr>
          <w:rStyle w:val="CharDivNo"/>
        </w:rPr>
        <w:t>Division 1</w:t>
      </w:r>
      <w:r>
        <w:t xml:space="preserve"> — </w:t>
      </w:r>
      <w:r>
        <w:rPr>
          <w:rStyle w:val="CharDivText"/>
        </w:rPr>
        <w:t>Procedures and restrictions</w:t>
      </w:r>
      <w:bookmarkEnd w:id="39"/>
    </w:p>
    <w:p>
      <w:pPr>
        <w:pStyle w:val="Heading5"/>
      </w:pPr>
      <w:bookmarkStart w:id="40" w:name="_Toc390071213"/>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1214"/>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1215"/>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1216"/>
      <w:r>
        <w:rPr>
          <w:rStyle w:val="CharDivNo"/>
        </w:rPr>
        <w:t>Division 2</w:t>
      </w:r>
      <w:r>
        <w:t xml:space="preserve"> — </w:t>
      </w:r>
      <w:r>
        <w:rPr>
          <w:rStyle w:val="CharDivText"/>
        </w:rPr>
        <w:t>Objections</w:t>
      </w:r>
      <w:bookmarkEnd w:id="43"/>
    </w:p>
    <w:p>
      <w:pPr>
        <w:pStyle w:val="Heading5"/>
        <w:spacing w:before="200"/>
      </w:pPr>
      <w:bookmarkStart w:id="44" w:name="_Toc390071217"/>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Heading5"/>
      </w:pPr>
      <w:bookmarkStart w:id="45" w:name="_Toc390071218"/>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1219"/>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1220"/>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1221"/>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1222"/>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1223"/>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1224"/>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1225"/>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1226"/>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1227"/>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1228"/>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1229"/>
      <w:r>
        <w:rPr>
          <w:rStyle w:val="CharPartNo"/>
        </w:rPr>
        <w:t>Part 5</w:t>
      </w:r>
      <w:r>
        <w:t xml:space="preserve"> — </w:t>
      </w:r>
      <w:r>
        <w:rPr>
          <w:rStyle w:val="CharPartText"/>
        </w:rPr>
        <w:t>Payment and refund of tax</w:t>
      </w:r>
      <w:bookmarkEnd w:id="56"/>
    </w:p>
    <w:p>
      <w:pPr>
        <w:pStyle w:val="Heading3"/>
      </w:pPr>
      <w:bookmarkStart w:id="57" w:name="_Toc390071230"/>
      <w:r>
        <w:rPr>
          <w:rStyle w:val="CharDivNo"/>
        </w:rPr>
        <w:t>Division 1</w:t>
      </w:r>
      <w:r>
        <w:t xml:space="preserve"> — </w:t>
      </w:r>
      <w:r>
        <w:rPr>
          <w:rStyle w:val="CharDivText"/>
        </w:rPr>
        <w:t>Payment</w:t>
      </w:r>
      <w:bookmarkEnd w:id="57"/>
    </w:p>
    <w:p>
      <w:pPr>
        <w:pStyle w:val="Heading5"/>
      </w:pPr>
      <w:bookmarkStart w:id="58" w:name="_Toc390071231"/>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1232"/>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1233"/>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61" w:name="_Toc390071234"/>
      <w:r>
        <w:rPr>
          <w:rStyle w:val="CharDivNo"/>
        </w:rPr>
        <w:t>Division 2</w:t>
      </w:r>
      <w:r>
        <w:t xml:space="preserve"> — </w:t>
      </w:r>
      <w:r>
        <w:rPr>
          <w:rStyle w:val="CharDivText"/>
        </w:rPr>
        <w:t>Special tax return arrangements</w:t>
      </w:r>
      <w:bookmarkEnd w:id="61"/>
    </w:p>
    <w:p>
      <w:pPr>
        <w:pStyle w:val="Heading5"/>
      </w:pPr>
      <w:bookmarkStart w:id="62" w:name="_Toc390071235"/>
      <w:r>
        <w:rPr>
          <w:rStyle w:val="CharSectno"/>
        </w:rPr>
        <w:t>49</w:t>
      </w:r>
      <w:r>
        <w:t>.</w:t>
      </w:r>
      <w:r>
        <w:tab/>
        <w:t>Approval of special tax return arrangements</w:t>
      </w:r>
      <w:bookmarkEnd w:id="6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3" w:name="_Toc390071236"/>
      <w:r>
        <w:rPr>
          <w:rStyle w:val="CharSectno"/>
        </w:rPr>
        <w:t>50</w:t>
      </w:r>
      <w:r>
        <w:t>.</w:t>
      </w:r>
      <w:r>
        <w:tab/>
        <w:t>Content of special tax return arrangement</w:t>
      </w:r>
      <w:bookmarkEnd w:id="63"/>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w:t>
      </w:r>
    </w:p>
    <w:p>
      <w:pPr>
        <w:pStyle w:val="Indenta"/>
      </w:pPr>
      <w:r>
        <w:tab/>
        <w:t>(b)</w:t>
      </w:r>
      <w:r>
        <w:tab/>
        <w:t>may require compliance with any other obligations imposed under the conditions of the arrangement;</w:t>
      </w:r>
    </w:p>
    <w:p>
      <w:pPr>
        <w:pStyle w:val="Indenta"/>
      </w:pPr>
      <w:r>
        <w:tab/>
        <w:t>(c)</w:t>
      </w:r>
      <w:r>
        <w:tab/>
        <w:t>may exempt the taxpayer or taxpayers covered by the arrangement from compliance with specified administrative requirements of a taxation Act;</w:t>
      </w:r>
    </w:p>
    <w:p>
      <w:pPr>
        <w:pStyle w:val="Indenta"/>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1237"/>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1238"/>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1239"/>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1240"/>
      <w:r>
        <w:rPr>
          <w:rStyle w:val="CharDivNo"/>
        </w:rPr>
        <w:t>Division 3</w:t>
      </w:r>
      <w:r>
        <w:t xml:space="preserve"> — </w:t>
      </w:r>
      <w:r>
        <w:rPr>
          <w:rStyle w:val="CharDivText"/>
        </w:rPr>
        <w:t>Refunds of tax</w:t>
      </w:r>
      <w:bookmarkEnd w:id="67"/>
    </w:p>
    <w:p>
      <w:pPr>
        <w:pStyle w:val="Heading5"/>
      </w:pPr>
      <w:bookmarkStart w:id="68" w:name="_Toc390071241"/>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69" w:name="_Toc390071242"/>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Heading3"/>
        <w:spacing w:before="280"/>
      </w:pPr>
      <w:bookmarkStart w:id="70" w:name="_Toc390071243"/>
      <w:r>
        <w:rPr>
          <w:rStyle w:val="CharDivNo"/>
        </w:rPr>
        <w:t>Division 4</w:t>
      </w:r>
      <w:r>
        <w:t xml:space="preserve"> — </w:t>
      </w:r>
      <w:r>
        <w:rPr>
          <w:rStyle w:val="CharDivText"/>
        </w:rPr>
        <w:t>Power to waive or write off liability</w:t>
      </w:r>
      <w:bookmarkEnd w:id="70"/>
    </w:p>
    <w:p>
      <w:pPr>
        <w:pStyle w:val="Heading5"/>
        <w:spacing w:before="240"/>
      </w:pPr>
      <w:bookmarkStart w:id="71" w:name="_Toc390071244"/>
      <w:r>
        <w:rPr>
          <w:rStyle w:val="CharSectno"/>
        </w:rPr>
        <w:t>56</w:t>
      </w:r>
      <w:r>
        <w:t>.</w:t>
      </w:r>
      <w:r>
        <w:tab/>
        <w:t>Waiver of tax</w:t>
      </w:r>
      <w:bookmarkEnd w:id="71"/>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72" w:name="_Toc390071245"/>
      <w:r>
        <w:rPr>
          <w:rStyle w:val="CharSectno"/>
        </w:rPr>
        <w:t>57</w:t>
      </w:r>
      <w:r>
        <w:t>.</w:t>
      </w:r>
      <w:r>
        <w:tab/>
        <w:t>Writing off tax liability</w:t>
      </w:r>
      <w:bookmarkEnd w:id="72"/>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73" w:name="_Toc390071246"/>
      <w:r>
        <w:rPr>
          <w:rStyle w:val="CharSectno"/>
        </w:rPr>
        <w:t>58</w:t>
      </w:r>
      <w:r>
        <w:t>.</w:t>
      </w:r>
      <w:r>
        <w:tab/>
        <w:t>Powers subject to</w:t>
      </w:r>
      <w:r>
        <w:rPr>
          <w:i/>
        </w:rPr>
        <w:t xml:space="preserve"> Financial Management Act 2006</w:t>
      </w:r>
      <w:bookmarkEnd w:id="7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74" w:name="_Toc390071247"/>
      <w:r>
        <w:rPr>
          <w:rStyle w:val="CharPartNo"/>
        </w:rPr>
        <w:t>Part 6</w:t>
      </w:r>
      <w:r>
        <w:t xml:space="preserve"> — </w:t>
      </w:r>
      <w:r>
        <w:rPr>
          <w:rStyle w:val="CharPartText"/>
        </w:rPr>
        <w:t>Recovery of tax</w:t>
      </w:r>
      <w:bookmarkEnd w:id="74"/>
    </w:p>
    <w:p>
      <w:pPr>
        <w:pStyle w:val="Heading3"/>
      </w:pPr>
      <w:bookmarkStart w:id="75" w:name="_Toc390071248"/>
      <w:r>
        <w:rPr>
          <w:rStyle w:val="CharDivNo"/>
        </w:rPr>
        <w:t>Division 1</w:t>
      </w:r>
      <w:r>
        <w:t xml:space="preserve"> — </w:t>
      </w:r>
      <w:r>
        <w:rPr>
          <w:rStyle w:val="CharDivText"/>
        </w:rPr>
        <w:t>Recovery generally</w:t>
      </w:r>
      <w:bookmarkEnd w:id="75"/>
    </w:p>
    <w:p>
      <w:pPr>
        <w:pStyle w:val="Heading5"/>
      </w:pPr>
      <w:bookmarkStart w:id="76" w:name="_Toc390071249"/>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1250"/>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1251"/>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1252"/>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1253"/>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1254"/>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1255"/>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1256"/>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1257"/>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1258"/>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1259"/>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1260"/>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1261"/>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1262"/>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1263"/>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1264"/>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1265"/>
      <w:r>
        <w:rPr>
          <w:rStyle w:val="CharDivNo"/>
        </w:rPr>
        <w:t>Division 2</w:t>
      </w:r>
      <w:r>
        <w:t xml:space="preserve"> — </w:t>
      </w:r>
      <w:r>
        <w:rPr>
          <w:rStyle w:val="CharDivText"/>
        </w:rPr>
        <w:t>Charges on land</w:t>
      </w:r>
      <w:bookmarkEnd w:id="92"/>
    </w:p>
    <w:p>
      <w:pPr>
        <w:pStyle w:val="Heading5"/>
      </w:pPr>
      <w:bookmarkStart w:id="93" w:name="_Toc390071266"/>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spacing w:before="240"/>
      </w:pPr>
      <w:bookmarkStart w:id="94" w:name="_Toc390071267"/>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 xml:space="preserve">The charge arises on the land referred to in subsection (1), (2) or (3) when the memorial is registered under section 83.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spacing w:before="180"/>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w:t>
      </w:r>
    </w:p>
    <w:p>
      <w:pPr>
        <w:pStyle w:val="Heading5"/>
        <w:spacing w:before="240"/>
      </w:pPr>
      <w:bookmarkStart w:id="95" w:name="_Toc390071268"/>
      <w:r>
        <w:rPr>
          <w:rStyle w:val="CharSectno"/>
        </w:rPr>
        <w:t>78</w:t>
      </w:r>
      <w:r>
        <w:t>.</w:t>
      </w:r>
      <w:r>
        <w:tab/>
        <w:t>Prohibition on dealing with certain charged land</w:t>
      </w:r>
      <w:bookmarkEnd w:id="95"/>
    </w:p>
    <w:p>
      <w:pPr>
        <w:pStyle w:val="Subsection"/>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pPr>
      <w:r>
        <w:tab/>
        <w:t>(2)</w:t>
      </w:r>
      <w:r>
        <w:tab/>
        <w:t xml:space="preserve">The registration of a memorial that prohibits dealing with land does not — </w:t>
      </w:r>
    </w:p>
    <w:p>
      <w:pPr>
        <w:pStyle w:val="Indenta"/>
      </w:pPr>
      <w:r>
        <w:tab/>
        <w:t>(a)</w:t>
      </w:r>
      <w:r>
        <w:tab/>
        <w:t>prevent a person from lodging with the Registrar of Titles an instrument relating to a dealing with the land; or</w:t>
      </w:r>
    </w:p>
    <w:p>
      <w:pPr>
        <w:pStyle w:val="Indenta"/>
      </w:pPr>
      <w:r>
        <w:tab/>
        <w:t>(b)</w:t>
      </w:r>
      <w:r>
        <w:tab/>
        <w:t>prevent the Registrar of Titles from accepting an instrument relating to a dealing with the land.</w:t>
      </w:r>
    </w:p>
    <w:p>
      <w:pPr>
        <w:pStyle w:val="Subsection"/>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240"/>
      </w:pPr>
      <w:bookmarkStart w:id="96" w:name="_Toc390071269"/>
      <w:r>
        <w:rPr>
          <w:rStyle w:val="CharSectno"/>
        </w:rPr>
        <w:t>79</w:t>
      </w:r>
      <w:r>
        <w:t>.</w:t>
      </w:r>
      <w:r>
        <w:tab/>
        <w:t>Priority of charge</w:t>
      </w:r>
      <w:bookmarkEnd w:id="96"/>
    </w:p>
    <w:p>
      <w:pPr>
        <w:pStyle w:val="Subsection"/>
        <w:spacing w:before="180"/>
      </w:pPr>
      <w:r>
        <w:tab/>
        <w:t>(1)</w:t>
      </w:r>
      <w:r>
        <w:tab/>
        <w:t>When a memorial of a charge on land is registered under this Act, the charge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240"/>
      </w:pPr>
      <w:bookmarkStart w:id="97" w:name="_Toc390071270"/>
      <w:r>
        <w:rPr>
          <w:rStyle w:val="CharSectno"/>
        </w:rPr>
        <w:t>80</w:t>
      </w:r>
      <w:r>
        <w:t>.</w:t>
      </w:r>
      <w:r>
        <w:tab/>
        <w:t>Certificate of land tax secured by charge</w:t>
      </w:r>
      <w:bookmarkEnd w:id="97"/>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1271"/>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keepLines/>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1272"/>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1273"/>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1274"/>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1275"/>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1276"/>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1277"/>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1278"/>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1279"/>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1280"/>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1281"/>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1282"/>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1283"/>
      <w:r>
        <w:rPr>
          <w:rStyle w:val="CharPartNo"/>
        </w:rPr>
        <w:t>Part 8</w:t>
      </w:r>
      <w:r>
        <w:t xml:space="preserve"> — </w:t>
      </w:r>
      <w:r>
        <w:rPr>
          <w:rStyle w:val="CharPartText"/>
        </w:rPr>
        <w:t>Investigations</w:t>
      </w:r>
      <w:bookmarkEnd w:id="110"/>
    </w:p>
    <w:p>
      <w:pPr>
        <w:pStyle w:val="Heading3"/>
      </w:pPr>
      <w:bookmarkStart w:id="111" w:name="_Toc390071284"/>
      <w:r>
        <w:rPr>
          <w:rStyle w:val="CharDivNo"/>
        </w:rPr>
        <w:t>Division 1</w:t>
      </w:r>
      <w:r>
        <w:t xml:space="preserve"> — </w:t>
      </w:r>
      <w:r>
        <w:rPr>
          <w:rStyle w:val="CharDivText"/>
        </w:rPr>
        <w:t>Investigations</w:t>
      </w:r>
      <w:bookmarkEnd w:id="111"/>
    </w:p>
    <w:p>
      <w:pPr>
        <w:pStyle w:val="Heading5"/>
      </w:pPr>
      <w:bookmarkStart w:id="112" w:name="_Toc390071285"/>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1286"/>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1287"/>
      <w:r>
        <w:rPr>
          <w:rStyle w:val="CharDivNo"/>
        </w:rPr>
        <w:t>Division 2</w:t>
      </w:r>
      <w:r>
        <w:t xml:space="preserve"> — </w:t>
      </w:r>
      <w:r>
        <w:rPr>
          <w:rStyle w:val="CharDivText"/>
        </w:rPr>
        <w:t>Obtaining tax records and other information</w:t>
      </w:r>
      <w:bookmarkEnd w:id="114"/>
    </w:p>
    <w:p>
      <w:pPr>
        <w:pStyle w:val="Heading5"/>
      </w:pPr>
      <w:bookmarkStart w:id="115" w:name="_Toc390071288"/>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1289"/>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1290"/>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1291"/>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1292"/>
      <w:r>
        <w:rPr>
          <w:rStyle w:val="CharDivNo"/>
        </w:rPr>
        <w:t>Division 3</w:t>
      </w:r>
      <w:r>
        <w:t xml:space="preserve"> — </w:t>
      </w:r>
      <w:r>
        <w:rPr>
          <w:rStyle w:val="CharDivText"/>
        </w:rPr>
        <w:t>Access to premises</w:t>
      </w:r>
      <w:bookmarkEnd w:id="119"/>
    </w:p>
    <w:p>
      <w:pPr>
        <w:pStyle w:val="Heading5"/>
      </w:pPr>
      <w:bookmarkStart w:id="120" w:name="_Toc390071293"/>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1294"/>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1295"/>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1296"/>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1297"/>
      <w:r>
        <w:rPr>
          <w:rStyle w:val="CharDivNo"/>
        </w:rPr>
        <w:t>Division 4</w:t>
      </w:r>
      <w:r>
        <w:t xml:space="preserve"> — </w:t>
      </w:r>
      <w:r>
        <w:rPr>
          <w:rStyle w:val="CharDivText"/>
        </w:rPr>
        <w:t>General provisions</w:t>
      </w:r>
      <w:bookmarkEnd w:id="124"/>
    </w:p>
    <w:p>
      <w:pPr>
        <w:pStyle w:val="Heading5"/>
      </w:pPr>
      <w:bookmarkStart w:id="125" w:name="_Toc390071298"/>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1299"/>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1300"/>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1301"/>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spacing w:before="240"/>
      </w:pPr>
      <w:bookmarkStart w:id="129" w:name="_Toc390071302"/>
      <w:r>
        <w:rPr>
          <w:rStyle w:val="CharSectno"/>
        </w:rPr>
        <w:t>105</w:t>
      </w:r>
      <w:r>
        <w:t>.</w:t>
      </w:r>
      <w:r>
        <w:tab/>
        <w:t>General penalty provision</w:t>
      </w:r>
      <w:bookmarkEnd w:id="129"/>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0" w:name="_Toc390071303"/>
      <w:r>
        <w:rPr>
          <w:rStyle w:val="CharSectno"/>
        </w:rPr>
        <w:t>106</w:t>
      </w:r>
      <w:r>
        <w:t>.</w:t>
      </w:r>
      <w:r>
        <w:tab/>
        <w:t>Evasion of tax</w:t>
      </w:r>
      <w:bookmarkEnd w:id="130"/>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1" w:name="_Toc390071304"/>
      <w:r>
        <w:rPr>
          <w:rStyle w:val="CharSectno"/>
        </w:rPr>
        <w:t>107</w:t>
      </w:r>
      <w:r>
        <w:t>.</w:t>
      </w:r>
      <w:r>
        <w:tab/>
        <w:t>False or misleading information</w:t>
      </w:r>
      <w:bookmarkEnd w:id="131"/>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1305"/>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1306"/>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1307"/>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1308"/>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1309"/>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1310"/>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1311"/>
      <w:r>
        <w:rPr>
          <w:rStyle w:val="CharPartNo"/>
        </w:rPr>
        <w:t>Part 10</w:t>
      </w:r>
      <w:r>
        <w:t xml:space="preserve"> — </w:t>
      </w:r>
      <w:r>
        <w:rPr>
          <w:rStyle w:val="CharPartText"/>
        </w:rPr>
        <w:t>Miscellaneous</w:t>
      </w:r>
      <w:bookmarkEnd w:id="138"/>
    </w:p>
    <w:p>
      <w:pPr>
        <w:pStyle w:val="Heading3"/>
      </w:pPr>
      <w:bookmarkStart w:id="139" w:name="_Toc390071312"/>
      <w:r>
        <w:rPr>
          <w:rStyle w:val="CharDivNo"/>
        </w:rPr>
        <w:t>Division 1</w:t>
      </w:r>
      <w:r>
        <w:t xml:space="preserve"> — </w:t>
      </w:r>
      <w:r>
        <w:rPr>
          <w:rStyle w:val="CharDivText"/>
        </w:rPr>
        <w:t>Confidentiality</w:t>
      </w:r>
      <w:bookmarkEnd w:id="139"/>
    </w:p>
    <w:p>
      <w:pPr>
        <w:pStyle w:val="Heading5"/>
      </w:pPr>
      <w:bookmarkStart w:id="140" w:name="_Toc390071313"/>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1314"/>
      <w:r>
        <w:rPr>
          <w:rStyle w:val="CharDivNo"/>
        </w:rPr>
        <w:t>Division 2</w:t>
      </w:r>
      <w:r>
        <w:t xml:space="preserve"> — </w:t>
      </w:r>
      <w:r>
        <w:rPr>
          <w:rStyle w:val="CharDivText"/>
        </w:rPr>
        <w:t>Service of documents</w:t>
      </w:r>
      <w:bookmarkEnd w:id="141"/>
    </w:p>
    <w:p>
      <w:pPr>
        <w:pStyle w:val="Heading5"/>
      </w:pPr>
      <w:bookmarkStart w:id="142" w:name="_Toc390071315"/>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1316"/>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1317"/>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1318"/>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1319"/>
      <w:r>
        <w:rPr>
          <w:rStyle w:val="CharDivNo"/>
        </w:rPr>
        <w:t>Division 3</w:t>
      </w:r>
      <w:r>
        <w:t xml:space="preserve"> — </w:t>
      </w:r>
      <w:r>
        <w:rPr>
          <w:rStyle w:val="CharDivText"/>
        </w:rPr>
        <w:t>Evidentiary provisions</w:t>
      </w:r>
      <w:bookmarkEnd w:id="146"/>
    </w:p>
    <w:p>
      <w:pPr>
        <w:pStyle w:val="Heading5"/>
      </w:pPr>
      <w:bookmarkStart w:id="147" w:name="_Toc390071320"/>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1321"/>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1322"/>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1323"/>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1324"/>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1325"/>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1326"/>
      <w:r>
        <w:rPr>
          <w:rStyle w:val="CharDivNo"/>
        </w:rPr>
        <w:t>Division 4</w:t>
      </w:r>
      <w:r>
        <w:t xml:space="preserve"> — </w:t>
      </w:r>
      <w:r>
        <w:rPr>
          <w:rStyle w:val="CharDivText"/>
        </w:rPr>
        <w:t>Exemption from personal liability</w:t>
      </w:r>
      <w:bookmarkEnd w:id="153"/>
    </w:p>
    <w:p>
      <w:pPr>
        <w:pStyle w:val="Heading5"/>
      </w:pPr>
      <w:bookmarkStart w:id="154" w:name="_Toc390071327"/>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1328"/>
      <w:r>
        <w:rPr>
          <w:rStyle w:val="CharDivNo"/>
        </w:rPr>
        <w:t>Division 5</w:t>
      </w:r>
      <w:r>
        <w:t xml:space="preserve"> — </w:t>
      </w:r>
      <w:r>
        <w:rPr>
          <w:rStyle w:val="CharDivText"/>
        </w:rPr>
        <w:t>Regulations</w:t>
      </w:r>
      <w:bookmarkEnd w:id="155"/>
    </w:p>
    <w:p>
      <w:pPr>
        <w:pStyle w:val="Heading5"/>
      </w:pPr>
      <w:bookmarkStart w:id="156" w:name="_Toc390071329"/>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1330"/>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0071331"/>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390071332"/>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160" w:name="_Toc390071333"/>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 Jun 2007 (see s. 2(b))</w:t>
            </w:r>
          </w:p>
        </w:tc>
      </w:tr>
      <w:tr>
        <w:trPr>
          <w:cantSplit/>
        </w:trPr>
        <w:tc>
          <w:tcPr>
            <w:tcW w:w="7088" w:type="dxa"/>
            <w:gridSpan w:val="4"/>
            <w:tcBorders>
              <w:bottom w:val="single" w:sz="4" w:space="0" w:color="auto"/>
            </w:tcBorders>
          </w:tcPr>
          <w:p>
            <w:pPr>
              <w:pStyle w:val="nTable"/>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390071334"/>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4" w:space="0" w:color="auto"/>
            </w:tcBorders>
          </w:tcPr>
          <w:p>
            <w:pPr>
              <w:pStyle w:val="nTable"/>
              <w:spacing w:after="40"/>
              <w:rPr>
                <w:sz w:val="19"/>
              </w:rPr>
            </w:pPr>
            <w:r>
              <w:rPr>
                <w:sz w:val="19"/>
              </w:rPr>
              <w:t>1 of 2003</w:t>
            </w:r>
            <w:r>
              <w:rPr>
                <w:sz w:val="19"/>
              </w:rPr>
              <w:br/>
              <w:t>(as amended by No. 55 of 2004)</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c>
          <w:tcPr>
            <w:tcW w:w="2268" w:type="dxa"/>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11</w:t>
            </w:r>
          </w:p>
        </w:tc>
        <w:tc>
          <w:tcPr>
            <w:tcW w:w="1134" w:type="dxa"/>
          </w:tcPr>
          <w:p>
            <w:pPr>
              <w:pStyle w:val="nTable"/>
              <w:spacing w:before="100"/>
              <w:rPr>
                <w:snapToGrid w:val="0"/>
                <w:sz w:val="19"/>
              </w:rPr>
            </w:pPr>
            <w:r>
              <w:rPr>
                <w:snapToGrid w:val="0"/>
                <w:sz w:val="19"/>
              </w:rPr>
              <w:t>24 of 2007</w:t>
            </w:r>
          </w:p>
        </w:tc>
        <w:tc>
          <w:tcPr>
            <w:tcW w:w="1134" w:type="dxa"/>
          </w:tcPr>
          <w:p>
            <w:pPr>
              <w:pStyle w:val="nTable"/>
              <w:spacing w:before="100"/>
              <w:rPr>
                <w:sz w:val="19"/>
              </w:rPr>
            </w:pPr>
            <w:r>
              <w:rPr>
                <w:snapToGrid w:val="0"/>
                <w:sz w:val="19"/>
              </w:rPr>
              <w:t>12 Oct 2007</w:t>
            </w:r>
          </w:p>
        </w:tc>
        <w:tc>
          <w:tcPr>
            <w:tcW w:w="2552" w:type="dxa"/>
          </w:tcPr>
          <w:p>
            <w:pPr>
              <w:pStyle w:val="nTable"/>
              <w:spacing w:before="100"/>
              <w:rPr>
                <w:snapToGrid w:val="0"/>
                <w:sz w:val="19"/>
              </w:rPr>
            </w:pPr>
            <w:r>
              <w:rPr>
                <w:snapToGrid w:val="0"/>
                <w:sz w:val="19"/>
              </w:rPr>
              <w:t>To be proclaimed (s. 2(2))</w:t>
            </w:r>
          </w:p>
        </w:tc>
      </w:tr>
      <w:tr>
        <w:tc>
          <w:tcPr>
            <w:tcW w:w="2268" w:type="dxa"/>
            <w:tcBorders>
              <w:bottom w:val="single" w:sz="4" w:space="0" w:color="auto"/>
            </w:tcBorders>
          </w:tcPr>
          <w:p>
            <w:pPr>
              <w:pStyle w:val="nTable"/>
              <w:keepNext/>
              <w:keepLines/>
              <w:spacing w:before="100"/>
              <w:rPr>
                <w:i/>
                <w:snapToGrid w:val="0"/>
                <w:sz w:val="19"/>
              </w:rPr>
            </w:pPr>
            <w:r>
              <w:rPr>
                <w:i/>
                <w:sz w:val="19"/>
              </w:rPr>
              <w:t>Duties Legislation Amendment Act 2008</w:t>
            </w:r>
            <w:r>
              <w:rPr>
                <w:iCs/>
                <w:sz w:val="19"/>
              </w:rPr>
              <w:t xml:space="preserve"> Pt. 2 Div. 3 </w:t>
            </w:r>
            <w:r>
              <w:rPr>
                <w:iCs/>
                <w:sz w:val="19"/>
                <w:vertAlign w:val="superscript"/>
              </w:rPr>
              <w:t>12</w:t>
            </w:r>
          </w:p>
        </w:tc>
        <w:tc>
          <w:tcPr>
            <w:tcW w:w="1134" w:type="dxa"/>
            <w:tcBorders>
              <w:bottom w:val="single" w:sz="4" w:space="0" w:color="auto"/>
            </w:tcBorders>
          </w:tcPr>
          <w:p>
            <w:pPr>
              <w:pStyle w:val="nTable"/>
              <w:spacing w:before="100"/>
              <w:rPr>
                <w:snapToGrid w:val="0"/>
                <w:sz w:val="19"/>
              </w:rPr>
            </w:pPr>
            <w:r>
              <w:rPr>
                <w:sz w:val="19"/>
              </w:rPr>
              <w:t>12 of 2008</w:t>
            </w:r>
          </w:p>
        </w:tc>
        <w:tc>
          <w:tcPr>
            <w:tcW w:w="1134" w:type="dxa"/>
            <w:tcBorders>
              <w:bottom w:val="single" w:sz="4" w:space="0" w:color="auto"/>
            </w:tcBorders>
          </w:tcPr>
          <w:p>
            <w:pPr>
              <w:pStyle w:val="nTable"/>
              <w:spacing w:before="100"/>
              <w:rPr>
                <w:snapToGrid w:val="0"/>
                <w:sz w:val="19"/>
              </w:rPr>
            </w:pPr>
            <w:r>
              <w:rPr>
                <w:sz w:val="19"/>
              </w:rPr>
              <w:t>14 Apr 2008</w:t>
            </w:r>
          </w:p>
        </w:tc>
        <w:tc>
          <w:tcPr>
            <w:tcW w:w="2552" w:type="dxa"/>
            <w:tcBorders>
              <w:bottom w:val="single" w:sz="4" w:space="0" w:color="auto"/>
            </w:tcBorders>
          </w:tcPr>
          <w:p>
            <w:pPr>
              <w:pStyle w:val="nTable"/>
              <w:spacing w:before="100"/>
              <w:rPr>
                <w:snapToGrid w:val="0"/>
                <w:sz w:val="19"/>
              </w:rPr>
            </w:pPr>
            <w:r>
              <w:rPr>
                <w:sz w:val="19"/>
              </w:rPr>
              <w:t>1 Jul 2008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3</w:t>
      </w:r>
      <w:r>
        <w:rPr>
          <w:snapToGrid w:val="0"/>
        </w:rPr>
        <w:t xml:space="preserve"> had not come into operation.  It reads as follows:</w:t>
      </w:r>
    </w:p>
    <w:p>
      <w:pPr>
        <w:pStyle w:val="MiscOpen"/>
      </w:pPr>
      <w:r>
        <w:t>“</w:t>
      </w:r>
    </w:p>
    <w:p>
      <w:pPr>
        <w:pStyle w:val="nzHeading2"/>
      </w:pPr>
      <w:r>
        <w:rPr>
          <w:rStyle w:val="CharPartNo"/>
        </w:rPr>
        <w:t>Part 2</w:t>
      </w:r>
      <w:r>
        <w:t> — </w:t>
      </w:r>
      <w:r>
        <w:rPr>
          <w:rStyle w:val="CharPartText"/>
        </w:rPr>
        <w:t>Amendments</w:t>
      </w:r>
    </w:p>
    <w:p>
      <w:pPr>
        <w:pStyle w:val="nzHeading3"/>
      </w:pPr>
      <w:r>
        <w:rPr>
          <w:rStyle w:val="CharDivNo"/>
        </w:rPr>
        <w:t>Division 3</w:t>
      </w:r>
      <w:r>
        <w:t> — </w:t>
      </w:r>
      <w:r>
        <w:rPr>
          <w:rStyle w:val="CharDivText"/>
          <w:i/>
          <w:iCs/>
        </w:rPr>
        <w:t xml:space="preserve">Taxation Administration Act 2003 </w:t>
      </w:r>
      <w:r>
        <w:rPr>
          <w:rStyle w:val="CharDivText"/>
        </w:rPr>
        <w:t>amended</w:t>
      </w:r>
    </w:p>
    <w:p>
      <w:pPr>
        <w:pStyle w:val="nzHeading5"/>
        <w:rPr>
          <w:snapToGrid w:val="0"/>
        </w:rPr>
      </w:pPr>
      <w:r>
        <w:rPr>
          <w:rStyle w:val="CharSectno"/>
        </w:rPr>
        <w:t>33</w:t>
      </w:r>
      <w:r>
        <w:rPr>
          <w:snapToGrid w:val="0"/>
        </w:rPr>
        <w:t>.</w:t>
      </w:r>
      <w:r>
        <w:rPr>
          <w:snapToGrid w:val="0"/>
        </w:rPr>
        <w:tab/>
        <w:t>The Act amended in this Division</w:t>
      </w:r>
    </w:p>
    <w:p>
      <w:pPr>
        <w:pStyle w:val="nzSubsection"/>
      </w:pPr>
      <w:r>
        <w:tab/>
      </w:r>
      <w:r>
        <w:tab/>
        <w:t xml:space="preserve">The amendments in this Division are to the </w:t>
      </w:r>
      <w:r>
        <w:rPr>
          <w:i/>
        </w:rPr>
        <w:t>Taxation Administration Act 2003</w:t>
      </w:r>
      <w:r>
        <w:t>.</w:t>
      </w:r>
    </w:p>
    <w:p>
      <w:pPr>
        <w:pStyle w:val="nzHeading5"/>
      </w:pPr>
      <w:r>
        <w:rPr>
          <w:rStyle w:val="CharSectno"/>
        </w:rPr>
        <w:t>34</w:t>
      </w:r>
      <w:r>
        <w:t>.</w:t>
      </w:r>
      <w:r>
        <w:tab/>
        <w:t>Section 3 amended</w:t>
      </w:r>
    </w:p>
    <w:p>
      <w:pPr>
        <w:pStyle w:val="nzSubsection"/>
      </w:pPr>
      <w:r>
        <w:tab/>
      </w:r>
      <w:r>
        <w:tab/>
        <w:t>After section 3(1)(c) the following paragraph is inserted —</w:t>
      </w:r>
    </w:p>
    <w:p>
      <w:pPr>
        <w:pStyle w:val="nzSubsection"/>
      </w:pPr>
      <w:r>
        <w:tab/>
      </w:r>
      <w:r>
        <w:tab/>
        <w:t xml:space="preserve">“    </w:t>
      </w:r>
      <w:r>
        <w:tab/>
        <w:t>(ca)</w:t>
      </w:r>
      <w:r>
        <w:tab/>
        <w:t xml:space="preserve">the </w:t>
      </w:r>
      <w:r>
        <w:rPr>
          <w:i/>
          <w:iCs/>
        </w:rPr>
        <w:t>Duties Act 2008</w:t>
      </w:r>
      <w:r>
        <w:t>;    ”.</w:t>
      </w:r>
    </w:p>
    <w:p>
      <w:pPr>
        <w:pStyle w:val="nzHeading5"/>
      </w:pPr>
      <w:r>
        <w:rPr>
          <w:rStyle w:val="CharSectno"/>
        </w:rPr>
        <w:t>35</w:t>
      </w:r>
      <w:r>
        <w:t>.</w:t>
      </w:r>
      <w:r>
        <w:tab/>
        <w:t>Section 18 amended</w:t>
      </w:r>
    </w:p>
    <w:p>
      <w:pPr>
        <w:pStyle w:val="nzSubsection"/>
      </w:pPr>
      <w:r>
        <w:tab/>
      </w:r>
      <w:r>
        <w:tab/>
        <w:t xml:space="preserve">Section 18(3) is repealed and the following subsection is inserted instead — </w:t>
      </w:r>
    </w:p>
    <w:p>
      <w:pPr>
        <w:pStyle w:val="MiscOpen"/>
        <w:spacing w:before="60"/>
        <w:ind w:left="601"/>
      </w:pPr>
      <w:r>
        <w:t xml:space="preserve">“    </w:t>
      </w:r>
    </w:p>
    <w:p>
      <w:pPr>
        <w:pStyle w:val="nzSubsection"/>
      </w:pPr>
      <w:r>
        <w:tab/>
        <w:t>(3)</w:t>
      </w:r>
      <w:r>
        <w:tab/>
        <w:t xml:space="preserve">If tax payable on — </w:t>
      </w:r>
    </w:p>
    <w:p>
      <w:pPr>
        <w:pStyle w:val="nzIndenta"/>
      </w:pPr>
      <w:r>
        <w:tab/>
        <w:t>(a)</w:t>
      </w:r>
      <w:r>
        <w:tab/>
        <w:t>an instrument; or</w:t>
      </w:r>
    </w:p>
    <w:p>
      <w:pPr>
        <w:pStyle w:val="nzIndenta"/>
        <w:keepNext/>
        <w:keepLines/>
      </w:pPr>
      <w:r>
        <w:tab/>
        <w:t>(b)</w:t>
      </w:r>
      <w:r>
        <w:tab/>
        <w:t>a transaction or event that an instrument effects or records,</w:t>
      </w:r>
    </w:p>
    <w:p>
      <w:pPr>
        <w:pStyle w:val="nz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MiscClose"/>
      </w:pPr>
      <w:r>
        <w:t xml:space="preserve">    ”.</w:t>
      </w:r>
    </w:p>
    <w:p>
      <w:pPr>
        <w:pStyle w:val="nzHeading5"/>
      </w:pPr>
      <w:r>
        <w:rPr>
          <w:rStyle w:val="CharSectno"/>
        </w:rPr>
        <w:t>36</w:t>
      </w:r>
      <w:r>
        <w:t>.</w:t>
      </w:r>
      <w:r>
        <w:tab/>
        <w:t>Section 20 amended</w:t>
      </w:r>
    </w:p>
    <w:p>
      <w:pPr>
        <w:pStyle w:val="nzSubsection"/>
      </w:pPr>
      <w:r>
        <w:tab/>
        <w:t>(1)</w:t>
      </w:r>
      <w:r>
        <w:tab/>
        <w:t>Section 20(2) is amended as follows:</w:t>
      </w:r>
    </w:p>
    <w:p>
      <w:pPr>
        <w:pStyle w:val="nzIndenta"/>
      </w:pPr>
      <w:r>
        <w:tab/>
        <w:t>(a)</w:t>
      </w:r>
      <w:r>
        <w:tab/>
        <w:t xml:space="preserve">by deleting “on an instrument required to be lodged under a taxation Act, but the instrument has not been lodged as required” and inserting instead — </w:t>
      </w:r>
    </w:p>
    <w:p>
      <w:pPr>
        <w:pStyle w:val="MiscOpen"/>
        <w:spacing w:before="40"/>
        <w:ind w:left="879"/>
      </w:pPr>
      <w:r>
        <w:t xml:space="preserve">“    </w:t>
      </w:r>
    </w:p>
    <w:p>
      <w:pPr>
        <w:pStyle w:val="nzSubsection"/>
      </w:pPr>
      <w:r>
        <w:tab/>
      </w:r>
      <w:r>
        <w:tab/>
        <w:t>but an instrument has not been lodged as required under a taxation Act</w:t>
      </w:r>
    </w:p>
    <w:p>
      <w:pPr>
        <w:pStyle w:val="MiscClose"/>
      </w:pPr>
      <w:r>
        <w:t xml:space="preserve">    ”;</w:t>
      </w:r>
    </w:p>
    <w:p>
      <w:pPr>
        <w:pStyle w:val="nzIndenta"/>
      </w:pPr>
      <w:r>
        <w:tab/>
        <w:t>(b)</w:t>
      </w:r>
      <w:r>
        <w:tab/>
        <w:t>in paragraph (b) by deleting “if a copy of the instrument is not available —”.</w:t>
      </w:r>
    </w:p>
    <w:p>
      <w:pPr>
        <w:pStyle w:val="nzSubsection"/>
      </w:pPr>
      <w:r>
        <w:tab/>
        <w:t>(2)</w:t>
      </w:r>
      <w:r>
        <w:tab/>
        <w:t xml:space="preserve">Section 20(3) is repealed and the following subsection is inserted instead — </w:t>
      </w:r>
    </w:p>
    <w:p>
      <w:pPr>
        <w:pStyle w:val="MiscOpen"/>
        <w:ind w:left="600"/>
      </w:pPr>
      <w:r>
        <w:t xml:space="preserve">“    </w:t>
      </w:r>
    </w:p>
    <w:p>
      <w:pPr>
        <w:pStyle w:val="nzSubsection"/>
      </w:pPr>
      <w:r>
        <w:tab/>
        <w:t>(3)</w:t>
      </w:r>
      <w:r>
        <w:tab/>
        <w:t>A memorandum created under subsection (1)(a) or (2)(b) is taken to be the instrument and to have been lodged by the person required to lodge it under the taxation Act.</w:t>
      </w:r>
    </w:p>
    <w:p>
      <w:pPr>
        <w:pStyle w:val="MiscClose"/>
      </w:pPr>
      <w:r>
        <w:t xml:space="preserve">    ”.</w:t>
      </w:r>
    </w:p>
    <w:p>
      <w:pPr>
        <w:pStyle w:val="nzSubsection"/>
      </w:pPr>
      <w:r>
        <w:tab/>
        <w:t>(3)</w:t>
      </w:r>
      <w:r>
        <w:tab/>
        <w:t xml:space="preserve">Section 20(4) is amended by deleting “, (2)(b) or (3)” and inserting instead — </w:t>
      </w:r>
    </w:p>
    <w:p>
      <w:pPr>
        <w:pStyle w:val="nzSubsection"/>
      </w:pPr>
      <w:r>
        <w:tab/>
      </w:r>
      <w:r>
        <w:tab/>
        <w:t>“    or (2)(b)    ”.</w:t>
      </w:r>
    </w:p>
    <w:p>
      <w:pPr>
        <w:pStyle w:val="nzSubsection"/>
      </w:pPr>
      <w:r>
        <w:tab/>
        <w:t>(4)</w:t>
      </w:r>
      <w:r>
        <w:tab/>
        <w:t xml:space="preserve">Section 20(5) and (6) are repealed and the following subsections are inserted instead — </w:t>
      </w:r>
    </w:p>
    <w:p>
      <w:pPr>
        <w:pStyle w:val="MiscOpen"/>
        <w:ind w:left="600"/>
      </w:pPr>
      <w:r>
        <w:t xml:space="preserve">“    </w:t>
      </w:r>
    </w:p>
    <w:p>
      <w:pPr>
        <w:pStyle w:val="nzSubsection"/>
      </w:pPr>
      <w:r>
        <w:tab/>
        <w:t>(5)</w:t>
      </w:r>
      <w:r>
        <w:tab/>
        <w:t>The copy or memorandum may be endorsed to indicate the payment of tax.</w:t>
      </w:r>
    </w:p>
    <w:p>
      <w:pPr>
        <w:pStyle w:val="nzSubsection"/>
      </w:pPr>
      <w:r>
        <w:tab/>
        <w:t>(6)</w:t>
      </w:r>
      <w:r>
        <w:tab/>
        <w:t>The validity of an assessment and the liability to pay tax do not depend on the availability of an instrument or a copy of an instrument, or on the creation of a memorandum of an instrument.</w:t>
      </w:r>
    </w:p>
    <w:p>
      <w:pPr>
        <w:pStyle w:val="MiscClose"/>
      </w:pPr>
      <w:r>
        <w:t xml:space="preserve">    ”.</w:t>
      </w:r>
    </w:p>
    <w:p>
      <w:pPr>
        <w:pStyle w:val="nzHeading5"/>
      </w:pPr>
      <w:r>
        <w:rPr>
          <w:rStyle w:val="CharSectno"/>
        </w:rPr>
        <w:t>37</w:t>
      </w:r>
      <w:r>
        <w:t>.</w:t>
      </w:r>
      <w:r>
        <w:tab/>
        <w:t>Section 23 amended</w:t>
      </w:r>
    </w:p>
    <w:p>
      <w:pPr>
        <w:pStyle w:val="nzSubsection"/>
      </w:pPr>
      <w:r>
        <w:tab/>
      </w:r>
      <w:r>
        <w:tab/>
        <w:t xml:space="preserve">Section 23(2) is amended by deleting paragraph (b) and “or” after it and inserting instead — </w:t>
      </w:r>
    </w:p>
    <w:p>
      <w:pPr>
        <w:pStyle w:val="MiscOpen"/>
        <w:ind w:left="1340"/>
      </w:pPr>
      <w:r>
        <w:t xml:space="preserve">“    </w:t>
      </w:r>
    </w:p>
    <w:p>
      <w:pPr>
        <w:pStyle w:val="nz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MiscClose"/>
      </w:pPr>
      <w:r>
        <w:t xml:space="preserve">    ”.</w:t>
      </w:r>
    </w:p>
    <w:p>
      <w:pPr>
        <w:pStyle w:val="nzHeading5"/>
      </w:pPr>
      <w:r>
        <w:rPr>
          <w:rStyle w:val="CharSectno"/>
        </w:rPr>
        <w:t>38</w:t>
      </w:r>
      <w:r>
        <w:t>.</w:t>
      </w:r>
      <w:r>
        <w:tab/>
        <w:t>Section 24 amended</w:t>
      </w:r>
    </w:p>
    <w:p>
      <w:pPr>
        <w:pStyle w:val="nzSubsection"/>
      </w:pPr>
      <w:r>
        <w:tab/>
      </w:r>
      <w:r>
        <w:tab/>
        <w:t xml:space="preserve">After section 24(1) the following subsection is inserted — </w:t>
      </w:r>
    </w:p>
    <w:p>
      <w:pPr>
        <w:pStyle w:val="MiscOpen"/>
        <w:ind w:left="600"/>
      </w:pPr>
      <w:r>
        <w:t xml:space="preserve">“    </w:t>
      </w:r>
    </w:p>
    <w:p>
      <w:pPr>
        <w:pStyle w:val="nzSubsection"/>
      </w:pPr>
      <w:r>
        <w:tab/>
        <w:t>(1a)</w:t>
      </w:r>
      <w:r>
        <w:tab/>
        <w:t>An assessment notice must set out the date on which it is issued.</w:t>
      </w:r>
    </w:p>
    <w:p>
      <w:pPr>
        <w:pStyle w:val="MiscClose"/>
      </w:pPr>
      <w:r>
        <w:t xml:space="preserve">    ”.</w:t>
      </w:r>
    </w:p>
    <w:p>
      <w:pPr>
        <w:pStyle w:val="nzHeading5"/>
      </w:pPr>
      <w:r>
        <w:rPr>
          <w:rStyle w:val="CharSectno"/>
        </w:rPr>
        <w:t>39</w:t>
      </w:r>
      <w:r>
        <w:t>.</w:t>
      </w:r>
      <w:r>
        <w:tab/>
        <w:t>Section 34 amended</w:t>
      </w:r>
    </w:p>
    <w:p>
      <w:pPr>
        <w:pStyle w:val="nzSubsection"/>
      </w:pPr>
      <w:r>
        <w:tab/>
        <w:t>(1)</w:t>
      </w:r>
      <w:r>
        <w:tab/>
        <w:t>Section 34(1) is amended after paragraph (b) by deleting the full stop and inserting —</w:t>
      </w:r>
    </w:p>
    <w:p>
      <w:pPr>
        <w:pStyle w:val="MiscOpen"/>
        <w:ind w:left="1620"/>
      </w:pPr>
      <w:r>
        <w:t xml:space="preserve">“    </w:t>
      </w:r>
    </w:p>
    <w:p>
      <w:pPr>
        <w:pStyle w:val="nzIndenta"/>
      </w:pPr>
      <w:r>
        <w:tab/>
      </w:r>
      <w:r>
        <w:tab/>
        <w:t>; or</w:t>
      </w:r>
    </w:p>
    <w:p>
      <w:pPr>
        <w:pStyle w:val="nz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nz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MiscClose"/>
      </w:pPr>
      <w:r>
        <w:t xml:space="preserve">    ”.</w:t>
      </w:r>
    </w:p>
    <w:p>
      <w:pPr>
        <w:pStyle w:val="nzSubsection"/>
      </w:pPr>
      <w:r>
        <w:tab/>
        <w:t>(2)</w:t>
      </w:r>
      <w:r>
        <w:tab/>
        <w:t xml:space="preserve">Section 34(2)(b) is deleted and the following paragraph is inserted instead — </w:t>
      </w:r>
    </w:p>
    <w:p>
      <w:pPr>
        <w:pStyle w:val="MiscOpen"/>
        <w:ind w:left="1340"/>
      </w:pPr>
      <w:r>
        <w:t xml:space="preserve">“    </w:t>
      </w:r>
    </w:p>
    <w:p>
      <w:pPr>
        <w:pStyle w:val="nz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MiscClose"/>
      </w:pPr>
      <w:r>
        <w:t xml:space="preserve">    ”.</w:t>
      </w:r>
    </w:p>
    <w:p>
      <w:pPr>
        <w:pStyle w:val="nzHeading5"/>
      </w:pPr>
      <w:r>
        <w:rPr>
          <w:rStyle w:val="CharSectno"/>
        </w:rPr>
        <w:t>40</w:t>
      </w:r>
      <w:r>
        <w:t>.</w:t>
      </w:r>
      <w:r>
        <w:tab/>
        <w:t>Section 36 amended</w:t>
      </w:r>
    </w:p>
    <w:p>
      <w:pPr>
        <w:pStyle w:val="nzSubsection"/>
        <w:spacing w:before="160"/>
      </w:pPr>
      <w:r>
        <w:tab/>
      </w:r>
      <w:r>
        <w:tab/>
        <w:t>Section 36(1)(b) is amended as follows:</w:t>
      </w:r>
    </w:p>
    <w:p>
      <w:pPr>
        <w:pStyle w:val="nzIndenta"/>
      </w:pPr>
      <w:r>
        <w:tab/>
        <w:t>(a)</w:t>
      </w:r>
      <w:r>
        <w:tab/>
        <w:t xml:space="preserve">by deleting “denoted by stamping” and inserting instead — </w:t>
      </w:r>
    </w:p>
    <w:p>
      <w:pPr>
        <w:pStyle w:val="nzIndenta"/>
      </w:pPr>
      <w:r>
        <w:tab/>
      </w:r>
      <w:r>
        <w:tab/>
        <w:t>“    indicated by endorsement    ”;</w:t>
      </w:r>
    </w:p>
    <w:p>
      <w:pPr>
        <w:pStyle w:val="nzIndenta"/>
      </w:pPr>
      <w:r>
        <w:tab/>
        <w:t>(b)</w:t>
      </w:r>
      <w:r>
        <w:tab/>
        <w:t xml:space="preserve">by deleting “stamped” and inserting instead — </w:t>
      </w:r>
    </w:p>
    <w:p>
      <w:pPr>
        <w:pStyle w:val="nzIndenta"/>
      </w:pPr>
      <w:r>
        <w:tab/>
      </w:r>
      <w:r>
        <w:tab/>
        <w:t>“    endorsed    ”.</w:t>
      </w:r>
    </w:p>
    <w:p>
      <w:pPr>
        <w:pStyle w:val="nzHeading5"/>
      </w:pPr>
      <w:r>
        <w:rPr>
          <w:rStyle w:val="CharSectno"/>
        </w:rPr>
        <w:t>41</w:t>
      </w:r>
      <w:r>
        <w:t>.</w:t>
      </w:r>
      <w:r>
        <w:tab/>
        <w:t>Section 43 amended</w:t>
      </w:r>
    </w:p>
    <w:p>
      <w:pPr>
        <w:pStyle w:val="nzSubsection"/>
      </w:pPr>
      <w:r>
        <w:tab/>
      </w:r>
      <w:r>
        <w:tab/>
        <w:t xml:space="preserve">Section 43(2) is amended by inserting before “the </w:t>
      </w:r>
      <w:r>
        <w:rPr>
          <w:i/>
          <w:iCs/>
        </w:rPr>
        <w:t>Pay</w:t>
      </w:r>
      <w:r>
        <w:rPr>
          <w:i/>
          <w:iCs/>
        </w:rPr>
        <w:noBreakHyphen/>
        <w:t>roll</w:t>
      </w:r>
      <w:r>
        <w:t xml:space="preserve">” — </w:t>
      </w:r>
    </w:p>
    <w:p>
      <w:pPr>
        <w:pStyle w:val="nzSubsection"/>
      </w:pPr>
      <w:r>
        <w:tab/>
      </w:r>
      <w:r>
        <w:tab/>
        <w:t xml:space="preserve">“    the </w:t>
      </w:r>
      <w:r>
        <w:rPr>
          <w:i/>
          <w:iCs/>
        </w:rPr>
        <w:t>Duties Act 2008</w:t>
      </w:r>
      <w:r>
        <w:t>,    ”.</w:t>
      </w:r>
    </w:p>
    <w:p>
      <w:pPr>
        <w:pStyle w:val="nzHeading5"/>
      </w:pPr>
      <w:r>
        <w:rPr>
          <w:rStyle w:val="CharSectno"/>
        </w:rPr>
        <w:t>42</w:t>
      </w:r>
      <w:r>
        <w:t>.</w:t>
      </w:r>
      <w:r>
        <w:tab/>
        <w:t>Section 50 amended</w:t>
      </w:r>
    </w:p>
    <w:p>
      <w:pPr>
        <w:pStyle w:val="nzSubsection"/>
        <w:spacing w:before="160"/>
      </w:pPr>
      <w:r>
        <w:tab/>
      </w:r>
      <w:r>
        <w:tab/>
        <w:t>Section 50(1) is amended as follows:</w:t>
      </w:r>
    </w:p>
    <w:p>
      <w:pPr>
        <w:pStyle w:val="nzIndenta"/>
      </w:pPr>
      <w:r>
        <w:tab/>
        <w:t>(a)</w:t>
      </w:r>
      <w:r>
        <w:tab/>
        <w:t xml:space="preserve">by deleting paragraph (d) and inserting instead — </w:t>
      </w:r>
    </w:p>
    <w:p>
      <w:pPr>
        <w:pStyle w:val="MiscOpen"/>
        <w:ind w:left="1340"/>
      </w:pPr>
      <w:r>
        <w:t xml:space="preserve">“    </w:t>
      </w:r>
    </w:p>
    <w:p>
      <w:pPr>
        <w:pStyle w:val="nzIndenta"/>
      </w:pPr>
      <w:r>
        <w:tab/>
        <w:t>(d)</w:t>
      </w:r>
      <w:r>
        <w:tab/>
        <w:t>may provide for the endorsement or certification of instruments to indicate the amount of tax paid or payable under the special tax return arrangement, or to indicate that tax is not payable; and</w:t>
      </w:r>
    </w:p>
    <w:p>
      <w:pPr>
        <w:pStyle w:val="MiscClose"/>
      </w:pPr>
      <w:r>
        <w:t xml:space="preserve">    ”;</w:t>
      </w:r>
    </w:p>
    <w:p>
      <w:pPr>
        <w:pStyle w:val="nzIndenta"/>
      </w:pPr>
      <w:r>
        <w:tab/>
        <w:t>(b)</w:t>
      </w:r>
      <w:r>
        <w:tab/>
        <w:t xml:space="preserve">in paragraph (g) by deleting “cancel a stamp duty certificate issued by the party under the arrangement and issue a replacement certificate to give” and inserting instead — </w:t>
      </w:r>
    </w:p>
    <w:p>
      <w:pPr>
        <w:pStyle w:val="nzIndenta"/>
      </w:pPr>
      <w:r>
        <w:tab/>
      </w:r>
      <w:r>
        <w:tab/>
        <w:t>“    do things for the purpose of giving    ”;</w:t>
      </w:r>
    </w:p>
    <w:p>
      <w:pPr>
        <w:pStyle w:val="nzIndenta"/>
      </w:pPr>
      <w:r>
        <w:tab/>
        <w:t>(c)</w:t>
      </w:r>
      <w:r>
        <w:tab/>
        <w:t xml:space="preserve">after each of paragraphs (a), (b), (c) and (e) by inserting — </w:t>
      </w:r>
    </w:p>
    <w:p>
      <w:pPr>
        <w:pStyle w:val="nzIndenta"/>
      </w:pPr>
      <w:r>
        <w:tab/>
      </w:r>
      <w:r>
        <w:tab/>
        <w:t>“    and    ”.</w:t>
      </w:r>
    </w:p>
    <w:p>
      <w:pPr>
        <w:pStyle w:val="nzHeading5"/>
      </w:pPr>
      <w:r>
        <w:rPr>
          <w:rStyle w:val="CharSectno"/>
        </w:rPr>
        <w:t>43</w:t>
      </w:r>
      <w:r>
        <w:t>.</w:t>
      </w:r>
      <w:r>
        <w:tab/>
        <w:t>Section 51 replaced</w:t>
      </w:r>
    </w:p>
    <w:p>
      <w:pPr>
        <w:pStyle w:val="nzSubsection"/>
        <w:spacing w:before="160"/>
      </w:pPr>
      <w:r>
        <w:tab/>
      </w:r>
      <w:r>
        <w:tab/>
        <w:t xml:space="preserve">Section 51 is repealed and the following section is inserted instead — </w:t>
      </w:r>
    </w:p>
    <w:p>
      <w:pPr>
        <w:pStyle w:val="MiscOpen"/>
        <w:spacing w:before="160"/>
      </w:pPr>
      <w:r>
        <w:t xml:space="preserve">“    </w:t>
      </w:r>
    </w:p>
    <w:p>
      <w:pPr>
        <w:pStyle w:val="nzHeading5"/>
      </w:pPr>
      <w:r>
        <w:t>51.</w:t>
      </w:r>
      <w:r>
        <w:tab/>
        <w:t>Improper endorsement or certification of an instrument</w:t>
      </w:r>
    </w:p>
    <w:p>
      <w:pPr>
        <w:pStyle w:val="nzSubsection"/>
        <w:spacing w:before="160"/>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nzPenstart"/>
      </w:pPr>
      <w:r>
        <w:tab/>
        <w:t>Penalty: $20 000.</w:t>
      </w:r>
    </w:p>
    <w:p>
      <w:pPr>
        <w:pStyle w:val="MiscClose"/>
      </w:pPr>
      <w:r>
        <w:t xml:space="preserve">    ”.</w:t>
      </w:r>
    </w:p>
    <w:p>
      <w:pPr>
        <w:pStyle w:val="nzHeading5"/>
      </w:pPr>
      <w:r>
        <w:rPr>
          <w:rStyle w:val="CharSectno"/>
        </w:rPr>
        <w:t>44</w:t>
      </w:r>
      <w:r>
        <w:t>.</w:t>
      </w:r>
      <w:r>
        <w:tab/>
        <w:t>Section 55 amended</w:t>
      </w:r>
    </w:p>
    <w:p>
      <w:pPr>
        <w:pStyle w:val="nzSubsection"/>
      </w:pPr>
      <w:r>
        <w:tab/>
      </w:r>
      <w:r>
        <w:tab/>
        <w:t xml:space="preserve">After section 55(1)(b) the following paragraph is inserted — </w:t>
      </w:r>
    </w:p>
    <w:p>
      <w:pPr>
        <w:pStyle w:val="MiscOpen"/>
        <w:ind w:left="1340"/>
      </w:pPr>
      <w:r>
        <w:t xml:space="preserve">“    </w:t>
      </w:r>
    </w:p>
    <w:p>
      <w:pPr>
        <w:pStyle w:val="nzIndenta"/>
      </w:pPr>
      <w:r>
        <w:tab/>
        <w:t>(ba)</w:t>
      </w:r>
      <w:r>
        <w:tab/>
        <w:t xml:space="preserve">duty payable under the </w:t>
      </w:r>
      <w:r>
        <w:rPr>
          <w:i/>
          <w:iCs/>
        </w:rPr>
        <w:t>Duties Act 2008</w:t>
      </w:r>
      <w:r>
        <w:t xml:space="preserve"> Chapter 4;</w:t>
      </w:r>
    </w:p>
    <w:p>
      <w:pPr>
        <w:pStyle w:val="MiscClose"/>
      </w:pPr>
      <w:r>
        <w:t xml:space="preserve">    ”.</w:t>
      </w:r>
    </w:p>
    <w:p>
      <w:pPr>
        <w:pStyle w:val="nzHeading5"/>
      </w:pPr>
      <w:r>
        <w:rPr>
          <w:rStyle w:val="CharSectno"/>
        </w:rPr>
        <w:t>45</w:t>
      </w:r>
      <w:r>
        <w:t>.</w:t>
      </w:r>
      <w:r>
        <w:tab/>
        <w:t>Section 77A inserted</w:t>
      </w:r>
    </w:p>
    <w:p>
      <w:pPr>
        <w:pStyle w:val="nzSubsection"/>
      </w:pPr>
      <w:r>
        <w:tab/>
      </w:r>
      <w:r>
        <w:tab/>
        <w:t xml:space="preserve">After section 77 the following section is inserted — </w:t>
      </w:r>
    </w:p>
    <w:p>
      <w:pPr>
        <w:pStyle w:val="MiscOpen"/>
      </w:pPr>
      <w:r>
        <w:t xml:space="preserve">“    </w:t>
      </w:r>
    </w:p>
    <w:p>
      <w:pPr>
        <w:pStyle w:val="nzHeading5"/>
      </w:pPr>
      <w:r>
        <w:t>77A.</w:t>
      </w:r>
      <w:r>
        <w:tab/>
        <w:t>Charge on land to secure transfer duty or landholder duty</w:t>
      </w:r>
    </w:p>
    <w:p>
      <w:pPr>
        <w:pStyle w:val="nzSubsection"/>
      </w:pPr>
      <w:r>
        <w:tab/>
        <w:t>(1)</w:t>
      </w:r>
      <w:r>
        <w:tab/>
        <w:t xml:space="preserve">In this section — </w:t>
      </w:r>
    </w:p>
    <w:p>
      <w:pPr>
        <w:pStyle w:val="nzDefstart"/>
      </w:pPr>
      <w:r>
        <w:rPr>
          <w:b/>
        </w:rPr>
        <w:tab/>
        <w:t>“</w:t>
      </w:r>
      <w:r>
        <w:rPr>
          <w:rStyle w:val="CharDefText"/>
        </w:rPr>
        <w:t>landholder</w:t>
      </w:r>
      <w:r>
        <w:rPr>
          <w:b/>
        </w:rPr>
        <w:t>”</w:t>
      </w:r>
      <w:r>
        <w:t xml:space="preserve"> and </w:t>
      </w:r>
      <w:r>
        <w:rPr>
          <w:b/>
        </w:rPr>
        <w:t>“</w:t>
      </w:r>
      <w:r>
        <w:rPr>
          <w:rStyle w:val="CharDefText"/>
        </w:rPr>
        <w:t>linked entity</w:t>
      </w:r>
      <w:r>
        <w:rPr>
          <w:b/>
        </w:rPr>
        <w:t>”</w:t>
      </w:r>
      <w:r>
        <w:t xml:space="preserve"> have the meanings given in the </w:t>
      </w:r>
      <w:r>
        <w:rPr>
          <w:i/>
          <w:iCs/>
        </w:rPr>
        <w:t>Duties Act 2008</w:t>
      </w:r>
      <w:r>
        <w:t xml:space="preserve"> section 148;</w:t>
      </w:r>
    </w:p>
    <w:p>
      <w:pPr>
        <w:pStyle w:val="nzDefstart"/>
      </w:pPr>
      <w:r>
        <w:rPr>
          <w:b/>
        </w:rPr>
        <w:tab/>
        <w:t>“</w:t>
      </w:r>
      <w:r>
        <w:rPr>
          <w:rStyle w:val="CharDefText"/>
        </w:rPr>
        <w:t>landholder duty</w:t>
      </w:r>
      <w:r>
        <w:rPr>
          <w:b/>
        </w:rPr>
        <w:t>”</w:t>
      </w:r>
      <w:r>
        <w:t xml:space="preserve"> means duty under the </w:t>
      </w:r>
      <w:r>
        <w:rPr>
          <w:i/>
          <w:iCs/>
        </w:rPr>
        <w:t>Duties Act 2008</w:t>
      </w:r>
      <w:r>
        <w:t xml:space="preserve"> Chapter 3;</w:t>
      </w:r>
    </w:p>
    <w:p>
      <w:pPr>
        <w:pStyle w:val="nzDefstart"/>
      </w:pPr>
      <w:r>
        <w:rPr>
          <w:b/>
        </w:rPr>
        <w:tab/>
        <w:t>“</w:t>
      </w:r>
      <w:r>
        <w:rPr>
          <w:rStyle w:val="CharDefText"/>
        </w:rPr>
        <w:t>lodge</w:t>
      </w:r>
      <w:r>
        <w:rPr>
          <w:b/>
        </w:rPr>
        <w:t>”</w:t>
      </w:r>
      <w:r>
        <w:t xml:space="preserve"> means to lodge with the Registrar of Titles;</w:t>
      </w:r>
    </w:p>
    <w:p>
      <w:pPr>
        <w:pStyle w:val="nzDefstart"/>
      </w:pPr>
      <w:r>
        <w:rPr>
          <w:b/>
        </w:rPr>
        <w:tab/>
        <w:t>“</w:t>
      </w:r>
      <w:r>
        <w:rPr>
          <w:rStyle w:val="CharDefText"/>
        </w:rPr>
        <w:t>transfer duty</w:t>
      </w:r>
      <w:r>
        <w:rPr>
          <w:b/>
        </w:rPr>
        <w:t>”</w:t>
      </w:r>
      <w:r>
        <w:t xml:space="preserve"> means duty under the </w:t>
      </w:r>
      <w:r>
        <w:rPr>
          <w:i/>
          <w:iCs/>
        </w:rPr>
        <w:t>Duties Act 2008</w:t>
      </w:r>
      <w:r>
        <w:t xml:space="preserve"> Chapter 2.</w:t>
      </w:r>
    </w:p>
    <w:p>
      <w:pPr>
        <w:pStyle w:val="nzSubsection"/>
      </w:pPr>
      <w:r>
        <w:tab/>
        <w:t>(2)</w:t>
      </w:r>
      <w:r>
        <w:tab/>
        <w:t xml:space="preserve">If transfer duty payable on a transaction in relation to land as defined in the </w:t>
      </w:r>
      <w:r>
        <w:rPr>
          <w:i/>
          <w:iCs/>
        </w:rPr>
        <w:t>Duties Act 2008</w:t>
      </w:r>
      <w:r>
        <w:t xml:space="preserve"> section 3 is not paid by the due date because it is taken not to be paid under subsection (6), the Commissioner may lodge a memorial to create a charge on the land for the unpaid transfer duty.</w:t>
      </w:r>
    </w:p>
    <w:p>
      <w:pPr>
        <w:pStyle w:val="nz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nz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nzSubsection"/>
      </w:pPr>
      <w:r>
        <w:tab/>
        <w:t>(5)</w:t>
      </w:r>
      <w:r>
        <w:tab/>
        <w:t xml:space="preserve">The charge arises on the land when the memorial is registered under section 83. </w:t>
      </w:r>
    </w:p>
    <w:p>
      <w:pPr>
        <w:pStyle w:val="nz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nz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MiscClose"/>
      </w:pPr>
      <w:r>
        <w:t xml:space="preserve">    ”.</w:t>
      </w:r>
    </w:p>
    <w:p>
      <w:pPr>
        <w:pStyle w:val="nzHeading5"/>
      </w:pPr>
      <w:r>
        <w:rPr>
          <w:rStyle w:val="CharSectno"/>
        </w:rPr>
        <w:t>46</w:t>
      </w:r>
      <w:r>
        <w:t>.</w:t>
      </w:r>
      <w:r>
        <w:tab/>
        <w:t>Section 78 amended</w:t>
      </w:r>
    </w:p>
    <w:p>
      <w:pPr>
        <w:pStyle w:val="nzSubsection"/>
      </w:pPr>
      <w:r>
        <w:tab/>
      </w:r>
      <w:r>
        <w:tab/>
        <w:t xml:space="preserve">Section 78(1) is amended by deleting “section 76 or 77” and inserting instead — </w:t>
      </w:r>
    </w:p>
    <w:p>
      <w:pPr>
        <w:pStyle w:val="nzSubsection"/>
      </w:pPr>
      <w:r>
        <w:tab/>
      </w:r>
      <w:r>
        <w:tab/>
        <w:t>“    this Division    ”.</w:t>
      </w:r>
    </w:p>
    <w:p>
      <w:pPr>
        <w:pStyle w:val="nzHeading5"/>
      </w:pPr>
      <w:r>
        <w:rPr>
          <w:rStyle w:val="CharSectno"/>
        </w:rPr>
        <w:t>47</w:t>
      </w:r>
      <w:r>
        <w:t>.</w:t>
      </w:r>
      <w:r>
        <w:tab/>
        <w:t>Section 80 amended</w:t>
      </w:r>
    </w:p>
    <w:p>
      <w:pPr>
        <w:pStyle w:val="nzSubsection"/>
      </w:pPr>
      <w:r>
        <w:tab/>
      </w:r>
      <w:r>
        <w:tab/>
        <w:t>Section 80(1) is amended as follows:</w:t>
      </w:r>
    </w:p>
    <w:p>
      <w:pPr>
        <w:pStyle w:val="nzIndenta"/>
      </w:pPr>
      <w:r>
        <w:tab/>
        <w:t>(a)</w:t>
      </w:r>
      <w:r>
        <w:tab/>
        <w:t xml:space="preserve">in paragraph (a) by deleting “section 76 or 77” and inserting instead — </w:t>
      </w:r>
    </w:p>
    <w:p>
      <w:pPr>
        <w:pStyle w:val="nzIndenta"/>
      </w:pPr>
      <w:r>
        <w:tab/>
      </w:r>
      <w:r>
        <w:tab/>
        <w:t>“    this Division    ”;</w:t>
      </w:r>
    </w:p>
    <w:p>
      <w:pPr>
        <w:pStyle w:val="nzIndenta"/>
      </w:pPr>
      <w:r>
        <w:tab/>
        <w:t>(b)</w:t>
      </w:r>
      <w:r>
        <w:tab/>
        <w:t xml:space="preserve">in paragraph (b)(i) by deleting “land tax or unpaid stamp duty” and inserting instead — </w:t>
      </w:r>
    </w:p>
    <w:p>
      <w:pPr>
        <w:pStyle w:val="nzIndenta"/>
      </w:pPr>
      <w:r>
        <w:tab/>
      </w:r>
      <w:r>
        <w:tab/>
        <w:t>“    tax    ”.</w:t>
      </w:r>
    </w:p>
    <w:p>
      <w:pPr>
        <w:pStyle w:val="nzHeading5"/>
      </w:pPr>
      <w:r>
        <w:rPr>
          <w:rStyle w:val="CharSectno"/>
        </w:rPr>
        <w:t>48</w:t>
      </w:r>
      <w:r>
        <w:t>.</w:t>
      </w:r>
      <w:r>
        <w:tab/>
        <w:t>Section 96 amended</w:t>
      </w:r>
    </w:p>
    <w:p>
      <w:pPr>
        <w:pStyle w:val="nzSubsection"/>
      </w:pPr>
      <w:r>
        <w:tab/>
        <w:t>(1)</w:t>
      </w:r>
      <w:r>
        <w:tab/>
        <w:t xml:space="preserve">Section 96(1)(c) is amended by inserting after “which” — </w:t>
      </w:r>
    </w:p>
    <w:p>
      <w:pPr>
        <w:pStyle w:val="nzSubsection"/>
      </w:pPr>
      <w:r>
        <w:tab/>
      </w:r>
      <w:r>
        <w:tab/>
        <w:t>“    , or which effects or evidences a transaction on which,    ”.</w:t>
      </w:r>
    </w:p>
    <w:p>
      <w:pPr>
        <w:pStyle w:val="nzSubsection"/>
      </w:pPr>
      <w:r>
        <w:tab/>
        <w:t>(2)</w:t>
      </w:r>
      <w:r>
        <w:tab/>
        <w:t xml:space="preserve">Section 96(2) is amended by deleting paragraph (a) and “or” after it and inserting instead — </w:t>
      </w:r>
    </w:p>
    <w:p>
      <w:pPr>
        <w:pStyle w:val="MiscOpen"/>
        <w:ind w:left="1340"/>
      </w:pPr>
      <w:r>
        <w:t xml:space="preserve">“    </w:t>
      </w:r>
    </w:p>
    <w:p>
      <w:pPr>
        <w:pStyle w:val="nzIndenta"/>
      </w:pPr>
      <w:r>
        <w:tab/>
        <w:t>(a)</w:t>
      </w:r>
      <w:r>
        <w:tab/>
        <w:t>in the case of an instrument effecting or evidencing a transaction — a party to the transaction; or</w:t>
      </w:r>
    </w:p>
    <w:p>
      <w:pPr>
        <w:pStyle w:val="MiscClose"/>
      </w:pPr>
      <w:r>
        <w:t xml:space="preserve">    ”.</w:t>
      </w:r>
    </w:p>
    <w:p>
      <w:pPr>
        <w:pStyle w:val="nzHeading5"/>
      </w:pPr>
      <w:r>
        <w:rPr>
          <w:rStyle w:val="CharSectno"/>
        </w:rPr>
        <w:t>49</w:t>
      </w:r>
      <w:r>
        <w:t>.</w:t>
      </w:r>
      <w:r>
        <w:tab/>
        <w:t>Part 10 Division 5 heading amended</w:t>
      </w:r>
    </w:p>
    <w:p>
      <w:pPr>
        <w:pStyle w:val="nzSubsection"/>
      </w:pPr>
      <w:r>
        <w:tab/>
      </w:r>
      <w:r>
        <w:tab/>
        <w:t xml:space="preserve">The heading to Part 10 Division 5 is amended by inserting after “Regulations” — </w:t>
      </w:r>
    </w:p>
    <w:p>
      <w:pPr>
        <w:pStyle w:val="nzSubsection"/>
      </w:pPr>
      <w:r>
        <w:tab/>
      </w:r>
      <w:r>
        <w:tab/>
        <w:t xml:space="preserve">“    </w:t>
      </w:r>
      <w:r>
        <w:rPr>
          <w:b/>
          <w:bCs/>
          <w:sz w:val="26"/>
        </w:rPr>
        <w:t>, practices and forms</w:t>
      </w:r>
      <w:r>
        <w:t xml:space="preserve">    ”.</w:t>
      </w:r>
    </w:p>
    <w:p>
      <w:pPr>
        <w:pStyle w:val="nzHeading5"/>
      </w:pPr>
      <w:r>
        <w:rPr>
          <w:rStyle w:val="CharSectno"/>
        </w:rPr>
        <w:t>50</w:t>
      </w:r>
      <w:r>
        <w:t>.</w:t>
      </w:r>
      <w:r>
        <w:tab/>
        <w:t>Section 128 inserted</w:t>
      </w:r>
    </w:p>
    <w:p>
      <w:pPr>
        <w:pStyle w:val="nzSubsection"/>
      </w:pPr>
      <w:r>
        <w:tab/>
      </w:r>
      <w:r>
        <w:tab/>
        <w:t xml:space="preserve">After section 127 the following section is inserted in Part 10 Division 5 — </w:t>
      </w:r>
    </w:p>
    <w:p>
      <w:pPr>
        <w:pStyle w:val="MiscOpen"/>
      </w:pPr>
      <w:r>
        <w:t xml:space="preserve">“    </w:t>
      </w:r>
    </w:p>
    <w:p>
      <w:pPr>
        <w:pStyle w:val="nzHeading5"/>
      </w:pPr>
      <w:r>
        <w:t>128.</w:t>
      </w:r>
      <w:r>
        <w:tab/>
        <w:t>Forms</w:t>
      </w:r>
    </w:p>
    <w:p>
      <w:pPr>
        <w:pStyle w:val="nzSubsection"/>
      </w:pPr>
      <w:r>
        <w:tab/>
      </w:r>
      <w:r>
        <w:tab/>
        <w:t>A form approved for use under a taxation Act may require information provided in the form to be verified by statutory declaration.</w:t>
      </w:r>
    </w:p>
    <w:p>
      <w:pPr>
        <w:pStyle w:val="MiscClose"/>
      </w:pPr>
      <w:r>
        <w:t xml:space="preserve">    ”.</w:t>
      </w:r>
    </w:p>
    <w:p>
      <w:pPr>
        <w:pStyle w:val="nzHeading5"/>
      </w:pPr>
      <w:r>
        <w:rPr>
          <w:rStyle w:val="CharSectno"/>
        </w:rPr>
        <w:t>51</w:t>
      </w:r>
      <w:r>
        <w:t>.</w:t>
      </w:r>
      <w:r>
        <w:tab/>
        <w:t>Glossary amended</w:t>
      </w:r>
    </w:p>
    <w:p>
      <w:pPr>
        <w:pStyle w:val="nzSubsection"/>
      </w:pPr>
      <w:r>
        <w:tab/>
      </w:r>
      <w:r>
        <w:tab/>
        <w:t>The Glossary is amended as follows:</w:t>
      </w:r>
    </w:p>
    <w:p>
      <w:pPr>
        <w:pStyle w:val="nzIndenta"/>
      </w:pPr>
      <w:r>
        <w:tab/>
        <w:t>(a)</w:t>
      </w:r>
      <w:r>
        <w:tab/>
        <w:t xml:space="preserve">in the definition of “instrument” — </w:t>
      </w:r>
    </w:p>
    <w:p>
      <w:pPr>
        <w:pStyle w:val="nzIndenti"/>
      </w:pPr>
      <w:r>
        <w:tab/>
        <w:t>(i)</w:t>
      </w:r>
      <w:r>
        <w:tab/>
        <w:t>by deleting paragraph (a);</w:t>
      </w:r>
    </w:p>
    <w:p>
      <w:pPr>
        <w:pStyle w:val="nzIndenti"/>
      </w:pPr>
      <w:r>
        <w:tab/>
        <w:t>(ii)</w:t>
      </w:r>
      <w:r>
        <w:tab/>
        <w:t xml:space="preserve">in paragraph (b) by deleting “a statement” and inserting instead — </w:t>
      </w:r>
    </w:p>
    <w:p>
      <w:pPr>
        <w:pStyle w:val="nzIndenti"/>
      </w:pPr>
      <w:r>
        <w:tab/>
      </w:r>
      <w:r>
        <w:tab/>
        <w:t xml:space="preserve">“    </w:t>
      </w:r>
      <w:r>
        <w:rPr>
          <w:sz w:val="22"/>
        </w:rPr>
        <w:t>an instrument,</w:t>
      </w:r>
      <w:r>
        <w:t xml:space="preserve">    ”;</w:t>
      </w:r>
    </w:p>
    <w:p>
      <w:pPr>
        <w:pStyle w:val="nzIndenti"/>
      </w:pPr>
      <w:r>
        <w:tab/>
        <w:t>(iii)</w:t>
      </w:r>
      <w:r>
        <w:tab/>
        <w:t xml:space="preserve">by deleting paragraph (c) and inserting instead — </w:t>
      </w:r>
    </w:p>
    <w:p>
      <w:pPr>
        <w:pStyle w:val="MiscOpen"/>
        <w:ind w:left="1340"/>
      </w:pPr>
      <w:r>
        <w:t xml:space="preserve">“    </w:t>
      </w:r>
    </w:p>
    <w:p>
      <w:pPr>
        <w:pStyle w:val="nzDefpara"/>
      </w:pPr>
      <w:r>
        <w:tab/>
        <w:t>(c)</w:t>
      </w:r>
      <w:r>
        <w:tab/>
        <w:t>a copy or memorandum that is treated under section 20 as if it were an instrument;</w:t>
      </w:r>
    </w:p>
    <w:p>
      <w:pPr>
        <w:pStyle w:val="MiscClose"/>
      </w:pPr>
      <w:r>
        <w:t xml:space="preserve">    ”;</w:t>
      </w:r>
    </w:p>
    <w:p>
      <w:pPr>
        <w:pStyle w:val="nzIndenti"/>
      </w:pPr>
      <w:r>
        <w:tab/>
        <w:t>(iv)</w:t>
      </w:r>
      <w:r>
        <w:tab/>
        <w:t>by deleting paragraph (f);</w:t>
      </w:r>
    </w:p>
    <w:p>
      <w:pPr>
        <w:pStyle w:val="nzIndenta"/>
      </w:pPr>
      <w:r>
        <w:tab/>
        <w:t>(b)</w:t>
      </w:r>
      <w:r>
        <w:tab/>
        <w:t xml:space="preserve">in the definition of “official document” paragraph (b) by deleting “stamped” and inserting instead — </w:t>
      </w:r>
    </w:p>
    <w:p>
      <w:pPr>
        <w:pStyle w:val="nzIndenta"/>
      </w:pPr>
      <w:r>
        <w:tab/>
      </w:r>
      <w:r>
        <w:tab/>
        <w:t xml:space="preserve">“    </w:t>
      </w:r>
      <w:r>
        <w:rPr>
          <w:sz w:val="22"/>
        </w:rPr>
        <w:t>endorsed</w:t>
      </w:r>
      <w:r>
        <w:t xml:space="preserve">    ”;</w:t>
      </w:r>
    </w:p>
    <w:p>
      <w:pPr>
        <w:pStyle w:val="nzIndenta"/>
      </w:pPr>
      <w:r>
        <w:tab/>
        <w:t>(c)</w:t>
      </w:r>
      <w:r>
        <w:tab/>
        <w:t xml:space="preserve">in the definition of “penalty tax” — </w:t>
      </w:r>
    </w:p>
    <w:p>
      <w:pPr>
        <w:pStyle w:val="nzIndenti"/>
      </w:pPr>
      <w:r>
        <w:tab/>
        <w:t>(i)</w:t>
      </w:r>
      <w:r>
        <w:tab/>
        <w:t xml:space="preserve">after paragraph (c) by inserting — </w:t>
      </w:r>
    </w:p>
    <w:p>
      <w:pPr>
        <w:pStyle w:val="MiscOpen"/>
        <w:ind w:left="1580"/>
      </w:pPr>
      <w:r>
        <w:t xml:space="preserve">“    </w:t>
      </w:r>
    </w:p>
    <w:p>
      <w:pPr>
        <w:pStyle w:val="nzDefpara"/>
      </w:pPr>
      <w:r>
        <w:tab/>
      </w:r>
      <w:r>
        <w:tab/>
        <w:t>or</w:t>
      </w:r>
    </w:p>
    <w:p>
      <w:pPr>
        <w:pStyle w:val="nzDefpara"/>
      </w:pPr>
      <w:r>
        <w:tab/>
        <w:t>(d)</w:t>
      </w:r>
      <w:r>
        <w:tab/>
        <w:t xml:space="preserve">penalty tax payable under the </w:t>
      </w:r>
      <w:r>
        <w:rPr>
          <w:i/>
          <w:iCs/>
        </w:rPr>
        <w:t>Duties Act 2008</w:t>
      </w:r>
      <w:r>
        <w:t xml:space="preserve"> section 239(3)(b), 249(4)(b) or 266(2)(b); </w:t>
      </w:r>
    </w:p>
    <w:p>
      <w:pPr>
        <w:pStyle w:val="MiscClose"/>
      </w:pPr>
      <w:r>
        <w:t xml:space="preserve">    ”;</w:t>
      </w:r>
    </w:p>
    <w:p>
      <w:pPr>
        <w:pStyle w:val="nzIndenti"/>
      </w:pPr>
      <w:r>
        <w:tab/>
        <w:t>(ii)</w:t>
      </w:r>
      <w:r>
        <w:tab/>
        <w:t xml:space="preserve">after paragraph (a) by inserting — </w:t>
      </w:r>
    </w:p>
    <w:p>
      <w:pPr>
        <w:pStyle w:val="nzIndenti"/>
      </w:pPr>
      <w:r>
        <w:tab/>
      </w:r>
      <w:r>
        <w:tab/>
        <w:t xml:space="preserve">“    </w:t>
      </w:r>
      <w:r>
        <w:rPr>
          <w:sz w:val="22"/>
        </w:rPr>
        <w:t>or</w:t>
      </w:r>
      <w:r>
        <w:t xml:space="preserve">    ”;</w:t>
      </w:r>
    </w:p>
    <w:p>
      <w:pPr>
        <w:pStyle w:val="nzIndenta"/>
        <w:keepNext/>
        <w:keepLines/>
      </w:pPr>
      <w:r>
        <w:tab/>
        <w:t>(d)</w:t>
      </w:r>
      <w:r>
        <w:tab/>
        <w:t xml:space="preserve">by inserting in the appropriate alphabetical positions — </w:t>
      </w:r>
    </w:p>
    <w:p>
      <w:pPr>
        <w:pStyle w:val="MiscOpen"/>
        <w:ind w:left="880"/>
      </w:pPr>
      <w:r>
        <w:t xml:space="preserve">“    </w:t>
      </w:r>
    </w:p>
    <w:p>
      <w:pPr>
        <w:pStyle w:val="nzDefstart"/>
      </w:pPr>
      <w:r>
        <w:tab/>
      </w:r>
      <w:r>
        <w:rPr>
          <w:b/>
        </w:rPr>
        <w:t>“</w:t>
      </w:r>
      <w:r>
        <w:rPr>
          <w:rStyle w:val="CharDefText"/>
        </w:rPr>
        <w:t>date</w:t>
      </w:r>
      <w:r>
        <w:rPr>
          <w:b/>
        </w:rPr>
        <w:t>”</w:t>
      </w:r>
      <w:r>
        <w:t xml:space="preserve"> of an assessment notice means the date on which it is issued;</w:t>
      </w:r>
    </w:p>
    <w:p>
      <w:pPr>
        <w:pStyle w:val="nzDefstart"/>
      </w:pPr>
      <w:r>
        <w:tab/>
      </w:r>
      <w:r>
        <w:rPr>
          <w:b/>
        </w:rPr>
        <w:t>“</w:t>
      </w:r>
      <w:r>
        <w:rPr>
          <w:rStyle w:val="CharDefText"/>
        </w:rPr>
        <w:t>endorse</w:t>
      </w:r>
      <w:r>
        <w:rPr>
          <w:b/>
        </w:rPr>
        <w:t>”</w:t>
      </w:r>
      <w:r>
        <w:t xml:space="preserve"> includes stamp;</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651"/>
    <w:docVar w:name="WAFER_20140609094651" w:val="RemoveTocBookmarks,RemoveUnusedBookmarks,RemoveLanguageTags,UsedStyles,ResetPageSize"/>
    <w:docVar w:name="WAFER_20140609094651_GUID" w:val="9e1e74c0-e9e5-4f3c-aabf-597dd624e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27533</Words>
  <Characters>133265</Characters>
  <Application>Microsoft Office Word</Application>
  <DocSecurity>0</DocSecurity>
  <Lines>3601</Lines>
  <Paragraphs>2143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158655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2003 - 02-c0-03</dc:title>
  <dc:subject/>
  <dc:creator/>
  <cp:keywords/>
  <dc:description/>
  <cp:lastModifiedBy>svcMRProcess</cp:lastModifiedBy>
  <cp:revision>4</cp:revision>
  <cp:lastPrinted>2007-08-23T04:21:00Z</cp:lastPrinted>
  <dcterms:created xsi:type="dcterms:W3CDTF">2018-09-09T02:12:00Z</dcterms:created>
  <dcterms:modified xsi:type="dcterms:W3CDTF">2018-09-09T02:13:00Z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6343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AsAtDate">
    <vt:lpwstr>14 Apr 2008</vt:lpwstr>
  </property>
  <property fmtid="{D5CDD505-2E9C-101B-9397-08002B2CF9AE}" pid="9" name="Suffix">
    <vt:lpwstr>02-c0-03</vt:lpwstr>
  </property>
</Properties>
</file>