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1Note"/>
      </w:pPr>
      <w:r>
        <w:t>Formerly “</w:t>
      </w:r>
      <w:r>
        <w:rPr>
          <w:i/>
        </w:rPr>
        <w:t>Perth Medical Centre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1968 (see s. 2 and </w:t>
            </w:r>
            <w:r>
              <w:rPr>
                <w:i/>
              </w:rPr>
              <w:t>Gazette</w:t>
            </w:r>
            <w:r>
              <w:t xml:space="preserve"> 13 Sep 1968 p. 2747)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12 Sep 1968 (see s. 4(2));</w:t>
            </w:r>
          </w:p>
          <w:p>
            <w:pPr>
              <w:pStyle w:val="Table01Row"/>
            </w:pPr>
            <w:r>
              <w:t>Act other than s. 4: 6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Nov 1986 (see s.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301(1), (4) &amp; (5):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 (2), (3), (6) &amp; (7):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0D777-F8C2-4D89-9E21-5E08E6A6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PCOWA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2024-04-29T03:38:00Z</dcterms:created>
  <dcterms:modified xsi:type="dcterms:W3CDTF">2024-04-29T03:38:00Z</dcterms:modified>
</cp:coreProperties>
</file>