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N</w:t>
      </w:r>
    </w:p>
    <w:p>
      <w:pPr>
        <w:pStyle w:val="IActName"/>
      </w:pPr>
      <w:r>
        <w:t>National Disability Insurance Scheme (Worker Screening)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National Disability Insurance Scheme (Worker Screening)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Disability Insurance Scheme (Worker Screening)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2021 (see r. 2 and SL 2021/4 cl. 2)</w:t>
            </w:r>
          </w:p>
        </w:tc>
      </w:tr>
    </w:tbl>
    <w:p>
      <w:pPr>
        <w:pStyle w:val="IActName"/>
      </w:pPr>
      <w:r>
        <w:t>National Gas Access (WA)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National Gas Access (WA) (Local Provisions)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Gas Access (WA) (Local Provisions)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5331‑41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RegName"/>
      </w:pPr>
      <w:r>
        <w:t>National Gas Access (WA) (Part 3)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Gas Access (WA) (Part 3)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5343‑64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Gas Access (WA) (Part 3)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2021 (see r. 2(a));</w:t>
            </w:r>
          </w:p>
          <w:p>
            <w:pPr>
              <w:pStyle w:val="Table04Row"/>
            </w:pPr>
            <w:r>
              <w:t>Regulations other than r. 1 &amp; 2: 3 Feb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7A(2)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cl.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Dec 2017 (see cl. 2(a));</w:t>
            </w:r>
          </w:p>
          <w:p>
            <w:pPr>
              <w:pStyle w:val="Table04Row"/>
            </w:pPr>
            <w:r>
              <w:t>Order other than cl. 1 &amp; 2: 23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2019 (see cl. 2(a));</w:t>
            </w:r>
          </w:p>
          <w:p>
            <w:pPr>
              <w:pStyle w:val="Table04Row"/>
            </w:pPr>
            <w:r>
              <w:t>Order other than cl. 1 &amp; 2: 6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Oct 2020 (see cl. 2(a));</w:t>
            </w:r>
          </w:p>
          <w:p>
            <w:pPr>
              <w:pStyle w:val="Table04Row"/>
            </w:pPr>
            <w:r>
              <w:t>Order other than cl. 1 &amp; 2: 10 Oct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(No. 2)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2024</w:t>
            </w:r>
            <w:r>
              <w:br/>
              <w:t>p. 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Jan 2024 (see cl. 2(a));</w:t>
            </w:r>
          </w:p>
          <w:p>
            <w:pPr>
              <w:pStyle w:val="Table04Row"/>
            </w:pPr>
            <w:r>
              <w:t>Order other than cl. 1 &amp; 2: 25 Jan 2024 (see cl. 2(b))</w:t>
            </w:r>
          </w:p>
        </w:tc>
      </w:tr>
    </w:tbl>
    <w:p>
      <w:pPr>
        <w:pStyle w:val="IActName"/>
      </w:pPr>
      <w:r>
        <w:t>National Trust of Australia (W.A.)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Heritage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National Trust of Australia (WA), The</w:t>
            </w:r>
          </w:p>
        </w:tc>
      </w:tr>
    </w:tbl>
    <w:p>
      <w:pPr>
        <w:keepNext/>
      </w:pPr>
    </w:p>
    <w:p>
      <w:pPr>
        <w:pStyle w:val="IRegName"/>
      </w:pPr>
      <w:r>
        <w:t>National Trust of Australia (W.A.) By‑laws 1972</w:t>
      </w:r>
    </w:p>
    <w:p>
      <w:pPr>
        <w:pStyle w:val="Table04Note"/>
      </w:pPr>
      <w:r>
        <w:t>Formerly “</w:t>
      </w:r>
      <w:r>
        <w:rPr>
          <w:i/>
        </w:rPr>
        <w:t>National Trust of Australia (W.A.) By‑laws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Trust of Australia (W.A.)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1972</w:t>
            </w:r>
            <w:r>
              <w:br/>
              <w:t>p. 4093‑4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Trust of Australia (W.A.)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1982</w:t>
            </w:r>
            <w:r>
              <w:br/>
              <w:t>p. 4508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Jun 2004</w:t>
            </w:r>
          </w:p>
        </w:tc>
      </w:tr>
    </w:tbl>
    <w:p>
      <w:pPr>
        <w:pStyle w:val="IActName"/>
      </w:pPr>
      <w:r>
        <w:lastRenderedPageBreak/>
        <w:t>Native Title (State Provisions)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Native Title (State Provisions)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Native Title (State Provisions)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3553‑77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2000</w:t>
            </w:r>
          </w:p>
        </w:tc>
      </w:tr>
    </w:tbl>
    <w:p>
      <w:pPr>
        <w:pStyle w:val="IActName"/>
      </w:pPr>
      <w:r>
        <w:t>New Tax System Price Exploitation Code (Western Australia)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New Tax System Price Exploitation Code (Western Australia)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2000</w:t>
            </w:r>
            <w:r>
              <w:br/>
              <w:t>p. 5573‑4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2000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01DB-B4C0-48D3-8EBA-FF024362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>PCOWA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2024-05-03T05:07:00Z</dcterms:created>
  <dcterms:modified xsi:type="dcterms:W3CDTF">2024-05-03T05:07:00Z</dcterms:modified>
</cp:coreProperties>
</file>