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Lotteries Commission Act 1990 </w:t>
      </w:r>
    </w:p>
    <w:p>
      <w:pPr>
        <w:pStyle w:val="LongTitle"/>
        <w:spacing w:after="240"/>
        <w:rPr>
          <w:snapToGrid w:val="0"/>
        </w:rPr>
      </w:pPr>
      <w:r>
        <w:rPr>
          <w:snapToGrid w:val="0"/>
        </w:rPr>
        <w:t>A</w:t>
      </w:r>
      <w:bookmarkStart w:id="0" w:name="_GoBack"/>
      <w:bookmarkEnd w:id="0"/>
      <w:r>
        <w:rPr>
          <w:snapToGrid w:val="0"/>
        </w:rPr>
        <w:t xml:space="preserve">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by No. 26 of 1998 s.4.]</w:t>
      </w:r>
    </w:p>
    <w:p>
      <w:pPr>
        <w:pStyle w:val="Heading2"/>
        <w:pageBreakBefore w:val="0"/>
        <w:spacing w:before="600"/>
      </w:pPr>
      <w:bookmarkStart w:id="1" w:name="_Toc139707399"/>
      <w:bookmarkStart w:id="2" w:name="_Toc156817030"/>
      <w:bookmarkStart w:id="3" w:name="_Toc156817094"/>
      <w:bookmarkStart w:id="4" w:name="_Toc1579235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28767236"/>
      <w:bookmarkStart w:id="6" w:name="_Toc139707400"/>
      <w:bookmarkStart w:id="7" w:name="_Toc157923535"/>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8" w:name="_Toc428767237"/>
      <w:bookmarkStart w:id="9" w:name="_Toc139707401"/>
      <w:bookmarkStart w:id="10" w:name="_Toc157923536"/>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11" w:name="_Toc428767238"/>
      <w:bookmarkStart w:id="12" w:name="_Toc139707402"/>
      <w:bookmarkStart w:id="13" w:name="_Toc157923537"/>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Commission</w:t>
      </w:r>
      <w:r>
        <w:rPr>
          <w:b/>
        </w:rPr>
        <w:t>”</w:t>
      </w:r>
      <w:r>
        <w:t xml:space="preserve"> means the Lotteries Commission constituted by section 5 of the </w:t>
      </w:r>
      <w:r>
        <w:rPr>
          <w:i/>
        </w:rPr>
        <w:t>Lotteries (Control) Act 1954</w:t>
      </w:r>
      <w:r>
        <w:t xml:space="preserve"> and continued in existence under this Act;</w:t>
      </w:r>
    </w:p>
    <w:p>
      <w:pPr>
        <w:pStyle w:val="Defstart"/>
      </w:pPr>
      <w:r>
        <w:rPr>
          <w:b/>
        </w:rPr>
        <w:tab/>
        <w:t>“</w:t>
      </w:r>
      <w:r>
        <w:rPr>
          <w:rStyle w:val="CharDefText"/>
        </w:rPr>
        <w:t>conduct</w:t>
      </w:r>
      <w:r>
        <w:rPr>
          <w:b/>
        </w:rPr>
        <w:t>”</w:t>
      </w:r>
      <w:r>
        <w:t xml:space="preserve"> includes promote, organize, manage or operate;</w:t>
      </w:r>
    </w:p>
    <w:p>
      <w:pPr>
        <w:pStyle w:val="Defstart"/>
        <w:rPr>
          <w:b/>
        </w:rPr>
      </w:pPr>
      <w:r>
        <w:rPr>
          <w:b/>
          <w:spacing w:val="-2"/>
        </w:rPr>
        <w:tab/>
        <w:t>“</w:t>
      </w:r>
      <w:r>
        <w:rPr>
          <w:rStyle w:val="CharDefText"/>
        </w:rPr>
        <w:t>designated authority</w:t>
      </w:r>
      <w:r>
        <w:rPr>
          <w:b/>
          <w:spacing w:val="-2"/>
        </w:rPr>
        <w:t>”</w:t>
      </w:r>
      <w:r>
        <w:rPr>
          <w:spacing w:val="-2"/>
        </w:rPr>
        <w:t xml:space="preserve"> means a person designated under subsection (4);</w:t>
      </w:r>
    </w:p>
    <w:p>
      <w:pPr>
        <w:pStyle w:val="Defstart"/>
      </w:pPr>
      <w:r>
        <w:rPr>
          <w:b/>
        </w:rPr>
        <w:tab/>
        <w:t>“</w:t>
      </w:r>
      <w:r>
        <w:rPr>
          <w:rStyle w:val="CharDefText"/>
        </w:rPr>
        <w:t>entry form</w:t>
      </w:r>
      <w:r>
        <w:rPr>
          <w:b/>
        </w:rPr>
        <w:t>”</w:t>
      </w:r>
      <w:r>
        <w:t>, in relation to a game of lotto, means entry form or coupon required by the rules to enable a person to enter or subscribe to the game of lotto;</w:t>
      </w:r>
    </w:p>
    <w:p>
      <w:pPr>
        <w:pStyle w:val="Defstart"/>
      </w:pPr>
      <w:r>
        <w:rPr>
          <w:b/>
        </w:rPr>
        <w:tab/>
        <w:t>“</w:t>
      </w:r>
      <w:r>
        <w:rPr>
          <w:rStyle w:val="CharDefText"/>
        </w:rPr>
        <w:t>game of lotto</w:t>
      </w:r>
      <w:r>
        <w:rPr>
          <w:b/>
        </w:rPr>
        <w:t>”</w:t>
      </w:r>
      <w:r>
        <w:t xml:space="preserve"> means a lottery within the meaning of subsection (2);</w:t>
      </w:r>
    </w:p>
    <w:p>
      <w:pPr>
        <w:pStyle w:val="Defstart"/>
      </w:pPr>
      <w:r>
        <w:rPr>
          <w:b/>
        </w:rPr>
        <w:tab/>
        <w:t>“</w:t>
      </w:r>
      <w:r>
        <w:rPr>
          <w:rStyle w:val="CharDefText"/>
        </w:rPr>
        <w:t>instant lottery</w:t>
      </w:r>
      <w:r>
        <w:rPr>
          <w:b/>
        </w:rPr>
        <w:t>”</w:t>
      </w:r>
      <w:r>
        <w:t xml:space="preserve"> means a lottery within the meaning of subsection (3);</w:t>
      </w:r>
    </w:p>
    <w:p>
      <w:pPr>
        <w:pStyle w:val="Defstart"/>
        <w:rPr>
          <w:b/>
        </w:rPr>
      </w:pPr>
      <w:r>
        <w:rPr>
          <w:b/>
          <w:spacing w:val="-2"/>
        </w:rPr>
        <w:tab/>
        <w:t>“</w:t>
      </w:r>
      <w:r>
        <w:rPr>
          <w:rStyle w:val="CharDefText"/>
        </w:rPr>
        <w:t>lottery</w:t>
      </w:r>
      <w:r>
        <w:rPr>
          <w:b/>
          <w:spacing w:val="-2"/>
        </w:rPr>
        <w:t>”</w:t>
      </w:r>
      <w:r>
        <w:rPr>
          <w:spacing w:val="-2"/>
        </w:rPr>
        <w:t xml:space="preserve"> means a </w:t>
      </w:r>
      <w:r>
        <w:t>scheme</w:t>
      </w:r>
      <w:r>
        <w:rPr>
          <w:spacing w:val="-2"/>
        </w:rPr>
        <w:t xml:space="preserve"> or device in which the success or otherwise of participants is governed by numbers, tickets, events, etc., drawn or determined in a manner involving a degree of randomness or chance;</w:t>
      </w:r>
    </w:p>
    <w:p>
      <w:pPr>
        <w:pStyle w:val="Defstart"/>
      </w:pPr>
      <w:r>
        <w:rPr>
          <w:b/>
        </w:rPr>
        <w:tab/>
        <w:t>“</w:t>
      </w:r>
      <w:r>
        <w:rPr>
          <w:rStyle w:val="CharDefText"/>
        </w:rPr>
        <w:t>member</w:t>
      </w:r>
      <w:r>
        <w:rPr>
          <w:b/>
        </w:rPr>
        <w:t>”</w:t>
      </w:r>
      <w:r>
        <w:t xml:space="preserve"> means a member of the Commission;</w:t>
      </w:r>
    </w:p>
    <w:p>
      <w:pPr>
        <w:pStyle w:val="Defstart"/>
      </w:pPr>
      <w:r>
        <w:rPr>
          <w:b/>
        </w:rPr>
        <w:tab/>
        <w:t>“</w:t>
      </w:r>
      <w:r>
        <w:rPr>
          <w:rStyle w:val="CharDefText"/>
        </w:rPr>
        <w:t>permit</w:t>
      </w:r>
      <w:r>
        <w:rPr>
          <w:b/>
        </w:rPr>
        <w:t>”</w:t>
      </w:r>
      <w:r>
        <w:t xml:space="preserve"> means a permit granted under this Act;</w:t>
      </w:r>
    </w:p>
    <w:p>
      <w:pPr>
        <w:pStyle w:val="Defstart"/>
      </w:pPr>
      <w:r>
        <w:rPr>
          <w:b/>
        </w:rPr>
        <w:tab/>
        <w:t>“</w:t>
      </w:r>
      <w:r>
        <w:rPr>
          <w:rStyle w:val="CharDefText"/>
        </w:rPr>
        <w:t>soccer football pool</w:t>
      </w:r>
      <w:r>
        <w:rPr>
          <w:b/>
        </w:rPr>
        <w:t>”</w:t>
      </w:r>
      <w:r>
        <w:t xml:space="preserve"> means a lottery the results of which depend on a forecast of the outcome of soccer football matches;</w:t>
      </w:r>
    </w:p>
    <w:p>
      <w:pPr>
        <w:pStyle w:val="Defstart"/>
      </w:pPr>
      <w:r>
        <w:rPr>
          <w:b/>
          <w:spacing w:val="-2"/>
        </w:rPr>
        <w:tab/>
        <w:t>“</w:t>
      </w:r>
      <w:r>
        <w:rPr>
          <w:rStyle w:val="CharDefText"/>
        </w:rPr>
        <w:t>sports lottery</w:t>
      </w:r>
      <w:r>
        <w:rPr>
          <w:b/>
          <w:spacing w:val="-2"/>
        </w:rPr>
        <w:t>”</w:t>
      </w:r>
      <w:r>
        <w:rPr>
          <w:spacing w:val="-2"/>
        </w:rPr>
        <w:t xml:space="preserve"> </w:t>
      </w:r>
      <w:r>
        <w:t>means</w:t>
      </w:r>
      <w:r>
        <w:rPr>
          <w:spacing w:val="-2"/>
        </w:rPr>
        <w:t xml:space="preserve"> a lottery the results of which depend on the outcome of one or more specified sporting events;</w:t>
      </w:r>
    </w:p>
    <w:p>
      <w:pPr>
        <w:pStyle w:val="Defstart"/>
        <w:rPr>
          <w:spacing w:val="-2"/>
        </w:rPr>
      </w:pPr>
      <w:r>
        <w:rPr>
          <w:b/>
          <w:spacing w:val="-2"/>
        </w:rPr>
        <w:tab/>
        <w:t>“</w:t>
      </w:r>
      <w:r>
        <w:rPr>
          <w:rStyle w:val="CharDefText"/>
        </w:rPr>
        <w:t>subscription</w:t>
      </w:r>
      <w:r>
        <w:rPr>
          <w:b/>
          <w:spacing w:val="-2"/>
        </w:rPr>
        <w:t>”</w:t>
      </w:r>
      <w:r>
        <w:rPr>
          <w:spacing w:val="-2"/>
        </w:rPr>
        <w:t xml:space="preserve"> </w:t>
      </w:r>
      <w:r>
        <w:t>means</w:t>
      </w:r>
      <w:r>
        <w:rPr>
          <w:spacing w:val="-2"/>
        </w:rPr>
        <w:t xml:space="preserve"> the entry fee, payable by a person under the rules to enable the person to participate in a lottery, exclusive of any add</w:t>
      </w:r>
      <w:r>
        <w:rPr>
          <w:spacing w:val="-2"/>
        </w:rPr>
        <w:noBreakHyphen/>
        <w:t>on commission payable to an authorized retailer;</w:t>
      </w:r>
    </w:p>
    <w:p>
      <w:pPr>
        <w:pStyle w:val="Defstart"/>
      </w:pPr>
      <w:r>
        <w:rPr>
          <w:b/>
          <w:spacing w:val="-2"/>
        </w:rPr>
        <w:tab/>
        <w:t>“</w:t>
      </w:r>
      <w:r>
        <w:rPr>
          <w:rStyle w:val="CharDefText"/>
        </w:rPr>
        <w:t>ticket</w:t>
      </w:r>
      <w:r>
        <w:rPr>
          <w:b/>
          <w:spacing w:val="-2"/>
        </w:rPr>
        <w:t>”</w:t>
      </w:r>
      <w:r>
        <w:rPr>
          <w:spacing w:val="-2"/>
        </w:rP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 </w:t>
      </w:r>
    </w:p>
    <w:p>
      <w:pPr>
        <w:pStyle w:val="Indenta"/>
        <w:rPr>
          <w:snapToGrid w:val="0"/>
        </w:rPr>
      </w:pPr>
      <w:r>
        <w:rPr>
          <w:snapToGrid w:val="0"/>
        </w:rPr>
        <w:tab/>
        <w:t>(a)</w:t>
      </w:r>
      <w:r>
        <w:rPr>
          <w:snapToGrid w:val="0"/>
        </w:rPr>
        <w:tab/>
        <w:t>to receive a prize;</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The Governor may prescribe a person, whether from this State or not, to be a “designated authority” for the purposes of section 6.</w:t>
      </w:r>
    </w:p>
    <w:p>
      <w:pPr>
        <w:pStyle w:val="Footnotesection"/>
      </w:pPr>
      <w:r>
        <w:tab/>
        <w:t>[Section 3 amended by No. 26 of 1998 s.5.]</w:t>
      </w:r>
    </w:p>
    <w:p>
      <w:pPr>
        <w:pStyle w:val="Heading5"/>
        <w:rPr>
          <w:snapToGrid w:val="0"/>
        </w:rPr>
      </w:pPr>
      <w:bookmarkStart w:id="14" w:name="_Toc428767239"/>
      <w:bookmarkStart w:id="15" w:name="_Toc139707403"/>
      <w:bookmarkStart w:id="16" w:name="_Toc157923538"/>
      <w:r>
        <w:rPr>
          <w:rStyle w:val="CharSectno"/>
        </w:rPr>
        <w:t>3A</w:t>
      </w:r>
      <w:r>
        <w:rPr>
          <w:snapToGrid w:val="0"/>
        </w:rPr>
        <w:t>.</w:t>
      </w:r>
      <w:r>
        <w:rPr>
          <w:snapToGrid w:val="0"/>
        </w:rPr>
        <w:tab/>
        <w:t>Clarification of instructions on instant lottery tickets</w:t>
      </w:r>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rPr>
        <w:t>, the phrase — </w:t>
      </w:r>
    </w:p>
    <w:p>
      <w:pPr>
        <w:pStyle w:val="Indenta"/>
        <w:rPr>
          <w:snapToGrid w:val="0"/>
        </w:rPr>
      </w:pPr>
      <w:r>
        <w:rPr>
          <w:snapToGrid w:val="0"/>
        </w:rPr>
        <w:tab/>
        <w:t>(a)</w:t>
      </w:r>
      <w:r>
        <w:rPr>
          <w:snapToGrid w:val="0"/>
        </w:rPr>
        <w:tab/>
      </w:r>
      <w:r>
        <w:rPr>
          <w:b/>
          <w:snapToGrid w:val="0"/>
        </w:rPr>
        <w:t>“</w:t>
      </w:r>
      <w:r>
        <w:rPr>
          <w:rStyle w:val="CharDefText"/>
        </w:rPr>
        <w:t>match 3 money amounts</w:t>
      </w:r>
      <w:r>
        <w:rPr>
          <w:b/>
          <w:snapToGrid w:val="0"/>
        </w:rPr>
        <w:t>”</w:t>
      </w:r>
      <w:r>
        <w:rPr>
          <w:snapToGrid w:val="0"/>
        </w:rPr>
        <w:t xml:space="preserve">, </w:t>
      </w:r>
      <w:r>
        <w:rPr>
          <w:b/>
          <w:snapToGrid w:val="0"/>
        </w:rPr>
        <w:t>“</w:t>
      </w:r>
      <w:r>
        <w:rPr>
          <w:rStyle w:val="CharDefText"/>
        </w:rPr>
        <w:t>match 3 cash amounts</w:t>
      </w:r>
      <w:r>
        <w:rPr>
          <w:b/>
          <w:snapToGrid w:val="0"/>
        </w:rPr>
        <w:t>”</w:t>
      </w:r>
      <w:r>
        <w:rPr>
          <w:snapToGrid w:val="0"/>
        </w:rPr>
        <w:t xml:space="preserve">, </w:t>
      </w:r>
      <w:r>
        <w:rPr>
          <w:b/>
          <w:snapToGrid w:val="0"/>
        </w:rPr>
        <w:t>“</w:t>
      </w:r>
      <w:r>
        <w:rPr>
          <w:rStyle w:val="CharDefText"/>
        </w:rPr>
        <w:t>match 3 identical dollar amounts</w:t>
      </w:r>
      <w:r>
        <w:rPr>
          <w:b/>
          <w:snapToGrid w:val="0"/>
        </w:rPr>
        <w:t>”</w:t>
      </w:r>
      <w:r>
        <w:rPr>
          <w:snapToGrid w:val="0"/>
        </w:rPr>
        <w:t xml:space="preserve"> or </w:t>
      </w:r>
      <w:r>
        <w:rPr>
          <w:b/>
          <w:snapToGrid w:val="0"/>
        </w:rPr>
        <w:t>“</w:t>
      </w:r>
      <w:r>
        <w:rPr>
          <w:rStyle w:val="CharDefText"/>
        </w:rPr>
        <w:t>find 3 identical dollar amounts</w:t>
      </w:r>
      <w:r>
        <w:rPr>
          <w:b/>
          <w:snapToGrid w:val="0"/>
        </w:rPr>
        <w:t>”</w:t>
      </w:r>
      <w:r>
        <w:rPr>
          <w:snapToGrid w:val="0"/>
        </w:rPr>
        <w:t xml:space="preserve"> means to win a prize the ticket must show 3 of an identical money amount, and does not include, and has never included, the possibility of matching 3 money amounts by finding a pair for each of 3 different money amounts;</w:t>
      </w:r>
    </w:p>
    <w:p>
      <w:pPr>
        <w:pStyle w:val="Indenta"/>
        <w:rPr>
          <w:snapToGrid w:val="0"/>
        </w:rPr>
      </w:pPr>
      <w:r>
        <w:rPr>
          <w:snapToGrid w:val="0"/>
        </w:rPr>
        <w:tab/>
        <w:t>(b)</w:t>
      </w:r>
      <w:r>
        <w:rPr>
          <w:snapToGrid w:val="0"/>
        </w:rPr>
        <w:tab/>
      </w:r>
      <w:r>
        <w:rPr>
          <w:b/>
          <w:snapToGrid w:val="0"/>
        </w:rPr>
        <w:t>“</w:t>
      </w:r>
      <w:r>
        <w:rPr>
          <w:rStyle w:val="CharDefText"/>
        </w:rPr>
        <w:t>match 3 symbols the same</w:t>
      </w:r>
      <w:r>
        <w:rPr>
          <w:b/>
          <w:snapToGrid w:val="0"/>
        </w:rPr>
        <w:t>”</w:t>
      </w:r>
      <w:r>
        <w:rPr>
          <w:snapToGrid w:val="0"/>
        </w:rPr>
        <w:t xml:space="preserve">, </w:t>
      </w:r>
      <w:r>
        <w:rPr>
          <w:b/>
          <w:snapToGrid w:val="0"/>
        </w:rPr>
        <w:t>“</w:t>
      </w:r>
      <w:r>
        <w:rPr>
          <w:rStyle w:val="CharDefText"/>
        </w:rPr>
        <w:t>match any 3 symbols</w:t>
      </w:r>
      <w:r>
        <w:rPr>
          <w:b/>
          <w:snapToGrid w:val="0"/>
        </w:rPr>
        <w:t>”</w:t>
      </w:r>
      <w:r>
        <w:rPr>
          <w:snapToGrid w:val="0"/>
        </w:rPr>
        <w:t xml:space="preserve">, </w:t>
      </w:r>
      <w:r>
        <w:rPr>
          <w:b/>
          <w:snapToGrid w:val="0"/>
        </w:rPr>
        <w:t>“</w:t>
      </w:r>
      <w:r>
        <w:rPr>
          <w:rStyle w:val="CharDefText"/>
        </w:rPr>
        <w:t>match 3 symbols</w:t>
      </w:r>
      <w:r>
        <w:rPr>
          <w:b/>
          <w:snapToGrid w:val="0"/>
        </w:rPr>
        <w:t>”</w:t>
      </w:r>
      <w:r>
        <w:rPr>
          <w:snapToGrid w:val="0"/>
        </w:rPr>
        <w:t xml:space="preserve">, </w:t>
      </w:r>
      <w:r>
        <w:rPr>
          <w:b/>
          <w:snapToGrid w:val="0"/>
        </w:rPr>
        <w:t>“</w:t>
      </w:r>
      <w:r>
        <w:rPr>
          <w:rStyle w:val="CharDefText"/>
        </w:rPr>
        <w:t>find 3 identical symbols</w:t>
      </w:r>
      <w:r>
        <w:rPr>
          <w:b/>
          <w:snapToGrid w:val="0"/>
        </w:rPr>
        <w:t>”</w:t>
      </w:r>
      <w:r>
        <w:rPr>
          <w:snapToGrid w:val="0"/>
        </w:rPr>
        <w:t xml:space="preserve"> or </w:t>
      </w:r>
      <w:r>
        <w:rPr>
          <w:b/>
          <w:snapToGrid w:val="0"/>
        </w:rPr>
        <w:t>“</w:t>
      </w:r>
      <w:r>
        <w:rPr>
          <w:rStyle w:val="CharDefText"/>
        </w:rPr>
        <w:t>match 3 identical symbols</w:t>
      </w:r>
      <w:r>
        <w:rPr>
          <w:b/>
          <w:snapToGrid w:val="0"/>
        </w:rPr>
        <w:t>”</w:t>
      </w:r>
      <w:r>
        <w:rPr>
          <w:snapToGrid w:val="0"/>
        </w:rPr>
        <w:t xml:space="preserve"> means to win a prize the ticket must show 3 of an identical symbol, and does not include, and has never included, the possibility of matching 3 symbols by finding a pair for each of 3 different symbols;</w:t>
      </w:r>
    </w:p>
    <w:p>
      <w:pPr>
        <w:pStyle w:val="Indenta"/>
        <w:rPr>
          <w:snapToGrid w:val="0"/>
        </w:rPr>
      </w:pPr>
      <w:r>
        <w:rPr>
          <w:snapToGrid w:val="0"/>
        </w:rPr>
        <w:tab/>
        <w:t>(c)</w:t>
      </w:r>
      <w:r>
        <w:rPr>
          <w:snapToGrid w:val="0"/>
        </w:rPr>
        <w:tab/>
      </w:r>
      <w:r>
        <w:rPr>
          <w:b/>
          <w:snapToGrid w:val="0"/>
        </w:rPr>
        <w:t>“</w:t>
      </w:r>
      <w:r>
        <w:rPr>
          <w:rStyle w:val="CharDefText"/>
        </w:rPr>
        <w:t>if 3 matching numbers appear</w:t>
      </w:r>
      <w:r>
        <w:rPr>
          <w:b/>
          <w:snapToGrid w:val="0"/>
        </w:rPr>
        <w:t>”</w:t>
      </w:r>
      <w:r>
        <w:rPr>
          <w:snapToGrid w:val="0"/>
        </w:rPr>
        <w:t xml:space="preserve">, </w:t>
      </w:r>
      <w:r>
        <w:rPr>
          <w:b/>
          <w:snapToGrid w:val="0"/>
        </w:rPr>
        <w:t>“</w:t>
      </w:r>
      <w:r>
        <w:rPr>
          <w:rStyle w:val="CharDefText"/>
        </w:rPr>
        <w:t>match any 3 numbers</w:t>
      </w:r>
      <w:r>
        <w:rPr>
          <w:b/>
          <w:snapToGrid w:val="0"/>
        </w:rPr>
        <w:t>”</w:t>
      </w:r>
      <w:r>
        <w:rPr>
          <w:snapToGrid w:val="0"/>
        </w:rPr>
        <w:t xml:space="preserve">, </w:t>
      </w:r>
      <w:r>
        <w:rPr>
          <w:b/>
          <w:snapToGrid w:val="0"/>
        </w:rPr>
        <w:t>“</w:t>
      </w:r>
      <w:r>
        <w:rPr>
          <w:rStyle w:val="CharDefText"/>
        </w:rPr>
        <w:t>match 3 numbers</w:t>
      </w:r>
      <w:r>
        <w:rPr>
          <w:b/>
          <w:snapToGrid w:val="0"/>
        </w:rPr>
        <w:t>”</w:t>
      </w:r>
      <w:r>
        <w:rPr>
          <w:snapToGrid w:val="0"/>
        </w:rPr>
        <w:t xml:space="preserve">, </w:t>
      </w:r>
      <w:r>
        <w:rPr>
          <w:b/>
          <w:snapToGrid w:val="0"/>
        </w:rPr>
        <w:t>“</w:t>
      </w:r>
      <w:r>
        <w:rPr>
          <w:rStyle w:val="CharDefText"/>
        </w:rPr>
        <w:t>find 3 identical numbers</w:t>
      </w:r>
      <w:r>
        <w:rPr>
          <w:b/>
          <w:snapToGrid w:val="0"/>
        </w:rPr>
        <w:t>”</w:t>
      </w:r>
      <w:r>
        <w:rPr>
          <w:snapToGrid w:val="0"/>
        </w:rPr>
        <w:t xml:space="preserve"> or </w:t>
      </w:r>
      <w:r>
        <w:rPr>
          <w:b/>
          <w:snapToGrid w:val="0"/>
        </w:rPr>
        <w:t>“</w:t>
      </w:r>
      <w:r>
        <w:rPr>
          <w:rStyle w:val="CharDefText"/>
        </w:rPr>
        <w:t>match 3 identical numbers</w:t>
      </w:r>
      <w:r>
        <w:rPr>
          <w:b/>
          <w:snapToGrid w:val="0"/>
        </w:rPr>
        <w:t>”</w:t>
      </w:r>
      <w:r>
        <w:rPr>
          <w:snapToGrid w:val="0"/>
        </w:rP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rPr>
          <w:snapToGrid w:val="0"/>
        </w:rPr>
        <w:tab/>
        <w:t>(d)</w:t>
      </w:r>
      <w:r>
        <w:rPr>
          <w:snapToGrid w:val="0"/>
        </w:rPr>
        <w:tab/>
      </w:r>
      <w:r>
        <w:rPr>
          <w:b/>
          <w:snapToGrid w:val="0"/>
        </w:rPr>
        <w:t>“</w:t>
      </w:r>
      <w:r>
        <w:rPr>
          <w:rStyle w:val="CharDefText"/>
        </w:rPr>
        <w:t>match 3 amounts</w:t>
      </w:r>
      <w:r>
        <w:rPr>
          <w:b/>
          <w:snapToGrid w:val="0"/>
        </w:rPr>
        <w:t>”</w:t>
      </w:r>
      <w:r>
        <w:rPr>
          <w:snapToGrid w:val="0"/>
        </w:rPr>
        <w:t xml:space="preserve">, </w:t>
      </w:r>
      <w:r>
        <w:rPr>
          <w:b/>
          <w:snapToGrid w:val="0"/>
        </w:rPr>
        <w:t>“</w:t>
      </w:r>
      <w:r>
        <w:rPr>
          <w:rStyle w:val="CharDefText"/>
        </w:rPr>
        <w:t>match the 3 amounts</w:t>
      </w:r>
      <w:r>
        <w:rPr>
          <w:b/>
          <w:snapToGrid w:val="0"/>
        </w:rPr>
        <w:t>”</w:t>
      </w:r>
      <w:r>
        <w:rPr>
          <w:snapToGrid w:val="0"/>
        </w:rPr>
        <w:t xml:space="preserve">, </w:t>
      </w:r>
      <w:r>
        <w:rPr>
          <w:b/>
          <w:snapToGrid w:val="0"/>
        </w:rPr>
        <w:t>“</w:t>
      </w:r>
      <w:r>
        <w:rPr>
          <w:rStyle w:val="CharDefText"/>
        </w:rPr>
        <w:t>match 3 identical amounts</w:t>
      </w:r>
      <w:r>
        <w:rPr>
          <w:b/>
          <w:snapToGrid w:val="0"/>
        </w:rPr>
        <w:t>”</w:t>
      </w:r>
      <w:r>
        <w:rPr>
          <w:snapToGrid w:val="0"/>
        </w:rPr>
        <w:t xml:space="preserve">, </w:t>
      </w:r>
      <w:r>
        <w:rPr>
          <w:b/>
          <w:snapToGrid w:val="0"/>
        </w:rPr>
        <w:t>“</w:t>
      </w:r>
      <w:r>
        <w:rPr>
          <w:rStyle w:val="CharDefText"/>
        </w:rPr>
        <w:t>find 3 identical amounts</w:t>
      </w:r>
      <w:r>
        <w:rPr>
          <w:b/>
          <w:snapToGrid w:val="0"/>
        </w:rPr>
        <w:t>”</w:t>
      </w:r>
      <w:r>
        <w:rPr>
          <w:snapToGrid w:val="0"/>
        </w:rPr>
        <w:t xml:space="preserve"> or </w:t>
      </w:r>
      <w:r>
        <w:rPr>
          <w:b/>
          <w:snapToGrid w:val="0"/>
        </w:rPr>
        <w:t>“</w:t>
      </w:r>
      <w:r>
        <w:rPr>
          <w:rStyle w:val="CharDefText"/>
        </w:rPr>
        <w:t>match any 3 identical amounts</w:t>
      </w:r>
      <w:r>
        <w:rPr>
          <w:b/>
          <w:snapToGrid w:val="0"/>
        </w:rPr>
        <w:t>”</w:t>
      </w:r>
      <w:r>
        <w:rPr>
          <w:snapToGrid w:val="0"/>
        </w:rPr>
        <w:t xml:space="preserve"> means to win a prize the ticket must show 3 of an identical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b/>
          <w:snapToGrid w:val="0"/>
        </w:rPr>
        <w:t>“</w:t>
      </w:r>
      <w:r>
        <w:rPr>
          <w:rStyle w:val="CharDefText"/>
        </w:rPr>
        <w:t>match 3 of the same</w:t>
      </w:r>
      <w:r>
        <w:rPr>
          <w:b/>
          <w:snapToGrid w:val="0"/>
        </w:rPr>
        <w:t>”</w:t>
      </w:r>
      <w:r>
        <w:rPr>
          <w:snapToGrid w:val="0"/>
        </w:rPr>
        <w:t xml:space="preserve"> or </w:t>
      </w:r>
      <w:r>
        <w:rPr>
          <w:b/>
          <w:snapToGrid w:val="0"/>
        </w:rPr>
        <w:t>“</w:t>
      </w:r>
      <w:r>
        <w:rPr>
          <w:rStyle w:val="CharDefText"/>
        </w:rPr>
        <w:t>match 3</w:t>
      </w:r>
      <w:r>
        <w:rPr>
          <w:b/>
          <w:snapToGrid w:val="0"/>
        </w:rPr>
        <w:t>”</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b/>
          <w:snapToGrid w:val="0"/>
        </w:rPr>
        <w:t>“</w:t>
      </w:r>
      <w:r>
        <w:rPr>
          <w:rStyle w:val="CharDefText"/>
        </w:rPr>
        <w:t>match 3 words/symbols</w:t>
      </w:r>
      <w:r>
        <w:rPr>
          <w:b/>
          <w:snapToGrid w:val="0"/>
        </w:rPr>
        <w:t>”</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b/>
          <w:snapToGrid w:val="0"/>
        </w:rPr>
        <w:t>“</w:t>
      </w:r>
      <w:r>
        <w:rPr>
          <w:rStyle w:val="CharDefText"/>
        </w:rPr>
        <w:t>find 3 identical symbols or numbers</w:t>
      </w:r>
      <w:r>
        <w:rPr>
          <w:b/>
          <w:snapToGrid w:val="0"/>
        </w:rPr>
        <w:t>”</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 xml:space="preserve">In this section, the figure </w:t>
      </w:r>
      <w:r>
        <w:rPr>
          <w:b/>
          <w:snapToGrid w:val="0"/>
        </w:rPr>
        <w:t>“</w:t>
      </w:r>
      <w:r>
        <w:rPr>
          <w:rStyle w:val="CharDefText"/>
        </w:rPr>
        <w:t>3</w:t>
      </w:r>
      <w:r>
        <w:rPr>
          <w:b/>
          <w:snapToGrid w:val="0"/>
        </w:rPr>
        <w:t>”</w:t>
      </w:r>
      <w:r>
        <w:rPr>
          <w:snapToGrid w:val="0"/>
        </w:rPr>
        <w:t xml:space="preserve"> includes the word “three”.</w:t>
      </w:r>
    </w:p>
    <w:p>
      <w:pPr>
        <w:pStyle w:val="Footnotesection"/>
      </w:pPr>
      <w:r>
        <w:tab/>
        <w:t xml:space="preserve">[Section 3A inserted by No. 9 of 1993 s.4.] </w:t>
      </w:r>
    </w:p>
    <w:p>
      <w:pPr>
        <w:pStyle w:val="Heading2"/>
      </w:pPr>
      <w:bookmarkStart w:id="17" w:name="_Toc139707404"/>
      <w:bookmarkStart w:id="18" w:name="_Toc156817035"/>
      <w:bookmarkStart w:id="19" w:name="_Toc156817099"/>
      <w:bookmarkStart w:id="20" w:name="_Toc157923539"/>
      <w:r>
        <w:rPr>
          <w:rStyle w:val="CharPartNo"/>
        </w:rPr>
        <w:t>Part 2</w:t>
      </w:r>
      <w:r>
        <w:rPr>
          <w:rStyle w:val="CharDivNo"/>
        </w:rPr>
        <w:t> </w:t>
      </w:r>
      <w:r>
        <w:t>—</w:t>
      </w:r>
      <w:r>
        <w:rPr>
          <w:rStyle w:val="CharDivText"/>
        </w:rPr>
        <w:t> </w:t>
      </w:r>
      <w:r>
        <w:rPr>
          <w:rStyle w:val="CharPartText"/>
        </w:rPr>
        <w:t>Constitution and administration of Commission</w:t>
      </w:r>
      <w:bookmarkEnd w:id="17"/>
      <w:bookmarkEnd w:id="18"/>
      <w:bookmarkEnd w:id="19"/>
      <w:bookmarkEnd w:id="20"/>
      <w:r>
        <w:rPr>
          <w:rStyle w:val="CharPartText"/>
        </w:rPr>
        <w:t xml:space="preserve"> </w:t>
      </w:r>
    </w:p>
    <w:p>
      <w:pPr>
        <w:pStyle w:val="Heading5"/>
        <w:rPr>
          <w:snapToGrid w:val="0"/>
        </w:rPr>
      </w:pPr>
      <w:bookmarkStart w:id="21" w:name="_Toc428767240"/>
      <w:bookmarkStart w:id="22" w:name="_Toc139707405"/>
      <w:bookmarkStart w:id="23" w:name="_Toc157923540"/>
      <w:r>
        <w:rPr>
          <w:rStyle w:val="CharSectno"/>
        </w:rPr>
        <w:t>4</w:t>
      </w:r>
      <w:r>
        <w:rPr>
          <w:snapToGrid w:val="0"/>
        </w:rPr>
        <w:t>.</w:t>
      </w:r>
      <w:r>
        <w:rPr>
          <w:snapToGrid w:val="0"/>
        </w:rPr>
        <w:tab/>
        <w:t>Continuation of Commission</w:t>
      </w:r>
      <w:bookmarkEnd w:id="21"/>
      <w:bookmarkEnd w:id="22"/>
      <w:bookmarkEnd w:id="23"/>
      <w:r>
        <w:rPr>
          <w:snapToGrid w:val="0"/>
        </w:rPr>
        <w:t xml:space="preserve"> </w:t>
      </w:r>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24" w:name="_Toc428767241"/>
      <w:bookmarkStart w:id="25" w:name="_Toc139707406"/>
      <w:bookmarkStart w:id="26" w:name="_Toc157923541"/>
      <w:r>
        <w:rPr>
          <w:rStyle w:val="CharSectno"/>
        </w:rPr>
        <w:t>5</w:t>
      </w:r>
      <w:r>
        <w:rPr>
          <w:snapToGrid w:val="0"/>
        </w:rPr>
        <w:t>.</w:t>
      </w:r>
      <w:r>
        <w:rPr>
          <w:snapToGrid w:val="0"/>
        </w:rPr>
        <w:tab/>
        <w:t>Composition of Commission</w:t>
      </w:r>
      <w:bookmarkEnd w:id="24"/>
      <w:bookmarkEnd w:id="25"/>
      <w:bookmarkEnd w:id="26"/>
      <w:r>
        <w:rPr>
          <w:snapToGrid w:val="0"/>
        </w:rPr>
        <w:t xml:space="preserve"> </w:t>
      </w:r>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27" w:name="_Toc428767242"/>
      <w:bookmarkStart w:id="28" w:name="_Toc139707407"/>
      <w:bookmarkStart w:id="29" w:name="_Toc157923542"/>
      <w:r>
        <w:rPr>
          <w:rStyle w:val="CharSectno"/>
        </w:rPr>
        <w:t>6</w:t>
      </w:r>
      <w:r>
        <w:rPr>
          <w:snapToGrid w:val="0"/>
        </w:rPr>
        <w:t>.</w:t>
      </w:r>
      <w:r>
        <w:rPr>
          <w:snapToGrid w:val="0"/>
        </w:rPr>
        <w:tab/>
        <w:t>Functions and powers of Commission</w:t>
      </w:r>
      <w:bookmarkEnd w:id="27"/>
      <w:bookmarkEnd w:id="28"/>
      <w:bookmarkEnd w:id="29"/>
      <w:r>
        <w:rPr>
          <w:snapToGrid w:val="0"/>
        </w:rPr>
        <w:t xml:space="preserve"> </w:t>
      </w:r>
    </w:p>
    <w:p>
      <w:pPr>
        <w:pStyle w:val="Subsection"/>
        <w:rPr>
          <w:snapToGrid w:val="0"/>
        </w:rPr>
      </w:pPr>
      <w:r>
        <w:rPr>
          <w:snapToGrid w:val="0"/>
        </w:rPr>
        <w:tab/>
        <w:t>(1)</w:t>
      </w:r>
      <w:r>
        <w:rPr>
          <w:snapToGrid w:val="0"/>
        </w:rPr>
        <w:tab/>
        <w:t>The functions of the Commission are, subject to this Act — </w:t>
      </w:r>
    </w:p>
    <w:p>
      <w:pPr>
        <w:pStyle w:val="Indenta"/>
        <w:rPr>
          <w:snapToGrid w:val="0"/>
        </w:rPr>
      </w:pPr>
      <w:r>
        <w:rPr>
          <w:snapToGrid w:val="0"/>
        </w:rPr>
        <w:tab/>
        <w:t>(a)</w:t>
      </w:r>
      <w:r>
        <w:rPr>
          <w:snapToGrid w:val="0"/>
        </w:rPr>
        <w:tab/>
        <w:t>to conduct lotteries;</w:t>
      </w:r>
    </w:p>
    <w:p>
      <w:pPr>
        <w:pStyle w:val="Ednotepara"/>
      </w:pPr>
      <w:r>
        <w:tab/>
        <w:t>[(b) and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pPr>
        <w:pStyle w:val="Subsection"/>
        <w:rPr>
          <w:snapToGrid w:val="0"/>
        </w:rPr>
      </w:pPr>
      <w:r>
        <w:rPr>
          <w:snapToGrid w:val="0"/>
        </w:rPr>
        <w:tab/>
        <w:t>(3)</w:t>
      </w:r>
      <w:r>
        <w:rPr>
          <w:snapToGrid w:val="0"/>
        </w:rPr>
        <w:tab/>
        <w:t>The Commission may, with the approval in writing of the Minister — </w:t>
      </w:r>
    </w:p>
    <w:p>
      <w:pPr>
        <w:pStyle w:val="Indenta"/>
        <w:rPr>
          <w:snapToGrid w:val="0"/>
        </w:rPr>
      </w:pPr>
      <w:r>
        <w:rPr>
          <w:spacing w:val="-2"/>
        </w:rPr>
        <w:tab/>
        <w:t>(a)</w:t>
      </w:r>
      <w:r>
        <w:rPr>
          <w:spacing w:val="-2"/>
        </w:rPr>
        <w:tab/>
        <w:t xml:space="preserve">make </w:t>
      </w:r>
      <w:r>
        <w:rPr>
          <w:snapToGrid w:val="0"/>
        </w:rPr>
        <w:t>agreements</w:t>
      </w:r>
      <w:r>
        <w:rPr>
          <w:spacing w:val="-2"/>
        </w:rP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conduct lotteries jointly with the designated authorities referred to in paragraph (a) in accordance with agreements made under this subsection.</w:t>
      </w:r>
    </w:p>
    <w:p>
      <w:pPr>
        <w:pStyle w:val="Footnotesection"/>
      </w:pPr>
      <w:r>
        <w:tab/>
        <w:t>[Section 6 amended by No. 26 of 1998 s.6.]</w:t>
      </w:r>
    </w:p>
    <w:p>
      <w:pPr>
        <w:pStyle w:val="Heading5"/>
        <w:rPr>
          <w:snapToGrid w:val="0"/>
        </w:rPr>
      </w:pPr>
      <w:bookmarkStart w:id="30" w:name="_Toc428767243"/>
      <w:bookmarkStart w:id="31" w:name="_Toc139707408"/>
      <w:bookmarkStart w:id="32" w:name="_Toc157923543"/>
      <w:r>
        <w:rPr>
          <w:rStyle w:val="CharSectno"/>
        </w:rPr>
        <w:t>7</w:t>
      </w:r>
      <w:r>
        <w:rPr>
          <w:snapToGrid w:val="0"/>
        </w:rPr>
        <w:t>.</w:t>
      </w:r>
      <w:r>
        <w:rPr>
          <w:snapToGrid w:val="0"/>
        </w:rPr>
        <w:tab/>
        <w:t>Directions by the Minister</w:t>
      </w:r>
      <w:bookmarkEnd w:id="30"/>
      <w:bookmarkEnd w:id="31"/>
      <w:bookmarkEnd w:id="32"/>
      <w:r>
        <w:rPr>
          <w:snapToGrid w:val="0"/>
        </w:rPr>
        <w:t xml:space="preserve"> </w:t>
      </w:r>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w:t>
      </w:r>
      <w:del w:id="33" w:author="svcMRProcess" w:date="2015-12-10T16:45:00Z">
        <w:r>
          <w:rPr>
            <w:snapToGrid w:val="0"/>
          </w:rPr>
          <w:delText>section 66</w:delText>
        </w:r>
      </w:del>
      <w:ins w:id="34" w:author="svcMRProcess" w:date="2015-12-10T16:45:00Z">
        <w:r>
          <w:t>Part 5</w:t>
        </w:r>
      </w:ins>
      <w:r>
        <w:t xml:space="preserve"> of the </w:t>
      </w:r>
      <w:r>
        <w:rPr>
          <w:i/>
          <w:iCs/>
        </w:rPr>
        <w:t xml:space="preserve">Financial </w:t>
      </w:r>
      <w:del w:id="35" w:author="svcMRProcess" w:date="2015-12-10T16:45:00Z">
        <w:r>
          <w:rPr>
            <w:i/>
            <w:snapToGrid w:val="0"/>
          </w:rPr>
          <w:delText>Administration and Audit</w:delText>
        </w:r>
      </w:del>
      <w:ins w:id="36" w:author="svcMRProcess" w:date="2015-12-10T16:45:00Z">
        <w:r>
          <w:rPr>
            <w:i/>
            <w:iCs/>
          </w:rPr>
          <w:t>Management</w:t>
        </w:r>
      </w:ins>
      <w:r>
        <w:rPr>
          <w:i/>
          <w:iCs/>
        </w:rPr>
        <w:t xml:space="preserve"> Act </w:t>
      </w:r>
      <w:del w:id="37" w:author="svcMRProcess" w:date="2015-12-10T16:45:00Z">
        <w:r>
          <w:rPr>
            <w:i/>
            <w:snapToGrid w:val="0"/>
          </w:rPr>
          <w:delText>1985</w:delText>
        </w:r>
      </w:del>
      <w:ins w:id="38" w:author="svcMRProcess" w:date="2015-12-10T16:45:00Z">
        <w:r>
          <w:rPr>
            <w:i/>
            <w:iCs/>
          </w:rPr>
          <w:t>2006</w:t>
        </w:r>
      </w:ins>
      <w:r>
        <w:t>.</w:t>
      </w:r>
    </w:p>
    <w:p>
      <w:pPr>
        <w:pStyle w:val="Subsection"/>
        <w:spacing w:before="120"/>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7 amended by No. 41 of 1996 s.3</w:t>
      </w:r>
      <w:del w:id="39" w:author="svcMRProcess" w:date="2015-12-10T16:45:00Z">
        <w:r>
          <w:delText>.]</w:delText>
        </w:r>
      </w:del>
      <w:ins w:id="40" w:author="svcMRProcess" w:date="2015-12-10T16:45:00Z">
        <w:r>
          <w:t>; No. 77 of 2006 s. 17.]</w:t>
        </w:r>
      </w:ins>
      <w:r>
        <w:t xml:space="preserve"> </w:t>
      </w:r>
    </w:p>
    <w:p>
      <w:pPr>
        <w:pStyle w:val="Heading5"/>
        <w:rPr>
          <w:snapToGrid w:val="0"/>
        </w:rPr>
      </w:pPr>
      <w:bookmarkStart w:id="41" w:name="_Toc428767244"/>
      <w:bookmarkStart w:id="42" w:name="_Toc139707409"/>
      <w:bookmarkStart w:id="43" w:name="_Toc157923544"/>
      <w:r>
        <w:rPr>
          <w:rStyle w:val="CharSectno"/>
        </w:rPr>
        <w:t>8</w:t>
      </w:r>
      <w:r>
        <w:rPr>
          <w:snapToGrid w:val="0"/>
        </w:rPr>
        <w:t>.</w:t>
      </w:r>
      <w:r>
        <w:rPr>
          <w:snapToGrid w:val="0"/>
        </w:rPr>
        <w:tab/>
        <w:t>Commission trading name or symbol</w:t>
      </w:r>
      <w:bookmarkEnd w:id="41"/>
      <w:bookmarkEnd w:id="42"/>
      <w:bookmarkEnd w:id="43"/>
      <w:r>
        <w:rPr>
          <w:snapToGrid w:val="0"/>
        </w:rPr>
        <w:t xml:space="preserve"> </w:t>
      </w:r>
    </w:p>
    <w:p>
      <w:pPr>
        <w:pStyle w:val="Subsection"/>
        <w:spacing w:before="120"/>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44" w:name="_Toc138751280"/>
      <w:bookmarkStart w:id="45" w:name="_Toc139167021"/>
      <w:bookmarkStart w:id="46" w:name="_Toc139707410"/>
      <w:bookmarkStart w:id="47" w:name="_Toc157923545"/>
      <w:bookmarkStart w:id="48" w:name="_Toc428767245"/>
      <w:r>
        <w:rPr>
          <w:rStyle w:val="CharSectno"/>
        </w:rPr>
        <w:t>8A</w:t>
      </w:r>
      <w:r>
        <w:t>.</w:t>
      </w:r>
      <w:r>
        <w:tab/>
        <w:t>Duty to observe policy instruments</w:t>
      </w:r>
      <w:bookmarkEnd w:id="44"/>
      <w:bookmarkEnd w:id="45"/>
      <w:bookmarkEnd w:id="46"/>
      <w:bookmarkEnd w:id="47"/>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 by No. 28 of 2006 s. 427.]</w:t>
      </w:r>
    </w:p>
    <w:p>
      <w:pPr>
        <w:pStyle w:val="Heading5"/>
      </w:pPr>
      <w:bookmarkStart w:id="49" w:name="_Toc138751281"/>
      <w:bookmarkStart w:id="50" w:name="_Toc139167022"/>
      <w:bookmarkStart w:id="51" w:name="_Toc139707411"/>
      <w:bookmarkStart w:id="52" w:name="_Toc157923546"/>
      <w:r>
        <w:rPr>
          <w:rStyle w:val="CharSectno"/>
        </w:rPr>
        <w:t>8B</w:t>
      </w:r>
      <w:r>
        <w:t>.</w:t>
      </w:r>
      <w:r>
        <w:tab/>
        <w:t>Strategic development plan and statement of corporate intent</w:t>
      </w:r>
      <w:bookmarkEnd w:id="49"/>
      <w:bookmarkEnd w:id="50"/>
      <w:bookmarkEnd w:id="51"/>
      <w:bookmarkEnd w:id="52"/>
    </w:p>
    <w:p>
      <w:pPr>
        <w:pStyle w:val="Subsection"/>
      </w:pPr>
      <w:r>
        <w:tab/>
        <w:t>(1)</w:t>
      </w:r>
      <w:r>
        <w:tab/>
        <w:t xml:space="preserve">The members of the Commission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53" w:name="_Toc138751282"/>
      <w:bookmarkStart w:id="54" w:name="_Toc139167023"/>
      <w:r>
        <w:tab/>
        <w:t>[Section 8B inserted by No. 28 of 2006 s. 427.]</w:t>
      </w:r>
    </w:p>
    <w:p>
      <w:pPr>
        <w:pStyle w:val="Heading5"/>
      </w:pPr>
      <w:bookmarkStart w:id="55" w:name="_Toc139707412"/>
      <w:bookmarkStart w:id="56" w:name="_Toc157923547"/>
      <w:r>
        <w:rPr>
          <w:rStyle w:val="CharSectno"/>
        </w:rPr>
        <w:t>8C</w:t>
      </w:r>
      <w:r>
        <w:t>.</w:t>
      </w:r>
      <w:r>
        <w:tab/>
        <w:t>Laying directions about strategic development plan or statement of corporate intent before Parliament</w:t>
      </w:r>
      <w:bookmarkEnd w:id="53"/>
      <w:bookmarkEnd w:id="54"/>
      <w:bookmarkEnd w:id="55"/>
      <w:bookmarkEnd w:id="56"/>
    </w:p>
    <w:p>
      <w:pPr>
        <w:pStyle w:val="Subsection"/>
      </w:pPr>
      <w:r>
        <w:tab/>
        <w:t>(1)</w:t>
      </w:r>
      <w:r>
        <w:tab/>
        <w:t xml:space="preserve">If —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w:t>
      </w:r>
      <w:del w:id="57" w:author="svcMRProcess" w:date="2015-12-10T16:45:00Z">
        <w:r>
          <w:delText>section 66</w:delText>
        </w:r>
      </w:del>
      <w:ins w:id="58" w:author="svcMRProcess" w:date="2015-12-10T16:45:00Z">
        <w:r>
          <w:t>Part 5</w:t>
        </w:r>
      </w:ins>
      <w:r>
        <w:t xml:space="preserve"> of the </w:t>
      </w:r>
      <w:r>
        <w:rPr>
          <w:i/>
          <w:iCs/>
        </w:rPr>
        <w:t xml:space="preserve">Financial </w:t>
      </w:r>
      <w:del w:id="59" w:author="svcMRProcess" w:date="2015-12-10T16:45:00Z">
        <w:r>
          <w:rPr>
            <w:i/>
          </w:rPr>
          <w:delText>Administration and Audit</w:delText>
        </w:r>
      </w:del>
      <w:ins w:id="60" w:author="svcMRProcess" w:date="2015-12-10T16:45:00Z">
        <w:r>
          <w:rPr>
            <w:i/>
            <w:iCs/>
          </w:rPr>
          <w:t>Management</w:t>
        </w:r>
      </w:ins>
      <w:r>
        <w:rPr>
          <w:i/>
          <w:iCs/>
        </w:rPr>
        <w:t xml:space="preserve"> Act </w:t>
      </w:r>
      <w:del w:id="61" w:author="svcMRProcess" w:date="2015-12-10T16:45:00Z">
        <w:r>
          <w:rPr>
            <w:i/>
          </w:rPr>
          <w:delText>1985</w:delText>
        </w:r>
      </w:del>
      <w:ins w:id="62" w:author="svcMRProcess" w:date="2015-12-10T16:45:00Z">
        <w:r>
          <w:rPr>
            <w:i/>
            <w:iCs/>
          </w:rPr>
          <w:t>2006</w:t>
        </w:r>
      </w:ins>
      <w:r>
        <w:t>.</w:t>
      </w:r>
    </w:p>
    <w:p>
      <w:pPr>
        <w:pStyle w:val="Footnotesection"/>
      </w:pPr>
      <w:r>
        <w:tab/>
        <w:t>[Section 8C inserted by No. 28 of 2006 s. </w:t>
      </w:r>
      <w:del w:id="63" w:author="svcMRProcess" w:date="2015-12-10T16:45:00Z">
        <w:r>
          <w:delText>427</w:delText>
        </w:r>
      </w:del>
      <w:ins w:id="64" w:author="svcMRProcess" w:date="2015-12-10T16:45:00Z">
        <w:r>
          <w:t>427; amended by No. 77 of 2006 s. 17</w:t>
        </w:r>
      </w:ins>
      <w:r>
        <w:t>.]</w:t>
      </w:r>
    </w:p>
    <w:p>
      <w:pPr>
        <w:pStyle w:val="Heading5"/>
        <w:rPr>
          <w:snapToGrid w:val="0"/>
        </w:rPr>
      </w:pPr>
      <w:bookmarkStart w:id="65" w:name="_Toc139707413"/>
      <w:bookmarkStart w:id="66" w:name="_Toc157923548"/>
      <w:r>
        <w:rPr>
          <w:rStyle w:val="CharSectno"/>
        </w:rPr>
        <w:t>9</w:t>
      </w:r>
      <w:r>
        <w:rPr>
          <w:snapToGrid w:val="0"/>
        </w:rPr>
        <w:t>.</w:t>
      </w:r>
      <w:r>
        <w:rPr>
          <w:snapToGrid w:val="0"/>
        </w:rPr>
        <w:tab/>
        <w:t>Staff</w:t>
      </w:r>
      <w:bookmarkEnd w:id="48"/>
      <w:bookmarkEnd w:id="65"/>
      <w:bookmarkEnd w:id="66"/>
      <w:r>
        <w:rPr>
          <w:snapToGrid w:val="0"/>
        </w:rPr>
        <w:t xml:space="preserve"> </w:t>
      </w:r>
    </w:p>
    <w:p>
      <w:pPr>
        <w:pStyle w:val="Subsection"/>
        <w:spacing w:before="120"/>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spacing w:before="120"/>
        <w:rPr>
          <w:snapToGrid w:val="0"/>
          <w:spacing w:val="-4"/>
        </w:rPr>
      </w:pPr>
      <w:r>
        <w:rPr>
          <w:snapToGrid w:val="0"/>
          <w:spacing w:val="-4"/>
        </w:rPr>
        <w:tab/>
        <w:t>(2)</w:t>
      </w:r>
      <w:r>
        <w:rPr>
          <w:snapToGrid w:val="0"/>
          <w:spacing w:val="-4"/>
        </w:rPr>
        <w:tab/>
        <w:t xml:space="preserve">Subject to any relevant order, award or industrial agreement the terms and conditions of office or employment of persons appointed under subsection (1), including the salary or wages payable, are such terms and conditions as the Commission determines after consultation with the Public Service Commissioner </w:t>
      </w:r>
      <w:r>
        <w:rPr>
          <w:snapToGrid w:val="0"/>
          <w:spacing w:val="-4"/>
          <w:vertAlign w:val="superscript"/>
        </w:rPr>
        <w:t>2</w:t>
      </w:r>
      <w:r>
        <w:rPr>
          <w:snapToGrid w:val="0"/>
          <w:spacing w:val="-4"/>
        </w:rPr>
        <w:t>.</w:t>
      </w:r>
    </w:p>
    <w:p>
      <w:pPr>
        <w:pStyle w:val="Subsection"/>
        <w:spacing w:before="120"/>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Service Act 1978</w:t>
      </w:r>
      <w:r>
        <w:rPr>
          <w:snapToGrid w:val="0"/>
        </w:rPr>
        <w:t xml:space="preserve"> </w:t>
      </w:r>
      <w:r>
        <w:rPr>
          <w:snapToGrid w:val="0"/>
          <w:vertAlign w:val="superscript"/>
        </w:rPr>
        <w:t>3</w:t>
      </w:r>
      <w:r>
        <w:rPr>
          <w:snapToGrid w:val="0"/>
        </w:rPr>
        <w:t xml:space="preserve"> an inconsistency between this Act and that Act, that Act shall prevail.</w:t>
      </w:r>
    </w:p>
    <w:p>
      <w:pPr>
        <w:pStyle w:val="Subsection"/>
        <w:spacing w:before="120"/>
        <w:rPr>
          <w:snapToGrid w:val="0"/>
        </w:rPr>
      </w:pPr>
      <w:r>
        <w:rPr>
          <w:snapToGrid w:val="0"/>
        </w:rPr>
        <w:tab/>
        <w:t>(5)</w:t>
      </w:r>
      <w:r>
        <w:rPr>
          <w:snapToGrid w:val="0"/>
        </w:rPr>
        <w:tab/>
        <w:t>The engagement of a person under subsection (3)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 xml:space="preserve">[Section 9 amended by No. 32 of 1994 s.3(2).] </w:t>
      </w:r>
    </w:p>
    <w:p>
      <w:pPr>
        <w:pStyle w:val="Heading2"/>
      </w:pPr>
      <w:bookmarkStart w:id="67" w:name="_Toc139707414"/>
      <w:bookmarkStart w:id="68" w:name="_Toc156817045"/>
      <w:bookmarkStart w:id="69" w:name="_Toc156817109"/>
      <w:bookmarkStart w:id="70" w:name="_Toc157923549"/>
      <w:r>
        <w:rPr>
          <w:rStyle w:val="CharPartNo"/>
        </w:rPr>
        <w:t>Part 3</w:t>
      </w:r>
      <w:r>
        <w:t> — </w:t>
      </w:r>
      <w:r>
        <w:rPr>
          <w:rStyle w:val="CharPartText"/>
        </w:rPr>
        <w:t>Conduct of lotteries</w:t>
      </w:r>
      <w:bookmarkEnd w:id="67"/>
      <w:bookmarkEnd w:id="68"/>
      <w:bookmarkEnd w:id="69"/>
      <w:bookmarkEnd w:id="70"/>
    </w:p>
    <w:p>
      <w:pPr>
        <w:pStyle w:val="Footnoteheading"/>
      </w:pPr>
      <w:r>
        <w:tab/>
        <w:t>[Heading inserted by No. 26 of 1998 s.7.]</w:t>
      </w:r>
    </w:p>
    <w:p>
      <w:pPr>
        <w:pStyle w:val="Heading5"/>
        <w:rPr>
          <w:snapToGrid w:val="0"/>
        </w:rPr>
      </w:pPr>
      <w:bookmarkStart w:id="71" w:name="_Toc428767246"/>
      <w:bookmarkStart w:id="72" w:name="_Toc139707415"/>
      <w:bookmarkStart w:id="73" w:name="_Toc157923550"/>
      <w:r>
        <w:rPr>
          <w:rStyle w:val="CharSectno"/>
        </w:rPr>
        <w:t>10</w:t>
      </w:r>
      <w:r>
        <w:rPr>
          <w:snapToGrid w:val="0"/>
        </w:rPr>
        <w:t>.</w:t>
      </w:r>
      <w:r>
        <w:rPr>
          <w:snapToGrid w:val="0"/>
        </w:rPr>
        <w:tab/>
        <w:t>Applications to conduct lotteries and games of lotto</w:t>
      </w:r>
      <w:bookmarkEnd w:id="71"/>
      <w:bookmarkEnd w:id="72"/>
      <w:bookmarkEnd w:id="73"/>
      <w:r>
        <w:rPr>
          <w:snapToGrid w:val="0"/>
        </w:rPr>
        <w:t xml:space="preserve"> </w:t>
      </w:r>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rPr>
          <w:spacing w:val="-2"/>
        </w:rPr>
      </w:pPr>
      <w:r>
        <w:rPr>
          <w:spacing w:val="-2"/>
        </w:rPr>
        <w:tab/>
        <w:t>(2)</w:t>
      </w:r>
      <w:r>
        <w:rPr>
          <w:spacing w:val="-2"/>
        </w:rPr>
        <w:tab/>
        <w:t xml:space="preserve">An </w:t>
      </w:r>
      <w:r>
        <w:rPr>
          <w:snapToGrid w:val="0"/>
        </w:rPr>
        <w:t>application</w:t>
      </w:r>
      <w:r>
        <w:rPr>
          <w:spacing w:val="-2"/>
        </w:rPr>
        <w:t xml:space="preserve"> shall — </w:t>
      </w:r>
    </w:p>
    <w:p>
      <w:pPr>
        <w:pStyle w:val="Indenta"/>
        <w:rPr>
          <w:spacing w:val="-2"/>
        </w:rPr>
      </w:pPr>
      <w:r>
        <w:rPr>
          <w:spacing w:val="-2"/>
        </w:rPr>
        <w:tab/>
        <w:t>(a)</w:t>
      </w:r>
      <w:r>
        <w:rPr>
          <w:spacing w:val="-2"/>
        </w:rPr>
        <w:tab/>
        <w:t xml:space="preserve">be made at </w:t>
      </w:r>
      <w:r>
        <w:rPr>
          <w:snapToGrid w:val="0"/>
        </w:rPr>
        <w:t>least</w:t>
      </w:r>
      <w:r>
        <w:rPr>
          <w:spacing w:val="-2"/>
        </w:rPr>
        <w:t xml:space="preserve"> 14 days before the lottery is conducted; and</w:t>
      </w:r>
    </w:p>
    <w:p>
      <w:pPr>
        <w:pStyle w:val="Indenta"/>
        <w:rPr>
          <w:spacing w:val="-2"/>
        </w:rPr>
      </w:pPr>
      <w:r>
        <w:rPr>
          <w:spacing w:val="-2"/>
        </w:rPr>
        <w:tab/>
        <w:t>(b)</w:t>
      </w:r>
      <w:r>
        <w:rPr>
          <w:spacing w:val="-2"/>
        </w:rPr>
        <w:tab/>
        <w:t xml:space="preserve">be duly </w:t>
      </w:r>
      <w:r>
        <w:rPr>
          <w:snapToGrid w:val="0"/>
        </w:rPr>
        <w:t>executed</w:t>
      </w:r>
      <w:r>
        <w:rPr>
          <w:spacing w:val="-2"/>
        </w:rPr>
        <w:t xml:space="preserve"> by the Commission in accordance with this Act.</w:t>
      </w:r>
    </w:p>
    <w:p>
      <w:pPr>
        <w:pStyle w:val="Subsection"/>
        <w:rPr>
          <w:spacing w:val="-2"/>
        </w:rPr>
      </w:pPr>
      <w:r>
        <w:rPr>
          <w:spacing w:val="-2"/>
        </w:rPr>
        <w:tab/>
        <w:t>(2a)</w:t>
      </w:r>
      <w:r>
        <w:rPr>
          <w:spacing w:val="-2"/>
        </w:rPr>
        <w:tab/>
        <w:t xml:space="preserve">An </w:t>
      </w:r>
      <w:r>
        <w:rPr>
          <w:snapToGrid w:val="0"/>
        </w:rPr>
        <w:t>application</w:t>
      </w:r>
      <w:r>
        <w:rPr>
          <w:spacing w:val="-2"/>
        </w:rPr>
        <w:t xml:space="preserve"> for a permit to conduct a lottery shall state — </w:t>
      </w:r>
    </w:p>
    <w:p>
      <w:pPr>
        <w:pStyle w:val="Indenta"/>
        <w:rPr>
          <w:spacing w:val="-2"/>
        </w:rPr>
      </w:pPr>
      <w:r>
        <w:rPr>
          <w:spacing w:val="-2"/>
        </w:rPr>
        <w:tab/>
        <w:t>(a)</w:t>
      </w:r>
      <w:r>
        <w:rPr>
          <w:spacing w:val="-2"/>
        </w:rPr>
        <w:tab/>
        <w:t>the price of each subscription;</w:t>
      </w:r>
    </w:p>
    <w:p>
      <w:pPr>
        <w:pStyle w:val="Indenta"/>
        <w:rPr>
          <w:spacing w:val="-2"/>
        </w:rPr>
      </w:pPr>
      <w:r>
        <w:rPr>
          <w:spacing w:val="-2"/>
        </w:rPr>
        <w:tab/>
        <w:t>(b)</w:t>
      </w:r>
      <w:r>
        <w:rPr>
          <w:spacing w:val="-2"/>
        </w:rPr>
        <w:tab/>
        <w:t xml:space="preserve">the </w:t>
      </w:r>
      <w:r>
        <w:rPr>
          <w:snapToGrid w:val="0"/>
        </w:rPr>
        <w:t>details</w:t>
      </w:r>
      <w:r>
        <w:rPr>
          <w:spacing w:val="-2"/>
        </w:rPr>
        <w:t xml:space="preserve"> of the prize structure of the lottery including prize reserve funds; and</w:t>
      </w:r>
    </w:p>
    <w:p>
      <w:pPr>
        <w:pStyle w:val="Indenta"/>
        <w:rPr>
          <w:snapToGrid w:val="0"/>
        </w:rPr>
      </w:pPr>
      <w:r>
        <w:rPr>
          <w:spacing w:val="-2"/>
        </w:rPr>
        <w:tab/>
        <w:t>(c)</w:t>
      </w:r>
      <w:r>
        <w:rPr>
          <w:spacing w:val="-2"/>
        </w:rPr>
        <w:tab/>
        <w:t xml:space="preserve">the </w:t>
      </w:r>
      <w:r>
        <w:rPr>
          <w:snapToGrid w:val="0"/>
        </w:rPr>
        <w:t>prescribed</w:t>
      </w:r>
      <w:r>
        <w:rPr>
          <w:spacing w:val="-2"/>
        </w:rPr>
        <w:t xml:space="preserve"> particulars, if any.</w:t>
      </w:r>
    </w:p>
    <w:p>
      <w:pPr>
        <w:pStyle w:val="Subsection"/>
        <w:rPr>
          <w:snapToGrid w:val="0"/>
        </w:rPr>
      </w:pPr>
      <w:r>
        <w:rPr>
          <w:snapToGrid w:val="0"/>
        </w:rPr>
        <w:tab/>
        <w:t>(3)</w:t>
      </w:r>
      <w:r>
        <w:rPr>
          <w:snapToGrid w:val="0"/>
        </w:rPr>
        <w:tab/>
        <w:t>On receiving an application under subsection (1), the Minister shall —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rPr>
          <w:spacing w:val="-2"/>
        </w:rPr>
      </w:pPr>
      <w:r>
        <w:rPr>
          <w:spacing w:val="-2"/>
        </w:rPr>
        <w:tab/>
        <w:t>(4)</w:t>
      </w:r>
      <w:r>
        <w:rPr>
          <w:spacing w:val="-2"/>
        </w:rPr>
        <w:tab/>
        <w:t xml:space="preserve">It is a </w:t>
      </w:r>
      <w:r>
        <w:rPr>
          <w:snapToGrid w:val="0"/>
        </w:rPr>
        <w:t>condition</w:t>
      </w:r>
      <w:r>
        <w:rPr>
          <w:spacing w:val="-2"/>
        </w:rPr>
        <w:t xml:space="preserve"> of any permit granted under subsection (3) that the lottery may not be conducted unless rules have been made for the conduct of that lottery by the Commission under section 28.</w:t>
      </w:r>
    </w:p>
    <w:p>
      <w:pPr>
        <w:pStyle w:val="Footnotesection"/>
      </w:pPr>
      <w:r>
        <w:tab/>
        <w:t>[Section 10 amended by No. 26 of 1998 s.8.]</w:t>
      </w:r>
    </w:p>
    <w:p>
      <w:pPr>
        <w:pStyle w:val="Ednotesection"/>
        <w:rPr>
          <w:snapToGrid/>
        </w:rPr>
      </w:pPr>
      <w:r>
        <w:rPr>
          <w:snapToGrid/>
        </w:rPr>
        <w:t>[</w:t>
      </w:r>
      <w:r>
        <w:rPr>
          <w:b/>
          <w:snapToGrid/>
        </w:rPr>
        <w:t>11.</w:t>
      </w:r>
      <w:r>
        <w:rPr>
          <w:snapToGrid/>
        </w:rPr>
        <w:tab/>
        <w:t>Repealed by No. 26 of 1998 s.9.]</w:t>
      </w:r>
    </w:p>
    <w:p>
      <w:pPr>
        <w:pStyle w:val="Heading5"/>
        <w:rPr>
          <w:snapToGrid w:val="0"/>
        </w:rPr>
      </w:pPr>
      <w:bookmarkStart w:id="74" w:name="_Toc428767247"/>
      <w:bookmarkStart w:id="75" w:name="_Toc139707416"/>
      <w:bookmarkStart w:id="76" w:name="_Toc157923551"/>
      <w:r>
        <w:rPr>
          <w:rStyle w:val="CharSectno"/>
        </w:rPr>
        <w:t>12</w:t>
      </w:r>
      <w:r>
        <w:rPr>
          <w:snapToGrid w:val="0"/>
        </w:rPr>
        <w:t>.</w:t>
      </w:r>
      <w:r>
        <w:rPr>
          <w:snapToGrid w:val="0"/>
        </w:rPr>
        <w:tab/>
        <w:t>Provisions relating to lotteries conducted by Commission</w:t>
      </w:r>
      <w:bookmarkEnd w:id="74"/>
      <w:bookmarkEnd w:id="75"/>
      <w:bookmarkEnd w:id="76"/>
      <w:r>
        <w:rPr>
          <w:snapToGrid w:val="0"/>
        </w:rPr>
        <w:t xml:space="preserve"> </w:t>
      </w:r>
    </w:p>
    <w:p>
      <w:pPr>
        <w:pStyle w:val="Subsection"/>
        <w:spacing w:before="120"/>
        <w:rPr>
          <w:snapToGrid w:val="0"/>
        </w:rPr>
      </w:pPr>
      <w:r>
        <w:rPr>
          <w:snapToGrid w:val="0"/>
        </w:rPr>
        <w:tab/>
      </w:r>
      <w:r>
        <w:rPr>
          <w:snapToGrid w:val="0"/>
        </w:rPr>
        <w:tab/>
        <w:t>Subject to the Commission having obtained a permit as provided by this Act, the Commission may —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pPr>
      <w:r>
        <w:tab/>
        <w:t>[Section 12 amended by No. 26 of 1998 s.10.]</w:t>
      </w:r>
    </w:p>
    <w:p>
      <w:pPr>
        <w:pStyle w:val="Heading5"/>
        <w:rPr>
          <w:snapToGrid w:val="0"/>
        </w:rPr>
      </w:pPr>
      <w:bookmarkStart w:id="77" w:name="_Toc428767248"/>
      <w:bookmarkStart w:id="78" w:name="_Toc139707417"/>
      <w:bookmarkStart w:id="79" w:name="_Toc157923552"/>
      <w:r>
        <w:rPr>
          <w:rStyle w:val="CharSectno"/>
        </w:rPr>
        <w:t>13</w:t>
      </w:r>
      <w:r>
        <w:rPr>
          <w:snapToGrid w:val="0"/>
        </w:rPr>
        <w:t>.</w:t>
      </w:r>
      <w:r>
        <w:rPr>
          <w:snapToGrid w:val="0"/>
        </w:rPr>
        <w:tab/>
        <w:t>Duties of Commission in respect of lotteries, games of lotto and soccer football pools</w:t>
      </w:r>
      <w:bookmarkEnd w:id="77"/>
      <w:bookmarkEnd w:id="78"/>
      <w:bookmarkEnd w:id="79"/>
      <w:r>
        <w:rPr>
          <w:snapToGrid w:val="0"/>
        </w:rPr>
        <w:t xml:space="preserve"> </w:t>
      </w:r>
    </w:p>
    <w:p>
      <w:pPr>
        <w:pStyle w:val="Subsection"/>
        <w:spacing w:before="120"/>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by No. 26 of 1998 s.11.]</w:t>
      </w:r>
    </w:p>
    <w:p>
      <w:pPr>
        <w:pStyle w:val="Heading5"/>
        <w:rPr>
          <w:snapToGrid w:val="0"/>
        </w:rPr>
      </w:pPr>
      <w:bookmarkStart w:id="80" w:name="_Toc428767249"/>
      <w:bookmarkStart w:id="81" w:name="_Toc139707418"/>
      <w:bookmarkStart w:id="82" w:name="_Toc157923553"/>
      <w:r>
        <w:rPr>
          <w:rStyle w:val="CharSectno"/>
        </w:rPr>
        <w:t>14</w:t>
      </w:r>
      <w:r>
        <w:rPr>
          <w:snapToGrid w:val="0"/>
        </w:rPr>
        <w:t>.</w:t>
      </w:r>
      <w:r>
        <w:rPr>
          <w:snapToGrid w:val="0"/>
        </w:rPr>
        <w:tab/>
        <w:t>Prizes</w:t>
      </w:r>
      <w:bookmarkEnd w:id="80"/>
      <w:bookmarkEnd w:id="81"/>
      <w:bookmarkEnd w:id="82"/>
      <w:r>
        <w:rPr>
          <w:snapToGrid w:val="0"/>
        </w:rPr>
        <w:t xml:space="preserve"> </w:t>
      </w:r>
    </w:p>
    <w:p>
      <w:pPr>
        <w:pStyle w:val="Subsection"/>
        <w:spacing w:before="120"/>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spacing w:before="120"/>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by No. 26 of 1998 s.12.]</w:t>
      </w:r>
    </w:p>
    <w:p>
      <w:pPr>
        <w:pStyle w:val="Heading5"/>
        <w:rPr>
          <w:snapToGrid w:val="0"/>
        </w:rPr>
      </w:pPr>
      <w:bookmarkStart w:id="83" w:name="_Toc428767250"/>
      <w:bookmarkStart w:id="84" w:name="_Toc139707419"/>
      <w:bookmarkStart w:id="85" w:name="_Toc157923554"/>
      <w:r>
        <w:rPr>
          <w:rStyle w:val="CharSectno"/>
        </w:rPr>
        <w:t>15</w:t>
      </w:r>
      <w:r>
        <w:rPr>
          <w:snapToGrid w:val="0"/>
        </w:rPr>
        <w:t>.</w:t>
      </w:r>
      <w:r>
        <w:rPr>
          <w:snapToGrid w:val="0"/>
        </w:rPr>
        <w:tab/>
        <w:t>Payment of prizes</w:t>
      </w:r>
      <w:bookmarkEnd w:id="83"/>
      <w:bookmarkEnd w:id="84"/>
      <w:bookmarkEnd w:id="85"/>
      <w:r>
        <w:rPr>
          <w:snapToGrid w:val="0"/>
        </w:rPr>
        <w:t xml:space="preserve"> </w:t>
      </w:r>
    </w:p>
    <w:p>
      <w:pPr>
        <w:pStyle w:val="Subsection"/>
        <w:spacing w:before="120"/>
        <w:rPr>
          <w:spacing w:val="-2"/>
        </w:rPr>
      </w:pPr>
      <w:r>
        <w:rPr>
          <w:spacing w:val="-2"/>
        </w:rPr>
        <w:tab/>
        <w:t>(1)</w:t>
      </w:r>
      <w:r>
        <w:rPr>
          <w:spacing w:val="-2"/>
        </w:rPr>
        <w:tab/>
        <w:t xml:space="preserve">The </w:t>
      </w:r>
      <w:r>
        <w:rPr>
          <w:snapToGrid w:val="0"/>
        </w:rPr>
        <w:t>Commission</w:t>
      </w:r>
      <w:r>
        <w:rPr>
          <w:spacing w:val="-2"/>
        </w:rP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spacing w:before="120"/>
        <w:rPr>
          <w:spacing w:val="-2"/>
        </w:rPr>
      </w:pPr>
      <w:r>
        <w:rPr>
          <w:spacing w:val="-2"/>
        </w:rPr>
        <w:tab/>
        <w:t>(2)</w:t>
      </w:r>
      <w:r>
        <w:rPr>
          <w:spacing w:val="-2"/>
        </w:rPr>
        <w:tab/>
        <w:t xml:space="preserve">If a </w:t>
      </w:r>
      <w:r>
        <w:rPr>
          <w:snapToGrid w:val="0"/>
        </w:rPr>
        <w:t>participant</w:t>
      </w:r>
      <w:r>
        <w:rPr>
          <w:spacing w:val="-2"/>
        </w:rP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spacing w:before="120"/>
        <w:rPr>
          <w:spacing w:val="-2"/>
        </w:rPr>
      </w:pPr>
      <w:r>
        <w:rPr>
          <w:spacing w:val="-2"/>
        </w:rPr>
        <w:tab/>
        <w:t>(3)</w:t>
      </w:r>
      <w:r>
        <w:rPr>
          <w:spacing w:val="-2"/>
        </w:rPr>
        <w:tab/>
        <w:t xml:space="preserve">The </w:t>
      </w:r>
      <w:r>
        <w:rPr>
          <w:snapToGrid w:val="0"/>
        </w:rPr>
        <w:t>Commission</w:t>
      </w:r>
      <w:r>
        <w:rPr>
          <w:spacing w:val="-2"/>
        </w:rPr>
        <w:t xml:space="preserve"> is not obliged to satisfy itself that — </w:t>
      </w:r>
    </w:p>
    <w:p>
      <w:pPr>
        <w:pStyle w:val="Indenta"/>
        <w:rPr>
          <w:spacing w:val="-2"/>
        </w:rPr>
      </w:pPr>
      <w:r>
        <w:rPr>
          <w:spacing w:val="-2"/>
        </w:rPr>
        <w:tab/>
        <w:t>(a)</w:t>
      </w:r>
      <w:r>
        <w:rPr>
          <w:spacing w:val="-2"/>
        </w:rPr>
        <w:tab/>
        <w:t xml:space="preserve">the </w:t>
      </w:r>
      <w:r>
        <w:rPr>
          <w:snapToGrid w:val="0"/>
        </w:rPr>
        <w:t>purported</w:t>
      </w:r>
      <w:r>
        <w:rPr>
          <w:spacing w:val="-2"/>
        </w:rPr>
        <w:t xml:space="preserve"> participant presenting evidence of a winning entry, etc., is lawfully entitled to claim possession or ownership of that evidence;</w:t>
      </w:r>
    </w:p>
    <w:p>
      <w:pPr>
        <w:pStyle w:val="Indenta"/>
        <w:rPr>
          <w:spacing w:val="-2"/>
        </w:rPr>
      </w:pPr>
      <w:r>
        <w:rPr>
          <w:spacing w:val="-2"/>
        </w:rPr>
        <w:tab/>
        <w:t>(b)</w:t>
      </w:r>
      <w:r>
        <w:rPr>
          <w:spacing w:val="-2"/>
        </w:rPr>
        <w:tab/>
      </w:r>
      <w:r>
        <w:rPr>
          <w:snapToGrid w:val="0"/>
        </w:rPr>
        <w:t>any</w:t>
      </w:r>
      <w:r>
        <w:rPr>
          <w:spacing w:val="-2"/>
        </w:rPr>
        <w:t xml:space="preserve"> signature presented as a part of a verification process is genuine; or</w:t>
      </w:r>
    </w:p>
    <w:p>
      <w:pPr>
        <w:pStyle w:val="Indenta"/>
        <w:rPr>
          <w:spacing w:val="-2"/>
        </w:rPr>
      </w:pPr>
      <w:r>
        <w:rPr>
          <w:spacing w:val="-2"/>
        </w:rPr>
        <w:tab/>
        <w:t>(c)</w:t>
      </w:r>
      <w:r>
        <w:rPr>
          <w:spacing w:val="-2"/>
        </w:rPr>
        <w:tab/>
        <w:t xml:space="preserve">the </w:t>
      </w:r>
      <w:r>
        <w:rPr>
          <w:snapToGrid w:val="0"/>
        </w:rPr>
        <w:t>purported</w:t>
      </w:r>
      <w:r>
        <w:rPr>
          <w:spacing w:val="-2"/>
        </w:rPr>
        <w:t xml:space="preserve"> participant is not an infant or person under other legal disability.</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by No. 26 of 1998 s.13.]</w:t>
      </w:r>
    </w:p>
    <w:p>
      <w:pPr>
        <w:pStyle w:val="Heading5"/>
        <w:spacing w:before="180"/>
        <w:rPr>
          <w:snapToGrid w:val="0"/>
        </w:rPr>
      </w:pPr>
      <w:bookmarkStart w:id="86" w:name="_Toc428767251"/>
      <w:bookmarkStart w:id="87" w:name="_Toc139707420"/>
      <w:bookmarkStart w:id="88" w:name="_Toc157923555"/>
      <w:r>
        <w:rPr>
          <w:rStyle w:val="CharSectno"/>
        </w:rPr>
        <w:t>16</w:t>
      </w:r>
      <w:r>
        <w:rPr>
          <w:snapToGrid w:val="0"/>
        </w:rPr>
        <w:t>.</w:t>
      </w:r>
      <w:r>
        <w:rPr>
          <w:snapToGrid w:val="0"/>
        </w:rPr>
        <w:tab/>
        <w:t>Unclaimed prizes</w:t>
      </w:r>
      <w:bookmarkEnd w:id="86"/>
      <w:bookmarkEnd w:id="87"/>
      <w:bookmarkEnd w:id="88"/>
      <w:r>
        <w:rPr>
          <w:snapToGrid w:val="0"/>
        </w:rPr>
        <w:t xml:space="preserve"> </w:t>
      </w:r>
    </w:p>
    <w:p>
      <w:pPr>
        <w:pStyle w:val="Subsection"/>
        <w:spacing w:before="120"/>
        <w:rPr>
          <w:snapToGrid w:val="0"/>
        </w:rPr>
      </w:pPr>
      <w:r>
        <w:rPr>
          <w:spacing w:val="-2"/>
        </w:rPr>
        <w:tab/>
        <w:t>(1)</w:t>
      </w:r>
      <w:r>
        <w:rPr>
          <w:spacing w:val="-2"/>
        </w:rPr>
        <w:tab/>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spacing w:before="120"/>
        <w:rPr>
          <w:snapToGrid w:val="0"/>
          <w:spacing w:val="-4"/>
        </w:rPr>
      </w:pPr>
      <w:r>
        <w:rPr>
          <w:snapToGrid w:val="0"/>
          <w:spacing w:val="-4"/>
        </w:rPr>
        <w:tab/>
        <w:t>(2)</w:t>
      </w:r>
      <w:r>
        <w:rPr>
          <w:snapToGrid w:val="0"/>
          <w:spacing w:val="-4"/>
        </w:rPr>
        <w:tab/>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repealed]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 xml:space="preserve">[Section 16 amended by No. 32 of 1992 s.3; No. 9 of 1993 s.5; No. 26 of 1998 s.14.] </w:t>
      </w:r>
    </w:p>
    <w:p>
      <w:pPr>
        <w:pStyle w:val="Heading5"/>
        <w:rPr>
          <w:snapToGrid w:val="0"/>
        </w:rPr>
      </w:pPr>
      <w:bookmarkStart w:id="89" w:name="_Toc428767252"/>
      <w:bookmarkStart w:id="90" w:name="_Toc139707421"/>
      <w:bookmarkStart w:id="91" w:name="_Toc157923556"/>
      <w:r>
        <w:rPr>
          <w:rStyle w:val="CharSectno"/>
        </w:rPr>
        <w:t>17</w:t>
      </w:r>
      <w:r>
        <w:rPr>
          <w:snapToGrid w:val="0"/>
        </w:rPr>
        <w:t>.</w:t>
      </w:r>
      <w:r>
        <w:rPr>
          <w:snapToGrid w:val="0"/>
        </w:rPr>
        <w:tab/>
        <w:t>Requirements applicable to lotteries conducted by Commission</w:t>
      </w:r>
      <w:bookmarkEnd w:id="89"/>
      <w:bookmarkEnd w:id="90"/>
      <w:bookmarkEnd w:id="91"/>
      <w:r>
        <w:rPr>
          <w:snapToGrid w:val="0"/>
        </w:rPr>
        <w:t xml:space="preserve"> </w:t>
      </w:r>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Pr>
          <w:spacing w:val="-2"/>
        </w:rPr>
        <w:t>lottery of a similar type if one</w:t>
      </w:r>
      <w:r>
        <w:rPr>
          <w:snapToGrid w:val="0"/>
        </w:rPr>
        <w:t xml:space="preserve"> is then being conducted by the Commission or in the next </w:t>
      </w:r>
      <w:r>
        <w:rPr>
          <w:spacing w:val="-2"/>
        </w:rP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pPr>
      <w:r>
        <w:tab/>
        <w:t>[Section 17 amended by No. 26 of 1998 s.15.]</w:t>
      </w:r>
    </w:p>
    <w:p>
      <w:pPr>
        <w:pStyle w:val="Heading5"/>
      </w:pPr>
      <w:bookmarkStart w:id="92" w:name="_Toc428767253"/>
      <w:bookmarkStart w:id="93" w:name="_Toc139707422"/>
      <w:bookmarkStart w:id="94" w:name="_Toc157923557"/>
      <w:r>
        <w:rPr>
          <w:rStyle w:val="CharSectno"/>
        </w:rPr>
        <w:t>18</w:t>
      </w:r>
      <w:r>
        <w:t>.</w:t>
      </w:r>
      <w:r>
        <w:tab/>
        <w:t>Participants to be 16 years or older</w:t>
      </w:r>
      <w:bookmarkEnd w:id="92"/>
      <w:bookmarkEnd w:id="93"/>
      <w:bookmarkEnd w:id="94"/>
    </w:p>
    <w:p>
      <w:pPr>
        <w:pStyle w:val="Subsection"/>
        <w:rPr>
          <w:spacing w:val="-2"/>
        </w:rPr>
      </w:pPr>
      <w:r>
        <w:rPr>
          <w:spacing w:val="-2"/>
        </w:rPr>
        <w:tab/>
      </w:r>
      <w:r>
        <w:rPr>
          <w:spacing w:val="-2"/>
        </w:rPr>
        <w:tab/>
        <w:t xml:space="preserve">A </w:t>
      </w:r>
      <w:r>
        <w:rPr>
          <w:snapToGrid w:val="0"/>
        </w:rPr>
        <w:t>person</w:t>
      </w:r>
      <w:r>
        <w:rPr>
          <w:spacing w:val="-2"/>
        </w:rPr>
        <w:t xml:space="preserve"> shall not knowingly — </w:t>
      </w:r>
    </w:p>
    <w:p>
      <w:pPr>
        <w:pStyle w:val="Indenta"/>
        <w:rPr>
          <w:spacing w:val="-2"/>
        </w:rPr>
      </w:pPr>
      <w:r>
        <w:rPr>
          <w:spacing w:val="-2"/>
        </w:rPr>
        <w:tab/>
        <w:t>(a)</w:t>
      </w:r>
      <w:r>
        <w:rPr>
          <w:spacing w:val="-2"/>
        </w:rPr>
        <w:tab/>
        <w:t>sell a ticket in a lottery; or</w:t>
      </w:r>
    </w:p>
    <w:p>
      <w:pPr>
        <w:pStyle w:val="Indenta"/>
        <w:rPr>
          <w:spacing w:val="-2"/>
        </w:rPr>
      </w:pPr>
      <w:r>
        <w:rPr>
          <w:spacing w:val="-2"/>
        </w:rPr>
        <w:tab/>
        <w:t>(b)</w:t>
      </w:r>
      <w:r>
        <w:rPr>
          <w:spacing w:val="-2"/>
        </w:rPr>
        <w:tab/>
      </w:r>
      <w:r>
        <w:rPr>
          <w:snapToGrid w:val="0"/>
        </w:rPr>
        <w:t>cause</w:t>
      </w:r>
      <w:r>
        <w:rPr>
          <w:spacing w:val="-2"/>
        </w:rP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by No. 26 of 1998 s.16.]</w:t>
      </w:r>
    </w:p>
    <w:p>
      <w:pPr>
        <w:pStyle w:val="Heading2"/>
      </w:pPr>
      <w:bookmarkStart w:id="95" w:name="_Toc139707423"/>
      <w:bookmarkStart w:id="96" w:name="_Toc156817054"/>
      <w:bookmarkStart w:id="97" w:name="_Toc156817118"/>
      <w:bookmarkStart w:id="98" w:name="_Toc157923558"/>
      <w:r>
        <w:rPr>
          <w:rStyle w:val="CharPartNo"/>
        </w:rPr>
        <w:t>Part 4</w:t>
      </w:r>
      <w:r>
        <w:rPr>
          <w:rStyle w:val="CharDivNo"/>
        </w:rPr>
        <w:t> </w:t>
      </w:r>
      <w:r>
        <w:t>—</w:t>
      </w:r>
      <w:r>
        <w:rPr>
          <w:rStyle w:val="CharDivText"/>
        </w:rPr>
        <w:t> </w:t>
      </w:r>
      <w:r>
        <w:rPr>
          <w:rStyle w:val="CharPartText"/>
        </w:rPr>
        <w:t>Financial provisions</w:t>
      </w:r>
      <w:bookmarkEnd w:id="95"/>
      <w:bookmarkEnd w:id="96"/>
      <w:bookmarkEnd w:id="97"/>
      <w:bookmarkEnd w:id="98"/>
      <w:r>
        <w:rPr>
          <w:rStyle w:val="CharPartText"/>
        </w:rPr>
        <w:t xml:space="preserve"> </w:t>
      </w:r>
    </w:p>
    <w:p>
      <w:pPr>
        <w:pStyle w:val="Heading5"/>
        <w:rPr>
          <w:snapToGrid w:val="0"/>
        </w:rPr>
      </w:pPr>
      <w:bookmarkStart w:id="99" w:name="_Toc428767254"/>
      <w:bookmarkStart w:id="100" w:name="_Toc139707424"/>
      <w:bookmarkStart w:id="101" w:name="_Toc157923559"/>
      <w:r>
        <w:rPr>
          <w:rStyle w:val="CharSectno"/>
        </w:rPr>
        <w:t>19</w:t>
      </w:r>
      <w:r>
        <w:rPr>
          <w:snapToGrid w:val="0"/>
        </w:rPr>
        <w:t>.</w:t>
      </w:r>
      <w:r>
        <w:rPr>
          <w:snapToGrid w:val="0"/>
        </w:rPr>
        <w:tab/>
        <w:t>Interpretation</w:t>
      </w:r>
      <w:bookmarkEnd w:id="99"/>
      <w:bookmarkEnd w:id="100"/>
      <w:bookmarkEnd w:id="10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approved purpose</w:t>
      </w:r>
      <w:r>
        <w:rPr>
          <w:b/>
        </w:rPr>
        <w:t>”</w:t>
      </w:r>
      <w:r>
        <w:t xml:space="preserve"> means a benevolent or charitable purpose;</w:t>
      </w:r>
    </w:p>
    <w:p>
      <w:pPr>
        <w:pStyle w:val="Defstart"/>
      </w:pPr>
      <w:r>
        <w:rPr>
          <w:b/>
        </w:rPr>
        <w:tab/>
        <w:t>“</w:t>
      </w:r>
      <w:r>
        <w:rPr>
          <w:rStyle w:val="CharDefText"/>
        </w:rPr>
        <w:t>eligible organization</w:t>
      </w:r>
      <w:r>
        <w:rPr>
          <w:b/>
        </w:rPr>
        <w:t>”</w:t>
      </w:r>
      <w:r>
        <w:t xml:space="preserve"> means — </w:t>
      </w:r>
    </w:p>
    <w:p>
      <w:pPr>
        <w:pStyle w:val="Defpara"/>
      </w:pPr>
      <w:r>
        <w:tab/>
        <w:t>(a)</w:t>
      </w:r>
      <w:r>
        <w:tab/>
        <w:t>an institution, association, club, society, organization or body, whether incorporated or not — </w:t>
      </w:r>
    </w:p>
    <w:p>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pPr>
        <w:pStyle w:val="Defpara"/>
      </w:pPr>
      <w:r>
        <w:tab/>
      </w:r>
      <w:r>
        <w:tab/>
        <w:t>or</w:t>
      </w:r>
    </w:p>
    <w:p>
      <w:pPr>
        <w:pStyle w:val="Defpara"/>
      </w:pPr>
      <w:r>
        <w:tab/>
        <w:t>(b)</w:t>
      </w:r>
      <w:r>
        <w:tab/>
        <w:t>a local government or regional local government;</w:t>
      </w:r>
    </w:p>
    <w:p>
      <w:pPr>
        <w:pStyle w:val="Defstart"/>
      </w:pPr>
      <w:r>
        <w:rPr>
          <w:b/>
        </w:rPr>
        <w:tab/>
        <w:t>“</w:t>
      </w:r>
      <w:r>
        <w:rPr>
          <w:rStyle w:val="CharDefText"/>
        </w:rPr>
        <w:t>year</w:t>
      </w:r>
      <w:r>
        <w:rPr>
          <w:b/>
        </w:rPr>
        <w:t>”</w:t>
      </w:r>
      <w:r>
        <w:t xml:space="preserve"> means a period of 12 months ending on 30 June.</w:t>
      </w:r>
    </w:p>
    <w:p>
      <w:pPr>
        <w:pStyle w:val="Footnotesection"/>
      </w:pPr>
      <w:r>
        <w:tab/>
        <w:t xml:space="preserve">[Section 19 amended by No. 32 of 1992 s.4; No. 74 of 1994 s.4; No. 14 of 1996 s.4.] </w:t>
      </w:r>
    </w:p>
    <w:p>
      <w:pPr>
        <w:pStyle w:val="Heading5"/>
        <w:rPr>
          <w:snapToGrid w:val="0"/>
        </w:rPr>
      </w:pPr>
      <w:bookmarkStart w:id="102" w:name="_Toc428767255"/>
      <w:bookmarkStart w:id="103" w:name="_Toc139707425"/>
      <w:bookmarkStart w:id="104" w:name="_Toc157923560"/>
      <w:r>
        <w:rPr>
          <w:rStyle w:val="CharSectno"/>
        </w:rPr>
        <w:t>20</w:t>
      </w:r>
      <w:r>
        <w:rPr>
          <w:snapToGrid w:val="0"/>
        </w:rPr>
        <w:t>.</w:t>
      </w:r>
      <w:r>
        <w:rPr>
          <w:snapToGrid w:val="0"/>
        </w:rPr>
        <w:tab/>
        <w:t>Resources of Commission</w:t>
      </w:r>
      <w:bookmarkEnd w:id="102"/>
      <w:bookmarkEnd w:id="103"/>
      <w:bookmarkEnd w:id="104"/>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 </w:t>
      </w:r>
    </w:p>
    <w:p>
      <w:pPr>
        <w:pStyle w:val="Indenta"/>
        <w:rPr>
          <w:snapToGrid w:val="0"/>
        </w:rPr>
      </w:pPr>
      <w:r>
        <w:rPr>
          <w:snapToGrid w:val="0"/>
        </w:rPr>
        <w:tab/>
        <w:t>(a)</w:t>
      </w:r>
      <w:r>
        <w:rPr>
          <w:snapToGrid w:val="0"/>
        </w:rPr>
        <w:tab/>
        <w:t>moneys received by the Commission under this Act in respect of lotteries conducted by it;</w:t>
      </w:r>
    </w:p>
    <w:p>
      <w:pPr>
        <w:pStyle w:val="Indenta"/>
        <w:rPr>
          <w:snapToGrid w:val="0"/>
          <w:spacing w:val="-4"/>
        </w:rPr>
      </w:pPr>
      <w:r>
        <w:rPr>
          <w:snapToGrid w:val="0"/>
          <w:spacing w:val="-4"/>
        </w:rPr>
        <w:tab/>
        <w:t>(b)</w:t>
      </w:r>
      <w:r>
        <w:rPr>
          <w:snapToGrid w:val="0"/>
          <w:spacing w:val="-4"/>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rPr>
          <w:spacing w:val="-2"/>
        </w:rP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by No. 26 of 1998 s.17.]</w:t>
      </w:r>
    </w:p>
    <w:p>
      <w:pPr>
        <w:pStyle w:val="Heading5"/>
        <w:rPr>
          <w:snapToGrid w:val="0"/>
        </w:rPr>
      </w:pPr>
      <w:bookmarkStart w:id="105" w:name="_Toc428767256"/>
      <w:bookmarkStart w:id="106" w:name="_Toc139707426"/>
      <w:bookmarkStart w:id="107" w:name="_Toc157923561"/>
      <w:r>
        <w:rPr>
          <w:rStyle w:val="CharSectno"/>
        </w:rPr>
        <w:t>21</w:t>
      </w:r>
      <w:r>
        <w:rPr>
          <w:snapToGrid w:val="0"/>
        </w:rPr>
        <w:t>.</w:t>
      </w:r>
      <w:r>
        <w:rPr>
          <w:snapToGrid w:val="0"/>
        </w:rPr>
        <w:tab/>
        <w:t>Temporary investment of moneys</w:t>
      </w:r>
      <w:bookmarkEnd w:id="105"/>
      <w:bookmarkEnd w:id="106"/>
      <w:bookmarkEnd w:id="107"/>
      <w:r>
        <w:rPr>
          <w:snapToGrid w:val="0"/>
        </w:rPr>
        <w:t xml:space="preserve"> </w:t>
      </w:r>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 xml:space="preserve">[Section 21 amended by No. 1 of 1997 s.18.] </w:t>
      </w:r>
    </w:p>
    <w:p>
      <w:pPr>
        <w:pStyle w:val="Heading5"/>
        <w:rPr>
          <w:snapToGrid w:val="0"/>
        </w:rPr>
      </w:pPr>
      <w:bookmarkStart w:id="108" w:name="_Toc428767257"/>
      <w:bookmarkStart w:id="109" w:name="_Toc139707427"/>
      <w:bookmarkStart w:id="110" w:name="_Toc157923562"/>
      <w:r>
        <w:rPr>
          <w:rStyle w:val="CharSectno"/>
        </w:rPr>
        <w:t>22</w:t>
      </w:r>
      <w:r>
        <w:rPr>
          <w:snapToGrid w:val="0"/>
        </w:rPr>
        <w:t>.</w:t>
      </w:r>
      <w:r>
        <w:rPr>
          <w:snapToGrid w:val="0"/>
        </w:rPr>
        <w:tab/>
        <w:t>Distribution of lotteries and lotto moneys</w:t>
      </w:r>
      <w:bookmarkEnd w:id="108"/>
      <w:bookmarkEnd w:id="109"/>
      <w:bookmarkEnd w:id="110"/>
      <w:r>
        <w:rPr>
          <w:snapToGrid w:val="0"/>
        </w:rPr>
        <w:t xml:space="preserve"> </w:t>
      </w:r>
    </w:p>
    <w:p>
      <w:pPr>
        <w:pStyle w:val="Subsection"/>
        <w:rPr>
          <w:snapToGrid w:val="0"/>
        </w:rPr>
      </w:pPr>
      <w:r>
        <w:rPr>
          <w:snapToGrid w:val="0"/>
        </w:rPr>
        <w:tab/>
        <w:t>(1a)</w:t>
      </w:r>
      <w:r>
        <w:rPr>
          <w:snapToGrid w:val="0"/>
        </w:rPr>
        <w:tab/>
        <w:t xml:space="preserve">In this section — </w:t>
      </w:r>
    </w:p>
    <w:p>
      <w:pPr>
        <w:pStyle w:val="Defstart"/>
      </w:pPr>
      <w:r>
        <w:tab/>
      </w:r>
      <w:r>
        <w:rPr>
          <w:b/>
        </w:rPr>
        <w:t>“</w:t>
      </w:r>
      <w:r>
        <w:rPr>
          <w:rStyle w:val="CharDefText"/>
        </w:rPr>
        <w:t>fixed prize game</w:t>
      </w:r>
      <w:r>
        <w:rPr>
          <w:b/>
        </w:rPr>
        <w:t>”</w:t>
      </w:r>
      <w:r>
        <w:t xml:space="preserve"> means a lottery game in which all winning participants are entitled to a prize, the amount of which is determined before the commencement of the game;</w:t>
      </w:r>
    </w:p>
    <w:p>
      <w:pPr>
        <w:pStyle w:val="Defstart"/>
      </w:pPr>
      <w:r>
        <w:tab/>
      </w:r>
      <w:r>
        <w:rPr>
          <w:b/>
        </w:rPr>
        <w:t>“</w:t>
      </w:r>
      <w:r>
        <w:rPr>
          <w:rStyle w:val="CharDefText"/>
        </w:rPr>
        <w:t>net subscriptions</w:t>
      </w:r>
      <w:r>
        <w:rPr>
          <w:b/>
        </w:rPr>
        <w:t>”</w:t>
      </w:r>
      <w:r>
        <w:t xml:space="preserve"> are calculated —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b/>
        </w:rPr>
        <w:t>“</w:t>
      </w:r>
      <w:r>
        <w:rPr>
          <w:rStyle w:val="CharDefText"/>
        </w:rPr>
        <w:t>pari</w:t>
      </w:r>
      <w:r>
        <w:rPr>
          <w:rStyle w:val="CharDefText"/>
        </w:rPr>
        <w:noBreakHyphen/>
        <w:t>mutuel prize game</w:t>
      </w:r>
      <w:r>
        <w:rPr>
          <w:b/>
        </w:rPr>
        <w:t>”</w:t>
      </w:r>
      <w:r>
        <w:t xml:space="preserve"> means a lottery game in which the prize paid to any winning participant depends on the size of the prize pool and the number of winning participants;</w:t>
      </w:r>
    </w:p>
    <w:p>
      <w:pPr>
        <w:pStyle w:val="Defstart"/>
      </w:pPr>
      <w:r>
        <w:tab/>
      </w:r>
      <w:r>
        <w:rPr>
          <w:b/>
        </w:rPr>
        <w:t>“</w:t>
      </w:r>
      <w:r>
        <w:rPr>
          <w:rStyle w:val="CharDefText"/>
        </w:rPr>
        <w:t>prize fund</w:t>
      </w:r>
      <w:r>
        <w:rPr>
          <w:b/>
        </w:rPr>
        <w:t>”</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b/>
        </w:rPr>
        <w:t>“</w:t>
      </w:r>
      <w:r>
        <w:rPr>
          <w:rStyle w:val="CharDefText"/>
        </w:rPr>
        <w:t>prize liability</w:t>
      </w:r>
      <w:r>
        <w:rPr>
          <w:b/>
        </w:rPr>
        <w:t>”</w:t>
      </w:r>
      <w:r>
        <w:t xml:space="preserve"> means the amount needed in a fixed prize game to pay all winning entries in that game, in addition to prize reserve fund allocations as authorized by the permit.</w:t>
      </w:r>
    </w:p>
    <w:p>
      <w:pPr>
        <w:pStyle w:val="Subsection"/>
      </w:pPr>
      <w:r>
        <w:tab/>
        <w:t>(1)</w:t>
      </w:r>
      <w:r>
        <w:tab/>
      </w:r>
      <w:del w:id="111" w:author="svcMRProcess" w:date="2015-12-10T16:45:00Z">
        <w:r>
          <w:rPr>
            <w:snapToGrid w:val="0"/>
          </w:rPr>
          <w:delText>There shall be</w:delText>
        </w:r>
      </w:del>
      <w:ins w:id="112" w:author="svcMRProcess" w:date="2015-12-10T16:45:00Z">
        <w:r>
          <w:t>The following agency special purpose accounts are</w:t>
        </w:r>
      </w:ins>
      <w:r>
        <w:t xml:space="preserve"> established</w:t>
      </w:r>
      <w:del w:id="113" w:author="svcMRProcess" w:date="2015-12-10T16:45:00Z">
        <w:r>
          <w:rPr>
            <w:snapToGrid w:val="0"/>
          </w:rPr>
          <w:delText>, as part of the Trust Fund constituted</w:delText>
        </w:r>
      </w:del>
      <w:r>
        <w:t xml:space="preserve"> under section </w:t>
      </w:r>
      <w:del w:id="114" w:author="svcMRProcess" w:date="2015-12-10T16:45:00Z">
        <w:r>
          <w:rPr>
            <w:snapToGrid w:val="0"/>
          </w:rPr>
          <w:delText>9</w:delText>
        </w:r>
      </w:del>
      <w:ins w:id="115" w:author="svcMRProcess" w:date="2015-12-10T16:45:00Z">
        <w:r>
          <w:t>16</w:t>
        </w:r>
      </w:ins>
      <w:r>
        <w:t xml:space="preserve"> of the </w:t>
      </w:r>
      <w:r>
        <w:rPr>
          <w:i/>
          <w:iCs/>
        </w:rPr>
        <w:t xml:space="preserve">Financial </w:t>
      </w:r>
      <w:del w:id="116" w:author="svcMRProcess" w:date="2015-12-10T16:45:00Z">
        <w:r>
          <w:rPr>
            <w:i/>
            <w:snapToGrid w:val="0"/>
          </w:rPr>
          <w:delText>Administration and Audit</w:delText>
        </w:r>
      </w:del>
      <w:ins w:id="117" w:author="svcMRProcess" w:date="2015-12-10T16:45:00Z">
        <w:r>
          <w:rPr>
            <w:i/>
            <w:iCs/>
          </w:rPr>
          <w:t>Management</w:t>
        </w:r>
      </w:ins>
      <w:r>
        <w:rPr>
          <w:i/>
          <w:iCs/>
        </w:rPr>
        <w:t xml:space="preserve"> Act </w:t>
      </w:r>
      <w:del w:id="118" w:author="svcMRProcess" w:date="2015-12-10T16:45:00Z">
        <w:r>
          <w:rPr>
            <w:i/>
            <w:snapToGrid w:val="0"/>
          </w:rPr>
          <w:delText>1985</w:delText>
        </w:r>
        <w:r>
          <w:rPr>
            <w:snapToGrid w:val="0"/>
          </w:rPr>
          <w:delText> — </w:delText>
        </w:r>
      </w:del>
      <w:ins w:id="119" w:author="svcMRProcess" w:date="2015-12-10T16:45:00Z">
        <w:r>
          <w:rPr>
            <w:i/>
            <w:iCs/>
          </w:rPr>
          <w:t>2006</w:t>
        </w:r>
        <w:r>
          <w:t xml:space="preserve"> — </w:t>
        </w:r>
      </w:ins>
    </w:p>
    <w:p>
      <w:pPr>
        <w:pStyle w:val="Indenta"/>
      </w:pPr>
      <w:r>
        <w:tab/>
        <w:t>(a)</w:t>
      </w:r>
      <w:r>
        <w:tab/>
        <w:t xml:space="preserve">an account </w:t>
      </w:r>
      <w:del w:id="120" w:author="svcMRProcess" w:date="2015-12-10T16:45:00Z">
        <w:r>
          <w:rPr>
            <w:snapToGrid w:val="0"/>
          </w:rPr>
          <w:delText>to be known as</w:delText>
        </w:r>
      </w:del>
      <w:ins w:id="121" w:author="svcMRProcess" w:date="2015-12-10T16:45:00Z">
        <w:r>
          <w:t>called</w:t>
        </w:r>
      </w:ins>
      <w:r>
        <w:t xml:space="preserve"> the </w:t>
      </w:r>
      <w:del w:id="122" w:author="svcMRProcess" w:date="2015-12-10T16:45:00Z">
        <w:r>
          <w:rPr>
            <w:snapToGrid w:val="0"/>
          </w:rPr>
          <w:delText>“</w:delText>
        </w:r>
      </w:del>
      <w:r>
        <w:t>Sports Lotteries Account</w:t>
      </w:r>
      <w:del w:id="123" w:author="svcMRProcess" w:date="2015-12-10T16:45:00Z">
        <w:r>
          <w:rPr>
            <w:snapToGrid w:val="0"/>
          </w:rPr>
          <w:delText>”; and</w:delText>
        </w:r>
      </w:del>
      <w:ins w:id="124" w:author="svcMRProcess" w:date="2015-12-10T16:45:00Z">
        <w:r>
          <w:t>;</w:t>
        </w:r>
      </w:ins>
    </w:p>
    <w:p>
      <w:pPr>
        <w:pStyle w:val="Indenta"/>
      </w:pPr>
      <w:r>
        <w:tab/>
        <w:t>(b)</w:t>
      </w:r>
      <w:r>
        <w:tab/>
        <w:t xml:space="preserve">an account </w:t>
      </w:r>
      <w:del w:id="125" w:author="svcMRProcess" w:date="2015-12-10T16:45:00Z">
        <w:r>
          <w:rPr>
            <w:snapToGrid w:val="0"/>
          </w:rPr>
          <w:delText>to be known as</w:delText>
        </w:r>
      </w:del>
      <w:ins w:id="126" w:author="svcMRProcess" w:date="2015-12-10T16:45:00Z">
        <w:r>
          <w:t>called</w:t>
        </w:r>
      </w:ins>
      <w:r>
        <w:t xml:space="preserve"> the </w:t>
      </w:r>
      <w:del w:id="127" w:author="svcMRProcess" w:date="2015-12-10T16:45:00Z">
        <w:r>
          <w:rPr>
            <w:snapToGrid w:val="0"/>
          </w:rPr>
          <w:delText>“</w:delText>
        </w:r>
      </w:del>
      <w:r>
        <w:t>Arts Lotteries Account</w:t>
      </w:r>
      <w:del w:id="128" w:author="svcMRProcess" w:date="2015-12-10T16:45:00Z">
        <w:r>
          <w:rPr>
            <w:snapToGrid w:val="0"/>
          </w:rPr>
          <w:delText>”.</w:delText>
        </w:r>
      </w:del>
      <w:ins w:id="129" w:author="svcMRProcess" w:date="2015-12-10T16:45:00Z">
        <w:r>
          <w:t>.</w:t>
        </w:r>
      </w:ins>
    </w:p>
    <w:p>
      <w:pPr>
        <w:pStyle w:val="Subsection"/>
        <w:rPr>
          <w:snapToGrid w:val="0"/>
        </w:rPr>
      </w:pPr>
      <w:r>
        <w:rPr>
          <w:snapToGrid w:val="0"/>
        </w:rPr>
        <w:tab/>
        <w:t>(2)</w:t>
      </w:r>
      <w:r>
        <w:rPr>
          <w:snapToGrid w:val="0"/>
        </w:rPr>
        <w:tab/>
        <w:t>Of the net subscriptions received by the Commission in respect of lotteries conducted by it, the Commission shall pay during each year —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p>
    <w:p>
      <w:pPr>
        <w:pStyle w:val="Indenta"/>
        <w:rPr>
          <w:snapToGrid w:val="0"/>
        </w:rPr>
      </w:pPr>
      <w:r>
        <w:rPr>
          <w:snapToGrid w:val="0"/>
        </w:rPr>
        <w:tab/>
        <w:t>(b)</w:t>
      </w:r>
      <w:r>
        <w:rPr>
          <w:snapToGrid w:val="0"/>
        </w:rPr>
        <w:tab/>
        <w:t xml:space="preserve">40% to the credit of the Consolidated </w:t>
      </w:r>
      <w:del w:id="130" w:author="svcMRProcess" w:date="2015-12-10T16:45:00Z">
        <w:r>
          <w:rPr>
            <w:snapToGrid w:val="0"/>
          </w:rPr>
          <w:delText>Fund</w:delText>
        </w:r>
      </w:del>
      <w:ins w:id="131" w:author="svcMRProcess" w:date="2015-12-10T16:45:00Z">
        <w:r>
          <w:rPr>
            <w:snapToGrid w:val="0"/>
          </w:rPr>
          <w:t>Account</w:t>
        </w:r>
      </w:ins>
      <w:r>
        <w:rPr>
          <w:snapToGrid w:val="0"/>
        </w:rPr>
        <w:t xml:space="preserve"> for subsequent appropriation to the </w:t>
      </w:r>
      <w:ins w:id="132" w:author="svcMRProcess" w:date="2015-12-10T16:45:00Z">
        <w:r>
          <w:t xml:space="preserve">agency </w:t>
        </w:r>
      </w:ins>
      <w:r>
        <w:t xml:space="preserve">special </w:t>
      </w:r>
      <w:ins w:id="133" w:author="svcMRProcess" w:date="2015-12-10T16:45:00Z">
        <w:r>
          <w:t xml:space="preserve">purpose </w:t>
        </w:r>
      </w:ins>
      <w:r>
        <w:t xml:space="preserve">account </w:t>
      </w:r>
      <w:del w:id="134" w:author="svcMRProcess" w:date="2015-12-10T16:45:00Z">
        <w:r>
          <w:rPr>
            <w:snapToGrid w:val="0"/>
          </w:rPr>
          <w:delText>kept at the Treasury under</w:delText>
        </w:r>
      </w:del>
      <w:ins w:id="135" w:author="svcMRProcess" w:date="2015-12-10T16:45:00Z">
        <w:r>
          <w:t>referred to in</w:t>
        </w:r>
      </w:ins>
      <w:r>
        <w:t xml:space="preserve"> </w:t>
      </w:r>
      <w:r>
        <w:rPr>
          <w:snapToGrid w:val="0"/>
        </w:rPr>
        <w:t xml:space="preserve">section 3(2) of the </w:t>
      </w:r>
      <w:r>
        <w:rPr>
          <w:i/>
          <w:snapToGrid w:val="0"/>
        </w:rPr>
        <w:t>Hospital Fund Act 1930</w:t>
      </w:r>
      <w:r>
        <w:rPr>
          <w:snapToGrid w:val="0"/>
        </w:rPr>
        <w:t>;</w:t>
      </w:r>
    </w:p>
    <w:p>
      <w:pPr>
        <w:pStyle w:val="Indenta"/>
        <w:rPr>
          <w:snapToGrid w:val="0"/>
        </w:rPr>
      </w:pPr>
      <w:r>
        <w:rPr>
          <w:snapToGrid w:val="0"/>
        </w:rPr>
        <w:tab/>
        <w:t>(c)</w:t>
      </w:r>
      <w:r>
        <w:rPr>
          <w:snapToGrid w:val="0"/>
        </w:rPr>
        <w:tab/>
        <w:t xml:space="preserve">5% to the credit of the Consolidated </w:t>
      </w:r>
      <w:del w:id="136" w:author="svcMRProcess" w:date="2015-12-10T16:45:00Z">
        <w:r>
          <w:rPr>
            <w:snapToGrid w:val="0"/>
          </w:rPr>
          <w:delText>Fund</w:delText>
        </w:r>
      </w:del>
      <w:ins w:id="137" w:author="svcMRProcess" w:date="2015-12-10T16:45:00Z">
        <w:r>
          <w:rPr>
            <w:snapToGrid w:val="0"/>
          </w:rPr>
          <w:t>Account</w:t>
        </w:r>
      </w:ins>
      <w:r>
        <w:rPr>
          <w:snapToGrid w:val="0"/>
        </w:rPr>
        <w:t xml:space="preserve"> for subsequent appropriation to the Sports Lotteries Account established under subsection (1);</w:t>
      </w:r>
    </w:p>
    <w:p>
      <w:pPr>
        <w:pStyle w:val="Indenta"/>
        <w:rPr>
          <w:snapToGrid w:val="0"/>
        </w:rPr>
      </w:pPr>
      <w:r>
        <w:rPr>
          <w:snapToGrid w:val="0"/>
        </w:rPr>
        <w:tab/>
        <w:t>(d)</w:t>
      </w:r>
      <w:r>
        <w:rPr>
          <w:snapToGrid w:val="0"/>
        </w:rPr>
        <w:tab/>
        <w:t xml:space="preserve">5% to the credit of the Consolidated </w:t>
      </w:r>
      <w:del w:id="138" w:author="svcMRProcess" w:date="2015-12-10T16:45:00Z">
        <w:r>
          <w:rPr>
            <w:snapToGrid w:val="0"/>
          </w:rPr>
          <w:delText>Fund</w:delText>
        </w:r>
      </w:del>
      <w:ins w:id="139" w:author="svcMRProcess" w:date="2015-12-10T16:45:00Z">
        <w:r>
          <w:rPr>
            <w:snapToGrid w:val="0"/>
          </w:rPr>
          <w:t>Account</w:t>
        </w:r>
      </w:ins>
      <w:r>
        <w:rPr>
          <w:snapToGrid w:val="0"/>
        </w:rPr>
        <w:t xml:space="preserve"> for subsequent appropriation to the Arts Lotteries Account established under subsection (1); and</w:t>
      </w:r>
    </w:p>
    <w:p>
      <w:pPr>
        <w:pStyle w:val="Indenta"/>
        <w:rPr>
          <w:snapToGrid w:val="0"/>
        </w:rPr>
      </w:pPr>
      <w:r>
        <w:rPr>
          <w:snapToGrid w:val="0"/>
        </w:rPr>
        <w:tab/>
        <w:t>(e)</w:t>
      </w:r>
      <w:r>
        <w:rPr>
          <w:snapToGrid w:val="0"/>
        </w:rPr>
        <w:tab/>
        <w:t>an amount not exceeding 5% —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as recommended by the Commission and approved by the Minister to the University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 xml:space="preserve">An amount equal to the amount credited to the Consolidated </w:t>
      </w:r>
      <w:del w:id="140" w:author="svcMRProcess" w:date="2015-12-10T16:45:00Z">
        <w:r>
          <w:rPr>
            <w:snapToGrid w:val="0"/>
          </w:rPr>
          <w:delText>Fund</w:delText>
        </w:r>
      </w:del>
      <w:ins w:id="141" w:author="svcMRProcess" w:date="2015-12-10T16:45:00Z">
        <w:r>
          <w:rPr>
            <w:snapToGrid w:val="0"/>
          </w:rPr>
          <w:t>Account</w:t>
        </w:r>
      </w:ins>
      <w:r>
        <w:rPr>
          <w:snapToGrid w:val="0"/>
        </w:rPr>
        <w:t xml:space="preserve"> under subsection (2)(b) shall be — </w:t>
      </w:r>
    </w:p>
    <w:p>
      <w:pPr>
        <w:pStyle w:val="Indenta"/>
        <w:rPr>
          <w:snapToGrid w:val="0"/>
        </w:rPr>
      </w:pPr>
      <w:r>
        <w:rPr>
          <w:snapToGrid w:val="0"/>
        </w:rPr>
        <w:tab/>
        <w:t>(a)</w:t>
      </w:r>
      <w:r>
        <w:rPr>
          <w:snapToGrid w:val="0"/>
        </w:rPr>
        <w:tab/>
        <w:t xml:space="preserve">credited to the </w:t>
      </w:r>
      <w:ins w:id="142" w:author="svcMRProcess" w:date="2015-12-10T16:45:00Z">
        <w:r>
          <w:t xml:space="preserve">agency </w:t>
        </w:r>
      </w:ins>
      <w:r>
        <w:t xml:space="preserve">special </w:t>
      </w:r>
      <w:ins w:id="143" w:author="svcMRProcess" w:date="2015-12-10T16:45:00Z">
        <w:r>
          <w:t xml:space="preserve">purpose </w:t>
        </w:r>
      </w:ins>
      <w:r>
        <w:t xml:space="preserve">account </w:t>
      </w:r>
      <w:del w:id="144" w:author="svcMRProcess" w:date="2015-12-10T16:45:00Z">
        <w:r>
          <w:rPr>
            <w:snapToGrid w:val="0"/>
          </w:rPr>
          <w:delText>kept at the Treasury under</w:delText>
        </w:r>
      </w:del>
      <w:ins w:id="145" w:author="svcMRProcess" w:date="2015-12-10T16:45:00Z">
        <w:r>
          <w:t>referred to in</w:t>
        </w:r>
      </w:ins>
      <w:r>
        <w:t xml:space="preserve"> </w:t>
      </w:r>
      <w:r>
        <w:rPr>
          <w:snapToGrid w:val="0"/>
        </w:rPr>
        <w:t xml:space="preserve">section 3(2) of the </w:t>
      </w:r>
      <w:r>
        <w:rPr>
          <w:i/>
          <w:snapToGrid w:val="0"/>
        </w:rPr>
        <w:t>Hospital Fund Act 1930</w:t>
      </w:r>
      <w:r>
        <w:rPr>
          <w:snapToGrid w:val="0"/>
        </w:rPr>
        <w:t>; and</w:t>
      </w:r>
    </w:p>
    <w:p>
      <w:pPr>
        <w:pStyle w:val="Indenta"/>
        <w:rPr>
          <w:snapToGrid w:val="0"/>
        </w:rPr>
      </w:pPr>
      <w:r>
        <w:rPr>
          <w:snapToGrid w:val="0"/>
        </w:rPr>
        <w:tab/>
        <w:t>(b)</w:t>
      </w:r>
      <w:r>
        <w:rPr>
          <w:snapToGrid w:val="0"/>
        </w:rPr>
        <w:tab/>
        <w:t xml:space="preserve">charged to the Consolidated </w:t>
      </w:r>
      <w:del w:id="146" w:author="svcMRProcess" w:date="2015-12-10T16:45:00Z">
        <w:r>
          <w:rPr>
            <w:snapToGrid w:val="0"/>
          </w:rPr>
          <w:delText>Fund</w:delText>
        </w:r>
      </w:del>
      <w:ins w:id="147" w:author="svcMRProcess" w:date="2015-12-10T16:45:00Z">
        <w:r>
          <w:rPr>
            <w:snapToGrid w:val="0"/>
          </w:rPr>
          <w:t>Account</w:t>
        </w:r>
      </w:ins>
      <w:r>
        <w:rPr>
          <w:snapToGrid w:val="0"/>
        </w:rPr>
        <w:t>.</w:t>
      </w:r>
    </w:p>
    <w:p>
      <w:pPr>
        <w:pStyle w:val="Subsection"/>
        <w:rPr>
          <w:snapToGrid w:val="0"/>
        </w:rPr>
      </w:pPr>
      <w:r>
        <w:rPr>
          <w:snapToGrid w:val="0"/>
        </w:rPr>
        <w:tab/>
        <w:t>(2b)</w:t>
      </w:r>
      <w:r>
        <w:rPr>
          <w:snapToGrid w:val="0"/>
        </w:rPr>
        <w:tab/>
        <w:t xml:space="preserve">An amount equal to the amount credited to the Consolidated </w:t>
      </w:r>
      <w:del w:id="148" w:author="svcMRProcess" w:date="2015-12-10T16:45:00Z">
        <w:r>
          <w:rPr>
            <w:snapToGrid w:val="0"/>
          </w:rPr>
          <w:delText>Fund</w:delText>
        </w:r>
      </w:del>
      <w:ins w:id="149" w:author="svcMRProcess" w:date="2015-12-10T16:45:00Z">
        <w:r>
          <w:rPr>
            <w:snapToGrid w:val="0"/>
          </w:rPr>
          <w:t>Account</w:t>
        </w:r>
      </w:ins>
      <w:r>
        <w:rPr>
          <w:snapToGrid w:val="0"/>
        </w:rPr>
        <w:t xml:space="preserve"> under subsection (2)(c) shall be —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 xml:space="preserve">charged to the Consolidated </w:t>
      </w:r>
      <w:del w:id="150" w:author="svcMRProcess" w:date="2015-12-10T16:45:00Z">
        <w:r>
          <w:rPr>
            <w:snapToGrid w:val="0"/>
          </w:rPr>
          <w:delText>Fund</w:delText>
        </w:r>
      </w:del>
      <w:ins w:id="151" w:author="svcMRProcess" w:date="2015-12-10T16:45:00Z">
        <w:r>
          <w:rPr>
            <w:snapToGrid w:val="0"/>
          </w:rPr>
          <w:t>Account</w:t>
        </w:r>
      </w:ins>
      <w:r>
        <w:rPr>
          <w:snapToGrid w:val="0"/>
        </w:rPr>
        <w:t>.</w:t>
      </w:r>
    </w:p>
    <w:p>
      <w:pPr>
        <w:pStyle w:val="Subsection"/>
        <w:rPr>
          <w:snapToGrid w:val="0"/>
        </w:rPr>
      </w:pPr>
      <w:r>
        <w:rPr>
          <w:snapToGrid w:val="0"/>
        </w:rPr>
        <w:tab/>
        <w:t>(2c)</w:t>
      </w:r>
      <w:r>
        <w:rPr>
          <w:snapToGrid w:val="0"/>
        </w:rPr>
        <w:tab/>
        <w:t xml:space="preserve">An amount equal to the amount credited to the Consolidated </w:t>
      </w:r>
      <w:del w:id="152" w:author="svcMRProcess" w:date="2015-12-10T16:45:00Z">
        <w:r>
          <w:rPr>
            <w:snapToGrid w:val="0"/>
          </w:rPr>
          <w:delText>Fund</w:delText>
        </w:r>
      </w:del>
      <w:ins w:id="153" w:author="svcMRProcess" w:date="2015-12-10T16:45:00Z">
        <w:r>
          <w:rPr>
            <w:snapToGrid w:val="0"/>
          </w:rPr>
          <w:t>Account</w:t>
        </w:r>
      </w:ins>
      <w:r>
        <w:rPr>
          <w:snapToGrid w:val="0"/>
        </w:rPr>
        <w:t xml:space="preserve"> under subsection (2)(d) shall be —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 xml:space="preserve">charged to the Consolidated </w:t>
      </w:r>
      <w:del w:id="154" w:author="svcMRProcess" w:date="2015-12-10T16:45:00Z">
        <w:r>
          <w:rPr>
            <w:snapToGrid w:val="0"/>
          </w:rPr>
          <w:delText>Fund</w:delText>
        </w:r>
      </w:del>
      <w:ins w:id="155" w:author="svcMRProcess" w:date="2015-12-10T16:45:00Z">
        <w:r>
          <w:rPr>
            <w:snapToGrid w:val="0"/>
          </w:rPr>
          <w:t>Account</w:t>
        </w:r>
      </w:ins>
      <w:r>
        <w:rPr>
          <w:snapToGrid w:val="0"/>
        </w:rPr>
        <w:t>.</w:t>
      </w:r>
    </w:p>
    <w:p>
      <w:pPr>
        <w:pStyle w:val="Subsection"/>
        <w:rPr>
          <w:snapToGrid w:val="0"/>
        </w:rPr>
      </w:pPr>
      <w:r>
        <w:rPr>
          <w:snapToGrid w:val="0"/>
        </w:rPr>
        <w:tab/>
        <w:t>(2d)</w:t>
      </w:r>
      <w:r>
        <w:rPr>
          <w:snapToGrid w:val="0"/>
        </w:rPr>
        <w:tab/>
        <w:t xml:space="preserve">This section appropriates the Consolidated </w:t>
      </w:r>
      <w:del w:id="156" w:author="svcMRProcess" w:date="2015-12-10T16:45:00Z">
        <w:r>
          <w:rPr>
            <w:snapToGrid w:val="0"/>
          </w:rPr>
          <w:delText>Fund</w:delText>
        </w:r>
      </w:del>
      <w:ins w:id="157" w:author="svcMRProcess" w:date="2015-12-10T16:45:00Z">
        <w:r>
          <w:rPr>
            <w:snapToGrid w:val="0"/>
          </w:rPr>
          <w:t>Account</w:t>
        </w:r>
      </w:ins>
      <w:r>
        <w:rPr>
          <w:snapToGrid w:val="0"/>
        </w:rPr>
        <w:t xml:space="preserve"> for the purposes mentioned in subsections (2a), (2b) and (2c).</w:t>
      </w:r>
    </w:p>
    <w:p>
      <w:pPr>
        <w:pStyle w:val="Ednotesubsection"/>
      </w:pPr>
      <w:r>
        <w:tab/>
        <w:t>[(3)</w:t>
      </w:r>
      <w:r>
        <w:tab/>
        <w:t>repealed]</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[Section 22 amended by No. 32 of 1992 s.5; No. 6 of 1993 s.4; No 74 of 1994 s.5; No. 49 of 1996 s.64; No. 26 of 1998 s.18; No. 28 of 2006 s. 428</w:t>
      </w:r>
      <w:ins w:id="158" w:author="svcMRProcess" w:date="2015-12-10T16:45:00Z">
        <w:r>
          <w:t>; No. 77 of 2006 s. 4 and 17</w:t>
        </w:r>
      </w:ins>
      <w:r>
        <w:t xml:space="preserve">.] </w:t>
      </w:r>
    </w:p>
    <w:p>
      <w:pPr>
        <w:pStyle w:val="Ednotesection"/>
        <w:rPr>
          <w:snapToGrid/>
        </w:rPr>
      </w:pPr>
      <w:r>
        <w:rPr>
          <w:snapToGrid/>
        </w:rPr>
        <w:t>[</w:t>
      </w:r>
      <w:r>
        <w:rPr>
          <w:b/>
          <w:snapToGrid/>
        </w:rPr>
        <w:t>23.</w:t>
      </w:r>
      <w:r>
        <w:rPr>
          <w:snapToGrid/>
        </w:rPr>
        <w:tab/>
        <w:t>Repealed by No. 26 of 1998 s.19.]</w:t>
      </w:r>
    </w:p>
    <w:p>
      <w:pPr>
        <w:pStyle w:val="Heading5"/>
        <w:rPr>
          <w:snapToGrid w:val="0"/>
        </w:rPr>
      </w:pPr>
      <w:bookmarkStart w:id="159" w:name="_Toc428767258"/>
      <w:bookmarkStart w:id="160" w:name="_Toc139707428"/>
      <w:bookmarkStart w:id="161" w:name="_Toc157923563"/>
      <w:r>
        <w:rPr>
          <w:rStyle w:val="CharSectno"/>
        </w:rPr>
        <w:t>24</w:t>
      </w:r>
      <w:r>
        <w:rPr>
          <w:snapToGrid w:val="0"/>
        </w:rPr>
        <w:t>.</w:t>
      </w:r>
      <w:r>
        <w:rPr>
          <w:snapToGrid w:val="0"/>
        </w:rPr>
        <w:tab/>
        <w:t>Distribution of residual moneys</w:t>
      </w:r>
      <w:bookmarkEnd w:id="159"/>
      <w:bookmarkEnd w:id="160"/>
      <w:bookmarkEnd w:id="161"/>
      <w:r>
        <w:rPr>
          <w:snapToGrid w:val="0"/>
        </w:rPr>
        <w:t xml:space="preserve"> </w:t>
      </w:r>
    </w:p>
    <w:p>
      <w:pPr>
        <w:pStyle w:val="Subsection"/>
        <w:spacing w:before="120"/>
        <w:rPr>
          <w:snapToGrid w:val="0"/>
        </w:rPr>
      </w:pPr>
      <w:r>
        <w:rPr>
          <w:snapToGrid w:val="0"/>
        </w:rPr>
        <w:tab/>
      </w:r>
      <w:r>
        <w:rPr>
          <w:snapToGrid w:val="0"/>
        </w:rPr>
        <w:tab/>
        <w:t>The balance of moneys received by the Commission under this Act remaining after appropriate provision has been made for — </w:t>
      </w:r>
    </w:p>
    <w:p>
      <w:pPr>
        <w:pStyle w:val="Indenta"/>
        <w:rPr>
          <w:snapToGrid w:val="0"/>
        </w:rPr>
      </w:pPr>
      <w:r>
        <w:rPr>
          <w:snapToGrid w:val="0"/>
        </w:rPr>
        <w:tab/>
        <w:t>(a)</w:t>
      </w:r>
      <w:r>
        <w:rPr>
          <w:snapToGrid w:val="0"/>
        </w:rPr>
        <w:tab/>
        <w:t>deduction from the amount referred to in section 20(5) of the total expenses referred to in that subsection;</w:t>
      </w:r>
    </w:p>
    <w:p>
      <w:pPr>
        <w:pStyle w:val="Indenta"/>
        <w:rPr>
          <w:snapToGrid w:val="0"/>
        </w:rPr>
      </w:pPr>
      <w:r>
        <w:rPr>
          <w:snapToGrid w:val="0"/>
        </w:rPr>
        <w:tab/>
        <w:t>(b)</w:t>
      </w:r>
      <w:r>
        <w:rPr>
          <w:snapToGrid w:val="0"/>
        </w:rPr>
        <w:tab/>
        <w:t>payment of the prize moneys;</w:t>
      </w:r>
    </w:p>
    <w:p>
      <w:pPr>
        <w:pStyle w:val="Indenta"/>
        <w:rPr>
          <w:snapToGrid w:val="0"/>
        </w:rPr>
      </w:pPr>
      <w:r>
        <w:rPr>
          <w:snapToGrid w:val="0"/>
        </w:rPr>
        <w:tab/>
        <w:t>(c)</w:t>
      </w:r>
      <w:r>
        <w:rPr>
          <w:snapToGrid w:val="0"/>
        </w:rPr>
        <w:tab/>
        <w:t>payment of the moneys required to be paid under section 22(2);</w:t>
      </w:r>
    </w:p>
    <w:p>
      <w:pPr>
        <w:pStyle w:val="Indenta"/>
        <w:rPr>
          <w:snapToGrid w:val="0"/>
        </w:rPr>
      </w:pPr>
      <w:r>
        <w:rPr>
          <w:snapToGrid w:val="0"/>
        </w:rPr>
        <w:tab/>
        <w:t>(d)</w:t>
      </w:r>
      <w:r>
        <w:rPr>
          <w:snapToGrid w:val="0"/>
        </w:rPr>
        <w:tab/>
        <w:t>payment of the remuneration and allowances referred to in section 22(6);</w:t>
      </w:r>
    </w:p>
    <w:p>
      <w:pPr>
        <w:pStyle w:val="Indenta"/>
        <w:rPr>
          <w:snapToGrid w:val="0"/>
        </w:rPr>
      </w:pPr>
      <w:r>
        <w:rPr>
          <w:snapToGrid w:val="0"/>
        </w:rPr>
        <w:tab/>
        <w:t>(e)</w:t>
      </w:r>
      <w:r>
        <w:rPr>
          <w:snapToGrid w:val="0"/>
        </w:rPr>
        <w:tab/>
        <w:t>payment of the costs and expenses referred to in section 22(7); and</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spacing w:before="120"/>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 xml:space="preserve">[Section 24 amended by No. 32 of 1992 s.7; No. 26 of 1998 s.20.] </w:t>
      </w:r>
    </w:p>
    <w:p>
      <w:pPr>
        <w:pStyle w:val="Heading5"/>
        <w:rPr>
          <w:snapToGrid w:val="0"/>
        </w:rPr>
      </w:pPr>
      <w:bookmarkStart w:id="162" w:name="_Toc428767259"/>
      <w:bookmarkStart w:id="163" w:name="_Toc139707429"/>
      <w:bookmarkStart w:id="164" w:name="_Toc157923564"/>
      <w:r>
        <w:rPr>
          <w:rStyle w:val="CharSectno"/>
        </w:rPr>
        <w:t>25</w:t>
      </w:r>
      <w:r>
        <w:rPr>
          <w:snapToGrid w:val="0"/>
        </w:rPr>
        <w:t>.</w:t>
      </w:r>
      <w:r>
        <w:rPr>
          <w:snapToGrid w:val="0"/>
        </w:rPr>
        <w:tab/>
        <w:t xml:space="preserve">Application of </w:t>
      </w:r>
      <w:bookmarkEnd w:id="162"/>
      <w:bookmarkEnd w:id="163"/>
      <w:r>
        <w:rPr>
          <w:i/>
          <w:iCs/>
        </w:rPr>
        <w:t xml:space="preserve">Financial </w:t>
      </w:r>
      <w:del w:id="165" w:author="svcMRProcess" w:date="2015-12-10T16:45:00Z">
        <w:r>
          <w:rPr>
            <w:i/>
            <w:snapToGrid w:val="0"/>
          </w:rPr>
          <w:delText>Administration</w:delText>
        </w:r>
      </w:del>
      <w:ins w:id="166" w:author="svcMRProcess" w:date="2015-12-10T16:45:00Z">
        <w:r>
          <w:rPr>
            <w:i/>
            <w:iCs/>
          </w:rPr>
          <w:t>Management Act 2006</w:t>
        </w:r>
      </w:ins>
      <w:r>
        <w:t xml:space="preserve"> and </w:t>
      </w:r>
      <w:del w:id="167" w:author="svcMRProcess" w:date="2015-12-10T16:45:00Z">
        <w:r>
          <w:rPr>
            <w:i/>
            <w:snapToGrid w:val="0"/>
          </w:rPr>
          <w:delText>Audit</w:delText>
        </w:r>
      </w:del>
      <w:ins w:id="168" w:author="svcMRProcess" w:date="2015-12-10T16:45:00Z">
        <w:r>
          <w:rPr>
            <w:i/>
            <w:iCs/>
          </w:rPr>
          <w:t>Auditor General</w:t>
        </w:r>
      </w:ins>
      <w:r>
        <w:rPr>
          <w:i/>
          <w:iCs/>
        </w:rPr>
        <w:t xml:space="preserve"> Act </w:t>
      </w:r>
      <w:del w:id="169" w:author="svcMRProcess" w:date="2015-12-10T16:45:00Z">
        <w:r>
          <w:rPr>
            <w:i/>
            <w:snapToGrid w:val="0"/>
          </w:rPr>
          <w:delText>1985</w:delText>
        </w:r>
        <w:r>
          <w:rPr>
            <w:snapToGrid w:val="0"/>
          </w:rPr>
          <w:delText xml:space="preserve"> </w:delText>
        </w:r>
      </w:del>
      <w:ins w:id="170" w:author="svcMRProcess" w:date="2015-12-10T16:45:00Z">
        <w:r>
          <w:rPr>
            <w:i/>
            <w:iCs/>
          </w:rPr>
          <w:t>2006</w:t>
        </w:r>
      </w:ins>
      <w:bookmarkEnd w:id="164"/>
    </w:p>
    <w:p>
      <w:pPr>
        <w:pStyle w:val="Subsection"/>
        <w:spacing w:before="120"/>
        <w:rPr>
          <w:snapToGrid w:val="0"/>
        </w:rPr>
      </w:pPr>
      <w:r>
        <w:rPr>
          <w:snapToGrid w:val="0"/>
        </w:rPr>
        <w:tab/>
      </w:r>
      <w:r>
        <w:rPr>
          <w:snapToGrid w:val="0"/>
        </w:rPr>
        <w:tab/>
        <w:t xml:space="preserve">The provisions of the </w:t>
      </w:r>
      <w:r>
        <w:rPr>
          <w:i/>
          <w:iCs/>
        </w:rPr>
        <w:t xml:space="preserve">Financial </w:t>
      </w:r>
      <w:del w:id="171" w:author="svcMRProcess" w:date="2015-12-10T16:45:00Z">
        <w:r>
          <w:rPr>
            <w:i/>
            <w:snapToGrid w:val="0"/>
          </w:rPr>
          <w:delText>Administration</w:delText>
        </w:r>
      </w:del>
      <w:ins w:id="172" w:author="svcMRProcess" w:date="2015-12-10T16:45:00Z">
        <w:r>
          <w:rPr>
            <w:i/>
            <w:iCs/>
          </w:rPr>
          <w:t>Management Act 2006</w:t>
        </w:r>
      </w:ins>
      <w:r>
        <w:t xml:space="preserve"> and </w:t>
      </w:r>
      <w:del w:id="173" w:author="svcMRProcess" w:date="2015-12-10T16:45:00Z">
        <w:r>
          <w:rPr>
            <w:i/>
            <w:snapToGrid w:val="0"/>
          </w:rPr>
          <w:delText>Audit</w:delText>
        </w:r>
      </w:del>
      <w:ins w:id="174" w:author="svcMRProcess" w:date="2015-12-10T16:45:00Z">
        <w:r>
          <w:t xml:space="preserve">the </w:t>
        </w:r>
        <w:r>
          <w:rPr>
            <w:i/>
            <w:iCs/>
          </w:rPr>
          <w:t>Auditor General</w:t>
        </w:r>
      </w:ins>
      <w:r>
        <w:rPr>
          <w:i/>
          <w:iCs/>
        </w:rPr>
        <w:t xml:space="preserve"> Act </w:t>
      </w:r>
      <w:del w:id="175" w:author="svcMRProcess" w:date="2015-12-10T16:45:00Z">
        <w:r>
          <w:rPr>
            <w:i/>
            <w:snapToGrid w:val="0"/>
          </w:rPr>
          <w:delText>1985</w:delText>
        </w:r>
      </w:del>
      <w:ins w:id="176" w:author="svcMRProcess" w:date="2015-12-10T16:45:00Z">
        <w:r>
          <w:rPr>
            <w:i/>
            <w:iCs/>
          </w:rPr>
          <w:t>2006</w:t>
        </w:r>
      </w:ins>
      <w:r>
        <w:rPr>
          <w:i/>
          <w:iCs/>
        </w:rPr>
        <w:t xml:space="preserve"> </w:t>
      </w:r>
      <w:r>
        <w:rPr>
          <w:snapToGrid w:val="0"/>
        </w:rPr>
        <w:t>regulating the financial administration, audit and reporting of statutory authorities apply to and in respect of the Commission and its operations.</w:t>
      </w:r>
    </w:p>
    <w:p>
      <w:pPr>
        <w:pStyle w:val="Footnotesection"/>
        <w:rPr>
          <w:ins w:id="177" w:author="svcMRProcess" w:date="2015-12-10T16:45:00Z"/>
        </w:rPr>
      </w:pPr>
      <w:ins w:id="178" w:author="svcMRProcess" w:date="2015-12-10T16:45:00Z">
        <w:r>
          <w:tab/>
          <w:t>[Section 25 amended by No. 77 of 2006 s. 17.]</w:t>
        </w:r>
      </w:ins>
    </w:p>
    <w:p>
      <w:pPr>
        <w:pStyle w:val="Heading5"/>
        <w:rPr>
          <w:snapToGrid w:val="0"/>
        </w:rPr>
      </w:pPr>
      <w:bookmarkStart w:id="179" w:name="_Toc428767260"/>
      <w:bookmarkStart w:id="180" w:name="_Toc139707430"/>
      <w:bookmarkStart w:id="181" w:name="_Toc157923565"/>
      <w:r>
        <w:rPr>
          <w:rStyle w:val="CharSectno"/>
        </w:rPr>
        <w:t>26</w:t>
      </w:r>
      <w:r>
        <w:rPr>
          <w:snapToGrid w:val="0"/>
        </w:rPr>
        <w:t>.</w:t>
      </w:r>
      <w:r>
        <w:rPr>
          <w:snapToGrid w:val="0"/>
        </w:rPr>
        <w:tab/>
        <w:t>Information</w:t>
      </w:r>
      <w:bookmarkEnd w:id="179"/>
      <w:bookmarkEnd w:id="180"/>
      <w:bookmarkEnd w:id="181"/>
      <w:r>
        <w:rPr>
          <w:snapToGrid w:val="0"/>
        </w:rPr>
        <w:t xml:space="preserve"> </w:t>
      </w:r>
    </w:p>
    <w:p>
      <w:pPr>
        <w:pStyle w:val="Subsection"/>
        <w:rPr>
          <w:snapToGrid w:val="0"/>
          <w:spacing w:val="-4"/>
        </w:rPr>
      </w:pPr>
      <w:r>
        <w:rPr>
          <w:snapToGrid w:val="0"/>
          <w:spacing w:val="-4"/>
        </w:rPr>
        <w:tab/>
        <w:t>(1)</w:t>
      </w:r>
      <w:r>
        <w:rPr>
          <w:snapToGrid w:val="0"/>
          <w:spacing w:val="-4"/>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Commission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182" w:name="_Toc139707431"/>
      <w:bookmarkStart w:id="183" w:name="_Toc156817062"/>
      <w:bookmarkStart w:id="184" w:name="_Toc156817126"/>
      <w:bookmarkStart w:id="185" w:name="_Toc157923566"/>
      <w:r>
        <w:rPr>
          <w:rStyle w:val="CharPartNo"/>
        </w:rPr>
        <w:t>Part 5</w:t>
      </w:r>
      <w:r>
        <w:rPr>
          <w:rStyle w:val="CharDivNo"/>
        </w:rPr>
        <w:t> </w:t>
      </w:r>
      <w:r>
        <w:t>—</w:t>
      </w:r>
      <w:r>
        <w:rPr>
          <w:rStyle w:val="CharDivText"/>
        </w:rPr>
        <w:t> </w:t>
      </w:r>
      <w:r>
        <w:rPr>
          <w:rStyle w:val="CharPartText"/>
        </w:rPr>
        <w:t>Miscellaneous</w:t>
      </w:r>
      <w:bookmarkEnd w:id="182"/>
      <w:bookmarkEnd w:id="183"/>
      <w:bookmarkEnd w:id="184"/>
      <w:bookmarkEnd w:id="185"/>
      <w:r>
        <w:rPr>
          <w:rStyle w:val="CharPartText"/>
        </w:rPr>
        <w:t xml:space="preserve"> </w:t>
      </w:r>
    </w:p>
    <w:p>
      <w:pPr>
        <w:pStyle w:val="Heading5"/>
        <w:rPr>
          <w:snapToGrid w:val="0"/>
        </w:rPr>
      </w:pPr>
      <w:bookmarkStart w:id="186" w:name="_Toc428767261"/>
      <w:bookmarkStart w:id="187" w:name="_Toc139707432"/>
      <w:bookmarkStart w:id="188" w:name="_Toc157923567"/>
      <w:r>
        <w:rPr>
          <w:rStyle w:val="CharSectno"/>
        </w:rPr>
        <w:t>27</w:t>
      </w:r>
      <w:r>
        <w:rPr>
          <w:snapToGrid w:val="0"/>
        </w:rPr>
        <w:t>.</w:t>
      </w:r>
      <w:r>
        <w:rPr>
          <w:snapToGrid w:val="0"/>
        </w:rPr>
        <w:tab/>
        <w:t>Offences</w:t>
      </w:r>
      <w:bookmarkEnd w:id="186"/>
      <w:bookmarkEnd w:id="187"/>
      <w:bookmarkEnd w:id="188"/>
      <w:r>
        <w:rPr>
          <w:snapToGrid w:val="0"/>
        </w:rPr>
        <w:t xml:space="preserve"> </w:t>
      </w:r>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 </w:t>
      </w:r>
    </w:p>
    <w:p>
      <w:pPr>
        <w:pStyle w:val="Indenta"/>
        <w:rPr>
          <w:snapToGrid w:val="0"/>
        </w:rPr>
      </w:pPr>
      <w:r>
        <w:rPr>
          <w:snapToGrid w:val="0"/>
        </w:rPr>
        <w:tab/>
        <w:t>(a)</w:t>
      </w:r>
      <w:r>
        <w:rPr>
          <w:snapToGrid w:val="0"/>
        </w:rPr>
        <w:tab/>
        <w:t>alters or falsifies any book, document, or voucher relating to a lottery;</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by No. 26 of 1998 s.21.]</w:t>
      </w:r>
    </w:p>
    <w:p>
      <w:pPr>
        <w:pStyle w:val="Heading5"/>
        <w:rPr>
          <w:snapToGrid w:val="0"/>
        </w:rPr>
      </w:pPr>
      <w:bookmarkStart w:id="189" w:name="_Toc428767262"/>
      <w:bookmarkStart w:id="190" w:name="_Toc139707433"/>
      <w:bookmarkStart w:id="191" w:name="_Toc157923568"/>
      <w:r>
        <w:rPr>
          <w:rStyle w:val="CharSectno"/>
        </w:rPr>
        <w:t>28</w:t>
      </w:r>
      <w:r>
        <w:rPr>
          <w:snapToGrid w:val="0"/>
        </w:rPr>
        <w:t>.</w:t>
      </w:r>
      <w:r>
        <w:rPr>
          <w:snapToGrid w:val="0"/>
        </w:rPr>
        <w:tab/>
        <w:t>Rules</w:t>
      </w:r>
      <w:bookmarkEnd w:id="189"/>
      <w:bookmarkEnd w:id="190"/>
      <w:bookmarkEnd w:id="191"/>
      <w:r>
        <w:rPr>
          <w:snapToGrid w:val="0"/>
        </w:rPr>
        <w:t xml:space="preserve"> </w:t>
      </w:r>
    </w:p>
    <w:p>
      <w:pPr>
        <w:pStyle w:val="Subsection"/>
        <w:rPr>
          <w:snapToGrid w:val="0"/>
        </w:rPr>
      </w:pPr>
      <w:r>
        <w:rPr>
          <w:snapToGrid w:val="0"/>
        </w:rPr>
        <w:tab/>
        <w:t>(1)</w:t>
      </w:r>
      <w:r>
        <w:rPr>
          <w:snapToGrid w:val="0"/>
        </w:rPr>
        <w:tab/>
        <w:t>The Commission may make rules relating to the conduct under this Act of — </w:t>
      </w:r>
    </w:p>
    <w:p>
      <w:pPr>
        <w:pStyle w:val="Ednotepara"/>
      </w:pPr>
      <w:r>
        <w:tab/>
        <w:t>[(a) and (b)</w:t>
      </w:r>
      <w:r>
        <w:tab/>
        <w:t>deleted]</w:t>
      </w:r>
    </w:p>
    <w:p>
      <w:pPr>
        <w:pStyle w:val="Indenta"/>
        <w:rPr>
          <w:snapToGrid w:val="0"/>
        </w:rPr>
      </w:pPr>
      <w:r>
        <w:rPr>
          <w:snapToGrid w:val="0"/>
        </w:rPr>
        <w:tab/>
        <w:t>(c)</w:t>
      </w:r>
      <w:r>
        <w:rPr>
          <w:snapToGrid w:val="0"/>
        </w:rPr>
        <w:tab/>
        <w:t>lotteries, and in particular, to — </w:t>
      </w:r>
    </w:p>
    <w:p>
      <w:pPr>
        <w:pStyle w:val="Indenti"/>
        <w:rPr>
          <w:snapToGrid w:val="0"/>
        </w:rPr>
      </w:pPr>
      <w:r>
        <w:rPr>
          <w:snapToGrid w:val="0"/>
        </w:rPr>
        <w:tab/>
        <w:t>(i)</w:t>
      </w:r>
      <w:r>
        <w:rPr>
          <w:snapToGrid w:val="0"/>
        </w:rPr>
        <w:tab/>
        <w:t>the places at which different prizes or different amounts of prize money may be claimed;</w:t>
      </w:r>
    </w:p>
    <w:p>
      <w:pPr>
        <w:pStyle w:val="Indenti"/>
        <w:rPr>
          <w:snapToGrid w:val="0"/>
        </w:rPr>
      </w:pPr>
      <w:r>
        <w:rPr>
          <w:snapToGrid w:val="0"/>
        </w:rPr>
        <w:tab/>
        <w:t>(ii)</w:t>
      </w:r>
      <w:r>
        <w:rPr>
          <w:snapToGrid w:val="0"/>
        </w:rPr>
        <w:tab/>
        <w:t>the publication of the names and addresses of all or any of the winners of prizes;</w:t>
      </w:r>
    </w:p>
    <w:p>
      <w:pPr>
        <w:pStyle w:val="Indenti"/>
        <w:rPr>
          <w:snapToGrid w:val="0"/>
        </w:rPr>
      </w:pPr>
      <w:r>
        <w:rPr>
          <w:snapToGrid w:val="0"/>
        </w:rPr>
        <w:tab/>
        <w:t>(iii)</w:t>
      </w:r>
      <w:r>
        <w:rPr>
          <w:snapToGrid w:val="0"/>
        </w:rPr>
        <w:tab/>
        <w:t>the circumstances in which a ticket becomes void and therefore incapable of winning a prize;</w:t>
      </w:r>
    </w:p>
    <w:p>
      <w:pPr>
        <w:pStyle w:val="Indenti"/>
        <w:rPr>
          <w:snapToGrid w:val="0"/>
        </w:rPr>
      </w:pPr>
      <w:r>
        <w:rPr>
          <w:snapToGrid w:val="0"/>
        </w:rPr>
        <w:tab/>
        <w:t>(iv)</w:t>
      </w:r>
      <w:r>
        <w:rPr>
          <w:snapToGrid w:val="0"/>
        </w:rPr>
        <w:tab/>
        <w:t>the circumstances in which the Commission may substitute a valid ticket for a ticket which is void;</w:t>
      </w:r>
    </w:p>
    <w:p>
      <w:pPr>
        <w:pStyle w:val="Indenti"/>
        <w:rPr>
          <w:snapToGrid w:val="0"/>
        </w:rPr>
      </w:pPr>
      <w:r>
        <w:rPr>
          <w:snapToGrid w:val="0"/>
        </w:rPr>
        <w:tab/>
        <w:t>(v)</w:t>
      </w:r>
      <w:r>
        <w:rPr>
          <w:snapToGrid w:val="0"/>
        </w:rPr>
        <w:tab/>
        <w:t>the means by which tickets are to be delivered to the Commission; and</w:t>
      </w:r>
    </w:p>
    <w:p>
      <w:pPr>
        <w:pStyle w:val="Indenti"/>
        <w:rPr>
          <w:snapToGrid w:val="0"/>
        </w:rPr>
      </w:pPr>
      <w:r>
        <w:rPr>
          <w:snapToGrid w:val="0"/>
        </w:rPr>
        <w:tab/>
        <w:t>(vi)</w:t>
      </w:r>
      <w:r>
        <w:rPr>
          <w:snapToGrid w:val="0"/>
        </w:rPr>
        <w:tab/>
        <w:t>the procedure in accordance with which the second stage of an instant lottery is to be conducted.</w:t>
      </w:r>
    </w:p>
    <w:p>
      <w:pPr>
        <w:pStyle w:val="Subsection"/>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pPr>
      <w:r>
        <w:tab/>
        <w:t>[Section 28 amended by No. 26 of 1998 s.22.]</w:t>
      </w:r>
    </w:p>
    <w:p>
      <w:pPr>
        <w:pStyle w:val="Heading5"/>
        <w:rPr>
          <w:snapToGrid w:val="0"/>
        </w:rPr>
      </w:pPr>
      <w:bookmarkStart w:id="192" w:name="_Toc428767263"/>
      <w:bookmarkStart w:id="193" w:name="_Toc139707434"/>
      <w:bookmarkStart w:id="194" w:name="_Toc157923569"/>
      <w:r>
        <w:rPr>
          <w:rStyle w:val="CharSectno"/>
        </w:rPr>
        <w:t>29</w:t>
      </w:r>
      <w:r>
        <w:rPr>
          <w:snapToGrid w:val="0"/>
        </w:rPr>
        <w:t>.</w:t>
      </w:r>
      <w:r>
        <w:rPr>
          <w:snapToGrid w:val="0"/>
        </w:rPr>
        <w:tab/>
        <w:t>Regulations</w:t>
      </w:r>
      <w:bookmarkEnd w:id="192"/>
      <w:bookmarkEnd w:id="193"/>
      <w:bookmarkEnd w:id="19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rPr>
          <w:snapToGrid w:val="0"/>
        </w:rPr>
      </w:pPr>
      <w:bookmarkStart w:id="195" w:name="_Toc428767264"/>
      <w:bookmarkStart w:id="196" w:name="_Toc139707435"/>
      <w:bookmarkStart w:id="197" w:name="_Toc157923570"/>
      <w:r>
        <w:rPr>
          <w:rStyle w:val="CharSectno"/>
        </w:rPr>
        <w:t>30</w:t>
      </w:r>
      <w:r>
        <w:rPr>
          <w:snapToGrid w:val="0"/>
        </w:rPr>
        <w:t>.</w:t>
      </w:r>
      <w:r>
        <w:rPr>
          <w:snapToGrid w:val="0"/>
        </w:rPr>
        <w:tab/>
        <w:t>Review of Act</w:t>
      </w:r>
      <w:bookmarkEnd w:id="195"/>
      <w:bookmarkEnd w:id="196"/>
      <w:bookmarkEnd w:id="197"/>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198" w:name="_Toc428767265"/>
      <w:bookmarkStart w:id="199" w:name="_Toc139707436"/>
      <w:bookmarkStart w:id="200" w:name="_Toc157923571"/>
      <w:r>
        <w:rPr>
          <w:rStyle w:val="CharSectno"/>
        </w:rPr>
        <w:t>31</w:t>
      </w:r>
      <w:r>
        <w:rPr>
          <w:snapToGrid w:val="0"/>
        </w:rPr>
        <w:t>.</w:t>
      </w:r>
      <w:r>
        <w:rPr>
          <w:snapToGrid w:val="0"/>
        </w:rPr>
        <w:tab/>
        <w:t>Repeals</w:t>
      </w:r>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xml:space="preserve"> is repealed.</w:t>
      </w:r>
    </w:p>
    <w:p>
      <w:pPr>
        <w:pStyle w:val="Heading5"/>
        <w:rPr>
          <w:snapToGrid w:val="0"/>
        </w:rPr>
      </w:pPr>
      <w:bookmarkStart w:id="201" w:name="_Toc428767266"/>
      <w:bookmarkStart w:id="202" w:name="_Toc139707437"/>
      <w:bookmarkStart w:id="203" w:name="_Toc157923572"/>
      <w:r>
        <w:rPr>
          <w:rStyle w:val="CharSectno"/>
        </w:rPr>
        <w:t>32</w:t>
      </w:r>
      <w:r>
        <w:rPr>
          <w:snapToGrid w:val="0"/>
        </w:rPr>
        <w:t>.</w:t>
      </w:r>
      <w:r>
        <w:rPr>
          <w:snapToGrid w:val="0"/>
        </w:rPr>
        <w:tab/>
        <w:t>Transitional and savings</w:t>
      </w:r>
      <w:bookmarkEnd w:id="201"/>
      <w:bookmarkEnd w:id="202"/>
      <w:bookmarkEnd w:id="203"/>
      <w:r>
        <w:rPr>
          <w:snapToGrid w:val="0"/>
        </w:rPr>
        <w:t xml:space="preserve"> </w:t>
      </w:r>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s.7(4)(e).]</w:t>
      </w:r>
    </w:p>
    <w:p>
      <w:pPr>
        <w:pStyle w:val="Heading5"/>
        <w:rPr>
          <w:snapToGrid w:val="0"/>
        </w:rPr>
      </w:pPr>
      <w:bookmarkStart w:id="204" w:name="_Toc428767268"/>
      <w:bookmarkStart w:id="205" w:name="_Toc139707438"/>
      <w:bookmarkStart w:id="206" w:name="_Toc157923573"/>
      <w:r>
        <w:rPr>
          <w:rStyle w:val="CharSectno"/>
        </w:rPr>
        <w:t>34</w:t>
      </w:r>
      <w:r>
        <w:rPr>
          <w:snapToGrid w:val="0"/>
        </w:rPr>
        <w:t>.</w:t>
      </w:r>
      <w:r>
        <w:rPr>
          <w:snapToGrid w:val="0"/>
        </w:rPr>
        <w:tab/>
        <w:t>Validation</w:t>
      </w:r>
      <w:bookmarkEnd w:id="204"/>
      <w:bookmarkEnd w:id="205"/>
      <w:bookmarkEnd w:id="206"/>
      <w:r>
        <w:rPr>
          <w:snapToGrid w:val="0"/>
        </w:rPr>
        <w:t xml:space="preserve"> </w:t>
      </w:r>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207" w:name="_Toc139707439"/>
      <w:bookmarkStart w:id="208" w:name="_Toc156817070"/>
      <w:bookmarkStart w:id="209" w:name="_Toc156817134"/>
      <w:bookmarkStart w:id="210" w:name="_Toc157923574"/>
      <w:r>
        <w:rPr>
          <w:rStyle w:val="CharSchNo"/>
        </w:rPr>
        <w:t>Schedule 1</w:t>
      </w:r>
      <w:bookmarkEnd w:id="207"/>
      <w:bookmarkEnd w:id="208"/>
      <w:bookmarkEnd w:id="209"/>
      <w:bookmarkEnd w:id="210"/>
    </w:p>
    <w:p>
      <w:pPr>
        <w:pStyle w:val="yShoulderClause"/>
        <w:rPr>
          <w:snapToGrid w:val="0"/>
        </w:rPr>
      </w:pPr>
      <w:r>
        <w:rPr>
          <w:snapToGrid w:val="0"/>
        </w:rPr>
        <w:t>[section 5(4)]</w:t>
      </w:r>
    </w:p>
    <w:p>
      <w:pPr>
        <w:pStyle w:val="yHeading3"/>
        <w:rPr>
          <w:snapToGrid w:val="0"/>
          <w:sz w:val="26"/>
        </w:rPr>
      </w:pPr>
      <w:bookmarkStart w:id="211" w:name="_Toc139707440"/>
      <w:bookmarkStart w:id="212" w:name="_Toc156817071"/>
      <w:bookmarkStart w:id="213" w:name="_Toc156817135"/>
      <w:bookmarkStart w:id="214" w:name="_Toc157923575"/>
      <w:r>
        <w:rPr>
          <w:snapToGrid w:val="0"/>
          <w:sz w:val="26"/>
        </w:rPr>
        <w:t>Provisions concerning members and the procedure of the Commission</w:t>
      </w:r>
      <w:bookmarkEnd w:id="211"/>
      <w:bookmarkEnd w:id="212"/>
      <w:bookmarkEnd w:id="213"/>
      <w:bookmarkEnd w:id="214"/>
    </w:p>
    <w:p>
      <w:pPr>
        <w:pStyle w:val="yHeading5"/>
        <w:outlineLvl w:val="9"/>
        <w:rPr>
          <w:snapToGrid w:val="0"/>
        </w:rPr>
      </w:pPr>
      <w:bookmarkStart w:id="215" w:name="_Toc139707441"/>
      <w:bookmarkStart w:id="216" w:name="_Toc157923576"/>
      <w:r>
        <w:rPr>
          <w:snapToGrid w:val="0"/>
        </w:rPr>
        <w:t>1.</w:t>
      </w:r>
      <w:r>
        <w:rPr>
          <w:snapToGrid w:val="0"/>
        </w:rPr>
        <w:tab/>
        <w:t>Term of office of members</w:t>
      </w:r>
      <w:bookmarkEnd w:id="215"/>
      <w:bookmarkEnd w:id="216"/>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217" w:name="_Toc139707442"/>
      <w:bookmarkStart w:id="218" w:name="_Toc157923577"/>
      <w:r>
        <w:rPr>
          <w:snapToGrid w:val="0"/>
        </w:rPr>
        <w:t>2.</w:t>
      </w:r>
      <w:r>
        <w:rPr>
          <w:snapToGrid w:val="0"/>
        </w:rPr>
        <w:tab/>
        <w:t>Vacation of office</w:t>
      </w:r>
      <w:bookmarkEnd w:id="217"/>
      <w:bookmarkEnd w:id="218"/>
    </w:p>
    <w:p>
      <w:pPr>
        <w:pStyle w:val="ySubsection"/>
        <w:rPr>
          <w:snapToGrid w:val="0"/>
        </w:rPr>
      </w:pPr>
      <w:r>
        <w:rPr>
          <w:snapToGrid w:val="0"/>
        </w:rPr>
        <w:tab/>
      </w:r>
      <w:r>
        <w:rPr>
          <w:snapToGrid w:val="0"/>
        </w:rPr>
        <w:tab/>
        <w:t>The office of a member becomes vacant if the member — </w:t>
      </w:r>
    </w:p>
    <w:p>
      <w:pPr>
        <w:pStyle w:val="yIndenta"/>
        <w:rPr>
          <w:snapToGrid w:val="0"/>
        </w:rPr>
      </w:pPr>
      <w:r>
        <w:rPr>
          <w:snapToGrid w:val="0"/>
        </w:rPr>
        <w:tab/>
        <w:t>(a)</w:t>
      </w:r>
      <w:r>
        <w:rPr>
          <w:snapToGrid w:val="0"/>
        </w:rPr>
        <w:tab/>
        <w:t>resigns office by written notice addressed to the Minister;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w:t>
      </w:r>
    </w:p>
    <w:p>
      <w:pPr>
        <w:pStyle w:val="yIndenta"/>
        <w:rPr>
          <w:snapToGrid w:val="0"/>
        </w:rPr>
      </w:pPr>
      <w:r>
        <w:rPr>
          <w:snapToGrid w:val="0"/>
        </w:rPr>
        <w:tab/>
        <w:t>(c)</w:t>
      </w:r>
      <w:r>
        <w:rPr>
          <w:snapToGrid w:val="0"/>
        </w:rPr>
        <w:tab/>
        <w:t>is an undischarged bankrupt or a person whose property is subject to an order or arrangement under the laws relating to bankruptcy;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Heading5"/>
        <w:outlineLvl w:val="9"/>
        <w:rPr>
          <w:snapToGrid w:val="0"/>
        </w:rPr>
      </w:pPr>
      <w:bookmarkStart w:id="219" w:name="_Toc139707443"/>
      <w:bookmarkStart w:id="220" w:name="_Toc157923578"/>
      <w:r>
        <w:rPr>
          <w:snapToGrid w:val="0"/>
        </w:rPr>
        <w:t>3.</w:t>
      </w:r>
      <w:r>
        <w:rPr>
          <w:snapToGrid w:val="0"/>
        </w:rPr>
        <w:tab/>
        <w:t>Remuneration</w:t>
      </w:r>
      <w:bookmarkEnd w:id="219"/>
      <w:bookmarkEnd w:id="220"/>
    </w:p>
    <w:p>
      <w:pPr>
        <w:pStyle w:val="ySubsection"/>
        <w:rPr>
          <w:snapToGrid w:val="0"/>
        </w:rPr>
      </w:pPr>
      <w:r>
        <w:rPr>
          <w:snapToGrid w:val="0"/>
        </w:rPr>
        <w:tab/>
      </w:r>
      <w:r>
        <w:rPr>
          <w:snapToGrid w:val="0"/>
        </w:rPr>
        <w:tab/>
        <w:t xml:space="preserve">A member is entitled to such remuneration and other allowances as the Minister from time to time determines on the recommendation of the Public Service Commissioner </w:t>
      </w:r>
      <w:r>
        <w:rPr>
          <w:snapToGrid w:val="0"/>
          <w:vertAlign w:val="superscript"/>
        </w:rPr>
        <w:t>2</w:t>
      </w:r>
      <w:r>
        <w:rPr>
          <w:snapToGrid w:val="0"/>
        </w:rPr>
        <w:t>.</w:t>
      </w:r>
    </w:p>
    <w:p>
      <w:pPr>
        <w:pStyle w:val="yHeading5"/>
        <w:outlineLvl w:val="9"/>
        <w:rPr>
          <w:snapToGrid w:val="0"/>
        </w:rPr>
      </w:pPr>
      <w:bookmarkStart w:id="221" w:name="_Toc139707444"/>
      <w:bookmarkStart w:id="222" w:name="_Toc157923579"/>
      <w:r>
        <w:rPr>
          <w:snapToGrid w:val="0"/>
        </w:rPr>
        <w:t>4.</w:t>
      </w:r>
      <w:r>
        <w:rPr>
          <w:snapToGrid w:val="0"/>
        </w:rPr>
        <w:tab/>
        <w:t>Relationship to Public Service</w:t>
      </w:r>
      <w:bookmarkEnd w:id="221"/>
      <w:bookmarkEnd w:id="222"/>
    </w:p>
    <w:p>
      <w:pPr>
        <w:pStyle w:val="ySubsection"/>
        <w:keepNext/>
        <w:rPr>
          <w:snapToGrid w:val="0"/>
        </w:rPr>
      </w:pPr>
      <w:r>
        <w:rPr>
          <w:snapToGrid w:val="0"/>
        </w:rPr>
        <w:tab/>
      </w:r>
      <w:r>
        <w:rPr>
          <w:snapToGrid w:val="0"/>
        </w:rPr>
        <w:tab/>
        <w:t>The fact that a person is a member does not —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Heading5"/>
        <w:outlineLvl w:val="9"/>
        <w:rPr>
          <w:snapToGrid w:val="0"/>
        </w:rPr>
      </w:pPr>
      <w:bookmarkStart w:id="223" w:name="_Toc139707445"/>
      <w:bookmarkStart w:id="224" w:name="_Toc157923580"/>
      <w:r>
        <w:rPr>
          <w:snapToGrid w:val="0"/>
        </w:rPr>
        <w:t>5.</w:t>
      </w:r>
      <w:r>
        <w:rPr>
          <w:snapToGrid w:val="0"/>
        </w:rPr>
        <w:tab/>
        <w:t>Validity of proceedings</w:t>
      </w:r>
      <w:bookmarkEnd w:id="223"/>
      <w:bookmarkEnd w:id="224"/>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225" w:name="_Toc139707446"/>
      <w:bookmarkStart w:id="226" w:name="_Toc157923581"/>
      <w:r>
        <w:rPr>
          <w:snapToGrid w:val="0"/>
        </w:rPr>
        <w:t>6.</w:t>
      </w:r>
      <w:r>
        <w:rPr>
          <w:snapToGrid w:val="0"/>
        </w:rPr>
        <w:tab/>
        <w:t>Liability of members etc.</w:t>
      </w:r>
      <w:bookmarkEnd w:id="225"/>
      <w:bookmarkEnd w:id="226"/>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Heading5"/>
        <w:outlineLvl w:val="9"/>
        <w:rPr>
          <w:snapToGrid w:val="0"/>
        </w:rPr>
      </w:pPr>
      <w:bookmarkStart w:id="227" w:name="_Toc139707447"/>
      <w:bookmarkStart w:id="228" w:name="_Toc157923582"/>
      <w:r>
        <w:rPr>
          <w:snapToGrid w:val="0"/>
        </w:rPr>
        <w:t>7.</w:t>
      </w:r>
      <w:r>
        <w:rPr>
          <w:snapToGrid w:val="0"/>
        </w:rPr>
        <w:tab/>
        <w:t>General procedure concerning meetings</w:t>
      </w:r>
      <w:bookmarkEnd w:id="227"/>
      <w:bookmarkEnd w:id="228"/>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229" w:name="_Toc139707448"/>
      <w:bookmarkStart w:id="230" w:name="_Toc157923583"/>
      <w:r>
        <w:rPr>
          <w:snapToGrid w:val="0"/>
        </w:rPr>
        <w:t>8.</w:t>
      </w:r>
      <w:r>
        <w:rPr>
          <w:snapToGrid w:val="0"/>
        </w:rPr>
        <w:tab/>
        <w:t>Proceedings</w:t>
      </w:r>
      <w:bookmarkEnd w:id="229"/>
      <w:bookmarkEnd w:id="230"/>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231" w:name="_Toc139707449"/>
      <w:bookmarkStart w:id="232" w:name="_Toc157923584"/>
      <w:r>
        <w:rPr>
          <w:snapToGrid w:val="0"/>
        </w:rPr>
        <w:t>9.</w:t>
      </w:r>
      <w:r>
        <w:rPr>
          <w:snapToGrid w:val="0"/>
        </w:rPr>
        <w:tab/>
        <w:t>Minutes</w:t>
      </w:r>
      <w:bookmarkEnd w:id="231"/>
      <w:bookmarkEnd w:id="232"/>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233" w:name="_Toc139707450"/>
      <w:bookmarkStart w:id="234" w:name="_Toc157923585"/>
      <w:r>
        <w:rPr>
          <w:snapToGrid w:val="0"/>
        </w:rPr>
        <w:t>10.</w:t>
      </w:r>
      <w:r>
        <w:rPr>
          <w:snapToGrid w:val="0"/>
        </w:rPr>
        <w:tab/>
        <w:t>Resolution may be passed without meeting</w:t>
      </w:r>
      <w:bookmarkEnd w:id="233"/>
      <w:bookmarkEnd w:id="234"/>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235" w:name="_Toc139707451"/>
      <w:bookmarkStart w:id="236" w:name="_Toc157923586"/>
      <w:r>
        <w:rPr>
          <w:snapToGrid w:val="0"/>
        </w:rPr>
        <w:t>11.</w:t>
      </w:r>
      <w:r>
        <w:rPr>
          <w:snapToGrid w:val="0"/>
        </w:rPr>
        <w:tab/>
        <w:t>Leave of absence</w:t>
      </w:r>
      <w:bookmarkEnd w:id="235"/>
      <w:bookmarkEnd w:id="236"/>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237" w:name="_Toc139707452"/>
      <w:bookmarkStart w:id="238" w:name="_Toc157923587"/>
      <w:r>
        <w:rPr>
          <w:snapToGrid w:val="0"/>
        </w:rPr>
        <w:t>12.</w:t>
      </w:r>
      <w:r>
        <w:rPr>
          <w:snapToGrid w:val="0"/>
        </w:rPr>
        <w:tab/>
        <w:t>Execution of documents by Commission</w:t>
      </w:r>
      <w:bookmarkEnd w:id="237"/>
      <w:bookmarkEnd w:id="238"/>
    </w:p>
    <w:p>
      <w:pPr>
        <w:pStyle w:val="ySubsection"/>
        <w:rPr>
          <w:snapToGrid w:val="0"/>
        </w:rPr>
      </w:pPr>
      <w:r>
        <w:rPr>
          <w:snapToGrid w:val="0"/>
        </w:rPr>
        <w:tab/>
        <w:t>(1)</w:t>
      </w:r>
      <w:r>
        <w:rPr>
          <w:snapToGrid w:val="0"/>
        </w:rPr>
        <w:tab/>
        <w:t>A document is duly executed by the Commission if —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authorized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authorized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snapToGrid w:val="0"/>
        </w:rPr>
      </w:pPr>
      <w:r>
        <w:rPr>
          <w:snapToGrid w:val="0"/>
        </w:rPr>
        <w:tab/>
        <w:t>(6)</w:t>
      </w:r>
      <w:r>
        <w:rPr>
          <w:snapToGrid w:val="0"/>
        </w:rPr>
        <w:tab/>
        <w:t>All courts and persons acting judicially shall take notice of the common seal of the Commission.</w:t>
      </w:r>
    </w:p>
    <w:p>
      <w:pPr>
        <w:pStyle w:val="yFootnotesection"/>
        <w:rPr>
          <w:sz w:val="24"/>
        </w:rPr>
      </w:pPr>
      <w:r>
        <w:tab/>
        <w:t>[Schedule 1 amended by No. 32 of 1994 s.3</w:t>
      </w:r>
      <w:r>
        <w:rPr>
          <w:sz w:val="24"/>
        </w:rPr>
        <w:t xml:space="preserve">(2); No. 41 of 1996 s.3.] </w:t>
      </w:r>
    </w:p>
    <w:p>
      <w:pPr>
        <w:pStyle w:val="yScheduleHeading"/>
      </w:pPr>
      <w:bookmarkStart w:id="239" w:name="_Toc139707453"/>
      <w:bookmarkStart w:id="240" w:name="_Toc156817084"/>
      <w:bookmarkStart w:id="241" w:name="_Toc156817148"/>
      <w:bookmarkStart w:id="242" w:name="_Toc157923588"/>
      <w:r>
        <w:rPr>
          <w:rStyle w:val="CharSchNo"/>
        </w:rPr>
        <w:t>Schedule 2</w:t>
      </w:r>
      <w:bookmarkEnd w:id="239"/>
      <w:bookmarkEnd w:id="240"/>
      <w:bookmarkEnd w:id="241"/>
      <w:bookmarkEnd w:id="242"/>
    </w:p>
    <w:p>
      <w:pPr>
        <w:pStyle w:val="yShoulderClause"/>
        <w:rPr>
          <w:snapToGrid w:val="0"/>
        </w:rPr>
      </w:pPr>
      <w:r>
        <w:rPr>
          <w:snapToGrid w:val="0"/>
        </w:rPr>
        <w:t>[section 32]</w:t>
      </w:r>
    </w:p>
    <w:p>
      <w:pPr>
        <w:pStyle w:val="yHeading3"/>
        <w:rPr>
          <w:snapToGrid w:val="0"/>
          <w:sz w:val="26"/>
        </w:rPr>
      </w:pPr>
      <w:bookmarkStart w:id="243" w:name="_Toc139707454"/>
      <w:bookmarkStart w:id="244" w:name="_Toc156817085"/>
      <w:bookmarkStart w:id="245" w:name="_Toc156817149"/>
      <w:bookmarkStart w:id="246" w:name="_Toc157923589"/>
      <w:r>
        <w:rPr>
          <w:snapToGrid w:val="0"/>
          <w:sz w:val="26"/>
        </w:rPr>
        <w:t>Transitional and savings provisions</w:t>
      </w:r>
      <w:bookmarkEnd w:id="243"/>
      <w:bookmarkEnd w:id="244"/>
      <w:bookmarkEnd w:id="245"/>
      <w:bookmarkEnd w:id="246"/>
    </w:p>
    <w:p>
      <w:pPr>
        <w:pStyle w:val="yHeading5"/>
        <w:outlineLvl w:val="9"/>
        <w:rPr>
          <w:snapToGrid w:val="0"/>
        </w:rPr>
      </w:pPr>
      <w:bookmarkStart w:id="247" w:name="_Toc139707455"/>
      <w:bookmarkStart w:id="248" w:name="_Toc157923590"/>
      <w:r>
        <w:rPr>
          <w:snapToGrid w:val="0"/>
        </w:rPr>
        <w:t>1.</w:t>
      </w:r>
      <w:r>
        <w:rPr>
          <w:snapToGrid w:val="0"/>
        </w:rPr>
        <w:tab/>
        <w:t>Definition</w:t>
      </w:r>
      <w:bookmarkEnd w:id="247"/>
      <w:bookmarkEnd w:id="248"/>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this Act.</w:t>
      </w:r>
    </w:p>
    <w:p>
      <w:pPr>
        <w:pStyle w:val="yHeading5"/>
        <w:outlineLvl w:val="9"/>
        <w:rPr>
          <w:snapToGrid w:val="0"/>
        </w:rPr>
      </w:pPr>
      <w:bookmarkStart w:id="249" w:name="_Toc139707456"/>
      <w:bookmarkStart w:id="250" w:name="_Toc157923591"/>
      <w:r>
        <w:rPr>
          <w:snapToGrid w:val="0"/>
        </w:rPr>
        <w:t>2.</w:t>
      </w:r>
      <w:r>
        <w:rPr>
          <w:snapToGrid w:val="0"/>
        </w:rPr>
        <w:tab/>
        <w:t>Members of Commission</w:t>
      </w:r>
      <w:bookmarkEnd w:id="249"/>
      <w:bookmarkEnd w:id="250"/>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251" w:name="_Toc139707457"/>
      <w:bookmarkStart w:id="252" w:name="_Toc157923592"/>
      <w:r>
        <w:rPr>
          <w:snapToGrid w:val="0"/>
        </w:rPr>
        <w:t>3.</w:t>
      </w:r>
      <w:r>
        <w:rPr>
          <w:snapToGrid w:val="0"/>
        </w:rPr>
        <w:tab/>
        <w:t>Rules</w:t>
      </w:r>
      <w:bookmarkEnd w:id="251"/>
      <w:bookmarkEnd w:id="252"/>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253" w:name="_Toc139707458"/>
      <w:bookmarkStart w:id="254" w:name="_Toc157923593"/>
      <w:r>
        <w:rPr>
          <w:snapToGrid w:val="0"/>
        </w:rPr>
        <w:t>4.</w:t>
      </w:r>
      <w:r>
        <w:rPr>
          <w:snapToGrid w:val="0"/>
        </w:rPr>
        <w:tab/>
        <w:t>Appointments, etc.</w:t>
      </w:r>
      <w:bookmarkEnd w:id="253"/>
      <w:bookmarkEnd w:id="254"/>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255" w:name="_Toc139707459"/>
      <w:bookmarkStart w:id="256" w:name="_Toc157923594"/>
      <w:r>
        <w:rPr>
          <w:snapToGrid w:val="0"/>
        </w:rPr>
        <w:t>5.</w:t>
      </w:r>
      <w:r>
        <w:rPr>
          <w:snapToGrid w:val="0"/>
        </w:rPr>
        <w:tab/>
        <w:t xml:space="preserve">Transitional provisions as to </w:t>
      </w:r>
      <w:r>
        <w:rPr>
          <w:i/>
          <w:snapToGrid w:val="0"/>
        </w:rPr>
        <w:t>Gaming Commission Act 1987</w:t>
      </w:r>
      <w:bookmarkEnd w:id="255"/>
      <w:bookmarkEnd w:id="256"/>
      <w:r>
        <w:rPr>
          <w:snapToGrid w:val="0"/>
        </w:rPr>
        <w:t xml:space="preserve"> </w:t>
      </w:r>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257" w:name="_Toc139707460"/>
      <w:bookmarkStart w:id="258" w:name="_Toc157923595"/>
      <w:r>
        <w:rPr>
          <w:snapToGrid w:val="0"/>
        </w:rPr>
        <w:t>6.</w:t>
      </w:r>
      <w:r>
        <w:rPr>
          <w:snapToGrid w:val="0"/>
        </w:rPr>
        <w:tab/>
      </w:r>
      <w:r>
        <w:rPr>
          <w:i/>
          <w:snapToGrid w:val="0"/>
        </w:rPr>
        <w:t>Interpretation Act 1984</w:t>
      </w:r>
      <w:r>
        <w:rPr>
          <w:snapToGrid w:val="0"/>
        </w:rPr>
        <w:t xml:space="preserve"> not affected</w:t>
      </w:r>
      <w:bookmarkEnd w:id="257"/>
      <w:bookmarkEnd w:id="258"/>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s.7(4)(e).]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259" w:name="_Toc139707461"/>
      <w:bookmarkStart w:id="260" w:name="_Toc156817092"/>
      <w:bookmarkStart w:id="261" w:name="_Toc156817156"/>
      <w:bookmarkStart w:id="262" w:name="_Toc157923596"/>
      <w:r>
        <w:t>Notes</w:t>
      </w:r>
      <w:bookmarkEnd w:id="259"/>
      <w:bookmarkEnd w:id="260"/>
      <w:bookmarkEnd w:id="261"/>
      <w:bookmarkEnd w:id="262"/>
    </w:p>
    <w:p>
      <w:pPr>
        <w:pStyle w:val="nSubsection"/>
        <w:rPr>
          <w:snapToGrid w:val="0"/>
        </w:rPr>
      </w:pPr>
      <w:r>
        <w:rPr>
          <w:snapToGrid w:val="0"/>
          <w:vertAlign w:val="superscript"/>
        </w:rPr>
        <w:t>1</w:t>
      </w:r>
      <w:r>
        <w:rPr>
          <w:snapToGrid w:val="0"/>
        </w:rPr>
        <w:tab/>
        <w:t xml:space="preserve">This is a compilation of the </w:t>
      </w:r>
      <w:r>
        <w:rPr>
          <w:i/>
          <w:snapToGrid w:val="0"/>
        </w:rPr>
        <w:t>Lotteries Commission Act 1990</w:t>
      </w:r>
      <w:r>
        <w:rPr>
          <w:snapToGrid w:val="0"/>
        </w:rPr>
        <w:t xml:space="preserve"> and includes </w:t>
      </w:r>
      <w:del w:id="263" w:author="svcMRProcess" w:date="2015-12-10T16:45:00Z">
        <w:r>
          <w:rPr>
            <w:snapToGrid w:val="0"/>
          </w:rPr>
          <w:delText>all</w:delText>
        </w:r>
      </w:del>
      <w:ins w:id="264" w:author="svcMRProcess" w:date="2015-12-10T16:45:00Z">
        <w:r>
          <w:rPr>
            <w:snapToGrid w:val="0"/>
          </w:rPr>
          <w:t>the</w:t>
        </w:r>
      </w:ins>
      <w:r>
        <w:rPr>
          <w:snapToGrid w:val="0"/>
        </w:rPr>
        <w:t xml:space="preserve"> amendments </w:t>
      </w:r>
      <w:del w:id="265" w:author="svcMRProcess" w:date="2015-12-10T16:45:00Z">
        <w:r>
          <w:rPr>
            <w:snapToGrid w:val="0"/>
          </w:rPr>
          <w:delText>effected</w:delText>
        </w:r>
      </w:del>
      <w:ins w:id="266" w:author="svcMRProcess" w:date="2015-12-10T16:45:00Z">
        <w:r>
          <w:rPr>
            <w:snapToGrid w:val="0"/>
          </w:rPr>
          <w:t>made</w:t>
        </w:r>
      </w:ins>
      <w:r>
        <w:rPr>
          <w:snapToGrid w:val="0"/>
        </w:rPr>
        <w:t xml:space="preserve"> by the other </w:t>
      </w:r>
      <w:del w:id="267" w:author="svcMRProcess" w:date="2015-12-10T16:45:00Z">
        <w:r>
          <w:rPr>
            <w:snapToGrid w:val="0"/>
          </w:rPr>
          <w:delText>Acts</w:delText>
        </w:r>
      </w:del>
      <w:ins w:id="268" w:author="svcMRProcess" w:date="2015-12-10T16:45:00Z">
        <w:r>
          <w:rPr>
            <w:snapToGrid w:val="0"/>
          </w:rPr>
          <w:t>written laws</w:t>
        </w:r>
      </w:ins>
      <w:r>
        <w:rPr>
          <w:snapToGrid w:val="0"/>
        </w:rPr>
        <w:t xml:space="preserve"> referred to in the following </w:t>
      </w:r>
      <w:del w:id="269" w:author="svcMRProcess" w:date="2015-12-10T16:45:00Z">
        <w:r>
          <w:rPr>
            <w:snapToGrid w:val="0"/>
          </w:rPr>
          <w:delText>Table</w:delText>
        </w:r>
      </w:del>
      <w:ins w:id="270" w:author="svcMRProcess" w:date="2015-12-10T16:45:00Z">
        <w:r>
          <w:rPr>
            <w:snapToGrid w:val="0"/>
          </w:rPr>
          <w:t>table</w:t>
        </w:r>
      </w:ins>
      <w:r>
        <w:rPr>
          <w:snapToGrid w:val="0"/>
        </w:rPr>
        <w:t>.</w:t>
      </w:r>
    </w:p>
    <w:p>
      <w:pPr>
        <w:pStyle w:val="nHeading3"/>
        <w:rPr>
          <w:snapToGrid w:val="0"/>
        </w:rPr>
      </w:pPr>
      <w:bookmarkStart w:id="271" w:name="_Toc157923597"/>
      <w:r>
        <w:rPr>
          <w:snapToGrid w:val="0"/>
        </w:rPr>
        <w:t>Compilation table</w:t>
      </w:r>
      <w:bookmarkEnd w:id="2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Lotteries Commission Act 1990</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w:t>
            </w:r>
            <w:r>
              <w:rPr>
                <w:sz w:val="19"/>
              </w:rPr>
              <w:br/>
              <w:t xml:space="preserve">(see section 2 and </w:t>
            </w:r>
            <w:r>
              <w:rPr>
                <w:i/>
                <w:sz w:val="19"/>
              </w:rPr>
              <w:t>Gazette</w:t>
            </w:r>
            <w:r>
              <w:rPr>
                <w:sz w:val="19"/>
              </w:rPr>
              <w:t xml:space="preserve"> 28 Dec 1990 p.6369)</w:t>
            </w:r>
          </w:p>
        </w:tc>
      </w:tr>
      <w:tr>
        <w:trPr>
          <w:cantSplit/>
        </w:trPr>
        <w:tc>
          <w:tcPr>
            <w:tcW w:w="2268" w:type="dxa"/>
          </w:tcPr>
          <w:p>
            <w:pPr>
              <w:pStyle w:val="nTable"/>
              <w:spacing w:after="40"/>
              <w:ind w:right="170"/>
              <w:rPr>
                <w:sz w:val="19"/>
              </w:rPr>
            </w:pPr>
            <w:r>
              <w:rPr>
                <w:i/>
                <w:sz w:val="19"/>
              </w:rPr>
              <w:t>Lotteries Commission Amendment Act 1992</w:t>
            </w:r>
          </w:p>
        </w:tc>
        <w:tc>
          <w:tcPr>
            <w:tcW w:w="1134" w:type="dxa"/>
          </w:tcPr>
          <w:p>
            <w:pPr>
              <w:pStyle w:val="nTable"/>
              <w:spacing w:after="40"/>
              <w:rPr>
                <w:sz w:val="19"/>
              </w:rPr>
            </w:pPr>
            <w:r>
              <w:rPr>
                <w:sz w:val="19"/>
              </w:rPr>
              <w:t>32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17 July 1992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w:t>
            </w:r>
            <w:r>
              <w:rPr>
                <w:sz w:val="19"/>
              </w:rPr>
              <w:br/>
              <w:t>section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27 Aug 1993 (see section 2(2))</w:t>
            </w:r>
          </w:p>
        </w:tc>
      </w:tr>
      <w:tr>
        <w:trPr>
          <w:cantSplit/>
        </w:trPr>
        <w:tc>
          <w:tcPr>
            <w:tcW w:w="2268" w:type="dxa"/>
          </w:tcPr>
          <w:p>
            <w:pPr>
              <w:pStyle w:val="nTable"/>
              <w:spacing w:after="40"/>
              <w:ind w:right="170"/>
              <w:rPr>
                <w:sz w:val="19"/>
              </w:rPr>
            </w:pPr>
            <w:r>
              <w:rPr>
                <w:i/>
                <w:sz w:val="19"/>
              </w:rPr>
              <w:t>Lotteries Commission Amendment Act 1993</w:t>
            </w:r>
          </w:p>
        </w:tc>
        <w:tc>
          <w:tcPr>
            <w:tcW w:w="1134" w:type="dxa"/>
          </w:tcPr>
          <w:p>
            <w:pPr>
              <w:pStyle w:val="nTable"/>
              <w:spacing w:after="40"/>
              <w:rPr>
                <w:sz w:val="19"/>
              </w:rPr>
            </w:pPr>
            <w:r>
              <w:rPr>
                <w:sz w:val="19"/>
              </w:rPr>
              <w:t>9 of 1993</w:t>
            </w:r>
          </w:p>
        </w:tc>
        <w:tc>
          <w:tcPr>
            <w:tcW w:w="1134" w:type="dxa"/>
          </w:tcPr>
          <w:p>
            <w:pPr>
              <w:pStyle w:val="nTable"/>
              <w:spacing w:after="40"/>
              <w:rPr>
                <w:sz w:val="19"/>
              </w:rPr>
            </w:pPr>
            <w:r>
              <w:rPr>
                <w:sz w:val="19"/>
              </w:rPr>
              <w:t>24 Sep 1993</w:t>
            </w:r>
          </w:p>
        </w:tc>
        <w:tc>
          <w:tcPr>
            <w:tcW w:w="2551" w:type="dxa"/>
          </w:tcPr>
          <w:p>
            <w:pPr>
              <w:pStyle w:val="nTable"/>
              <w:spacing w:after="40"/>
              <w:rPr>
                <w:sz w:val="19"/>
              </w:rPr>
            </w:pPr>
            <w:r>
              <w:rPr>
                <w:sz w:val="19"/>
              </w:rPr>
              <w:t>24 Sep 1993 (see section 2)</w:t>
            </w:r>
          </w:p>
        </w:tc>
      </w:tr>
      <w:tr>
        <w:trPr>
          <w:cantSplit/>
        </w:trPr>
        <w:tc>
          <w:tcPr>
            <w:tcW w:w="2268" w:type="dxa"/>
          </w:tcPr>
          <w:p>
            <w:pPr>
              <w:pStyle w:val="nTable"/>
              <w:spacing w:after="40"/>
              <w:ind w:right="170"/>
              <w:rPr>
                <w:sz w:val="19"/>
              </w:rPr>
            </w:pPr>
            <w:r>
              <w:rPr>
                <w:i/>
                <w:sz w:val="19"/>
              </w:rPr>
              <w:t>Acts Amendment (Public Sector Management) Act 1994</w:t>
            </w:r>
            <w:r>
              <w:rPr>
                <w:sz w:val="19"/>
              </w:rPr>
              <w:t>, section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Oct 1994 (see section 2 and </w:t>
            </w:r>
            <w:r>
              <w:rPr>
                <w:i/>
                <w:sz w:val="19"/>
              </w:rPr>
              <w:t>Gazette</w:t>
            </w:r>
            <w:r>
              <w:rPr>
                <w:sz w:val="19"/>
              </w:rPr>
              <w:t xml:space="preserve"> 30 Sep 1994 p.4948)</w:t>
            </w:r>
          </w:p>
        </w:tc>
      </w:tr>
      <w:tr>
        <w:trPr>
          <w:cantSplit/>
        </w:trPr>
        <w:tc>
          <w:tcPr>
            <w:tcW w:w="2268" w:type="dxa"/>
          </w:tcPr>
          <w:p>
            <w:pPr>
              <w:pStyle w:val="nTable"/>
              <w:spacing w:after="40"/>
              <w:ind w:right="170"/>
              <w:rPr>
                <w:iCs/>
                <w:sz w:val="19"/>
              </w:rPr>
            </w:pPr>
            <w:r>
              <w:rPr>
                <w:i/>
                <w:sz w:val="19"/>
              </w:rPr>
              <w:t>Lotteries Commission Amendment Act 1994</w:t>
            </w:r>
            <w:r>
              <w:rPr>
                <w:iCs/>
                <w:sz w:val="19"/>
                <w:vertAlign w:val="superscript"/>
              </w:rPr>
              <w:t> 4</w:t>
            </w:r>
          </w:p>
        </w:tc>
        <w:tc>
          <w:tcPr>
            <w:tcW w:w="1134" w:type="dxa"/>
          </w:tcPr>
          <w:p>
            <w:pPr>
              <w:pStyle w:val="nTable"/>
              <w:spacing w:after="40"/>
              <w:rPr>
                <w:sz w:val="19"/>
              </w:rPr>
            </w:pPr>
            <w:r>
              <w:rPr>
                <w:sz w:val="19"/>
              </w:rPr>
              <w:t>74 of 1994</w:t>
            </w:r>
          </w:p>
        </w:tc>
        <w:tc>
          <w:tcPr>
            <w:tcW w:w="1134" w:type="dxa"/>
          </w:tcPr>
          <w:p>
            <w:pPr>
              <w:pStyle w:val="nTable"/>
              <w:spacing w:after="40"/>
              <w:rPr>
                <w:sz w:val="19"/>
              </w:rPr>
            </w:pPr>
            <w:r>
              <w:rPr>
                <w:sz w:val="19"/>
              </w:rPr>
              <w:t>13 Dec 1994</w:t>
            </w:r>
          </w:p>
        </w:tc>
        <w:tc>
          <w:tcPr>
            <w:tcW w:w="2551" w:type="dxa"/>
          </w:tcPr>
          <w:p>
            <w:pPr>
              <w:pStyle w:val="nTable"/>
              <w:spacing w:after="40"/>
              <w:rPr>
                <w:sz w:val="19"/>
              </w:rPr>
            </w:pPr>
            <w:r>
              <w:rPr>
                <w:sz w:val="19"/>
              </w:rPr>
              <w:t>13 Dec 1994 (see section 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section 2)</w:t>
            </w:r>
          </w:p>
        </w:tc>
      </w:tr>
      <w:tr>
        <w:trPr>
          <w:cantSplit/>
        </w:trPr>
        <w:tc>
          <w:tcPr>
            <w:tcW w:w="2268" w:type="dxa"/>
          </w:tcPr>
          <w:p>
            <w:pPr>
              <w:pStyle w:val="nTable"/>
              <w:spacing w:after="40"/>
              <w:ind w:right="170"/>
              <w:rPr>
                <w:sz w:val="19"/>
              </w:rPr>
            </w:pPr>
            <w:r>
              <w:rPr>
                <w:i/>
                <w:sz w:val="19"/>
              </w:rPr>
              <w:t>Statutory Corporations (Liability of Directors) Act 1996</w:t>
            </w:r>
            <w:r>
              <w:rPr>
                <w:sz w:val="19"/>
              </w:rPr>
              <w:t xml:space="preserve">, </w:t>
            </w:r>
            <w:r>
              <w:rPr>
                <w:sz w:val="19"/>
              </w:rPr>
              <w:br/>
              <w:t>section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 Dec 1996 (see section 2 and </w:t>
            </w:r>
            <w:r>
              <w:rPr>
                <w:i/>
                <w:sz w:val="19"/>
              </w:rPr>
              <w:t>Gazette</w:t>
            </w:r>
            <w:r>
              <w:rPr>
                <w:sz w:val="19"/>
              </w:rPr>
              <w:t xml:space="preserve"> 12 Nov 1996 p.6301)</w:t>
            </w:r>
          </w:p>
        </w:tc>
      </w:tr>
      <w:tr>
        <w:trPr>
          <w:cantSplit/>
        </w:trPr>
        <w:tc>
          <w:tcPr>
            <w:tcW w:w="2268" w:type="dxa"/>
          </w:tcPr>
          <w:p>
            <w:pPr>
              <w:pStyle w:val="nTable"/>
              <w:spacing w:after="40"/>
              <w:ind w:right="170"/>
              <w:rPr>
                <w:sz w:val="19"/>
              </w:rPr>
            </w:pPr>
            <w:r>
              <w:rPr>
                <w:i/>
                <w:sz w:val="19"/>
              </w:rPr>
              <w:t>Financial Legislation Amendment Act 1996</w:t>
            </w:r>
            <w:r>
              <w:rPr>
                <w:sz w:val="19"/>
              </w:rPr>
              <w:t>, 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section 2(1))</w:t>
            </w:r>
          </w:p>
        </w:tc>
      </w:tr>
      <w:tr>
        <w:trPr>
          <w:cantSplit/>
        </w:trPr>
        <w:tc>
          <w:tcPr>
            <w:tcW w:w="2268" w:type="dxa"/>
          </w:tcPr>
          <w:p>
            <w:pPr>
              <w:pStyle w:val="nTable"/>
              <w:keepNext/>
              <w:spacing w:after="40"/>
              <w:ind w:right="170"/>
              <w:rPr>
                <w:sz w:val="19"/>
              </w:rPr>
            </w:pPr>
            <w:r>
              <w:rPr>
                <w:i/>
                <w:sz w:val="19"/>
              </w:rPr>
              <w:t>Trustees Amendment Act 1997</w:t>
            </w:r>
            <w:r>
              <w:rPr>
                <w:sz w:val="19"/>
              </w:rPr>
              <w:t xml:space="preserve">, </w:t>
            </w:r>
            <w:r>
              <w:rPr>
                <w:sz w:val="19"/>
              </w:rPr>
              <w:br/>
              <w:t>section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16 Jun 1997 (see section 2 and </w:t>
            </w:r>
            <w:r>
              <w:rPr>
                <w:i/>
                <w:sz w:val="19"/>
              </w:rPr>
              <w:t>Gazette</w:t>
            </w:r>
            <w:r>
              <w:rPr>
                <w:sz w:val="19"/>
              </w:rPr>
              <w:t xml:space="preserve"> </w:t>
            </w:r>
            <w:r>
              <w:rPr>
                <w:sz w:val="19"/>
              </w:rPr>
              <w:br/>
              <w:t xml:space="preserve">10 Jun 1997 </w:t>
            </w:r>
            <w:r>
              <w:rPr>
                <w:sz w:val="19"/>
              </w:rPr>
              <w:br/>
              <w:t>p.2661)</w:t>
            </w:r>
          </w:p>
        </w:tc>
      </w:tr>
      <w:tr>
        <w:trPr>
          <w:cantSplit/>
        </w:trPr>
        <w:tc>
          <w:tcPr>
            <w:tcW w:w="2268" w:type="dxa"/>
          </w:tcPr>
          <w:p>
            <w:pPr>
              <w:pStyle w:val="nTable"/>
              <w:keepNext/>
              <w:spacing w:after="40"/>
              <w:ind w:right="170"/>
              <w:rPr>
                <w:i/>
                <w:sz w:val="19"/>
              </w:rPr>
            </w:pPr>
            <w:r>
              <w:rPr>
                <w:i/>
                <w:sz w:val="19"/>
              </w:rPr>
              <w:t>Lotteries Commission Amendment Act 1998</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22 Jul 1998 (see section 2 and </w:t>
            </w:r>
            <w:r>
              <w:rPr>
                <w:i/>
                <w:sz w:val="19"/>
              </w:rPr>
              <w:t>Gazette</w:t>
            </w:r>
            <w:r>
              <w:rPr>
                <w:sz w:val="19"/>
              </w:rPr>
              <w:t xml:space="preserve"> 21 Jul 1998 p.3825)</w:t>
            </w:r>
          </w:p>
        </w:tc>
      </w:tr>
      <w:tr>
        <w:trPr>
          <w:cantSplit/>
        </w:trPr>
        <w:tc>
          <w:tcPr>
            <w:tcW w:w="2268" w:type="dxa"/>
          </w:tcPr>
          <w:p>
            <w:pPr>
              <w:pStyle w:val="nTable"/>
              <w:keepNext/>
              <w:spacing w:after="40"/>
              <w:ind w:right="17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6</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ins w:id="272" w:author="svcMRProcess" w:date="2015-12-10T16:45:00Z"/>
        </w:trPr>
        <w:tc>
          <w:tcPr>
            <w:tcW w:w="2268" w:type="dxa"/>
            <w:tcBorders>
              <w:bottom w:val="single" w:sz="8" w:space="0" w:color="auto"/>
            </w:tcBorders>
          </w:tcPr>
          <w:p>
            <w:pPr>
              <w:pStyle w:val="nTable"/>
              <w:keepNext/>
              <w:spacing w:after="40"/>
              <w:ind w:right="170"/>
              <w:rPr>
                <w:ins w:id="273" w:author="svcMRProcess" w:date="2015-12-10T16:45:00Z"/>
                <w:i/>
                <w:snapToGrid w:val="0"/>
                <w:sz w:val="19"/>
                <w:lang w:val="en-US"/>
              </w:rPr>
            </w:pPr>
            <w:ins w:id="274" w:author="svcMRProcess" w:date="2015-12-10T16:45:00Z">
              <w:r>
                <w:rPr>
                  <w:i/>
                  <w:iCs/>
                  <w:snapToGrid w:val="0"/>
                  <w:sz w:val="19"/>
                  <w:lang w:val="en-US"/>
                </w:rPr>
                <w:t xml:space="preserve">Financial Legislation Amendment and Repeal Act 2006 </w:t>
              </w:r>
              <w:r>
                <w:rPr>
                  <w:snapToGrid w:val="0"/>
                  <w:sz w:val="19"/>
                  <w:lang w:val="en-US"/>
                </w:rPr>
                <w:t>s. 4 and 17</w:t>
              </w:r>
            </w:ins>
          </w:p>
        </w:tc>
        <w:tc>
          <w:tcPr>
            <w:tcW w:w="1134" w:type="dxa"/>
            <w:tcBorders>
              <w:bottom w:val="single" w:sz="8" w:space="0" w:color="auto"/>
            </w:tcBorders>
          </w:tcPr>
          <w:p>
            <w:pPr>
              <w:pStyle w:val="nTable"/>
              <w:spacing w:after="40"/>
              <w:rPr>
                <w:ins w:id="275" w:author="svcMRProcess" w:date="2015-12-10T16:45:00Z"/>
                <w:snapToGrid w:val="0"/>
                <w:sz w:val="19"/>
                <w:lang w:val="en-US"/>
              </w:rPr>
            </w:pPr>
            <w:ins w:id="276" w:author="svcMRProcess" w:date="2015-12-10T16:45:00Z">
              <w:r>
                <w:rPr>
                  <w:snapToGrid w:val="0"/>
                  <w:sz w:val="19"/>
                  <w:lang w:val="en-US"/>
                </w:rPr>
                <w:t>77 of 2006</w:t>
              </w:r>
            </w:ins>
          </w:p>
        </w:tc>
        <w:tc>
          <w:tcPr>
            <w:tcW w:w="1134" w:type="dxa"/>
            <w:tcBorders>
              <w:bottom w:val="single" w:sz="8" w:space="0" w:color="auto"/>
            </w:tcBorders>
          </w:tcPr>
          <w:p>
            <w:pPr>
              <w:pStyle w:val="nTable"/>
              <w:spacing w:after="40"/>
              <w:rPr>
                <w:ins w:id="277" w:author="svcMRProcess" w:date="2015-12-10T16:45:00Z"/>
                <w:sz w:val="19"/>
              </w:rPr>
            </w:pPr>
            <w:ins w:id="278" w:author="svcMRProcess" w:date="2015-12-10T16:45:00Z">
              <w:r>
                <w:rPr>
                  <w:snapToGrid w:val="0"/>
                  <w:sz w:val="19"/>
                  <w:lang w:val="en-US"/>
                </w:rPr>
                <w:t>21 Dec 2006</w:t>
              </w:r>
            </w:ins>
          </w:p>
        </w:tc>
        <w:tc>
          <w:tcPr>
            <w:tcW w:w="2551" w:type="dxa"/>
            <w:tcBorders>
              <w:bottom w:val="single" w:sz="8" w:space="0" w:color="auto"/>
            </w:tcBorders>
          </w:tcPr>
          <w:p>
            <w:pPr>
              <w:pStyle w:val="nTable"/>
              <w:spacing w:after="40"/>
              <w:rPr>
                <w:ins w:id="279" w:author="svcMRProcess" w:date="2015-12-10T16:45:00Z"/>
                <w:sz w:val="19"/>
              </w:rPr>
            </w:pPr>
            <w:ins w:id="280" w:author="svcMRProcess" w:date="2015-12-10T16:45: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i/>
          <w:snapToGrid w:val="0"/>
        </w:rPr>
      </w:pPr>
      <w:r>
        <w:rPr>
          <w:snapToGrid w:val="0"/>
          <w:vertAlign w:val="superscript"/>
        </w:rPr>
        <w:t>2</w:t>
      </w:r>
      <w:r>
        <w:rPr>
          <w:snapToGrid w:val="0"/>
        </w:rPr>
        <w:tab/>
        <w:t>References to the</w:t>
      </w:r>
      <w:r>
        <w:t xml:space="preserve"> Public Service Commissioner may to be construed as references to the Minister for Public Sector Management: section 112(2) of the </w:t>
      </w:r>
      <w:r>
        <w:rPr>
          <w:i/>
        </w:rPr>
        <w:t>Public Sector Management Act 1994</w:t>
      </w:r>
      <w:r>
        <w:t xml:space="preserve"> (No. 31 of 1994).</w:t>
      </w:r>
    </w:p>
    <w:p>
      <w:pPr>
        <w:pStyle w:val="nSubsection"/>
        <w:rPr>
          <w:snapToGrid w:val="0"/>
        </w:rPr>
      </w:pPr>
      <w:r>
        <w:rPr>
          <w:snapToGrid w:val="0"/>
          <w:vertAlign w:val="superscript"/>
        </w:rPr>
        <w:t>3</w:t>
      </w:r>
      <w:r>
        <w:rPr>
          <w:snapToGrid w:val="0"/>
        </w:rPr>
        <w:tab/>
        <w:t xml:space="preserve">References to </w:t>
      </w:r>
      <w:r>
        <w:t xml:space="preserve">the </w:t>
      </w:r>
      <w:r>
        <w:rPr>
          <w:i/>
        </w:rPr>
        <w:t>Public Service Act 1978</w:t>
      </w:r>
      <w:r>
        <w:t xml:space="preserve"> may be construed as references to the </w:t>
      </w:r>
      <w:r>
        <w:rPr>
          <w:i/>
        </w:rPr>
        <w:t>Public Sector Management Act 1994</w:t>
      </w:r>
      <w:r>
        <w:t xml:space="preserve">: see section 112(1) of the </w:t>
      </w:r>
      <w:r>
        <w:rPr>
          <w:i/>
        </w:rPr>
        <w:t>Public Sector Management Act 1994</w:t>
      </w:r>
      <w:r>
        <w:t xml:space="preserve"> (No. 31of 1994).</w:t>
      </w:r>
    </w:p>
    <w:p>
      <w:pPr>
        <w:pStyle w:val="nSubsection"/>
        <w:rPr>
          <w:snapToGrid w:val="0"/>
        </w:rPr>
      </w:pPr>
      <w:r>
        <w:rPr>
          <w:snapToGrid w:val="0"/>
          <w:vertAlign w:val="superscript"/>
        </w:rPr>
        <w:t>4</w:t>
      </w:r>
      <w:r>
        <w:rPr>
          <w:snapToGrid w:val="0"/>
        </w:rPr>
        <w:tab/>
        <w:t xml:space="preserve">Section 4(2) of the </w:t>
      </w:r>
      <w:r>
        <w:rPr>
          <w:i/>
          <w:snapToGrid w:val="0"/>
        </w:rPr>
        <w:t>Lotteries Commission Amendment Act 1994</w:t>
      </w:r>
      <w:r>
        <w:rPr>
          <w:snapToGrid w:val="0"/>
        </w:rPr>
        <w:t xml:space="preserve"> (No. 74 of 1994)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Pr>
        <w:pStyle w:val="MiscClose"/>
        <w:rPr>
          <w:snapToGrid w:val="0"/>
        </w:rPr>
      </w:pPr>
      <w:r>
        <w:rPr>
          <w:snapToGrid w:val="0"/>
        </w:rPr>
        <w:t>”.</w:t>
      </w: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fldChar w:fldCharType="begin"/>
          </w:r>
          <w:r>
            <w:instrText xml:space="preserve"> STYLEREF CharSchNo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7987</Words>
  <Characters>38583</Characters>
  <Application>Microsoft Office Word</Application>
  <DocSecurity>0</DocSecurity>
  <Lines>1042</Lines>
  <Paragraphs>535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01-b0-03 - 01-c0-02</dc:title>
  <dc:subject/>
  <dc:creator/>
  <cp:keywords/>
  <dc:description/>
  <cp:lastModifiedBy>svcMRProcess</cp:lastModifiedBy>
  <cp:revision>2</cp:revision>
  <cp:lastPrinted>1999-08-30T00:48:00Z</cp:lastPrinted>
  <dcterms:created xsi:type="dcterms:W3CDTF">2015-12-10T08:45:00Z</dcterms:created>
  <dcterms:modified xsi:type="dcterms:W3CDTF">2015-12-10T08:45:00Z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469</vt:i4>
  </property>
  <property fmtid="{D5CDD505-2E9C-101B-9397-08002B2CF9AE}" pid="6" name="FromSuffix">
    <vt:lpwstr>01-b0-03</vt:lpwstr>
  </property>
  <property fmtid="{D5CDD505-2E9C-101B-9397-08002B2CF9AE}" pid="7" name="FromAsAtDate">
    <vt:lpwstr>01 Jul 2006</vt:lpwstr>
  </property>
  <property fmtid="{D5CDD505-2E9C-101B-9397-08002B2CF9AE}" pid="8" name="ToSuffix">
    <vt:lpwstr>01-c0-02</vt:lpwstr>
  </property>
  <property fmtid="{D5CDD505-2E9C-101B-9397-08002B2CF9AE}" pid="9" name="ToAsAtDate">
    <vt:lpwstr>01 Feb 2007</vt:lpwstr>
  </property>
</Properties>
</file>