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Code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2006</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09 Oct 2006</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Heading2"/>
      </w:pPr>
      <w:bookmarkStart w:id="0" w:name="_Toc96408896"/>
      <w:bookmarkStart w:id="1" w:name="_Toc137886090"/>
      <w:bookmarkStart w:id="2" w:name="_Toc137886228"/>
      <w:bookmarkStart w:id="3" w:name="_Toc147719026"/>
      <w:bookmarkStart w:id="4" w:name="_Toc147722101"/>
      <w:bookmarkStart w:id="5" w:name="_Toc147736568"/>
      <w:bookmarkStart w:id="6" w:name="_Toc148258031"/>
      <w:bookmarkStart w:id="7" w:name="_Toc148770300"/>
      <w:bookmarkStart w:id="8" w:name="_GoBack"/>
      <w:bookmarkEnd w:id="8"/>
      <w:r>
        <w:rPr>
          <w:rStyle w:val="CharPartNo"/>
        </w:rPr>
        <w:lastRenderedPageBreak/>
        <w:t>Part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p>
    <w:p>
      <w:pPr>
        <w:pStyle w:val="Heading5"/>
      </w:pPr>
      <w:bookmarkStart w:id="9" w:name="_Toc137886229"/>
      <w:bookmarkStart w:id="10" w:name="_Toc148770301"/>
      <w:bookmarkStart w:id="11" w:name="_Toc147736569"/>
      <w:r>
        <w:rPr>
          <w:rStyle w:val="CharSectno"/>
        </w:rPr>
        <w:t>1</w:t>
      </w:r>
      <w:r>
        <w:t>.</w:t>
      </w:r>
      <w:r>
        <w:tab/>
        <w:t>Citation</w:t>
      </w:r>
      <w:bookmarkEnd w:id="9"/>
      <w:bookmarkEnd w:id="10"/>
      <w:bookmarkEnd w:id="11"/>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12" w:name="_Toc137886230"/>
      <w:bookmarkStart w:id="13" w:name="_Toc148770302"/>
      <w:bookmarkStart w:id="14" w:name="_Toc147736570"/>
      <w:r>
        <w:rPr>
          <w:rStyle w:val="CharSectno"/>
        </w:rPr>
        <w:t>2</w:t>
      </w:r>
      <w:r>
        <w:t>.</w:t>
      </w:r>
      <w:r>
        <w:tab/>
        <w:t>Commencement</w:t>
      </w:r>
      <w:bookmarkEnd w:id="12"/>
      <w:bookmarkEnd w:id="13"/>
      <w:bookmarkEnd w:id="14"/>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15" w:name="_Toc137886231"/>
      <w:bookmarkStart w:id="16" w:name="_Toc148770303"/>
      <w:bookmarkStart w:id="17" w:name="_Toc147736571"/>
      <w:r>
        <w:rPr>
          <w:rStyle w:val="CharSectno"/>
        </w:rPr>
        <w:t>3</w:t>
      </w:r>
      <w:r>
        <w:t>.</w:t>
      </w:r>
      <w:r>
        <w:tab/>
        <w:t>Definition</w:t>
      </w:r>
      <w:bookmarkEnd w:id="15"/>
      <w:bookmarkEnd w:id="16"/>
      <w:bookmarkEnd w:id="17"/>
    </w:p>
    <w:p>
      <w:pPr>
        <w:pStyle w:val="Subsection"/>
      </w:pPr>
      <w:r>
        <w:tab/>
      </w:r>
      <w:r>
        <w:tab/>
        <w:t xml:space="preserve">In this regulation — </w:t>
      </w:r>
    </w:p>
    <w:p>
      <w:pPr>
        <w:pStyle w:val="Defstart"/>
      </w:pPr>
      <w:r>
        <w:rPr>
          <w:b/>
        </w:rPr>
        <w:tab/>
        <w:t>“the Code”</w:t>
      </w:r>
      <w:r>
        <w:t xml:space="preserve"> means the Consumer Credit Code.</w:t>
      </w:r>
    </w:p>
    <w:p>
      <w:pPr>
        <w:pStyle w:val="Heading5"/>
      </w:pPr>
      <w:bookmarkStart w:id="18" w:name="_Toc137886232"/>
      <w:bookmarkStart w:id="19" w:name="_Toc148770304"/>
      <w:bookmarkStart w:id="20" w:name="_Toc147736572"/>
      <w:r>
        <w:rPr>
          <w:rStyle w:val="CharSectno"/>
        </w:rPr>
        <w:t>4</w:t>
      </w:r>
      <w:r>
        <w:t>.</w:t>
      </w:r>
      <w:r>
        <w:tab/>
        <w:t>Forms</w:t>
      </w:r>
      <w:bookmarkEnd w:id="18"/>
      <w:bookmarkEnd w:id="19"/>
      <w:bookmarkEnd w:id="20"/>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NotesPerm"/>
      </w:pPr>
      <w:r>
        <w:t xml:space="preserve">Note — </w:t>
      </w:r>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21" w:name="_Toc96408901"/>
      <w:bookmarkStart w:id="22" w:name="_Toc137886095"/>
      <w:bookmarkStart w:id="23" w:name="_Toc137886233"/>
      <w:bookmarkStart w:id="24" w:name="_Toc147719031"/>
      <w:bookmarkStart w:id="25" w:name="_Toc147722106"/>
      <w:bookmarkStart w:id="26" w:name="_Toc147736573"/>
      <w:bookmarkStart w:id="27" w:name="_Toc148258036"/>
      <w:bookmarkStart w:id="28" w:name="_Toc148770305"/>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21"/>
      <w:bookmarkEnd w:id="22"/>
      <w:bookmarkEnd w:id="23"/>
      <w:bookmarkEnd w:id="24"/>
      <w:bookmarkEnd w:id="25"/>
      <w:bookmarkEnd w:id="26"/>
      <w:bookmarkEnd w:id="27"/>
      <w:bookmarkEnd w:id="28"/>
    </w:p>
    <w:p>
      <w:pPr>
        <w:pStyle w:val="Heading5"/>
      </w:pPr>
      <w:bookmarkStart w:id="29" w:name="_Toc137886234"/>
      <w:bookmarkStart w:id="30" w:name="_Toc148770306"/>
      <w:bookmarkStart w:id="31" w:name="_Toc147736574"/>
      <w:r>
        <w:rPr>
          <w:rStyle w:val="CharSectno"/>
        </w:rPr>
        <w:t>5A</w:t>
      </w:r>
      <w:r>
        <w:t>.</w:t>
      </w:r>
      <w:r>
        <w:tab/>
        <w:t>Continued application of Part 11 of the Code and interpretation</w:t>
      </w:r>
      <w:bookmarkEnd w:id="29"/>
      <w:bookmarkEnd w:id="30"/>
      <w:bookmarkEnd w:id="31"/>
    </w:p>
    <w:p>
      <w:pPr>
        <w:pStyle w:val="Subsection"/>
      </w:pPr>
      <w:r>
        <w:tab/>
        <w:t>(1)</w:t>
      </w:r>
      <w:r>
        <w:tab/>
        <w:t xml:space="preserve">This section applies despite a statement in a provision of this part that — </w:t>
      </w:r>
    </w:p>
    <w:p>
      <w:pPr>
        <w:pStyle w:val="Indenta"/>
      </w:pPr>
      <w:r>
        <w:tab/>
        <w:t>(a)</w:t>
      </w:r>
      <w:r>
        <w:tab/>
        <w:t>the Code does not apply to a particular matter; or</w:t>
      </w:r>
    </w:p>
    <w:p>
      <w:pPr>
        <w:pStyle w:val="Indenta"/>
      </w:pPr>
      <w:r>
        <w:tab/>
        <w:t>(b)</w:t>
      </w:r>
      <w:r>
        <w:tab/>
        <w:t>the Code, other than a particular provision or provisions (</w:t>
      </w:r>
      <w:r>
        <w:rPr>
          <w:b/>
        </w:rPr>
        <w:t>“</w:t>
      </w:r>
      <w:r>
        <w:rPr>
          <w:rStyle w:val="CharDefText"/>
        </w:rPr>
        <w:t>prescribed provision or provisions</w:t>
      </w:r>
      <w:r>
        <w:rPr>
          <w:b/>
        </w:rPr>
        <w:t>”</w:t>
      </w:r>
      <w:r>
        <w:t>), does not apply to a particular matter.</w:t>
      </w:r>
    </w:p>
    <w:p>
      <w:pPr>
        <w:pStyle w:val="Subsection"/>
      </w:pPr>
      <w:r>
        <w:tab/>
        <w:t>(2)</w:t>
      </w:r>
      <w:r>
        <w:tab/>
        <w:t>The Code applies in relation to the particular matter and the prescribed provision or provisions to the extent necessary for the interpretation of the particular matter and the prescribed provision or provisions.</w:t>
      </w:r>
    </w:p>
    <w:p>
      <w:pPr>
        <w:pStyle w:val="Subsection"/>
      </w:pPr>
      <w:r>
        <w:tab/>
        <w:t>(3)</w:t>
      </w:r>
      <w:r>
        <w:tab/>
        <w:t>Part 11 of the Code applies in relation to the particular matter and the prescribed provision or provisions to the extent the context permits.</w:t>
      </w:r>
    </w:p>
    <w:p>
      <w:pPr>
        <w:pStyle w:val="Footnotesection"/>
        <w:rPr>
          <w:lang w:val="en-US"/>
        </w:rPr>
      </w:pPr>
      <w:r>
        <w:tab/>
        <w:t>[Regulation 5A inserted in Gazette 13 Jun 2006 p. 2054-5.]</w:t>
      </w:r>
    </w:p>
    <w:p>
      <w:pPr>
        <w:pStyle w:val="Heading5"/>
      </w:pPr>
      <w:bookmarkStart w:id="32" w:name="_Toc137886235"/>
      <w:bookmarkStart w:id="33" w:name="_Toc148770307"/>
      <w:bookmarkStart w:id="34" w:name="_Toc147736575"/>
      <w:r>
        <w:rPr>
          <w:rStyle w:val="CharSectno"/>
        </w:rPr>
        <w:t>5</w:t>
      </w:r>
      <w:r>
        <w:t>.</w:t>
      </w:r>
      <w:r>
        <w:tab/>
        <w:t>Exempt credit—maximum account charges</w:t>
      </w:r>
      <w:bookmarkEnd w:id="32"/>
      <w:bookmarkEnd w:id="33"/>
      <w:bookmarkEnd w:id="34"/>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NotesPerm"/>
      </w:pPr>
      <w:r>
        <w:t xml:space="preserve">Note — </w:t>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35" w:name="_Toc137886236"/>
      <w:bookmarkStart w:id="36" w:name="_Toc148770308"/>
      <w:bookmarkStart w:id="37" w:name="_Toc147736576"/>
      <w:r>
        <w:rPr>
          <w:rStyle w:val="CharSectno"/>
        </w:rPr>
        <w:t>6</w:t>
      </w:r>
      <w:r>
        <w:t>.</w:t>
      </w:r>
      <w:r>
        <w:tab/>
        <w:t>Additional exempt credit</w:t>
      </w:r>
      <w:bookmarkEnd w:id="35"/>
      <w:bookmarkEnd w:id="36"/>
      <w:bookmarkEnd w:id="37"/>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NotesPerm"/>
      </w:pPr>
      <w:r>
        <w:t xml:space="preserve">Note — </w:t>
      </w:r>
      <w:r>
        <w:tab/>
        <w:t>Section 7(10) of the Code provides that the regulations may exclude the provision of credit of any class from the Code.</w:t>
      </w:r>
    </w:p>
    <w:p>
      <w:pPr>
        <w:pStyle w:val="Heading5"/>
      </w:pPr>
      <w:bookmarkStart w:id="38" w:name="_Toc137886237"/>
      <w:bookmarkStart w:id="39" w:name="_Toc148770309"/>
      <w:bookmarkStart w:id="40" w:name="_Toc147736577"/>
      <w:r>
        <w:rPr>
          <w:rStyle w:val="CharSectno"/>
        </w:rPr>
        <w:t>6A</w:t>
      </w:r>
      <w:r>
        <w:t>.</w:t>
      </w:r>
      <w:r>
        <w:tab/>
        <w:t>GIO Finance Limited’s No Interest Loan Scheme—exemption from Code</w:t>
      </w:r>
      <w:bookmarkEnd w:id="38"/>
      <w:bookmarkEnd w:id="39"/>
      <w:bookmarkEnd w:id="40"/>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41" w:name="_Toc137886238"/>
      <w:bookmarkStart w:id="42" w:name="_Toc148770310"/>
      <w:bookmarkStart w:id="43" w:name="_Toc147736578"/>
      <w:r>
        <w:t>6B.</w:t>
      </w:r>
      <w:r>
        <w:tab/>
        <w:t>Rental Purchase Plan—exemption from certain provisions of Code</w:t>
      </w:r>
      <w:bookmarkEnd w:id="41"/>
      <w:bookmarkEnd w:id="42"/>
      <w:bookmarkEnd w:id="43"/>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44" w:name="_Toc137886239"/>
      <w:bookmarkStart w:id="45" w:name="_Toc148770311"/>
      <w:bookmarkStart w:id="46" w:name="_Toc147736579"/>
      <w:r>
        <w:t>6C.</w:t>
      </w:r>
      <w:r>
        <w:tab/>
        <w:t>Partnership loans—exemption from certain provisions of Code</w:t>
      </w:r>
      <w:bookmarkEnd w:id="44"/>
      <w:bookmarkEnd w:id="45"/>
      <w:bookmarkEnd w:id="46"/>
    </w:p>
    <w:p>
      <w:pPr>
        <w:pStyle w:val="Subsection"/>
      </w:pPr>
      <w:r>
        <w:tab/>
        <w:t>(1)</w:t>
      </w:r>
      <w:r>
        <w:tab/>
        <w:t>The Code, other than part 1, part 4, division 3, part 5, divisions 4 and 5 and part 7,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rPr>
          <w:lang w:val="en-US"/>
        </w:rPr>
      </w:pPr>
      <w:r>
        <w:tab/>
        <w:t>[Regulation 6C amended in Gazette 13 Jun 2006 p. 2055.]</w:t>
      </w:r>
    </w:p>
    <w:p>
      <w:pPr>
        <w:pStyle w:val="Heading5"/>
      </w:pPr>
      <w:bookmarkStart w:id="47" w:name="_Toc137886240"/>
      <w:bookmarkStart w:id="48" w:name="_Toc148770312"/>
      <w:bookmarkStart w:id="49" w:name="_Toc147736580"/>
      <w:r>
        <w:t>6D.</w:t>
      </w:r>
      <w:r>
        <w:tab/>
        <w:t>Student loans—exemption from certain provisions of Code</w:t>
      </w:r>
      <w:bookmarkEnd w:id="47"/>
      <w:bookmarkEnd w:id="48"/>
      <w:bookmarkEnd w:id="49"/>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r>
        <w:rPr>
          <w:b/>
        </w:rPr>
        <w:t>“association of students”</w:t>
      </w:r>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b/>
        </w:rPr>
        <w:t>“higher educational institution”</w:t>
      </w:r>
      <w:r>
        <w:t xml:space="preserve"> means an institution within the meaning of the </w:t>
      </w:r>
      <w:r>
        <w:rPr>
          <w:i/>
        </w:rPr>
        <w:t>Higher Education Funding Act 1988</w:t>
      </w:r>
      <w:r>
        <w:t xml:space="preserve"> (Cwlth), section 4.</w:t>
      </w:r>
    </w:p>
    <w:p>
      <w:pPr>
        <w:pStyle w:val="NotesPerm"/>
        <w:tabs>
          <w:tab w:val="clear" w:pos="879"/>
          <w:tab w:val="left" w:pos="284"/>
        </w:tabs>
        <w:ind w:left="284" w:hanging="284"/>
      </w:pPr>
      <w:r>
        <w:t>*</w:t>
      </w:r>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50" w:name="_Toc137886241"/>
      <w:bookmarkStart w:id="51" w:name="_Toc148770313"/>
      <w:bookmarkStart w:id="52" w:name="_Toc147736581"/>
      <w:r>
        <w:t>6E.</w:t>
      </w:r>
      <w:r>
        <w:tab/>
        <w:t>Loans for conservation of heritage items—exemption from Code</w:t>
      </w:r>
      <w:bookmarkEnd w:id="50"/>
      <w:bookmarkEnd w:id="51"/>
      <w:bookmarkEnd w:id="52"/>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53" w:name="_Toc137886242"/>
      <w:bookmarkStart w:id="54" w:name="_Toc148770314"/>
      <w:bookmarkStart w:id="55" w:name="_Toc147736582"/>
      <w:r>
        <w:rPr>
          <w:rStyle w:val="CharSectno"/>
        </w:rPr>
        <w:t>6F</w:t>
      </w:r>
      <w:r>
        <w:t>.</w:t>
      </w:r>
      <w:r>
        <w:tab/>
        <w:t>Authorised deposit-taking institutions—exemption from Code</w:t>
      </w:r>
      <w:bookmarkEnd w:id="53"/>
      <w:bookmarkEnd w:id="54"/>
      <w:bookmarkEnd w:id="55"/>
    </w:p>
    <w:p>
      <w:pPr>
        <w:pStyle w:val="Subsection"/>
      </w:pPr>
      <w:r>
        <w:tab/>
        <w:t>(1)</w:t>
      </w:r>
      <w:r>
        <w:tab/>
        <w:t>The Code does not apply to the provision of credit by an authorised deposit-taking institution limited by the contract to a total period not exceeding 62 days.</w:t>
      </w:r>
    </w:p>
    <w:p>
      <w:pPr>
        <w:pStyle w:val="Subsection"/>
      </w:pPr>
      <w:r>
        <w:tab/>
        <w:t>(2)</w:t>
      </w:r>
      <w:r>
        <w:tab/>
        <w:t xml:space="preserve">In this section — </w:t>
      </w:r>
    </w:p>
    <w:p>
      <w:pPr>
        <w:pStyle w:val="Defstart"/>
      </w:pPr>
      <w:r>
        <w:rPr>
          <w:b/>
        </w:rPr>
        <w:tab/>
        <w:t>“authorised deposit-taking institution”</w:t>
      </w:r>
      <w:r>
        <w:t xml:space="preserve"> has the meaning given under the </w:t>
      </w:r>
      <w:r>
        <w:rPr>
          <w:i/>
        </w:rPr>
        <w:t>Banking Act 1959</w:t>
      </w:r>
      <w:r>
        <w:t xml:space="preserve"> (Cwlth), section 5(1).</w:t>
      </w:r>
    </w:p>
    <w:p>
      <w:pPr>
        <w:pStyle w:val="Heading5"/>
      </w:pPr>
      <w:bookmarkStart w:id="56" w:name="_Toc137886243"/>
      <w:bookmarkStart w:id="57" w:name="_Toc148770315"/>
      <w:bookmarkStart w:id="58" w:name="_Toc147736583"/>
      <w:r>
        <w:t>6G.</w:t>
      </w:r>
      <w:r>
        <w:tab/>
        <w:t>Estate administrators — exemption from certain provisions of Code</w:t>
      </w:r>
      <w:bookmarkEnd w:id="56"/>
      <w:bookmarkEnd w:id="57"/>
      <w:bookmarkEnd w:id="58"/>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t>“estate”</w:t>
      </w:r>
      <w:r>
        <w:t xml:space="preserve"> includes trust property.</w:t>
      </w:r>
    </w:p>
    <w:p>
      <w:pPr>
        <w:pStyle w:val="Defstart"/>
      </w:pPr>
      <w:r>
        <w:rPr>
          <w:b/>
        </w:rPr>
        <w:tab/>
        <w:t>“public body”</w:t>
      </w:r>
      <w:r>
        <w:t xml:space="preserve"> includes a corporation owned or controlled by the State or an authority of the State.</w:t>
      </w:r>
    </w:p>
    <w:p>
      <w:pPr>
        <w:pStyle w:val="Heading5"/>
      </w:pPr>
      <w:bookmarkStart w:id="59" w:name="_Toc137886244"/>
      <w:bookmarkStart w:id="60" w:name="_Toc148770316"/>
      <w:bookmarkStart w:id="61" w:name="_Toc147736584"/>
      <w:r>
        <w:t>6H.</w:t>
      </w:r>
      <w:r>
        <w:tab/>
        <w:t xml:space="preserve">Credit under </w:t>
      </w:r>
      <w:r>
        <w:rPr>
          <w:i/>
        </w:rPr>
        <w:t>Aged Care Act 1997</w:t>
      </w:r>
      <w:r>
        <w:t xml:space="preserve"> (Cwlth) — exemption from certain provisions of Code</w:t>
      </w:r>
      <w:bookmarkEnd w:id="59"/>
      <w:bookmarkEnd w:id="60"/>
      <w:bookmarkEnd w:id="61"/>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pPr>
      <w:bookmarkStart w:id="62" w:name="_Toc137886245"/>
      <w:bookmarkStart w:id="63" w:name="_Toc148770317"/>
      <w:bookmarkStart w:id="64" w:name="_Toc147736585"/>
      <w:r>
        <w:rPr>
          <w:rStyle w:val="CharSectno"/>
        </w:rPr>
        <w:t>6I</w:t>
      </w:r>
      <w:r>
        <w:t>.</w:t>
      </w:r>
      <w:r>
        <w:tab/>
        <w:t>Firefighter’s Benefit Fund of WA Incorporated</w:t>
      </w:r>
      <w:bookmarkEnd w:id="62"/>
      <w:bookmarkEnd w:id="63"/>
      <w:bookmarkEnd w:id="64"/>
    </w:p>
    <w:p>
      <w:pPr>
        <w:pStyle w:val="Subsection"/>
      </w:pPr>
      <w:r>
        <w:tab/>
      </w:r>
      <w:r>
        <w:tab/>
        <w:t xml:space="preserve">The Code, other than part 2, division 3, part 4, division 3 and part 5, divisions 1 and 2, does not apply to the provision of credit to a person by the Firefighter’s Benefit Fund of Western Australia Incorporated (the </w:t>
      </w:r>
      <w:r>
        <w:rPr>
          <w:b/>
        </w:rPr>
        <w:t>“</w:t>
      </w:r>
      <w:r>
        <w:rPr>
          <w:rStyle w:val="CharDefText"/>
        </w:rPr>
        <w:t>fund</w:t>
      </w:r>
      <w:r>
        <w:rPr>
          <w:b/>
        </w:rPr>
        <w:t>”</w:t>
      </w:r>
      <w:r>
        <w:t xml:space="preserve">) if — </w:t>
      </w:r>
    </w:p>
    <w:p>
      <w:pPr>
        <w:pStyle w:val="Indenta"/>
      </w:pPr>
      <w:r>
        <w:tab/>
        <w:t>(a)</w:t>
      </w:r>
      <w:r>
        <w:tab/>
        <w:t>the person is a member of the fund;</w:t>
      </w:r>
    </w:p>
    <w:p>
      <w:pPr>
        <w:pStyle w:val="Indenta"/>
      </w:pPr>
      <w:r>
        <w:tab/>
        <w:t>(b)</w:t>
      </w:r>
      <w:r>
        <w:tab/>
        <w:t>the application form by which the person applies for that credit states an annual percentage rate for the credit; and</w:t>
      </w:r>
    </w:p>
    <w:p>
      <w:pPr>
        <w:pStyle w:val="Indenta"/>
      </w:pPr>
      <w:r>
        <w:tab/>
        <w:t>(c)</w:t>
      </w:r>
      <w:r>
        <w:tab/>
        <w:t xml:space="preserve">the credit contract under which the credit is provided — </w:t>
      </w:r>
    </w:p>
    <w:p>
      <w:pPr>
        <w:pStyle w:val="Indenti"/>
      </w:pPr>
      <w:r>
        <w:tab/>
        <w:t>(i)</w:t>
      </w:r>
      <w:r>
        <w:tab/>
        <w:t>fixes, for the whole term of the contract, an annual percentage rate that is the same as the rate stated in the application form; and</w:t>
      </w:r>
    </w:p>
    <w:p>
      <w:pPr>
        <w:pStyle w:val="Indenti"/>
      </w:pPr>
      <w:r>
        <w:tab/>
        <w:t>(ii)</w:t>
      </w:r>
      <w:r>
        <w:tab/>
        <w:t>does not provide for varying the rate.</w:t>
      </w:r>
    </w:p>
    <w:p>
      <w:pPr>
        <w:pStyle w:val="Footnotesection"/>
        <w:rPr>
          <w:lang w:val="en-US"/>
        </w:rPr>
      </w:pPr>
      <w:r>
        <w:tab/>
        <w:t>[Regulation 6I inserted in Gazette 13 Jun 2006 p. 2055.]</w:t>
      </w:r>
    </w:p>
    <w:p>
      <w:pPr>
        <w:pStyle w:val="Heading5"/>
      </w:pPr>
      <w:bookmarkStart w:id="65" w:name="_Toc137886246"/>
      <w:bookmarkStart w:id="66" w:name="_Toc148770318"/>
      <w:bookmarkStart w:id="67" w:name="_Toc147736586"/>
      <w:r>
        <w:rPr>
          <w:rStyle w:val="CharSectno"/>
        </w:rPr>
        <w:t>7</w:t>
      </w:r>
      <w:r>
        <w:t>.</w:t>
      </w:r>
      <w:r>
        <w:tab/>
        <w:t>Mortgages—exemptions from Code</w:t>
      </w:r>
      <w:bookmarkEnd w:id="65"/>
      <w:bookmarkEnd w:id="66"/>
      <w:bookmarkEnd w:id="67"/>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NotesPerm"/>
      </w:pPr>
      <w:r>
        <w:t xml:space="preserve">Note — </w:t>
      </w:r>
      <w:r>
        <w:tab/>
        <w:t>This exclusion is made under section 8(3) of the Code.</w:t>
      </w:r>
    </w:p>
    <w:p>
      <w:pPr>
        <w:pStyle w:val="Heading5"/>
      </w:pPr>
      <w:bookmarkStart w:id="68" w:name="_Toc137886247"/>
      <w:bookmarkStart w:id="69" w:name="_Toc148770319"/>
      <w:bookmarkStart w:id="70" w:name="_Toc147736587"/>
      <w:r>
        <w:rPr>
          <w:rStyle w:val="CharSectno"/>
        </w:rPr>
        <w:t>8</w:t>
      </w:r>
      <w:r>
        <w:t>.</w:t>
      </w:r>
      <w:r>
        <w:tab/>
        <w:t>Guarantees—exemption from Code</w:t>
      </w:r>
      <w:bookmarkEnd w:id="68"/>
      <w:bookmarkEnd w:id="69"/>
      <w:bookmarkEnd w:id="70"/>
    </w:p>
    <w:p>
      <w:pPr>
        <w:pStyle w:val="Subsection"/>
      </w:pPr>
      <w:r>
        <w:tab/>
      </w:r>
      <w:r>
        <w:tab/>
        <w:t>The Code does not apply to any guarantee by the supplier under a tied loan contract or tied continuing credit contract.</w:t>
      </w:r>
    </w:p>
    <w:p>
      <w:pPr>
        <w:pStyle w:val="NotesPerm"/>
      </w:pPr>
      <w:r>
        <w:t xml:space="preserve">Note — </w:t>
      </w:r>
      <w:r>
        <w:tab/>
        <w:t>This exclusion is made under section 9(3) of the Code.</w:t>
      </w:r>
    </w:p>
    <w:p>
      <w:pPr>
        <w:pStyle w:val="Heading5"/>
      </w:pPr>
      <w:bookmarkStart w:id="71" w:name="_Toc137886248"/>
      <w:bookmarkStart w:id="72" w:name="_Toc148770320"/>
      <w:bookmarkStart w:id="73" w:name="_Toc147736588"/>
      <w:r>
        <w:rPr>
          <w:rStyle w:val="CharSectno"/>
        </w:rPr>
        <w:t>9</w:t>
      </w:r>
      <w:r>
        <w:t>.</w:t>
      </w:r>
      <w:r>
        <w:tab/>
        <w:t>Deemed mortgages for goods lease with option to purchase</w:t>
      </w:r>
      <w:bookmarkEnd w:id="71"/>
      <w:bookmarkEnd w:id="72"/>
      <w:bookmarkEnd w:id="73"/>
    </w:p>
    <w:p>
      <w:pPr>
        <w:pStyle w:val="Subsection"/>
      </w:pPr>
      <w:r>
        <w:tab/>
      </w:r>
      <w:r>
        <w:tab/>
        <w:t>For the purposes of section 10(3)(f) of the Code, the relevant terms and conditions of the mortgage are those set out in form 1.</w:t>
      </w:r>
    </w:p>
    <w:p>
      <w:pPr>
        <w:pStyle w:val="NotesPerm"/>
      </w:pPr>
      <w:r>
        <w:t xml:space="preserve">Note — </w:t>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74" w:name="_Toc137886249"/>
      <w:bookmarkStart w:id="75" w:name="_Toc148770321"/>
      <w:bookmarkStart w:id="76" w:name="_Toc147736589"/>
      <w:r>
        <w:rPr>
          <w:rStyle w:val="CharSectno"/>
        </w:rPr>
        <w:t>10</w:t>
      </w:r>
      <w:r>
        <w:t>.</w:t>
      </w:r>
      <w:r>
        <w:tab/>
        <w:t>Declaration of purposes for which credit provided</w:t>
      </w:r>
      <w:bookmarkEnd w:id="74"/>
      <w:bookmarkEnd w:id="75"/>
      <w:bookmarkEnd w:id="76"/>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w:t>
      </w:r>
      <w:ins w:id="77" w:author="Master Repository Process" w:date="2021-07-31T16:30:00Z">
        <w:r>
          <w:t xml:space="preserve"> or, if the declaration is to be made by electronic communication, prominently displayed when (but not after) the person signs</w:t>
        </w:r>
      </w:ins>
      <w:r>
        <w:t>) a warning in the following form—</w:t>
      </w:r>
    </w:p>
    <w:p>
      <w:pPr>
        <w:pStyle w:val="MiscellaneousHeading"/>
        <w:rPr>
          <w:b/>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NotesPerm"/>
      </w:pPr>
      <w:r>
        <w:t xml:space="preserve">Note — </w:t>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Footnotesection"/>
        <w:rPr>
          <w:ins w:id="78" w:author="Master Repository Process" w:date="2021-07-31T16:30:00Z"/>
        </w:rPr>
      </w:pPr>
      <w:ins w:id="79" w:author="Master Repository Process" w:date="2021-07-31T16:30:00Z">
        <w:r>
          <w:tab/>
          <w:t>[Regulation 10 amended in Gazette 29 Sep 2006 p. 4250.]</w:t>
        </w:r>
      </w:ins>
    </w:p>
    <w:p>
      <w:pPr>
        <w:pStyle w:val="Heading2"/>
        <w:ind w:left="360"/>
      </w:pPr>
      <w:bookmarkStart w:id="80" w:name="_Toc96408916"/>
      <w:bookmarkStart w:id="81" w:name="_Toc137886112"/>
      <w:bookmarkStart w:id="82" w:name="_Toc137886250"/>
      <w:bookmarkStart w:id="83" w:name="_Toc147719048"/>
      <w:bookmarkStart w:id="84" w:name="_Toc147722123"/>
      <w:bookmarkStart w:id="85" w:name="_Toc147736590"/>
      <w:bookmarkStart w:id="86" w:name="_Toc148258054"/>
      <w:bookmarkStart w:id="87" w:name="_Toc148770322"/>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80"/>
      <w:bookmarkEnd w:id="81"/>
      <w:bookmarkEnd w:id="82"/>
      <w:bookmarkEnd w:id="83"/>
      <w:bookmarkEnd w:id="84"/>
      <w:bookmarkEnd w:id="85"/>
      <w:bookmarkEnd w:id="86"/>
      <w:bookmarkEnd w:id="87"/>
    </w:p>
    <w:p>
      <w:pPr>
        <w:pStyle w:val="Heading5"/>
      </w:pPr>
      <w:bookmarkStart w:id="88" w:name="_Toc137886251"/>
      <w:bookmarkStart w:id="89" w:name="_Toc148770323"/>
      <w:bookmarkStart w:id="90" w:name="_Toc147736591"/>
      <w:r>
        <w:rPr>
          <w:rStyle w:val="CharSectno"/>
        </w:rPr>
        <w:t>11</w:t>
      </w:r>
      <w:r>
        <w:t>.</w:t>
      </w:r>
      <w:r>
        <w:tab/>
        <w:t>Statement about debtor’s statutory rights and obligations</w:t>
      </w:r>
      <w:bookmarkEnd w:id="88"/>
      <w:bookmarkEnd w:id="89"/>
      <w:bookmarkEnd w:id="90"/>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NotesPerm"/>
      </w:pPr>
      <w:r>
        <w:t xml:space="preserve">Note — </w:t>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91" w:name="_Toc137886252"/>
      <w:bookmarkStart w:id="92" w:name="_Toc148770324"/>
      <w:bookmarkStart w:id="93" w:name="_Toc147736592"/>
      <w:r>
        <w:rPr>
          <w:rStyle w:val="CharSectno"/>
        </w:rPr>
        <w:t>12</w:t>
      </w:r>
      <w:r>
        <w:t>.</w:t>
      </w:r>
      <w:r>
        <w:tab/>
        <w:t>Comparison rate</w:t>
      </w:r>
      <w:bookmarkEnd w:id="91"/>
      <w:bookmarkEnd w:id="92"/>
      <w:bookmarkEnd w:id="93"/>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rPr>
          <w:del w:id="94" w:author="Master Repository Process" w:date="2021-07-31T16:30:00Z"/>
        </w:rPr>
      </w:pPr>
      <w:del w:id="95" w:author="Master Repository Process" w:date="2021-07-31T16:30: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v:imagedata r:id="rId20" o:title=""/>
            </v:shape>
          </w:pict>
        </w:r>
      </w:del>
    </w:p>
    <w:p>
      <w:pPr>
        <w:pStyle w:val="Equation"/>
        <w:spacing w:before="120"/>
        <w:jc w:val="center"/>
        <w:rPr>
          <w:ins w:id="96" w:author="Master Repository Process" w:date="2021-07-31T16:30:00Z"/>
        </w:rPr>
      </w:pPr>
      <w:ins w:id="97" w:author="Master Repository Process" w:date="2021-07-31T16:30:00Z">
        <w:r>
          <w:rPr>
            <w:position w:val="-10"/>
          </w:rPr>
          <w:pict>
            <v:shape id="_x0000_i1026" type="#_x0000_t75" style="width:81pt;height:16.5pt" fillcolor="window">
              <v:imagedata r:id="rId20" o:title=""/>
            </v:shape>
          </w:pict>
        </w:r>
      </w:ins>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rPr>
          <w:del w:id="98" w:author="Master Repository Process" w:date="2021-07-31T16:30:00Z"/>
        </w:rPr>
      </w:pPr>
      <w:del w:id="99" w:author="Master Repository Process" w:date="2021-07-31T16:30:00Z">
        <w:r>
          <w:rPr>
            <w:position w:val="-44"/>
          </w:rPr>
          <w:pict>
            <v:shape id="_x0000_i1027" type="#_x0000_t75" style="width:161.25pt;height:42.75pt">
              <v:imagedata r:id="rId21" o:title=""/>
            </v:shape>
          </w:pict>
        </w:r>
      </w:del>
    </w:p>
    <w:p>
      <w:pPr>
        <w:pStyle w:val="Equation"/>
        <w:jc w:val="center"/>
        <w:rPr>
          <w:ins w:id="100" w:author="Master Repository Process" w:date="2021-07-31T16:30:00Z"/>
        </w:rPr>
      </w:pPr>
      <w:ins w:id="101" w:author="Master Repository Process" w:date="2021-07-31T16:30:00Z">
        <w:r>
          <w:rPr>
            <w:position w:val="-44"/>
          </w:rPr>
          <w:pict>
            <v:shape id="_x0000_i1028" type="#_x0000_t75" style="width:160.5pt;height:43.5pt" fillcolor="window">
              <v:imagedata r:id="rId21" o:title=""/>
            </v:shape>
          </w:pict>
        </w:r>
      </w:ins>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NotesPerm"/>
      </w:pPr>
      <w:r>
        <w:t xml:space="preserve">Note — </w:t>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102" w:name="_Toc137886253"/>
      <w:bookmarkStart w:id="103" w:name="_Toc148770325"/>
      <w:bookmarkStart w:id="104" w:name="_Toc147736593"/>
      <w:r>
        <w:rPr>
          <w:rStyle w:val="CharSectno"/>
        </w:rPr>
        <w:t>13</w:t>
      </w:r>
      <w:r>
        <w:t>.</w:t>
      </w:r>
      <w:r>
        <w:tab/>
        <w:t>Pre-contractual statement</w:t>
      </w:r>
      <w:bookmarkEnd w:id="102"/>
      <w:bookmarkEnd w:id="103"/>
      <w:bookmarkEnd w:id="104"/>
    </w:p>
    <w:p>
      <w:pPr>
        <w:pStyle w:val="Subsection"/>
      </w:pPr>
      <w:r>
        <w:tab/>
        <w:t>(1)</w:t>
      </w:r>
      <w:r>
        <w:tab/>
        <w:t>For the purposes of section 14(4) of the Code, the following financial information under section 15 of the Code, which is to be contained in the precontractual statement, is prescribed (the “</w:t>
      </w:r>
      <w:r>
        <w:rPr>
          <w:b/>
        </w:rPr>
        <w:t>relevant financial information</w:t>
      </w:r>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r>
        <w:rPr>
          <w:b/>
        </w:rPr>
        <w:t>“financial table”</w:t>
      </w:r>
      <w:r>
        <w:t>).</w:t>
      </w:r>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 xml:space="preserve">The financial table is to be set out </w:t>
      </w:r>
      <w:del w:id="105" w:author="Master Repository Process" w:date="2021-07-31T16:30:00Z">
        <w:r>
          <w:delText>on</w:delText>
        </w:r>
      </w:del>
      <w:ins w:id="106" w:author="Master Repository Process" w:date="2021-07-31T16:30:00Z">
        <w:r>
          <w:t>at</w:t>
        </w:r>
      </w:ins>
      <w:r>
        <w:t xml:space="preserve"> the </w:t>
      </w:r>
      <w:del w:id="107" w:author="Master Repository Process" w:date="2021-07-31T16:30:00Z">
        <w:r>
          <w:delText>first page</w:delText>
        </w:r>
      </w:del>
      <w:ins w:id="108" w:author="Master Repository Process" w:date="2021-07-31T16:30:00Z">
        <w:r>
          <w:t>beginning</w:t>
        </w:r>
      </w:ins>
      <w:r>
        <w:t xml:space="preserve"> of the precontractual statement</w:t>
      </w:r>
      <w:del w:id="109" w:author="Master Repository Process" w:date="2021-07-31T16:30:00Z">
        <w:r>
          <w:delText xml:space="preserve"> (excluding any cover page) and, if necessary, on the immediately succeeding pages of the statement.</w:delText>
        </w:r>
      </w:del>
      <w:ins w:id="110" w:author="Master Repository Process" w:date="2021-07-31T16:30:00Z">
        <w:r>
          <w:t xml:space="preserve">. </w:t>
        </w:r>
      </w:ins>
      <w:r>
        <w:t xml:space="preserve"> If the precontractual statement consists of more than </w:t>
      </w:r>
      <w:del w:id="111" w:author="Master Repository Process" w:date="2021-07-31T16:30:00Z">
        <w:r>
          <w:delText>1</w:delText>
        </w:r>
      </w:del>
      <w:ins w:id="112" w:author="Master Repository Process" w:date="2021-07-31T16:30:00Z">
        <w:r>
          <w:t>one</w:t>
        </w:r>
      </w:ins>
      <w:r>
        <w:t xml:space="preserve"> document, the financial table need not be repeated. </w:t>
      </w:r>
      <w:ins w:id="113" w:author="Master Repository Process" w:date="2021-07-31T16:30:00Z">
        <w:r>
          <w:t xml:space="preserve"> </w:t>
        </w:r>
      </w:ins>
      <w:r>
        <w:t xml:space="preserve">If the precontractual statement is not a separate document, the financial table is to be set out </w:t>
      </w:r>
      <w:del w:id="114" w:author="Master Repository Process" w:date="2021-07-31T16:30:00Z">
        <w:r>
          <w:delText>on the first, and if necessary any immediately succeeding, pages</w:delText>
        </w:r>
      </w:del>
      <w:ins w:id="115" w:author="Master Repository Process" w:date="2021-07-31T16:30:00Z">
        <w:r>
          <w:t>at the beginning</w:t>
        </w:r>
      </w:ins>
      <w:r>
        <w:t xml:space="preserve"> of the proposed contract document.</w:t>
      </w:r>
      <w:ins w:id="116" w:author="Master Repository Process" w:date="2021-07-31T16:30:00Z">
        <w:r>
          <w:t xml:space="preserve">  The financial table may be preceded by information necessary to identify the loan.</w:t>
        </w:r>
      </w:ins>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NotesPerm"/>
      </w:pPr>
      <w:r>
        <w:t xml:space="preserve">Note — </w:t>
      </w:r>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Footnotesection"/>
        <w:rPr>
          <w:ins w:id="117" w:author="Master Repository Process" w:date="2021-07-31T16:30:00Z"/>
        </w:rPr>
      </w:pPr>
      <w:ins w:id="118" w:author="Master Repository Process" w:date="2021-07-31T16:30:00Z">
        <w:r>
          <w:tab/>
          <w:t>[Regulation 13 amended in Gazette 29 Sep 2006 p. 4250</w:t>
        </w:r>
        <w:r>
          <w:noBreakHyphen/>
          <w:t>1.]</w:t>
        </w:r>
      </w:ins>
    </w:p>
    <w:p>
      <w:pPr>
        <w:pStyle w:val="Heading5"/>
      </w:pPr>
      <w:bookmarkStart w:id="119" w:name="_Toc137886254"/>
      <w:bookmarkStart w:id="120" w:name="_Toc148770326"/>
      <w:bookmarkStart w:id="121" w:name="_Toc147736594"/>
      <w:r>
        <w:rPr>
          <w:rStyle w:val="CharSectno"/>
        </w:rPr>
        <w:t>14</w:t>
      </w:r>
      <w:r>
        <w:t>.</w:t>
      </w:r>
      <w:r>
        <w:tab/>
        <w:t>Additional disclosures about insurance financed by contract</w:t>
      </w:r>
      <w:bookmarkEnd w:id="119"/>
      <w:bookmarkEnd w:id="120"/>
      <w:bookmarkEnd w:id="121"/>
    </w:p>
    <w:p>
      <w:pPr>
        <w:pStyle w:val="Subsection"/>
      </w:pPr>
      <w:r>
        <w:tab/>
      </w:r>
      <w:r>
        <w:tab/>
        <w:t>For the purposes of section 15(N)(c) of the Code, the term of each credit-related insurance contract, if ascertainable, is prescribed.</w:t>
      </w:r>
    </w:p>
    <w:p>
      <w:pPr>
        <w:pStyle w:val="NotesPerm"/>
      </w:pPr>
      <w:r>
        <w:t xml:space="preserve">Note — </w:t>
      </w:r>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122" w:name="_Toc137886255"/>
      <w:bookmarkStart w:id="123" w:name="_Toc148770327"/>
      <w:bookmarkStart w:id="124" w:name="_Toc147736595"/>
      <w:r>
        <w:rPr>
          <w:rStyle w:val="CharSectno"/>
        </w:rPr>
        <w:t>15</w:t>
      </w:r>
      <w:r>
        <w:t>.</w:t>
      </w:r>
      <w:r>
        <w:tab/>
        <w:t>Additional disclosures about credit contracts to be signed by debtor</w:t>
      </w:r>
      <w:bookmarkEnd w:id="122"/>
      <w:bookmarkEnd w:id="123"/>
      <w:bookmarkEnd w:id="124"/>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rPr>
          <w:del w:id="125" w:author="Master Repository Process" w:date="2021-07-31T16:30:00Z"/>
        </w:rPr>
      </w:pPr>
      <w:r>
        <w:tab/>
        <w:t>(b)</w:t>
      </w:r>
      <w:r>
        <w:tab/>
        <w:t xml:space="preserve">they are to be set out immediately above (and on the same page as) </w:t>
      </w:r>
      <w:del w:id="126" w:author="Master Repository Process" w:date="2021-07-31T16:30:00Z">
        <w:r>
          <w:delText>the</w:delText>
        </w:r>
      </w:del>
      <w:ins w:id="127" w:author="Master Repository Process" w:date="2021-07-31T16:30:00Z">
        <w:r>
          <w:t>each</w:t>
        </w:r>
      </w:ins>
      <w:r>
        <w:t xml:space="preserve"> place where the debtor (or at least 1 of the debtors) is to sign the contract document</w:t>
      </w:r>
      <w:del w:id="128" w:author="Master Repository Process" w:date="2021-07-31T16:30:00Z">
        <w:r>
          <w:delText>;</w:delText>
        </w:r>
      </w:del>
    </w:p>
    <w:p>
      <w:pPr>
        <w:pStyle w:val="Indenta"/>
      </w:pPr>
      <w:del w:id="129" w:author="Master Repository Process" w:date="2021-07-31T16:30:00Z">
        <w:r>
          <w:tab/>
          <w:delText>(c)</w:delText>
        </w:r>
        <w:r>
          <w:tab/>
        </w:r>
      </w:del>
      <w:ins w:id="130" w:author="Master Repository Process" w:date="2021-07-31T16:30:00Z">
        <w:r>
          <w:t xml:space="preserve"> or, </w:t>
        </w:r>
      </w:ins>
      <w:r>
        <w:t xml:space="preserve">if </w:t>
      </w:r>
      <w:del w:id="131" w:author="Master Repository Process" w:date="2021-07-31T16:30:00Z">
        <w:r>
          <w:delText>the debtors are to sign the</w:delText>
        </w:r>
      </w:del>
      <w:ins w:id="132" w:author="Master Repository Process" w:date="2021-07-31T16:30:00Z">
        <w:r>
          <w:t>a</w:t>
        </w:r>
      </w:ins>
      <w:r>
        <w:t xml:space="preserve"> contract </w:t>
      </w:r>
      <w:del w:id="133" w:author="Master Repository Process" w:date="2021-07-31T16:30:00Z">
        <w:r>
          <w:delText>document on separate pages—they are to</w:delText>
        </w:r>
      </w:del>
      <w:ins w:id="134" w:author="Master Repository Process" w:date="2021-07-31T16:30:00Z">
        <w:r>
          <w:t>is made by electronic communication, the information and warnings must</w:t>
        </w:r>
      </w:ins>
      <w:r>
        <w:t xml:space="preserve"> be </w:t>
      </w:r>
      <w:del w:id="135" w:author="Master Repository Process" w:date="2021-07-31T16:30:00Z">
        <w:r>
          <w:delText>so set out on each such page</w:delText>
        </w:r>
      </w:del>
      <w:ins w:id="136" w:author="Master Repository Process" w:date="2021-07-31T16:30:00Z">
        <w:r>
          <w:t>prominently displayed when (but not after) the debtor (or if 2 or more debtors, each debtor) signs</w:t>
        </w:r>
      </w:ins>
      <w:r>
        <w:t>.</w:t>
      </w:r>
    </w:p>
    <w:p>
      <w:pPr>
        <w:pStyle w:val="Ednotepara"/>
        <w:rPr>
          <w:ins w:id="137" w:author="Master Repository Process" w:date="2021-07-31T16:30:00Z"/>
        </w:rPr>
      </w:pPr>
      <w:ins w:id="138" w:author="Master Repository Process" w:date="2021-07-31T16:30:00Z">
        <w:r>
          <w:tab/>
          <w:t>[(c)</w:t>
        </w:r>
        <w:r>
          <w:tab/>
          <w:t>deleted]</w:t>
        </w:r>
      </w:ins>
    </w:p>
    <w:p>
      <w:pPr>
        <w:pStyle w:val="NotesPerm"/>
      </w:pPr>
      <w:r>
        <w:t xml:space="preserve">Note — </w:t>
      </w:r>
      <w:r>
        <w:tab/>
        <w:t>Section 15 of the Code sets out the matters to be included in the credit contract document. Section 15(O) requires the contract document to contain any additional information or warnings required by the regulations.</w:t>
      </w:r>
    </w:p>
    <w:p>
      <w:pPr>
        <w:pStyle w:val="NotesPerm"/>
      </w:pPr>
      <w:r>
        <w:tab/>
        <w:t>Section 16 of the Code requires a contract document to conform to the requirements of the regulations as to its form and the way it is expressed.</w:t>
      </w:r>
    </w:p>
    <w:p>
      <w:pPr>
        <w:pStyle w:val="Footnotesection"/>
        <w:rPr>
          <w:ins w:id="139" w:author="Master Repository Process" w:date="2021-07-31T16:30:00Z"/>
        </w:rPr>
      </w:pPr>
      <w:ins w:id="140" w:author="Master Repository Process" w:date="2021-07-31T16:30:00Z">
        <w:r>
          <w:tab/>
          <w:t>[Regulation 15 amended in Gazette 29 Sep 2006 p. 4251.]</w:t>
        </w:r>
      </w:ins>
    </w:p>
    <w:p>
      <w:pPr>
        <w:pStyle w:val="Heading5"/>
      </w:pPr>
      <w:bookmarkStart w:id="141" w:name="_Toc137886256"/>
      <w:bookmarkStart w:id="142" w:name="_Toc148770328"/>
      <w:bookmarkStart w:id="143" w:name="_Toc147736596"/>
      <w:r>
        <w:rPr>
          <w:rStyle w:val="CharSectno"/>
        </w:rPr>
        <w:t>16</w:t>
      </w:r>
      <w:r>
        <w:t>.</w:t>
      </w:r>
      <w:r>
        <w:tab/>
        <w:t>Deduction of amount for interest charges</w:t>
      </w:r>
      <w:bookmarkEnd w:id="141"/>
      <w:bookmarkEnd w:id="142"/>
      <w:bookmarkEnd w:id="143"/>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NotesPerm"/>
      </w:pPr>
      <w:r>
        <w:t xml:space="preserve">Note — </w:t>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144" w:name="_Toc137886257"/>
      <w:bookmarkStart w:id="145" w:name="_Toc148770329"/>
      <w:bookmarkStart w:id="146" w:name="_Toc147736597"/>
      <w:r>
        <w:rPr>
          <w:rStyle w:val="CharSectno"/>
        </w:rPr>
        <w:t>17</w:t>
      </w:r>
      <w:r>
        <w:t>.</w:t>
      </w:r>
      <w:r>
        <w:tab/>
        <w:t>Calculation of unpaid daily balances</w:t>
      </w:r>
      <w:bookmarkEnd w:id="144"/>
      <w:bookmarkEnd w:id="145"/>
      <w:bookmarkEnd w:id="146"/>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NotesPerm"/>
      </w:pPr>
      <w:r>
        <w:t xml:space="preserve">Note — </w:t>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147" w:name="_Toc137886258"/>
      <w:bookmarkStart w:id="148" w:name="_Toc148770330"/>
      <w:bookmarkStart w:id="149" w:name="_Toc147736598"/>
      <w:r>
        <w:rPr>
          <w:rStyle w:val="CharSectno"/>
        </w:rPr>
        <w:t>18</w:t>
      </w:r>
      <w:r>
        <w:t>.</w:t>
      </w:r>
      <w:r>
        <w:tab/>
        <w:t>Early debit or payment of interest charges</w:t>
      </w:r>
      <w:bookmarkEnd w:id="147"/>
      <w:bookmarkEnd w:id="148"/>
      <w:bookmarkEnd w:id="149"/>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NotesPerm"/>
      </w:pPr>
      <w:r>
        <w:t xml:space="preserve">Note — </w:t>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150" w:name="_Toc137886259"/>
      <w:bookmarkStart w:id="151" w:name="_Toc148770331"/>
      <w:bookmarkStart w:id="152" w:name="_Toc147736599"/>
      <w:r>
        <w:rPr>
          <w:rStyle w:val="CharSectno"/>
        </w:rPr>
        <w:t>19</w:t>
      </w:r>
      <w:r>
        <w:t>.</w:t>
      </w:r>
      <w:r>
        <w:tab/>
        <w:t>When statement of account not required</w:t>
      </w:r>
      <w:bookmarkEnd w:id="150"/>
      <w:bookmarkEnd w:id="151"/>
      <w:bookmarkEnd w:id="152"/>
    </w:p>
    <w:p>
      <w:pPr>
        <w:pStyle w:val="Subsection"/>
      </w:pPr>
      <w:r>
        <w:tab/>
      </w:r>
      <w:r>
        <w:tab/>
        <w:t>For the purposes of section 31(3)(b) of the Code, the amount outstanding is fixed at $10.</w:t>
      </w:r>
    </w:p>
    <w:p>
      <w:pPr>
        <w:pStyle w:val="NotesPerm"/>
      </w:pPr>
      <w:r>
        <w:t xml:space="preserve">Note — </w:t>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153" w:name="_Toc96408926"/>
      <w:bookmarkStart w:id="154" w:name="_Toc137886122"/>
      <w:bookmarkStart w:id="155" w:name="_Toc137886260"/>
      <w:bookmarkStart w:id="156" w:name="_Toc147719058"/>
      <w:bookmarkStart w:id="157" w:name="_Toc147722133"/>
      <w:bookmarkStart w:id="158" w:name="_Toc147736600"/>
      <w:bookmarkStart w:id="159" w:name="_Toc148258064"/>
      <w:bookmarkStart w:id="160" w:name="_Toc148770332"/>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153"/>
      <w:bookmarkEnd w:id="154"/>
      <w:bookmarkEnd w:id="155"/>
      <w:bookmarkEnd w:id="156"/>
      <w:bookmarkEnd w:id="157"/>
      <w:bookmarkEnd w:id="158"/>
      <w:bookmarkEnd w:id="159"/>
      <w:bookmarkEnd w:id="160"/>
    </w:p>
    <w:p>
      <w:pPr>
        <w:pStyle w:val="Heading5"/>
      </w:pPr>
      <w:bookmarkStart w:id="161" w:name="_Toc137886261"/>
      <w:bookmarkStart w:id="162" w:name="_Toc148770333"/>
      <w:bookmarkStart w:id="163" w:name="_Toc147736601"/>
      <w:r>
        <w:t>19A.</w:t>
      </w:r>
      <w:r>
        <w:tab/>
        <w:t>Mortgage arising from certain home ownership schemes — exemption from section 46(1) of the Code</w:t>
      </w:r>
      <w:bookmarkEnd w:id="161"/>
      <w:bookmarkEnd w:id="162"/>
      <w:bookmarkEnd w:id="163"/>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t>“employee”</w:t>
      </w:r>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NotesPerm"/>
      </w:pPr>
      <w:r>
        <w:t xml:space="preserve">Note — </w:t>
      </w:r>
      <w:r>
        <w:tab/>
        <w:t>Section 46 of the Code provides that a mortgage cannot be created over employees’ remuneration or employment benefits or benefits under a superannuation scheme unless the regulations permit it to do so.</w:t>
      </w:r>
    </w:p>
    <w:p>
      <w:pPr>
        <w:pStyle w:val="Heading5"/>
      </w:pPr>
      <w:bookmarkStart w:id="164" w:name="_Toc137886262"/>
      <w:bookmarkStart w:id="165" w:name="_Toc148770334"/>
      <w:bookmarkStart w:id="166" w:name="_Toc147736602"/>
      <w:r>
        <w:rPr>
          <w:rStyle w:val="CharSectno"/>
        </w:rPr>
        <w:t>20</w:t>
      </w:r>
      <w:r>
        <w:t>.</w:t>
      </w:r>
      <w:r>
        <w:tab/>
        <w:t>Form of guarantees</w:t>
      </w:r>
      <w:bookmarkEnd w:id="164"/>
      <w:bookmarkEnd w:id="165"/>
      <w:bookmarkEnd w:id="166"/>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NotesPerm"/>
      </w:pPr>
      <w:r>
        <w:t xml:space="preserve">Note — </w:t>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167" w:name="_Toc137886263"/>
      <w:bookmarkStart w:id="168" w:name="_Toc148770335"/>
      <w:bookmarkStart w:id="169" w:name="_Toc147736603"/>
      <w:r>
        <w:rPr>
          <w:rStyle w:val="CharSectno"/>
        </w:rPr>
        <w:t>21</w:t>
      </w:r>
      <w:r>
        <w:t>.</w:t>
      </w:r>
      <w:r>
        <w:tab/>
        <w:t>Explanation about guarantor’s rights and obligations</w:t>
      </w:r>
      <w:bookmarkEnd w:id="167"/>
      <w:bookmarkEnd w:id="168"/>
      <w:bookmarkEnd w:id="169"/>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NotesPerm"/>
      </w:pPr>
      <w:r>
        <w:t xml:space="preserve">Note — </w:t>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170" w:name="_Toc96408930"/>
      <w:bookmarkStart w:id="171" w:name="_Toc137886126"/>
      <w:bookmarkStart w:id="172" w:name="_Toc137886264"/>
      <w:bookmarkStart w:id="173" w:name="_Toc147719062"/>
      <w:bookmarkStart w:id="174" w:name="_Toc147722137"/>
      <w:bookmarkStart w:id="175" w:name="_Toc147736604"/>
      <w:bookmarkStart w:id="176" w:name="_Toc148258068"/>
      <w:bookmarkStart w:id="177" w:name="_Toc148770336"/>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170"/>
      <w:bookmarkEnd w:id="171"/>
      <w:bookmarkEnd w:id="172"/>
      <w:bookmarkEnd w:id="173"/>
      <w:bookmarkEnd w:id="174"/>
      <w:bookmarkEnd w:id="175"/>
      <w:bookmarkEnd w:id="176"/>
      <w:bookmarkEnd w:id="177"/>
    </w:p>
    <w:p>
      <w:pPr>
        <w:pStyle w:val="Heading5"/>
      </w:pPr>
      <w:bookmarkStart w:id="178" w:name="_Toc137886265"/>
      <w:bookmarkStart w:id="179" w:name="_Toc148770337"/>
      <w:bookmarkStart w:id="180" w:name="_Toc147736605"/>
      <w:r>
        <w:rPr>
          <w:rStyle w:val="CharSectno"/>
        </w:rPr>
        <w:t>22</w:t>
      </w:r>
      <w:r>
        <w:t>.</w:t>
      </w:r>
      <w:r>
        <w:tab/>
        <w:t>Information about increases in the amount of credit</w:t>
      </w:r>
      <w:bookmarkEnd w:id="178"/>
      <w:bookmarkEnd w:id="179"/>
      <w:bookmarkEnd w:id="180"/>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NotesPerm"/>
      </w:pPr>
      <w:r>
        <w:t xml:space="preserve">Note — </w:t>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181" w:name="_Toc137886266"/>
      <w:bookmarkStart w:id="182" w:name="_Toc148770338"/>
      <w:bookmarkStart w:id="183" w:name="_Toc147736606"/>
      <w:bookmarkStart w:id="184" w:name="_Toc96408932"/>
      <w:r>
        <w:rPr>
          <w:rStyle w:val="CharSectno"/>
        </w:rPr>
        <w:t>22A</w:t>
      </w:r>
      <w:r>
        <w:t>.</w:t>
      </w:r>
      <w:r>
        <w:tab/>
        <w:t>Application of sections 66 to 69 of the Code</w:t>
      </w:r>
      <w:bookmarkEnd w:id="181"/>
      <w:bookmarkEnd w:id="182"/>
      <w:bookmarkEnd w:id="183"/>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185" w:name="_Toc137886129"/>
      <w:bookmarkStart w:id="186" w:name="_Toc137886267"/>
      <w:bookmarkStart w:id="187" w:name="_Toc147719065"/>
      <w:bookmarkStart w:id="188" w:name="_Toc147722140"/>
      <w:bookmarkStart w:id="189" w:name="_Toc147736607"/>
      <w:bookmarkStart w:id="190" w:name="_Toc148258071"/>
      <w:bookmarkStart w:id="191" w:name="_Toc148770339"/>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184"/>
      <w:bookmarkEnd w:id="185"/>
      <w:bookmarkEnd w:id="186"/>
      <w:bookmarkEnd w:id="187"/>
      <w:bookmarkEnd w:id="188"/>
      <w:bookmarkEnd w:id="189"/>
      <w:bookmarkEnd w:id="190"/>
      <w:bookmarkEnd w:id="191"/>
    </w:p>
    <w:p>
      <w:pPr>
        <w:pStyle w:val="Heading5"/>
      </w:pPr>
      <w:bookmarkStart w:id="192" w:name="_Toc137886268"/>
      <w:bookmarkStart w:id="193" w:name="_Toc148770340"/>
      <w:bookmarkStart w:id="194" w:name="_Toc147736608"/>
      <w:r>
        <w:rPr>
          <w:rStyle w:val="CharSectno"/>
        </w:rPr>
        <w:t>23</w:t>
      </w:r>
      <w:r>
        <w:t>.</w:t>
      </w:r>
      <w:r>
        <w:tab/>
        <w:t>Information after surrender of goods</w:t>
      </w:r>
      <w:bookmarkEnd w:id="192"/>
      <w:bookmarkEnd w:id="193"/>
      <w:bookmarkEnd w:id="194"/>
    </w:p>
    <w:p>
      <w:pPr>
        <w:pStyle w:val="Subsection"/>
      </w:pPr>
      <w:r>
        <w:tab/>
      </w:r>
      <w:r>
        <w:tab/>
        <w:t>For the purposes of section 78(3) of the Code, the information required to be contained in the notice is to include the information set out in form 6.</w:t>
      </w:r>
    </w:p>
    <w:p>
      <w:pPr>
        <w:pStyle w:val="NotesPerm"/>
      </w:pPr>
      <w:r>
        <w:t xml:space="preserve">Note — </w:t>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195" w:name="_Toc137886269"/>
      <w:bookmarkStart w:id="196" w:name="_Toc148770341"/>
      <w:bookmarkStart w:id="197" w:name="_Toc147736609"/>
      <w:r>
        <w:rPr>
          <w:rStyle w:val="CharSectno"/>
        </w:rPr>
        <w:t>23A</w:t>
      </w:r>
      <w:r>
        <w:t>.</w:t>
      </w:r>
      <w:r>
        <w:tab/>
        <w:t>Application of Part 5 Division 3 of the Code</w:t>
      </w:r>
      <w:bookmarkEnd w:id="195"/>
      <w:bookmarkEnd w:id="196"/>
      <w:bookmarkEnd w:id="197"/>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198" w:name="_Toc137886270"/>
      <w:bookmarkStart w:id="199" w:name="_Toc148770342"/>
      <w:bookmarkStart w:id="200" w:name="_Toc147736610"/>
      <w:r>
        <w:rPr>
          <w:rStyle w:val="CharSectno"/>
        </w:rPr>
        <w:t>24</w:t>
      </w:r>
      <w:r>
        <w:t>.</w:t>
      </w:r>
      <w:r>
        <w:tab/>
        <w:t>Consent to enter premises</w:t>
      </w:r>
      <w:bookmarkEnd w:id="198"/>
      <w:bookmarkEnd w:id="199"/>
      <w:bookmarkEnd w:id="200"/>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NotesPerm"/>
      </w:pPr>
      <w:r>
        <w:t xml:space="preserve">Note — </w:t>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201" w:name="_Toc137886271"/>
      <w:bookmarkStart w:id="202" w:name="_Toc148770343"/>
      <w:bookmarkStart w:id="203" w:name="_Toc147736611"/>
      <w:r>
        <w:rPr>
          <w:rStyle w:val="CharSectno"/>
        </w:rPr>
        <w:t>25</w:t>
      </w:r>
      <w:r>
        <w:t>.</w:t>
      </w:r>
      <w:r>
        <w:tab/>
        <w:t>Statement about mortgagor’s rights and obligations</w:t>
      </w:r>
      <w:bookmarkEnd w:id="201"/>
      <w:bookmarkEnd w:id="202"/>
      <w:bookmarkEnd w:id="203"/>
    </w:p>
    <w:p>
      <w:pPr>
        <w:pStyle w:val="Subsection"/>
      </w:pPr>
      <w:r>
        <w:tab/>
      </w:r>
      <w:r>
        <w:tab/>
        <w:t>For the purposes of section 94(1)(c) of the Code, the information statement is to be a written statement in form 8.</w:t>
      </w:r>
    </w:p>
    <w:p>
      <w:pPr>
        <w:pStyle w:val="NotesPerm"/>
      </w:pPr>
      <w:r>
        <w:t xml:space="preserve">Note — </w:t>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204" w:name="_Toc137886272"/>
      <w:bookmarkStart w:id="205" w:name="_Toc148770344"/>
      <w:bookmarkStart w:id="206" w:name="_Toc147736612"/>
      <w:r>
        <w:rPr>
          <w:rStyle w:val="CharSectno"/>
        </w:rPr>
        <w:t>26</w:t>
      </w:r>
      <w:r>
        <w:t>.</w:t>
      </w:r>
      <w:r>
        <w:tab/>
        <w:t>Information about proceeds of sale of mortgaged goods</w:t>
      </w:r>
      <w:bookmarkEnd w:id="204"/>
      <w:bookmarkEnd w:id="205"/>
      <w:bookmarkEnd w:id="206"/>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NotesPerm"/>
      </w:pPr>
      <w:r>
        <w:t xml:space="preserve">Note — </w:t>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207" w:name="_Toc96408937"/>
      <w:bookmarkStart w:id="208" w:name="_Toc137886135"/>
      <w:bookmarkStart w:id="209" w:name="_Toc137886273"/>
      <w:bookmarkStart w:id="210" w:name="_Toc147719071"/>
      <w:bookmarkStart w:id="211" w:name="_Toc147722146"/>
      <w:bookmarkStart w:id="212" w:name="_Toc147736613"/>
      <w:bookmarkStart w:id="213" w:name="_Toc148258077"/>
      <w:bookmarkStart w:id="214" w:name="_Toc148770345"/>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207"/>
      <w:bookmarkEnd w:id="208"/>
      <w:bookmarkEnd w:id="209"/>
      <w:bookmarkEnd w:id="210"/>
      <w:bookmarkEnd w:id="211"/>
      <w:bookmarkEnd w:id="212"/>
      <w:bookmarkEnd w:id="213"/>
      <w:bookmarkEnd w:id="214"/>
    </w:p>
    <w:p>
      <w:pPr>
        <w:pStyle w:val="Heading5"/>
      </w:pPr>
      <w:bookmarkStart w:id="215" w:name="_Toc137886274"/>
      <w:bookmarkStart w:id="216" w:name="_Toc148770346"/>
      <w:bookmarkStart w:id="217" w:name="_Toc147736614"/>
      <w:r>
        <w:rPr>
          <w:rStyle w:val="CharSectno"/>
        </w:rPr>
        <w:t>27</w:t>
      </w:r>
      <w:r>
        <w:t>.</w:t>
      </w:r>
      <w:r>
        <w:tab/>
        <w:t>Rate of interest on damages</w:t>
      </w:r>
      <w:bookmarkEnd w:id="215"/>
      <w:bookmarkEnd w:id="216"/>
      <w:bookmarkEnd w:id="217"/>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NotesPerm"/>
      </w:pPr>
      <w:r>
        <w:t xml:space="preserve">Note — </w:t>
      </w:r>
      <w:r>
        <w:tab/>
        <w:t>Section 122(1) of the Code allows interest to be paid on damages awarded under the linked credit provider provisions of the Code. The rate of interest is to be the rate prescribed by the regulations.</w:t>
      </w:r>
    </w:p>
    <w:p>
      <w:pPr>
        <w:pStyle w:val="Heading5"/>
      </w:pPr>
      <w:bookmarkStart w:id="218" w:name="_Toc137886275"/>
      <w:bookmarkStart w:id="219" w:name="_Toc148770347"/>
      <w:bookmarkStart w:id="220" w:name="_Toc147736615"/>
      <w:r>
        <w:rPr>
          <w:rStyle w:val="CharSectno"/>
        </w:rPr>
        <w:t>28</w:t>
      </w:r>
      <w:r>
        <w:t>.</w:t>
      </w:r>
      <w:r>
        <w:tab/>
        <w:t>Informing debtor of rights</w:t>
      </w:r>
      <w:bookmarkEnd w:id="218"/>
      <w:bookmarkEnd w:id="219"/>
      <w:bookmarkEnd w:id="220"/>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NotesPerm"/>
      </w:pPr>
      <w:r>
        <w:t xml:space="preserve">Note — </w:t>
      </w:r>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221" w:name="_Toc137886276"/>
      <w:bookmarkStart w:id="222" w:name="_Toc148770348"/>
      <w:bookmarkStart w:id="223" w:name="_Toc147736616"/>
      <w:r>
        <w:rPr>
          <w:rStyle w:val="CharSectno"/>
        </w:rPr>
        <w:t>29</w:t>
      </w:r>
      <w:r>
        <w:t>.</w:t>
      </w:r>
      <w:r>
        <w:tab/>
        <w:t>Rebate of consideration</w:t>
      </w:r>
      <w:bookmarkEnd w:id="221"/>
      <w:bookmarkEnd w:id="222"/>
      <w:bookmarkEnd w:id="223"/>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rPr>
          <w:del w:id="224" w:author="Master Repository Process" w:date="2021-07-31T16:30:00Z"/>
        </w:rPr>
      </w:pPr>
      <w:del w:id="225" w:author="Master Repository Process" w:date="2021-07-31T16:30:00Z">
        <w:r>
          <w:rPr>
            <w:position w:val="-24"/>
          </w:rPr>
          <w:pict>
            <v:shape id="_x0000_i1029" type="#_x0000_t75" style="width:53.25pt;height:30.75pt">
              <v:imagedata r:id="rId22" o:title=""/>
            </v:shape>
          </w:pict>
        </w:r>
      </w:del>
    </w:p>
    <w:p>
      <w:pPr>
        <w:pStyle w:val="Equation"/>
        <w:jc w:val="center"/>
        <w:rPr>
          <w:ins w:id="226" w:author="Master Repository Process" w:date="2021-07-31T16:30:00Z"/>
        </w:rPr>
      </w:pPr>
      <w:ins w:id="227" w:author="Master Repository Process" w:date="2021-07-31T16:30:00Z">
        <w:r>
          <w:rPr>
            <w:position w:val="-24"/>
          </w:rPr>
          <w:pict>
            <v:shape id="_x0000_i1030" type="#_x0000_t75" style="width:53.25pt;height:31.5pt">
              <v:imagedata r:id="rId22" o:title=""/>
            </v:shape>
          </w:pict>
        </w:r>
      </w:ins>
    </w:p>
    <w:p>
      <w:pPr>
        <w:pStyle w:val="Subsection"/>
      </w:pPr>
      <w:r>
        <w:tab/>
      </w:r>
      <w:r>
        <w:tab/>
        <w:t>where—</w:t>
      </w:r>
    </w:p>
    <w:p>
      <w:pPr>
        <w:pStyle w:val="Defstart"/>
      </w:pPr>
      <w:r>
        <w:rPr>
          <w:b/>
        </w:rPr>
        <w:tab/>
        <w:t xml:space="preserve">“R” </w:t>
      </w:r>
      <w:r>
        <w:t>is the amount of rebate of consideration.</w:t>
      </w:r>
    </w:p>
    <w:p>
      <w:pPr>
        <w:pStyle w:val="Defstart"/>
      </w:pPr>
      <w:r>
        <w:rPr>
          <w:b/>
        </w:rPr>
        <w:tab/>
        <w:t xml:space="preserve">“C” </w:t>
      </w:r>
      <w:r>
        <w:t>is the amount of the charges under the maintenance services contract financed under the credit contract.</w:t>
      </w:r>
    </w:p>
    <w:p>
      <w:pPr>
        <w:pStyle w:val="Defstart"/>
      </w:pPr>
      <w:r>
        <w:rPr>
          <w:b/>
        </w:rPr>
        <w:tab/>
        <w:t xml:space="preserve">“S” </w:t>
      </w:r>
      <w:r>
        <w:t>is the number of whole months in the unexpired portion of the period for which maintenance was agreed to be provided.</w:t>
      </w:r>
    </w:p>
    <w:p>
      <w:pPr>
        <w:pStyle w:val="Defstart"/>
      </w:pPr>
      <w:r>
        <w:rPr>
          <w:b/>
        </w:rPr>
        <w:tab/>
        <w:t xml:space="preserve">“T” </w:t>
      </w:r>
      <w:r>
        <w:t>is the number of whole months for which maintenance was agreed to be provided.</w:t>
      </w:r>
    </w:p>
    <w:p>
      <w:pPr>
        <w:pStyle w:val="NotesPerm"/>
      </w:pPr>
      <w:r>
        <w:t xml:space="preserve">Note — </w:t>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ind w:left="360"/>
      </w:pPr>
      <w:bookmarkStart w:id="228" w:name="_Toc96408941"/>
      <w:bookmarkStart w:id="229" w:name="_Toc137886139"/>
      <w:bookmarkStart w:id="230" w:name="_Toc137886277"/>
      <w:bookmarkStart w:id="231" w:name="_Toc147719075"/>
      <w:bookmarkStart w:id="232" w:name="_Toc147722150"/>
      <w:bookmarkStart w:id="233" w:name="_Toc147736617"/>
      <w:bookmarkStart w:id="234" w:name="_Toc148258081"/>
      <w:bookmarkStart w:id="235" w:name="_Toc148770349"/>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228"/>
      <w:bookmarkEnd w:id="229"/>
      <w:bookmarkEnd w:id="230"/>
      <w:bookmarkEnd w:id="231"/>
      <w:bookmarkEnd w:id="232"/>
      <w:bookmarkEnd w:id="233"/>
      <w:bookmarkEnd w:id="234"/>
      <w:bookmarkEnd w:id="235"/>
    </w:p>
    <w:p>
      <w:pPr>
        <w:pStyle w:val="Heading5"/>
      </w:pPr>
      <w:bookmarkStart w:id="236" w:name="_Toc137886278"/>
      <w:bookmarkStart w:id="237" w:name="_Toc148770350"/>
      <w:bookmarkStart w:id="238" w:name="_Toc147736618"/>
      <w:r>
        <w:rPr>
          <w:rStyle w:val="CharSectno"/>
        </w:rPr>
        <w:t>30</w:t>
      </w:r>
      <w:r>
        <w:t>.</w:t>
      </w:r>
      <w:r>
        <w:tab/>
        <w:t>Particulars of insurance entered into by credit provider</w:t>
      </w:r>
      <w:bookmarkEnd w:id="236"/>
      <w:bookmarkEnd w:id="237"/>
      <w:bookmarkEnd w:id="238"/>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NotesPerm"/>
      </w:pPr>
      <w:r>
        <w:t xml:space="preserve">Note — </w:t>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239" w:name="_Toc137886279"/>
      <w:bookmarkStart w:id="240" w:name="_Toc148770351"/>
      <w:bookmarkStart w:id="241" w:name="_Toc147736619"/>
      <w:r>
        <w:rPr>
          <w:rStyle w:val="CharSectno"/>
        </w:rPr>
        <w:t>31</w:t>
      </w:r>
      <w:r>
        <w:t>.</w:t>
      </w:r>
      <w:r>
        <w:tab/>
        <w:t>Proportionate rebate of consumer credit insurance premium</w:t>
      </w:r>
      <w:bookmarkEnd w:id="239"/>
      <w:bookmarkEnd w:id="240"/>
      <w:bookmarkEnd w:id="241"/>
    </w:p>
    <w:p>
      <w:pPr>
        <w:pStyle w:val="Subsection"/>
      </w:pPr>
      <w:r>
        <w:tab/>
      </w:r>
      <w:r>
        <w:tab/>
        <w:t xml:space="preserve">For the purposes of section 138(4) of the Code, the manner of calculating the proportionate rebate of premium is by applying the following formula — </w:t>
      </w:r>
    </w:p>
    <w:p>
      <w:pPr>
        <w:pStyle w:val="Equation"/>
        <w:jc w:val="center"/>
        <w:rPr>
          <w:del w:id="242" w:author="Master Repository Process" w:date="2021-07-31T16:30:00Z"/>
        </w:rPr>
      </w:pPr>
      <w:del w:id="243" w:author="Master Repository Process" w:date="2021-07-31T16:30:00Z">
        <w:r>
          <w:rPr>
            <w:position w:val="-30"/>
          </w:rPr>
          <w:pict>
            <v:shape id="_x0000_i1031" type="#_x0000_t75" style="width:71.25pt;height:33.75pt">
              <v:imagedata r:id="rId23" o:title=""/>
            </v:shape>
          </w:pict>
        </w:r>
      </w:del>
    </w:p>
    <w:p>
      <w:pPr>
        <w:pStyle w:val="Equation"/>
        <w:jc w:val="center"/>
        <w:rPr>
          <w:ins w:id="244" w:author="Master Repository Process" w:date="2021-07-31T16:30:00Z"/>
        </w:rPr>
      </w:pPr>
      <w:ins w:id="245" w:author="Master Repository Process" w:date="2021-07-31T16:30:00Z">
        <w:r>
          <w:rPr>
            <w:position w:val="-30"/>
          </w:rPr>
          <w:pict>
            <v:shape id="_x0000_i1032" type="#_x0000_t75" style="width:70.5pt;height:33.75pt">
              <v:imagedata r:id="rId23" o:title=""/>
            </v:shape>
          </w:pict>
        </w:r>
      </w:ins>
    </w:p>
    <w:p>
      <w:pPr>
        <w:pStyle w:val="Subsection"/>
      </w:pPr>
      <w:r>
        <w:tab/>
      </w:r>
      <w:r>
        <w:tab/>
        <w:t>where—</w:t>
      </w:r>
    </w:p>
    <w:p>
      <w:pPr>
        <w:pStyle w:val="Defstart"/>
      </w:pPr>
      <w:r>
        <w:rPr>
          <w:b/>
        </w:rPr>
        <w:tab/>
        <w:t xml:space="preserve">“Y” </w:t>
      </w:r>
      <w:r>
        <w:t>is the amount of the rebate of premium.</w:t>
      </w:r>
    </w:p>
    <w:p>
      <w:pPr>
        <w:pStyle w:val="Defstart"/>
      </w:pPr>
      <w:r>
        <w:rPr>
          <w:b/>
        </w:rPr>
        <w:tab/>
        <w:t xml:space="preserve">“P” </w:t>
      </w:r>
      <w:r>
        <w:t>is the amount of the premium paid (not including any amount payable in respect of a government charge).</w:t>
      </w:r>
    </w:p>
    <w:p>
      <w:pPr>
        <w:pStyle w:val="Defstart"/>
      </w:pPr>
      <w:r>
        <w:rPr>
          <w:b/>
        </w:rPr>
        <w:tab/>
        <w:t xml:space="preserve">“S” </w:t>
      </w:r>
      <w:r>
        <w:t>is the number of whole months in the unexpired portion of the period for which insurance was agreed to be provided.</w:t>
      </w:r>
    </w:p>
    <w:p>
      <w:pPr>
        <w:pStyle w:val="Defstart"/>
      </w:pPr>
      <w:r>
        <w:rPr>
          <w:b/>
        </w:rPr>
        <w:tab/>
        <w:t xml:space="preserve">“T” </w:t>
      </w:r>
      <w:r>
        <w:t>is the number of whole months for which insurance was agreed to be provided.</w:t>
      </w:r>
    </w:p>
    <w:p>
      <w:pPr>
        <w:pStyle w:val="Heading5"/>
      </w:pPr>
      <w:bookmarkStart w:id="246" w:name="_Toc137886280"/>
      <w:bookmarkStart w:id="247" w:name="_Toc148770352"/>
      <w:bookmarkStart w:id="248" w:name="_Toc147736620"/>
      <w:r>
        <w:rPr>
          <w:rStyle w:val="CharSectno"/>
        </w:rPr>
        <w:t>32</w:t>
      </w:r>
      <w:r>
        <w:t>.</w:t>
      </w:r>
      <w:r>
        <w:tab/>
        <w:t>Notice of right to cancel mortgaged property insurance</w:t>
      </w:r>
      <w:bookmarkEnd w:id="246"/>
      <w:bookmarkEnd w:id="247"/>
      <w:bookmarkEnd w:id="248"/>
    </w:p>
    <w:p>
      <w:pPr>
        <w:pStyle w:val="Subsection"/>
      </w:pPr>
      <w:r>
        <w:tab/>
      </w:r>
      <w:r>
        <w:tab/>
        <w:t>For the purposes of section 139(2) of the Code, the information given to the debtor by the credit provider is to be a written statement in form 10.</w:t>
      </w:r>
    </w:p>
    <w:p>
      <w:pPr>
        <w:pStyle w:val="NotesPerm"/>
      </w:pPr>
      <w:r>
        <w:t xml:space="preserve">Note — </w:t>
      </w:r>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249" w:name="_Toc137886281"/>
      <w:bookmarkStart w:id="250" w:name="_Toc148770353"/>
      <w:bookmarkStart w:id="251" w:name="_Toc147736621"/>
      <w:r>
        <w:rPr>
          <w:rStyle w:val="CharSectno"/>
        </w:rPr>
        <w:t>33</w:t>
      </w:r>
      <w:r>
        <w:t>.</w:t>
      </w:r>
      <w:r>
        <w:tab/>
        <w:t>Proportionate rebate of premium for insurance over mortgaged property</w:t>
      </w:r>
      <w:bookmarkEnd w:id="249"/>
      <w:bookmarkEnd w:id="250"/>
      <w:bookmarkEnd w:id="251"/>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NotesPerm"/>
      </w:pPr>
      <w:r>
        <w:t xml:space="preserve">Note — </w:t>
      </w:r>
      <w:r>
        <w:tab/>
        <w:t>Section 139(3) of the Code provides that the regulations may prescribe the manner of calculating the proportionate rebate of premium for the purposes of section 139.</w:t>
      </w:r>
    </w:p>
    <w:p>
      <w:pPr>
        <w:pStyle w:val="Heading2"/>
        <w:ind w:left="360"/>
      </w:pPr>
      <w:bookmarkStart w:id="252" w:name="_Toc96408946"/>
      <w:bookmarkStart w:id="253" w:name="_Toc137886144"/>
      <w:bookmarkStart w:id="254" w:name="_Toc137886282"/>
      <w:bookmarkStart w:id="255" w:name="_Toc147719080"/>
      <w:bookmarkStart w:id="256" w:name="_Toc147722155"/>
      <w:bookmarkStart w:id="257" w:name="_Toc147736622"/>
      <w:bookmarkStart w:id="258" w:name="_Toc148258086"/>
      <w:bookmarkStart w:id="259" w:name="_Toc148770354"/>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252"/>
      <w:bookmarkEnd w:id="253"/>
      <w:bookmarkEnd w:id="254"/>
      <w:bookmarkEnd w:id="255"/>
      <w:bookmarkEnd w:id="256"/>
      <w:bookmarkEnd w:id="257"/>
      <w:bookmarkEnd w:id="258"/>
      <w:bookmarkEnd w:id="259"/>
    </w:p>
    <w:p>
      <w:pPr>
        <w:pStyle w:val="Heading5"/>
      </w:pPr>
      <w:bookmarkStart w:id="260" w:name="_Toc137886283"/>
      <w:bookmarkStart w:id="261" w:name="_Toc148770355"/>
      <w:bookmarkStart w:id="262" w:name="_Toc147736623"/>
      <w:r>
        <w:rPr>
          <w:rStyle w:val="CharSectno"/>
        </w:rPr>
        <w:t>33A</w:t>
      </w:r>
      <w:r>
        <w:t>.</w:t>
      </w:r>
      <w:r>
        <w:tab/>
        <w:t>Relevant comparison rate where annual percentage rate stated</w:t>
      </w:r>
      <w:bookmarkEnd w:id="260"/>
      <w:bookmarkEnd w:id="261"/>
      <w:bookmarkEnd w:id="262"/>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263" w:name="_Toc137886284"/>
      <w:bookmarkStart w:id="264" w:name="_Toc148770356"/>
      <w:bookmarkStart w:id="265" w:name="_Toc147736624"/>
      <w:r>
        <w:rPr>
          <w:rStyle w:val="CharSectno"/>
        </w:rPr>
        <w:t>33B</w:t>
      </w:r>
      <w:r>
        <w:t>.</w:t>
      </w:r>
      <w:r>
        <w:tab/>
        <w:t>Information about whether comparison rate relates to secured loan</w:t>
      </w:r>
      <w:bookmarkEnd w:id="263"/>
      <w:bookmarkEnd w:id="264"/>
      <w:bookmarkEnd w:id="265"/>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rPr>
          <w:lang w:val="en-US"/>
        </w:rPr>
      </w:pPr>
      <w:bookmarkStart w:id="266" w:name="_Toc137886285"/>
      <w:bookmarkStart w:id="267" w:name="_Toc148770357"/>
      <w:bookmarkStart w:id="268" w:name="_Toc147736625"/>
      <w:r>
        <w:rPr>
          <w:rStyle w:val="CharSectno"/>
        </w:rPr>
        <w:t>33C</w:t>
      </w:r>
      <w:r>
        <w:rPr>
          <w:lang w:val="en-US"/>
        </w:rPr>
        <w:t>.</w:t>
      </w:r>
      <w:r>
        <w:rPr>
          <w:lang w:val="en-US"/>
        </w:rPr>
        <w:tab/>
        <w:t>Warnings about comparison rate</w:t>
      </w:r>
      <w:bookmarkEnd w:id="266"/>
      <w:bookmarkEnd w:id="267"/>
      <w:bookmarkEnd w:id="268"/>
    </w:p>
    <w:p>
      <w:pPr>
        <w:pStyle w:val="Subsection"/>
        <w:rPr>
          <w:lang w:val="en-US"/>
        </w:rPr>
      </w:pPr>
      <w:r>
        <w:tab/>
        <w:t>(1)</w:t>
      </w:r>
      <w:r>
        <w:tab/>
      </w:r>
      <w:r>
        <w:rPr>
          <w:lang w:val="en-US"/>
        </w:rPr>
        <w:t xml:space="preserve">For the purposes of section 146H(1) of the Code, the warning about the accuracy of a comparison rate in a credit advertisement must — </w:t>
      </w:r>
    </w:p>
    <w:p>
      <w:pPr>
        <w:pStyle w:val="Indenta"/>
        <w:rPr>
          <w:lang w:val="en-US"/>
        </w:rPr>
      </w:pPr>
      <w:r>
        <w:tab/>
        <w:t>(a)</w:t>
      </w:r>
      <w:r>
        <w:tab/>
      </w:r>
      <w:r>
        <w:rPr>
          <w:lang w:val="en-US"/>
        </w:rPr>
        <w:t>include the short statement or long statement; and</w:t>
      </w:r>
    </w:p>
    <w:p>
      <w:pPr>
        <w:pStyle w:val="Indenta"/>
        <w:rPr>
          <w:lang w:val="en-US"/>
        </w:rPr>
      </w:pPr>
      <w:r>
        <w:rPr>
          <w:lang w:val="en-US"/>
        </w:rPr>
        <w:tab/>
        <w:t>(b)</w:t>
      </w:r>
      <w:r>
        <w:rPr>
          <w:lang w:val="en-US"/>
        </w:rPr>
        <w:tab/>
        <w:t>be given in the same form as the comparison rate is given unless the credit advertisement is on television, the Internet or another electronic display medium.</w:t>
      </w:r>
    </w:p>
    <w:p>
      <w:pPr>
        <w:pStyle w:val="NotesPerm"/>
        <w:tabs>
          <w:tab w:val="clear" w:pos="879"/>
          <w:tab w:val="left" w:pos="2268"/>
        </w:tabs>
        <w:ind w:left="2265" w:right="423" w:hanging="705"/>
      </w:pPr>
      <w:r>
        <w:t>Note:</w:t>
      </w:r>
      <w:r>
        <w:tab/>
      </w:r>
      <w:r>
        <w:tab/>
        <w:t>For a credit advertisement on an electronic display medium, see section 146I(3) of the Code for the form in which the warning must be given.</w:t>
      </w:r>
    </w:p>
    <w:p>
      <w:pPr>
        <w:pStyle w:val="Subsection"/>
        <w:rPr>
          <w:lang w:val="en-US"/>
        </w:rPr>
      </w:pPr>
      <w:r>
        <w:rPr>
          <w:lang w:val="en-US"/>
        </w:rPr>
        <w:tab/>
        <w:t>(2)</w:t>
      </w:r>
      <w:r>
        <w:rPr>
          <w:lang w:val="en-US"/>
        </w:rPr>
        <w:tab/>
        <w:t>For the purposes of section 146O(1) of the Code, the warning about the accuracy of a comparison rate in a comparison rate schedule must include the long statement.</w:t>
      </w:r>
    </w:p>
    <w:p>
      <w:pPr>
        <w:pStyle w:val="Subsection"/>
        <w:rPr>
          <w:lang w:val="en-US"/>
        </w:rPr>
      </w:pPr>
      <w:r>
        <w:rPr>
          <w:lang w:val="en-US"/>
        </w:rPr>
        <w:tab/>
        <w:t>(3)</w:t>
      </w:r>
      <w:r>
        <w:rPr>
          <w:lang w:val="en-US"/>
        </w:rPr>
        <w:tab/>
        <w:t>A warning may also contain a statement that the credit provider does not provide credit for an amount, or a term, or both, specified in a credit advertisement or comparison rate schedule.</w:t>
      </w:r>
    </w:p>
    <w:p>
      <w:pPr>
        <w:pStyle w:val="Subsection"/>
        <w:rPr>
          <w:lang w:val="en-US"/>
        </w:rPr>
      </w:pPr>
      <w:r>
        <w:rPr>
          <w:lang w:val="en-US"/>
        </w:rPr>
        <w:tab/>
        <w:t>(4)</w:t>
      </w:r>
      <w:r>
        <w:rPr>
          <w:lang w:val="en-US"/>
        </w:rPr>
        <w:tab/>
        <w:t xml:space="preserve">In this section — </w:t>
      </w:r>
    </w:p>
    <w:p>
      <w:pPr>
        <w:pStyle w:val="Defstart"/>
        <w:rPr>
          <w:lang w:val="en-US"/>
        </w:rPr>
      </w:pPr>
      <w:r>
        <w:rPr>
          <w:b/>
        </w:rPr>
        <w:tab/>
        <w:t>“</w:t>
      </w:r>
      <w:r>
        <w:rPr>
          <w:rStyle w:val="CharDefText"/>
        </w:rPr>
        <w:t>long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Defstart"/>
        <w:rPr>
          <w:lang w:val="en-US"/>
        </w:rPr>
      </w:pPr>
      <w:r>
        <w:rPr>
          <w:b/>
        </w:rPr>
        <w:tab/>
        <w:t>“</w:t>
      </w:r>
      <w:r>
        <w:rPr>
          <w:rStyle w:val="CharDefText"/>
        </w:rPr>
        <w:t>short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is true only for the examples given and may not include all fees and charges. Different terms, fees or other loan amounts might result in a different comparison rate.</w:t>
      </w:r>
    </w:p>
    <w:p>
      <w:pPr>
        <w:pStyle w:val="Footnotesection"/>
        <w:rPr>
          <w:lang w:val="en-US"/>
        </w:rPr>
      </w:pPr>
      <w:r>
        <w:tab/>
        <w:t>[Regulation 33C inserted in Gazette 13 Jun 2006 p. 2051-2.]</w:t>
      </w:r>
    </w:p>
    <w:p>
      <w:pPr>
        <w:pStyle w:val="Heading5"/>
      </w:pPr>
      <w:bookmarkStart w:id="269" w:name="_Toc137886286"/>
      <w:bookmarkStart w:id="270" w:name="_Toc148770358"/>
      <w:bookmarkStart w:id="271" w:name="_Toc147736626"/>
      <w:r>
        <w:rPr>
          <w:rStyle w:val="CharSectno"/>
        </w:rPr>
        <w:t>33D</w:t>
      </w:r>
      <w:r>
        <w:t>.</w:t>
      </w:r>
      <w:r>
        <w:tab/>
        <w:t>Relevant comparison rate schedules</w:t>
      </w:r>
      <w:bookmarkEnd w:id="269"/>
      <w:bookmarkEnd w:id="270"/>
      <w:bookmarkEnd w:id="271"/>
    </w:p>
    <w:p>
      <w:pPr>
        <w:pStyle w:val="Subsection"/>
      </w:pPr>
      <w:r>
        <w:tab/>
        <w:t>(1)</w:t>
      </w:r>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rPr>
          <w:lang w:val="en-US"/>
        </w:rPr>
      </w:pPr>
      <w:r>
        <w:tab/>
        <w:t>(2)</w:t>
      </w:r>
      <w:r>
        <w:tab/>
      </w:r>
      <w:r>
        <w:rPr>
          <w:lang w:val="en-US"/>
        </w:rPr>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p>
    <w:p>
      <w:pPr>
        <w:pStyle w:val="Subsection"/>
        <w:rPr>
          <w:lang w:val="en-US"/>
        </w:rPr>
      </w:pPr>
      <w:r>
        <w:tab/>
        <w:t>(3)</w:t>
      </w:r>
      <w:r>
        <w:tab/>
      </w:r>
      <w:r>
        <w:rPr>
          <w:lang w:val="en-US"/>
        </w:rPr>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p>
    <w:p>
      <w:pPr>
        <w:pStyle w:val="Subsection"/>
        <w:rPr>
          <w:rFonts w:ascii="Times-Roman" w:hAnsi="Times-Roman"/>
          <w:sz w:val="20"/>
          <w:lang w:val="en-US"/>
        </w:rPr>
      </w:pPr>
      <w:r>
        <w:tab/>
        <w:t>(4)</w:t>
      </w:r>
      <w:r>
        <w:tab/>
      </w:r>
      <w:r>
        <w:rPr>
          <w:lang w:val="en-US"/>
        </w:rPr>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p>
    <w:p>
      <w:pPr>
        <w:pStyle w:val="Footnotesection"/>
        <w:rPr>
          <w:lang w:val="en-US"/>
        </w:rPr>
      </w:pPr>
      <w:r>
        <w:tab/>
        <w:t>[Regulation 33D amended in Gazette 13 Jun 2006 p. 2052-3.]</w:t>
      </w:r>
    </w:p>
    <w:p>
      <w:pPr>
        <w:pStyle w:val="Heading5"/>
      </w:pPr>
      <w:bookmarkStart w:id="272" w:name="_Toc137886287"/>
      <w:bookmarkStart w:id="273" w:name="_Toc148770359"/>
      <w:bookmarkStart w:id="274" w:name="_Toc147736627"/>
      <w:r>
        <w:rPr>
          <w:rStyle w:val="CharSectno"/>
        </w:rPr>
        <w:t>33E</w:t>
      </w:r>
      <w:r>
        <w:t>.</w:t>
      </w:r>
      <w:r>
        <w:tab/>
        <w:t>Information about whether comparison rate relates to secured loan</w:t>
      </w:r>
      <w:bookmarkEnd w:id="272"/>
      <w:bookmarkEnd w:id="273"/>
      <w:bookmarkEnd w:id="274"/>
    </w:p>
    <w:p>
      <w:pPr>
        <w:pStyle w:val="Subsection"/>
      </w:pPr>
      <w:r>
        <w:tab/>
        <w:t>(1)</w:t>
      </w:r>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rPr>
          <w:lang w:val="en-US"/>
        </w:rPr>
      </w:pPr>
      <w:r>
        <w:tab/>
        <w:t>(2)</w:t>
      </w:r>
      <w:r>
        <w:tab/>
      </w:r>
      <w:r>
        <w:rPr>
          <w:lang w:val="en-US"/>
        </w:rPr>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p>
    <w:p>
      <w:pPr>
        <w:pStyle w:val="Footnotesection"/>
        <w:rPr>
          <w:lang w:val="en-US"/>
        </w:rPr>
      </w:pPr>
      <w:r>
        <w:tab/>
        <w:t>[Regulation 33E amended in Gazette 13 Jun 2006 p. 2053.]</w:t>
      </w:r>
    </w:p>
    <w:p>
      <w:pPr>
        <w:pStyle w:val="Heading5"/>
      </w:pPr>
      <w:bookmarkStart w:id="275" w:name="_Toc137886288"/>
      <w:bookmarkStart w:id="276" w:name="_Toc148770360"/>
      <w:bookmarkStart w:id="277" w:name="_Toc147736628"/>
      <w:r>
        <w:rPr>
          <w:rStyle w:val="CharSectno"/>
        </w:rPr>
        <w:t>33F</w:t>
      </w:r>
      <w:r>
        <w:t>.</w:t>
      </w:r>
      <w:r>
        <w:tab/>
        <w:t>Calculation of comparison rates</w:t>
      </w:r>
      <w:bookmarkEnd w:id="275"/>
      <w:bookmarkEnd w:id="276"/>
      <w:bookmarkEnd w:id="277"/>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rPr>
          <w:del w:id="278" w:author="Master Repository Process" w:date="2021-07-31T16:30:00Z"/>
        </w:rPr>
      </w:pPr>
      <w:del w:id="279" w:author="Master Repository Process" w:date="2021-07-31T16:30:00Z">
        <w:r>
          <w:rPr>
            <w:position w:val="-10"/>
          </w:rPr>
          <w:pict>
            <v:shape id="_x0000_i1033" type="#_x0000_t75" style="width:80.25pt;height:15.75pt">
              <v:imagedata r:id="rId24" o:title=""/>
            </v:shape>
          </w:pict>
        </w:r>
      </w:del>
    </w:p>
    <w:p>
      <w:pPr>
        <w:pStyle w:val="Equation"/>
        <w:spacing w:before="120"/>
        <w:jc w:val="center"/>
        <w:rPr>
          <w:ins w:id="280" w:author="Master Repository Process" w:date="2021-07-31T16:30:00Z"/>
        </w:rPr>
      </w:pPr>
      <w:ins w:id="281" w:author="Master Repository Process" w:date="2021-07-31T16:30:00Z">
        <w:r>
          <w:rPr>
            <w:position w:val="-10"/>
          </w:rPr>
          <w:pict>
            <v:shape id="_x0000_i1034" type="#_x0000_t75" style="width:80.25pt;height:16.5pt">
              <v:imagedata r:id="rId24" o:title=""/>
            </v:shape>
          </w:pict>
        </w:r>
      </w:ins>
    </w:p>
    <w:p>
      <w:pPr>
        <w:pStyle w:val="Subsection"/>
      </w:pPr>
      <w:r>
        <w:tab/>
      </w:r>
      <w:r>
        <w:tab/>
        <w:t>where—</w:t>
      </w:r>
    </w:p>
    <w:p>
      <w:pPr>
        <w:pStyle w:val="Defstart"/>
      </w:pPr>
      <w:r>
        <w:rPr>
          <w:b/>
        </w:rPr>
        <w:tab/>
        <w:t>“n”</w:t>
      </w:r>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t>“r”</w:t>
      </w:r>
      <w:r>
        <w:t xml:space="preserve"> is the solution of the following — </w:t>
      </w:r>
    </w:p>
    <w:p>
      <w:pPr>
        <w:pStyle w:val="Equation"/>
        <w:jc w:val="center"/>
        <w:rPr>
          <w:del w:id="282" w:author="Master Repository Process" w:date="2021-07-31T16:30:00Z"/>
        </w:rPr>
      </w:pPr>
      <w:del w:id="283" w:author="Master Repository Process" w:date="2021-07-31T16:30:00Z">
        <w:r>
          <w:rPr>
            <w:position w:val="-44"/>
          </w:rPr>
          <w:pict>
            <v:shape id="_x0000_i1035" type="#_x0000_t75" style="width:146.25pt;height:47.25pt">
              <v:imagedata r:id="rId25" o:title=""/>
            </v:shape>
          </w:pict>
        </w:r>
      </w:del>
    </w:p>
    <w:p>
      <w:pPr>
        <w:pStyle w:val="Equation"/>
        <w:jc w:val="center"/>
        <w:rPr>
          <w:ins w:id="284" w:author="Master Repository Process" w:date="2021-07-31T16:30:00Z"/>
        </w:rPr>
      </w:pPr>
      <w:ins w:id="285" w:author="Master Repository Process" w:date="2021-07-31T16:30:00Z">
        <w:r>
          <w:rPr>
            <w:position w:val="-44"/>
          </w:rPr>
          <w:pict>
            <v:shape id="_x0000_i1036" type="#_x0000_t75" style="width:145.5pt;height:47.25pt">
              <v:imagedata r:id="rId25" o:title=""/>
            </v:shape>
          </w:pict>
        </w:r>
      </w:ins>
    </w:p>
    <w:p>
      <w:pPr>
        <w:pStyle w:val="Subsection"/>
      </w:pPr>
      <w:r>
        <w:tab/>
      </w:r>
      <w:r>
        <w:tab/>
        <w:t>where—</w:t>
      </w:r>
    </w:p>
    <w:p>
      <w:pPr>
        <w:pStyle w:val="Defstart"/>
      </w:pPr>
      <w:r>
        <w:rPr>
          <w:b/>
        </w:rPr>
        <w:tab/>
        <w:t>“j”</w:t>
      </w:r>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t>“t”</w:t>
      </w:r>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t>“Aj”</w:t>
      </w:r>
      <w:r>
        <w:t xml:space="preserve"> is the amount of credit to be provided under the contract at time j (the value of j for the provision of the first amount of credit is taken to be zero).</w:t>
      </w:r>
    </w:p>
    <w:p>
      <w:pPr>
        <w:pStyle w:val="Defstart"/>
      </w:pPr>
      <w:r>
        <w:rPr>
          <w:b/>
        </w:rPr>
        <w:tab/>
        <w:t>“Rj”</w:t>
      </w:r>
      <w:r>
        <w:t xml:space="preserve"> is the repayment to be made at time j.</w:t>
      </w:r>
    </w:p>
    <w:p>
      <w:pPr>
        <w:pStyle w:val="Defstart"/>
      </w:pPr>
      <w:r>
        <w:rPr>
          <w:b/>
        </w:rPr>
        <w:tab/>
        <w:t>“Cj”</w:t>
      </w:r>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286" w:name="_Toc137886289"/>
      <w:bookmarkStart w:id="287" w:name="_Toc148770361"/>
      <w:bookmarkStart w:id="288" w:name="_Toc147736629"/>
      <w:r>
        <w:rPr>
          <w:rStyle w:val="CharSectno"/>
        </w:rPr>
        <w:t>33G</w:t>
      </w:r>
      <w:r>
        <w:t>.</w:t>
      </w:r>
      <w:r>
        <w:tab/>
        <w:t>Exemption of certain premises</w:t>
      </w:r>
      <w:bookmarkEnd w:id="286"/>
      <w:bookmarkEnd w:id="287"/>
      <w:bookmarkEnd w:id="288"/>
    </w:p>
    <w:p>
      <w:pPr>
        <w:pStyle w:val="Subsection"/>
      </w:pPr>
      <w:r>
        <w:tab/>
        <w:t>(1)</w:t>
      </w:r>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rPr>
          <w:lang w:val="en-US"/>
        </w:rPr>
      </w:pPr>
      <w:r>
        <w:tab/>
        <w:t>(2)</w:t>
      </w:r>
      <w:r>
        <w:tab/>
      </w:r>
      <w:r>
        <w:rPr>
          <w:lang w:val="en-US"/>
        </w:rPr>
        <w:t>A credit provider is exempt from section 146K(5) of the Code in relation to applications for credit sent or given by the credit provider from or at premises referred to in subsection (1).</w:t>
      </w:r>
    </w:p>
    <w:p>
      <w:pPr>
        <w:pStyle w:val="Footnotesection"/>
        <w:rPr>
          <w:lang w:val="en-US"/>
        </w:rPr>
      </w:pPr>
      <w:r>
        <w:tab/>
        <w:t>[Regulation 33G amended in Gazette 13 Jun 2006 p. 2053.]</w:t>
      </w:r>
    </w:p>
    <w:p>
      <w:pPr>
        <w:pStyle w:val="Heading5"/>
      </w:pPr>
      <w:bookmarkStart w:id="289" w:name="_Toc137886290"/>
      <w:bookmarkStart w:id="290" w:name="_Toc148770362"/>
      <w:bookmarkStart w:id="291" w:name="_Toc147736630"/>
      <w:r>
        <w:rPr>
          <w:rStyle w:val="CharSectno"/>
        </w:rPr>
        <w:t>33H</w:t>
      </w:r>
      <w:r>
        <w:t>.</w:t>
      </w:r>
      <w:r>
        <w:tab/>
        <w:t>Exemptions in relation to comparison rate schedules</w:t>
      </w:r>
      <w:bookmarkEnd w:id="289"/>
      <w:bookmarkEnd w:id="290"/>
      <w:bookmarkEnd w:id="291"/>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pPr>
      <w:bookmarkStart w:id="292" w:name="_Toc137886291"/>
      <w:bookmarkStart w:id="293" w:name="_Toc148770363"/>
      <w:bookmarkStart w:id="294" w:name="_Toc147736631"/>
      <w:r>
        <w:rPr>
          <w:rStyle w:val="CharSectno"/>
        </w:rPr>
        <w:t>33HA</w:t>
      </w:r>
      <w:r>
        <w:t>.</w:t>
      </w:r>
      <w:r>
        <w:tab/>
        <w:t>Matters that may be included in comparison rate schedules</w:t>
      </w:r>
      <w:bookmarkEnd w:id="292"/>
      <w:bookmarkEnd w:id="293"/>
      <w:bookmarkEnd w:id="294"/>
    </w:p>
    <w:p>
      <w:pPr>
        <w:pStyle w:val="Subsection"/>
        <w:rPr>
          <w:lang w:val="en-US"/>
        </w:rPr>
      </w:pPr>
      <w:r>
        <w:tab/>
      </w:r>
      <w:r>
        <w:tab/>
      </w:r>
      <w:r>
        <w:rPr>
          <w:lang w:val="en-US"/>
        </w:rPr>
        <w:t>A comparison rate schedule may include a statement as to the frequency of repayments used to calculate a comparison rate contained in the schedule.</w:t>
      </w:r>
    </w:p>
    <w:p>
      <w:pPr>
        <w:pStyle w:val="Footnotesection"/>
        <w:rPr>
          <w:lang w:val="en-US"/>
        </w:rPr>
      </w:pPr>
      <w:r>
        <w:tab/>
        <w:t>[Regulation 33HA inserted in Gazette 13 Jun 2006 p. 2053.]</w:t>
      </w:r>
    </w:p>
    <w:p>
      <w:pPr>
        <w:pStyle w:val="Heading5"/>
      </w:pPr>
      <w:bookmarkStart w:id="295" w:name="_Toc137886292"/>
      <w:bookmarkStart w:id="296" w:name="_Toc148770364"/>
      <w:bookmarkStart w:id="297" w:name="_Toc147736632"/>
      <w:r>
        <w:rPr>
          <w:rStyle w:val="CharSectno"/>
        </w:rPr>
        <w:t>33I</w:t>
      </w:r>
      <w:r>
        <w:t>.</w:t>
      </w:r>
      <w:r>
        <w:tab/>
        <w:t>Expiry of part</w:t>
      </w:r>
      <w:bookmarkEnd w:id="295"/>
      <w:bookmarkEnd w:id="296"/>
      <w:bookmarkEnd w:id="297"/>
    </w:p>
    <w:p>
      <w:pPr>
        <w:pStyle w:val="Subsection"/>
      </w:pPr>
      <w:r>
        <w:tab/>
      </w:r>
      <w:r>
        <w:tab/>
        <w:t>This part expires on the expiry of part 9A of the Code.</w:t>
      </w:r>
    </w:p>
    <w:p>
      <w:pPr>
        <w:pStyle w:val="Heading2"/>
        <w:ind w:left="360"/>
      </w:pPr>
      <w:bookmarkStart w:id="298" w:name="_Toc96408956"/>
      <w:bookmarkStart w:id="299" w:name="_Toc137886155"/>
      <w:bookmarkStart w:id="300" w:name="_Toc137886293"/>
      <w:bookmarkStart w:id="301" w:name="_Toc147719091"/>
      <w:bookmarkStart w:id="302" w:name="_Toc147722166"/>
      <w:bookmarkStart w:id="303" w:name="_Toc147736633"/>
      <w:bookmarkStart w:id="304" w:name="_Toc148258097"/>
      <w:bookmarkStart w:id="305" w:name="_Toc148770365"/>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298"/>
      <w:bookmarkEnd w:id="299"/>
      <w:bookmarkEnd w:id="300"/>
      <w:bookmarkEnd w:id="301"/>
      <w:bookmarkEnd w:id="302"/>
      <w:bookmarkEnd w:id="303"/>
      <w:bookmarkEnd w:id="304"/>
      <w:bookmarkEnd w:id="305"/>
    </w:p>
    <w:p>
      <w:pPr>
        <w:pStyle w:val="Heading5"/>
      </w:pPr>
      <w:bookmarkStart w:id="306" w:name="_Toc137886294"/>
      <w:bookmarkStart w:id="307" w:name="_Toc148770366"/>
      <w:bookmarkStart w:id="308" w:name="_Toc147736634"/>
      <w:r>
        <w:rPr>
          <w:rStyle w:val="CharSectno"/>
        </w:rPr>
        <w:t>34</w:t>
      </w:r>
      <w:r>
        <w:t>.</w:t>
      </w:r>
      <w:r>
        <w:tab/>
        <w:t>Declaration about purpose of leases</w:t>
      </w:r>
      <w:bookmarkEnd w:id="306"/>
      <w:bookmarkEnd w:id="307"/>
      <w:bookmarkEnd w:id="308"/>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The declaration is to contain (immediately below the above words</w:t>
      </w:r>
      <w:ins w:id="309" w:author="Master Repository Process" w:date="2021-07-31T16:30:00Z">
        <w:r>
          <w:t xml:space="preserve"> or, if a consumer lease is made by electronic communication, prominently displayed when (but not after) the person signs</w:t>
        </w:r>
      </w:ins>
      <w:r>
        <w:t xml:space="preserve">)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NotesPerm"/>
      </w:pPr>
      <w:r>
        <w:t>Note</w:t>
      </w:r>
      <w:r>
        <w:rPr>
          <w:b/>
        </w:rPr>
        <w:t xml:space="preserve"> — </w:t>
      </w:r>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Footnotesection"/>
        <w:rPr>
          <w:ins w:id="310" w:author="Master Repository Process" w:date="2021-07-31T16:30:00Z"/>
        </w:rPr>
      </w:pPr>
      <w:ins w:id="311" w:author="Master Repository Process" w:date="2021-07-31T16:30:00Z">
        <w:r>
          <w:tab/>
          <w:t>[Regulation 34 amended in Gazette 29 Sep 2006 p. 4251.]</w:t>
        </w:r>
      </w:ins>
    </w:p>
    <w:p>
      <w:pPr>
        <w:pStyle w:val="Heading5"/>
      </w:pPr>
      <w:bookmarkStart w:id="312" w:name="_Toc137886295"/>
      <w:bookmarkStart w:id="313" w:name="_Toc148770367"/>
      <w:bookmarkStart w:id="314" w:name="_Toc147736635"/>
      <w:r>
        <w:rPr>
          <w:rStyle w:val="CharSectno"/>
        </w:rPr>
        <w:t>35</w:t>
      </w:r>
      <w:r>
        <w:t>.</w:t>
      </w:r>
      <w:r>
        <w:tab/>
        <w:t>Explanation about rights and obligations of consumer lessees</w:t>
      </w:r>
      <w:bookmarkEnd w:id="312"/>
      <w:bookmarkEnd w:id="313"/>
      <w:bookmarkEnd w:id="314"/>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NotesPerm"/>
      </w:pPr>
      <w:r>
        <w:t xml:space="preserve">Note — </w:t>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315" w:name="_Toc96408959"/>
      <w:bookmarkStart w:id="316" w:name="_Toc137886158"/>
      <w:bookmarkStart w:id="317" w:name="_Toc137886296"/>
      <w:bookmarkStart w:id="318" w:name="_Toc147719094"/>
      <w:bookmarkStart w:id="319" w:name="_Toc147722169"/>
      <w:bookmarkStart w:id="320" w:name="_Toc147736636"/>
      <w:bookmarkStart w:id="321" w:name="_Toc148258100"/>
      <w:bookmarkStart w:id="322" w:name="_Toc148770368"/>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315"/>
      <w:bookmarkEnd w:id="316"/>
      <w:bookmarkEnd w:id="317"/>
      <w:bookmarkEnd w:id="318"/>
      <w:bookmarkEnd w:id="319"/>
      <w:bookmarkEnd w:id="320"/>
      <w:bookmarkEnd w:id="321"/>
      <w:bookmarkEnd w:id="322"/>
    </w:p>
    <w:p>
      <w:pPr>
        <w:pStyle w:val="Heading5"/>
      </w:pPr>
      <w:bookmarkStart w:id="323" w:name="_Toc137886297"/>
      <w:bookmarkStart w:id="324" w:name="_Toc148770369"/>
      <w:bookmarkStart w:id="325" w:name="_Toc147736637"/>
      <w:r>
        <w:rPr>
          <w:rStyle w:val="CharSectno"/>
        </w:rPr>
        <w:t>36</w:t>
      </w:r>
      <w:r>
        <w:t>.</w:t>
      </w:r>
      <w:r>
        <w:tab/>
        <w:t>Tolerances relating to disclosures</w:t>
      </w:r>
      <w:bookmarkEnd w:id="323"/>
      <w:bookmarkEnd w:id="324"/>
      <w:bookmarkEnd w:id="325"/>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NotesPerm"/>
      </w:pPr>
      <w:r>
        <w:t xml:space="preserve">Note — </w:t>
      </w:r>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326" w:name="_Toc137886298"/>
      <w:bookmarkStart w:id="327" w:name="_Toc148770370"/>
      <w:bookmarkStart w:id="328" w:name="_Toc147736638"/>
      <w:r>
        <w:rPr>
          <w:rStyle w:val="CharSectno"/>
        </w:rPr>
        <w:t>37</w:t>
      </w:r>
      <w:r>
        <w:t>.</w:t>
      </w:r>
      <w:r>
        <w:tab/>
        <w:t>Tolerances relating to amounts payable etc.</w:t>
      </w:r>
      <w:bookmarkEnd w:id="326"/>
      <w:bookmarkEnd w:id="327"/>
      <w:bookmarkEnd w:id="328"/>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NotesPerm"/>
      </w:pPr>
      <w:r>
        <w:t xml:space="preserve">Note — </w:t>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329" w:name="_Toc137886299"/>
      <w:bookmarkStart w:id="330" w:name="_Toc148770371"/>
      <w:bookmarkStart w:id="331" w:name="_Toc147736639"/>
      <w:r>
        <w:rPr>
          <w:rStyle w:val="CharSectno"/>
        </w:rPr>
        <w:t>38</w:t>
      </w:r>
      <w:r>
        <w:t>.</w:t>
      </w:r>
      <w:r>
        <w:tab/>
        <w:t>Additional assumptions relating to disclosures</w:t>
      </w:r>
      <w:bookmarkEnd w:id="329"/>
      <w:bookmarkEnd w:id="330"/>
      <w:bookmarkEnd w:id="331"/>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332" w:name="_Toc137886300"/>
      <w:bookmarkStart w:id="333" w:name="_Toc148770372"/>
      <w:bookmarkStart w:id="334" w:name="_Toc147736640"/>
      <w:r>
        <w:rPr>
          <w:rStyle w:val="CharSectno"/>
        </w:rPr>
        <w:t>38A</w:t>
      </w:r>
      <w:r>
        <w:t>.</w:t>
      </w:r>
      <w:r>
        <w:tab/>
        <w:t>Contracts linked to loan account offset arrangements</w:t>
      </w:r>
      <w:bookmarkEnd w:id="332"/>
      <w:bookmarkEnd w:id="333"/>
      <w:bookmarkEnd w:id="334"/>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335" w:name="_Toc137886301"/>
      <w:bookmarkStart w:id="336" w:name="_Toc148770373"/>
      <w:bookmarkStart w:id="337" w:name="_Toc147736641"/>
      <w:r>
        <w:rPr>
          <w:rStyle w:val="CharSectno"/>
        </w:rPr>
        <w:t>39</w:t>
      </w:r>
      <w:r>
        <w:t>.</w:t>
      </w:r>
      <w:r>
        <w:tab/>
        <w:t>Requirements for print or type</w:t>
      </w:r>
      <w:bookmarkEnd w:id="335"/>
      <w:bookmarkEnd w:id="336"/>
      <w:bookmarkEnd w:id="337"/>
    </w:p>
    <w:p>
      <w:pPr>
        <w:pStyle w:val="Subsection"/>
      </w:pPr>
      <w:r>
        <w:tab/>
      </w:r>
      <w:ins w:id="338" w:author="Master Repository Process" w:date="2021-07-31T16:30:00Z">
        <w:r>
          <w:t>(1)</w:t>
        </w:r>
      </w:ins>
      <w:r>
        <w:tab/>
        <w:t>For the purposes of section 162(1)(b) of the Code, print or type must be not less than 10 point.</w:t>
      </w:r>
    </w:p>
    <w:p>
      <w:pPr>
        <w:pStyle w:val="NotesPerm"/>
      </w:pPr>
      <w:r>
        <w:t xml:space="preserve">Note — </w:t>
      </w:r>
      <w:r>
        <w:tab/>
        <w:t>Section 162(1)(b) of the Code provides that a credit contract, guarantee or notice given by a credit provider under the Code, to the extent that it is printed or typed, must conform with the provisions of the regulations as to print or type.</w:t>
      </w:r>
    </w:p>
    <w:p>
      <w:pPr>
        <w:pStyle w:val="Subsection"/>
        <w:rPr>
          <w:ins w:id="339" w:author="Master Repository Process" w:date="2021-07-31T16:30:00Z"/>
        </w:rPr>
      </w:pPr>
      <w:ins w:id="340" w:author="Master Repository Process" w:date="2021-07-31T16:30:00Z">
        <w:r>
          <w:tab/>
          <w:t>(2)</w:t>
        </w:r>
        <w:r>
          <w:tab/>
          <w:t xml:space="preserve">For the purposes of section 162(1A)(b) of the Code, if a credit contract, mortgage or guarantee or a notice transmitted by a credit provider under the Code is transmitted by electronic communication — </w:t>
        </w:r>
      </w:ins>
    </w:p>
    <w:p>
      <w:pPr>
        <w:pStyle w:val="Indenta"/>
        <w:rPr>
          <w:ins w:id="341" w:author="Master Repository Process" w:date="2021-07-31T16:30:00Z"/>
        </w:rPr>
      </w:pPr>
      <w:ins w:id="342" w:author="Master Repository Process" w:date="2021-07-31T16:30:00Z">
        <w:r>
          <w:tab/>
          <w:t>(a)</w:t>
        </w:r>
        <w:r>
          <w:tab/>
          <w:t>the electronic communication must not incorporate any image, message, advertisement or other feature that distracts, or is reasonably likely to distract, the recipient or otherwise reduces or interferes, or is reasonably likely to reduce or interfere, with the recipient’s ability to understand the credit contract, mortgage or guarantee or notice; and</w:t>
        </w:r>
      </w:ins>
    </w:p>
    <w:p>
      <w:pPr>
        <w:pStyle w:val="Indenta"/>
        <w:rPr>
          <w:ins w:id="343" w:author="Master Repository Process" w:date="2021-07-31T16:30:00Z"/>
        </w:rPr>
      </w:pPr>
      <w:ins w:id="344" w:author="Master Repository Process" w:date="2021-07-31T16:30:00Z">
        <w:r>
          <w:tab/>
          <w:t>(b)</w:t>
        </w:r>
        <w:r>
          <w:tab/>
          <w:t>if an image, message, advertisement or other feature accompanies or is associated with the electronic communication, it must be readily distinguishable from the credit contract, mortgage or guarantee or notice; and</w:t>
        </w:r>
      </w:ins>
    </w:p>
    <w:p>
      <w:pPr>
        <w:pStyle w:val="Indenta"/>
        <w:rPr>
          <w:ins w:id="345" w:author="Master Repository Process" w:date="2021-07-31T16:30:00Z"/>
        </w:rPr>
      </w:pPr>
      <w:ins w:id="346" w:author="Master Repository Process" w:date="2021-07-31T16:30:00Z">
        <w:r>
          <w:tab/>
          <w:t>(c)</w:t>
        </w:r>
        <w:r>
          <w:tab/>
          <w:t>the recipient must be readily able to scroll through the whole of the credit contract, mortgage or guarantee or notice; and</w:t>
        </w:r>
      </w:ins>
    </w:p>
    <w:p>
      <w:pPr>
        <w:pStyle w:val="Indenta"/>
        <w:rPr>
          <w:ins w:id="347" w:author="Master Repository Process" w:date="2021-07-31T16:30:00Z"/>
        </w:rPr>
      </w:pPr>
      <w:ins w:id="348" w:author="Master Repository Process" w:date="2021-07-31T16:30:00Z">
        <w:r>
          <w:tab/>
          <w:t>(d)</w:t>
        </w:r>
        <w:r>
          <w:tab/>
          <w:t>the full address (not being a post office box) and telephone number at which the credit provider may be contacted must be included in the credit contract, mortgage or guarantee or notice.</w:t>
        </w:r>
      </w:ins>
    </w:p>
    <w:p>
      <w:pPr>
        <w:pStyle w:val="Footnotesection"/>
        <w:rPr>
          <w:ins w:id="349" w:author="Master Repository Process" w:date="2021-07-31T16:30:00Z"/>
        </w:rPr>
      </w:pPr>
      <w:ins w:id="350" w:author="Master Repository Process" w:date="2021-07-31T16:30:00Z">
        <w:r>
          <w:tab/>
          <w:t>[Regulation 39 amended in Gazette 29 Sep 2006 p. 4251</w:t>
        </w:r>
        <w:r>
          <w:noBreakHyphen/>
          <w:t>2.]</w:t>
        </w:r>
      </w:ins>
    </w:p>
    <w:p>
      <w:pPr>
        <w:pStyle w:val="Heading5"/>
        <w:rPr>
          <w:ins w:id="351" w:author="Master Repository Process" w:date="2021-07-31T16:30:00Z"/>
        </w:rPr>
      </w:pPr>
      <w:bookmarkStart w:id="352" w:name="_Toc148770374"/>
      <w:bookmarkStart w:id="353" w:name="_Toc137886302"/>
      <w:ins w:id="354" w:author="Master Repository Process" w:date="2021-07-31T16:30:00Z">
        <w:r>
          <w:t>39A.</w:t>
        </w:r>
        <w:r>
          <w:tab/>
          <w:t>Exemptions in relation to electronic communications</w:t>
        </w:r>
        <w:bookmarkEnd w:id="352"/>
      </w:ins>
    </w:p>
    <w:p>
      <w:pPr>
        <w:pStyle w:val="Subsection"/>
        <w:rPr>
          <w:ins w:id="355" w:author="Master Repository Process" w:date="2021-07-31T16:30:00Z"/>
        </w:rPr>
      </w:pPr>
      <w:ins w:id="356" w:author="Master Repository Process" w:date="2021-07-31T16:30:00Z">
        <w:r>
          <w:tab/>
        </w:r>
        <w:r>
          <w:tab/>
          <w:t xml:space="preserve">For the purposes of section 164A(3) of the Code, the following transactions, documents or information, or classes of transactions, documents or information, must not be made, given or provided by electronic communication — </w:t>
        </w:r>
      </w:ins>
    </w:p>
    <w:p>
      <w:pPr>
        <w:pStyle w:val="Indenta"/>
        <w:rPr>
          <w:ins w:id="357" w:author="Master Repository Process" w:date="2021-07-31T16:30:00Z"/>
        </w:rPr>
      </w:pPr>
      <w:ins w:id="358" w:author="Master Repository Process" w:date="2021-07-31T16:30:00Z">
        <w:r>
          <w:tab/>
          <w:t>(a)</w:t>
        </w:r>
        <w:r>
          <w:tab/>
          <w:t>a guarantee to which the Code applies under section 9 of the Code;</w:t>
        </w:r>
      </w:ins>
    </w:p>
    <w:p>
      <w:pPr>
        <w:pStyle w:val="Indenta"/>
        <w:rPr>
          <w:ins w:id="359" w:author="Master Repository Process" w:date="2021-07-31T16:30:00Z"/>
        </w:rPr>
      </w:pPr>
      <w:ins w:id="360" w:author="Master Repository Process" w:date="2021-07-31T16:30:00Z">
        <w:r>
          <w:tab/>
          <w:t>(b)</w:t>
        </w:r>
        <w:r>
          <w:tab/>
          <w:t>a copy of a guarantee given under section 52(1)(a) of the Code;</w:t>
        </w:r>
      </w:ins>
    </w:p>
    <w:p>
      <w:pPr>
        <w:pStyle w:val="Indenta"/>
        <w:rPr>
          <w:ins w:id="361" w:author="Master Repository Process" w:date="2021-07-31T16:30:00Z"/>
        </w:rPr>
      </w:pPr>
      <w:ins w:id="362" w:author="Master Repository Process" w:date="2021-07-31T16:30:00Z">
        <w:r>
          <w:tab/>
          <w:t>(c)</w:t>
        </w:r>
        <w:r>
          <w:tab/>
          <w:t>a copy of a credit contract given under section 52(1)(b) of the Code;</w:t>
        </w:r>
      </w:ins>
    </w:p>
    <w:p>
      <w:pPr>
        <w:pStyle w:val="Indenta"/>
        <w:rPr>
          <w:ins w:id="363" w:author="Master Repository Process" w:date="2021-07-31T16:30:00Z"/>
        </w:rPr>
      </w:pPr>
      <w:ins w:id="364" w:author="Master Repository Process" w:date="2021-07-31T16:30:00Z">
        <w:r>
          <w:tab/>
          <w:t>(d)</w:t>
        </w:r>
        <w:r>
          <w:tab/>
          <w:t>a copy of a contract document given under section 54(2)(a) of the Code;</w:t>
        </w:r>
      </w:ins>
    </w:p>
    <w:p>
      <w:pPr>
        <w:pStyle w:val="Indenta"/>
        <w:rPr>
          <w:ins w:id="365" w:author="Master Repository Process" w:date="2021-07-31T16:30:00Z"/>
        </w:rPr>
      </w:pPr>
      <w:ins w:id="366" w:author="Master Repository Process" w:date="2021-07-31T16:30:00Z">
        <w:r>
          <w:tab/>
          <w:t>(e)</w:t>
        </w:r>
        <w:r>
          <w:tab/>
          <w:t>a notice setting out particulars of the change in the terms of the credit contract under section 56(1)(a) of the Code;</w:t>
        </w:r>
      </w:ins>
    </w:p>
    <w:p>
      <w:pPr>
        <w:pStyle w:val="Indenta"/>
        <w:rPr>
          <w:ins w:id="367" w:author="Master Repository Process" w:date="2021-07-31T16:30:00Z"/>
        </w:rPr>
      </w:pPr>
      <w:ins w:id="368" w:author="Master Repository Process" w:date="2021-07-31T16:30:00Z">
        <w:r>
          <w:tab/>
          <w:t>(f)</w:t>
        </w:r>
        <w:r>
          <w:tab/>
          <w:t>a default notice under section 80(1) of the Code;</w:t>
        </w:r>
      </w:ins>
    </w:p>
    <w:p>
      <w:pPr>
        <w:pStyle w:val="Indenta"/>
        <w:rPr>
          <w:ins w:id="369" w:author="Master Repository Process" w:date="2021-07-31T16:30:00Z"/>
        </w:rPr>
      </w:pPr>
      <w:ins w:id="370" w:author="Master Repository Process" w:date="2021-07-31T16:30:00Z">
        <w:r>
          <w:tab/>
          <w:t>(g)</w:t>
        </w:r>
        <w:r>
          <w:tab/>
          <w:t>a default notice under section 80(2) of the Code;</w:t>
        </w:r>
      </w:ins>
    </w:p>
    <w:p>
      <w:pPr>
        <w:pStyle w:val="Indenta"/>
        <w:rPr>
          <w:ins w:id="371" w:author="Master Repository Process" w:date="2021-07-31T16:30:00Z"/>
        </w:rPr>
      </w:pPr>
      <w:ins w:id="372" w:author="Master Repository Process" w:date="2021-07-31T16:30:00Z">
        <w:r>
          <w:tab/>
          <w:t>(h)</w:t>
        </w:r>
        <w:r>
          <w:tab/>
          <w:t>information concerning the provisions of section 91 of the Code provided to the occupier of premises under section 91(1)(b) of the Code;</w:t>
        </w:r>
      </w:ins>
    </w:p>
    <w:p>
      <w:pPr>
        <w:pStyle w:val="Indenta"/>
        <w:rPr>
          <w:ins w:id="373" w:author="Master Repository Process" w:date="2021-07-31T16:30:00Z"/>
        </w:rPr>
      </w:pPr>
      <w:ins w:id="374" w:author="Master Repository Process" w:date="2021-07-31T16:30:00Z">
        <w:r>
          <w:tab/>
          <w:t>(i)</w:t>
        </w:r>
        <w:r>
          <w:tab/>
          <w:t>a request for entry to premises under section 24(a) of these regulations;</w:t>
        </w:r>
      </w:ins>
    </w:p>
    <w:p>
      <w:pPr>
        <w:pStyle w:val="Indenta"/>
        <w:rPr>
          <w:ins w:id="375" w:author="Master Repository Process" w:date="2021-07-31T16:30:00Z"/>
        </w:rPr>
      </w:pPr>
      <w:ins w:id="376" w:author="Master Repository Process" w:date="2021-07-31T16:30:00Z">
        <w:r>
          <w:tab/>
          <w:t>(j)</w:t>
        </w:r>
        <w:r>
          <w:tab/>
          <w:t>a consent to enter premises under section 24(c) of these regulations;</w:t>
        </w:r>
      </w:ins>
    </w:p>
    <w:p>
      <w:pPr>
        <w:pStyle w:val="Indenta"/>
        <w:rPr>
          <w:ins w:id="377" w:author="Master Repository Process" w:date="2021-07-31T16:30:00Z"/>
        </w:rPr>
      </w:pPr>
      <w:ins w:id="378" w:author="Master Repository Process" w:date="2021-07-31T16:30:00Z">
        <w:r>
          <w:tab/>
          <w:t>(k)</w:t>
        </w:r>
        <w:r>
          <w:tab/>
          <w:t>a notice under section 94(1) of the Code;</w:t>
        </w:r>
      </w:ins>
    </w:p>
    <w:p>
      <w:pPr>
        <w:pStyle w:val="Indenta"/>
        <w:rPr>
          <w:ins w:id="379" w:author="Master Repository Process" w:date="2021-07-31T16:30:00Z"/>
        </w:rPr>
      </w:pPr>
      <w:ins w:id="380" w:author="Master Repository Process" w:date="2021-07-31T16:30:00Z">
        <w:r>
          <w:tab/>
          <w:t>(l)</w:t>
        </w:r>
        <w:r>
          <w:tab/>
          <w:t>a demand made on the supplier under section 120(5)(a) of the Code;</w:t>
        </w:r>
      </w:ins>
    </w:p>
    <w:p>
      <w:pPr>
        <w:pStyle w:val="Indenta"/>
        <w:rPr>
          <w:ins w:id="381" w:author="Master Repository Process" w:date="2021-07-31T16:30:00Z"/>
        </w:rPr>
      </w:pPr>
      <w:ins w:id="382" w:author="Master Repository Process" w:date="2021-07-31T16:30:00Z">
        <w:r>
          <w:tab/>
          <w:t>(m)</w:t>
        </w:r>
        <w:r>
          <w:tab/>
          <w:t>a demand made on the supplier under section 120(6)(a) of the Code;</w:t>
        </w:r>
      </w:ins>
    </w:p>
    <w:p>
      <w:pPr>
        <w:pStyle w:val="Indenta"/>
        <w:rPr>
          <w:ins w:id="383" w:author="Master Repository Process" w:date="2021-07-31T16:30:00Z"/>
        </w:rPr>
      </w:pPr>
      <w:ins w:id="384" w:author="Master Repository Process" w:date="2021-07-31T16:30:00Z">
        <w:r>
          <w:tab/>
          <w:t>(n)</w:t>
        </w:r>
        <w:r>
          <w:tab/>
          <w:t>a notice of intention to repossess under section 156(1) of the Code;</w:t>
        </w:r>
      </w:ins>
    </w:p>
    <w:p>
      <w:pPr>
        <w:pStyle w:val="Indenta"/>
        <w:rPr>
          <w:ins w:id="385" w:author="Master Repository Process" w:date="2021-07-31T16:30:00Z"/>
        </w:rPr>
      </w:pPr>
      <w:ins w:id="386" w:author="Master Repository Process" w:date="2021-07-31T16:30:00Z">
        <w:r>
          <w:tab/>
          <w:t>(o)</w:t>
        </w:r>
        <w:r>
          <w:tab/>
          <w:t>a transaction on which duty is only charged under the laws of this jurisdiction if the transaction is effected or evidenced by an instrument or document in hard copy form;</w:t>
        </w:r>
      </w:ins>
    </w:p>
    <w:p>
      <w:pPr>
        <w:pStyle w:val="Indenta"/>
        <w:rPr>
          <w:ins w:id="387" w:author="Master Repository Process" w:date="2021-07-31T16:30:00Z"/>
        </w:rPr>
      </w:pPr>
      <w:ins w:id="388" w:author="Master Repository Process" w:date="2021-07-31T16:30:00Z">
        <w:r>
          <w:tab/>
          <w:t>(p)</w:t>
        </w:r>
        <w:r>
          <w:tab/>
          <w:t>an instrument on which duty is only charged under the laws of this jurisdiction if the instrument is in hard copy form.</w:t>
        </w:r>
      </w:ins>
    </w:p>
    <w:p>
      <w:pPr>
        <w:pStyle w:val="Footnotesection"/>
        <w:rPr>
          <w:ins w:id="389" w:author="Master Repository Process" w:date="2021-07-31T16:30:00Z"/>
        </w:rPr>
      </w:pPr>
      <w:ins w:id="390" w:author="Master Repository Process" w:date="2021-07-31T16:30:00Z">
        <w:r>
          <w:tab/>
          <w:t>[Regulation 39A inserted in Gazette 29 Sep 2006 p. 4252</w:t>
        </w:r>
        <w:r>
          <w:noBreakHyphen/>
          <w:t>3.]</w:t>
        </w:r>
      </w:ins>
    </w:p>
    <w:p>
      <w:pPr>
        <w:pStyle w:val="Heading5"/>
      </w:pPr>
      <w:bookmarkStart w:id="391" w:name="_Toc148770375"/>
      <w:bookmarkStart w:id="392" w:name="_Toc147736642"/>
      <w:r>
        <w:rPr>
          <w:rStyle w:val="CharSectno"/>
        </w:rPr>
        <w:t>40</w:t>
      </w:r>
      <w:r>
        <w:t>.</w:t>
      </w:r>
      <w:r>
        <w:tab/>
        <w:t>Address for notices</w:t>
      </w:r>
      <w:bookmarkEnd w:id="353"/>
      <w:bookmarkEnd w:id="391"/>
      <w:bookmarkEnd w:id="392"/>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393" w:name="_Toc96408966"/>
      <w:bookmarkStart w:id="394" w:name="_Toc137886165"/>
      <w:bookmarkStart w:id="395" w:name="_Toc137886303"/>
      <w:bookmarkStart w:id="396" w:name="_Toc147719101"/>
      <w:bookmarkStart w:id="397" w:name="_Toc147722176"/>
      <w:bookmarkStart w:id="398" w:name="_Toc147736643"/>
      <w:bookmarkStart w:id="399" w:name="_Toc148258107"/>
      <w:bookmarkStart w:id="400" w:name="_Toc148770376"/>
      <w:r>
        <w:rPr>
          <w:rStyle w:val="CharPartNo"/>
        </w:rPr>
        <w:t>Part 11</w:t>
      </w:r>
      <w:r>
        <w:t> — </w:t>
      </w:r>
      <w:r>
        <w:rPr>
          <w:rStyle w:val="CharPartText"/>
        </w:rPr>
        <w:t>Savings and transitional provisions</w:t>
      </w:r>
      <w:bookmarkEnd w:id="393"/>
      <w:bookmarkEnd w:id="394"/>
      <w:bookmarkEnd w:id="395"/>
      <w:bookmarkEnd w:id="396"/>
      <w:bookmarkEnd w:id="397"/>
      <w:bookmarkEnd w:id="398"/>
      <w:bookmarkEnd w:id="399"/>
      <w:bookmarkEnd w:id="400"/>
    </w:p>
    <w:p>
      <w:pPr>
        <w:pStyle w:val="NotesPerm"/>
      </w:pPr>
      <w:r>
        <w:t xml:space="preserve">Note — </w:t>
      </w:r>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401" w:name="_Toc96408967"/>
      <w:bookmarkStart w:id="402" w:name="_Toc137886166"/>
      <w:bookmarkStart w:id="403" w:name="_Toc137886304"/>
      <w:bookmarkStart w:id="404" w:name="_Toc147719102"/>
      <w:bookmarkStart w:id="405" w:name="_Toc147722177"/>
      <w:bookmarkStart w:id="406" w:name="_Toc147736644"/>
      <w:bookmarkStart w:id="407" w:name="_Toc148258108"/>
      <w:bookmarkStart w:id="408" w:name="_Toc148770377"/>
      <w:r>
        <w:rPr>
          <w:rStyle w:val="CharDivNo"/>
        </w:rPr>
        <w:t>Division 1</w:t>
      </w:r>
      <w:r>
        <w:t> — </w:t>
      </w:r>
      <w:r>
        <w:rPr>
          <w:rStyle w:val="CharDivText"/>
        </w:rPr>
        <w:t>General</w:t>
      </w:r>
      <w:bookmarkEnd w:id="401"/>
      <w:bookmarkEnd w:id="402"/>
      <w:bookmarkEnd w:id="403"/>
      <w:bookmarkEnd w:id="404"/>
      <w:bookmarkEnd w:id="405"/>
      <w:bookmarkEnd w:id="406"/>
      <w:bookmarkEnd w:id="407"/>
      <w:bookmarkEnd w:id="408"/>
    </w:p>
    <w:p>
      <w:pPr>
        <w:pStyle w:val="Heading5"/>
      </w:pPr>
      <w:bookmarkStart w:id="409" w:name="_Toc137886305"/>
      <w:bookmarkStart w:id="410" w:name="_Toc148770378"/>
      <w:bookmarkStart w:id="411" w:name="_Toc147736645"/>
      <w:r>
        <w:rPr>
          <w:rStyle w:val="CharSectno"/>
        </w:rPr>
        <w:t>40A</w:t>
      </w:r>
      <w:r>
        <w:t>.</w:t>
      </w:r>
      <w:r>
        <w:tab/>
        <w:t>Transitional provisions</w:t>
      </w:r>
      <w:bookmarkEnd w:id="409"/>
      <w:bookmarkEnd w:id="410"/>
      <w:bookmarkEnd w:id="411"/>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412" w:name="_Toc137886306"/>
      <w:bookmarkStart w:id="413" w:name="_Toc148770379"/>
      <w:bookmarkStart w:id="414" w:name="_Toc147736646"/>
      <w:r>
        <w:rPr>
          <w:rStyle w:val="CharSectno"/>
        </w:rPr>
        <w:t>41</w:t>
      </w:r>
      <w:r>
        <w:t>.</w:t>
      </w:r>
      <w:r>
        <w:tab/>
        <w:t>Definitions</w:t>
      </w:r>
      <w:bookmarkEnd w:id="412"/>
      <w:bookmarkEnd w:id="413"/>
      <w:bookmarkEnd w:id="414"/>
    </w:p>
    <w:p>
      <w:pPr>
        <w:pStyle w:val="Subsection"/>
      </w:pPr>
      <w:r>
        <w:tab/>
      </w:r>
      <w:r>
        <w:tab/>
        <w:t xml:space="preserve">In this part — </w:t>
      </w:r>
    </w:p>
    <w:p>
      <w:pPr>
        <w:pStyle w:val="Defstart"/>
      </w:pPr>
      <w:r>
        <w:rPr>
          <w:b/>
        </w:rPr>
        <w:tab/>
        <w:t>“pre-Code continuing credit contract”</w:t>
      </w:r>
      <w:r>
        <w:t xml:space="preserve"> means a pre-Code credit contract that is a continuing credit contract.</w:t>
      </w:r>
    </w:p>
    <w:p>
      <w:pPr>
        <w:pStyle w:val="Defstart"/>
      </w:pPr>
      <w:r>
        <w:rPr>
          <w:b/>
        </w:rPr>
        <w:tab/>
        <w:t>“pre-Code credit contract”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t>“the commencement of the Code”</w:t>
      </w:r>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415" w:name="_Toc96408970"/>
      <w:bookmarkStart w:id="416" w:name="_Toc137886169"/>
      <w:bookmarkStart w:id="417" w:name="_Toc137886307"/>
      <w:bookmarkStart w:id="418" w:name="_Toc147719105"/>
      <w:bookmarkStart w:id="419" w:name="_Toc147722180"/>
      <w:bookmarkStart w:id="420" w:name="_Toc147736647"/>
      <w:bookmarkStart w:id="421" w:name="_Toc148258111"/>
      <w:bookmarkStart w:id="422" w:name="_Toc148770380"/>
      <w:r>
        <w:rPr>
          <w:rStyle w:val="CharDivNo"/>
        </w:rPr>
        <w:t>Division 2</w:t>
      </w:r>
      <w:r>
        <w:t> — </w:t>
      </w:r>
      <w:r>
        <w:rPr>
          <w:rStyle w:val="CharDivText"/>
        </w:rPr>
        <w:t>Savings and transitional provisions generally</w:t>
      </w:r>
      <w:bookmarkEnd w:id="415"/>
      <w:bookmarkEnd w:id="416"/>
      <w:bookmarkEnd w:id="417"/>
      <w:bookmarkEnd w:id="418"/>
      <w:bookmarkEnd w:id="419"/>
      <w:bookmarkEnd w:id="420"/>
      <w:bookmarkEnd w:id="421"/>
      <w:bookmarkEnd w:id="422"/>
    </w:p>
    <w:p>
      <w:pPr>
        <w:pStyle w:val="Heading5"/>
      </w:pPr>
      <w:bookmarkStart w:id="423" w:name="_Toc137886308"/>
      <w:bookmarkStart w:id="424" w:name="_Toc148770381"/>
      <w:bookmarkStart w:id="425" w:name="_Toc147736648"/>
      <w:r>
        <w:rPr>
          <w:rStyle w:val="CharSectno"/>
        </w:rPr>
        <w:t>42</w:t>
      </w:r>
      <w:r>
        <w:t>.</w:t>
      </w:r>
      <w:r>
        <w:tab/>
        <w:t>Application of Code—pre-Code contracts other than continuing credit contracts</w:t>
      </w:r>
      <w:bookmarkEnd w:id="423"/>
      <w:bookmarkEnd w:id="424"/>
      <w:bookmarkEnd w:id="425"/>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426" w:name="_Toc137886309"/>
      <w:bookmarkStart w:id="427" w:name="_Toc148770382"/>
      <w:bookmarkStart w:id="428" w:name="_Toc147736649"/>
      <w:r>
        <w:rPr>
          <w:rStyle w:val="CharSectno"/>
        </w:rPr>
        <w:t>43</w:t>
      </w:r>
      <w:r>
        <w:t>.</w:t>
      </w:r>
      <w:r>
        <w:tab/>
        <w:t>Application of Code—pre-Code continuing credit contracts</w:t>
      </w:r>
      <w:bookmarkEnd w:id="426"/>
      <w:bookmarkEnd w:id="427"/>
      <w:bookmarkEnd w:id="428"/>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429" w:name="_Toc137886310"/>
      <w:bookmarkStart w:id="430" w:name="_Toc148770383"/>
      <w:bookmarkStart w:id="431" w:name="_Toc147736650"/>
      <w:r>
        <w:rPr>
          <w:rStyle w:val="CharSectno"/>
        </w:rPr>
        <w:t>44</w:t>
      </w:r>
      <w:r>
        <w:t>.</w:t>
      </w:r>
      <w:r>
        <w:tab/>
        <w:t>Application of Code—mortgages and guarantees</w:t>
      </w:r>
      <w:bookmarkEnd w:id="429"/>
      <w:bookmarkEnd w:id="430"/>
      <w:bookmarkEnd w:id="431"/>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432" w:name="_Toc137886311"/>
      <w:bookmarkStart w:id="433" w:name="_Toc148770384"/>
      <w:bookmarkStart w:id="434" w:name="_Toc147736651"/>
      <w:r>
        <w:rPr>
          <w:rStyle w:val="CharSectno"/>
        </w:rPr>
        <w:t>45</w:t>
      </w:r>
      <w:r>
        <w:t>.</w:t>
      </w:r>
      <w:r>
        <w:tab/>
        <w:t>Application of Code—goods leases with option to purchase</w:t>
      </w:r>
      <w:bookmarkEnd w:id="432"/>
      <w:bookmarkEnd w:id="433"/>
      <w:bookmarkEnd w:id="434"/>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435" w:name="_Toc137886312"/>
      <w:bookmarkStart w:id="436" w:name="_Toc148770385"/>
      <w:bookmarkStart w:id="437" w:name="_Toc147736652"/>
      <w:r>
        <w:rPr>
          <w:rStyle w:val="CharSectno"/>
        </w:rPr>
        <w:t>46</w:t>
      </w:r>
      <w:r>
        <w:t>.</w:t>
      </w:r>
      <w:r>
        <w:tab/>
        <w:t>Application of Code—purpose for which credit is provided</w:t>
      </w:r>
      <w:bookmarkEnd w:id="435"/>
      <w:bookmarkEnd w:id="436"/>
      <w:bookmarkEnd w:id="437"/>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438" w:name="_Toc137886313"/>
      <w:bookmarkStart w:id="439" w:name="_Toc148770386"/>
      <w:bookmarkStart w:id="440" w:name="_Toc147736653"/>
      <w:r>
        <w:rPr>
          <w:rStyle w:val="CharSectno"/>
        </w:rPr>
        <w:t>47</w:t>
      </w:r>
      <w:r>
        <w:t>.</w:t>
      </w:r>
      <w:r>
        <w:tab/>
        <w:t>Presumptions relating to application of Code to pre-Code continuing credit contracts</w:t>
      </w:r>
      <w:bookmarkEnd w:id="438"/>
      <w:bookmarkEnd w:id="439"/>
      <w:bookmarkEnd w:id="440"/>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441" w:name="_Toc137886314"/>
      <w:bookmarkStart w:id="442" w:name="_Toc148770387"/>
      <w:bookmarkStart w:id="443" w:name="_Toc147736654"/>
      <w:r>
        <w:rPr>
          <w:rStyle w:val="CharSectno"/>
        </w:rPr>
        <w:t>48</w:t>
      </w:r>
      <w:r>
        <w:t>.</w:t>
      </w:r>
      <w:r>
        <w:tab/>
        <w:t>Disclosures to debtors under pre-Code continuing credit contracts</w:t>
      </w:r>
      <w:bookmarkEnd w:id="441"/>
      <w:bookmarkEnd w:id="442"/>
      <w:bookmarkEnd w:id="443"/>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444" w:name="_Toc137886315"/>
      <w:bookmarkStart w:id="445" w:name="_Toc148770388"/>
      <w:bookmarkStart w:id="446" w:name="_Toc147736655"/>
      <w:r>
        <w:rPr>
          <w:rStyle w:val="CharSectno"/>
        </w:rPr>
        <w:t>49</w:t>
      </w:r>
      <w:r>
        <w:t>.</w:t>
      </w:r>
      <w:r>
        <w:tab/>
        <w:t>Special transitional provision with respect to pre-determined credit charge</w:t>
      </w:r>
      <w:bookmarkEnd w:id="444"/>
      <w:bookmarkEnd w:id="445"/>
      <w:bookmarkEnd w:id="446"/>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447" w:name="_Toc137886316"/>
      <w:bookmarkStart w:id="448" w:name="_Toc148770389"/>
      <w:bookmarkStart w:id="449" w:name="_Toc147736656"/>
      <w:r>
        <w:rPr>
          <w:rStyle w:val="CharSectno"/>
        </w:rPr>
        <w:t>50</w:t>
      </w:r>
      <w:r>
        <w:t>.</w:t>
      </w:r>
      <w:r>
        <w:tab/>
        <w:t>Special transitional provision with respect to early payment of interest</w:t>
      </w:r>
      <w:bookmarkEnd w:id="447"/>
      <w:bookmarkEnd w:id="448"/>
      <w:bookmarkEnd w:id="449"/>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t>“securitised program”</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450" w:name="_Toc137886317"/>
      <w:bookmarkStart w:id="451" w:name="_Toc148770390"/>
      <w:bookmarkStart w:id="452" w:name="_Toc147736657"/>
      <w:r>
        <w:rPr>
          <w:rStyle w:val="CharSectno"/>
        </w:rPr>
        <w:t>51</w:t>
      </w:r>
      <w:r>
        <w:t>.</w:t>
      </w:r>
      <w:r>
        <w:tab/>
        <w:t>First statement of opening balance for pre-Code continuing credit contracts</w:t>
      </w:r>
      <w:bookmarkEnd w:id="450"/>
      <w:bookmarkEnd w:id="451"/>
      <w:bookmarkEnd w:id="452"/>
    </w:p>
    <w:p>
      <w:pPr>
        <w:pStyle w:val="Subsection"/>
      </w:pPr>
      <w:r>
        <w:tab/>
      </w:r>
      <w:r>
        <w:tab/>
        <w:t>Section 33 of the Code does not apply to the first statement of account given under the Code for a pre-Code continuing credit contract.</w:t>
      </w:r>
    </w:p>
    <w:p>
      <w:pPr>
        <w:pStyle w:val="Heading5"/>
      </w:pPr>
      <w:bookmarkStart w:id="453" w:name="_Toc137886318"/>
      <w:bookmarkStart w:id="454" w:name="_Toc148770391"/>
      <w:bookmarkStart w:id="455" w:name="_Toc147736658"/>
      <w:r>
        <w:rPr>
          <w:rStyle w:val="CharSectno"/>
        </w:rPr>
        <w:t>52</w:t>
      </w:r>
      <w:r>
        <w:t>.</w:t>
      </w:r>
      <w:r>
        <w:tab/>
        <w:t>Variation of existing pre-Code non-continuing credit contracts to increase credit</w:t>
      </w:r>
      <w:bookmarkEnd w:id="453"/>
      <w:bookmarkEnd w:id="454"/>
      <w:bookmarkEnd w:id="455"/>
    </w:p>
    <w:p>
      <w:pPr>
        <w:pStyle w:val="Subsection"/>
      </w:pPr>
      <w:r>
        <w:tab/>
      </w:r>
      <w:r>
        <w:tab/>
        <w:t>Section 65(3) of the Code applies to a pre-Code credit contract that is not a continuing credit contract, despite section 42 of this regulation.</w:t>
      </w:r>
    </w:p>
    <w:p>
      <w:pPr>
        <w:pStyle w:val="Heading5"/>
      </w:pPr>
      <w:bookmarkStart w:id="456" w:name="_Toc137886319"/>
      <w:bookmarkStart w:id="457" w:name="_Toc148770392"/>
      <w:bookmarkStart w:id="458" w:name="_Toc147736659"/>
      <w:r>
        <w:rPr>
          <w:rStyle w:val="CharSectno"/>
        </w:rPr>
        <w:t>53</w:t>
      </w:r>
      <w:r>
        <w:t>.</w:t>
      </w:r>
      <w:r>
        <w:tab/>
        <w:t>Variation of existing contracts imposing monetary liabilities prohibited by Code</w:t>
      </w:r>
      <w:bookmarkEnd w:id="456"/>
      <w:bookmarkEnd w:id="457"/>
      <w:bookmarkEnd w:id="458"/>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459" w:name="_Toc137886320"/>
      <w:bookmarkStart w:id="460" w:name="_Toc148770393"/>
      <w:bookmarkStart w:id="461" w:name="_Toc147736660"/>
      <w:r>
        <w:rPr>
          <w:rStyle w:val="CharSectno"/>
        </w:rPr>
        <w:t>54</w:t>
      </w:r>
      <w:r>
        <w:t>.</w:t>
      </w:r>
      <w:r>
        <w:tab/>
        <w:t>Application of Code—hardship and unjust transactions with respect to pre</w:t>
      </w:r>
      <w:r>
        <w:noBreakHyphen/>
        <w:t>Code continuing credit contracts</w:t>
      </w:r>
      <w:bookmarkEnd w:id="459"/>
      <w:bookmarkEnd w:id="460"/>
      <w:bookmarkEnd w:id="461"/>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462" w:name="_Toc137886321"/>
      <w:bookmarkStart w:id="463" w:name="_Toc148770394"/>
      <w:bookmarkStart w:id="464" w:name="_Toc147736661"/>
      <w:r>
        <w:rPr>
          <w:rStyle w:val="CharSectno"/>
        </w:rPr>
        <w:t>55</w:t>
      </w:r>
      <w:r>
        <w:t>.</w:t>
      </w:r>
      <w:r>
        <w:tab/>
        <w:t>Previous default notice</w:t>
      </w:r>
      <w:bookmarkEnd w:id="462"/>
      <w:bookmarkEnd w:id="463"/>
      <w:bookmarkEnd w:id="464"/>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465" w:name="_Toc137886322"/>
      <w:bookmarkStart w:id="466" w:name="_Toc148770395"/>
      <w:bookmarkStart w:id="467" w:name="_Toc147736662"/>
      <w:r>
        <w:rPr>
          <w:rStyle w:val="CharSectno"/>
        </w:rPr>
        <w:t>56</w:t>
      </w:r>
      <w:r>
        <w:t>.</w:t>
      </w:r>
      <w:r>
        <w:tab/>
        <w:t>Application of Code—related sale contracts</w:t>
      </w:r>
      <w:bookmarkEnd w:id="465"/>
      <w:bookmarkEnd w:id="466"/>
      <w:bookmarkEnd w:id="467"/>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468" w:name="_Toc137886323"/>
      <w:bookmarkStart w:id="469" w:name="_Toc148770396"/>
      <w:bookmarkStart w:id="470" w:name="_Toc147736663"/>
      <w:r>
        <w:rPr>
          <w:rStyle w:val="CharSectno"/>
        </w:rPr>
        <w:t>57</w:t>
      </w:r>
      <w:r>
        <w:t>.</w:t>
      </w:r>
      <w:r>
        <w:tab/>
        <w:t>Application of Code—consumer leases</w:t>
      </w:r>
      <w:bookmarkEnd w:id="468"/>
      <w:bookmarkEnd w:id="469"/>
      <w:bookmarkEnd w:id="470"/>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471" w:name="_Toc96408987"/>
      <w:bookmarkStart w:id="472" w:name="_Toc137886186"/>
      <w:bookmarkStart w:id="473" w:name="_Toc137886324"/>
      <w:bookmarkStart w:id="474" w:name="_Toc147719122"/>
      <w:bookmarkStart w:id="475" w:name="_Toc147722197"/>
      <w:bookmarkStart w:id="476" w:name="_Toc147736664"/>
      <w:bookmarkStart w:id="477" w:name="_Toc148258128"/>
      <w:bookmarkStart w:id="478" w:name="_Toc148770397"/>
      <w:r>
        <w:rPr>
          <w:rStyle w:val="CharDivNo"/>
        </w:rPr>
        <w:t>Division 3</w:t>
      </w:r>
      <w:r>
        <w:t> — </w:t>
      </w:r>
      <w:r>
        <w:rPr>
          <w:rStyle w:val="CharDivText"/>
        </w:rPr>
        <w:t>Special transitional provisions</w:t>
      </w:r>
      <w:bookmarkEnd w:id="471"/>
      <w:bookmarkEnd w:id="472"/>
      <w:bookmarkEnd w:id="473"/>
      <w:bookmarkEnd w:id="474"/>
      <w:bookmarkEnd w:id="475"/>
      <w:bookmarkEnd w:id="476"/>
      <w:bookmarkEnd w:id="477"/>
      <w:bookmarkEnd w:id="478"/>
    </w:p>
    <w:p>
      <w:pPr>
        <w:pStyle w:val="Heading5"/>
      </w:pPr>
      <w:bookmarkStart w:id="479" w:name="_Toc137886325"/>
      <w:bookmarkStart w:id="480" w:name="_Toc148770398"/>
      <w:bookmarkStart w:id="481" w:name="_Toc147736665"/>
      <w:r>
        <w:rPr>
          <w:rStyle w:val="CharSectno"/>
        </w:rPr>
        <w:t>58</w:t>
      </w:r>
      <w:r>
        <w:t>.</w:t>
      </w:r>
      <w:r>
        <w:tab/>
        <w:t>Credit fees and charges</w:t>
      </w:r>
      <w:bookmarkEnd w:id="479"/>
      <w:bookmarkEnd w:id="480"/>
      <w:bookmarkEnd w:id="481"/>
    </w:p>
    <w:p>
      <w:pPr>
        <w:pStyle w:val="Subsection"/>
      </w:pPr>
      <w:r>
        <w:tab/>
        <w:t>(1)</w:t>
      </w:r>
      <w:r>
        <w:tab/>
        <w:t xml:space="preserve">Paragraph (b) of the definition of </w:t>
      </w:r>
      <w:r>
        <w:rPr>
          <w:b/>
        </w:rPr>
        <w:t>“credit fees and charges”</w:t>
      </w:r>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482" w:name="_Toc137886326"/>
      <w:bookmarkStart w:id="483" w:name="_Toc148770399"/>
      <w:bookmarkStart w:id="484" w:name="_Toc147736666"/>
      <w:r>
        <w:rPr>
          <w:rStyle w:val="CharSectno"/>
        </w:rPr>
        <w:t>59</w:t>
      </w:r>
      <w:r>
        <w:t>.</w:t>
      </w:r>
      <w:r>
        <w:tab/>
        <w:t>Matters to be included in contract document</w:t>
      </w:r>
      <w:bookmarkEnd w:id="482"/>
      <w:bookmarkEnd w:id="483"/>
      <w:bookmarkEnd w:id="484"/>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485" w:name="_Toc137886327"/>
      <w:bookmarkStart w:id="486" w:name="_Toc148770400"/>
      <w:bookmarkStart w:id="487" w:name="_Toc147736667"/>
      <w:r>
        <w:rPr>
          <w:rStyle w:val="CharSectno"/>
        </w:rPr>
        <w:t>60</w:t>
      </w:r>
      <w:r>
        <w:t>.</w:t>
      </w:r>
      <w:r>
        <w:tab/>
        <w:t>Copies of contracts and mortgages for debtors</w:t>
      </w:r>
      <w:bookmarkEnd w:id="485"/>
      <w:bookmarkEnd w:id="486"/>
      <w:bookmarkEnd w:id="487"/>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488" w:name="_Toc137886328"/>
      <w:bookmarkStart w:id="489" w:name="_Toc148770401"/>
      <w:bookmarkStart w:id="490" w:name="_Toc147736668"/>
      <w:r>
        <w:rPr>
          <w:rStyle w:val="CharSectno"/>
        </w:rPr>
        <w:t>61</w:t>
      </w:r>
      <w:r>
        <w:t>.</w:t>
      </w:r>
      <w:r>
        <w:tab/>
        <w:t>End of day for purposes of credit contracts</w:t>
      </w:r>
      <w:bookmarkEnd w:id="488"/>
      <w:bookmarkEnd w:id="489"/>
      <w:bookmarkEnd w:id="490"/>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491" w:name="_Toc137886329"/>
      <w:bookmarkStart w:id="492" w:name="_Toc148770402"/>
      <w:bookmarkStart w:id="493" w:name="_Toc147736669"/>
      <w:r>
        <w:rPr>
          <w:rStyle w:val="CharSectno"/>
        </w:rPr>
        <w:t>62</w:t>
      </w:r>
      <w:r>
        <w:t>.</w:t>
      </w:r>
      <w:r>
        <w:tab/>
        <w:t>Early debit of interest charges</w:t>
      </w:r>
      <w:bookmarkEnd w:id="491"/>
      <w:bookmarkEnd w:id="492"/>
      <w:bookmarkEnd w:id="493"/>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494" w:name="_Toc137886330"/>
      <w:bookmarkStart w:id="495" w:name="_Toc148770403"/>
      <w:bookmarkStart w:id="496" w:name="_Toc147736670"/>
      <w:r>
        <w:rPr>
          <w:rStyle w:val="CharSectno"/>
        </w:rPr>
        <w:t>63</w:t>
      </w:r>
      <w:r>
        <w:t>.</w:t>
      </w:r>
      <w:r>
        <w:tab/>
        <w:t>Dating and adjustment of debits and credits in accounts</w:t>
      </w:r>
      <w:bookmarkEnd w:id="494"/>
      <w:bookmarkEnd w:id="495"/>
      <w:bookmarkEnd w:id="496"/>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497" w:name="_Toc137886331"/>
      <w:bookmarkStart w:id="498" w:name="_Toc148770404"/>
      <w:bookmarkStart w:id="499" w:name="_Toc147736671"/>
      <w:r>
        <w:rPr>
          <w:rStyle w:val="CharSectno"/>
        </w:rPr>
        <w:t>64</w:t>
      </w:r>
      <w:r>
        <w:t>.</w:t>
      </w:r>
      <w:r>
        <w:tab/>
        <w:t>Statements of account for multiple facility contracts</w:t>
      </w:r>
      <w:bookmarkEnd w:id="497"/>
      <w:bookmarkEnd w:id="498"/>
      <w:bookmarkEnd w:id="499"/>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500" w:name="_Toc137886332"/>
      <w:bookmarkStart w:id="501" w:name="_Toc148770405"/>
      <w:bookmarkStart w:id="502" w:name="_Toc147736672"/>
      <w:r>
        <w:rPr>
          <w:rStyle w:val="CharSectno"/>
        </w:rPr>
        <w:t>65</w:t>
      </w:r>
      <w:r>
        <w:t>.</w:t>
      </w:r>
      <w:r>
        <w:tab/>
        <w:t>Requirements for statements of amounts owing</w:t>
      </w:r>
      <w:bookmarkEnd w:id="500"/>
      <w:bookmarkEnd w:id="501"/>
      <w:bookmarkEnd w:id="502"/>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503" w:name="_Toc137886333"/>
      <w:bookmarkStart w:id="504" w:name="_Toc148770406"/>
      <w:bookmarkStart w:id="505" w:name="_Toc147736673"/>
      <w:r>
        <w:rPr>
          <w:rStyle w:val="CharSectno"/>
        </w:rPr>
        <w:t>66</w:t>
      </w:r>
      <w:r>
        <w:t>.</w:t>
      </w:r>
      <w:r>
        <w:tab/>
        <w:t>Particulars of interest rate changes</w:t>
      </w:r>
      <w:bookmarkEnd w:id="503"/>
      <w:bookmarkEnd w:id="504"/>
      <w:bookmarkEnd w:id="505"/>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506" w:name="_Toc137886334"/>
      <w:bookmarkStart w:id="507" w:name="_Toc148770407"/>
      <w:bookmarkStart w:id="508" w:name="_Toc147736674"/>
      <w:r>
        <w:rPr>
          <w:rStyle w:val="CharSectno"/>
        </w:rPr>
        <w:t>67</w:t>
      </w:r>
      <w:r>
        <w:rPr>
          <w:b w:val="0"/>
        </w:rPr>
        <w:t>.</w:t>
      </w:r>
      <w:r>
        <w:rPr>
          <w:b w:val="0"/>
        </w:rPr>
        <w:tab/>
      </w:r>
      <w:r>
        <w:t>Particulars of repayment changes</w:t>
      </w:r>
      <w:bookmarkEnd w:id="506"/>
      <w:bookmarkEnd w:id="507"/>
      <w:bookmarkEnd w:id="508"/>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509" w:name="_Toc137886335"/>
      <w:bookmarkStart w:id="510" w:name="_Toc148770408"/>
      <w:bookmarkStart w:id="511" w:name="_Toc147736675"/>
      <w:r>
        <w:rPr>
          <w:rStyle w:val="CharSectno"/>
        </w:rPr>
        <w:t>68</w:t>
      </w:r>
      <w:r>
        <w:t>.</w:t>
      </w:r>
      <w:r>
        <w:tab/>
        <w:t>Particulars of credit fees and charges changes</w:t>
      </w:r>
      <w:bookmarkEnd w:id="509"/>
      <w:bookmarkEnd w:id="510"/>
      <w:bookmarkEnd w:id="511"/>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512" w:name="_Toc137886336"/>
      <w:bookmarkStart w:id="513" w:name="_Toc148770409"/>
      <w:bookmarkStart w:id="514" w:name="_Toc147736676"/>
      <w:r>
        <w:rPr>
          <w:rStyle w:val="CharSectno"/>
        </w:rPr>
        <w:t>69</w:t>
      </w:r>
      <w:r>
        <w:t>.</w:t>
      </w:r>
      <w:r>
        <w:tab/>
        <w:t>Particulars of unilateral changes by credit provider</w:t>
      </w:r>
      <w:bookmarkEnd w:id="512"/>
      <w:bookmarkEnd w:id="513"/>
      <w:bookmarkEnd w:id="514"/>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515" w:name="_Toc137886337"/>
      <w:bookmarkStart w:id="516" w:name="_Toc148770410"/>
      <w:bookmarkStart w:id="517" w:name="_Toc147736677"/>
      <w:r>
        <w:rPr>
          <w:rStyle w:val="CharSectno"/>
        </w:rPr>
        <w:t>70</w:t>
      </w:r>
      <w:r>
        <w:t>.</w:t>
      </w:r>
      <w:r>
        <w:tab/>
        <w:t>Agreed changes to contracts, mortgages and guarantees</w:t>
      </w:r>
      <w:bookmarkEnd w:id="515"/>
      <w:bookmarkEnd w:id="516"/>
      <w:bookmarkEnd w:id="517"/>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518" w:name="_Toc137886338"/>
      <w:bookmarkStart w:id="519" w:name="_Toc148770411"/>
      <w:bookmarkStart w:id="520" w:name="_Toc147736678"/>
      <w:r>
        <w:rPr>
          <w:rStyle w:val="CharSectno"/>
        </w:rPr>
        <w:t>71</w:t>
      </w:r>
      <w:r>
        <w:t>.</w:t>
      </w:r>
      <w:r>
        <w:tab/>
        <w:t>Particulars of changes on grounds of hardship</w:t>
      </w:r>
      <w:bookmarkEnd w:id="518"/>
      <w:bookmarkEnd w:id="519"/>
      <w:bookmarkEnd w:id="520"/>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521" w:name="_Toc137886339"/>
      <w:bookmarkStart w:id="522" w:name="_Toc148770412"/>
      <w:bookmarkStart w:id="523" w:name="_Toc147736679"/>
      <w:r>
        <w:rPr>
          <w:rStyle w:val="CharSectno"/>
        </w:rPr>
        <w:t>72</w:t>
      </w:r>
      <w:r>
        <w:t>.</w:t>
      </w:r>
      <w:r>
        <w:tab/>
        <w:t>Key requirements</w:t>
      </w:r>
      <w:bookmarkEnd w:id="521"/>
      <w:bookmarkEnd w:id="522"/>
      <w:bookmarkEnd w:id="523"/>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524" w:name="_Toc137886340"/>
      <w:bookmarkStart w:id="525" w:name="_Toc148770413"/>
      <w:bookmarkStart w:id="526" w:name="_Toc147736680"/>
      <w:r>
        <w:rPr>
          <w:rStyle w:val="CharSectno"/>
        </w:rPr>
        <w:t>73</w:t>
      </w:r>
      <w:r>
        <w:t>.</w:t>
      </w:r>
      <w:r>
        <w:tab/>
        <w:t>Termination of insurance contracts</w:t>
      </w:r>
      <w:bookmarkEnd w:id="524"/>
      <w:bookmarkEnd w:id="525"/>
      <w:bookmarkEnd w:id="526"/>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527" w:name="_Toc137886341"/>
      <w:bookmarkStart w:id="528" w:name="_Toc148770414"/>
      <w:bookmarkStart w:id="529" w:name="_Toc147736681"/>
      <w:r>
        <w:rPr>
          <w:rStyle w:val="CharSectno"/>
        </w:rPr>
        <w:t>74</w:t>
      </w:r>
      <w:r>
        <w:t>.</w:t>
      </w:r>
      <w:r>
        <w:tab/>
        <w:t>Application of Code to related insurance contracts</w:t>
      </w:r>
      <w:bookmarkEnd w:id="527"/>
      <w:bookmarkEnd w:id="528"/>
      <w:bookmarkEnd w:id="529"/>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530" w:name="_Toc137886342"/>
      <w:bookmarkStart w:id="531" w:name="_Toc148770415"/>
      <w:bookmarkStart w:id="532" w:name="_Toc147736682"/>
      <w:r>
        <w:rPr>
          <w:rStyle w:val="CharSectno"/>
        </w:rPr>
        <w:t>75</w:t>
      </w:r>
      <w:r>
        <w:t>.</w:t>
      </w:r>
      <w:r>
        <w:tab/>
        <w:t>Contribution to civil penalties by participants in programs</w:t>
      </w:r>
      <w:bookmarkEnd w:id="530"/>
      <w:bookmarkEnd w:id="531"/>
      <w:bookmarkEnd w:id="532"/>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t>“amending Act”</w:t>
      </w:r>
      <w:r>
        <w:t xml:space="preserve"> means the </w:t>
      </w:r>
      <w:r>
        <w:rPr>
          <w:i/>
        </w:rPr>
        <w:t>Consumer Credit (Queensland) Amendment Act 1998</w:t>
      </w:r>
      <w:r>
        <w:t>.</w:t>
      </w:r>
    </w:p>
    <w:p>
      <w:pPr>
        <w:pStyle w:val="Heading5"/>
      </w:pPr>
      <w:bookmarkStart w:id="533" w:name="_Toc137886343"/>
      <w:bookmarkStart w:id="534" w:name="_Toc148770416"/>
      <w:bookmarkStart w:id="535" w:name="_Toc147736683"/>
      <w:r>
        <w:rPr>
          <w:rStyle w:val="CharSectno"/>
        </w:rPr>
        <w:t>76</w:t>
      </w:r>
      <w:r>
        <w:t>.</w:t>
      </w:r>
      <w:r>
        <w:tab/>
        <w:t>Recovery by nominated credit provider</w:t>
      </w:r>
      <w:bookmarkEnd w:id="533"/>
      <w:bookmarkEnd w:id="534"/>
      <w:bookmarkEnd w:id="535"/>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536" w:name="_Toc137886344"/>
      <w:bookmarkStart w:id="537" w:name="_Toc148770417"/>
      <w:bookmarkStart w:id="538" w:name="_Toc147736684"/>
      <w:r>
        <w:rPr>
          <w:rStyle w:val="CharSectno"/>
        </w:rPr>
        <w:t>77</w:t>
      </w:r>
      <w:r>
        <w:t>.</w:t>
      </w:r>
      <w:r>
        <w:tab/>
        <w:t>Effect of ss 75–76</w:t>
      </w:r>
      <w:bookmarkEnd w:id="536"/>
      <w:bookmarkEnd w:id="537"/>
      <w:bookmarkEnd w:id="538"/>
    </w:p>
    <w:p>
      <w:pPr>
        <w:pStyle w:val="Subsection"/>
      </w:pPr>
      <w:r>
        <w:tab/>
      </w:r>
      <w:r>
        <w:tab/>
        <w:t>Sections 75 and 76 do not derogate from any other rights and remedies that exist apart from those sections.</w:t>
      </w:r>
    </w:p>
    <w:p>
      <w:pPr>
        <w:pStyle w:val="Heading3"/>
      </w:pPr>
      <w:bookmarkStart w:id="539" w:name="_Toc96409008"/>
      <w:bookmarkStart w:id="540" w:name="_Toc137886207"/>
      <w:bookmarkStart w:id="541" w:name="_Toc137886345"/>
      <w:bookmarkStart w:id="542" w:name="_Toc147719143"/>
      <w:bookmarkStart w:id="543" w:name="_Toc147722218"/>
      <w:bookmarkStart w:id="544" w:name="_Toc147736685"/>
      <w:bookmarkStart w:id="545" w:name="_Toc148258149"/>
      <w:bookmarkStart w:id="546" w:name="_Toc148770418"/>
      <w:r>
        <w:rPr>
          <w:rStyle w:val="CharDivNo"/>
        </w:rPr>
        <w:t>Division 4</w:t>
      </w:r>
      <w:r>
        <w:t> — </w:t>
      </w:r>
      <w:r>
        <w:rPr>
          <w:rStyle w:val="CharDivText"/>
        </w:rPr>
        <w:t>Transitional provisions arising from amending Act</w:t>
      </w:r>
      <w:bookmarkEnd w:id="539"/>
      <w:bookmarkEnd w:id="540"/>
      <w:bookmarkEnd w:id="541"/>
      <w:bookmarkEnd w:id="542"/>
      <w:bookmarkEnd w:id="543"/>
      <w:bookmarkEnd w:id="544"/>
      <w:bookmarkEnd w:id="545"/>
      <w:bookmarkEnd w:id="546"/>
    </w:p>
    <w:p>
      <w:pPr>
        <w:pStyle w:val="Heading5"/>
      </w:pPr>
      <w:bookmarkStart w:id="547" w:name="_Toc137886346"/>
      <w:bookmarkStart w:id="548" w:name="_Toc148770419"/>
      <w:bookmarkStart w:id="549" w:name="_Toc147736686"/>
      <w:r>
        <w:rPr>
          <w:rStyle w:val="CharSectno"/>
        </w:rPr>
        <w:t>78</w:t>
      </w:r>
      <w:r>
        <w:t>.</w:t>
      </w:r>
      <w:r>
        <w:tab/>
        <w:t>Definition</w:t>
      </w:r>
      <w:bookmarkEnd w:id="547"/>
      <w:bookmarkEnd w:id="548"/>
      <w:bookmarkEnd w:id="549"/>
    </w:p>
    <w:p>
      <w:pPr>
        <w:pStyle w:val="Subsection"/>
      </w:pPr>
      <w:r>
        <w:tab/>
      </w:r>
      <w:r>
        <w:tab/>
        <w:t xml:space="preserve">In this division — </w:t>
      </w:r>
    </w:p>
    <w:p>
      <w:pPr>
        <w:pStyle w:val="Defstart"/>
      </w:pPr>
      <w:r>
        <w:rPr>
          <w:b/>
        </w:rPr>
        <w:tab/>
        <w:t>“amending Act”</w:t>
      </w:r>
      <w:r>
        <w:t xml:space="preserve"> means the </w:t>
      </w:r>
      <w:r>
        <w:rPr>
          <w:i/>
        </w:rPr>
        <w:t>Consumer Credit (Queensland) Amendment Act 1998</w:t>
      </w:r>
      <w:r>
        <w:t>.</w:t>
      </w:r>
    </w:p>
    <w:p>
      <w:pPr>
        <w:pStyle w:val="Heading5"/>
      </w:pPr>
      <w:bookmarkStart w:id="550" w:name="_Toc137886347"/>
      <w:bookmarkStart w:id="551" w:name="_Toc148770420"/>
      <w:bookmarkStart w:id="552" w:name="_Toc147736687"/>
      <w:r>
        <w:rPr>
          <w:rStyle w:val="CharSectno"/>
        </w:rPr>
        <w:t>79</w:t>
      </w:r>
      <w:r>
        <w:t>.</w:t>
      </w:r>
      <w:r>
        <w:tab/>
        <w:t>Inclusion of additional information in financial table</w:t>
      </w:r>
      <w:bookmarkEnd w:id="550"/>
      <w:bookmarkEnd w:id="551"/>
      <w:bookmarkEnd w:id="552"/>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553" w:name="_Toc137886348"/>
      <w:bookmarkStart w:id="554" w:name="_Toc148770421"/>
      <w:bookmarkStart w:id="555" w:name="_Toc147736688"/>
      <w:r>
        <w:rPr>
          <w:rStyle w:val="CharSectno"/>
        </w:rPr>
        <w:t>80</w:t>
      </w:r>
      <w:r>
        <w:t>.</w:t>
      </w:r>
      <w:r>
        <w:tab/>
        <w:t>Changes to key requirements</w:t>
      </w:r>
      <w:bookmarkEnd w:id="553"/>
      <w:bookmarkEnd w:id="554"/>
      <w:bookmarkEnd w:id="555"/>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556" w:name="_Toc137886349"/>
      <w:bookmarkStart w:id="557" w:name="_Toc148770422"/>
      <w:bookmarkStart w:id="558" w:name="_Toc147736689"/>
      <w:r>
        <w:rPr>
          <w:rStyle w:val="CharSectno"/>
        </w:rPr>
        <w:t>81</w:t>
      </w:r>
      <w:r>
        <w:t>.</w:t>
      </w:r>
      <w:r>
        <w:tab/>
        <w:t>Limitation of guarantor’s liability</w:t>
      </w:r>
      <w:bookmarkEnd w:id="556"/>
      <w:bookmarkEnd w:id="557"/>
      <w:bookmarkEnd w:id="558"/>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559" w:name="_Toc137886350"/>
      <w:bookmarkStart w:id="560" w:name="_Toc148770423"/>
      <w:bookmarkStart w:id="561" w:name="_Toc147736690"/>
      <w:r>
        <w:rPr>
          <w:rStyle w:val="CharSectno"/>
        </w:rPr>
        <w:t>82</w:t>
      </w:r>
      <w:r>
        <w:t>.</w:t>
      </w:r>
      <w:r>
        <w:tab/>
        <w:t>Nominations to receive notices</w:t>
      </w:r>
      <w:bookmarkEnd w:id="559"/>
      <w:bookmarkEnd w:id="560"/>
      <w:bookmarkEnd w:id="561"/>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26"/>
          <w:headerReference w:type="default" r:id="rId27"/>
          <w:headerReference w:type="first" r:id="rId28"/>
          <w:pgSz w:w="11906" w:h="16838" w:code="9"/>
          <w:pgMar w:top="2376" w:right="2405" w:bottom="3542" w:left="2405" w:header="706" w:footer="3380" w:gutter="0"/>
          <w:pgNumType w:start="1"/>
          <w:cols w:space="720"/>
          <w:noEndnote/>
          <w:docGrid w:linePitch="326"/>
        </w:sectPr>
      </w:pPr>
    </w:p>
    <w:p>
      <w:pPr>
        <w:pStyle w:val="yScheduleHeading"/>
      </w:pPr>
      <w:bookmarkStart w:id="562" w:name="_Toc137886351"/>
      <w:bookmarkStart w:id="563" w:name="_Toc147719149"/>
      <w:bookmarkStart w:id="564" w:name="_Toc147722224"/>
      <w:bookmarkStart w:id="565" w:name="_Toc147736691"/>
      <w:bookmarkStart w:id="566" w:name="_Toc148258155"/>
      <w:bookmarkStart w:id="567" w:name="_Toc148770424"/>
      <w:r>
        <w:rPr>
          <w:rStyle w:val="CharSchNo"/>
        </w:rPr>
        <w:t>Schedule</w:t>
      </w:r>
      <w:bookmarkEnd w:id="562"/>
      <w:bookmarkEnd w:id="563"/>
      <w:bookmarkEnd w:id="564"/>
      <w:bookmarkEnd w:id="565"/>
      <w:bookmarkEnd w:id="566"/>
      <w:bookmarkEnd w:id="567"/>
      <w:r>
        <w:rPr>
          <w:rStyle w:val="CharSchText"/>
        </w:rPr>
        <w:t xml:space="preserve"> </w:t>
      </w:r>
    </w:p>
    <w:p>
      <w:pPr>
        <w:pStyle w:val="yMiscellaneousHeading"/>
        <w:rPr>
          <w:b/>
        </w:rPr>
      </w:pPr>
      <w:r>
        <w:rPr>
          <w:b/>
        </w:rPr>
        <w:t>Forms</w:t>
      </w:r>
    </w:p>
    <w:p>
      <w:pPr>
        <w:pStyle w:val="yShoulderClause"/>
      </w:pPr>
      <w:r>
        <w:t>section 4</w:t>
      </w:r>
    </w:p>
    <w:p>
      <w:pPr>
        <w:pStyle w:val="yMiscellaneousHeading"/>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rPr>
          <w:b/>
        </w:rPr>
      </w:pPr>
      <w:r>
        <w:rPr>
          <w:b/>
        </w:rPr>
        <w:t>PRESCRIBED TERMS AND CONDITIONS OF MORTGAGE</w:t>
      </w:r>
    </w:p>
    <w:p>
      <w:pPr>
        <w:pStyle w:val="yNumberedItem"/>
      </w:pPr>
      <w:r>
        <w:t>1.</w:t>
      </w:r>
      <w:r>
        <w:tab/>
        <w:t xml:space="preserve">In this mortgage — </w:t>
      </w:r>
    </w:p>
    <w:p>
      <w:pPr>
        <w:pStyle w:val="yDefstart"/>
      </w:pPr>
      <w:r>
        <w:rPr>
          <w:b/>
        </w:rPr>
        <w:tab/>
        <w:t>“goods”</w:t>
      </w:r>
      <w:r>
        <w:t xml:space="preserve"> means the goods hired under the hire contract.</w:t>
      </w:r>
    </w:p>
    <w:p>
      <w:pPr>
        <w:pStyle w:val="yDefstart"/>
      </w:pPr>
      <w:r>
        <w:rPr>
          <w:b/>
        </w:rPr>
        <w:tab/>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t>“mortgagor”</w:t>
      </w:r>
      <w:r>
        <w:t xml:space="preserve"> means the person to whom the goods are hired under the hire contract.</w:t>
      </w:r>
    </w:p>
    <w:p>
      <w:pPr>
        <w:pStyle w:val="yDefstart"/>
      </w:pPr>
      <w:r>
        <w:rPr>
          <w:b/>
        </w:rPr>
        <w:tab/>
        <w:t>“supplier”</w:t>
      </w:r>
      <w:r>
        <w:t xml:space="preserve"> means the person from whom the goods are hired under the hire contract.</w:t>
      </w:r>
    </w:p>
    <w:p>
      <w:pPr>
        <w:pStyle w:val="yDefstart"/>
      </w:pPr>
      <w:r>
        <w:rPr>
          <w:b/>
        </w:rPr>
        <w:tab/>
        <w:t>“the Code”</w:t>
      </w:r>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NumberedItem"/>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rPr>
          <w:b/>
        </w:rPr>
      </w:pPr>
      <w:r>
        <w:rPr>
          <w:b/>
        </w:rPr>
        <w:t>INSURANCE</w:t>
      </w:r>
    </w:p>
    <w:p>
      <w:pPr>
        <w:pStyle w:val="yNumberedItem"/>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rPr>
          <w:b/>
        </w:rPr>
      </w:pPr>
      <w:r>
        <w:rPr>
          <w:b/>
        </w:rPr>
        <w:t>MORTGAGES</w:t>
      </w:r>
    </w:p>
    <w:p>
      <w:pPr>
        <w:pStyle w:val="yNumberedItem"/>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3"/>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pPr>
      <w:r>
        <w:t>$ .......................................................... per  .................................................*</w:t>
      </w:r>
    </w:p>
    <w:p>
      <w:pPr>
        <w:pStyle w:val="yMiscellaneousBody"/>
      </w:pPr>
      <w:r>
        <w:t>The credit provider’s estimate of the value of the goods is $ ................................</w:t>
      </w:r>
    </w:p>
    <w:p>
      <w:pPr>
        <w:pStyle w:val="yMiscellaneousHeading"/>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pPr>
      <w:r>
        <w:t>1.</w:t>
      </w:r>
      <w:r>
        <w:tab/>
        <w:t>Amount required to pay out</w:t>
      </w:r>
    </w:p>
    <w:p>
      <w:pPr>
        <w:pStyle w:val="yMiscellaneousBody"/>
        <w:tabs>
          <w:tab w:val="left" w:pos="851"/>
        </w:tabs>
      </w:pPr>
      <w:r>
        <w:tab/>
        <w:t>the credit contract on     /           /              $</w:t>
      </w:r>
    </w:p>
    <w:p>
      <w:pPr>
        <w:pStyle w:val="yMiscellaneousBody"/>
        <w:tabs>
          <w:tab w:val="left" w:pos="851"/>
        </w:tabs>
      </w:pPr>
      <w:r>
        <w:t>2.</w:t>
      </w:r>
      <w:r>
        <w:tab/>
        <w:t>Amount required to pay out</w:t>
      </w:r>
    </w:p>
    <w:p>
      <w:pPr>
        <w:pStyle w:val="yMiscellaneousBody"/>
        <w:tabs>
          <w:tab w:val="left" w:pos="851"/>
        </w:tabs>
      </w:pPr>
      <w:r>
        <w:tab/>
        <w:t>the credit contract on     /         /               $</w:t>
      </w:r>
    </w:p>
    <w:p>
      <w:pPr>
        <w:pStyle w:val="yMiscellaneousHeading"/>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rPr>
          <w:b/>
        </w:rPr>
      </w:pPr>
      <w:r>
        <w:rPr>
          <w:b/>
        </w:rPr>
        <w:t>THE LEASE</w:t>
      </w:r>
    </w:p>
    <w:p>
      <w:pPr>
        <w:pStyle w:val="yNumberedItem"/>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rPr>
          <w:b/>
        </w:rPr>
      </w:pPr>
      <w:r>
        <w:rPr>
          <w:b/>
        </w:rPr>
        <w:t>THE GOODS</w:t>
      </w:r>
    </w:p>
    <w:p>
      <w:pPr>
        <w:pStyle w:val="yNumberedItem"/>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68" w:name="_Toc96409015"/>
      <w:bookmarkStart w:id="569" w:name="_Toc137886214"/>
      <w:bookmarkStart w:id="570" w:name="_Toc137886352"/>
      <w:bookmarkStart w:id="571" w:name="_Toc147719150"/>
      <w:bookmarkStart w:id="572" w:name="_Toc147722225"/>
      <w:bookmarkStart w:id="573" w:name="_Toc147736692"/>
      <w:bookmarkStart w:id="574" w:name="_Toc148258156"/>
      <w:bookmarkStart w:id="575" w:name="_Toc148770425"/>
      <w:r>
        <w:t>Notes</w:t>
      </w:r>
      <w:bookmarkEnd w:id="568"/>
      <w:bookmarkEnd w:id="569"/>
      <w:bookmarkEnd w:id="570"/>
      <w:bookmarkEnd w:id="571"/>
      <w:bookmarkEnd w:id="572"/>
      <w:bookmarkEnd w:id="573"/>
      <w:bookmarkEnd w:id="574"/>
      <w:bookmarkEnd w:id="575"/>
    </w:p>
    <w:p>
      <w:pPr>
        <w:pStyle w:val="nSubsection"/>
        <w:rPr>
          <w:snapToGrid w:val="0"/>
        </w:rPr>
      </w:pPr>
      <w:r>
        <w:rPr>
          <w:snapToGrid w:val="0"/>
          <w:vertAlign w:val="superscript"/>
        </w:rPr>
        <w:t>1</w:t>
      </w:r>
      <w:r>
        <w:rPr>
          <w:snapToGrid w:val="0"/>
        </w:rPr>
        <w:tab/>
        <w:t>This</w:t>
      </w:r>
      <w:del w:id="576" w:author="Master Repository Process" w:date="2021-07-31T16:30:00Z">
        <w:r>
          <w:rPr>
            <w:snapToGrid w:val="0"/>
          </w:rPr>
          <w:delText> </w:delText>
        </w:r>
      </w:del>
      <w:ins w:id="577" w:author="Master Repository Process" w:date="2021-07-31T16:30:00Z">
        <w:r>
          <w:rPr>
            <w:snapToGrid w:val="0"/>
          </w:rPr>
          <w:t xml:space="preserve"> </w:t>
        </w:r>
      </w:ins>
      <w:r>
        <w:rPr>
          <w:snapToGrid w:val="0"/>
        </w:rPr>
        <w:t xml:space="preserve">is a compilation of the </w:t>
      </w:r>
      <w:r>
        <w:rPr>
          <w:i/>
          <w:noProof/>
          <w:snapToGrid w:val="0"/>
        </w:rPr>
        <w:t>Consumer Credit (Western Australia) Code Regulations</w:t>
      </w:r>
      <w:r>
        <w:rPr>
          <w:noProof/>
          <w:snapToGrid w:val="0"/>
          <w:vertAlign w:val="superscript"/>
        </w:rPr>
        <w:t> 2</w:t>
      </w:r>
      <w:r>
        <w:t xml:space="preserve"> and includes the amendments made by the other written laws referred to in the following table</w:t>
      </w:r>
      <w:del w:id="578" w:author="Master Repository Process" w:date="2021-07-31T16:30:00Z">
        <w:r>
          <w:delText> </w:delText>
        </w:r>
        <w:r>
          <w:rPr>
            <w:vertAlign w:val="superscript"/>
          </w:rPr>
          <w:delText>1a</w:delText>
        </w:r>
      </w:del>
      <w:r>
        <w:t>.</w:t>
      </w:r>
    </w:p>
    <w:p>
      <w:pPr>
        <w:pStyle w:val="nHeading3"/>
      </w:pPr>
      <w:bookmarkStart w:id="579" w:name="_Toc137886353"/>
      <w:bookmarkStart w:id="580" w:name="_Toc148770426"/>
      <w:bookmarkStart w:id="581" w:name="_Toc147736693"/>
      <w:r>
        <w:t>Compilation table</w:t>
      </w:r>
      <w:bookmarkEnd w:id="579"/>
      <w:bookmarkEnd w:id="580"/>
      <w:bookmarkEnd w:id="58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rPr>
                <w:sz w:val="19"/>
              </w:rPr>
            </w:pPr>
            <w:r>
              <w:rPr>
                <w:i/>
                <w:sz w:val="19"/>
              </w:rPr>
              <w:t>Consumer Credit (Western Australia) Code Regulations</w:t>
            </w:r>
          </w:p>
        </w:tc>
        <w:tc>
          <w:tcPr>
            <w:tcW w:w="1276" w:type="dxa"/>
            <w:tcBorders>
              <w:top w:val="single" w:sz="8" w:space="0" w:color="auto"/>
            </w:tcBorders>
          </w:tcPr>
          <w:p>
            <w:pPr>
              <w:pStyle w:val="nTable"/>
              <w:spacing w:after="40"/>
              <w:rPr>
                <w:sz w:val="19"/>
              </w:rPr>
            </w:pPr>
            <w:r>
              <w:rPr>
                <w:sz w:val="19"/>
              </w:rPr>
              <w:t>9 Jul 2003 p. nil (effective date see notes to regulations)</w:t>
            </w:r>
          </w:p>
        </w:tc>
        <w:tc>
          <w:tcPr>
            <w:tcW w:w="2693" w:type="dxa"/>
            <w:tcBorders>
              <w:top w:val="single" w:sz="8" w:space="0" w:color="auto"/>
            </w:tcBorders>
          </w:tcPr>
          <w:p>
            <w:pPr>
              <w:pStyle w:val="nTable"/>
              <w:spacing w:after="40"/>
              <w:rPr>
                <w:sz w:val="19"/>
              </w:rPr>
            </w:pPr>
            <w:r>
              <w:rPr>
                <w:sz w:val="19"/>
              </w:rPr>
              <w:t xml:space="preserve">9 Jul 2003 (see the </w:t>
            </w:r>
            <w:r>
              <w:rPr>
                <w:i/>
                <w:sz w:val="19"/>
              </w:rPr>
              <w:t>Consumer Credit (Western Australia) Act 1996</w:t>
            </w:r>
            <w:r>
              <w:rPr>
                <w:sz w:val="19"/>
              </w:rPr>
              <w:t xml:space="preserve"> s. 6 and the regulations in force under Pt. 4 of the </w:t>
            </w:r>
            <w:r>
              <w:rPr>
                <w:i/>
                <w:sz w:val="19"/>
              </w:rPr>
              <w:t>Consumer Credit (Queensland) Act 1994</w:t>
            </w:r>
            <w:r>
              <w:rPr>
                <w:sz w:val="19"/>
              </w:rPr>
              <w:t>)</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2004</w:t>
            </w:r>
          </w:p>
        </w:tc>
        <w:tc>
          <w:tcPr>
            <w:tcW w:w="1276" w:type="dxa"/>
          </w:tcPr>
          <w:p>
            <w:pPr>
              <w:pStyle w:val="nTable"/>
              <w:spacing w:after="40"/>
              <w:rPr>
                <w:sz w:val="19"/>
              </w:rPr>
            </w:pPr>
            <w:r>
              <w:rPr>
                <w:sz w:val="19"/>
              </w:rPr>
              <w:t>31 Dec 2004 p. 7132-4</w:t>
            </w:r>
          </w:p>
        </w:tc>
        <w:tc>
          <w:tcPr>
            <w:tcW w:w="2693" w:type="dxa"/>
          </w:tcPr>
          <w:p>
            <w:pPr>
              <w:pStyle w:val="nTable"/>
              <w:spacing w:after="40"/>
              <w:rPr>
                <w:sz w:val="19"/>
              </w:rPr>
            </w:pPr>
            <w:r>
              <w:rPr>
                <w:sz w:val="19"/>
              </w:rPr>
              <w:t>31 Dec 2004 (see cl. 2)</w:t>
            </w:r>
          </w:p>
        </w:tc>
      </w:tr>
      <w:tr>
        <w:tblPrEx>
          <w:tblBorders>
            <w:top w:val="none" w:sz="0" w:space="0" w:color="auto"/>
            <w:bottom w:val="none" w:sz="0" w:space="0" w:color="auto"/>
          </w:tblBorders>
        </w:tblPrEx>
        <w:trPr>
          <w:cantSplit/>
        </w:trPr>
        <w:tc>
          <w:tcPr>
            <w:tcW w:w="3118" w:type="dxa"/>
          </w:tcPr>
          <w:p>
            <w:pPr>
              <w:pStyle w:val="nTable"/>
              <w:spacing w:after="40"/>
              <w:ind w:right="113"/>
              <w:rPr>
                <w:sz w:val="19"/>
              </w:rPr>
            </w:pPr>
            <w:r>
              <w:rPr>
                <w:i/>
                <w:sz w:val="19"/>
              </w:rPr>
              <w:t>Consumer Credit (Western Australia) Code Regulations Amendment Order 2006</w:t>
            </w:r>
            <w:r>
              <w:rPr>
                <w:sz w:val="19"/>
                <w:vertAlign w:val="superscript"/>
              </w:rPr>
              <w:t> 3</w:t>
            </w:r>
          </w:p>
        </w:tc>
        <w:tc>
          <w:tcPr>
            <w:tcW w:w="1276" w:type="dxa"/>
          </w:tcPr>
          <w:p>
            <w:pPr>
              <w:pStyle w:val="nTable"/>
              <w:spacing w:after="40"/>
              <w:rPr>
                <w:sz w:val="19"/>
              </w:rPr>
            </w:pPr>
            <w:r>
              <w:rPr>
                <w:sz w:val="19"/>
              </w:rPr>
              <w:t>13 Jun 2006 p. 2051-4</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(No. 2) 2006</w:t>
            </w:r>
            <w:r>
              <w:rPr>
                <w:sz w:val="19"/>
                <w:vertAlign w:val="superscript"/>
              </w:rPr>
              <w:t> 4</w:t>
            </w:r>
          </w:p>
        </w:tc>
        <w:tc>
          <w:tcPr>
            <w:tcW w:w="1276" w:type="dxa"/>
          </w:tcPr>
          <w:p>
            <w:pPr>
              <w:pStyle w:val="nTable"/>
              <w:spacing w:after="40"/>
              <w:rPr>
                <w:sz w:val="19"/>
              </w:rPr>
            </w:pPr>
            <w:r>
              <w:rPr>
                <w:sz w:val="19"/>
              </w:rPr>
              <w:t>13 Jun 2006 p. 2054-6</w:t>
            </w:r>
          </w:p>
        </w:tc>
        <w:tc>
          <w:tcPr>
            <w:tcW w:w="2693" w:type="dxa"/>
          </w:tcPr>
          <w:p>
            <w:pPr>
              <w:pStyle w:val="nTable"/>
              <w:spacing w:after="40"/>
              <w:rPr>
                <w:sz w:val="19"/>
              </w:rPr>
            </w:pPr>
            <w:r>
              <w:rPr>
                <w:sz w:val="19"/>
              </w:rPr>
              <w:t>13 Jun 2006</w:t>
            </w:r>
          </w:p>
        </w:tc>
      </w:tr>
    </w:tbl>
    <w:p>
      <w:pPr>
        <w:pStyle w:val="nSubsection"/>
        <w:rPr>
          <w:del w:id="582" w:author="Master Repository Process" w:date="2021-07-31T16:30:00Z"/>
          <w:snapToGrid w:val="0"/>
        </w:rPr>
      </w:pPr>
      <w:del w:id="583" w:author="Master Repository Process" w:date="2021-07-31T16: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4" w:author="Master Repository Process" w:date="2021-07-31T16:30:00Z"/>
          <w:snapToGrid w:val="0"/>
        </w:rPr>
      </w:pPr>
      <w:bookmarkStart w:id="585" w:name="_Toc534778309"/>
      <w:bookmarkStart w:id="586" w:name="_Toc7405063"/>
      <w:bookmarkStart w:id="587" w:name="_Toc147736694"/>
      <w:del w:id="588" w:author="Master Repository Process" w:date="2021-07-31T16:30:00Z">
        <w:r>
          <w:rPr>
            <w:snapToGrid w:val="0"/>
          </w:rPr>
          <w:delText>Provisions that have not come into operation</w:delText>
        </w:r>
        <w:bookmarkEnd w:id="585"/>
        <w:bookmarkEnd w:id="586"/>
        <w:bookmarkEnd w:id="58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89" w:author="Master Repository Process" w:date="2021-07-31T16:30:00Z"/>
        </w:trPr>
        <w:tc>
          <w:tcPr>
            <w:tcW w:w="3118" w:type="dxa"/>
            <w:tcBorders>
              <w:top w:val="single" w:sz="8" w:space="0" w:color="auto"/>
              <w:bottom w:val="single" w:sz="8" w:space="0" w:color="auto"/>
            </w:tcBorders>
          </w:tcPr>
          <w:p>
            <w:pPr>
              <w:pStyle w:val="nTable"/>
              <w:spacing w:before="60" w:after="60"/>
              <w:rPr>
                <w:del w:id="590" w:author="Master Repository Process" w:date="2021-07-31T16:30:00Z"/>
                <w:b/>
                <w:sz w:val="19"/>
              </w:rPr>
            </w:pPr>
            <w:del w:id="591" w:author="Master Repository Process" w:date="2021-07-31T16:30: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592" w:author="Master Repository Process" w:date="2021-07-31T16:30:00Z"/>
                <w:b/>
                <w:sz w:val="19"/>
              </w:rPr>
            </w:pPr>
            <w:del w:id="593" w:author="Master Repository Process" w:date="2021-07-31T16:30: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594" w:author="Master Repository Process" w:date="2021-07-31T16:30:00Z"/>
                <w:b/>
                <w:sz w:val="19"/>
              </w:rPr>
            </w:pPr>
            <w:del w:id="595" w:author="Master Repository Process" w:date="2021-07-31T16:30:00Z">
              <w:r>
                <w:rPr>
                  <w:b/>
                  <w:sz w:val="19"/>
                </w:rPr>
                <w:delText>Commencement</w:delText>
              </w:r>
            </w:del>
          </w:p>
        </w:tc>
      </w:tr>
      <w:tr>
        <w:trPr>
          <w:cantSplit/>
        </w:trPr>
        <w:tc>
          <w:tcPr>
            <w:tcW w:w="3118" w:type="dxa"/>
            <w:tcBorders>
              <w:bottom w:val="single" w:sz="4" w:space="0" w:color="auto"/>
            </w:tcBorders>
          </w:tcPr>
          <w:p>
            <w:pPr>
              <w:pStyle w:val="nTable"/>
              <w:spacing w:after="40"/>
              <w:ind w:right="113"/>
              <w:rPr>
                <w:i/>
                <w:sz w:val="19"/>
              </w:rPr>
            </w:pPr>
            <w:r>
              <w:rPr>
                <w:i/>
                <w:snapToGrid w:val="0"/>
                <w:lang w:val="en-US"/>
              </w:rPr>
              <w:t>Consumer Credit (Western Australia) Code Regulations Amendment Order (No. 4) 2006</w:t>
            </w:r>
            <w:r>
              <w:rPr>
                <w:snapToGrid w:val="0"/>
                <w:lang w:val="en-US"/>
              </w:rPr>
              <w:t xml:space="preserve"> </w:t>
            </w:r>
            <w:del w:id="596" w:author="Master Repository Process" w:date="2021-07-31T16:30:00Z">
              <w:r>
                <w:rPr>
                  <w:snapToGrid w:val="0"/>
                  <w:lang w:val="en-US"/>
                </w:rPr>
                <w:delText xml:space="preserve">s. 4-9 </w:delText>
              </w:r>
            </w:del>
            <w:r>
              <w:rPr>
                <w:snapToGrid w:val="0"/>
                <w:vertAlign w:val="superscript"/>
                <w:lang w:val="en-US"/>
              </w:rPr>
              <w:t>5</w:t>
            </w:r>
          </w:p>
        </w:tc>
        <w:tc>
          <w:tcPr>
            <w:tcW w:w="1276" w:type="dxa"/>
            <w:tcBorders>
              <w:bottom w:val="single" w:sz="4" w:space="0" w:color="auto"/>
            </w:tcBorders>
          </w:tcPr>
          <w:p>
            <w:pPr>
              <w:pStyle w:val="nTable"/>
              <w:spacing w:after="40"/>
              <w:rPr>
                <w:sz w:val="19"/>
              </w:rPr>
            </w:pPr>
            <w:r>
              <w:rPr>
                <w:sz w:val="19"/>
              </w:rPr>
              <w:t>29 Sep 2006 p. 4250-3</w:t>
            </w:r>
          </w:p>
        </w:tc>
        <w:tc>
          <w:tcPr>
            <w:tcW w:w="2693" w:type="dxa"/>
            <w:tcBorders>
              <w:bottom w:val="single" w:sz="4" w:space="0" w:color="auto"/>
            </w:tcBorders>
          </w:tcPr>
          <w:p>
            <w:pPr>
              <w:pStyle w:val="nTable"/>
              <w:spacing w:after="40"/>
              <w:rPr>
                <w:sz w:val="19"/>
              </w:rPr>
            </w:pPr>
            <w:del w:id="597" w:author="Master Repository Process" w:date="2021-07-31T16:30:00Z">
              <w:r>
                <w:delText>Operative on commencement of the Queensland</w:delText>
              </w:r>
              <w:r>
                <w:rPr>
                  <w:color w:val="FF0000"/>
                </w:rPr>
                <w:delText xml:space="preserve"> </w:delText>
              </w:r>
              <w:r>
                <w:rPr>
                  <w:i/>
                  <w:iCs/>
                </w:rPr>
                <w:delText>Consumer Credit and Trade Measurement Amendment Act 2006</w:delText>
              </w:r>
              <w:r>
                <w:delText xml:space="preserve"> s. 4 (see s. 2)</w:delText>
              </w:r>
            </w:del>
            <w:ins w:id="598" w:author="Master Repository Process" w:date="2021-07-31T16:30:00Z">
              <w:r>
                <w:rPr>
                  <w:sz w:val="19"/>
                </w:rPr>
                <w:t>9 Oct 2006 (see cl. 2 and Qld SL 248, 2006 published 6 Oct 2006)</w:t>
              </w:r>
            </w:ins>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pStyle w:val="nSubsection"/>
      </w:pPr>
      <w:r>
        <w:rPr>
          <w:vertAlign w:val="superscript"/>
        </w:rPr>
        <w:t>3</w:t>
      </w:r>
      <w:r>
        <w:tab/>
        <w:t xml:space="preserve">A draft of this order (as the </w:t>
      </w:r>
      <w:r>
        <w:rPr>
          <w:i/>
        </w:rPr>
        <w:t>Consumer Credit (Western Australia) Code Regulations Amendment Order 2005</w:t>
      </w:r>
      <w:r>
        <w:t>) was approved by the Legislative Assembly on 22 November 2005 (see Hansard p. 7624-5) and by the Legislative Council on 4 May 2006 (see Hansard p. 2164).</w:t>
      </w:r>
    </w:p>
    <w:p>
      <w:pPr>
        <w:pStyle w:val="nSubsection"/>
      </w:pPr>
      <w:r>
        <w:rPr>
          <w:vertAlign w:val="superscript"/>
        </w:rPr>
        <w:t>4</w:t>
      </w:r>
      <w:r>
        <w:tab/>
        <w:t xml:space="preserve">A draft of this order (as the </w:t>
      </w:r>
      <w:r>
        <w:rPr>
          <w:i/>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p>
    <w:p>
      <w:pPr>
        <w:pStyle w:val="nSubsection"/>
        <w:rPr>
          <w:del w:id="599" w:author="Master Repository Process" w:date="2021-07-31T16:30:00Z"/>
          <w:snapToGrid w:val="0"/>
        </w:rPr>
      </w:pPr>
      <w:del w:id="600" w:author="Master Repository Process" w:date="2021-07-31T16:30:00Z">
        <w:r>
          <w:rPr>
            <w:vertAlign w:val="superscript"/>
          </w:rPr>
          <w:delText>5</w:delText>
        </w:r>
        <w:r>
          <w:tab/>
        </w:r>
        <w:r>
          <w:rPr>
            <w:snapToGrid w:val="0"/>
          </w:rPr>
          <w:delText xml:space="preserve">On the date as at which this compilation was prepared, the </w:delText>
        </w:r>
        <w:r>
          <w:rPr>
            <w:i/>
            <w:iCs/>
            <w:snapToGrid w:val="0"/>
            <w:lang w:val="en-US"/>
          </w:rPr>
          <w:delText>Consumer Credit (Western Australia) Code Regulations Amendment Order (No. 4) 2006</w:delText>
        </w:r>
        <w:r>
          <w:rPr>
            <w:snapToGrid w:val="0"/>
            <w:lang w:val="en-US"/>
          </w:rPr>
          <w:delText xml:space="preserve"> s. 4-9</w:delText>
        </w:r>
        <w:r>
          <w:rPr>
            <w:snapToGrid w:val="0"/>
          </w:rPr>
          <w:delText xml:space="preserve"> had not come into operation.  They read as follows:</w:delText>
        </w:r>
      </w:del>
    </w:p>
    <w:p>
      <w:pPr>
        <w:pStyle w:val="MiscOpen"/>
        <w:rPr>
          <w:del w:id="601" w:author="Master Repository Process" w:date="2021-07-31T16:30:00Z"/>
          <w:snapToGrid w:val="0"/>
        </w:rPr>
      </w:pPr>
      <w:del w:id="602" w:author="Master Repository Process" w:date="2021-07-31T16:30:00Z">
        <w:r>
          <w:rPr>
            <w:snapToGrid w:val="0"/>
          </w:rPr>
          <w:delText>“</w:delText>
        </w:r>
      </w:del>
    </w:p>
    <w:p>
      <w:pPr>
        <w:pStyle w:val="nzHeading5"/>
        <w:rPr>
          <w:del w:id="603" w:author="Master Repository Process" w:date="2021-07-31T16:30:00Z"/>
        </w:rPr>
      </w:pPr>
      <w:del w:id="604" w:author="Master Repository Process" w:date="2021-07-31T16:30:00Z">
        <w:r>
          <w:rPr>
            <w:rStyle w:val="CharSectno"/>
          </w:rPr>
          <w:delText>4</w:delText>
        </w:r>
        <w:r>
          <w:delText>.</w:delText>
        </w:r>
        <w:r>
          <w:tab/>
          <w:delText>Section 10 amended</w:delText>
        </w:r>
      </w:del>
    </w:p>
    <w:p>
      <w:pPr>
        <w:pStyle w:val="nzSubsection"/>
        <w:rPr>
          <w:del w:id="605" w:author="Master Repository Process" w:date="2021-07-31T16:30:00Z"/>
        </w:rPr>
      </w:pPr>
      <w:del w:id="606" w:author="Master Repository Process" w:date="2021-07-31T16:30:00Z">
        <w:r>
          <w:tab/>
        </w:r>
        <w:r>
          <w:tab/>
          <w:delText xml:space="preserve">Section 10(2) is amended by inserting after “above words” — </w:delText>
        </w:r>
      </w:del>
    </w:p>
    <w:p>
      <w:pPr>
        <w:pStyle w:val="MiscOpen"/>
        <w:ind w:left="880"/>
        <w:rPr>
          <w:del w:id="607" w:author="Master Repository Process" w:date="2021-07-31T16:30:00Z"/>
        </w:rPr>
      </w:pPr>
      <w:del w:id="608" w:author="Master Repository Process" w:date="2021-07-31T16:30:00Z">
        <w:r>
          <w:delText xml:space="preserve">“    </w:delText>
        </w:r>
      </w:del>
    </w:p>
    <w:p>
      <w:pPr>
        <w:pStyle w:val="nzSubsection"/>
        <w:rPr>
          <w:del w:id="609" w:author="Master Repository Process" w:date="2021-07-31T16:30:00Z"/>
        </w:rPr>
      </w:pPr>
      <w:del w:id="610" w:author="Master Repository Process" w:date="2021-07-31T16:30:00Z">
        <w:r>
          <w:tab/>
        </w:r>
        <w:r>
          <w:tab/>
          <w:delText>or, if the declaration is to be made by electronic communication, prominently displayed when (but not after) the person signs</w:delText>
        </w:r>
      </w:del>
    </w:p>
    <w:p>
      <w:pPr>
        <w:pStyle w:val="MiscClose"/>
        <w:rPr>
          <w:del w:id="611" w:author="Master Repository Process" w:date="2021-07-31T16:30:00Z"/>
        </w:rPr>
      </w:pPr>
      <w:del w:id="612" w:author="Master Repository Process" w:date="2021-07-31T16:30:00Z">
        <w:r>
          <w:delText xml:space="preserve">    ”.</w:delText>
        </w:r>
      </w:del>
    </w:p>
    <w:p>
      <w:pPr>
        <w:pStyle w:val="nzHeading5"/>
        <w:rPr>
          <w:del w:id="613" w:author="Master Repository Process" w:date="2021-07-31T16:30:00Z"/>
        </w:rPr>
      </w:pPr>
      <w:del w:id="614" w:author="Master Repository Process" w:date="2021-07-31T16:30:00Z">
        <w:r>
          <w:rPr>
            <w:rStyle w:val="CharSectno"/>
          </w:rPr>
          <w:delText>5</w:delText>
        </w:r>
        <w:r>
          <w:delText>.</w:delText>
        </w:r>
        <w:r>
          <w:tab/>
          <w:delText>Section 13 amended</w:delText>
        </w:r>
      </w:del>
    </w:p>
    <w:p>
      <w:pPr>
        <w:pStyle w:val="nzSubsection"/>
        <w:rPr>
          <w:del w:id="615" w:author="Master Repository Process" w:date="2021-07-31T16:30:00Z"/>
        </w:rPr>
      </w:pPr>
      <w:del w:id="616" w:author="Master Repository Process" w:date="2021-07-31T16:30:00Z">
        <w:r>
          <w:tab/>
        </w:r>
        <w:r>
          <w:tab/>
          <w:delText xml:space="preserve">Section 13(5) is repealed and the following subsection is inserted instead — </w:delText>
        </w:r>
      </w:del>
    </w:p>
    <w:p>
      <w:pPr>
        <w:pStyle w:val="MiscOpen"/>
        <w:ind w:left="600"/>
        <w:rPr>
          <w:del w:id="617" w:author="Master Repository Process" w:date="2021-07-31T16:30:00Z"/>
        </w:rPr>
      </w:pPr>
      <w:del w:id="618" w:author="Master Repository Process" w:date="2021-07-31T16:30:00Z">
        <w:r>
          <w:delText xml:space="preserve">“    </w:delText>
        </w:r>
      </w:del>
    </w:p>
    <w:p>
      <w:pPr>
        <w:pStyle w:val="nzSubsection"/>
        <w:rPr>
          <w:del w:id="619" w:author="Master Repository Process" w:date="2021-07-31T16:30:00Z"/>
        </w:rPr>
      </w:pPr>
      <w:del w:id="620" w:author="Master Repository Process" w:date="2021-07-31T16:30:00Z">
        <w:r>
          <w:tab/>
          <w:delText>(5)</w:delText>
        </w:r>
        <w:r>
          <w:tab/>
          <w:delText>The financial table is to be set out at the beginning of the precontractual statement.  If the precontractual statement consists of more than one document, the financial table need not be repeated.  If the precontractual statement is not a separate document, the financial table is to be set out at the beginning of the proposed contract document.  The financial table may be preceded by information necessary to identify the loan.</w:delText>
        </w:r>
      </w:del>
    </w:p>
    <w:p>
      <w:pPr>
        <w:pStyle w:val="MiscClose"/>
        <w:rPr>
          <w:del w:id="621" w:author="Master Repository Process" w:date="2021-07-31T16:30:00Z"/>
        </w:rPr>
      </w:pPr>
      <w:del w:id="622" w:author="Master Repository Process" w:date="2021-07-31T16:30:00Z">
        <w:r>
          <w:delText xml:space="preserve">    ”.</w:delText>
        </w:r>
      </w:del>
    </w:p>
    <w:p>
      <w:pPr>
        <w:pStyle w:val="nzHeading5"/>
        <w:rPr>
          <w:del w:id="623" w:author="Master Repository Process" w:date="2021-07-31T16:30:00Z"/>
        </w:rPr>
      </w:pPr>
      <w:del w:id="624" w:author="Master Repository Process" w:date="2021-07-31T16:30:00Z">
        <w:r>
          <w:rPr>
            <w:rStyle w:val="CharSectno"/>
          </w:rPr>
          <w:delText>6</w:delText>
        </w:r>
        <w:r>
          <w:delText>.</w:delText>
        </w:r>
        <w:r>
          <w:tab/>
          <w:delText>Section 15 amended</w:delText>
        </w:r>
      </w:del>
    </w:p>
    <w:p>
      <w:pPr>
        <w:pStyle w:val="nzSubsection"/>
        <w:rPr>
          <w:del w:id="625" w:author="Master Repository Process" w:date="2021-07-31T16:30:00Z"/>
        </w:rPr>
      </w:pPr>
      <w:del w:id="626" w:author="Master Repository Process" w:date="2021-07-31T16:30:00Z">
        <w:r>
          <w:tab/>
        </w:r>
        <w:r>
          <w:tab/>
          <w:delText xml:space="preserve">Section 15(3) is amended by deleting paragraphs (b) and (c) and inserting the following paragraph instead — </w:delText>
        </w:r>
      </w:del>
    </w:p>
    <w:p>
      <w:pPr>
        <w:pStyle w:val="MiscOpen"/>
        <w:ind w:left="1340"/>
        <w:rPr>
          <w:del w:id="627" w:author="Master Repository Process" w:date="2021-07-31T16:30:00Z"/>
        </w:rPr>
      </w:pPr>
      <w:del w:id="628" w:author="Master Repository Process" w:date="2021-07-31T16:30:00Z">
        <w:r>
          <w:delText xml:space="preserve">“    </w:delText>
        </w:r>
      </w:del>
    </w:p>
    <w:p>
      <w:pPr>
        <w:pStyle w:val="nzIndenta"/>
        <w:rPr>
          <w:del w:id="629" w:author="Master Repository Process" w:date="2021-07-31T16:30:00Z"/>
        </w:rPr>
      </w:pPr>
      <w:del w:id="630" w:author="Master Repository Process" w:date="2021-07-31T16:30:00Z">
        <w:r>
          <w:tab/>
          <w:delText>(b)</w:delText>
        </w:r>
        <w:r>
          <w:tab/>
          <w:delText>they are to be set out immediately above (and on the same page as) each place where the debtor (or at least 1 of the debtors) is to sign the contract document or, if a contract is made by electronic communication, the information and warnings must be prominently displayed when (but not after) the debtor (or if 2 or more debtors, each debtor) signs.</w:delText>
        </w:r>
      </w:del>
    </w:p>
    <w:p>
      <w:pPr>
        <w:pStyle w:val="MiscClose"/>
        <w:rPr>
          <w:del w:id="631" w:author="Master Repository Process" w:date="2021-07-31T16:30:00Z"/>
        </w:rPr>
      </w:pPr>
      <w:del w:id="632" w:author="Master Repository Process" w:date="2021-07-31T16:30:00Z">
        <w:r>
          <w:delText xml:space="preserve">    ”.</w:delText>
        </w:r>
      </w:del>
    </w:p>
    <w:p>
      <w:pPr>
        <w:pStyle w:val="nzHeading5"/>
        <w:rPr>
          <w:del w:id="633" w:author="Master Repository Process" w:date="2021-07-31T16:30:00Z"/>
        </w:rPr>
      </w:pPr>
      <w:del w:id="634" w:author="Master Repository Process" w:date="2021-07-31T16:30:00Z">
        <w:r>
          <w:rPr>
            <w:rStyle w:val="CharSectno"/>
          </w:rPr>
          <w:delText>7</w:delText>
        </w:r>
        <w:r>
          <w:delText>.</w:delText>
        </w:r>
        <w:r>
          <w:tab/>
          <w:delText>Section 34 amended</w:delText>
        </w:r>
      </w:del>
    </w:p>
    <w:p>
      <w:pPr>
        <w:pStyle w:val="nzSubsection"/>
        <w:rPr>
          <w:del w:id="635" w:author="Master Repository Process" w:date="2021-07-31T16:30:00Z"/>
        </w:rPr>
      </w:pPr>
      <w:del w:id="636" w:author="Master Repository Process" w:date="2021-07-31T16:30:00Z">
        <w:r>
          <w:tab/>
        </w:r>
        <w:r>
          <w:tab/>
          <w:delText xml:space="preserve">Section 34 is amended by inserting after “above words” — </w:delText>
        </w:r>
      </w:del>
    </w:p>
    <w:p>
      <w:pPr>
        <w:pStyle w:val="MiscOpen"/>
        <w:ind w:left="880"/>
        <w:rPr>
          <w:del w:id="637" w:author="Master Repository Process" w:date="2021-07-31T16:30:00Z"/>
        </w:rPr>
      </w:pPr>
      <w:del w:id="638" w:author="Master Repository Process" w:date="2021-07-31T16:30:00Z">
        <w:r>
          <w:delText xml:space="preserve">“    </w:delText>
        </w:r>
      </w:del>
    </w:p>
    <w:p>
      <w:pPr>
        <w:pStyle w:val="nzSubsection"/>
        <w:rPr>
          <w:del w:id="639" w:author="Master Repository Process" w:date="2021-07-31T16:30:00Z"/>
        </w:rPr>
      </w:pPr>
      <w:del w:id="640" w:author="Master Repository Process" w:date="2021-07-31T16:30:00Z">
        <w:r>
          <w:tab/>
        </w:r>
        <w:r>
          <w:tab/>
          <w:delText>or, if a consumer lease is made by electronic communication, prominently displayed when (but not after) the person signs</w:delText>
        </w:r>
      </w:del>
    </w:p>
    <w:p>
      <w:pPr>
        <w:pStyle w:val="MiscClose"/>
        <w:rPr>
          <w:del w:id="641" w:author="Master Repository Process" w:date="2021-07-31T16:30:00Z"/>
        </w:rPr>
      </w:pPr>
      <w:del w:id="642" w:author="Master Repository Process" w:date="2021-07-31T16:30:00Z">
        <w:r>
          <w:delText xml:space="preserve">    ”.</w:delText>
        </w:r>
      </w:del>
    </w:p>
    <w:p>
      <w:pPr>
        <w:pStyle w:val="nzHeading5"/>
        <w:rPr>
          <w:del w:id="643" w:author="Master Repository Process" w:date="2021-07-31T16:30:00Z"/>
        </w:rPr>
      </w:pPr>
      <w:del w:id="644" w:author="Master Repository Process" w:date="2021-07-31T16:30:00Z">
        <w:r>
          <w:rPr>
            <w:rStyle w:val="CharSectno"/>
          </w:rPr>
          <w:delText>8</w:delText>
        </w:r>
        <w:r>
          <w:delText>.</w:delText>
        </w:r>
        <w:r>
          <w:tab/>
          <w:delText>Section 39 amended</w:delText>
        </w:r>
      </w:del>
    </w:p>
    <w:p>
      <w:pPr>
        <w:pStyle w:val="nzSubsection"/>
        <w:rPr>
          <w:del w:id="645" w:author="Master Repository Process" w:date="2021-07-31T16:30:00Z"/>
        </w:rPr>
      </w:pPr>
      <w:del w:id="646" w:author="Master Repository Process" w:date="2021-07-31T16:30:00Z">
        <w:r>
          <w:tab/>
          <w:delText>(1)</w:delText>
        </w:r>
        <w:r>
          <w:tab/>
          <w:delText>Section 39 is amended by inserting before “For” the subsection designation “(1)”.</w:delText>
        </w:r>
      </w:del>
    </w:p>
    <w:p>
      <w:pPr>
        <w:pStyle w:val="nzSubsection"/>
        <w:rPr>
          <w:del w:id="647" w:author="Master Repository Process" w:date="2021-07-31T16:30:00Z"/>
        </w:rPr>
      </w:pPr>
      <w:del w:id="648" w:author="Master Repository Process" w:date="2021-07-31T16:30:00Z">
        <w:r>
          <w:tab/>
          <w:delText>(2)</w:delText>
        </w:r>
        <w:r>
          <w:tab/>
          <w:delText xml:space="preserve">After the note in section 39 the following subsection is inserted — </w:delText>
        </w:r>
      </w:del>
    </w:p>
    <w:p>
      <w:pPr>
        <w:pStyle w:val="MiscOpen"/>
        <w:ind w:left="600"/>
        <w:rPr>
          <w:del w:id="649" w:author="Master Repository Process" w:date="2021-07-31T16:30:00Z"/>
        </w:rPr>
      </w:pPr>
      <w:del w:id="650" w:author="Master Repository Process" w:date="2021-07-31T16:30:00Z">
        <w:r>
          <w:delText xml:space="preserve">“    </w:delText>
        </w:r>
      </w:del>
    </w:p>
    <w:p>
      <w:pPr>
        <w:pStyle w:val="nzSubsection"/>
        <w:rPr>
          <w:del w:id="651" w:author="Master Repository Process" w:date="2021-07-31T16:30:00Z"/>
        </w:rPr>
      </w:pPr>
      <w:del w:id="652" w:author="Master Repository Process" w:date="2021-07-31T16:30:00Z">
        <w:r>
          <w:tab/>
          <w:delText>(2)</w:delText>
        </w:r>
        <w:r>
          <w:tab/>
          <w:delText xml:space="preserve">For the purposes of section 162(1A)(b) of the Code, if a credit contract, mortgage or guarantee or a notice transmitted by a credit provider under the Code is transmitted by electronic communication — </w:delText>
        </w:r>
      </w:del>
    </w:p>
    <w:p>
      <w:pPr>
        <w:pStyle w:val="nzIndenta"/>
        <w:rPr>
          <w:del w:id="653" w:author="Master Repository Process" w:date="2021-07-31T16:30:00Z"/>
        </w:rPr>
      </w:pPr>
      <w:del w:id="654" w:author="Master Repository Process" w:date="2021-07-31T16:30:00Z">
        <w:r>
          <w:tab/>
          <w:delText>(a)</w:delText>
        </w:r>
        <w:r>
          <w:tab/>
          <w:delText>the electronic communication must not incorporate any image, message, advertisement or other feature that distracts, or is reasonably likely to distract, the recipient or otherwise reduces or interferes, or is reasonably likely to reduce or interfere, with the recipient’s ability to understand the credit contract, mortgage or guarantee or notice; and</w:delText>
        </w:r>
      </w:del>
    </w:p>
    <w:p>
      <w:pPr>
        <w:pStyle w:val="nzIndenta"/>
        <w:rPr>
          <w:del w:id="655" w:author="Master Repository Process" w:date="2021-07-31T16:30:00Z"/>
        </w:rPr>
      </w:pPr>
      <w:del w:id="656" w:author="Master Repository Process" w:date="2021-07-31T16:30:00Z">
        <w:r>
          <w:tab/>
          <w:delText>(b)</w:delText>
        </w:r>
        <w:r>
          <w:tab/>
          <w:delText>if an image, message, advertisement or other feature accompanies or is associated with the electronic communication, it must be readily distinguishable from the credit contract, mortgage or guarantee or notice; and</w:delText>
        </w:r>
      </w:del>
    </w:p>
    <w:p>
      <w:pPr>
        <w:pStyle w:val="nzIndenta"/>
        <w:rPr>
          <w:del w:id="657" w:author="Master Repository Process" w:date="2021-07-31T16:30:00Z"/>
        </w:rPr>
      </w:pPr>
      <w:del w:id="658" w:author="Master Repository Process" w:date="2021-07-31T16:30:00Z">
        <w:r>
          <w:tab/>
          <w:delText>(c)</w:delText>
        </w:r>
        <w:r>
          <w:tab/>
          <w:delText>the recipient must be readily able to scroll through the whole of the credit contract, mortgage or guarantee or notice; and</w:delText>
        </w:r>
      </w:del>
    </w:p>
    <w:p>
      <w:pPr>
        <w:pStyle w:val="nzIndenta"/>
        <w:rPr>
          <w:del w:id="659" w:author="Master Repository Process" w:date="2021-07-31T16:30:00Z"/>
        </w:rPr>
      </w:pPr>
      <w:del w:id="660" w:author="Master Repository Process" w:date="2021-07-31T16:30:00Z">
        <w:r>
          <w:tab/>
          <w:delText>(d)</w:delText>
        </w:r>
        <w:r>
          <w:tab/>
          <w:delText>the full address (not being a post office box) and telephone number at which the credit provider may be contacted must be included in the credit contract, mortgage or guarantee or notice.</w:delText>
        </w:r>
      </w:del>
    </w:p>
    <w:p>
      <w:pPr>
        <w:pStyle w:val="MiscClose"/>
        <w:rPr>
          <w:del w:id="661" w:author="Master Repository Process" w:date="2021-07-31T16:30:00Z"/>
        </w:rPr>
      </w:pPr>
      <w:del w:id="662" w:author="Master Repository Process" w:date="2021-07-31T16:30:00Z">
        <w:r>
          <w:delText xml:space="preserve">    ”.</w:delText>
        </w:r>
      </w:del>
    </w:p>
    <w:p>
      <w:pPr>
        <w:pStyle w:val="nzHeading5"/>
        <w:rPr>
          <w:del w:id="663" w:author="Master Repository Process" w:date="2021-07-31T16:30:00Z"/>
        </w:rPr>
      </w:pPr>
      <w:del w:id="664" w:author="Master Repository Process" w:date="2021-07-31T16:30:00Z">
        <w:r>
          <w:rPr>
            <w:rStyle w:val="CharSectno"/>
          </w:rPr>
          <w:delText>9</w:delText>
        </w:r>
        <w:r>
          <w:delText>.</w:delText>
        </w:r>
        <w:r>
          <w:tab/>
          <w:delText>Section 39A inserted</w:delText>
        </w:r>
      </w:del>
    </w:p>
    <w:p>
      <w:pPr>
        <w:pStyle w:val="nzSubsection"/>
        <w:rPr>
          <w:del w:id="665" w:author="Master Repository Process" w:date="2021-07-31T16:30:00Z"/>
        </w:rPr>
      </w:pPr>
      <w:del w:id="666" w:author="Master Repository Process" w:date="2021-07-31T16:30:00Z">
        <w:r>
          <w:tab/>
        </w:r>
        <w:r>
          <w:tab/>
          <w:delText xml:space="preserve">After section 39 the following section is inserted — </w:delText>
        </w:r>
      </w:del>
    </w:p>
    <w:p>
      <w:pPr>
        <w:pStyle w:val="MiscOpen"/>
        <w:rPr>
          <w:del w:id="667" w:author="Master Repository Process" w:date="2021-07-31T16:30:00Z"/>
        </w:rPr>
      </w:pPr>
      <w:del w:id="668" w:author="Master Repository Process" w:date="2021-07-31T16:30:00Z">
        <w:r>
          <w:delText xml:space="preserve">“    </w:delText>
        </w:r>
      </w:del>
    </w:p>
    <w:p>
      <w:pPr>
        <w:pStyle w:val="nzHeading5"/>
        <w:rPr>
          <w:del w:id="669" w:author="Master Repository Process" w:date="2021-07-31T16:30:00Z"/>
        </w:rPr>
      </w:pPr>
      <w:del w:id="670" w:author="Master Repository Process" w:date="2021-07-31T16:30:00Z">
        <w:r>
          <w:delText>39A.</w:delText>
        </w:r>
        <w:r>
          <w:tab/>
          <w:delText>Exemptions in relation to electronic communications</w:delText>
        </w:r>
      </w:del>
    </w:p>
    <w:p>
      <w:pPr>
        <w:pStyle w:val="nzSubsection"/>
        <w:rPr>
          <w:del w:id="671" w:author="Master Repository Process" w:date="2021-07-31T16:30:00Z"/>
        </w:rPr>
      </w:pPr>
      <w:del w:id="672" w:author="Master Repository Process" w:date="2021-07-31T16:30:00Z">
        <w:r>
          <w:tab/>
        </w:r>
        <w:r>
          <w:tab/>
          <w:delText xml:space="preserve">For the purposes of section 164A(3) of the Code, the following transactions, documents or information, or classes of transactions, documents or information, must not be made, given or provided by electronic communication — </w:delText>
        </w:r>
      </w:del>
    </w:p>
    <w:p>
      <w:pPr>
        <w:pStyle w:val="nzIndenta"/>
        <w:rPr>
          <w:del w:id="673" w:author="Master Repository Process" w:date="2021-07-31T16:30:00Z"/>
        </w:rPr>
      </w:pPr>
      <w:del w:id="674" w:author="Master Repository Process" w:date="2021-07-31T16:30:00Z">
        <w:r>
          <w:tab/>
          <w:delText>(a)</w:delText>
        </w:r>
        <w:r>
          <w:tab/>
          <w:delText>a guarantee to which the Code applies under section 9 of the Code;</w:delText>
        </w:r>
      </w:del>
    </w:p>
    <w:p>
      <w:pPr>
        <w:pStyle w:val="nzIndenta"/>
        <w:rPr>
          <w:del w:id="675" w:author="Master Repository Process" w:date="2021-07-31T16:30:00Z"/>
        </w:rPr>
      </w:pPr>
      <w:del w:id="676" w:author="Master Repository Process" w:date="2021-07-31T16:30:00Z">
        <w:r>
          <w:tab/>
          <w:delText>(b)</w:delText>
        </w:r>
        <w:r>
          <w:tab/>
          <w:delText>a copy of a guarantee given under section 52(1)(a) of the Code;</w:delText>
        </w:r>
      </w:del>
    </w:p>
    <w:p>
      <w:pPr>
        <w:pStyle w:val="nzIndenta"/>
        <w:rPr>
          <w:del w:id="677" w:author="Master Repository Process" w:date="2021-07-31T16:30:00Z"/>
        </w:rPr>
      </w:pPr>
      <w:del w:id="678" w:author="Master Repository Process" w:date="2021-07-31T16:30:00Z">
        <w:r>
          <w:tab/>
          <w:delText>(c)</w:delText>
        </w:r>
        <w:r>
          <w:tab/>
          <w:delText>a copy of a credit contract given under section 52(1)(b) of the Code;</w:delText>
        </w:r>
      </w:del>
    </w:p>
    <w:p>
      <w:pPr>
        <w:pStyle w:val="nzIndenta"/>
        <w:rPr>
          <w:del w:id="679" w:author="Master Repository Process" w:date="2021-07-31T16:30:00Z"/>
        </w:rPr>
      </w:pPr>
      <w:del w:id="680" w:author="Master Repository Process" w:date="2021-07-31T16:30:00Z">
        <w:r>
          <w:tab/>
          <w:delText>(d)</w:delText>
        </w:r>
        <w:r>
          <w:tab/>
          <w:delText>a copy of a contract document given under section 54(2)(a) of the Code;</w:delText>
        </w:r>
      </w:del>
    </w:p>
    <w:p>
      <w:pPr>
        <w:pStyle w:val="nzIndenta"/>
        <w:rPr>
          <w:del w:id="681" w:author="Master Repository Process" w:date="2021-07-31T16:30:00Z"/>
        </w:rPr>
      </w:pPr>
      <w:del w:id="682" w:author="Master Repository Process" w:date="2021-07-31T16:30:00Z">
        <w:r>
          <w:tab/>
          <w:delText>(e)</w:delText>
        </w:r>
        <w:r>
          <w:tab/>
          <w:delText>a notice setting out particulars of the change in the terms of the credit contract under section 56(1)(a) of the Code;</w:delText>
        </w:r>
      </w:del>
    </w:p>
    <w:p>
      <w:pPr>
        <w:pStyle w:val="nzIndenta"/>
        <w:rPr>
          <w:del w:id="683" w:author="Master Repository Process" w:date="2021-07-31T16:30:00Z"/>
        </w:rPr>
      </w:pPr>
      <w:del w:id="684" w:author="Master Repository Process" w:date="2021-07-31T16:30:00Z">
        <w:r>
          <w:tab/>
          <w:delText>(f)</w:delText>
        </w:r>
        <w:r>
          <w:tab/>
          <w:delText>a default notice under section 80(1) of the Code;</w:delText>
        </w:r>
      </w:del>
    </w:p>
    <w:p>
      <w:pPr>
        <w:pStyle w:val="nzIndenta"/>
        <w:rPr>
          <w:del w:id="685" w:author="Master Repository Process" w:date="2021-07-31T16:30:00Z"/>
        </w:rPr>
      </w:pPr>
      <w:del w:id="686" w:author="Master Repository Process" w:date="2021-07-31T16:30:00Z">
        <w:r>
          <w:tab/>
          <w:delText>(g)</w:delText>
        </w:r>
        <w:r>
          <w:tab/>
          <w:delText>a default notice under section 80(2) of the Code;</w:delText>
        </w:r>
      </w:del>
    </w:p>
    <w:p>
      <w:pPr>
        <w:pStyle w:val="nzIndenta"/>
        <w:rPr>
          <w:del w:id="687" w:author="Master Repository Process" w:date="2021-07-31T16:30:00Z"/>
        </w:rPr>
      </w:pPr>
      <w:del w:id="688" w:author="Master Repository Process" w:date="2021-07-31T16:30:00Z">
        <w:r>
          <w:tab/>
          <w:delText>(h)</w:delText>
        </w:r>
        <w:r>
          <w:tab/>
          <w:delText>information concerning the provisions of section 91 of the Code provided to the occupier of premises under section 91(1)(b) of the Code;</w:delText>
        </w:r>
      </w:del>
    </w:p>
    <w:p>
      <w:pPr>
        <w:pStyle w:val="nzIndenta"/>
        <w:rPr>
          <w:del w:id="689" w:author="Master Repository Process" w:date="2021-07-31T16:30:00Z"/>
        </w:rPr>
      </w:pPr>
      <w:del w:id="690" w:author="Master Repository Process" w:date="2021-07-31T16:30:00Z">
        <w:r>
          <w:tab/>
          <w:delText>(i)</w:delText>
        </w:r>
        <w:r>
          <w:tab/>
          <w:delText>a request for entry to premises under section 24(a) of these regulations;</w:delText>
        </w:r>
      </w:del>
    </w:p>
    <w:p>
      <w:pPr>
        <w:pStyle w:val="nzIndenta"/>
        <w:rPr>
          <w:del w:id="691" w:author="Master Repository Process" w:date="2021-07-31T16:30:00Z"/>
        </w:rPr>
      </w:pPr>
      <w:del w:id="692" w:author="Master Repository Process" w:date="2021-07-31T16:30:00Z">
        <w:r>
          <w:tab/>
          <w:delText>(j)</w:delText>
        </w:r>
        <w:r>
          <w:tab/>
          <w:delText>a consent to enter premises under section 24(c) of these regulations;</w:delText>
        </w:r>
      </w:del>
    </w:p>
    <w:p>
      <w:pPr>
        <w:pStyle w:val="nzIndenta"/>
        <w:rPr>
          <w:del w:id="693" w:author="Master Repository Process" w:date="2021-07-31T16:30:00Z"/>
        </w:rPr>
      </w:pPr>
      <w:del w:id="694" w:author="Master Repository Process" w:date="2021-07-31T16:30:00Z">
        <w:r>
          <w:tab/>
          <w:delText>(k)</w:delText>
        </w:r>
        <w:r>
          <w:tab/>
          <w:delText>a notice under section 94(1) of the Code;</w:delText>
        </w:r>
      </w:del>
    </w:p>
    <w:p>
      <w:pPr>
        <w:pStyle w:val="nzIndenta"/>
        <w:rPr>
          <w:del w:id="695" w:author="Master Repository Process" w:date="2021-07-31T16:30:00Z"/>
        </w:rPr>
      </w:pPr>
      <w:del w:id="696" w:author="Master Repository Process" w:date="2021-07-31T16:30:00Z">
        <w:r>
          <w:tab/>
          <w:delText>(l)</w:delText>
        </w:r>
        <w:r>
          <w:tab/>
          <w:delText>a demand made on the supplier under section 120(5)(a) of the Code;</w:delText>
        </w:r>
      </w:del>
    </w:p>
    <w:p>
      <w:pPr>
        <w:pStyle w:val="nzIndenta"/>
        <w:rPr>
          <w:del w:id="697" w:author="Master Repository Process" w:date="2021-07-31T16:30:00Z"/>
        </w:rPr>
      </w:pPr>
      <w:del w:id="698" w:author="Master Repository Process" w:date="2021-07-31T16:30:00Z">
        <w:r>
          <w:tab/>
          <w:delText>(m)</w:delText>
        </w:r>
        <w:r>
          <w:tab/>
          <w:delText>a demand made on the supplier under section 120(6)(a) of the Code;</w:delText>
        </w:r>
      </w:del>
    </w:p>
    <w:p>
      <w:pPr>
        <w:pStyle w:val="nzIndenta"/>
        <w:rPr>
          <w:del w:id="699" w:author="Master Repository Process" w:date="2021-07-31T16:30:00Z"/>
        </w:rPr>
      </w:pPr>
      <w:del w:id="700" w:author="Master Repository Process" w:date="2021-07-31T16:30:00Z">
        <w:r>
          <w:tab/>
          <w:delText>(n)</w:delText>
        </w:r>
        <w:r>
          <w:tab/>
          <w:delText>a notice of intention to repossess under section 156(1) of the Code;</w:delText>
        </w:r>
      </w:del>
    </w:p>
    <w:p>
      <w:pPr>
        <w:pStyle w:val="nzIndenta"/>
        <w:rPr>
          <w:del w:id="701" w:author="Master Repository Process" w:date="2021-07-31T16:30:00Z"/>
        </w:rPr>
      </w:pPr>
      <w:del w:id="702" w:author="Master Repository Process" w:date="2021-07-31T16:30:00Z">
        <w:r>
          <w:tab/>
          <w:delText>(o)</w:delText>
        </w:r>
        <w:r>
          <w:tab/>
          <w:delText>a transaction on which duty is only charged under the laws of this jurisdiction if the transaction is effected or evidenced by an instrument or document in hard copy form;</w:delText>
        </w:r>
      </w:del>
    </w:p>
    <w:p>
      <w:pPr>
        <w:pStyle w:val="nzIndenta"/>
        <w:rPr>
          <w:del w:id="703" w:author="Master Repository Process" w:date="2021-07-31T16:30:00Z"/>
        </w:rPr>
      </w:pPr>
      <w:del w:id="704" w:author="Master Repository Process" w:date="2021-07-31T16:30:00Z">
        <w:r>
          <w:tab/>
          <w:delText>(p)</w:delText>
        </w:r>
        <w:r>
          <w:tab/>
          <w:delText>an instrument on which duty is only charged under the laws of this jurisdiction if the instrument is in hard copy form.</w:delText>
        </w:r>
      </w:del>
    </w:p>
    <w:p>
      <w:pPr>
        <w:pStyle w:val="MiscClose"/>
        <w:rPr>
          <w:del w:id="705" w:author="Master Repository Process" w:date="2021-07-31T16:30:00Z"/>
        </w:rPr>
      </w:pPr>
      <w:del w:id="706" w:author="Master Repository Process" w:date="2021-07-31T16:30:00Z">
        <w:r>
          <w:delText xml:space="preserve">    ”.</w:delText>
        </w:r>
      </w:del>
    </w:p>
    <w:p>
      <w:pPr>
        <w:pStyle w:val="nSubsection"/>
      </w:pPr>
      <w:del w:id="707" w:author="Master Repository Process" w:date="2021-07-31T16:30:00Z">
        <w:r>
          <w:delText>Note:</w:delText>
        </w:r>
      </w:del>
      <w:ins w:id="708" w:author="Master Repository Process" w:date="2021-07-31T16:30:00Z">
        <w:r>
          <w:rPr>
            <w:vertAlign w:val="superscript"/>
          </w:rPr>
          <w:t>5</w:t>
        </w:r>
      </w:ins>
      <w:r>
        <w:tab/>
        <w:t xml:space="preserve">A draft Order (the </w:t>
      </w:r>
      <w:r>
        <w:rPr>
          <w:i/>
          <w:iCs/>
        </w:rPr>
        <w:t>Consumer Credit (Western Australia) Code Regulations Amendment Order (No. 2) 2006</w:t>
      </w:r>
      <w:r>
        <w:t>) containing these provisions was approved by the Legislative Assembly on 28 June 2006 (see Hansard p. 4458</w:t>
      </w:r>
      <w:r>
        <w:noBreakHyphen/>
        <w:t>9) and by the Legislative Council on 29 June 2006 (see Hansard p. 4546</w:t>
      </w:r>
      <w:r>
        <w:noBreakHyphen/>
        <w:t>9).</w:t>
      </w:r>
    </w:p>
    <w:p>
      <w:pPr>
        <w:pStyle w:val="MiscClose"/>
        <w:rPr>
          <w:del w:id="709" w:author="Master Repository Process" w:date="2021-07-31T16:30:00Z"/>
        </w:rPr>
      </w:pPr>
      <w:del w:id="710" w:author="Master Repository Process" w:date="2021-07-31T16:30:00Z">
        <w:r>
          <w:delText>”.</w:delText>
        </w:r>
      </w:del>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64"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64"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6168" w:type="dxa"/>
        </w:tcPr>
        <w:p>
          <w:pPr>
            <w:pStyle w:val="HeaderTextRight"/>
          </w:pPr>
          <w:r>
            <w:fldChar w:fldCharType="begin"/>
          </w:r>
          <w:r>
            <w:instrText xml:space="preserve"> styleref CharPartText </w:instrText>
          </w:r>
          <w:r>
            <w:rPr>
              <w:noProof/>
            </w:rPr>
            <w:fldChar w:fldCharType="end"/>
          </w:r>
        </w:p>
      </w:tc>
      <w:tc>
        <w:tcPr>
          <w:tcW w:w="1144" w:type="dxa"/>
        </w:tcPr>
        <w:p>
          <w:pPr>
            <w:pStyle w:val="HeaderNumberRight"/>
          </w:pPr>
          <w:r>
            <w:fldChar w:fldCharType="begin"/>
          </w:r>
          <w:r>
            <w:instrText xml:space="preserve"> styleref CharPartNo </w:instrText>
          </w:r>
          <w:r>
            <w:rPr>
              <w:noProof/>
            </w:rPr>
            <w:fldChar w:fldCharType="end"/>
          </w:r>
        </w:p>
      </w:tc>
    </w:tr>
    <w:tr>
      <w:tc>
        <w:tcPr>
          <w:tcW w:w="6168" w:type="dxa"/>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Matters prescribed for the purposes of Part 1 of the Code (Preliminary)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08E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0E48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8631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B606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40BD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8422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5E6E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210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1451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5848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2F0FD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1E2F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9561E43"/>
    <w:multiLevelType w:val="hybridMultilevel"/>
    <w:tmpl w:val="35AC8650"/>
    <w:lvl w:ilvl="0" w:tplc="53AC88C4">
      <w:start w:val="1"/>
      <w:numFmt w:val="bullet"/>
      <w:lvlText w:val=""/>
      <w:lvlJc w:val="left"/>
      <w:pPr>
        <w:tabs>
          <w:tab w:val="num" w:pos="720"/>
        </w:tabs>
        <w:ind w:left="720" w:hanging="360"/>
      </w:pPr>
      <w:rPr>
        <w:rFonts w:ascii="Symbol" w:hAnsi="Symbol" w:hint="default"/>
      </w:rPr>
    </w:lvl>
    <w:lvl w:ilvl="1" w:tplc="55CAB352" w:tentative="1">
      <w:start w:val="1"/>
      <w:numFmt w:val="bullet"/>
      <w:lvlText w:val="o"/>
      <w:lvlJc w:val="left"/>
      <w:pPr>
        <w:tabs>
          <w:tab w:val="num" w:pos="1440"/>
        </w:tabs>
        <w:ind w:left="1440" w:hanging="360"/>
      </w:pPr>
      <w:rPr>
        <w:rFonts w:ascii="Courier New" w:hAnsi="Courier New" w:hint="default"/>
      </w:rPr>
    </w:lvl>
    <w:lvl w:ilvl="2" w:tplc="D6668ABC" w:tentative="1">
      <w:start w:val="1"/>
      <w:numFmt w:val="bullet"/>
      <w:lvlText w:val=""/>
      <w:lvlJc w:val="left"/>
      <w:pPr>
        <w:tabs>
          <w:tab w:val="num" w:pos="2160"/>
        </w:tabs>
        <w:ind w:left="2160" w:hanging="360"/>
      </w:pPr>
      <w:rPr>
        <w:rFonts w:ascii="Wingdings" w:hAnsi="Wingdings" w:hint="default"/>
      </w:rPr>
    </w:lvl>
    <w:lvl w:ilvl="3" w:tplc="DDA253A4" w:tentative="1">
      <w:start w:val="1"/>
      <w:numFmt w:val="bullet"/>
      <w:lvlText w:val=""/>
      <w:lvlJc w:val="left"/>
      <w:pPr>
        <w:tabs>
          <w:tab w:val="num" w:pos="2880"/>
        </w:tabs>
        <w:ind w:left="2880" w:hanging="360"/>
      </w:pPr>
      <w:rPr>
        <w:rFonts w:ascii="Symbol" w:hAnsi="Symbol" w:hint="default"/>
      </w:rPr>
    </w:lvl>
    <w:lvl w:ilvl="4" w:tplc="1F3E1366" w:tentative="1">
      <w:start w:val="1"/>
      <w:numFmt w:val="bullet"/>
      <w:lvlText w:val="o"/>
      <w:lvlJc w:val="left"/>
      <w:pPr>
        <w:tabs>
          <w:tab w:val="num" w:pos="3600"/>
        </w:tabs>
        <w:ind w:left="3600" w:hanging="360"/>
      </w:pPr>
      <w:rPr>
        <w:rFonts w:ascii="Courier New" w:hAnsi="Courier New" w:hint="default"/>
      </w:rPr>
    </w:lvl>
    <w:lvl w:ilvl="5" w:tplc="AA2288EE" w:tentative="1">
      <w:start w:val="1"/>
      <w:numFmt w:val="bullet"/>
      <w:lvlText w:val=""/>
      <w:lvlJc w:val="left"/>
      <w:pPr>
        <w:tabs>
          <w:tab w:val="num" w:pos="4320"/>
        </w:tabs>
        <w:ind w:left="4320" w:hanging="360"/>
      </w:pPr>
      <w:rPr>
        <w:rFonts w:ascii="Wingdings" w:hAnsi="Wingdings" w:hint="default"/>
      </w:rPr>
    </w:lvl>
    <w:lvl w:ilvl="6" w:tplc="836E9CAA" w:tentative="1">
      <w:start w:val="1"/>
      <w:numFmt w:val="bullet"/>
      <w:lvlText w:val=""/>
      <w:lvlJc w:val="left"/>
      <w:pPr>
        <w:tabs>
          <w:tab w:val="num" w:pos="5040"/>
        </w:tabs>
        <w:ind w:left="5040" w:hanging="360"/>
      </w:pPr>
      <w:rPr>
        <w:rFonts w:ascii="Symbol" w:hAnsi="Symbol" w:hint="default"/>
      </w:rPr>
    </w:lvl>
    <w:lvl w:ilvl="7" w:tplc="9DA2EFFE" w:tentative="1">
      <w:start w:val="1"/>
      <w:numFmt w:val="bullet"/>
      <w:lvlText w:val="o"/>
      <w:lvlJc w:val="left"/>
      <w:pPr>
        <w:tabs>
          <w:tab w:val="num" w:pos="5760"/>
        </w:tabs>
        <w:ind w:left="5760" w:hanging="360"/>
      </w:pPr>
      <w:rPr>
        <w:rFonts w:ascii="Courier New" w:hAnsi="Courier New" w:hint="default"/>
      </w:rPr>
    </w:lvl>
    <w:lvl w:ilvl="8" w:tplc="7EDA08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C2C64"/>
    <w:multiLevelType w:val="hybridMultilevel"/>
    <w:tmpl w:val="56E04FA6"/>
    <w:lvl w:ilvl="0" w:tplc="51F22AAA">
      <w:start w:val="1"/>
      <w:numFmt w:val="bullet"/>
      <w:lvlText w:val=""/>
      <w:lvlJc w:val="left"/>
      <w:pPr>
        <w:tabs>
          <w:tab w:val="num" w:pos="720"/>
        </w:tabs>
        <w:ind w:left="720" w:hanging="360"/>
      </w:pPr>
      <w:rPr>
        <w:rFonts w:ascii="Symbol" w:hAnsi="Symbol" w:hint="default"/>
      </w:rPr>
    </w:lvl>
    <w:lvl w:ilvl="1" w:tplc="3404FED2" w:tentative="1">
      <w:start w:val="1"/>
      <w:numFmt w:val="bullet"/>
      <w:lvlText w:val="o"/>
      <w:lvlJc w:val="left"/>
      <w:pPr>
        <w:tabs>
          <w:tab w:val="num" w:pos="1440"/>
        </w:tabs>
        <w:ind w:left="1440" w:hanging="360"/>
      </w:pPr>
      <w:rPr>
        <w:rFonts w:ascii="Courier New" w:hAnsi="Courier New" w:hint="default"/>
      </w:rPr>
    </w:lvl>
    <w:lvl w:ilvl="2" w:tplc="46324B36" w:tentative="1">
      <w:start w:val="1"/>
      <w:numFmt w:val="bullet"/>
      <w:lvlText w:val=""/>
      <w:lvlJc w:val="left"/>
      <w:pPr>
        <w:tabs>
          <w:tab w:val="num" w:pos="2160"/>
        </w:tabs>
        <w:ind w:left="2160" w:hanging="360"/>
      </w:pPr>
      <w:rPr>
        <w:rFonts w:ascii="Wingdings" w:hAnsi="Wingdings" w:hint="default"/>
      </w:rPr>
    </w:lvl>
    <w:lvl w:ilvl="3" w:tplc="ACF6FE66" w:tentative="1">
      <w:start w:val="1"/>
      <w:numFmt w:val="bullet"/>
      <w:lvlText w:val=""/>
      <w:lvlJc w:val="left"/>
      <w:pPr>
        <w:tabs>
          <w:tab w:val="num" w:pos="2880"/>
        </w:tabs>
        <w:ind w:left="2880" w:hanging="360"/>
      </w:pPr>
      <w:rPr>
        <w:rFonts w:ascii="Symbol" w:hAnsi="Symbol" w:hint="default"/>
      </w:rPr>
    </w:lvl>
    <w:lvl w:ilvl="4" w:tplc="1674C64C" w:tentative="1">
      <w:start w:val="1"/>
      <w:numFmt w:val="bullet"/>
      <w:lvlText w:val="o"/>
      <w:lvlJc w:val="left"/>
      <w:pPr>
        <w:tabs>
          <w:tab w:val="num" w:pos="3600"/>
        </w:tabs>
        <w:ind w:left="3600" w:hanging="360"/>
      </w:pPr>
      <w:rPr>
        <w:rFonts w:ascii="Courier New" w:hAnsi="Courier New" w:hint="default"/>
      </w:rPr>
    </w:lvl>
    <w:lvl w:ilvl="5" w:tplc="0A187728" w:tentative="1">
      <w:start w:val="1"/>
      <w:numFmt w:val="bullet"/>
      <w:lvlText w:val=""/>
      <w:lvlJc w:val="left"/>
      <w:pPr>
        <w:tabs>
          <w:tab w:val="num" w:pos="4320"/>
        </w:tabs>
        <w:ind w:left="4320" w:hanging="360"/>
      </w:pPr>
      <w:rPr>
        <w:rFonts w:ascii="Wingdings" w:hAnsi="Wingdings" w:hint="default"/>
      </w:rPr>
    </w:lvl>
    <w:lvl w:ilvl="6" w:tplc="B93CAFDA" w:tentative="1">
      <w:start w:val="1"/>
      <w:numFmt w:val="bullet"/>
      <w:lvlText w:val=""/>
      <w:lvlJc w:val="left"/>
      <w:pPr>
        <w:tabs>
          <w:tab w:val="num" w:pos="5040"/>
        </w:tabs>
        <w:ind w:left="5040" w:hanging="360"/>
      </w:pPr>
      <w:rPr>
        <w:rFonts w:ascii="Symbol" w:hAnsi="Symbol" w:hint="default"/>
      </w:rPr>
    </w:lvl>
    <w:lvl w:ilvl="7" w:tplc="B0E264E6" w:tentative="1">
      <w:start w:val="1"/>
      <w:numFmt w:val="bullet"/>
      <w:lvlText w:val="o"/>
      <w:lvlJc w:val="left"/>
      <w:pPr>
        <w:tabs>
          <w:tab w:val="num" w:pos="5760"/>
        </w:tabs>
        <w:ind w:left="5760" w:hanging="360"/>
      </w:pPr>
      <w:rPr>
        <w:rFonts w:ascii="Courier New" w:hAnsi="Courier New" w:hint="default"/>
      </w:rPr>
    </w:lvl>
    <w:lvl w:ilvl="8" w:tplc="25A20D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8878E0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1E7D19"/>
    <w:multiLevelType w:val="hybridMultilevel"/>
    <w:tmpl w:val="1824A294"/>
    <w:lvl w:ilvl="0" w:tplc="6DD04AC2">
      <w:start w:val="1"/>
      <w:numFmt w:val="bullet"/>
      <w:lvlText w:val=""/>
      <w:lvlJc w:val="left"/>
      <w:pPr>
        <w:tabs>
          <w:tab w:val="num" w:pos="720"/>
        </w:tabs>
        <w:ind w:left="720" w:hanging="360"/>
      </w:pPr>
      <w:rPr>
        <w:rFonts w:ascii="Symbol" w:hAnsi="Symbol" w:hint="default"/>
      </w:rPr>
    </w:lvl>
    <w:lvl w:ilvl="1" w:tplc="499076AE" w:tentative="1">
      <w:start w:val="1"/>
      <w:numFmt w:val="bullet"/>
      <w:lvlText w:val="o"/>
      <w:lvlJc w:val="left"/>
      <w:pPr>
        <w:tabs>
          <w:tab w:val="num" w:pos="1440"/>
        </w:tabs>
        <w:ind w:left="1440" w:hanging="360"/>
      </w:pPr>
      <w:rPr>
        <w:rFonts w:ascii="Courier New" w:hAnsi="Courier New" w:hint="default"/>
      </w:rPr>
    </w:lvl>
    <w:lvl w:ilvl="2" w:tplc="520C1CF0" w:tentative="1">
      <w:start w:val="1"/>
      <w:numFmt w:val="bullet"/>
      <w:lvlText w:val=""/>
      <w:lvlJc w:val="left"/>
      <w:pPr>
        <w:tabs>
          <w:tab w:val="num" w:pos="2160"/>
        </w:tabs>
        <w:ind w:left="2160" w:hanging="360"/>
      </w:pPr>
      <w:rPr>
        <w:rFonts w:ascii="Wingdings" w:hAnsi="Wingdings" w:hint="default"/>
      </w:rPr>
    </w:lvl>
    <w:lvl w:ilvl="3" w:tplc="7E588FEA" w:tentative="1">
      <w:start w:val="1"/>
      <w:numFmt w:val="bullet"/>
      <w:lvlText w:val=""/>
      <w:lvlJc w:val="left"/>
      <w:pPr>
        <w:tabs>
          <w:tab w:val="num" w:pos="2880"/>
        </w:tabs>
        <w:ind w:left="2880" w:hanging="360"/>
      </w:pPr>
      <w:rPr>
        <w:rFonts w:ascii="Symbol" w:hAnsi="Symbol" w:hint="default"/>
      </w:rPr>
    </w:lvl>
    <w:lvl w:ilvl="4" w:tplc="67D4BB96" w:tentative="1">
      <w:start w:val="1"/>
      <w:numFmt w:val="bullet"/>
      <w:lvlText w:val="o"/>
      <w:lvlJc w:val="left"/>
      <w:pPr>
        <w:tabs>
          <w:tab w:val="num" w:pos="3600"/>
        </w:tabs>
        <w:ind w:left="3600" w:hanging="360"/>
      </w:pPr>
      <w:rPr>
        <w:rFonts w:ascii="Courier New" w:hAnsi="Courier New" w:hint="default"/>
      </w:rPr>
    </w:lvl>
    <w:lvl w:ilvl="5" w:tplc="15C6D4C4" w:tentative="1">
      <w:start w:val="1"/>
      <w:numFmt w:val="bullet"/>
      <w:lvlText w:val=""/>
      <w:lvlJc w:val="left"/>
      <w:pPr>
        <w:tabs>
          <w:tab w:val="num" w:pos="4320"/>
        </w:tabs>
        <w:ind w:left="4320" w:hanging="360"/>
      </w:pPr>
      <w:rPr>
        <w:rFonts w:ascii="Wingdings" w:hAnsi="Wingdings" w:hint="default"/>
      </w:rPr>
    </w:lvl>
    <w:lvl w:ilvl="6" w:tplc="20F0EFB4" w:tentative="1">
      <w:start w:val="1"/>
      <w:numFmt w:val="bullet"/>
      <w:lvlText w:val=""/>
      <w:lvlJc w:val="left"/>
      <w:pPr>
        <w:tabs>
          <w:tab w:val="num" w:pos="5040"/>
        </w:tabs>
        <w:ind w:left="5040" w:hanging="360"/>
      </w:pPr>
      <w:rPr>
        <w:rFonts w:ascii="Symbol" w:hAnsi="Symbol" w:hint="default"/>
      </w:rPr>
    </w:lvl>
    <w:lvl w:ilvl="7" w:tplc="85988082" w:tentative="1">
      <w:start w:val="1"/>
      <w:numFmt w:val="bullet"/>
      <w:lvlText w:val="o"/>
      <w:lvlJc w:val="left"/>
      <w:pPr>
        <w:tabs>
          <w:tab w:val="num" w:pos="5760"/>
        </w:tabs>
        <w:ind w:left="5760" w:hanging="360"/>
      </w:pPr>
      <w:rPr>
        <w:rFonts w:ascii="Courier New" w:hAnsi="Courier New" w:hint="default"/>
      </w:rPr>
    </w:lvl>
    <w:lvl w:ilvl="8" w:tplc="8C00743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6A582CF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2225E16"/>
    <w:multiLevelType w:val="hybridMultilevel"/>
    <w:tmpl w:val="72768260"/>
    <w:lvl w:ilvl="0" w:tplc="401853AA">
      <w:start w:val="1"/>
      <w:numFmt w:val="bullet"/>
      <w:lvlText w:val=""/>
      <w:lvlJc w:val="left"/>
      <w:pPr>
        <w:tabs>
          <w:tab w:val="num" w:pos="360"/>
        </w:tabs>
        <w:ind w:left="360" w:hanging="360"/>
      </w:pPr>
      <w:rPr>
        <w:rFonts w:ascii="Symbol" w:hAnsi="Symbol" w:hint="default"/>
      </w:rPr>
    </w:lvl>
    <w:lvl w:ilvl="1" w:tplc="1984445A" w:tentative="1">
      <w:start w:val="1"/>
      <w:numFmt w:val="bullet"/>
      <w:lvlText w:val="o"/>
      <w:lvlJc w:val="left"/>
      <w:pPr>
        <w:tabs>
          <w:tab w:val="num" w:pos="1080"/>
        </w:tabs>
        <w:ind w:left="1080" w:hanging="360"/>
      </w:pPr>
      <w:rPr>
        <w:rFonts w:ascii="Courier New" w:hAnsi="Courier New" w:hint="default"/>
      </w:rPr>
    </w:lvl>
    <w:lvl w:ilvl="2" w:tplc="AEAA1CC4" w:tentative="1">
      <w:start w:val="1"/>
      <w:numFmt w:val="bullet"/>
      <w:lvlText w:val=""/>
      <w:lvlJc w:val="left"/>
      <w:pPr>
        <w:tabs>
          <w:tab w:val="num" w:pos="1800"/>
        </w:tabs>
        <w:ind w:left="1800" w:hanging="360"/>
      </w:pPr>
      <w:rPr>
        <w:rFonts w:ascii="Wingdings" w:hAnsi="Wingdings" w:hint="default"/>
      </w:rPr>
    </w:lvl>
    <w:lvl w:ilvl="3" w:tplc="D9FC2F80" w:tentative="1">
      <w:start w:val="1"/>
      <w:numFmt w:val="bullet"/>
      <w:lvlText w:val=""/>
      <w:lvlJc w:val="left"/>
      <w:pPr>
        <w:tabs>
          <w:tab w:val="num" w:pos="2520"/>
        </w:tabs>
        <w:ind w:left="2520" w:hanging="360"/>
      </w:pPr>
      <w:rPr>
        <w:rFonts w:ascii="Symbol" w:hAnsi="Symbol" w:hint="default"/>
      </w:rPr>
    </w:lvl>
    <w:lvl w:ilvl="4" w:tplc="CF0A6D9E" w:tentative="1">
      <w:start w:val="1"/>
      <w:numFmt w:val="bullet"/>
      <w:lvlText w:val="o"/>
      <w:lvlJc w:val="left"/>
      <w:pPr>
        <w:tabs>
          <w:tab w:val="num" w:pos="3240"/>
        </w:tabs>
        <w:ind w:left="3240" w:hanging="360"/>
      </w:pPr>
      <w:rPr>
        <w:rFonts w:ascii="Courier New" w:hAnsi="Courier New" w:hint="default"/>
      </w:rPr>
    </w:lvl>
    <w:lvl w:ilvl="5" w:tplc="CBD0A6DC" w:tentative="1">
      <w:start w:val="1"/>
      <w:numFmt w:val="bullet"/>
      <w:lvlText w:val=""/>
      <w:lvlJc w:val="left"/>
      <w:pPr>
        <w:tabs>
          <w:tab w:val="num" w:pos="3960"/>
        </w:tabs>
        <w:ind w:left="3960" w:hanging="360"/>
      </w:pPr>
      <w:rPr>
        <w:rFonts w:ascii="Wingdings" w:hAnsi="Wingdings" w:hint="default"/>
      </w:rPr>
    </w:lvl>
    <w:lvl w:ilvl="6" w:tplc="B8981E7C" w:tentative="1">
      <w:start w:val="1"/>
      <w:numFmt w:val="bullet"/>
      <w:lvlText w:val=""/>
      <w:lvlJc w:val="left"/>
      <w:pPr>
        <w:tabs>
          <w:tab w:val="num" w:pos="4680"/>
        </w:tabs>
        <w:ind w:left="4680" w:hanging="360"/>
      </w:pPr>
      <w:rPr>
        <w:rFonts w:ascii="Symbol" w:hAnsi="Symbol" w:hint="default"/>
      </w:rPr>
    </w:lvl>
    <w:lvl w:ilvl="7" w:tplc="DD46735E" w:tentative="1">
      <w:start w:val="1"/>
      <w:numFmt w:val="bullet"/>
      <w:lvlText w:val="o"/>
      <w:lvlJc w:val="left"/>
      <w:pPr>
        <w:tabs>
          <w:tab w:val="num" w:pos="5400"/>
        </w:tabs>
        <w:ind w:left="5400" w:hanging="360"/>
      </w:pPr>
      <w:rPr>
        <w:rFonts w:ascii="Courier New" w:hAnsi="Courier New" w:hint="default"/>
      </w:rPr>
    </w:lvl>
    <w:lvl w:ilvl="8" w:tplc="3AFC69F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75B5D1A"/>
    <w:multiLevelType w:val="hybridMultilevel"/>
    <w:tmpl w:val="EF202E4C"/>
    <w:lvl w:ilvl="0" w:tplc="0AA6F858">
      <w:start w:val="1"/>
      <w:numFmt w:val="bullet"/>
      <w:lvlText w:val=""/>
      <w:lvlJc w:val="left"/>
      <w:pPr>
        <w:tabs>
          <w:tab w:val="num" w:pos="720"/>
        </w:tabs>
        <w:ind w:left="720" w:hanging="360"/>
      </w:pPr>
      <w:rPr>
        <w:rFonts w:ascii="Symbol" w:hAnsi="Symbol" w:hint="default"/>
      </w:rPr>
    </w:lvl>
    <w:lvl w:ilvl="1" w:tplc="F9A024C8" w:tentative="1">
      <w:start w:val="1"/>
      <w:numFmt w:val="bullet"/>
      <w:lvlText w:val="o"/>
      <w:lvlJc w:val="left"/>
      <w:pPr>
        <w:tabs>
          <w:tab w:val="num" w:pos="1440"/>
        </w:tabs>
        <w:ind w:left="1440" w:hanging="360"/>
      </w:pPr>
      <w:rPr>
        <w:rFonts w:ascii="Courier New" w:hAnsi="Courier New" w:hint="default"/>
      </w:rPr>
    </w:lvl>
    <w:lvl w:ilvl="2" w:tplc="72EA0D7E" w:tentative="1">
      <w:start w:val="1"/>
      <w:numFmt w:val="bullet"/>
      <w:lvlText w:val=""/>
      <w:lvlJc w:val="left"/>
      <w:pPr>
        <w:tabs>
          <w:tab w:val="num" w:pos="2160"/>
        </w:tabs>
        <w:ind w:left="2160" w:hanging="360"/>
      </w:pPr>
      <w:rPr>
        <w:rFonts w:ascii="Wingdings" w:hAnsi="Wingdings" w:hint="default"/>
      </w:rPr>
    </w:lvl>
    <w:lvl w:ilvl="3" w:tplc="1D8E0FC2" w:tentative="1">
      <w:start w:val="1"/>
      <w:numFmt w:val="bullet"/>
      <w:lvlText w:val=""/>
      <w:lvlJc w:val="left"/>
      <w:pPr>
        <w:tabs>
          <w:tab w:val="num" w:pos="2880"/>
        </w:tabs>
        <w:ind w:left="2880" w:hanging="360"/>
      </w:pPr>
      <w:rPr>
        <w:rFonts w:ascii="Symbol" w:hAnsi="Symbol" w:hint="default"/>
      </w:rPr>
    </w:lvl>
    <w:lvl w:ilvl="4" w:tplc="096CEC02" w:tentative="1">
      <w:start w:val="1"/>
      <w:numFmt w:val="bullet"/>
      <w:lvlText w:val="o"/>
      <w:lvlJc w:val="left"/>
      <w:pPr>
        <w:tabs>
          <w:tab w:val="num" w:pos="3600"/>
        </w:tabs>
        <w:ind w:left="3600" w:hanging="360"/>
      </w:pPr>
      <w:rPr>
        <w:rFonts w:ascii="Courier New" w:hAnsi="Courier New" w:hint="default"/>
      </w:rPr>
    </w:lvl>
    <w:lvl w:ilvl="5" w:tplc="A3F210A4" w:tentative="1">
      <w:start w:val="1"/>
      <w:numFmt w:val="bullet"/>
      <w:lvlText w:val=""/>
      <w:lvlJc w:val="left"/>
      <w:pPr>
        <w:tabs>
          <w:tab w:val="num" w:pos="4320"/>
        </w:tabs>
        <w:ind w:left="4320" w:hanging="360"/>
      </w:pPr>
      <w:rPr>
        <w:rFonts w:ascii="Wingdings" w:hAnsi="Wingdings" w:hint="default"/>
      </w:rPr>
    </w:lvl>
    <w:lvl w:ilvl="6" w:tplc="CBE496E2" w:tentative="1">
      <w:start w:val="1"/>
      <w:numFmt w:val="bullet"/>
      <w:lvlText w:val=""/>
      <w:lvlJc w:val="left"/>
      <w:pPr>
        <w:tabs>
          <w:tab w:val="num" w:pos="5040"/>
        </w:tabs>
        <w:ind w:left="5040" w:hanging="360"/>
      </w:pPr>
      <w:rPr>
        <w:rFonts w:ascii="Symbol" w:hAnsi="Symbol" w:hint="default"/>
      </w:rPr>
    </w:lvl>
    <w:lvl w:ilvl="7" w:tplc="D2A46C8E" w:tentative="1">
      <w:start w:val="1"/>
      <w:numFmt w:val="bullet"/>
      <w:lvlText w:val="o"/>
      <w:lvlJc w:val="left"/>
      <w:pPr>
        <w:tabs>
          <w:tab w:val="num" w:pos="5760"/>
        </w:tabs>
        <w:ind w:left="5760" w:hanging="360"/>
      </w:pPr>
      <w:rPr>
        <w:rFonts w:ascii="Courier New" w:hAnsi="Courier New" w:hint="default"/>
      </w:rPr>
    </w:lvl>
    <w:lvl w:ilvl="8" w:tplc="17FC6D1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9"/>
  </w:num>
  <w:num w:numId="4">
    <w:abstractNumId w:val="24"/>
  </w:num>
  <w:num w:numId="5">
    <w:abstractNumId w:val="15"/>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964EF2-1F06-4524-9A59-E0378A47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14.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28642</Words>
  <Characters>138631</Characters>
  <Application>Microsoft Office Word</Application>
  <DocSecurity>0</DocSecurity>
  <Lines>3554</Lines>
  <Paragraphs>1779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00-d0-02 - 00-e0-02</dc:title>
  <dc:subject/>
  <dc:creator/>
  <cp:keywords/>
  <dc:description/>
  <cp:lastModifiedBy>Master Repository Process</cp:lastModifiedBy>
  <cp:revision>2</cp:revision>
  <cp:lastPrinted>2005-03-15T03:02:00Z</cp:lastPrinted>
  <dcterms:created xsi:type="dcterms:W3CDTF">2021-07-31T08:30:00Z</dcterms:created>
  <dcterms:modified xsi:type="dcterms:W3CDTF">2021-07-31T08:31:00Z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20061009</vt:lpwstr>
  </property>
  <property fmtid="{D5CDD505-2E9C-101B-9397-08002B2CF9AE}" pid="4" name="DocumentType">
    <vt:lpwstr>Reg</vt:lpwstr>
  </property>
  <property fmtid="{D5CDD505-2E9C-101B-9397-08002B2CF9AE}" pid="5" name="OwlsUID">
    <vt:i4>34116</vt:i4>
  </property>
  <property fmtid="{D5CDD505-2E9C-101B-9397-08002B2CF9AE}" pid="6" name="FromSuffix">
    <vt:lpwstr>00-d0-02</vt:lpwstr>
  </property>
  <property fmtid="{D5CDD505-2E9C-101B-9397-08002B2CF9AE}" pid="7" name="FromAsAtDate">
    <vt:lpwstr>29 Sep 2006</vt:lpwstr>
  </property>
  <property fmtid="{D5CDD505-2E9C-101B-9397-08002B2CF9AE}" pid="8" name="ToSuffix">
    <vt:lpwstr>00-e0-02</vt:lpwstr>
  </property>
  <property fmtid="{D5CDD505-2E9C-101B-9397-08002B2CF9AE}" pid="9" name="ToAsAtDate">
    <vt:lpwstr>09 Oct 2006</vt:lpwstr>
  </property>
</Properties>
</file>