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0" w:name="_GoBack"/>
      <w:bookmarkEnd w:id="0"/>
      <w:r>
        <w:rPr>
          <w:snapToGrid w:val="0"/>
        </w:rPr>
        <w:t xml:space="preserve">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18092217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6" w:name="_Toc51409195"/>
      <w:bookmarkStart w:id="7" w:name="_Toc74985429"/>
      <w:bookmarkStart w:id="8" w:name="_Toc77666774"/>
      <w:bookmarkStart w:id="9" w:name="_Toc92439121"/>
      <w:bookmarkStart w:id="10" w:name="_Toc18092217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409196"/>
      <w:bookmarkStart w:id="12" w:name="_Toc74985430"/>
      <w:bookmarkStart w:id="13" w:name="_Toc77666775"/>
      <w:bookmarkStart w:id="14" w:name="_Toc92439122"/>
      <w:bookmarkStart w:id="15" w:name="_Toc18092217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aerial spraying</w:t>
      </w:r>
      <w:r>
        <w:rPr>
          <w:b/>
        </w:rPr>
        <w:t>”</w:t>
      </w:r>
      <w:r>
        <w:t xml:space="preserve"> means the spraying, spreading or dispersing of any agricultural chemical from an aircraft in flight;</w:t>
      </w:r>
    </w:p>
    <w:p>
      <w:pPr>
        <w:pStyle w:val="Defstart"/>
      </w:pPr>
      <w:r>
        <w:rPr>
          <w:b/>
        </w:rPr>
        <w:tab/>
        <w:t>“</w:t>
      </w:r>
      <w:r>
        <w:rPr>
          <w:rStyle w:val="CharDefText"/>
        </w:rPr>
        <w:t>agricultural chemical</w:t>
      </w:r>
      <w:r>
        <w:rPr>
          <w:b/>
        </w:rPr>
        <w:t>”</w:t>
      </w:r>
      <w:r>
        <w:t xml:space="preserve"> means any chemical prescribed as an insecticide, fungicide or herbicide, or as an agricultural chemical or fertilizer or any preparation containing a chemical so prescribed;</w:t>
      </w:r>
    </w:p>
    <w:p>
      <w:pPr>
        <w:pStyle w:val="Defstart"/>
      </w:pPr>
      <w:r>
        <w:rPr>
          <w:b/>
        </w:rPr>
        <w:tab/>
        <w:t>“</w:t>
      </w:r>
      <w:r>
        <w:rPr>
          <w:rStyle w:val="CharDefText"/>
        </w:rPr>
        <w:t>aircraft</w:t>
      </w:r>
      <w:r>
        <w:rPr>
          <w:b/>
        </w:rPr>
        <w:t>”</w:t>
      </w:r>
      <w:r>
        <w:t xml:space="preserve"> means a machine that can derive support in the atmosphere from the reactions of the air;</w:t>
      </w:r>
    </w:p>
    <w:p>
      <w:pPr>
        <w:pStyle w:val="Defstart"/>
      </w:pPr>
      <w:r>
        <w:rPr>
          <w:b/>
        </w:rPr>
        <w:tab/>
        <w:t>“</w:t>
      </w:r>
      <w:r>
        <w:rPr>
          <w:rStyle w:val="CharDefText"/>
        </w:rPr>
        <w:t>certificate</w:t>
      </w:r>
      <w:r>
        <w:rPr>
          <w:b/>
        </w:rPr>
        <w:t>”</w:t>
      </w:r>
      <w:r>
        <w:t xml:space="preserve"> means a current and valid pilot chemical rating certificate granted to a pilot of an aircraft by the Director under section 7;</w:t>
      </w:r>
    </w:p>
    <w:p>
      <w:pPr>
        <w:pStyle w:val="Defstart"/>
      </w:pPr>
      <w:r>
        <w:rPr>
          <w:b/>
        </w:rPr>
        <w:tab/>
        <w:t>“</w:t>
      </w:r>
      <w:r>
        <w:rPr>
          <w:rStyle w:val="CharDefText"/>
        </w:rPr>
        <w:t>hazardous area</w:t>
      </w:r>
      <w:r>
        <w:rPr>
          <w:b/>
        </w:rPr>
        <w:t>”</w:t>
      </w:r>
      <w:r>
        <w:t xml:space="preserve"> means an area declared by the Minister under section 9 to be a hazardous area for the purposes of this Act;</w:t>
      </w:r>
    </w:p>
    <w:p>
      <w:pPr>
        <w:pStyle w:val="Defstart"/>
      </w:pPr>
      <w:r>
        <w:rPr>
          <w:b/>
        </w:rPr>
        <w:tab/>
        <w:t>“</w:t>
      </w:r>
      <w:r>
        <w:rPr>
          <w:rStyle w:val="CharDefText"/>
        </w:rPr>
        <w:t>owner</w:t>
      </w:r>
      <w:r>
        <w:rPr>
          <w:b/>
        </w:rPr>
        <w:t>”</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t>“</w:t>
      </w:r>
      <w:r>
        <w:rPr>
          <w:rStyle w:val="CharDefText"/>
        </w:rPr>
        <w:t>pilot in command</w:t>
      </w:r>
      <w:r>
        <w:rPr>
          <w:b/>
        </w:rPr>
        <w:t>”</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t>“</w:t>
      </w:r>
      <w:r>
        <w:rPr>
          <w:rStyle w:val="CharDefText"/>
        </w:rPr>
        <w:t>spray drift</w:t>
      </w:r>
      <w:r>
        <w:rPr>
          <w:b/>
        </w:rPr>
        <w: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t>“</w:t>
      </w:r>
      <w:r>
        <w:rPr>
          <w:rStyle w:val="CharDefText"/>
        </w:rPr>
        <w:t>the Department</w:t>
      </w:r>
      <w:r>
        <w:rPr>
          <w:b/>
        </w:rPr>
        <w:t>”</w:t>
      </w:r>
      <w:r>
        <w:t xml:space="preserve"> means the department of the State Public Service known as the Department of Agriculture;</w:t>
      </w:r>
    </w:p>
    <w:p>
      <w:pPr>
        <w:pStyle w:val="Defstart"/>
      </w:pPr>
      <w:r>
        <w:rPr>
          <w:b/>
        </w:rPr>
        <w:tab/>
        <w:t>“</w:t>
      </w:r>
      <w:r>
        <w:rPr>
          <w:rStyle w:val="CharDefText"/>
        </w:rPr>
        <w:t>the Director</w:t>
      </w:r>
      <w:r>
        <w:rPr>
          <w:b/>
        </w:rPr>
        <w:t>”</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6" w:name="_Toc51409197"/>
      <w:bookmarkStart w:id="17" w:name="_Toc74985431"/>
      <w:bookmarkStart w:id="18" w:name="_Toc77666776"/>
      <w:bookmarkStart w:id="19" w:name="_Toc92439123"/>
      <w:bookmarkStart w:id="20" w:name="_Toc180922174"/>
      <w:r>
        <w:rPr>
          <w:rStyle w:val="CharSectno"/>
        </w:rPr>
        <w:t>4</w:t>
      </w:r>
      <w:r>
        <w:rPr>
          <w:snapToGrid w:val="0"/>
        </w:rPr>
        <w:t>.</w:t>
      </w:r>
      <w:r>
        <w:rPr>
          <w:snapToGrid w:val="0"/>
        </w:rPr>
        <w:tab/>
        <w:t>Severability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1" w:name="_Toc51409198"/>
      <w:bookmarkStart w:id="22" w:name="_Toc74985432"/>
      <w:bookmarkStart w:id="23" w:name="_Toc77666777"/>
      <w:bookmarkStart w:id="24" w:name="_Toc92439124"/>
      <w:bookmarkStart w:id="25" w:name="_Toc180922175"/>
      <w:r>
        <w:rPr>
          <w:rStyle w:val="CharSectno"/>
        </w:rPr>
        <w:t>5</w:t>
      </w:r>
      <w:r>
        <w:rPr>
          <w:snapToGrid w:val="0"/>
        </w:rPr>
        <w:t>.</w:t>
      </w:r>
      <w:r>
        <w:rPr>
          <w:snapToGrid w:val="0"/>
        </w:rPr>
        <w:tab/>
        <w:t>Application of Act to Crown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6" w:name="_Toc51409199"/>
      <w:bookmarkStart w:id="27" w:name="_Toc74985433"/>
      <w:bookmarkStart w:id="28" w:name="_Toc77666778"/>
      <w:bookmarkStart w:id="29" w:name="_Toc92439125"/>
      <w:bookmarkStart w:id="30" w:name="_Toc180922176"/>
      <w:r>
        <w:rPr>
          <w:rStyle w:val="CharSectno"/>
        </w:rPr>
        <w:t>6</w:t>
      </w:r>
      <w:r>
        <w:rPr>
          <w:snapToGrid w:val="0"/>
        </w:rPr>
        <w:t>.</w:t>
      </w:r>
      <w:r>
        <w:rPr>
          <w:snapToGrid w:val="0"/>
        </w:rPr>
        <w:tab/>
        <w:t>Control of aerial spraying</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1" w:name="_Toc51409200"/>
      <w:bookmarkStart w:id="32" w:name="_Toc74985434"/>
      <w:bookmarkStart w:id="33" w:name="_Toc77666779"/>
      <w:bookmarkStart w:id="34" w:name="_Toc92439126"/>
      <w:bookmarkStart w:id="35" w:name="_Toc180922177"/>
      <w:r>
        <w:rPr>
          <w:rStyle w:val="CharSectno"/>
        </w:rPr>
        <w:t>7</w:t>
      </w:r>
      <w:r>
        <w:rPr>
          <w:snapToGrid w:val="0"/>
        </w:rPr>
        <w:t>.</w:t>
      </w:r>
      <w:r>
        <w:rPr>
          <w:snapToGrid w:val="0"/>
        </w:rPr>
        <w:tab/>
        <w:t>Application for and effect of certificate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6" w:name="_Toc51409201"/>
      <w:bookmarkStart w:id="37" w:name="_Toc74985435"/>
      <w:bookmarkStart w:id="38" w:name="_Toc77666780"/>
      <w:bookmarkStart w:id="39" w:name="_Toc92439127"/>
      <w:bookmarkStart w:id="40" w:name="_Toc180922178"/>
      <w:r>
        <w:rPr>
          <w:rStyle w:val="CharSectno"/>
        </w:rPr>
        <w:t>8</w:t>
      </w:r>
      <w:r>
        <w:rPr>
          <w:snapToGrid w:val="0"/>
        </w:rPr>
        <w:t>.</w:t>
      </w:r>
      <w:r>
        <w:rPr>
          <w:snapToGrid w:val="0"/>
        </w:rPr>
        <w:tab/>
        <w:t xml:space="preserve">Appeal against </w:t>
      </w:r>
      <w:bookmarkEnd w:id="36"/>
      <w:bookmarkEnd w:id="37"/>
      <w:r>
        <w:rPr>
          <w:snapToGrid w:val="0"/>
        </w:rPr>
        <w:t>decision of Director</w:t>
      </w:r>
      <w:bookmarkEnd w:id="38"/>
      <w:bookmarkEnd w:id="39"/>
      <w:bookmarkEnd w:id="40"/>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1" w:name="_Toc51409202"/>
      <w:bookmarkStart w:id="42" w:name="_Toc74985436"/>
      <w:bookmarkStart w:id="43" w:name="_Toc77666781"/>
      <w:r>
        <w:tab/>
        <w:t>[(2), (3)</w:t>
      </w:r>
      <w:r>
        <w:tab/>
        <w:t>repealed]</w:t>
      </w:r>
    </w:p>
    <w:p>
      <w:pPr>
        <w:pStyle w:val="Footnotesection"/>
      </w:pPr>
      <w:r>
        <w:tab/>
        <w:t xml:space="preserve">[Section 8 amended by No. 55 of 2004 s. 15.] </w:t>
      </w:r>
    </w:p>
    <w:p>
      <w:pPr>
        <w:pStyle w:val="Heading5"/>
        <w:rPr>
          <w:snapToGrid w:val="0"/>
        </w:rPr>
      </w:pPr>
      <w:bookmarkStart w:id="44" w:name="_Toc92439128"/>
      <w:bookmarkStart w:id="45" w:name="_Toc180922179"/>
      <w:r>
        <w:rPr>
          <w:rStyle w:val="CharSectno"/>
        </w:rPr>
        <w:t>9</w:t>
      </w:r>
      <w:r>
        <w:rPr>
          <w:snapToGrid w:val="0"/>
        </w:rPr>
        <w:t>.</w:t>
      </w:r>
      <w:r>
        <w:rPr>
          <w:snapToGrid w:val="0"/>
        </w:rPr>
        <w:tab/>
        <w:t>Hazardous areas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6" w:name="_Toc51409203"/>
      <w:bookmarkStart w:id="47" w:name="_Toc74985437"/>
      <w:bookmarkStart w:id="48" w:name="_Toc77666782"/>
      <w:bookmarkStart w:id="49" w:name="_Toc92439129"/>
      <w:bookmarkStart w:id="50" w:name="_Toc180922180"/>
      <w:r>
        <w:rPr>
          <w:rStyle w:val="CharSectno"/>
        </w:rPr>
        <w:t>10</w:t>
      </w:r>
      <w:r>
        <w:rPr>
          <w:snapToGrid w:val="0"/>
        </w:rPr>
        <w:t>.</w:t>
      </w:r>
      <w:r>
        <w:rPr>
          <w:snapToGrid w:val="0"/>
        </w:rPr>
        <w:tab/>
        <w:t>Security to be lodged by owner of aircraft against damage</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b/>
          <w:snapToGrid w:val="0"/>
        </w:rPr>
        <w:t>“</w:t>
      </w:r>
      <w:r>
        <w:rPr>
          <w:rStyle w:val="CharDefText"/>
        </w:rPr>
        <w:t>approved company</w:t>
      </w:r>
      <w:r>
        <w:rPr>
          <w:b/>
          <w:snapToGrid w:val="0"/>
        </w:rPr>
        <w:t>”</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1" w:name="_Toc51409204"/>
      <w:bookmarkStart w:id="52" w:name="_Toc74985438"/>
      <w:bookmarkStart w:id="53" w:name="_Toc77666783"/>
      <w:bookmarkStart w:id="54" w:name="_Toc92439130"/>
      <w:bookmarkStart w:id="55" w:name="_Toc180922181"/>
      <w:r>
        <w:rPr>
          <w:rStyle w:val="CharSectno"/>
        </w:rPr>
        <w:t>11</w:t>
      </w:r>
      <w:r>
        <w:rPr>
          <w:snapToGrid w:val="0"/>
        </w:rPr>
        <w:t>.</w:t>
      </w:r>
      <w:r>
        <w:rPr>
          <w:snapToGrid w:val="0"/>
        </w:rPr>
        <w:tab/>
        <w:t>Offence</w:t>
      </w:r>
      <w:bookmarkEnd w:id="51"/>
      <w:bookmarkEnd w:id="52"/>
      <w:r>
        <w:rPr>
          <w:snapToGrid w:val="0"/>
        </w:rPr>
        <w:t> — aerial spraying without security</w:t>
      </w:r>
      <w:bookmarkEnd w:id="53"/>
      <w:bookmarkEnd w:id="54"/>
      <w:bookmarkEnd w:id="55"/>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6" w:name="_Toc51409205"/>
      <w:bookmarkStart w:id="57" w:name="_Toc74985439"/>
      <w:bookmarkStart w:id="58" w:name="_Toc77666784"/>
      <w:bookmarkStart w:id="59" w:name="_Toc92439131"/>
      <w:bookmarkStart w:id="60" w:name="_Toc180922182"/>
      <w:r>
        <w:rPr>
          <w:rStyle w:val="CharSectno"/>
        </w:rPr>
        <w:t>12</w:t>
      </w:r>
      <w:r>
        <w:rPr>
          <w:snapToGrid w:val="0"/>
        </w:rPr>
        <w:t>.</w:t>
      </w:r>
      <w:r>
        <w:rPr>
          <w:snapToGrid w:val="0"/>
        </w:rPr>
        <w:tab/>
        <w:t>Aircraft owner to keep records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1" w:name="_Toc51409206"/>
      <w:bookmarkStart w:id="62" w:name="_Toc74985440"/>
      <w:bookmarkStart w:id="63" w:name="_Toc77666785"/>
      <w:bookmarkStart w:id="64" w:name="_Toc92439132"/>
      <w:bookmarkStart w:id="65" w:name="_Toc180922183"/>
      <w:r>
        <w:rPr>
          <w:rStyle w:val="CharSectno"/>
        </w:rPr>
        <w:t>13</w:t>
      </w:r>
      <w:r>
        <w:rPr>
          <w:snapToGrid w:val="0"/>
        </w:rPr>
        <w:t>.</w:t>
      </w:r>
      <w:r>
        <w:rPr>
          <w:snapToGrid w:val="0"/>
        </w:rPr>
        <w:tab/>
        <w:t>Production of records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6" w:name="_Toc51409207"/>
      <w:bookmarkStart w:id="67" w:name="_Toc74985441"/>
      <w:bookmarkStart w:id="68" w:name="_Toc77666786"/>
      <w:bookmarkStart w:id="69" w:name="_Toc92439133"/>
      <w:bookmarkStart w:id="70" w:name="_Toc180922184"/>
      <w:r>
        <w:rPr>
          <w:rStyle w:val="CharSectno"/>
        </w:rPr>
        <w:t>13A</w:t>
      </w:r>
      <w:r>
        <w:rPr>
          <w:snapToGrid w:val="0"/>
        </w:rPr>
        <w:t xml:space="preserve">. </w:t>
      </w:r>
      <w:r>
        <w:rPr>
          <w:snapToGrid w:val="0"/>
        </w:rPr>
        <w:tab/>
        <w:t>Inspectors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1" w:name="_Toc51409208"/>
      <w:bookmarkStart w:id="72" w:name="_Toc74985442"/>
      <w:bookmarkStart w:id="73" w:name="_Toc77666787"/>
      <w:bookmarkStart w:id="74" w:name="_Toc92439134"/>
      <w:bookmarkStart w:id="75" w:name="_Toc180922185"/>
      <w:r>
        <w:rPr>
          <w:rStyle w:val="CharSectno"/>
        </w:rPr>
        <w:t>14</w:t>
      </w:r>
      <w:r>
        <w:rPr>
          <w:snapToGrid w:val="0"/>
        </w:rPr>
        <w:t>.</w:t>
      </w:r>
      <w:r>
        <w:rPr>
          <w:snapToGrid w:val="0"/>
        </w:rPr>
        <w:tab/>
        <w:t>Inspection of sprayed areas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6" w:name="_Toc51409209"/>
      <w:bookmarkStart w:id="77" w:name="_Toc74985443"/>
      <w:bookmarkStart w:id="78" w:name="_Toc77666788"/>
      <w:bookmarkStart w:id="79" w:name="_Toc92439135"/>
      <w:bookmarkStart w:id="80" w:name="_Toc180922186"/>
      <w:r>
        <w:rPr>
          <w:rStyle w:val="CharSectno"/>
        </w:rPr>
        <w:t>15</w:t>
      </w:r>
      <w:r>
        <w:rPr>
          <w:snapToGrid w:val="0"/>
        </w:rPr>
        <w:t>.</w:t>
      </w:r>
      <w:r>
        <w:rPr>
          <w:snapToGrid w:val="0"/>
        </w:rPr>
        <w:tab/>
        <w:t>Effect of failure to give notice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1" w:name="_Toc51409210"/>
      <w:bookmarkStart w:id="82" w:name="_Toc74985444"/>
      <w:bookmarkStart w:id="83" w:name="_Toc77666789"/>
      <w:bookmarkStart w:id="84" w:name="_Toc92439136"/>
      <w:bookmarkStart w:id="85" w:name="_Toc180922187"/>
      <w:r>
        <w:rPr>
          <w:rStyle w:val="CharSectno"/>
        </w:rPr>
        <w:t>16</w:t>
      </w:r>
      <w:r>
        <w:rPr>
          <w:snapToGrid w:val="0"/>
        </w:rPr>
        <w:t>.</w:t>
      </w:r>
      <w:r>
        <w:rPr>
          <w:snapToGrid w:val="0"/>
        </w:rPr>
        <w:tab/>
        <w:t>Certificate issued in another State valid for purposes of this Act</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6" w:name="_Toc51409211"/>
      <w:bookmarkStart w:id="87" w:name="_Toc74985445"/>
      <w:bookmarkStart w:id="88" w:name="_Toc77666790"/>
      <w:bookmarkStart w:id="89" w:name="_Toc92439137"/>
      <w:bookmarkStart w:id="90" w:name="_Toc180922188"/>
      <w:r>
        <w:rPr>
          <w:rStyle w:val="CharSectno"/>
        </w:rPr>
        <w:t>17</w:t>
      </w:r>
      <w:r>
        <w:rPr>
          <w:snapToGrid w:val="0"/>
        </w:rPr>
        <w:t>.</w:t>
      </w:r>
      <w:r>
        <w:rPr>
          <w:snapToGrid w:val="0"/>
        </w:rPr>
        <w:tab/>
        <w:t>Power of Director to delegate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1" w:name="_Toc51409212"/>
      <w:bookmarkStart w:id="92" w:name="_Toc74985446"/>
      <w:bookmarkStart w:id="93" w:name="_Toc77666791"/>
      <w:bookmarkStart w:id="94" w:name="_Toc92439138"/>
      <w:bookmarkStart w:id="95" w:name="_Toc180922189"/>
      <w:r>
        <w:rPr>
          <w:rStyle w:val="CharSectno"/>
        </w:rPr>
        <w:t>18</w:t>
      </w:r>
      <w:r>
        <w:rPr>
          <w:snapToGrid w:val="0"/>
        </w:rPr>
        <w:t>.</w:t>
      </w:r>
      <w:r>
        <w:rPr>
          <w:snapToGrid w:val="0"/>
        </w:rPr>
        <w:tab/>
        <w:t>General penalty provisions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6" w:name="_Toc51409213"/>
      <w:bookmarkStart w:id="97" w:name="_Toc74985447"/>
      <w:bookmarkStart w:id="98" w:name="_Toc77666792"/>
      <w:bookmarkStart w:id="99" w:name="_Toc92439139"/>
      <w:bookmarkStart w:id="100" w:name="_Toc180922190"/>
      <w:r>
        <w:rPr>
          <w:rStyle w:val="CharSectno"/>
        </w:rPr>
        <w:t>19</w:t>
      </w:r>
      <w:r>
        <w:rPr>
          <w:snapToGrid w:val="0"/>
        </w:rPr>
        <w:t>.</w:t>
      </w:r>
      <w:r>
        <w:rPr>
          <w:snapToGrid w:val="0"/>
        </w:rPr>
        <w:tab/>
        <w:t>Regulations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1" w:name="_Toc72569420"/>
      <w:bookmarkStart w:id="102" w:name="_Toc74985448"/>
      <w:bookmarkStart w:id="103" w:name="_Toc74985472"/>
      <w:bookmarkStart w:id="104" w:name="_Toc74986250"/>
      <w:bookmarkStart w:id="105" w:name="_Toc77666793"/>
      <w:bookmarkStart w:id="106" w:name="_Toc89139997"/>
      <w:bookmarkStart w:id="107" w:name="_Toc89162143"/>
      <w:bookmarkStart w:id="108" w:name="_Toc92439140"/>
      <w:bookmarkStart w:id="109" w:name="_Toc180479458"/>
      <w:bookmarkStart w:id="110" w:name="_Toc180479481"/>
      <w:bookmarkStart w:id="111" w:name="_Toc180479504"/>
      <w:bookmarkStart w:id="112" w:name="_Toc180479527"/>
      <w:bookmarkStart w:id="113" w:name="_Toc180922191"/>
      <w:r>
        <w:t>Notes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14" w:name="_Toc74985449"/>
      <w:bookmarkStart w:id="115" w:name="_Toc77666794"/>
      <w:bookmarkStart w:id="116" w:name="_Toc92439141"/>
      <w:bookmarkStart w:id="117" w:name="_Toc180922192"/>
      <w:r>
        <w:rPr>
          <w:snapToGrid w:val="0"/>
        </w:rPr>
        <w:t>Compilation table</w:t>
      </w:r>
      <w:bookmarkEnd w:id="114"/>
      <w:bookmarkEnd w:id="115"/>
      <w:bookmarkEnd w:id="116"/>
      <w:bookmarkEnd w:id="117"/>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 w:name="_Toc534778309"/>
      <w:bookmarkStart w:id="119" w:name="_Toc7405063"/>
      <w:bookmarkStart w:id="120" w:name="_Toc86554138"/>
      <w:bookmarkStart w:id="121" w:name="_Toc86554219"/>
      <w:bookmarkStart w:id="122" w:name="_Toc92439142"/>
      <w:bookmarkStart w:id="123" w:name="_Toc180922193"/>
      <w:r>
        <w:rPr>
          <w:snapToGrid w:val="0"/>
        </w:rPr>
        <w:t>Provisions that have not come into operation</w:t>
      </w:r>
      <w:bookmarkEnd w:id="118"/>
      <w:bookmarkEnd w:id="119"/>
      <w:bookmarkEnd w:id="120"/>
      <w:bookmarkEnd w:id="121"/>
      <w:bookmarkEnd w:id="122"/>
      <w:bookmarkEnd w:id="12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rPr>
          <w:ins w:id="124" w:author="svcMRProcess" w:date="2015-12-04T19:40:00Z"/>
        </w:trPr>
        <w:tc>
          <w:tcPr>
            <w:tcW w:w="2223" w:type="dxa"/>
            <w:tcBorders>
              <w:top w:val="nil"/>
              <w:bottom w:val="single" w:sz="4" w:space="0" w:color="auto"/>
            </w:tcBorders>
          </w:tcPr>
          <w:p>
            <w:pPr>
              <w:pStyle w:val="nTable"/>
              <w:rPr>
                <w:ins w:id="125" w:author="svcMRProcess" w:date="2015-12-04T19:40:00Z"/>
                <w:i/>
                <w:snapToGrid w:val="0"/>
                <w:sz w:val="19"/>
                <w:vertAlign w:val="superscript"/>
                <w:lang w:val="en-US"/>
              </w:rPr>
            </w:pPr>
            <w:ins w:id="126" w:author="svcMRProcess" w:date="2015-12-04T19:40:00Z">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ins>
          </w:p>
        </w:tc>
        <w:tc>
          <w:tcPr>
            <w:tcW w:w="1118" w:type="dxa"/>
            <w:tcBorders>
              <w:top w:val="nil"/>
              <w:bottom w:val="single" w:sz="4" w:space="0" w:color="auto"/>
            </w:tcBorders>
          </w:tcPr>
          <w:p>
            <w:pPr>
              <w:pStyle w:val="nTable"/>
              <w:rPr>
                <w:ins w:id="127" w:author="svcMRProcess" w:date="2015-12-04T19:40:00Z"/>
                <w:snapToGrid w:val="0"/>
                <w:sz w:val="19"/>
                <w:lang w:val="en-US"/>
              </w:rPr>
            </w:pPr>
            <w:ins w:id="128" w:author="svcMRProcess" w:date="2015-12-04T19:40:00Z">
              <w:r>
                <w:rPr>
                  <w:snapToGrid w:val="0"/>
                  <w:sz w:val="19"/>
                  <w:lang w:val="en-US"/>
                </w:rPr>
                <w:t>24 of 2007</w:t>
              </w:r>
            </w:ins>
          </w:p>
        </w:tc>
        <w:tc>
          <w:tcPr>
            <w:tcW w:w="1337" w:type="dxa"/>
            <w:tcBorders>
              <w:top w:val="nil"/>
              <w:bottom w:val="single" w:sz="4" w:space="0" w:color="auto"/>
            </w:tcBorders>
          </w:tcPr>
          <w:p>
            <w:pPr>
              <w:pStyle w:val="nTable"/>
              <w:rPr>
                <w:ins w:id="129" w:author="svcMRProcess" w:date="2015-12-04T19:40:00Z"/>
                <w:sz w:val="19"/>
              </w:rPr>
            </w:pPr>
            <w:ins w:id="130" w:author="svcMRProcess" w:date="2015-12-04T19:40:00Z">
              <w:r>
                <w:rPr>
                  <w:snapToGrid w:val="0"/>
                  <w:sz w:val="19"/>
                  <w:lang w:val="en-US"/>
                </w:rPr>
                <w:t>12 Oct 2007</w:t>
              </w:r>
            </w:ins>
          </w:p>
        </w:tc>
        <w:tc>
          <w:tcPr>
            <w:tcW w:w="2410" w:type="dxa"/>
            <w:tcBorders>
              <w:top w:val="nil"/>
              <w:bottom w:val="single" w:sz="4" w:space="0" w:color="auto"/>
            </w:tcBorders>
          </w:tcPr>
          <w:p>
            <w:pPr>
              <w:pStyle w:val="nTable"/>
              <w:rPr>
                <w:ins w:id="131" w:author="svcMRProcess" w:date="2015-12-04T19:40:00Z"/>
                <w:snapToGrid w:val="0"/>
                <w:sz w:val="19"/>
                <w:lang w:val="en-US"/>
              </w:rPr>
            </w:pPr>
            <w:ins w:id="132" w:author="svcMRProcess" w:date="2015-12-04T19:40:00Z">
              <w:r>
                <w:rPr>
                  <w:snapToGrid w:val="0"/>
                  <w:sz w:val="19"/>
                  <w:lang w:val="en-US"/>
                </w:rPr>
                <w:t>To be proclaimed (s. 2(2))</w:t>
              </w:r>
            </w:ins>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33" w:name="_Toc88630545"/>
      <w:r>
        <w:rPr>
          <w:rStyle w:val="CharSectno"/>
        </w:rPr>
        <w:t>142</w:t>
      </w:r>
      <w:r>
        <w:t>.</w:t>
      </w:r>
      <w:r>
        <w:tab/>
        <w:t>Other amendments to various Acts</w:t>
      </w:r>
      <w:bookmarkEnd w:id="13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34" w:name="_Toc491766628"/>
      <w:bookmarkStart w:id="135" w:name="_Toc497185753"/>
      <w:bookmarkStart w:id="136" w:name="_Toc88630724"/>
      <w:r>
        <w:t>2.</w:t>
      </w:r>
      <w:r>
        <w:tab/>
      </w:r>
      <w:r>
        <w:rPr>
          <w:i/>
        </w:rPr>
        <w:t>Aerial Spraying Control Act 1966</w:t>
      </w:r>
      <w:bookmarkEnd w:id="134"/>
      <w:bookmarkEnd w:id="135"/>
      <w:bookmarkEnd w:id="136"/>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trPr>
          <w:cantSplit/>
        </w:trPr>
        <w:tc>
          <w:tcPr>
            <w:tcW w:w="960" w:type="dxa"/>
          </w:tcPr>
          <w:p>
            <w:pPr>
              <w:pStyle w:val="nzTable"/>
            </w:pPr>
            <w:r>
              <w:t>s. 8(1)</w:t>
            </w:r>
          </w:p>
        </w:tc>
        <w:tc>
          <w:tcPr>
            <w:tcW w:w="5160" w:type="dxa"/>
          </w:tcPr>
          <w:p>
            <w:pPr>
              <w:pStyle w:val="nzTable"/>
            </w:pPr>
            <w:r>
              <w:t xml:space="preserve">Delete “to a Court of Petty Sessions constituted by a stipendiary magistrate sitting alone” and insert instead — </w:t>
            </w:r>
          </w:p>
          <w:p>
            <w:pPr>
              <w:pStyle w:val="nzTable"/>
            </w:pPr>
            <w:r>
              <w:t>“    to the Magistrates Court constituted by a magistrate    ”.</w:t>
            </w:r>
          </w:p>
        </w:tc>
      </w:tr>
    </w:tbl>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37" w:author="svcMRProcess" w:date="2015-12-04T19:40:00Z"/>
          <w:snapToGrid w:val="0"/>
        </w:rPr>
      </w:pPr>
      <w:ins w:id="138" w:author="svcMRProcess" w:date="2015-12-04T19:4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ins>
    </w:p>
    <w:p>
      <w:pPr>
        <w:pStyle w:val="MiscOpen"/>
        <w:keepNext w:val="0"/>
        <w:spacing w:before="60"/>
        <w:rPr>
          <w:ins w:id="139" w:author="svcMRProcess" w:date="2015-12-04T19:40:00Z"/>
          <w:sz w:val="20"/>
        </w:rPr>
      </w:pPr>
      <w:ins w:id="140" w:author="svcMRProcess" w:date="2015-12-04T19:40:00Z">
        <w:r>
          <w:rPr>
            <w:sz w:val="20"/>
          </w:rPr>
          <w:t>“</w:t>
        </w:r>
      </w:ins>
    </w:p>
    <w:p>
      <w:pPr>
        <w:pStyle w:val="nzHeading5"/>
        <w:rPr>
          <w:ins w:id="141" w:author="svcMRProcess" w:date="2015-12-04T19:40:00Z"/>
        </w:rPr>
      </w:pPr>
      <w:bookmarkStart w:id="142" w:name="_Toc117571204"/>
      <w:bookmarkStart w:id="143" w:name="_Toc179685612"/>
      <w:bookmarkStart w:id="144" w:name="_Toc180227110"/>
      <w:ins w:id="145" w:author="svcMRProcess" w:date="2015-12-04T19:40:00Z">
        <w:r>
          <w:rPr>
            <w:rStyle w:val="CharSectno"/>
          </w:rPr>
          <w:t>18</w:t>
        </w:r>
        <w:r>
          <w:t>.</w:t>
        </w:r>
        <w:r>
          <w:tab/>
          <w:t>Repeal</w:t>
        </w:r>
        <w:bookmarkEnd w:id="142"/>
        <w:bookmarkEnd w:id="143"/>
        <w:bookmarkEnd w:id="144"/>
      </w:ins>
    </w:p>
    <w:p>
      <w:pPr>
        <w:pStyle w:val="nzSubsection"/>
        <w:rPr>
          <w:ins w:id="146" w:author="svcMRProcess" w:date="2015-12-04T19:40:00Z"/>
        </w:rPr>
      </w:pPr>
      <w:ins w:id="147" w:author="svcMRProcess" w:date="2015-12-04T19:40:00Z">
        <w:r>
          <w:tab/>
        </w:r>
        <w:r>
          <w:tab/>
          <w:t xml:space="preserve">The </w:t>
        </w:r>
        <w:r>
          <w:rPr>
            <w:i/>
            <w:iCs/>
          </w:rPr>
          <w:t>Aerial Spraying Control Act 1966</w:t>
        </w:r>
        <w:r>
          <w:t xml:space="preserve"> is repealed.</w:t>
        </w:r>
      </w:ins>
    </w:p>
    <w:p>
      <w:pPr>
        <w:pStyle w:val="nzHeading5"/>
        <w:rPr>
          <w:ins w:id="148" w:author="svcMRProcess" w:date="2015-12-04T19:40:00Z"/>
        </w:rPr>
      </w:pPr>
      <w:bookmarkStart w:id="149" w:name="_Toc104891848"/>
      <w:bookmarkStart w:id="150" w:name="_Toc117571205"/>
      <w:bookmarkStart w:id="151" w:name="_Toc179685613"/>
      <w:bookmarkStart w:id="152" w:name="_Toc180227111"/>
      <w:ins w:id="153" w:author="svcMRProcess" w:date="2015-12-04T19:40:00Z">
        <w:r>
          <w:rPr>
            <w:rStyle w:val="CharSectno"/>
          </w:rPr>
          <w:t>19</w:t>
        </w:r>
        <w:r>
          <w:t>.</w:t>
        </w:r>
        <w:r>
          <w:tab/>
          <w:t>Transitional provision</w:t>
        </w:r>
        <w:bookmarkEnd w:id="149"/>
        <w:bookmarkEnd w:id="150"/>
        <w:bookmarkEnd w:id="151"/>
        <w:bookmarkEnd w:id="152"/>
      </w:ins>
    </w:p>
    <w:p>
      <w:pPr>
        <w:pStyle w:val="nzSubsection"/>
        <w:rPr>
          <w:ins w:id="154" w:author="svcMRProcess" w:date="2015-12-04T19:40:00Z"/>
        </w:rPr>
      </w:pPr>
      <w:ins w:id="155" w:author="svcMRProcess" w:date="2015-12-04T19:40:00Z">
        <w:r>
          <w:tab/>
          <w:t>(1)</w:t>
        </w:r>
        <w:r>
          <w:tab/>
          <w:t xml:space="preserve">In this section — </w:t>
        </w:r>
      </w:ins>
    </w:p>
    <w:p>
      <w:pPr>
        <w:pStyle w:val="nzDefstart"/>
        <w:rPr>
          <w:ins w:id="156" w:author="svcMRProcess" w:date="2015-12-04T19:40:00Z"/>
        </w:rPr>
      </w:pPr>
      <w:ins w:id="157" w:author="svcMRProcess" w:date="2015-12-04T19:40:00Z">
        <w:r>
          <w:rPr>
            <w:b/>
          </w:rPr>
          <w:tab/>
          <w:t>“</w:t>
        </w:r>
        <w:r>
          <w:rPr>
            <w:rStyle w:val="CharDefText"/>
          </w:rPr>
          <w:t>aerial spraying</w:t>
        </w:r>
        <w:r>
          <w:rPr>
            <w:b/>
          </w:rPr>
          <w:t>”</w:t>
        </w:r>
        <w:r>
          <w:t xml:space="preserve"> has the same meaning as in the repealed Act;</w:t>
        </w:r>
      </w:ins>
    </w:p>
    <w:p>
      <w:pPr>
        <w:pStyle w:val="nzDefstart"/>
        <w:rPr>
          <w:ins w:id="158" w:author="svcMRProcess" w:date="2015-12-04T19:40:00Z"/>
        </w:rPr>
      </w:pPr>
      <w:ins w:id="159" w:author="svcMRProcess" w:date="2015-12-04T19:40:00Z">
        <w:r>
          <w:rPr>
            <w:b/>
          </w:rPr>
          <w:tab/>
          <w:t>“</w:t>
        </w:r>
        <w:r>
          <w:rPr>
            <w:rStyle w:val="CharDefText"/>
          </w:rPr>
          <w:t>repealed Act</w:t>
        </w:r>
        <w:r>
          <w:rPr>
            <w:b/>
          </w:rPr>
          <w:t>”</w:t>
        </w:r>
        <w:r>
          <w:t xml:space="preserve"> means the </w:t>
        </w:r>
        <w:r>
          <w:rPr>
            <w:i/>
            <w:iCs/>
          </w:rPr>
          <w:t>Aerial Spraying Control Act 1966</w:t>
        </w:r>
        <w:r>
          <w:t>.</w:t>
        </w:r>
      </w:ins>
    </w:p>
    <w:p>
      <w:pPr>
        <w:pStyle w:val="nzDefstart"/>
        <w:rPr>
          <w:ins w:id="160" w:author="svcMRProcess" w:date="2015-12-04T19:40:00Z"/>
        </w:rPr>
      </w:pPr>
      <w:ins w:id="161" w:author="svcMRProcess" w:date="2015-12-04T19:40:00Z">
        <w:r>
          <w:rPr>
            <w:b/>
          </w:rPr>
          <w:tab/>
          <w:t>“</w:t>
        </w:r>
        <w:r>
          <w:rPr>
            <w:rStyle w:val="CharDefText"/>
          </w:rPr>
          <w:t>spray drift</w:t>
        </w:r>
        <w:r>
          <w:rPr>
            <w:b/>
          </w:rPr>
          <w:t>”</w:t>
        </w:r>
        <w:r>
          <w:t xml:space="preserve"> has the same meaning as in the repealed Act;</w:t>
        </w:r>
      </w:ins>
    </w:p>
    <w:p>
      <w:pPr>
        <w:pStyle w:val="nzSubsection"/>
        <w:rPr>
          <w:ins w:id="162" w:author="svcMRProcess" w:date="2015-12-04T19:40:00Z"/>
        </w:rPr>
      </w:pPr>
      <w:ins w:id="163" w:author="svcMRProcess" w:date="2015-12-04T19:40:00Z">
        <w:r>
          <w:tab/>
          <w:t>(2)</w:t>
        </w:r>
        <w:r>
          <w:tab/>
          <w:t>Sections 14(4), (5) and (6) and 15 of the repealed Act continue to apply in relation to aerial spraying carried out before the coming into operation of this section, and in relation to any spray drift from that aerial spraying.</w:t>
        </w:r>
      </w:ins>
    </w:p>
    <w:p>
      <w:pPr>
        <w:pStyle w:val="nzSubsection"/>
        <w:rPr>
          <w:ins w:id="164" w:author="svcMRProcess" w:date="2015-12-04T19:40:00Z"/>
        </w:rPr>
      </w:pPr>
    </w:p>
    <w:p>
      <w:pPr>
        <w:pStyle w:val="MiscClose"/>
        <w:rPr>
          <w:ins w:id="165" w:author="svcMRProcess" w:date="2015-12-04T19:40:00Z"/>
        </w:rPr>
      </w:pPr>
      <w:ins w:id="166" w:author="svcMRProcess" w:date="2015-12-04T19:40: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45"/>
    <w:docVar w:name="WAFER_20151204114845" w:val="RemoveTrackChanges"/>
    <w:docVar w:name="WAFER_20151204114845_GUID" w:val="0985134e-a094-47b5-b3b5-f46c03106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5670</Words>
  <Characters>26480</Characters>
  <Application>Microsoft Office Word</Application>
  <DocSecurity>0</DocSecurity>
  <Lines>696</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03-b0-03 - 03-c0-02</dc:title>
  <dc:subject/>
  <dc:creator/>
  <cp:keywords/>
  <dc:description/>
  <cp:lastModifiedBy>svcMRProcess</cp:lastModifiedBy>
  <cp:revision>2</cp:revision>
  <cp:lastPrinted>2004-07-05T02:48:00Z</cp:lastPrinted>
  <dcterms:created xsi:type="dcterms:W3CDTF">2015-12-04T11:40:00Z</dcterms:created>
  <dcterms:modified xsi:type="dcterms:W3CDTF">2015-12-04T11:40:00Z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vt:i4>
  </property>
  <property fmtid="{D5CDD505-2E9C-101B-9397-08002B2CF9AE}" pid="6" name="FromSuffix">
    <vt:lpwstr>03-b0-03</vt:lpwstr>
  </property>
  <property fmtid="{D5CDD505-2E9C-101B-9397-08002B2CF9AE}" pid="7" name="FromAsAtDate">
    <vt:lpwstr>01 Jan 2005</vt:lpwstr>
  </property>
  <property fmtid="{D5CDD505-2E9C-101B-9397-08002B2CF9AE}" pid="8" name="ToSuffix">
    <vt:lpwstr>03-c0-02</vt:lpwstr>
  </property>
  <property fmtid="{D5CDD505-2E9C-101B-9397-08002B2CF9AE}" pid="9" name="ToAsAtDate">
    <vt:lpwstr>12 Oct 2007</vt:lpwstr>
  </property>
</Properties>
</file>