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(Marillana Creek) Agreement Act 1991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(Marillana Creek) Agreement Act 1991</w:t>
      </w:r>
      <w:r>
        <w:fldChar w:fldCharType="end"/>
      </w:r>
    </w:p>
    <w:p>
      <w:pPr>
        <w:pStyle w:val="Arrangement"/>
      </w:pPr>
      <w:r>
        <w:t>CONTENTS</w:t>
      </w:r>
    </w:p>
    <w:p>
      <w:pPr>
        <w:pStyle w:val="TOC4"/>
        <w:tabs>
          <w:tab w:val="left" w:pos="1701"/>
        </w:tabs>
        <w:rPr>
          <w:noProof/>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_Toc7595209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_Toc7595210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_Toc7595211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4</w:t>
      </w:r>
      <w:r>
        <w:rPr>
          <w:noProof/>
          <w:snapToGrid w:val="0"/>
        </w:rPr>
        <w:t>.</w:t>
      </w:r>
      <w:r>
        <w:rPr>
          <w:noProof/>
        </w:rPr>
        <w:tab/>
      </w:r>
      <w:r>
        <w:rPr>
          <w:noProof/>
          <w:snapToGrid w:val="0"/>
        </w:rPr>
        <w:t>Agreement ratified</w:t>
      </w:r>
      <w:r>
        <w:rPr>
          <w:noProof/>
        </w:rPr>
        <w:tab/>
      </w:r>
      <w:r>
        <w:rPr>
          <w:noProof/>
        </w:rPr>
        <w:fldChar w:fldCharType="begin"/>
      </w:r>
      <w:r>
        <w:rPr>
          <w:noProof/>
        </w:rPr>
        <w:instrText xml:space="preserve"> PAGEREF _Toc7595212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4A</w:t>
      </w:r>
      <w:r>
        <w:rPr>
          <w:noProof/>
          <w:snapToGrid w:val="0"/>
        </w:rPr>
        <w:t>.</w:t>
      </w:r>
      <w:r>
        <w:rPr>
          <w:noProof/>
        </w:rPr>
        <w:tab/>
      </w:r>
      <w:r>
        <w:rPr>
          <w:noProof/>
          <w:snapToGrid w:val="0"/>
        </w:rPr>
        <w:t>Variation Agreement</w:t>
      </w:r>
      <w:r>
        <w:rPr>
          <w:noProof/>
        </w:rPr>
        <w:tab/>
      </w:r>
      <w:r>
        <w:rPr>
          <w:noProof/>
        </w:rPr>
        <w:fldChar w:fldCharType="begin"/>
      </w:r>
      <w:r>
        <w:rPr>
          <w:noProof/>
        </w:rPr>
        <w:instrText xml:space="preserve"> PAGEREF _Toc7595213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5.</w:t>
      </w:r>
      <w:r>
        <w:rPr>
          <w:noProof/>
        </w:rPr>
        <w:tab/>
        <w:t>Second Variation Agreement</w:t>
      </w:r>
      <w:r>
        <w:rPr>
          <w:noProof/>
        </w:rPr>
        <w:tab/>
      </w:r>
      <w:r>
        <w:rPr>
          <w:noProof/>
        </w:rPr>
        <w:fldChar w:fldCharType="begin"/>
      </w:r>
      <w:r>
        <w:rPr>
          <w:noProof/>
        </w:rPr>
        <w:instrText xml:space="preserve"> PAGEREF _Toc7595214 \h </w:instrText>
      </w:r>
      <w:r>
        <w:rPr>
          <w:noProof/>
        </w:rPr>
      </w:r>
      <w:r>
        <w:rPr>
          <w:noProof/>
        </w:rPr>
        <w:fldChar w:fldCharType="separate"/>
      </w:r>
      <w:r>
        <w:rPr>
          <w:noProof/>
        </w:rPr>
        <w:t>2</w:t>
      </w:r>
      <w:r>
        <w:rPr>
          <w:noProof/>
        </w:rPr>
        <w:fldChar w:fldCharType="end"/>
      </w:r>
    </w:p>
    <w:p>
      <w:pPr>
        <w:pStyle w:val="TOC5"/>
        <w:rPr>
          <w:b w:val="0"/>
          <w:noProof/>
          <w:sz w:val="22"/>
        </w:rPr>
      </w:pPr>
      <w:r>
        <w:rPr>
          <w:noProof/>
        </w:rPr>
        <w:t>Schedule 1</w:t>
      </w:r>
      <w:r>
        <w:rPr>
          <w:noProof/>
        </w:rPr>
        <w:tab/>
      </w:r>
      <w:r>
        <w:rPr>
          <w:b w:val="0"/>
          <w:noProof/>
          <w:sz w:val="22"/>
        </w:rPr>
        <w:fldChar w:fldCharType="begin"/>
      </w:r>
      <w:r>
        <w:rPr>
          <w:b w:val="0"/>
          <w:noProof/>
          <w:sz w:val="22"/>
        </w:rPr>
        <w:instrText xml:space="preserve"> PAGEREF _Toc7595215 \h </w:instrText>
      </w:r>
      <w:r>
        <w:rPr>
          <w:b w:val="0"/>
          <w:noProof/>
          <w:sz w:val="22"/>
        </w:rPr>
      </w:r>
      <w:r>
        <w:rPr>
          <w:b w:val="0"/>
          <w:noProof/>
          <w:sz w:val="22"/>
        </w:rPr>
        <w:fldChar w:fldCharType="separate"/>
      </w:r>
      <w:r>
        <w:rPr>
          <w:b w:val="0"/>
          <w:noProof/>
          <w:sz w:val="22"/>
        </w:rPr>
        <w:t>3</w:t>
      </w:r>
      <w:r>
        <w:rPr>
          <w:b w:val="0"/>
          <w:noProof/>
          <w:sz w:val="22"/>
        </w:rPr>
        <w:fldChar w:fldCharType="end"/>
      </w:r>
    </w:p>
    <w:p>
      <w:pPr>
        <w:pStyle w:val="TOC5"/>
        <w:rPr>
          <w:b w:val="0"/>
          <w:noProof/>
          <w:sz w:val="22"/>
        </w:rPr>
      </w:pPr>
      <w:r>
        <w:rPr>
          <w:noProof/>
        </w:rPr>
        <w:t>Schedule 2</w:t>
      </w:r>
      <w:r>
        <w:rPr>
          <w:noProof/>
        </w:rPr>
        <w:tab/>
      </w:r>
      <w:r>
        <w:rPr>
          <w:b w:val="0"/>
          <w:noProof/>
          <w:sz w:val="22"/>
        </w:rPr>
        <w:fldChar w:fldCharType="begin"/>
      </w:r>
      <w:r>
        <w:rPr>
          <w:b w:val="0"/>
          <w:noProof/>
          <w:sz w:val="22"/>
        </w:rPr>
        <w:instrText xml:space="preserve"> PAGEREF _Toc7595216 \h </w:instrText>
      </w:r>
      <w:r>
        <w:rPr>
          <w:b w:val="0"/>
          <w:noProof/>
          <w:sz w:val="22"/>
        </w:rPr>
      </w:r>
      <w:r>
        <w:rPr>
          <w:b w:val="0"/>
          <w:noProof/>
          <w:sz w:val="22"/>
        </w:rPr>
        <w:fldChar w:fldCharType="separate"/>
      </w:r>
      <w:r>
        <w:rPr>
          <w:b w:val="0"/>
          <w:noProof/>
          <w:sz w:val="22"/>
        </w:rPr>
        <w:t>52</w:t>
      </w:r>
      <w:r>
        <w:rPr>
          <w:b w:val="0"/>
          <w:noProof/>
          <w:sz w:val="22"/>
        </w:rPr>
        <w:fldChar w:fldCharType="end"/>
      </w:r>
    </w:p>
    <w:p>
      <w:pPr>
        <w:pStyle w:val="TOC5"/>
        <w:rPr>
          <w:b w:val="0"/>
          <w:noProof/>
          <w:sz w:val="22"/>
        </w:rPr>
      </w:pPr>
      <w:r>
        <w:rPr>
          <w:noProof/>
        </w:rPr>
        <w:t>Schedule 3</w:t>
      </w:r>
      <w:r>
        <w:rPr>
          <w:noProof/>
        </w:rPr>
        <w:tab/>
      </w:r>
      <w:r>
        <w:rPr>
          <w:b w:val="0"/>
          <w:noProof/>
          <w:sz w:val="22"/>
        </w:rPr>
        <w:fldChar w:fldCharType="begin"/>
      </w:r>
      <w:r>
        <w:rPr>
          <w:b w:val="0"/>
          <w:noProof/>
          <w:sz w:val="22"/>
        </w:rPr>
        <w:instrText xml:space="preserve"> PAGEREF _Toc7595217 \h </w:instrText>
      </w:r>
      <w:r>
        <w:rPr>
          <w:b w:val="0"/>
          <w:noProof/>
          <w:sz w:val="22"/>
        </w:rPr>
      </w:r>
      <w:r>
        <w:rPr>
          <w:b w:val="0"/>
          <w:noProof/>
          <w:sz w:val="22"/>
        </w:rPr>
        <w:fldChar w:fldCharType="separate"/>
      </w:r>
      <w:r>
        <w:rPr>
          <w:b w:val="0"/>
          <w:noProof/>
          <w:sz w:val="22"/>
        </w:rPr>
        <w:t>60</w:t>
      </w:r>
      <w:r>
        <w:rPr>
          <w:b w:val="0"/>
          <w:noProof/>
          <w:sz w:val="22"/>
        </w:rPr>
        <w:fldChar w:fldCharType="end"/>
      </w:r>
    </w:p>
    <w:p>
      <w:pPr>
        <w:pStyle w:val="TOC2"/>
        <w:tabs>
          <w:tab w:val="right" w:pos="7078"/>
        </w:tabs>
        <w:rPr>
          <w:noProof/>
        </w:rPr>
      </w:pPr>
      <w:r>
        <w:rPr>
          <w:noProof/>
        </w:rPr>
        <w:t>Notes</w:t>
      </w:r>
    </w:p>
    <w:p>
      <w:pPr>
        <w:pStyle w:val="TOC4"/>
      </w:pPr>
      <w:r>
        <w:rPr>
          <w:noProof/>
          <w:snapToGrid w:val="0"/>
        </w:rPr>
        <w:tab/>
        <w:t>Compilation table</w:t>
      </w:r>
      <w:r>
        <w:rPr>
          <w:noProof/>
        </w:rPr>
        <w:tab/>
      </w:r>
      <w:r>
        <w:rPr>
          <w:noProof/>
        </w:rPr>
        <w:fldChar w:fldCharType="begin"/>
      </w:r>
      <w:r>
        <w:rPr>
          <w:noProof/>
        </w:rPr>
        <w:instrText xml:space="preserve"> PAGEREF _Toc7595218 \h </w:instrText>
      </w:r>
      <w:r>
        <w:rPr>
          <w:noProof/>
        </w:rPr>
      </w:r>
      <w:r>
        <w:rPr>
          <w:noProof/>
        </w:rPr>
        <w:fldChar w:fldCharType="separate"/>
      </w:r>
      <w:r>
        <w:rPr>
          <w:noProof/>
        </w:rPr>
        <w:t>64</w:t>
      </w:r>
      <w:r>
        <w:rPr>
          <w:noProof/>
        </w:rPr>
        <w:fldChar w:fldCharType="end"/>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pPr>
      <w:r>
        <w:t xml:space="preserve">Iron Ore (Marillana Creek) Agreement Act 1991 </w:t>
      </w:r>
    </w:p>
    <w:p>
      <w:pPr>
        <w:pStyle w:val="LongTitle"/>
        <w:rPr>
          <w:snapToGrid w:val="0"/>
        </w:rPr>
      </w:pPr>
      <w:r>
        <w:rPr>
          <w:snapToGrid w:val="0"/>
        </w:rPr>
        <w:t xml:space="preserve">An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1" w:name="_Toc501332000"/>
      <w:bookmarkStart w:id="2" w:name="_Toc3165280"/>
      <w:bookmarkStart w:id="3" w:name="_Toc7595209"/>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(Marillana Creek) Agreement Act 1991</w:t>
      </w:r>
      <w:r>
        <w:rPr>
          <w:snapToGrid w:val="0"/>
          <w:vertAlign w:val="superscript"/>
        </w:rPr>
        <w:t> 1</w:t>
      </w:r>
      <w:r>
        <w:rPr>
          <w:snapToGrid w:val="0"/>
        </w:rPr>
        <w:t>.</w:t>
      </w:r>
    </w:p>
    <w:p>
      <w:pPr>
        <w:pStyle w:val="Heading5"/>
        <w:rPr>
          <w:snapToGrid w:val="0"/>
        </w:rPr>
      </w:pPr>
      <w:bookmarkStart w:id="4" w:name="_Toc501332001"/>
      <w:bookmarkStart w:id="5" w:name="_Toc3165281"/>
      <w:bookmarkStart w:id="6" w:name="_Toc7595210"/>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7" w:name="_Toc501332002"/>
      <w:bookmarkStart w:id="8" w:name="_Toc3165282"/>
      <w:bookmarkStart w:id="9" w:name="_Toc7595211"/>
      <w:r>
        <w:rPr>
          <w:rStyle w:val="CharSectno"/>
        </w:rPr>
        <w:t>3</w:t>
      </w:r>
      <w:r>
        <w:rPr>
          <w:snapToGrid w:val="0"/>
        </w:rPr>
        <w:t>.</w:t>
      </w:r>
      <w:r>
        <w:rPr>
          <w:snapToGrid w:val="0"/>
        </w:rPr>
        <w:tab/>
        <w:t>Interpretation</w:t>
      </w:r>
      <w:bookmarkEnd w:id="7"/>
      <w:bookmarkEnd w:id="8"/>
      <w:bookmarkEnd w:id="9"/>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pPr>
      <w:r>
        <w:tab/>
      </w:r>
      <w:r>
        <w:rPr>
          <w:rStyle w:val="CharDefText"/>
        </w:rPr>
        <w:t>Second Variation Agreement</w:t>
      </w:r>
      <w:r>
        <w:t xml:space="preserve"> means the agreement a copy of which is set out in Schedule 3.</w:t>
      </w:r>
    </w:p>
    <w:p>
      <w:pPr>
        <w:pStyle w:val="Footnotesection"/>
      </w:pPr>
      <w:r>
        <w:tab/>
        <w:t xml:space="preserve">[Section 3 amended by No. 29 of 1994 s. 12; No. 57 of 2000 s. 9.] </w:t>
      </w:r>
    </w:p>
    <w:p>
      <w:pPr>
        <w:pStyle w:val="Heading5"/>
        <w:rPr>
          <w:snapToGrid w:val="0"/>
        </w:rPr>
      </w:pPr>
      <w:bookmarkStart w:id="10" w:name="_Toc501332003"/>
      <w:bookmarkStart w:id="11" w:name="_Toc3165283"/>
      <w:bookmarkStart w:id="12" w:name="_Toc7595212"/>
      <w:r>
        <w:rPr>
          <w:rStyle w:val="CharSectno"/>
        </w:rPr>
        <w:t>4</w:t>
      </w:r>
      <w:r>
        <w:rPr>
          <w:snapToGrid w:val="0"/>
        </w:rPr>
        <w:t>.</w:t>
      </w:r>
      <w:r>
        <w:rPr>
          <w:snapToGrid w:val="0"/>
        </w:rPr>
        <w:tab/>
        <w:t>Agreement ratified</w:t>
      </w:r>
      <w:bookmarkEnd w:id="10"/>
      <w:bookmarkEnd w:id="11"/>
      <w:bookmarkEnd w:id="1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3" w:name="_Toc501332004"/>
      <w:bookmarkStart w:id="14" w:name="_Toc3165284"/>
      <w:bookmarkStart w:id="15" w:name="_Toc7595213"/>
      <w:r>
        <w:rPr>
          <w:rStyle w:val="CharSectno"/>
        </w:rPr>
        <w:t>4A</w:t>
      </w:r>
      <w:r>
        <w:rPr>
          <w:snapToGrid w:val="0"/>
        </w:rPr>
        <w:t>.</w:t>
      </w:r>
      <w:r>
        <w:rPr>
          <w:snapToGrid w:val="0"/>
        </w:rPr>
        <w:tab/>
        <w:t>Variation Agreement</w:t>
      </w:r>
      <w:bookmarkEnd w:id="13"/>
      <w:bookmarkEnd w:id="14"/>
      <w:bookmarkEnd w:id="15"/>
      <w:r>
        <w:rPr>
          <w:snapToGrid w:val="0"/>
        </w:rPr>
        <w:t xml:space="preserve"> </w:t>
      </w:r>
    </w:p>
    <w:p>
      <w:pPr>
        <w:pStyle w:val="Subsection"/>
        <w:rPr>
          <w:snapToGrid w:val="0"/>
        </w:rPr>
      </w:pPr>
      <w:r>
        <w:rPr>
          <w:snapToGrid w:val="0"/>
        </w:rPr>
        <w:tab/>
        <w:t>(1)</w:t>
      </w:r>
      <w:r>
        <w:rPr>
          <w:snapToGrid w:val="0"/>
        </w:rPr>
        <w:tab/>
        <w:t>The Variation Agreement is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by No. 29 of 1994 s. 13.] </w:t>
      </w:r>
    </w:p>
    <w:p>
      <w:pPr>
        <w:pStyle w:val="Heading5"/>
      </w:pPr>
      <w:bookmarkStart w:id="16" w:name="_Toc501332005"/>
      <w:bookmarkStart w:id="17" w:name="_Toc3165285"/>
      <w:bookmarkStart w:id="18" w:name="_Toc7595214"/>
      <w:r>
        <w:rPr>
          <w:rStyle w:val="CharSectno"/>
        </w:rPr>
        <w:t>5</w:t>
      </w:r>
      <w:r>
        <w:t>.</w:t>
      </w:r>
      <w:r>
        <w:tab/>
        <w:t>Second Variation Agreement</w:t>
      </w:r>
      <w:bookmarkEnd w:id="16"/>
      <w:bookmarkEnd w:id="17"/>
      <w:bookmarkEnd w:id="18"/>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5 inserted by No. 57 of 2000 s. 10.]</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19" w:name="_Toc7595215"/>
      <w:r>
        <w:rPr>
          <w:rStyle w:val="CharSchNo"/>
        </w:rPr>
        <w:t>Schedule 1</w:t>
      </w:r>
      <w:bookmarkEnd w:id="19"/>
      <w:r>
        <w:t xml:space="preserve"> </w:t>
      </w:r>
    </w:p>
    <w:p>
      <w:pPr>
        <w:pStyle w:val="yFootnoteheading"/>
        <w:rPr>
          <w:snapToGrid w:val="0"/>
        </w:rPr>
      </w:pPr>
      <w:r>
        <w:rPr>
          <w:snapToGrid w:val="0"/>
        </w:rPr>
        <w:t>[Heading amended by No. 29 of 1994 s. 14.]</w:t>
      </w:r>
    </w:p>
    <w:p>
      <w:pPr>
        <w:pStyle w:val="yShoulderClause"/>
        <w:rPr>
          <w:snapToGrid w:val="0"/>
        </w:rPr>
      </w:pPr>
      <w:r>
        <w:rPr>
          <w:snapToGrid w:val="0"/>
        </w:rPr>
        <w:t>[Section 3]</w:t>
      </w:r>
    </w:p>
    <w:p>
      <w:pPr>
        <w:pStyle w:val="yMiscellaneousBody"/>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 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pPr>
      <w:r>
        <w:t>NOW THIS AGREEMENT WITNESSES:</w:t>
      </w:r>
    </w:p>
    <w:p>
      <w:pPr>
        <w:pStyle w:val="yMiscellaneousBody"/>
        <w:keepNext/>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 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ind w:left="426"/>
      </w:pPr>
      <w:r>
        <w:t>“approved proposal” means a proposal approved or determined under this Agreement;</w:t>
      </w:r>
    </w:p>
    <w:p>
      <w:pPr>
        <w:pStyle w:val="yMiscellaneousBody"/>
        <w:ind w:left="426"/>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ind w:left="426"/>
      </w:pPr>
      <w:r>
        <w:t>“Clause” means a clause of this Agreement;</w:t>
      </w:r>
    </w:p>
    <w:p>
      <w:pPr>
        <w:pStyle w:val="yMiscellaneousBody"/>
        <w:ind w:left="426"/>
      </w:pPr>
      <w:r>
        <w:t>“commencement date” means the date the Bill referred to in Clause 3 comes into operation as an Act;</w:t>
      </w:r>
    </w:p>
    <w:p>
      <w:pPr>
        <w:pStyle w:val="yMiscellaneousBody"/>
        <w:ind w:left="426"/>
      </w:pPr>
      <w:r>
        <w:t>“Commonwealth” means the Commonwealth of Australia and includes the Government for the time being thereof;</w:t>
      </w:r>
    </w:p>
    <w:p>
      <w:pPr>
        <w:pStyle w:val="yMiscellaneousBody"/>
        <w:ind w:left="426"/>
      </w:pPr>
      <w:r>
        <w:t>“Company’s workforce” means the persons (and the dependants of those persons) connected directly with the Company’s activities under this Agreement, whether or not such persons are employed by the Company;</w:t>
      </w:r>
    </w:p>
    <w:p>
      <w:pPr>
        <w:pStyle w:val="yMiscellaneousBody"/>
        <w:ind w:left="426"/>
      </w:pPr>
      <w:r>
        <w:t>“deemed f.o.b. point” means on ship at the loading port;</w:t>
      </w:r>
    </w:p>
    <w:p>
      <w:pPr>
        <w:pStyle w:val="yMiscellaneousBody"/>
        <w:ind w:left="426"/>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ind w:left="426"/>
      </w:pPr>
      <w:r>
        <w:t xml:space="preserve">“EP Act” means the </w:t>
      </w:r>
      <w:r>
        <w:rPr>
          <w:i/>
        </w:rPr>
        <w:t>Environment Act 1986</w:t>
      </w:r>
      <w:r>
        <w:t>;</w:t>
      </w:r>
    </w:p>
    <w:p>
      <w:pPr>
        <w:pStyle w:val="yMiscellaneousBody"/>
        <w:ind w:left="426"/>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“loading port” means the port of Port Hedland or if iron ore is not shipped, or is not shipped from that port, then such port (which may include the port of Port Hedland)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 xml:space="preserve">“Mount Newman Participants” means the parties (or party) for the time being constituting “the Company” under the agreement defined in section 2 of the </w:t>
      </w:r>
      <w:r>
        <w:rPr>
          <w:i/>
        </w:rPr>
        <w:t>Iron Ore (Mount Newman)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“said State” means the State of Western Australia;</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(Western Australia)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spacing w:before="280"/>
        <w:rPr>
          <w:b/>
        </w:rPr>
      </w:pPr>
      <w:r>
        <w:rPr>
          <w:b/>
        </w:rPr>
        <w:t>Initial obligations of the State</w:t>
      </w:r>
    </w:p>
    <w:p>
      <w:pPr>
        <w:pStyle w:val="yMiscellaneousBody"/>
        <w:keepNext/>
        <w:ind w:left="567" w:hanging="567"/>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 as amended from time to time) by clauses 20 and 24 of the 1964 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rPr>
          <w:spacing w:val="-4"/>
        </w:rPr>
      </w:pPr>
      <w:r>
        <w:rPr>
          <w:spacing w:val="-4"/>
        </w:rPr>
        <w:tab/>
        <w:t>(4)</w:t>
      </w:r>
      <w:r>
        <w:rPr>
          <w:spacing w:val="-4"/>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rPr>
          <w:spacing w:val="-4"/>
        </w:rPr>
      </w:pPr>
      <w:r>
        <w:rPr>
          <w:spacing w:val="-4"/>
        </w:rPr>
        <w:tab/>
        <w:t>(4)</w:t>
      </w:r>
      <w:r>
        <w:rPr>
          <w:spacing w:val="-4"/>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an open town or other appropriate housing and accommodation arrangements to service the iron ore mines and other developments in the central Hamersley Range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 not he approves in principle the proposed increase. An approval by the Minister under this subclause may be given subject to conditions including a condition requiring variations of 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 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 xml:space="preserve">Any proposal under this Clause to increase the annual tonneage to be 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 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The Company shall lodge with the Department of Mines at Perth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 xml:space="preserve">The Company shall within 2 months of receipt of a notice given pursuant to subclause (3) submit to the Minister additional detailed proposals as required and the provisions of subclauses (1), (2), (3) and (4)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 subclause is subject to the Company obtaining for itself the right to do so from the holder from time to time of the Crown Lease No. 19/1973 (Pastoral Lease 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rPr>
          <w:spacing w:val="-4"/>
        </w:rPr>
      </w:pPr>
      <w:r>
        <w:rPr>
          <w:spacing w:val="-4"/>
        </w:rPr>
        <w:tab/>
        <w:t>(b)</w:t>
      </w:r>
      <w:r>
        <w:rPr>
          <w:spacing w:val="-4"/>
        </w:rP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rPr>
          <w:spacing w:val="-4"/>
        </w:rPr>
      </w:pPr>
      <w:r>
        <w:rPr>
          <w:spacing w:val="-4"/>
        </w:rPr>
        <w:tab/>
        <w:t>(4)</w:t>
      </w:r>
      <w:r>
        <w:rPr>
          <w:spacing w:val="-4"/>
        </w:rP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 incidental to 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(Western Australia)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This Agreement shall be interpreted according to the law for the time being in force in the State of Western Australia.</w:t>
      </w:r>
    </w:p>
    <w:p>
      <w:pPr>
        <w:pStyle w:val="yMiscellaneousBody"/>
        <w:keepNext/>
        <w:spacing w:before="300"/>
        <w:jc w:val="center"/>
      </w:pPr>
      <w:r>
        <w:t>THE SCHEDULE</w:t>
      </w:r>
    </w:p>
    <w:p>
      <w:pPr>
        <w:pStyle w:val="yMiscellaneousBody"/>
        <w:keepNext/>
        <w:jc w:val="center"/>
      </w:pPr>
      <w:r>
        <w:t>WESTERN AUSTRALIA</w:t>
      </w:r>
    </w:p>
    <w:p>
      <w:pPr>
        <w:pStyle w:val="yMiscellaneousBody"/>
        <w:keepNext/>
        <w:jc w:val="center"/>
        <w:rPr>
          <w:i/>
        </w:rPr>
      </w:pPr>
      <w:r>
        <w:rPr>
          <w:i/>
        </w:rPr>
        <w:t>MINING ACT 1978</w:t>
      </w:r>
    </w:p>
    <w:p>
      <w:pPr>
        <w:pStyle w:val="yMiscellaneousBody"/>
        <w:keepNext/>
        <w:jc w:val="center"/>
      </w:pPr>
      <w:r>
        <w:rPr>
          <w:i/>
        </w:rPr>
        <w:t>IRON ORE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40"/>
      </w:pPr>
      <w:r>
        <w:t>FIRST SCHEDULE</w:t>
      </w:r>
    </w:p>
    <w:p>
      <w:pPr>
        <w:pStyle w:val="yMiscellaneousBody"/>
      </w:pPr>
      <w:r>
        <w:t>BHP MINERALS LIMITED a company incorporated in the State of Western Australia and having its registered office at Level 18, 200 St. George’s Terrace, Perth.</w:t>
      </w:r>
    </w:p>
    <w:p>
      <w:pPr>
        <w:pStyle w:val="yMiscellaneousHeading"/>
        <w:spacing w:before="240"/>
      </w:pPr>
      <w:r>
        <w:t>SECOND SCHEDULE</w:t>
      </w:r>
    </w:p>
    <w:p>
      <w:pPr>
        <w:pStyle w:val="yMiscellaneousBody"/>
      </w:pPr>
      <w:r>
        <w:t xml:space="preserve">The Agreement made between the State of Western Australia and BHP Minerals Limited and ratified by the </w:t>
      </w:r>
      <w:r>
        <w:rPr>
          <w:i/>
        </w:rPr>
        <w:t>Iron Ore (Marillana Creek) Agreement Act 1991</w:t>
      </w:r>
      <w:r>
        <w:t>.</w:t>
      </w:r>
    </w:p>
    <w:p>
      <w:pPr>
        <w:pStyle w:val="yMiscellaneousHeading"/>
        <w:spacing w:before="24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recorded in the Department of Mines, Perth.</w:t>
      </w:r>
    </w:p>
    <w:p>
      <w:pPr>
        <w:pStyle w:val="yMiscellaneousHeading"/>
        <w:spacing w:before="24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40"/>
      </w:pPr>
      <w:r>
        <w:t>FIFTH SCHEDULE</w:t>
      </w:r>
    </w:p>
    <w:p>
      <w:pPr>
        <w:pStyle w:val="yMiscellaneousBody"/>
      </w:pPr>
      <w:r>
        <w:t>(Date of commencement of the lease).</w:t>
      </w:r>
    </w:p>
    <w:p>
      <w:pPr>
        <w:pStyle w:val="yMiscellaneousHeading"/>
        <w:spacing w:before="24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r>
              <w:rPr>
                <w:noProof/>
                <w:lang w:eastAsia="en-AU"/>
              </w:rPr>
              <w:drawing>
                <wp:inline distT="0" distB="0" distL="0" distR="0">
                  <wp:extent cx="1238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095375"/>
                          </a:xfrm>
                          <a:prstGeom prst="rect">
                            <a:avLst/>
                          </a:prstGeom>
                          <a:noFill/>
                          <a:ln>
                            <a:noFill/>
                          </a:ln>
                        </pic:spPr>
                      </pic:pic>
                    </a:graphicData>
                  </a:graphic>
                </wp:inline>
              </w:drawing>
            </w:r>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tabs>
          <w:tab w:val="clear" w:pos="893"/>
        </w:tabs>
        <w:spacing w:before="240"/>
        <w:ind w:left="0" w:firstLine="0"/>
      </w:pPr>
      <w:r>
        <w:t xml:space="preserve">[Schedule 1 amended by No. 29 of 1994 s. 14.] </w:t>
      </w:r>
    </w:p>
    <w:p>
      <w:pPr>
        <w:pStyle w:val="yScheduleHeading"/>
      </w:pPr>
      <w:bookmarkStart w:id="20" w:name="_Toc7595216"/>
      <w:r>
        <w:rPr>
          <w:rStyle w:val="CharSchNo"/>
        </w:rPr>
        <w:t>Schedule 2</w:t>
      </w:r>
      <w:bookmarkEnd w:id="20"/>
      <w:r>
        <w:t xml:space="preserve"> </w:t>
      </w:r>
    </w:p>
    <w:p>
      <w:pPr>
        <w:pStyle w:val="yShoulderClause"/>
      </w:pPr>
      <w:r>
        <w:t>[section 3]</w:t>
      </w:r>
    </w:p>
    <w:p>
      <w:pPr>
        <w:pStyle w:val="yMiscellaneousBody"/>
      </w:pPr>
      <w:r>
        <w:rPr>
          <w:b/>
        </w:rPr>
        <w:t>THIS AGREEMENT</w:t>
      </w:r>
      <w:r>
        <w:t xml:space="preserve"> is made the 31st day of March 1994</w:t>
      </w:r>
    </w:p>
    <w:p>
      <w:pPr>
        <w:pStyle w:val="yMiscellaneousBody"/>
      </w:pPr>
      <w:r>
        <w:t>B E T W E E N</w:t>
      </w:r>
    </w:p>
    <w:p>
      <w:pPr>
        <w:pStyle w:val="yMiscellaneousBody"/>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 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and </w:t>
      </w:r>
      <w:r>
        <w:rPr>
          <w:b/>
          <w:spacing w:val="-4"/>
        </w:rPr>
        <w:t>MITSUI IRON ORE CORPORATION PTY. LTD.</w:t>
      </w:r>
      <w:r>
        <w:rPr>
          <w:spacing w:val="-4"/>
        </w:rP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pPr>
      <w:r>
        <w:t xml:space="preserve">NOW THIS AGREEMENT WITNESSES — </w:t>
      </w:r>
    </w:p>
    <w:p>
      <w:pPr>
        <w:pStyle w:val="yMiscellaneousBody"/>
        <w:spacing w:before="120"/>
        <w:ind w:left="567" w:hanging="567"/>
      </w:pPr>
      <w:r>
        <w:t>1.</w:t>
      </w:r>
      <w:r>
        <w:tab/>
        <w:t>Subject to the context the words and expressions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as follows — </w:t>
      </w:r>
    </w:p>
    <w:p>
      <w:pPr>
        <w:pStyle w:val="yMiscellaneousBody"/>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r>
        <w:t>"11.(1)</w:t>
      </w:r>
      <w:r>
        <w:tab/>
        <w:t xml:space="preserve">In this Clause — </w:t>
      </w:r>
    </w:p>
    <w:p>
      <w:pPr>
        <w:pStyle w:val="yMiscellaneousBody"/>
        <w:ind w:left="1985" w:hanging="1985"/>
      </w:pPr>
      <w:r>
        <w:tab/>
      </w:r>
      <w:r>
        <w:rPr>
          <w:rStyle w:val="CharDefText"/>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r>
        <w:rPr>
          <w:rStyle w:val="CharDefText"/>
        </w:rPr>
        <w:t>approved production limit under this Clause</w:t>
      </w:r>
      <w:r>
        <w:t xml:space="preserve"> means a production level of  10,000,000 tonnes of iron ore per annum for transportation from the mining lease or such higher number of tonnes per annum as may be consented to  from time to time by the Minister  pursuant to subclauses (5) or (6)  and become the subject of proposals approved or deemed to be approved pursuant to subclause (8);</w:t>
      </w:r>
    </w:p>
    <w:p>
      <w:pPr>
        <w:pStyle w:val="yMiscellaneousBody"/>
        <w:ind w:left="1985" w:hanging="1985"/>
      </w:pPr>
      <w:r>
        <w:tab/>
      </w:r>
      <w:r>
        <w:rPr>
          <w:rStyle w:val="CharDefText"/>
        </w:rPr>
        <w:t>approved mine workforce</w:t>
      </w:r>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r>
        <w:rPr>
          <w:rStyle w:val="CharDefText"/>
        </w:rPr>
        <w:t>BHP</w:t>
      </w:r>
      <w:r>
        <w:t xml:space="preserve"> means BHP Minerals Pty. Ltd. and its successors and assigns who are parties with the State to the Processing Agreement;</w:t>
      </w:r>
    </w:p>
    <w:p>
      <w:pPr>
        <w:pStyle w:val="yMiscellaneousBody"/>
        <w:ind w:left="1985" w:hanging="1985"/>
      </w:pPr>
      <w:r>
        <w:tab/>
      </w:r>
      <w:bookmarkStart w:id="21" w:name="endcomma"/>
      <w:bookmarkEnd w:id="21"/>
      <w:r>
        <w:rPr>
          <w:rStyle w:val="CharDefText"/>
        </w:rPr>
        <w:t>combined  limit</w:t>
      </w:r>
      <w:r>
        <w:t xml:space="preserve"> </w:t>
      </w:r>
      <w:bookmarkStart w:id="22" w:name="comma"/>
      <w:bookmarkEnd w:id="22"/>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Iron Ore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right" w:pos="1701"/>
        </w:tabs>
        <w:ind w:left="1985" w:hanging="1985"/>
      </w:pPr>
      <w:r>
        <w:tab/>
        <w:t>(2)</w:t>
      </w:r>
      <w:r>
        <w:tab/>
        <w:t>The Company shall not  produce iron ore under this Agreement for transportation in any calendar year in excess of the approved production limit  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the obligations of BHP under the Processing Agreement have been and are being properly performed and complied with;  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 (4) and substituting respectively the subclause designations (2), (3), (4) and (5);</w:t>
      </w:r>
    </w:p>
    <w:p>
      <w:pPr>
        <w:pStyle w:val="yMiscellaneousBody"/>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spacing w:before="240"/>
      </w:pPr>
      <w:r>
        <w:t xml:space="preserve">[Schedule 2 inserted by No. 29 of 1994 s. 15.] </w:t>
      </w:r>
    </w:p>
    <w:p>
      <w:pPr>
        <w:pStyle w:val="yScheduleHeading"/>
      </w:pPr>
      <w:bookmarkStart w:id="23" w:name="_Toc7595217"/>
      <w:r>
        <w:rPr>
          <w:rStyle w:val="CharSchNo"/>
        </w:rPr>
        <w:t>Schedule 3</w:t>
      </w:r>
      <w:bookmarkEnd w:id="23"/>
      <w:r>
        <w:rPr>
          <w:rStyle w:val="CharSchNo"/>
        </w:rPr>
        <w:t> </w:t>
      </w:r>
    </w:p>
    <w:p>
      <w:pPr>
        <w:pStyle w:val="yShoulderClause"/>
      </w:pPr>
      <w:r>
        <w:t>[s. 5]</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Iron Ore Beneficiation (BHP) Agreement Act 1996</w:t>
      </w:r>
      <w:r>
        <w:t xml:space="preserve"> at the following rates — </w:t>
      </w:r>
    </w:p>
    <w:p>
      <w:pPr>
        <w:pStyle w:val="yMiscellaneousBody"/>
        <w:tabs>
          <w:tab w:val="left" w:pos="1134"/>
        </w:tabs>
        <w:ind w:left="1701" w:hanging="1701"/>
      </w:pPr>
      <w:r>
        <w:tab/>
        <w:t>(i)</w:t>
      </w:r>
      <w:r>
        <w:tab/>
        <w:t>in respect of lump ore, 5.625% of the f.o.b. value;  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lang w:eastAsia="en-AU"/>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r>
              <w:rPr>
                <w:noProof/>
                <w:lang w:eastAsia="en-AU"/>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r>
              <w:rPr>
                <w:noProof/>
                <w:lang w:eastAsia="en-AU"/>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r>
              <w:rPr>
                <w:noProof/>
                <w:lang w:eastAsia="en-AU"/>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pPr>
      <w:r>
        <w:t>[Schedule 3 inserted by No. 57 of 2000 s. 11.]</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r>
        <w:t>Notes</w:t>
      </w:r>
    </w:p>
    <w:p>
      <w:pPr>
        <w:pStyle w:val="nSubsection"/>
        <w:ind w:left="426" w:hanging="426"/>
        <w:rPr>
          <w:snapToGrid w:val="0"/>
        </w:rPr>
      </w:pPr>
      <w:r>
        <w:rPr>
          <w:snapToGrid w:val="0"/>
          <w:vertAlign w:val="superscript"/>
        </w:rPr>
        <w:t>1</w:t>
      </w:r>
      <w:r>
        <w:rPr>
          <w:snapToGrid w:val="0"/>
        </w:rPr>
        <w:tab/>
        <w:t xml:space="preserve">This is a compilation of the </w:t>
      </w:r>
      <w:r>
        <w:rPr>
          <w:i/>
          <w:snapToGrid w:val="0"/>
        </w:rPr>
        <w:t>Iron Ore (Marillana Creek) Agreement Act 1991</w:t>
      </w:r>
      <w:r>
        <w:rPr>
          <w:snapToGrid w:val="0"/>
        </w:rPr>
        <w:t xml:space="preserve"> and includes the amendments made by the other written laws referred to in the following table.</w:t>
      </w:r>
    </w:p>
    <w:p>
      <w:pPr>
        <w:pStyle w:val="nHeading3"/>
        <w:rPr>
          <w:snapToGrid w:val="0"/>
        </w:rPr>
      </w:pPr>
      <w:bookmarkStart w:id="24" w:name="_Toc7595218"/>
      <w:r>
        <w:rPr>
          <w:snapToGrid w:val="0"/>
        </w:rPr>
        <w:t>Compilation table</w:t>
      </w:r>
      <w:bookmarkEnd w:id="24"/>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Iron Ore (Marillana Creek) Agreement Act 1991</w:t>
            </w:r>
          </w:p>
        </w:tc>
        <w:tc>
          <w:tcPr>
            <w:tcW w:w="1134" w:type="dxa"/>
          </w:tcPr>
          <w:p>
            <w:pPr>
              <w:pStyle w:val="nTable"/>
              <w:spacing w:before="120"/>
              <w:rPr>
                <w:sz w:val="19"/>
              </w:rPr>
            </w:pPr>
            <w:r>
              <w:rPr>
                <w:sz w:val="19"/>
              </w:rPr>
              <w:t>2 of 1991</w:t>
            </w:r>
          </w:p>
        </w:tc>
        <w:tc>
          <w:tcPr>
            <w:tcW w:w="1134" w:type="dxa"/>
          </w:tcPr>
          <w:p>
            <w:pPr>
              <w:pStyle w:val="nTable"/>
              <w:spacing w:before="120"/>
              <w:rPr>
                <w:sz w:val="19"/>
              </w:rPr>
            </w:pPr>
            <w:r>
              <w:rPr>
                <w:sz w:val="19"/>
              </w:rPr>
              <w:t>27 May 1991</w:t>
            </w:r>
          </w:p>
        </w:tc>
        <w:tc>
          <w:tcPr>
            <w:tcW w:w="2552" w:type="dxa"/>
          </w:tcPr>
          <w:p>
            <w:pPr>
              <w:pStyle w:val="nTable"/>
              <w:spacing w:before="120"/>
              <w:rPr>
                <w:sz w:val="19"/>
              </w:rPr>
            </w:pPr>
            <w:r>
              <w:rPr>
                <w:sz w:val="19"/>
              </w:rPr>
              <w:t>27 May 1991 (see s. 2)</w:t>
            </w:r>
          </w:p>
        </w:tc>
      </w:tr>
      <w:tr>
        <w:trPr>
          <w:cantSplit/>
        </w:trPr>
        <w:tc>
          <w:tcPr>
            <w:tcW w:w="2268" w:type="dxa"/>
          </w:tcPr>
          <w:p>
            <w:pPr>
              <w:pStyle w:val="nTable"/>
              <w:spacing w:before="120"/>
              <w:ind w:right="113"/>
              <w:rPr>
                <w:sz w:val="19"/>
              </w:rPr>
            </w:pPr>
            <w:r>
              <w:rPr>
                <w:i/>
                <w:sz w:val="19"/>
              </w:rPr>
              <w:t>Acts Amendment (Mount Goldsworthy, McCamey’s Monster and Marillana Creek Iron Ore Agreements) Act 1994</w:t>
            </w:r>
            <w:r>
              <w:rPr>
                <w:sz w:val="19"/>
              </w:rPr>
              <w:t xml:space="preserve"> Pt. 4</w:t>
            </w:r>
          </w:p>
        </w:tc>
        <w:tc>
          <w:tcPr>
            <w:tcW w:w="1134" w:type="dxa"/>
          </w:tcPr>
          <w:p>
            <w:pPr>
              <w:pStyle w:val="nTable"/>
              <w:spacing w:before="120"/>
              <w:rPr>
                <w:sz w:val="19"/>
              </w:rPr>
            </w:pPr>
            <w:r>
              <w:rPr>
                <w:sz w:val="19"/>
              </w:rPr>
              <w:t>29 of 1994</w:t>
            </w:r>
          </w:p>
        </w:tc>
        <w:tc>
          <w:tcPr>
            <w:tcW w:w="1134" w:type="dxa"/>
          </w:tcPr>
          <w:p>
            <w:pPr>
              <w:pStyle w:val="nTable"/>
              <w:spacing w:before="120"/>
              <w:rPr>
                <w:sz w:val="19"/>
              </w:rPr>
            </w:pPr>
            <w:r>
              <w:rPr>
                <w:sz w:val="19"/>
              </w:rPr>
              <w:t>8 Jul 1994</w:t>
            </w:r>
          </w:p>
        </w:tc>
        <w:tc>
          <w:tcPr>
            <w:tcW w:w="2552" w:type="dxa"/>
          </w:tcPr>
          <w:p>
            <w:pPr>
              <w:pStyle w:val="nTable"/>
              <w:spacing w:before="120"/>
              <w:rPr>
                <w:sz w:val="19"/>
              </w:rPr>
            </w:pPr>
            <w:r>
              <w:rPr>
                <w:sz w:val="19"/>
              </w:rPr>
              <w:t>8 Jul 1994 (see s. 2)</w:t>
            </w:r>
          </w:p>
        </w:tc>
      </w:tr>
      <w:tr>
        <w:trPr>
          <w:cantSplit/>
        </w:trPr>
        <w:tc>
          <w:tcPr>
            <w:tcW w:w="2268" w:type="dxa"/>
          </w:tcPr>
          <w:p>
            <w:pPr>
              <w:pStyle w:val="nTable"/>
              <w:spacing w:before="120"/>
              <w:ind w:right="113"/>
              <w:rPr>
                <w:sz w:val="19"/>
              </w:rPr>
            </w:pPr>
            <w:r>
              <w:rPr>
                <w:i/>
                <w:sz w:val="19"/>
              </w:rPr>
              <w:t xml:space="preserve">Acts Amendment (Iron Ore Agreements) Act 2000 </w:t>
            </w:r>
            <w:r>
              <w:rPr>
                <w:sz w:val="19"/>
              </w:rPr>
              <w:t>Pt. 3</w:t>
            </w:r>
          </w:p>
        </w:tc>
        <w:tc>
          <w:tcPr>
            <w:tcW w:w="1134" w:type="dxa"/>
          </w:tcPr>
          <w:p>
            <w:pPr>
              <w:pStyle w:val="nTable"/>
              <w:spacing w:before="120"/>
              <w:rPr>
                <w:sz w:val="19"/>
              </w:rPr>
            </w:pPr>
            <w:r>
              <w:rPr>
                <w:sz w:val="19"/>
              </w:rPr>
              <w:t>57 of 2000</w:t>
            </w:r>
          </w:p>
        </w:tc>
        <w:tc>
          <w:tcPr>
            <w:tcW w:w="1134" w:type="dxa"/>
          </w:tcPr>
          <w:p>
            <w:pPr>
              <w:pStyle w:val="nTable"/>
              <w:spacing w:before="120"/>
              <w:rPr>
                <w:sz w:val="19"/>
              </w:rPr>
            </w:pPr>
            <w:r>
              <w:rPr>
                <w:sz w:val="19"/>
              </w:rPr>
              <w:t>7 Dec 2000</w:t>
            </w:r>
          </w:p>
        </w:tc>
        <w:tc>
          <w:tcPr>
            <w:tcW w:w="2552" w:type="dxa"/>
          </w:tcPr>
          <w:p>
            <w:pPr>
              <w:pStyle w:val="nTable"/>
              <w:spacing w:before="120"/>
              <w:rPr>
                <w:sz w:val="19"/>
              </w:rPr>
            </w:pPr>
            <w:r>
              <w:rPr>
                <w:sz w:val="19"/>
              </w:rPr>
              <w:t>7 Dec 2000 (see s. 2)</w:t>
            </w:r>
          </w:p>
        </w:tc>
      </w:tr>
      <w:tr>
        <w:trPr>
          <w:cantSplit/>
        </w:trPr>
        <w:tc>
          <w:tcPr>
            <w:tcW w:w="7088" w:type="dxa"/>
            <w:gridSpan w:val="4"/>
            <w:tcBorders>
              <w:bottom w:val="single" w:sz="4" w:space="0" w:color="auto"/>
            </w:tcBorders>
          </w:tcPr>
          <w:p>
            <w:pPr>
              <w:pStyle w:val="nTable"/>
              <w:spacing w:before="120"/>
              <w:rPr>
                <w:sz w:val="19"/>
              </w:rPr>
            </w:pPr>
            <w:r>
              <w:rPr>
                <w:b/>
                <w:sz w:val="19"/>
              </w:rPr>
              <w:t xml:space="preserve">Reprint of the </w:t>
            </w:r>
            <w:r>
              <w:rPr>
                <w:b/>
                <w:i/>
                <w:sz w:val="19"/>
              </w:rPr>
              <w:t>Iron Ore (Marillana Creek) Agreement Act 1991</w:t>
            </w:r>
            <w:r>
              <w:rPr>
                <w:b/>
                <w:sz w:val="19"/>
              </w:rPr>
              <w:t xml:space="preserve"> at 5 Apr 2002</w:t>
            </w:r>
            <w:r>
              <w:rPr>
                <w:sz w:val="19"/>
              </w:rPr>
              <w:br/>
              <w:t>(includes amendments listed above)</w:t>
            </w:r>
          </w:p>
        </w:tc>
      </w:tr>
    </w:tbl>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headerReference w:type="first" r:id="rId3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(Marillana Creek) Agreement Act 1991</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(Marillana Creek) Agreement Act 1991</w:t>
          </w:r>
          <w:r>
            <w:rPr>
              <w:i w:val="0"/>
            </w:rPr>
            <w:fldChar w:fldCharType="end"/>
          </w:r>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Iron Ore (Marillana Creek) Agreement Act 1991</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849"/>
    <w:docVar w:name="WAFER_20151203162849" w:val="RemoveTrackChanges"/>
    <w:docVar w:name="WAFER_20151203162849_GUID" w:val="8f3b2209-6c0a-48ab-bd34-dee8ea82261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19992</Words>
  <Characters>98963</Characters>
  <Application>Microsoft Office Word</Application>
  <DocSecurity>0</DocSecurity>
  <Lines>2199</Lines>
  <Paragraphs>762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1991 - 01-a0-09</dc:title>
  <dc:subject/>
  <dc:creator/>
  <cp:keywords/>
  <dc:description/>
  <cp:lastModifiedBy>svcMRProcess</cp:lastModifiedBy>
  <cp:revision>4</cp:revision>
  <cp:lastPrinted>2002-04-09T03:30:00Z</cp:lastPrinted>
  <dcterms:created xsi:type="dcterms:W3CDTF">2020-02-16T21:55:00Z</dcterms:created>
  <dcterms:modified xsi:type="dcterms:W3CDTF">2020-02-16T21:55:00Z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20020405</vt:lpwstr>
  </property>
  <property fmtid="{D5CDD505-2E9C-101B-9397-08002B2CF9AE}" pid="4" name="DocumentType">
    <vt:lpwstr>Act</vt:lpwstr>
  </property>
  <property fmtid="{D5CDD505-2E9C-101B-9397-08002B2CF9AE}" pid="5" name="AsAtDate">
    <vt:lpwstr>05 Apr 2002</vt:lpwstr>
  </property>
  <property fmtid="{D5CDD505-2E9C-101B-9397-08002B2CF9AE}" pid="6" name="Suffix">
    <vt:lpwstr>01-a0-09</vt:lpwstr>
  </property>
</Properties>
</file>