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Newman)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(Mount Newman) Agreement Act 1964</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_Toc6041903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_Toc6041904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Agreement approved and provisions to take effect</w:t>
      </w:r>
      <w:r>
        <w:rPr>
          <w:noProof/>
        </w:rPr>
        <w:tab/>
      </w:r>
      <w:r>
        <w:rPr>
          <w:noProof/>
        </w:rPr>
        <w:fldChar w:fldCharType="begin"/>
      </w:r>
      <w:r>
        <w:rPr>
          <w:noProof/>
        </w:rPr>
        <w:instrText xml:space="preserve"> PAGEREF _Toc6041905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3A</w:t>
      </w:r>
      <w:r>
        <w:rPr>
          <w:noProof/>
          <w:snapToGrid w:val="0"/>
        </w:rPr>
        <w:t>.</w:t>
      </w:r>
      <w:r>
        <w:rPr>
          <w:noProof/>
        </w:rPr>
        <w:tab/>
      </w:r>
      <w:r>
        <w:rPr>
          <w:noProof/>
          <w:snapToGrid w:val="0"/>
        </w:rPr>
        <w:t>First Variation Agreement approved</w:t>
      </w:r>
      <w:r>
        <w:rPr>
          <w:noProof/>
        </w:rPr>
        <w:tab/>
      </w:r>
      <w:r>
        <w:rPr>
          <w:noProof/>
        </w:rPr>
        <w:fldChar w:fldCharType="begin"/>
      </w:r>
      <w:r>
        <w:rPr>
          <w:noProof/>
        </w:rPr>
        <w:instrText xml:space="preserve"> PAGEREF _Toc6041906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3B</w:t>
      </w:r>
      <w:r>
        <w:rPr>
          <w:noProof/>
          <w:snapToGrid w:val="0"/>
        </w:rPr>
        <w:t>.</w:t>
      </w:r>
      <w:r>
        <w:rPr>
          <w:noProof/>
        </w:rPr>
        <w:tab/>
      </w:r>
      <w:r>
        <w:rPr>
          <w:noProof/>
          <w:snapToGrid w:val="0"/>
        </w:rPr>
        <w:t>Second Variation Agreement approved and ratified</w:t>
      </w:r>
      <w:r>
        <w:rPr>
          <w:noProof/>
        </w:rPr>
        <w:tab/>
      </w:r>
      <w:r>
        <w:rPr>
          <w:noProof/>
        </w:rPr>
        <w:fldChar w:fldCharType="begin"/>
      </w:r>
      <w:r>
        <w:rPr>
          <w:noProof/>
        </w:rPr>
        <w:instrText xml:space="preserve"> PAGEREF _Toc6041907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3C</w:t>
      </w:r>
      <w:r>
        <w:rPr>
          <w:noProof/>
          <w:snapToGrid w:val="0"/>
        </w:rPr>
        <w:t>.</w:t>
      </w:r>
      <w:r>
        <w:rPr>
          <w:noProof/>
        </w:rPr>
        <w:tab/>
      </w:r>
      <w:r>
        <w:rPr>
          <w:noProof/>
          <w:snapToGrid w:val="0"/>
        </w:rPr>
        <w:t>Third Variation Agreement</w:t>
      </w:r>
      <w:r>
        <w:rPr>
          <w:noProof/>
        </w:rPr>
        <w:tab/>
      </w:r>
      <w:r>
        <w:rPr>
          <w:noProof/>
        </w:rPr>
        <w:fldChar w:fldCharType="begin"/>
      </w:r>
      <w:r>
        <w:rPr>
          <w:noProof/>
        </w:rPr>
        <w:instrText xml:space="preserve"> PAGEREF _Toc6041908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3D</w:t>
      </w:r>
      <w:r>
        <w:rPr>
          <w:noProof/>
          <w:snapToGrid w:val="0"/>
        </w:rPr>
        <w:t>.</w:t>
      </w:r>
      <w:r>
        <w:rPr>
          <w:noProof/>
        </w:rPr>
        <w:tab/>
      </w:r>
      <w:r>
        <w:rPr>
          <w:noProof/>
          <w:snapToGrid w:val="0"/>
        </w:rPr>
        <w:t>Fourth Variation Agreement</w:t>
      </w:r>
      <w:r>
        <w:rPr>
          <w:noProof/>
        </w:rPr>
        <w:tab/>
      </w:r>
      <w:r>
        <w:rPr>
          <w:noProof/>
        </w:rPr>
        <w:fldChar w:fldCharType="begin"/>
      </w:r>
      <w:r>
        <w:rPr>
          <w:noProof/>
        </w:rPr>
        <w:instrText xml:space="preserve"> PAGEREF _Toc6041909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3E.</w:t>
      </w:r>
      <w:r>
        <w:rPr>
          <w:noProof/>
        </w:rPr>
        <w:tab/>
        <w:t>Fifth Variation Agreement</w:t>
      </w:r>
      <w:r>
        <w:rPr>
          <w:noProof/>
        </w:rPr>
        <w:tab/>
      </w:r>
      <w:r>
        <w:rPr>
          <w:noProof/>
        </w:rPr>
        <w:fldChar w:fldCharType="begin"/>
      </w:r>
      <w:r>
        <w:rPr>
          <w:noProof/>
        </w:rPr>
        <w:instrText xml:space="preserve"> PAGEREF _Toc6041910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_Toc6041911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 xml:space="preserve">Certain provisions of </w:t>
      </w:r>
      <w:r>
        <w:rPr>
          <w:i/>
          <w:noProof/>
          <w:snapToGrid w:val="0"/>
        </w:rPr>
        <w:t>Mining Act 1904</w:t>
      </w:r>
      <w:r>
        <w:rPr>
          <w:noProof/>
          <w:snapToGrid w:val="0"/>
        </w:rPr>
        <w:t xml:space="preserve"> , etc., and </w:t>
      </w:r>
      <w:r>
        <w:rPr>
          <w:i/>
          <w:noProof/>
          <w:snapToGrid w:val="0"/>
        </w:rPr>
        <w:t>Transfer of Land Act 1893</w:t>
      </w:r>
      <w:r>
        <w:rPr>
          <w:noProof/>
          <w:snapToGrid w:val="0"/>
        </w:rPr>
        <w:t>, not to apply to floating charge</w:t>
      </w:r>
      <w:r>
        <w:rPr>
          <w:noProof/>
        </w:rPr>
        <w:tab/>
      </w:r>
      <w:r>
        <w:rPr>
          <w:noProof/>
        </w:rPr>
        <w:fldChar w:fldCharType="begin"/>
      </w:r>
      <w:r>
        <w:rPr>
          <w:noProof/>
        </w:rPr>
        <w:instrText xml:space="preserve"> PAGEREF _Toc6041912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6</w:t>
      </w:r>
      <w:r>
        <w:rPr>
          <w:noProof/>
          <w:snapToGrid w:val="0"/>
        </w:rPr>
        <w:t>.</w:t>
      </w:r>
      <w:r>
        <w:rPr>
          <w:noProof/>
        </w:rPr>
        <w:tab/>
      </w:r>
      <w:r>
        <w:rPr>
          <w:i/>
          <w:noProof/>
          <w:snapToGrid w:val="0"/>
        </w:rPr>
        <w:t>Partition Act 1878</w:t>
      </w:r>
      <w:r>
        <w:rPr>
          <w:noProof/>
          <w:snapToGrid w:val="0"/>
        </w:rPr>
        <w:t xml:space="preserve">  not to apply to certain fee simple, etc.</w:t>
      </w:r>
      <w:r>
        <w:rPr>
          <w:noProof/>
          <w:snapToGrid w:val="0"/>
        </w:rPr>
        <w:tab/>
      </w:r>
      <w:r>
        <w:rPr>
          <w:noProof/>
        </w:rPr>
        <w:tab/>
      </w:r>
      <w:r>
        <w:rPr>
          <w:noProof/>
        </w:rPr>
        <w:fldChar w:fldCharType="begin"/>
      </w:r>
      <w:r>
        <w:rPr>
          <w:noProof/>
        </w:rPr>
        <w:instrText xml:space="preserve"> PAGEREF _Toc6041913 \h </w:instrText>
      </w:r>
      <w:r>
        <w:rPr>
          <w:noProof/>
        </w:rPr>
      </w:r>
      <w:r>
        <w:rPr>
          <w:noProof/>
        </w:rPr>
        <w:fldChar w:fldCharType="separate"/>
      </w:r>
      <w:r>
        <w:rPr>
          <w:noProof/>
        </w:rPr>
        <w:t>5</w:t>
      </w:r>
      <w:r>
        <w:rPr>
          <w:noProof/>
        </w:rPr>
        <w:fldChar w:fldCharType="end"/>
      </w:r>
    </w:p>
    <w:p>
      <w:pPr>
        <w:pStyle w:val="TOC5"/>
        <w:rPr>
          <w:noProof/>
        </w:rPr>
      </w:pPr>
      <w:r>
        <w:rPr>
          <w:noProof/>
        </w:rPr>
        <w:t>The Schedules</w:t>
      </w:r>
      <w:r>
        <w:rPr>
          <w:noProof/>
        </w:rPr>
        <w:tab/>
      </w:r>
      <w:r>
        <w:rPr>
          <w:b w:val="0"/>
          <w:noProof/>
          <w:sz w:val="22"/>
        </w:rPr>
        <w:fldChar w:fldCharType="begin"/>
      </w:r>
      <w:r>
        <w:rPr>
          <w:b w:val="0"/>
          <w:noProof/>
          <w:sz w:val="22"/>
        </w:rPr>
        <w:instrText xml:space="preserve"> PAGEREF _Toc6041914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_Toc6041915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_Toc6041916 \h </w:instrText>
      </w:r>
      <w:r>
        <w:rPr>
          <w:b w:val="0"/>
          <w:noProof/>
          <w:sz w:val="22"/>
        </w:rPr>
      </w:r>
      <w:r>
        <w:rPr>
          <w:b w:val="0"/>
          <w:noProof/>
          <w:sz w:val="22"/>
        </w:rPr>
        <w:fldChar w:fldCharType="separate"/>
      </w:r>
      <w:r>
        <w:rPr>
          <w:b w:val="0"/>
          <w:noProof/>
          <w:sz w:val="22"/>
        </w:rPr>
        <w:t>59</w:t>
      </w:r>
      <w:r>
        <w:rPr>
          <w:b w:val="0"/>
          <w:noProof/>
          <w:sz w:val="22"/>
        </w:rPr>
        <w:fldChar w:fldCharType="end"/>
      </w:r>
    </w:p>
    <w:p>
      <w:pPr>
        <w:pStyle w:val="TOC5"/>
        <w:rPr>
          <w:noProof/>
        </w:rPr>
      </w:pPr>
      <w:r>
        <w:rPr>
          <w:noProof/>
        </w:rPr>
        <w:t>Third Schedule</w:t>
      </w:r>
      <w:r>
        <w:rPr>
          <w:noProof/>
        </w:rPr>
        <w:tab/>
      </w:r>
      <w:r>
        <w:rPr>
          <w:b w:val="0"/>
          <w:noProof/>
          <w:sz w:val="22"/>
        </w:rPr>
        <w:fldChar w:fldCharType="begin"/>
      </w:r>
      <w:r>
        <w:rPr>
          <w:b w:val="0"/>
          <w:noProof/>
          <w:sz w:val="22"/>
        </w:rPr>
        <w:instrText xml:space="preserve"> PAGEREF _Toc6041917 \h </w:instrText>
      </w:r>
      <w:r>
        <w:rPr>
          <w:b w:val="0"/>
          <w:noProof/>
          <w:sz w:val="22"/>
        </w:rPr>
      </w:r>
      <w:r>
        <w:rPr>
          <w:b w:val="0"/>
          <w:noProof/>
          <w:sz w:val="22"/>
        </w:rPr>
        <w:fldChar w:fldCharType="separate"/>
      </w:r>
      <w:r>
        <w:rPr>
          <w:b w:val="0"/>
          <w:noProof/>
          <w:sz w:val="22"/>
        </w:rPr>
        <w:t>71</w:t>
      </w:r>
      <w:r>
        <w:rPr>
          <w:b w:val="0"/>
          <w:noProof/>
          <w:sz w:val="22"/>
        </w:rPr>
        <w:fldChar w:fldCharType="end"/>
      </w:r>
    </w:p>
    <w:p>
      <w:pPr>
        <w:pStyle w:val="TOC5"/>
        <w:rPr>
          <w:noProof/>
        </w:rPr>
      </w:pPr>
      <w:r>
        <w:rPr>
          <w:noProof/>
        </w:rPr>
        <w:t>Fourth Schedule</w:t>
      </w:r>
      <w:r>
        <w:rPr>
          <w:noProof/>
        </w:rPr>
        <w:tab/>
      </w:r>
      <w:r>
        <w:rPr>
          <w:b w:val="0"/>
          <w:noProof/>
          <w:sz w:val="22"/>
        </w:rPr>
        <w:fldChar w:fldCharType="begin"/>
      </w:r>
      <w:r>
        <w:rPr>
          <w:b w:val="0"/>
          <w:noProof/>
          <w:sz w:val="22"/>
        </w:rPr>
        <w:instrText xml:space="preserve"> PAGEREF _Toc6041918 \h </w:instrText>
      </w:r>
      <w:r>
        <w:rPr>
          <w:b w:val="0"/>
          <w:noProof/>
          <w:sz w:val="22"/>
        </w:rPr>
      </w:r>
      <w:r>
        <w:rPr>
          <w:b w:val="0"/>
          <w:noProof/>
          <w:sz w:val="22"/>
        </w:rPr>
        <w:fldChar w:fldCharType="separate"/>
      </w:r>
      <w:r>
        <w:rPr>
          <w:b w:val="0"/>
          <w:noProof/>
          <w:sz w:val="22"/>
        </w:rPr>
        <w:t>81</w:t>
      </w:r>
      <w:r>
        <w:rPr>
          <w:b w:val="0"/>
          <w:noProof/>
          <w:sz w:val="22"/>
        </w:rPr>
        <w:fldChar w:fldCharType="end"/>
      </w:r>
    </w:p>
    <w:p>
      <w:pPr>
        <w:pStyle w:val="TOC5"/>
        <w:rPr>
          <w:noProof/>
        </w:rPr>
      </w:pPr>
      <w:r>
        <w:rPr>
          <w:noProof/>
        </w:rPr>
        <w:t>Fifth Schedule</w:t>
      </w:r>
      <w:r>
        <w:rPr>
          <w:noProof/>
        </w:rPr>
        <w:tab/>
      </w:r>
      <w:r>
        <w:rPr>
          <w:b w:val="0"/>
          <w:noProof/>
          <w:sz w:val="22"/>
        </w:rPr>
        <w:fldChar w:fldCharType="begin"/>
      </w:r>
      <w:r>
        <w:rPr>
          <w:b w:val="0"/>
          <w:noProof/>
          <w:sz w:val="22"/>
        </w:rPr>
        <w:instrText xml:space="preserve"> PAGEREF _Toc6041919 \h </w:instrText>
      </w:r>
      <w:r>
        <w:rPr>
          <w:b w:val="0"/>
          <w:noProof/>
          <w:sz w:val="22"/>
        </w:rPr>
      </w:r>
      <w:r>
        <w:rPr>
          <w:b w:val="0"/>
          <w:noProof/>
          <w:sz w:val="22"/>
        </w:rPr>
        <w:fldChar w:fldCharType="separate"/>
      </w:r>
      <w:r>
        <w:rPr>
          <w:b w:val="0"/>
          <w:noProof/>
          <w:sz w:val="22"/>
        </w:rPr>
        <w:t>101</w:t>
      </w:r>
      <w:r>
        <w:rPr>
          <w:b w:val="0"/>
          <w:noProof/>
          <w:sz w:val="22"/>
        </w:rPr>
        <w:fldChar w:fldCharType="end"/>
      </w:r>
    </w:p>
    <w:p>
      <w:pPr>
        <w:pStyle w:val="TOC5"/>
        <w:rPr>
          <w:noProof/>
        </w:rPr>
      </w:pPr>
      <w:r>
        <w:rPr>
          <w:noProof/>
        </w:rPr>
        <w:t>Sixth Schedule</w:t>
      </w:r>
      <w:r>
        <w:rPr>
          <w:noProof/>
        </w:rPr>
        <w:tab/>
      </w:r>
      <w:r>
        <w:rPr>
          <w:b w:val="0"/>
          <w:noProof/>
          <w:sz w:val="22"/>
        </w:rPr>
        <w:fldChar w:fldCharType="begin"/>
      </w:r>
      <w:r>
        <w:rPr>
          <w:b w:val="0"/>
          <w:noProof/>
          <w:sz w:val="22"/>
        </w:rPr>
        <w:instrText xml:space="preserve"> PAGEREF _Toc6041920 \h </w:instrText>
      </w:r>
      <w:r>
        <w:rPr>
          <w:b w:val="0"/>
          <w:noProof/>
          <w:sz w:val="22"/>
        </w:rPr>
      </w:r>
      <w:r>
        <w:rPr>
          <w:b w:val="0"/>
          <w:noProof/>
          <w:sz w:val="22"/>
        </w:rPr>
        <w:fldChar w:fldCharType="separate"/>
      </w:r>
      <w:r>
        <w:rPr>
          <w:b w:val="0"/>
          <w:noProof/>
          <w:sz w:val="22"/>
        </w:rPr>
        <w:t>106</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_Toc6041921 \h </w:instrText>
      </w:r>
      <w:r>
        <w:rPr>
          <w:noProof/>
        </w:rPr>
      </w:r>
      <w:r>
        <w:rPr>
          <w:noProof/>
        </w:rPr>
        <w:fldChar w:fldCharType="separate"/>
      </w:r>
      <w:r>
        <w:rPr>
          <w:noProof/>
        </w:rPr>
        <w:t>113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600"/>
      </w:pPr>
      <w:r>
        <w:t>Iron Ore (Mount Newman) Agreement Act 1964</w:t>
      </w:r>
    </w:p>
    <w:p>
      <w:pPr>
        <w:pStyle w:val="LongTitle"/>
        <w:spacing w:before="240" w:after="720"/>
        <w:rPr>
          <w:snapToGrid w:val="0"/>
        </w:rPr>
      </w:pPr>
      <w:r>
        <w:rPr>
          <w:snapToGrid w:val="0"/>
        </w:rPr>
        <w:t>An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r>
        <w:rPr>
          <w:rStyle w:val="CharSectno"/>
        </w:rPr>
        <w:t>1</w:t>
      </w:r>
      <w:r>
        <w:rPr>
          <w:snapToGrid w:val="0"/>
        </w:rPr>
        <w:t>.</w:t>
      </w:r>
      <w:r>
        <w:rPr>
          <w:snapToGrid w:val="0"/>
        </w:rPr>
        <w:tab/>
        <w:t>Short title and 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5" w:name="_Toc501335080"/>
      <w:bookmarkStart w:id="6" w:name="_Toc336340"/>
      <w:bookmarkStart w:id="7" w:name="_Toc336456"/>
      <w:bookmarkStart w:id="8" w:name="_Toc604190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and the Second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tab/>
      </w:r>
      <w:r>
        <w:rPr>
          <w:rStyle w:val="CharDefText"/>
        </w:rPr>
        <w:t>the Second Variation Agreement</w:t>
      </w:r>
      <w:r>
        <w:t xml:space="preserve"> means the agreement a copy of which is set forth in the Third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 xml:space="preserve">[Section 2 amended by No. 12 of 1979 s. 2; No. 51 of 1990 s. 4; No. 8 of 1994 s. 4; No. 57 of 2000 s. 20.] </w:t>
      </w:r>
    </w:p>
    <w:p>
      <w:pPr>
        <w:pStyle w:val="Heading5"/>
      </w:pPr>
      <w:bookmarkStart w:id="9" w:name="_Toc501335081"/>
      <w:bookmarkStart w:id="10" w:name="_Toc336341"/>
      <w:bookmarkStart w:id="11" w:name="_Toc336457"/>
      <w:bookmarkStart w:id="12" w:name="_Toc6041905"/>
      <w:r>
        <w:rPr>
          <w:rStyle w:val="CharSectno"/>
        </w:rPr>
        <w:t>3</w:t>
      </w:r>
      <w:r>
        <w:t>.</w:t>
      </w:r>
      <w:r>
        <w:tab/>
        <w:t>Agreement approved and provisions to take effect</w:t>
      </w:r>
      <w:bookmarkEnd w:id="9"/>
      <w:bookmarkEnd w:id="10"/>
      <w:bookmarkEnd w:id="11"/>
      <w:bookmarkEnd w:id="12"/>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13" w:name="_Toc501335082"/>
      <w:bookmarkStart w:id="14" w:name="_Toc336342"/>
      <w:bookmarkStart w:id="15" w:name="_Toc336458"/>
      <w:bookmarkStart w:id="16" w:name="_Toc6041906"/>
      <w:r>
        <w:rPr>
          <w:rStyle w:val="CharSectno"/>
        </w:rPr>
        <w:t>3A</w:t>
      </w:r>
      <w:r>
        <w:rPr>
          <w:snapToGrid w:val="0"/>
        </w:rPr>
        <w:t>.</w:t>
      </w:r>
      <w:r>
        <w:rPr>
          <w:snapToGrid w:val="0"/>
        </w:rPr>
        <w:tab/>
        <w:t>First Variation Agreement approved</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17" w:name="_Toc501335083"/>
      <w:bookmarkStart w:id="18" w:name="_Toc336343"/>
      <w:bookmarkStart w:id="19" w:name="_Toc336459"/>
      <w:bookmarkStart w:id="20" w:name="_Toc6041907"/>
      <w:r>
        <w:rPr>
          <w:rStyle w:val="CharSectno"/>
        </w:rPr>
        <w:t>3B</w:t>
      </w:r>
      <w:r>
        <w:rPr>
          <w:snapToGrid w:val="0"/>
        </w:rPr>
        <w:t>.</w:t>
      </w:r>
      <w:r>
        <w:rPr>
          <w:snapToGrid w:val="0"/>
        </w:rPr>
        <w:tab/>
        <w:t>Second Variation Agreement approved and ratified</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21" w:name="_Toc501335084"/>
      <w:bookmarkStart w:id="22" w:name="_Toc336344"/>
      <w:bookmarkStart w:id="23" w:name="_Toc336460"/>
      <w:bookmarkStart w:id="24" w:name="_Toc6041908"/>
      <w:r>
        <w:rPr>
          <w:rStyle w:val="CharSectno"/>
        </w:rPr>
        <w:t>3C</w:t>
      </w:r>
      <w:r>
        <w:rPr>
          <w:snapToGrid w:val="0"/>
        </w:rPr>
        <w:t>.</w:t>
      </w:r>
      <w:r>
        <w:rPr>
          <w:snapToGrid w:val="0"/>
        </w:rPr>
        <w:tab/>
        <w:t>Third Variation Agreement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25" w:name="_Toc501335085"/>
      <w:bookmarkStart w:id="26" w:name="_Toc336345"/>
      <w:bookmarkStart w:id="27" w:name="_Toc336461"/>
      <w:bookmarkStart w:id="28" w:name="_Toc6041909"/>
      <w:r>
        <w:rPr>
          <w:rStyle w:val="CharSectno"/>
        </w:rPr>
        <w:t>3D</w:t>
      </w:r>
      <w:r>
        <w:rPr>
          <w:snapToGrid w:val="0"/>
        </w:rPr>
        <w:t>.</w:t>
      </w:r>
      <w:r>
        <w:rPr>
          <w:snapToGrid w:val="0"/>
        </w:rPr>
        <w:tab/>
        <w:t>Fourth Variation Agreement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29" w:name="_Toc501335086"/>
      <w:bookmarkStart w:id="30" w:name="_Toc336346"/>
      <w:bookmarkStart w:id="31" w:name="_Toc336462"/>
      <w:bookmarkStart w:id="32" w:name="_Toc6041910"/>
      <w:r>
        <w:rPr>
          <w:rStyle w:val="CharSectno"/>
        </w:rPr>
        <w:t>3E</w:t>
      </w:r>
      <w:r>
        <w:t>.</w:t>
      </w:r>
      <w:r>
        <w:tab/>
        <w:t>Fifth Variation Agreement</w:t>
      </w:r>
      <w:bookmarkEnd w:id="29"/>
      <w:bookmarkEnd w:id="30"/>
      <w:bookmarkEnd w:id="31"/>
      <w:bookmarkEnd w:id="32"/>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rPr>
          <w:snapToGrid w:val="0"/>
        </w:rPr>
      </w:pPr>
      <w:bookmarkStart w:id="33" w:name="_Toc501335087"/>
      <w:bookmarkStart w:id="34" w:name="_Toc336347"/>
      <w:bookmarkStart w:id="35" w:name="_Toc336463"/>
      <w:bookmarkStart w:id="36" w:name="_Toc6041911"/>
      <w:r>
        <w:rPr>
          <w:rStyle w:val="CharSectno"/>
        </w:rPr>
        <w:t>4</w:t>
      </w:r>
      <w:r>
        <w:rPr>
          <w:snapToGrid w:val="0"/>
        </w:rPr>
        <w:t>.</w:t>
      </w:r>
      <w:r>
        <w:rPr>
          <w:snapToGrid w:val="0"/>
        </w:rPr>
        <w:tab/>
        <w:t>By</w:t>
      </w:r>
      <w:r>
        <w:rPr>
          <w:snapToGrid w:val="0"/>
        </w:rPr>
        <w:noBreakHyphen/>
        <w:t>laws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37" w:name="_Toc501335088"/>
      <w:bookmarkStart w:id="38" w:name="_Toc336348"/>
      <w:bookmarkStart w:id="39" w:name="_Toc336464"/>
      <w:bookmarkStart w:id="40" w:name="_Toc6041912"/>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37"/>
      <w:bookmarkEnd w:id="38"/>
      <w:bookmarkEnd w:id="39"/>
      <w:bookmarkEnd w:id="40"/>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41" w:name="_Toc501335089"/>
      <w:bookmarkStart w:id="42" w:name="_Toc336349"/>
      <w:bookmarkStart w:id="43" w:name="_Toc336465"/>
      <w:bookmarkStart w:id="44" w:name="_Toc6041913"/>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41"/>
      <w:bookmarkEnd w:id="42"/>
      <w:bookmarkEnd w:id="43"/>
      <w:bookmarkEnd w:id="44"/>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5" w:name="_Toc336466"/>
      <w:bookmarkStart w:id="46" w:name="_Toc3283297"/>
      <w:bookmarkStart w:id="47" w:name="_Toc3619151"/>
      <w:bookmarkStart w:id="48" w:name="_Toc6041914"/>
      <w:r>
        <w:t>The Schedules</w:t>
      </w:r>
      <w:bookmarkEnd w:id="45"/>
      <w:bookmarkEnd w:id="46"/>
      <w:bookmarkEnd w:id="47"/>
      <w:bookmarkEnd w:id="48"/>
    </w:p>
    <w:p>
      <w:pPr>
        <w:pStyle w:val="yScheduleHeading"/>
      </w:pPr>
      <w:bookmarkStart w:id="49" w:name="_Toc336467"/>
      <w:bookmarkStart w:id="50" w:name="_Toc6041915"/>
      <w:r>
        <w:rPr>
          <w:rStyle w:val="CharSchNo"/>
        </w:rPr>
        <w:t>First Schedule</w:t>
      </w:r>
      <w:bookmarkEnd w:id="49"/>
      <w:bookmarkEnd w:id="50"/>
    </w:p>
    <w:p>
      <w:pPr>
        <w:pStyle w:val="yFootnoteheading"/>
        <w:rPr>
          <w:snapToGrid w:val="0"/>
        </w:rPr>
      </w:pPr>
      <w:r>
        <w:rPr>
          <w:snapToGrid w:val="0"/>
        </w:rPr>
        <w:t>[Headings inserted by No. 63 of 1967 s. 5.]</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51" w:name="_Toc336468"/>
      <w:bookmarkStart w:id="52" w:name="_Toc6041916"/>
      <w:r>
        <w:rPr>
          <w:rStyle w:val="CharSchNo"/>
        </w:rPr>
        <w:t>Second Schedule</w:t>
      </w:r>
      <w:bookmarkEnd w:id="51"/>
      <w:bookmarkEnd w:id="52"/>
    </w:p>
    <w:p>
      <w:pPr>
        <w:pStyle w:val="MiscellaneousBody"/>
        <w:jc w:val="right"/>
        <w:rPr>
          <w:snapToGrid w:val="0"/>
          <w:sz w:val="22"/>
        </w:rPr>
      </w:pPr>
      <w:r>
        <w:rPr>
          <w:snapToGrid w:val="0"/>
          <w:sz w:val="22"/>
        </w:rPr>
        <w:t>[Section 2]</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lang w:eastAsia="en-AU"/>
              </w:rPr>
              <w:drawing>
                <wp:inline distT="0" distB="0" distL="0" distR="0">
                  <wp:extent cx="1238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[Second Schedule inserted by No. 63 of 1967 s. 6.]</w:t>
      </w:r>
    </w:p>
    <w:p>
      <w:pPr>
        <w:pStyle w:val="yScheduleHeading"/>
      </w:pPr>
      <w:bookmarkStart w:id="53" w:name="_Toc336469"/>
      <w:bookmarkStart w:id="54" w:name="_Toc6041917"/>
      <w:r>
        <w:rPr>
          <w:rStyle w:val="CharSchNo"/>
        </w:rPr>
        <w:t>Third Schedule</w:t>
      </w:r>
      <w:bookmarkEnd w:id="53"/>
      <w:bookmarkEnd w:id="54"/>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lang w:eastAsia="en-AU"/>
              </w:rPr>
              <w:drawing>
                <wp:inline distT="0" distB="0" distL="0" distR="0">
                  <wp:extent cx="1238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lang w:eastAsia="en-AU"/>
              </w:rPr>
              <w:drawing>
                <wp:inline distT="0" distB="0" distL="0" distR="0">
                  <wp:extent cx="12382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525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lang w:eastAsia="en-AU"/>
              </w:rPr>
              <w:drawing>
                <wp:inline distT="0" distB="0" distL="0" distR="0">
                  <wp:extent cx="12382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858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[Third Schedule inserted by No. 12 of 1979 s. 5.]</w:t>
      </w:r>
    </w:p>
    <w:p>
      <w:pPr>
        <w:pStyle w:val="yScheduleHeading"/>
      </w:pPr>
      <w:bookmarkStart w:id="55" w:name="_Toc336470"/>
      <w:bookmarkStart w:id="56" w:name="_Toc6041918"/>
      <w:r>
        <w:rPr>
          <w:rStyle w:val="CharSchNo"/>
        </w:rPr>
        <w:t>Fourth Schedule</w:t>
      </w:r>
      <w:bookmarkEnd w:id="55"/>
      <w:bookmarkEnd w:id="56"/>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lang w:eastAsia="en-AU"/>
              </w:rPr>
              <w:drawing>
                <wp:inline distT="0" distB="0" distL="0" distR="0">
                  <wp:extent cx="12382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r>
              <w:rPr>
                <w:noProof/>
                <w:sz w:val="22"/>
                <w:lang w:eastAsia="en-AU"/>
              </w:rPr>
              <w:drawing>
                <wp:inline distT="0" distB="0" distL="0" distR="0">
                  <wp:extent cx="123825" cy="628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lang w:eastAsia="en-AU"/>
              </w:rPr>
              <w:drawing>
                <wp:inline distT="0" distB="0" distL="0" distR="0">
                  <wp:extent cx="123825" cy="609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[Fourth Schedule inserted by No. 51 of 1990 s. 6.]</w:t>
      </w:r>
    </w:p>
    <w:p>
      <w:pPr>
        <w:pStyle w:val="yScheduleHeading"/>
      </w:pPr>
      <w:bookmarkStart w:id="57" w:name="_Toc336471"/>
      <w:bookmarkStart w:id="58" w:name="_Toc6041919"/>
      <w:r>
        <w:rPr>
          <w:rStyle w:val="CharSchNo"/>
        </w:rPr>
        <w:t>Fifth Schedule</w:t>
      </w:r>
      <w:bookmarkEnd w:id="57"/>
      <w:bookmarkEnd w:id="58"/>
    </w:p>
    <w:p>
      <w:pPr>
        <w:pStyle w:val="MiscellaneousBody"/>
        <w:jc w:val="right"/>
        <w:rPr>
          <w:snapToGrid w:val="0"/>
          <w:sz w:val="22"/>
        </w:rPr>
      </w:pPr>
      <w:r>
        <w:rPr>
          <w:snapToGrid w:val="0"/>
          <w:sz w:val="22"/>
        </w:rPr>
        <w:t>[section 2]</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59" w:name="endcomma"/>
      <w:bookmarkEnd w:id="59"/>
      <w:r>
        <w:rPr>
          <w:b/>
          <w:sz w:val="22"/>
        </w:rPr>
        <w:t>Pilbara Energy Project Agreement”</w:t>
      </w:r>
      <w:r>
        <w:rPr>
          <w:sz w:val="22"/>
        </w:rPr>
        <w:t xml:space="preserve"> </w:t>
      </w:r>
      <w:bookmarkStart w:id="60" w:name="comma"/>
      <w:bookmarkEnd w:id="60"/>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 xml:space="preserve">[Fifth Schedule inserted by No. 8 of 1994 s. 6.] </w:t>
      </w:r>
    </w:p>
    <w:p>
      <w:pPr>
        <w:pStyle w:val="yScheduleHeading"/>
      </w:pPr>
      <w:bookmarkStart w:id="61" w:name="_Toc336472"/>
      <w:bookmarkStart w:id="62" w:name="_Toc6041920"/>
      <w:r>
        <w:rPr>
          <w:rStyle w:val="CharSchNo"/>
        </w:rPr>
        <w:t>Sixth Schedule</w:t>
      </w:r>
      <w:bookmarkEnd w:id="61"/>
      <w:bookmarkEnd w:id="62"/>
      <w:r>
        <w:rPr>
          <w:rStyle w:val="CharSchNo"/>
        </w:rPr>
        <w:t> </w:t>
      </w:r>
    </w:p>
    <w:p>
      <w:pPr>
        <w:pStyle w:val="MiscellaneousBody"/>
        <w:jc w:val="right"/>
        <w:rPr>
          <w:sz w:val="22"/>
        </w:rPr>
      </w:pPr>
      <w:r>
        <w:rPr>
          <w:sz w:val="22"/>
        </w:rPr>
        <w:t>[s. 3E]</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lang w:eastAsia="en-AU"/>
              </w:rPr>
              <w:drawing>
                <wp:inline distT="0" distB="0" distL="0" distR="0">
                  <wp:extent cx="1238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lang w:eastAsia="en-AU"/>
              </w:rPr>
              <w:drawing>
                <wp:inline distT="0" distB="0" distL="0" distR="0">
                  <wp:extent cx="1238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[Sixth Schedule inserted by No. 57 of 2000 s. 22.]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63" w:name="_Toc6041921"/>
      <w:r>
        <w:rPr>
          <w:snapToGrid w:val="0"/>
        </w:rPr>
        <w:t>Compilation table</w:t>
      </w:r>
      <w:bookmarkEnd w:id="6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Iron Ore (Mount Newman) Agreement Act 1964</w:t>
            </w:r>
          </w:p>
        </w:tc>
        <w:tc>
          <w:tcPr>
            <w:tcW w:w="1134" w:type="dxa"/>
          </w:tcPr>
          <w:p>
            <w:pPr>
              <w:pStyle w:val="nTable"/>
              <w:spacing w:before="120"/>
              <w:rPr>
                <w:sz w:val="19"/>
              </w:rPr>
            </w:pPr>
            <w:r>
              <w:rPr>
                <w:sz w:val="19"/>
              </w:rPr>
              <w:t>75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 balance: 21 Dec 1965 (see s. 2(1))</w:t>
            </w:r>
          </w:p>
        </w:tc>
      </w:tr>
      <w:tr>
        <w:trPr>
          <w:cantSplit/>
        </w:trPr>
        <w:tc>
          <w:tcPr>
            <w:tcW w:w="2268" w:type="dxa"/>
          </w:tcPr>
          <w:p>
            <w:pPr>
              <w:pStyle w:val="nTable"/>
              <w:spacing w:before="120"/>
              <w:ind w:right="113"/>
              <w:rPr>
                <w:sz w:val="19"/>
              </w:rPr>
            </w:pPr>
            <w:r>
              <w:rPr>
                <w:i/>
                <w:sz w:val="19"/>
              </w:rPr>
              <w:t>Iron Ore (Mount Newman) Agreement Act Amendment Act 1967</w:t>
            </w:r>
          </w:p>
        </w:tc>
        <w:tc>
          <w:tcPr>
            <w:tcW w:w="1134" w:type="dxa"/>
          </w:tcPr>
          <w:p>
            <w:pPr>
              <w:pStyle w:val="nTable"/>
              <w:spacing w:before="120"/>
              <w:rPr>
                <w:sz w:val="19"/>
              </w:rPr>
            </w:pPr>
            <w:r>
              <w:rPr>
                <w:sz w:val="19"/>
              </w:rPr>
              <w:t>63 of 1967</w:t>
            </w:r>
          </w:p>
        </w:tc>
        <w:tc>
          <w:tcPr>
            <w:tcW w:w="1134" w:type="dxa"/>
          </w:tcPr>
          <w:p>
            <w:pPr>
              <w:pStyle w:val="nTable"/>
              <w:spacing w:before="120"/>
              <w:rPr>
                <w:sz w:val="19"/>
              </w:rPr>
            </w:pPr>
            <w:r>
              <w:rPr>
                <w:sz w:val="19"/>
              </w:rPr>
              <w:t>5 Dec 1967</w:t>
            </w:r>
          </w:p>
        </w:tc>
        <w:tc>
          <w:tcPr>
            <w:tcW w:w="2552" w:type="dxa"/>
          </w:tcPr>
          <w:p>
            <w:pPr>
              <w:pStyle w:val="nTable"/>
              <w:spacing w:before="120"/>
              <w:rPr>
                <w:sz w:val="19"/>
              </w:rPr>
            </w:pPr>
            <w:r>
              <w:rPr>
                <w:sz w:val="19"/>
              </w:rPr>
              <w:t>5 Dec 1967</w:t>
            </w:r>
          </w:p>
        </w:tc>
      </w:tr>
      <w:tr>
        <w:trPr>
          <w:cantSplit/>
        </w:trPr>
        <w:tc>
          <w:tcPr>
            <w:tcW w:w="7088" w:type="dxa"/>
            <w:gridSpan w:val="4"/>
          </w:tcPr>
          <w:p>
            <w:pPr>
              <w:pStyle w:val="nTable"/>
              <w:spacing w:before="12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Iron Ore (Mount Newman) Agreement Act Amendment Act 1979</w:t>
            </w:r>
          </w:p>
        </w:tc>
        <w:tc>
          <w:tcPr>
            <w:tcW w:w="1134" w:type="dxa"/>
          </w:tcPr>
          <w:p>
            <w:pPr>
              <w:pStyle w:val="nTable"/>
              <w:spacing w:before="120"/>
              <w:rPr>
                <w:sz w:val="19"/>
              </w:rPr>
            </w:pPr>
            <w:r>
              <w:rPr>
                <w:sz w:val="19"/>
              </w:rPr>
              <w:t>12 of 1979</w:t>
            </w:r>
          </w:p>
        </w:tc>
        <w:tc>
          <w:tcPr>
            <w:tcW w:w="1134" w:type="dxa"/>
          </w:tcPr>
          <w:p>
            <w:pPr>
              <w:pStyle w:val="nTable"/>
              <w:spacing w:before="120"/>
              <w:rPr>
                <w:sz w:val="19"/>
              </w:rPr>
            </w:pPr>
            <w:r>
              <w:rPr>
                <w:sz w:val="19"/>
              </w:rPr>
              <w:t>24 May 1979</w:t>
            </w:r>
          </w:p>
        </w:tc>
        <w:tc>
          <w:tcPr>
            <w:tcW w:w="2552" w:type="dxa"/>
          </w:tcPr>
          <w:p>
            <w:pPr>
              <w:pStyle w:val="nTable"/>
              <w:spacing w:before="120"/>
              <w:rPr>
                <w:sz w:val="19"/>
              </w:rPr>
            </w:pPr>
            <w:r>
              <w:rPr>
                <w:sz w:val="19"/>
              </w:rPr>
              <w:t>24 May 1979</w:t>
            </w:r>
          </w:p>
        </w:tc>
      </w:tr>
      <w:tr>
        <w:trPr>
          <w:cantSplit/>
        </w:trPr>
        <w:tc>
          <w:tcPr>
            <w:tcW w:w="2268" w:type="dxa"/>
          </w:tcPr>
          <w:p>
            <w:pPr>
              <w:pStyle w:val="nTable"/>
              <w:spacing w:before="120"/>
              <w:ind w:right="113"/>
              <w:rPr>
                <w:sz w:val="19"/>
              </w:rPr>
            </w:pPr>
            <w:r>
              <w:rPr>
                <w:i/>
                <w:sz w:val="19"/>
              </w:rPr>
              <w:t>Iron Ore (Mount Newman) Agreement Amendment Act 1990</w:t>
            </w:r>
          </w:p>
        </w:tc>
        <w:tc>
          <w:tcPr>
            <w:tcW w:w="1134" w:type="dxa"/>
          </w:tcPr>
          <w:p>
            <w:pPr>
              <w:pStyle w:val="nTable"/>
              <w:spacing w:before="120"/>
              <w:rPr>
                <w:sz w:val="19"/>
              </w:rPr>
            </w:pPr>
            <w:r>
              <w:rPr>
                <w:sz w:val="19"/>
              </w:rPr>
              <w:t>51 of 1990</w:t>
            </w:r>
          </w:p>
        </w:tc>
        <w:tc>
          <w:tcPr>
            <w:tcW w:w="1134" w:type="dxa"/>
          </w:tcPr>
          <w:p>
            <w:pPr>
              <w:pStyle w:val="nTable"/>
              <w:spacing w:before="120"/>
              <w:rPr>
                <w:sz w:val="19"/>
              </w:rPr>
            </w:pPr>
            <w:r>
              <w:rPr>
                <w:sz w:val="19"/>
              </w:rPr>
              <w:t>4 Dec 1990</w:t>
            </w:r>
          </w:p>
        </w:tc>
        <w:tc>
          <w:tcPr>
            <w:tcW w:w="2552" w:type="dxa"/>
          </w:tcPr>
          <w:p>
            <w:pPr>
              <w:pStyle w:val="nTable"/>
              <w:spacing w:before="120"/>
              <w:rPr>
                <w:sz w:val="19"/>
              </w:rPr>
            </w:pPr>
            <w:r>
              <w:rPr>
                <w:sz w:val="19"/>
              </w:rPr>
              <w:t>4 Dec 1990 (see s. 2)</w:t>
            </w:r>
          </w:p>
        </w:tc>
      </w:tr>
      <w:tr>
        <w:trPr>
          <w:cantSplit/>
        </w:trPr>
        <w:tc>
          <w:tcPr>
            <w:tcW w:w="2268" w:type="dxa"/>
          </w:tcPr>
          <w:p>
            <w:pPr>
              <w:pStyle w:val="nTable"/>
              <w:spacing w:before="120"/>
              <w:ind w:right="113"/>
              <w:rPr>
                <w:sz w:val="19"/>
              </w:rPr>
            </w:pPr>
            <w:r>
              <w:rPr>
                <w:i/>
                <w:sz w:val="19"/>
              </w:rPr>
              <w:t>Iron Ore (Mount Newman) Agreement Amendment Act 1994</w:t>
            </w:r>
          </w:p>
        </w:tc>
        <w:tc>
          <w:tcPr>
            <w:tcW w:w="1134" w:type="dxa"/>
          </w:tcPr>
          <w:p>
            <w:pPr>
              <w:pStyle w:val="nTable"/>
              <w:spacing w:before="120"/>
              <w:rPr>
                <w:sz w:val="19"/>
              </w:rPr>
            </w:pPr>
            <w:r>
              <w:rPr>
                <w:sz w:val="19"/>
              </w:rPr>
              <w:t>8 of 1994</w:t>
            </w:r>
          </w:p>
        </w:tc>
        <w:tc>
          <w:tcPr>
            <w:tcW w:w="1134" w:type="dxa"/>
          </w:tcPr>
          <w:p>
            <w:pPr>
              <w:pStyle w:val="nTable"/>
              <w:spacing w:before="120"/>
              <w:rPr>
                <w:sz w:val="19"/>
              </w:rPr>
            </w:pPr>
            <w:r>
              <w:rPr>
                <w:sz w:val="19"/>
              </w:rPr>
              <w:t>15 Apr 1994</w:t>
            </w:r>
          </w:p>
        </w:tc>
        <w:tc>
          <w:tcPr>
            <w:tcW w:w="2552" w:type="dxa"/>
          </w:tcPr>
          <w:p>
            <w:pPr>
              <w:pStyle w:val="nTable"/>
              <w:spacing w:before="120"/>
              <w:rPr>
                <w:sz w:val="19"/>
              </w:rPr>
            </w:pPr>
            <w:r>
              <w:rPr>
                <w:sz w:val="19"/>
              </w:rPr>
              <w:t>15 Apr 1994 (see s. 2)</w:t>
            </w:r>
          </w:p>
        </w:tc>
      </w:tr>
      <w:tr>
        <w:trPr>
          <w:cantSplit/>
        </w:trPr>
        <w:tc>
          <w:tcPr>
            <w:tcW w:w="2268" w:type="dxa"/>
          </w:tcPr>
          <w:p>
            <w:pPr>
              <w:pStyle w:val="nTable"/>
              <w:spacing w:before="120"/>
              <w:ind w:right="113"/>
              <w:rPr>
                <w:sz w:val="19"/>
              </w:rPr>
            </w:pPr>
            <w:r>
              <w:rPr>
                <w:i/>
                <w:sz w:val="19"/>
              </w:rPr>
              <w:t xml:space="preserve">Acts Amendment (Iron Ore Agreements) Act 2000 </w:t>
            </w:r>
            <w:r>
              <w:rPr>
                <w:sz w:val="19"/>
              </w:rPr>
              <w:t>Pt. 6</w:t>
            </w:r>
          </w:p>
        </w:tc>
        <w:tc>
          <w:tcPr>
            <w:tcW w:w="1134" w:type="dxa"/>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cantSplit/>
        </w:trPr>
        <w:tc>
          <w:tcPr>
            <w:tcW w:w="7088" w:type="dxa"/>
            <w:gridSpan w:val="4"/>
            <w:tcBorders>
              <w:bottom w:val="single" w:sz="4" w:space="0" w:color="auto"/>
            </w:tcBorders>
          </w:tcPr>
          <w:p>
            <w:pPr>
              <w:pStyle w:val="nTable"/>
              <w:spacing w:before="12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bl>
    <w:p>
      <w:pPr>
        <w:pStyle w:val="nSubsection"/>
        <w:rPr>
          <w:i/>
          <w:snapToGrid w:val="0"/>
        </w:rPr>
      </w:pPr>
      <w:r>
        <w:rPr>
          <w:snapToGrid w:val="0"/>
          <w:vertAlign w:val="superscript"/>
        </w:rPr>
        <w:t>2</w:t>
      </w:r>
      <w:r>
        <w:rPr>
          <w:snapToGrid w:val="0"/>
        </w:rPr>
        <w:t xml:space="preserve"> </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 xml:space="preserve"> </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 xml:space="preserve"> </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 xml:space="preserve"> </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 xml:space="preserve"> </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 xml:space="preserve"> </w:t>
      </w:r>
      <w:r>
        <w:rPr>
          <w:snapToGrid w:val="0"/>
        </w:rPr>
        <w:tab/>
        <w:t>Marginal notes in the agreement set out in the First Schedule have been represented as bold headnotes in this reprint, but that does not change their status as marginal notes.</w:t>
      </w:r>
    </w:p>
    <w:p/>
    <w:p/>
    <w:p/>
    <w:p/>
    <w:p/>
    <w:p/>
    <w:p/>
    <w:p/>
    <w:p/>
    <w:p/>
    <w:p/>
    <w:p/>
    <w:p/>
    <w:p/>
    <w:p/>
    <w:p/>
    <w:p/>
    <w:p/>
    <w:p/>
    <w:p/>
    <w:p/>
    <w:p/>
    <w:p/>
    <w:p/>
    <w:p/>
    <w:p/>
    <w:p/>
    <w:p/>
    <w:p/>
    <w:p/>
    <w:p/>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Newman)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33078</Words>
  <Characters>160433</Characters>
  <Application>Microsoft Office Word</Application>
  <DocSecurity>0</DocSecurity>
  <Lines>4010</Lines>
  <Paragraphs>1217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1964 - 02-a0-08</dc:title>
  <dc:subject/>
  <dc:creator/>
  <cp:keywords/>
  <dc:description/>
  <cp:lastModifiedBy>svcMRProcess</cp:lastModifiedBy>
  <cp:revision>4</cp:revision>
  <cp:lastPrinted>2002-03-25T06:32:00Z</cp:lastPrinted>
  <dcterms:created xsi:type="dcterms:W3CDTF">2020-02-16T22:00:00Z</dcterms:created>
  <dcterms:modified xsi:type="dcterms:W3CDTF">2020-02-16T22:00:00Z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20020308</vt:lpwstr>
  </property>
  <property fmtid="{D5CDD505-2E9C-101B-9397-08002B2CF9AE}" pid="4" name="DocumentType">
    <vt:lpwstr>Act</vt:lpwstr>
  </property>
  <property fmtid="{D5CDD505-2E9C-101B-9397-08002B2CF9AE}" pid="5" name="AsAtDate">
    <vt:lpwstr>08 Mar 2002</vt:lpwstr>
  </property>
  <property fmtid="{D5CDD505-2E9C-101B-9397-08002B2CF9AE}" pid="6" name="Suffix">
    <vt:lpwstr>02-a0-08</vt:lpwstr>
  </property>
</Properties>
</file>