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12" name="Picture 1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1500" w:after="2200"/>
        <w:outlineLvl w:val="0"/>
      </w:pPr>
      <w:r>
        <w:fldChar w:fldCharType="begin"/>
      </w:r>
      <w:r>
        <w:instrText xml:space="preserve"> STYLEREF "Name Of Act/Reg"</w:instrText>
      </w:r>
      <w:r>
        <w:fldChar w:fldCharType="separate"/>
      </w:r>
      <w:r>
        <w:rPr>
          <w:noProof/>
        </w:rPr>
        <w:t>Kalgoorlie-Parkeston Railway Act 1959</w:t>
      </w:r>
      <w:r>
        <w:fldChar w:fldCharType="end"/>
      </w:r>
    </w:p>
    <w:p>
      <w:pPr>
        <w:pStyle w:val="Subsection"/>
      </w:pPr>
      <w:r>
        <w:tab/>
      </w:r>
      <w:r>
        <w:tab/>
      </w:r>
      <w:bookmarkStart w:id="1" w:name="RepealText"/>
      <w:bookmarkEnd w:id="1"/>
      <w:r>
        <w:rPr>
          <w:color w:val="000000"/>
          <w:sz w:val="22"/>
          <w:szCs w:val="22"/>
        </w:rPr>
        <w:t xml:space="preserve">This Act was repealed by the </w:t>
      </w:r>
      <w:r>
        <w:rPr>
          <w:i/>
          <w:iCs/>
          <w:color w:val="000000"/>
          <w:sz w:val="22"/>
          <w:szCs w:val="22"/>
        </w:rPr>
        <w:t>Public Transport Authority Act 2003</w:t>
      </w:r>
      <w:r>
        <w:rPr>
          <w:color w:val="000000"/>
          <w:sz w:val="22"/>
          <w:szCs w:val="22"/>
        </w:rPr>
        <w:t xml:space="preserve"> s. 149 (No. 31 of 2003) as at 1 Jul 2003 (see s. 2(1) and </w:t>
      </w:r>
      <w:r>
        <w:rPr>
          <w:i/>
          <w:color w:val="000000"/>
          <w:sz w:val="22"/>
          <w:szCs w:val="22"/>
        </w:rPr>
        <w:t>Gazette</w:t>
      </w:r>
      <w:r>
        <w:rPr>
          <w:color w:val="000000"/>
          <w:sz w:val="22"/>
          <w:szCs w:val="22"/>
        </w:rPr>
        <w:t xml:space="preserve"> 27 Jun 2003 p. 2384).</w:t>
      </w:r>
    </w:p>
    <w:p/>
    <w:p>
      <w:pPr>
        <w:jc w:val="center"/>
        <w:sectPr>
          <w:headerReference w:type="even" r:id="rId9"/>
          <w:headerReference w:type="default" r:id="rId10"/>
          <w:footerReference w:type="even" r:id="rId11"/>
          <w:footerReference w:type="default" r:id="rId12"/>
          <w:headerReference w:type="first" r:id="rId13"/>
          <w:footerReference w:type="first" r:id="rId14"/>
          <w:pgSz w:w="11907" w:h="16840" w:code="9"/>
          <w:pgMar w:top="2376" w:right="2405" w:bottom="3542" w:left="2405" w:header="706" w:footer="3542" w:gutter="0"/>
          <w:pgNumType w:fmt="lowerRoman" w:start="1"/>
          <w:cols w:space="720"/>
          <w:noEndnote/>
          <w:titlePg/>
          <w:docGrid w:linePitch="326"/>
        </w:sectPr>
      </w:pPr>
    </w:p>
    <w:p>
      <w:pPr>
        <w:pStyle w:val="WA"/>
        <w:outlineLvl w:val="0"/>
      </w:pPr>
      <w:r>
        <w:lastRenderedPageBreak/>
        <w:t>Western Australia</w:t>
      </w:r>
    </w:p>
    <w:p>
      <w:pPr>
        <w:pStyle w:val="NameofActRegPage1"/>
      </w:pPr>
      <w:r>
        <w:fldChar w:fldCharType="begin"/>
      </w:r>
      <w:r>
        <w:instrText xml:space="preserve"> STYLEREF "Name Of Act/Reg"</w:instrText>
      </w:r>
      <w:r>
        <w:fldChar w:fldCharType="separate"/>
      </w:r>
      <w:r>
        <w:rPr>
          <w:noProof/>
        </w:rPr>
        <w:t>Kalgoorlie-Parkeston Railway Act 1959</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"2-7" \w \* MERGEFORMAT </w:instrText>
      </w:r>
      <w:r>
        <w:fldChar w:fldCharType="separate"/>
      </w:r>
      <w:r>
        <w:t>1</w:t>
      </w:r>
      <w:r>
        <w:rPr>
          <w:snapToGrid w:val="0"/>
        </w:rPr>
        <w:t>.</w:t>
      </w:r>
      <w:r>
        <w:rPr>
          <w:snapToGrid w:val="0"/>
        </w:rPr>
        <w:tab/>
        <w:t>Short title and citation</w:t>
      </w:r>
      <w:r>
        <w:tab/>
      </w:r>
      <w:r>
        <w:fldChar w:fldCharType="begin"/>
      </w:r>
      <w:r>
        <w:instrText xml:space="preserve"> PAGEREF _Toc430093298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Interpretations</w:t>
      </w:r>
      <w:r>
        <w:tab/>
      </w:r>
      <w:r>
        <w:fldChar w:fldCharType="begin"/>
      </w:r>
      <w:r>
        <w:instrText xml:space="preserve"> PAGEREF _Toc430093299 \h </w:instrText>
      </w:r>
      <w:r>
        <w:fldChar w:fldCharType="separate"/>
      </w:r>
      <w:r>
        <w:t>1</w:t>
      </w:r>
      <w:r>
        <w:fldChar w:fldCharType="end"/>
      </w:r>
    </w:p>
    <w:p>
      <w:pPr>
        <w:pStyle w:val="TOC8"/>
        <w:rPr>
          <w:rFonts w:asciiTheme="minorHAnsi" w:eastAsiaTheme="minorEastAsia" w:hAnsiTheme="minorHAnsi" w:cstheme="minorBidi"/>
          <w:szCs w:val="22"/>
        </w:rPr>
      </w:pPr>
      <w:r>
        <w:t>3.</w:t>
      </w:r>
      <w:r>
        <w:tab/>
        <w:t>Validation and authorization of operation and maintenance of the line affected</w:t>
      </w:r>
      <w:r>
        <w:tab/>
      </w:r>
      <w:r>
        <w:fldChar w:fldCharType="begin"/>
      </w:r>
      <w:r>
        <w:instrText xml:space="preserve"> PAGEREF _Toc430093300 \h </w:instrText>
      </w:r>
      <w:r>
        <w:fldChar w:fldCharType="separate"/>
      </w:r>
      <w:r>
        <w:t>2</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 xml:space="preserve">Application of </w:t>
      </w:r>
      <w:r>
        <w:rPr>
          <w:i/>
          <w:snapToGrid w:val="0"/>
        </w:rPr>
        <w:t>Government Railways Act 1904</w:t>
      </w:r>
      <w:r>
        <w:rPr>
          <w:snapToGrid w:val="0"/>
        </w:rPr>
        <w:t xml:space="preserve"> to line affected</w:t>
      </w:r>
      <w:r>
        <w:tab/>
      </w:r>
      <w:r>
        <w:fldChar w:fldCharType="begin"/>
      </w:r>
      <w:r>
        <w:instrText xml:space="preserve"> PAGEREF _Toc430093301 \h </w:instrText>
      </w:r>
      <w:r>
        <w:fldChar w:fldCharType="separate"/>
      </w:r>
      <w:r>
        <w:t>3</w:t>
      </w:r>
      <w:r>
        <w:fldChar w:fldCharType="end"/>
      </w:r>
    </w:p>
    <w:p>
      <w:pPr>
        <w:pStyle w:val="TOC2"/>
        <w:tabs>
          <w:tab w:val="right" w:leader="dot" w:pos="7077"/>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_Toc430093303 \h </w:instrText>
      </w:r>
      <w:r>
        <w:fldChar w:fldCharType="separate"/>
      </w:r>
      <w:r>
        <w:t>4</w:t>
      </w:r>
      <w:r>
        <w:fldChar w:fldCharType="end"/>
      </w:r>
    </w:p>
    <w:p>
      <w:pPr>
        <w:pStyle w:val="NoteHeading"/>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Pr>
        <w:pStyle w:val="NoteHeading"/>
        <w:sectPr>
          <w:headerReference w:type="even" r:id="rId15"/>
          <w:headerReference w:type="default" r:id="rId16"/>
          <w:footerReference w:type="even" r:id="rId17"/>
          <w:footerReference w:type="default" r:id="rId18"/>
          <w:headerReference w:type="first" r:id="rId19"/>
          <w:footerReference w:type="first" r:id="rId20"/>
          <w:type w:val="oddPage"/>
          <w:pgSz w:w="11907" w:h="16840" w:code="9"/>
          <w:pgMar w:top="2381" w:right="2410" w:bottom="3544" w:left="2410" w:header="720" w:footer="3544" w:gutter="0"/>
          <w:pgNumType w:fmt="lowerRoman" w:start="1"/>
          <w:cols w:space="720"/>
          <w:noEndnote/>
          <w:titlePg/>
        </w:sectPr>
      </w:pPr>
    </w:p>
    <w:p>
      <w:pPr>
        <w:pStyle w:val="WA"/>
      </w:pPr>
      <w:r>
        <w:t>Western Australia</w:t>
      </w:r>
    </w:p>
    <w:p>
      <w:pPr>
        <w:pStyle w:val="NameofActReg"/>
      </w:pPr>
      <w:r>
        <w:t>Kalgoorlie</w:t>
      </w:r>
      <w:r>
        <w:noBreakHyphen/>
        <w:t xml:space="preserve">Parkeston Railway Act 1959 </w:t>
      </w:r>
    </w:p>
    <w:p>
      <w:pPr>
        <w:pStyle w:val="LongTitle"/>
        <w:rPr>
          <w:snapToGrid w:val="0"/>
        </w:rPr>
      </w:pPr>
      <w:r>
        <w:rPr>
          <w:snapToGrid w:val="0"/>
        </w:rPr>
        <w:t xml:space="preserve">An Act to authorize the operation and maintenance, and to validate as lawful the past operation and maintenance, by the Western Australian Government Railways Commission, of a railway from Kalgoorlie to Parkeston; and for other and incidental purposes. </w:t>
      </w:r>
    </w:p>
    <w:p>
      <w:pPr>
        <w:pStyle w:val="Enactment"/>
        <w:rPr>
          <w:snapToGrid w:val="0"/>
        </w:rPr>
      </w:pPr>
      <w:r>
        <w:rPr>
          <w:snapToGrid w:val="0"/>
        </w:rPr>
        <w:t xml:space="preserve">Be it enacted by the Queen’s Most Excellent Majesty, by and with the advice and consent of the Legislative Council and the Legislative Assembly of Western Australia, in this present Parliament assembled, and by the authority of the same, as follows: —  </w:t>
      </w:r>
    </w:p>
    <w:p>
      <w:pPr>
        <w:pStyle w:val="Heading5"/>
        <w:rPr>
          <w:snapToGrid w:val="0"/>
        </w:rPr>
      </w:pPr>
      <w:bookmarkStart w:id="4" w:name="_Toc378931624"/>
      <w:bookmarkStart w:id="5" w:name="_Toc430093298"/>
      <w:r>
        <w:rPr>
          <w:rStyle w:val="CharSectno"/>
        </w:rPr>
        <w:t>1</w:t>
      </w:r>
      <w:r>
        <w:rPr>
          <w:snapToGrid w:val="0"/>
        </w:rPr>
        <w:t>.</w:t>
      </w:r>
      <w:r>
        <w:rPr>
          <w:snapToGrid w:val="0"/>
        </w:rPr>
        <w:tab/>
        <w:t>Short title and citation</w:t>
      </w:r>
      <w:bookmarkEnd w:id="4"/>
      <w:bookmarkEnd w:id="5"/>
      <w:r>
        <w:rPr>
          <w:snapToGrid w:val="0"/>
        </w:rPr>
        <w:t xml:space="preserve"> </w:t>
      </w:r>
    </w:p>
    <w:p>
      <w:pPr>
        <w:pStyle w:val="Subsection"/>
        <w:rPr>
          <w:i/>
          <w:snapToGrid w:val="0"/>
        </w:rPr>
      </w:pPr>
      <w:r>
        <w:rPr>
          <w:snapToGrid w:val="0"/>
        </w:rPr>
        <w:tab/>
      </w:r>
      <w:r>
        <w:rPr>
          <w:snapToGrid w:val="0"/>
        </w:rPr>
        <w:tab/>
        <w:t xml:space="preserve">This Act may be cited as the </w:t>
      </w:r>
      <w:r>
        <w:rPr>
          <w:i/>
          <w:snapToGrid w:val="0"/>
        </w:rPr>
        <w:t>Kalgoorlie</w:t>
      </w:r>
      <w:r>
        <w:rPr>
          <w:i/>
          <w:snapToGrid w:val="0"/>
        </w:rPr>
        <w:noBreakHyphen/>
        <w:t>Parkeston Railway Act 1959.</w:t>
      </w:r>
    </w:p>
    <w:p>
      <w:pPr>
        <w:pStyle w:val="Heading5"/>
        <w:rPr>
          <w:snapToGrid w:val="0"/>
        </w:rPr>
      </w:pPr>
      <w:bookmarkStart w:id="6" w:name="_Toc378931625"/>
      <w:bookmarkStart w:id="7" w:name="_Toc430093299"/>
      <w:r>
        <w:rPr>
          <w:rStyle w:val="CharSectno"/>
        </w:rPr>
        <w:t>2</w:t>
      </w:r>
      <w:r>
        <w:rPr>
          <w:snapToGrid w:val="0"/>
        </w:rPr>
        <w:t>.</w:t>
      </w:r>
      <w:r>
        <w:rPr>
          <w:snapToGrid w:val="0"/>
        </w:rPr>
        <w:tab/>
        <w:t>Interpretations</w:t>
      </w:r>
      <w:bookmarkEnd w:id="6"/>
      <w:bookmarkEnd w:id="7"/>
      <w:r>
        <w:rPr>
          <w:snapToGrid w:val="0"/>
        </w:rPr>
        <w:t xml:space="preserve"> </w:t>
      </w:r>
    </w:p>
    <w:p>
      <w:pPr>
        <w:pStyle w:val="Subsection"/>
        <w:rPr>
          <w:snapToGrid w:val="0"/>
        </w:rPr>
      </w:pPr>
      <w:r>
        <w:rPr>
          <w:snapToGrid w:val="0"/>
        </w:rPr>
        <w:tab/>
      </w:r>
      <w:r>
        <w:rPr>
          <w:snapToGrid w:val="0"/>
        </w:rPr>
        <w:tab/>
        <w:t>In this Act unless the context requires otherwise — </w:t>
      </w:r>
    </w:p>
    <w:p>
      <w:pPr>
        <w:pStyle w:val="Defstart"/>
      </w:pPr>
      <w:r>
        <w:rPr>
          <w:b/>
        </w:rPr>
        <w:tab/>
        <w:t>“Commission”</w:t>
      </w:r>
      <w:r>
        <w:t xml:space="preserve"> means in relation to any matter which has ocurred or may occur on or after the first day of July, one thousand nine hundred and forty</w:t>
      </w:r>
      <w:r>
        <w:noBreakHyphen/>
        <w:t xml:space="preserve">nine, the body corporate as constituted from time to time by the name of The Western Australian Government Railways Commission pursuant to the </w:t>
      </w:r>
      <w:r>
        <w:rPr>
          <w:i/>
        </w:rPr>
        <w:t>Government Railways Act 1904</w:t>
      </w:r>
      <w:r>
        <w:t>; and includes in relation to any matter which occurred before that day the body corporate as constituted from time to time by the name of The Commissioner of Railways pursuant to that Act;</w:t>
      </w:r>
    </w:p>
    <w:p>
      <w:pPr>
        <w:pStyle w:val="Defstart"/>
      </w:pPr>
      <w:r>
        <w:rPr>
          <w:b/>
        </w:rPr>
        <w:tab/>
        <w:t>“line affected”</w:t>
      </w:r>
      <w:r>
        <w:t xml:space="preserve"> means the railway line to which this Act applies and which consists of the part line and the spur line; and is shown in red on the plan in the Schedule to this Act as the line affected;</w:t>
      </w:r>
    </w:p>
    <w:p>
      <w:pPr>
        <w:pStyle w:val="Defstart"/>
      </w:pPr>
      <w:r>
        <w:rPr>
          <w:b/>
        </w:rPr>
        <w:tab/>
        <w:t>“part line”</w:t>
      </w:r>
      <w:r>
        <w:t xml:space="preserve"> means that part of the railway line, the construction and maintenance of which railway line was authorized by the </w:t>
      </w:r>
      <w:r>
        <w:rPr>
          <w:i/>
        </w:rPr>
        <w:t>Kalgoorlie</w:t>
      </w:r>
      <w:r>
        <w:rPr>
          <w:i/>
        </w:rPr>
        <w:noBreakHyphen/>
        <w:t>Kanowna Railway Act 1896</w:t>
      </w:r>
      <w:r>
        <w:t>, which part is of a gauge of three feet and six inches and commences at a point mentioned in that Act as in or near the Kalgoorlie Townsite and proceeds thence in a generally north</w:t>
      </w:r>
      <w:r>
        <w:noBreakHyphen/>
        <w:t>easterly direction for a distance of two miles, fourteen chains and seventeen links at the end of which distance it connects with the spur line, and is shown on the plan in the Schedule to this Act as the “Old Kanowna Railway”;</w:t>
      </w:r>
    </w:p>
    <w:p>
      <w:pPr>
        <w:pStyle w:val="Defstart"/>
      </w:pPr>
      <w:r>
        <w:rPr>
          <w:b/>
        </w:rPr>
        <w:tab/>
        <w:t>“spur line”</w:t>
      </w:r>
      <w:r>
        <w:t xml:space="preserve"> means that part of the line affected which so connects with the part line, and which was constructed in or about the year one thousand nine hundred and twelve on land of the Crown in right of the State, of a gauge of three feet and six inches and of a length of sixty</w:t>
      </w:r>
      <w:r>
        <w:noBreakHyphen/>
        <w:t>one chains and seventy</w:t>
      </w:r>
      <w:r>
        <w:noBreakHyphen/>
        <w:t>seven links in the form approximately of an arc proceeding from its connection with the part line in a generally north</w:t>
      </w:r>
      <w:r>
        <w:noBreakHyphen/>
        <w:t>easterly, then easterly, and then south</w:t>
      </w:r>
      <w:r>
        <w:noBreakHyphen/>
        <w:t>easterly, direction, and is shown on the plan in the Schedule to this Act as the “Connection to Commonwealth Railways.”</w:t>
      </w:r>
    </w:p>
    <w:p>
      <w:pPr>
        <w:pStyle w:val="Heading5"/>
      </w:pPr>
      <w:bookmarkStart w:id="8" w:name="_Toc378931626"/>
      <w:bookmarkStart w:id="9" w:name="_Toc430093300"/>
      <w:r>
        <w:rPr>
          <w:rStyle w:val="CharSectno"/>
        </w:rPr>
        <w:t>3</w:t>
      </w:r>
      <w:r>
        <w:t>.</w:t>
      </w:r>
      <w:r>
        <w:tab/>
        <w:t>Validation and authorization of operation and maintenance of the line affected</w:t>
      </w:r>
      <w:bookmarkEnd w:id="8"/>
      <w:bookmarkEnd w:id="9"/>
    </w:p>
    <w:p>
      <w:pPr>
        <w:pStyle w:val="Subsection"/>
      </w:pPr>
      <w:r>
        <w:tab/>
      </w:r>
      <w:r>
        <w:tab/>
        <w:t>The Commission having operated and maintained the line affected since the construction of the spur line was completed in or about the year one thousand nine hundred and twelve until the coming into operation of this Act notwithstanding</w:t>
      </w:r>
    </w:p>
    <w:p>
      <w:pPr>
        <w:pStyle w:val="MiscellaneousBody"/>
        <w:ind w:left="1701"/>
        <w:rPr>
          <w:snapToGrid w:val="0"/>
        </w:rPr>
      </w:pPr>
      <w:r>
        <w:rPr>
          <w:snapToGrid w:val="0"/>
        </w:rPr>
        <w:t>that in the case of the spur line, authority to do so was not conferred on the Commission by Act of the Parliament of the State; and</w:t>
      </w:r>
    </w:p>
    <w:p>
      <w:pPr>
        <w:pStyle w:val="MiscellaneousBody"/>
        <w:ind w:left="1701"/>
        <w:rPr>
          <w:snapToGrid w:val="0"/>
        </w:rPr>
      </w:pPr>
      <w:r>
        <w:rPr>
          <w:snapToGrid w:val="0"/>
        </w:rPr>
        <w:t xml:space="preserve">that in the case of the part line, authority under Act of the Parliament of the State for the Commission to do so ceased on the coming into operation of the </w:t>
      </w:r>
      <w:r>
        <w:rPr>
          <w:i/>
          <w:snapToGrid w:val="0"/>
        </w:rPr>
        <w:t>Railways Discontinuance Act 1928</w:t>
      </w:r>
      <w:r>
        <w:rPr>
          <w:snapToGrid w:val="0"/>
        </w:rPr>
        <w:t>;</w:t>
      </w:r>
    </w:p>
    <w:p>
      <w:pPr>
        <w:pStyle w:val="Subsection"/>
      </w:pPr>
      <w:r>
        <w:tab/>
      </w:r>
      <w:r>
        <w:tab/>
        <w:t>and it now being deemed expedient to validate the past, and to authorize the future, operation and maintenance by the Commission of the line affected, it is hereby expressly enacted that the Commission is authorized, and shall be deemed always to have been authorized, by this Act to operate and maintain the line affected.</w:t>
      </w:r>
    </w:p>
    <w:p>
      <w:pPr>
        <w:pStyle w:val="Heading5"/>
        <w:rPr>
          <w:snapToGrid w:val="0"/>
        </w:rPr>
      </w:pPr>
      <w:bookmarkStart w:id="10" w:name="_Toc378931627"/>
      <w:bookmarkStart w:id="11" w:name="_Toc430093301"/>
      <w:r>
        <w:rPr>
          <w:rStyle w:val="CharSectno"/>
        </w:rPr>
        <w:t>4</w:t>
      </w:r>
      <w:r>
        <w:rPr>
          <w:snapToGrid w:val="0"/>
        </w:rPr>
        <w:t>.</w:t>
      </w:r>
      <w:r>
        <w:rPr>
          <w:snapToGrid w:val="0"/>
        </w:rPr>
        <w:tab/>
        <w:t xml:space="preserve">Application of </w:t>
      </w:r>
      <w:r>
        <w:rPr>
          <w:i/>
          <w:snapToGrid w:val="0"/>
        </w:rPr>
        <w:t>Government Railways Act 1904</w:t>
      </w:r>
      <w:r>
        <w:rPr>
          <w:snapToGrid w:val="0"/>
        </w:rPr>
        <w:t xml:space="preserve"> to line affected</w:t>
      </w:r>
      <w:bookmarkEnd w:id="10"/>
      <w:bookmarkEnd w:id="11"/>
      <w:r>
        <w:rPr>
          <w:snapToGrid w:val="0"/>
        </w:rPr>
        <w:t xml:space="preserve"> </w:t>
      </w:r>
    </w:p>
    <w:p>
      <w:pPr>
        <w:pStyle w:val="Subsection"/>
        <w:rPr>
          <w:snapToGrid w:val="0"/>
        </w:rPr>
      </w:pPr>
      <w:r>
        <w:rPr>
          <w:snapToGrid w:val="0"/>
        </w:rPr>
        <w:tab/>
      </w:r>
      <w:r>
        <w:rPr>
          <w:snapToGrid w:val="0"/>
        </w:rPr>
        <w:tab/>
        <w:t xml:space="preserve">The provisions of the </w:t>
      </w:r>
      <w:r>
        <w:rPr>
          <w:i/>
          <w:snapToGrid w:val="0"/>
        </w:rPr>
        <w:t>Government Railways Act 1904</w:t>
      </w:r>
      <w:r>
        <w:rPr>
          <w:snapToGrid w:val="0"/>
        </w:rPr>
        <w:t xml:space="preserve">, as enacted and as amended from time to time and as applicable at any particular time in respect of any particular matter, shall be deemed to have applied prior to the coming into operation of this Act, and shall be deemed to apply after the coming into operation of this Act, to the operation and maintenance of the line affected in all respects as if the line affected were in fact a “Government railway” according to the interpretation of that expression in section two of the </w:t>
      </w:r>
      <w:r>
        <w:rPr>
          <w:i/>
          <w:snapToGrid w:val="0"/>
        </w:rPr>
        <w:t>Government Railways Act 1904</w:t>
      </w:r>
      <w:r>
        <w:rPr>
          <w:snapToGrid w:val="0"/>
        </w:rPr>
        <w:t xml:space="preserve">, and had in fact been declared open for traffic by notice in the </w:t>
      </w:r>
      <w:r>
        <w:rPr>
          <w:i/>
          <w:snapToGrid w:val="0"/>
        </w:rPr>
        <w:t>Gazette</w:t>
      </w:r>
      <w:r>
        <w:rPr>
          <w:snapToGrid w:val="0"/>
        </w:rPr>
        <w:t>.</w:t>
      </w:r>
    </w:p>
    <w:p>
      <w:pPr>
        <w:sectPr>
          <w:headerReference w:type="even" r:id="rId21"/>
          <w:headerReference w:type="default" r:id="rId22"/>
          <w:headerReference w:type="first" r:id="rId23"/>
          <w:pgSz w:w="11907" w:h="16840" w:code="9"/>
          <w:pgMar w:top="2376" w:right="2405" w:bottom="3542" w:left="2405" w:header="706" w:footer="3380" w:gutter="0"/>
          <w:pgNumType w:start="1"/>
          <w:cols w:space="720"/>
          <w:noEndnote/>
          <w:titlePg/>
          <w:docGrid w:linePitch="326"/>
        </w:sectPr>
      </w:pPr>
    </w:p>
    <w:p>
      <w:pPr>
        <w:pStyle w:val="nHeading2"/>
      </w:pPr>
      <w:bookmarkStart w:id="12" w:name="_Toc378931628"/>
      <w:bookmarkStart w:id="13" w:name="_Toc425774792"/>
      <w:bookmarkStart w:id="14" w:name="_Toc430093302"/>
      <w:r>
        <w:t>Notes</w:t>
      </w:r>
      <w:bookmarkEnd w:id="12"/>
      <w:bookmarkEnd w:id="13"/>
      <w:bookmarkEnd w:id="14"/>
    </w:p>
    <w:p>
      <w:pPr>
        <w:pStyle w:val="nSubsection"/>
        <w:rPr>
          <w:snapToGrid w:val="0"/>
        </w:rPr>
      </w:pPr>
      <w:r>
        <w:rPr>
          <w:snapToGrid w:val="0"/>
          <w:vertAlign w:val="superscript"/>
        </w:rPr>
        <w:t>1.</w:t>
      </w:r>
      <w:r>
        <w:rPr>
          <w:snapToGrid w:val="0"/>
        </w:rPr>
        <w:tab/>
        <w:t xml:space="preserve">This is a compilation of the </w:t>
      </w:r>
      <w:r>
        <w:rPr>
          <w:i/>
          <w:snapToGrid w:val="0"/>
        </w:rPr>
        <w:t>Kalgoorlie</w:t>
      </w:r>
      <w:r>
        <w:rPr>
          <w:i/>
          <w:snapToGrid w:val="0"/>
        </w:rPr>
        <w:noBreakHyphen/>
        <w:t>Parkeston Railway Act 1959</w:t>
      </w:r>
      <w:r>
        <w:rPr>
          <w:snapToGrid w:val="0"/>
        </w:rPr>
        <w:t xml:space="preserve"> and includes all amendments effected by the other Acts referred to in the following Table.</w:t>
      </w:r>
    </w:p>
    <w:p>
      <w:pPr>
        <w:pStyle w:val="nHeading3"/>
        <w:rPr>
          <w:snapToGrid w:val="0"/>
        </w:rPr>
      </w:pPr>
      <w:bookmarkStart w:id="15" w:name="_Toc378931629"/>
      <w:bookmarkStart w:id="16" w:name="_Toc430093303"/>
      <w:r>
        <w:rPr>
          <w:snapToGrid w:val="0"/>
        </w:rPr>
        <w:t>Compilation table</w:t>
      </w:r>
      <w:bookmarkEnd w:id="15"/>
      <w:bookmarkEnd w:id="16"/>
    </w:p>
    <w:tbl>
      <w:tblPr>
        <w:tblW w:w="7087" w:type="dxa"/>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rPr>
            </w:pPr>
            <w:r>
              <w:rPr>
                <w:b/>
              </w:rPr>
              <w:t>Short title</w:t>
            </w:r>
          </w:p>
        </w:tc>
        <w:tc>
          <w:tcPr>
            <w:tcW w:w="1134" w:type="dxa"/>
            <w:tcBorders>
              <w:top w:val="single" w:sz="8" w:space="0" w:color="auto"/>
              <w:bottom w:val="single" w:sz="8" w:space="0" w:color="auto"/>
            </w:tcBorders>
          </w:tcPr>
          <w:p>
            <w:pPr>
              <w:pStyle w:val="nTable"/>
              <w:spacing w:after="40"/>
              <w:rPr>
                <w:b/>
              </w:rPr>
            </w:pPr>
            <w:r>
              <w:rPr>
                <w:b/>
              </w:rPr>
              <w:t>Number and year</w:t>
            </w:r>
          </w:p>
        </w:tc>
        <w:tc>
          <w:tcPr>
            <w:tcW w:w="1134" w:type="dxa"/>
            <w:tcBorders>
              <w:top w:val="single" w:sz="8" w:space="0" w:color="auto"/>
              <w:bottom w:val="single" w:sz="8" w:space="0" w:color="auto"/>
            </w:tcBorders>
          </w:tcPr>
          <w:p>
            <w:pPr>
              <w:pStyle w:val="nTable"/>
              <w:spacing w:after="40"/>
              <w:rPr>
                <w:b/>
              </w:rPr>
            </w:pPr>
            <w:r>
              <w:rPr>
                <w:b/>
              </w:rPr>
              <w:t>Assent</w:t>
            </w:r>
          </w:p>
        </w:tc>
        <w:tc>
          <w:tcPr>
            <w:tcW w:w="2551" w:type="dxa"/>
            <w:tcBorders>
              <w:top w:val="single" w:sz="8" w:space="0" w:color="auto"/>
              <w:bottom w:val="single" w:sz="8" w:space="0" w:color="auto"/>
            </w:tcBorders>
          </w:tcPr>
          <w:p>
            <w:pPr>
              <w:pStyle w:val="nTable"/>
              <w:spacing w:after="40"/>
              <w:rPr>
                <w:b/>
              </w:rPr>
            </w:pPr>
            <w:r>
              <w:rPr>
                <w:b/>
              </w:rPr>
              <w:t>Commencement</w:t>
            </w:r>
          </w:p>
        </w:tc>
      </w:tr>
      <w:tr>
        <w:tc>
          <w:tcPr>
            <w:tcW w:w="2268" w:type="dxa"/>
            <w:tcBorders>
              <w:top w:val="single" w:sz="8" w:space="0" w:color="auto"/>
            </w:tcBorders>
          </w:tcPr>
          <w:p>
            <w:pPr>
              <w:pStyle w:val="nTable"/>
              <w:spacing w:after="40"/>
            </w:pPr>
            <w:r>
              <w:rPr>
                <w:i/>
              </w:rPr>
              <w:t>Kalgoorlie</w:t>
            </w:r>
            <w:r>
              <w:rPr>
                <w:i/>
              </w:rPr>
              <w:noBreakHyphen/>
              <w:t>Parkeston Railway Act 1959</w:t>
            </w:r>
          </w:p>
        </w:tc>
        <w:tc>
          <w:tcPr>
            <w:tcW w:w="1134" w:type="dxa"/>
            <w:tcBorders>
              <w:top w:val="single" w:sz="8" w:space="0" w:color="auto"/>
            </w:tcBorders>
          </w:tcPr>
          <w:p>
            <w:pPr>
              <w:pStyle w:val="nTable"/>
              <w:spacing w:after="40"/>
            </w:pPr>
            <w:r>
              <w:t>36 of 1959</w:t>
            </w:r>
          </w:p>
        </w:tc>
        <w:tc>
          <w:tcPr>
            <w:tcW w:w="1134" w:type="dxa"/>
            <w:tcBorders>
              <w:top w:val="single" w:sz="8" w:space="0" w:color="auto"/>
            </w:tcBorders>
          </w:tcPr>
          <w:p>
            <w:pPr>
              <w:pStyle w:val="nTable"/>
              <w:spacing w:after="40"/>
            </w:pPr>
            <w:r>
              <w:t>30 Oct 1959</w:t>
            </w:r>
          </w:p>
        </w:tc>
        <w:tc>
          <w:tcPr>
            <w:tcW w:w="2551" w:type="dxa"/>
            <w:tcBorders>
              <w:top w:val="single" w:sz="8" w:space="0" w:color="auto"/>
            </w:tcBorders>
          </w:tcPr>
          <w:p>
            <w:pPr>
              <w:pStyle w:val="nTable"/>
              <w:spacing w:after="40"/>
            </w:pPr>
            <w:r>
              <w:t>30 Oct 1959</w:t>
            </w:r>
          </w:p>
        </w:tc>
      </w:tr>
      <w:tr>
        <w:trPr>
          <w:cantSplit/>
        </w:trPr>
        <w:tc>
          <w:tcPr>
            <w:tcW w:w="7087" w:type="dxa"/>
            <w:gridSpan w:val="4"/>
            <w:tcBorders>
              <w:bottom w:val="single" w:sz="4" w:space="0" w:color="auto"/>
            </w:tcBorders>
          </w:tcPr>
          <w:p>
            <w:pPr>
              <w:pStyle w:val="nTable"/>
              <w:spacing w:after="40"/>
              <w:rPr>
                <w:b/>
                <w:bCs/>
                <w:color w:val="FF0000"/>
              </w:rPr>
            </w:pPr>
            <w:r>
              <w:rPr>
                <w:b/>
                <w:bCs/>
                <w:color w:val="FF0000"/>
              </w:rPr>
              <w:t xml:space="preserve">This Act was repealed by the </w:t>
            </w:r>
            <w:r>
              <w:rPr>
                <w:b/>
                <w:bCs/>
                <w:i/>
                <w:iCs/>
                <w:color w:val="FF0000"/>
              </w:rPr>
              <w:t>Public Transport Authority Act 2003</w:t>
            </w:r>
            <w:r>
              <w:rPr>
                <w:b/>
                <w:bCs/>
                <w:color w:val="FF0000"/>
              </w:rPr>
              <w:t xml:space="preserve"> s. 149 (No. 31 of 2003) as at 1 Jul 2003 (see s. 2(1) and Gazette 27 Jun 2003 p. 2384)</w:t>
            </w:r>
          </w:p>
        </w:tc>
      </w:tr>
    </w:tbl>
    <w:p/>
    <w:p>
      <w:pPr>
        <w:sectPr>
          <w:headerReference w:type="even" r:id="rId24"/>
          <w:headerReference w:type="default" r:id="rId25"/>
          <w:headerReference w:type="first" r:id="rId26"/>
          <w:pgSz w:w="11907" w:h="16840" w:code="9"/>
          <w:pgMar w:top="2376" w:right="2404" w:bottom="3544" w:left="2404" w:header="720" w:footer="3380" w:gutter="0"/>
          <w:cols w:space="720"/>
          <w:noEndnote/>
          <w:docGrid w:linePitch="326"/>
        </w:sectPr>
      </w:pPr>
    </w:p>
    <w:p>
      <w:pPr>
        <w:tabs>
          <w:tab w:val="left" w:pos="-1440"/>
          <w:tab w:val="left" w:pos="-720"/>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uppressAutoHyphens/>
        <w:jc w:val="both"/>
      </w:pPr>
    </w:p>
    <w:sectPr>
      <w:headerReference w:type="even" r:id="rId27"/>
      <w:headerReference w:type="default" r:id="rId28"/>
      <w:footerReference w:type="even" r:id="rId29"/>
      <w:footerReference w:type="default" r:id="rId30"/>
      <w:headerReference w:type="first" r:id="rId31"/>
      <w:footerReference w:type="first" r:id="rId32"/>
      <w:type w:val="continuous"/>
      <w:pgSz w:w="11907" w:h="16840" w:code="9"/>
      <w:pgMar w:top="2381" w:right="2410" w:bottom="2977" w:left="2410" w:header="720" w:footer="3380" w:gutter="0"/>
      <w:paperSrc w:first="15" w:other="15"/>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01 Jul 2003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Jul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Jul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4</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Ceased on </w:t>
    </w:r>
    <w:r>
      <w:rPr>
        <w:sz w:val="20"/>
      </w:rPr>
      <w:fldChar w:fldCharType="begin"/>
    </w:r>
    <w:r>
      <w:rPr>
        <w:sz w:val="20"/>
      </w:rPr>
      <w:instrText xml:space="preserve"> DOCPROPERTY "AsAtDate" </w:instrText>
    </w:r>
    <w:r>
      <w:rPr>
        <w:sz w:val="20"/>
      </w:rPr>
      <w:fldChar w:fldCharType="separate"/>
    </w:r>
    <w:r>
      <w:rPr>
        <w:sz w:val="20"/>
      </w:rPr>
      <w:t>01 Jul 2003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Jul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center" w:pos="3600"/>
        <w:tab w:val="right" w:pos="7080"/>
      </w:tabs>
      <w:rPr>
        <w:sz w:val="20"/>
      </w:rPr>
    </w:pPr>
    <w:r>
      <w:rPr>
        <w:sz w:val="20"/>
      </w:rPr>
      <w:t xml:space="preserve">Ceased on </w:t>
    </w:r>
    <w:r>
      <w:rPr>
        <w:sz w:val="20"/>
      </w:rPr>
      <w:fldChar w:fldCharType="begin"/>
    </w:r>
    <w:r>
      <w:rPr>
        <w:sz w:val="20"/>
      </w:rPr>
      <w:instrText xml:space="preserve"> DOCPROPERTY "AsAtDate" </w:instrText>
    </w:r>
    <w:r>
      <w:rPr>
        <w:sz w:val="20"/>
      </w:rPr>
      <w:fldChar w:fldCharType="separate"/>
    </w:r>
    <w:r>
      <w:rPr>
        <w:sz w:val="20"/>
      </w:rPr>
      <w:t>01 Jul 2003</w:t>
    </w:r>
    <w:r>
      <w:rPr>
        <w:sz w:val="20"/>
      </w:rPr>
      <w:fldChar w:fldCharType="end"/>
    </w:r>
    <w:r>
      <w:rPr>
        <w:sz w:val="20"/>
      </w:rPr>
      <w:tab/>
      <w:t xml:space="preserve">Version </w:t>
    </w:r>
    <w:r>
      <w:rPr>
        <w:sz w:val="20"/>
      </w:rPr>
      <w:fldChar w:fldCharType="begin"/>
    </w:r>
    <w:r>
      <w:rPr>
        <w:sz w:val="20"/>
      </w:rPr>
      <w:instrText xml:space="preserve"> DOCPROPERTY "Suffix" </w:instrText>
    </w:r>
    <w:r>
      <w:rPr>
        <w:sz w:val="20"/>
      </w:rPr>
      <w:fldChar w:fldCharType="separate"/>
    </w:r>
    <w:r>
      <w:rPr>
        <w:sz w:val="20"/>
      </w:rPr>
      <w:t>00-b0-06</w:t>
    </w:r>
    <w:r>
      <w:rPr>
        <w:sz w:val="20"/>
      </w:rPr>
      <w:fldChar w:fldCharType="end"/>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Kalgoorlie-Parkeston Railway Act 1959</w:t>
          </w:r>
          <w:r>
            <w:rPr>
              <w:b/>
              <w:i/>
            </w:rPr>
            <w:fldChar w:fldCharType="end"/>
          </w:r>
        </w:p>
      </w:tc>
    </w:tr>
    <w:tr>
      <w:tc>
        <w:tcPr>
          <w:tcW w:w="1548" w:type="dxa"/>
        </w:tcPr>
        <w:p>
          <w:pPr>
            <w:pStyle w:val="Header"/>
            <w:spacing w:before="40"/>
          </w:pPr>
        </w:p>
      </w:tc>
      <w:tc>
        <w:tcPr>
          <w:tcW w:w="5764" w:type="dxa"/>
        </w:tcPr>
        <w:p>
          <w:pPr>
            <w:pStyle w:val="Header"/>
            <w:spacing w:before="40"/>
          </w:pPr>
        </w:p>
      </w:tc>
    </w:tr>
    <w:tr>
      <w:tc>
        <w:tcPr>
          <w:tcW w:w="1548" w:type="dxa"/>
        </w:tcPr>
        <w:p>
          <w:pPr>
            <w:pStyle w:val="Header"/>
            <w:spacing w:before="40"/>
          </w:pPr>
        </w:p>
      </w:tc>
      <w:tc>
        <w:tcPr>
          <w:tcW w:w="5764" w:type="dxa"/>
        </w:tcPr>
        <w:p>
          <w:pPr>
            <w:pStyle w:val="Header"/>
            <w:spacing w:before="40"/>
          </w:pPr>
        </w:p>
      </w:tc>
    </w:tr>
    <w:tr>
      <w:trPr>
        <w:cantSplit/>
      </w:trPr>
      <w:tc>
        <w:tcPr>
          <w:tcW w:w="7312" w:type="dxa"/>
          <w:gridSpan w:val="2"/>
        </w:tcPr>
        <w:p>
          <w:pPr>
            <w:pStyle w:val="Header"/>
            <w:spacing w:before="40"/>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Kalgoorlie-Parkeston Railway Act 1959</w:t>
          </w:r>
          <w:r>
            <w:rPr>
              <w:b/>
              <w:i/>
            </w:rPr>
            <w:fldChar w:fldCharType="end"/>
          </w:r>
        </w:p>
      </w:tc>
    </w:tr>
    <w:tr>
      <w:tc>
        <w:tcPr>
          <w:tcW w:w="5760" w:type="dxa"/>
        </w:tcPr>
        <w:p>
          <w:pPr>
            <w:pStyle w:val="Header"/>
            <w:spacing w:before="40"/>
            <w:jc w:val="right"/>
          </w:pPr>
        </w:p>
      </w:tc>
      <w:tc>
        <w:tcPr>
          <w:tcW w:w="1552" w:type="dxa"/>
        </w:tcPr>
        <w:p>
          <w:pPr>
            <w:pStyle w:val="Header"/>
            <w:spacing w:before="40"/>
            <w:ind w:right="17"/>
            <w:jc w:val="right"/>
          </w:pPr>
        </w:p>
      </w:tc>
    </w:tr>
    <w:tr>
      <w:tc>
        <w:tcPr>
          <w:tcW w:w="5760" w:type="dxa"/>
        </w:tcPr>
        <w:p>
          <w:pPr>
            <w:pStyle w:val="Header"/>
            <w:spacing w:before="40"/>
            <w:jc w:val="right"/>
          </w:pPr>
        </w:p>
      </w:tc>
      <w:tc>
        <w:tcPr>
          <w:tcW w:w="1552" w:type="dxa"/>
        </w:tcPr>
        <w:p>
          <w:pPr>
            <w:pStyle w:val="Header"/>
            <w:spacing w:before="40"/>
            <w:ind w:right="17"/>
            <w:jc w:val="right"/>
          </w:pPr>
        </w:p>
      </w:tc>
    </w:tr>
    <w:tr>
      <w:trPr>
        <w:cantSplit/>
      </w:trPr>
      <w:tc>
        <w:tcPr>
          <w:tcW w:w="7312" w:type="dxa"/>
          <w:gridSpan w:val="2"/>
        </w:tcPr>
        <w:p>
          <w:pPr>
            <w:pStyle w:val="Header"/>
            <w:spacing w:before="40"/>
            <w:ind w:right="17"/>
            <w:jc w:val="right"/>
          </w:pPr>
        </w:p>
      </w:tc>
    </w:tr>
  </w:tbl>
  <w:p>
    <w:pPr>
      <w:pStyle w:val="Header"/>
      <w:pBdr>
        <w:top w:val="single" w:sz="4" w:space="1" w:color="auto"/>
      </w:pBdr>
    </w:pPr>
    <w:bookmarkStart w:id="17" w:name="Compilation"/>
    <w:bookmarkEnd w:id="17"/>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18" w:name="Coversheet"/>
    <w:bookmarkEnd w:id="1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bookmarkStart w:id="2" w:name="TitlePage"/>
    <w:bookmarkEnd w:id="2"/>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
          </w:pPr>
          <w:r>
            <w:rPr>
              <w:b/>
              <w:i/>
            </w:rPr>
            <w:fldChar w:fldCharType="begin"/>
          </w:r>
          <w:r>
            <w:rPr>
              <w:b/>
              <w:i/>
            </w:rPr>
            <w:instrText xml:space="preserve"> STYLEREF "Name of Act/Reg" </w:instrText>
          </w:r>
          <w:r>
            <w:rPr>
              <w:b/>
              <w:i/>
            </w:rPr>
            <w:fldChar w:fldCharType="separate"/>
          </w:r>
          <w:r>
            <w:rPr>
              <w:b/>
              <w:i/>
            </w:rPr>
            <w:t>Kalgoorlie-Parkeston Railway Act 1959</w:t>
          </w:r>
          <w:r>
            <w:rPr>
              <w:b/>
              <w:i/>
            </w:rPr>
            <w:fldChar w:fldCharType="end"/>
          </w:r>
        </w:p>
      </w:tc>
    </w:tr>
    <w:tr>
      <w:tc>
        <w:tcPr>
          <w:tcW w:w="1548" w:type="dxa"/>
        </w:tcPr>
        <w:p>
          <w:pPr>
            <w:pStyle w:val="Header"/>
            <w:spacing w:before="40"/>
          </w:pPr>
        </w:p>
      </w:tc>
      <w:tc>
        <w:tcPr>
          <w:tcW w:w="5715" w:type="dxa"/>
        </w:tcPr>
        <w:p>
          <w:pPr>
            <w:pStyle w:val="Header"/>
            <w:spacing w:before="40"/>
          </w:pPr>
        </w:p>
      </w:tc>
    </w:tr>
    <w:tr>
      <w:tc>
        <w:tcPr>
          <w:tcW w:w="1548" w:type="dxa"/>
        </w:tcPr>
        <w:p>
          <w:pPr>
            <w:pStyle w:val="Header"/>
            <w:spacing w:before="40"/>
          </w:pPr>
        </w:p>
      </w:tc>
      <w:tc>
        <w:tcPr>
          <w:tcW w:w="5715" w:type="dxa"/>
        </w:tcPr>
        <w:p>
          <w:pPr>
            <w:pStyle w:val="Header"/>
            <w:spacing w:before="40"/>
          </w:pPr>
        </w:p>
      </w:tc>
    </w:tr>
    <w:tr>
      <w:trPr>
        <w:cantSplit/>
      </w:trPr>
      <w:tc>
        <w:tcPr>
          <w:tcW w:w="7258" w:type="dxa"/>
          <w:gridSpan w:val="2"/>
        </w:tcPr>
        <w:p>
          <w:pPr>
            <w:pStyle w:val="Header"/>
            <w:spacing w:before="40"/>
          </w:pPr>
          <w: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
            <w:ind w:right="17"/>
            <w:jc w:val="right"/>
          </w:pPr>
          <w:r>
            <w:rPr>
              <w:b/>
              <w:i/>
            </w:rPr>
            <w:fldChar w:fldCharType="begin"/>
          </w:r>
          <w:r>
            <w:rPr>
              <w:b/>
              <w:i/>
            </w:rPr>
            <w:instrText xml:space="preserve"> STYLEREF "Name of Act/Reg" </w:instrText>
          </w:r>
          <w:r>
            <w:rPr>
              <w:b/>
              <w:i/>
            </w:rPr>
            <w:fldChar w:fldCharType="separate"/>
          </w:r>
          <w:r>
            <w:rPr>
              <w:b/>
              <w:i/>
            </w:rPr>
            <w:t>Kalgoorlie-Parkeston Railway Act 1959</w:t>
          </w:r>
          <w:r>
            <w:rPr>
              <w:b/>
              <w:i/>
            </w:rPr>
            <w:fldChar w:fldCharType="end"/>
          </w:r>
        </w:p>
      </w:tc>
    </w:tr>
    <w:tr>
      <w:tc>
        <w:tcPr>
          <w:tcW w:w="5715" w:type="dxa"/>
        </w:tcPr>
        <w:p>
          <w:pPr>
            <w:pStyle w:val="Header"/>
            <w:spacing w:before="40"/>
            <w:jc w:val="right"/>
          </w:pPr>
        </w:p>
      </w:tc>
      <w:tc>
        <w:tcPr>
          <w:tcW w:w="1548" w:type="dxa"/>
        </w:tcPr>
        <w:p>
          <w:pPr>
            <w:pStyle w:val="Header"/>
            <w:spacing w:before="40"/>
            <w:ind w:right="17"/>
            <w:jc w:val="right"/>
          </w:pPr>
        </w:p>
      </w:tc>
    </w:tr>
    <w:tr>
      <w:tc>
        <w:tcPr>
          <w:tcW w:w="5715" w:type="dxa"/>
        </w:tcPr>
        <w:p>
          <w:pPr>
            <w:pStyle w:val="Header"/>
            <w:spacing w:before="40"/>
            <w:jc w:val="right"/>
          </w:pPr>
        </w:p>
      </w:tc>
      <w:tc>
        <w:tcPr>
          <w:tcW w:w="1548" w:type="dxa"/>
        </w:tcPr>
        <w:p>
          <w:pPr>
            <w:pStyle w:val="Header"/>
            <w:spacing w:before="40"/>
            <w:ind w:right="17"/>
            <w:jc w:val="right"/>
          </w:pPr>
        </w:p>
      </w:tc>
    </w:tr>
    <w:tr>
      <w:trPr>
        <w:cantSplit/>
      </w:trPr>
      <w:tc>
        <w:tcPr>
          <w:tcW w:w="7258" w:type="dxa"/>
          <w:gridSpan w:val="2"/>
        </w:tcPr>
        <w:p>
          <w:pPr>
            <w:pStyle w:val="Header"/>
            <w:spacing w:before="40"/>
            <w:ind w:right="17"/>
            <w:jc w:val="right"/>
          </w:pPr>
          <w:r>
            <w:t>Contents</w:t>
          </w:r>
        </w:p>
      </w:tc>
    </w:tr>
  </w:tbl>
  <w:p>
    <w:pPr>
      <w:pStyle w:val="Header"/>
      <w:pBdr>
        <w:top w:val="single" w:sz="4" w:space="1" w:color="auto"/>
      </w:pBdr>
    </w:pPr>
    <w:bookmarkStart w:id="3" w:name="TOC"/>
    <w:bookmarkEnd w:id="3"/>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
          </w:pPr>
          <w:r>
            <w:rPr>
              <w:b/>
              <w:i/>
            </w:rPr>
            <w:fldChar w:fldCharType="begin"/>
          </w:r>
          <w:r>
            <w:rPr>
              <w:b/>
              <w:i/>
            </w:rPr>
            <w:instrText>Styleref "Name of Act/Reg"</w:instrText>
          </w:r>
          <w:r>
            <w:rPr>
              <w:b/>
              <w:i/>
            </w:rPr>
            <w:fldChar w:fldCharType="separate"/>
          </w:r>
          <w:r>
            <w:rPr>
              <w:b/>
              <w:i/>
            </w:rPr>
            <w:t>Kalgoorlie-Parkeston Railway Act 1959</w:t>
          </w:r>
          <w:r>
            <w:rPr>
              <w:b/>
              <w:i/>
            </w:rPr>
            <w:fldChar w:fldCharType="end"/>
          </w:r>
        </w:p>
      </w:tc>
    </w:tr>
    <w:tr>
      <w:tc>
        <w:tcPr>
          <w:tcW w:w="1305" w:type="dxa"/>
        </w:tcPr>
        <w:p>
          <w:pPr>
            <w:pStyle w:val="Header"/>
            <w:spacing w:before="40"/>
          </w:pPr>
          <w:r>
            <w:rPr>
              <w:b/>
            </w:rPr>
            <w:fldChar w:fldCharType="begin"/>
          </w:r>
          <w:r>
            <w:rPr>
              <w:b/>
            </w:rPr>
            <w:instrText xml:space="preserve"> styleref CharPartNo </w:instrText>
          </w:r>
          <w:r>
            <w:rPr>
              <w:b/>
            </w:rPr>
            <w:fldChar w:fldCharType="end"/>
          </w:r>
        </w:p>
      </w:tc>
      <w:tc>
        <w:tcPr>
          <w:tcW w:w="6007" w:type="dxa"/>
        </w:tcPr>
        <w:p>
          <w:pPr>
            <w:pStyle w:val="Header"/>
            <w:spacing w:before="40"/>
          </w:pPr>
          <w:r>
            <w:fldChar w:fldCharType="begin"/>
          </w:r>
          <w:r>
            <w:instrText xml:space="preserve"> styleref CharPartText </w:instrText>
          </w:r>
          <w:r>
            <w:fldChar w:fldCharType="end"/>
          </w:r>
        </w:p>
      </w:tc>
    </w:tr>
    <w:tr>
      <w:tc>
        <w:tcPr>
          <w:tcW w:w="1305" w:type="dxa"/>
        </w:tcPr>
        <w:p>
          <w:pPr>
            <w:pStyle w:val="Header"/>
            <w:spacing w:before="40"/>
          </w:pPr>
          <w:r>
            <w:rPr>
              <w:b/>
            </w:rPr>
            <w:fldChar w:fldCharType="begin"/>
          </w:r>
          <w:r>
            <w:rPr>
              <w:b/>
            </w:rPr>
            <w:instrText xml:space="preserve"> styleref CharDivNo </w:instrText>
          </w:r>
          <w:r>
            <w:rPr>
              <w:b/>
            </w:rPr>
            <w:fldChar w:fldCharType="end"/>
          </w:r>
        </w:p>
      </w:tc>
      <w:tc>
        <w:tcPr>
          <w:tcW w:w="6007" w:type="dxa"/>
        </w:tcPr>
        <w:p>
          <w:pPr>
            <w:pStyle w:val="Header"/>
            <w:spacing w:before="40"/>
          </w:pPr>
          <w:r>
            <w:fldChar w:fldCharType="begin"/>
          </w:r>
          <w:r>
            <w:instrText xml:space="preserve"> styleref CharDivText </w:instrText>
          </w:r>
          <w:r>
            <w:fldChar w:fldCharType="end"/>
          </w:r>
        </w:p>
      </w:tc>
    </w:tr>
    <w:tr>
      <w:trPr>
        <w:cantSplit/>
      </w:trPr>
      <w:tc>
        <w:tcPr>
          <w:tcW w:w="7312" w:type="dxa"/>
          <w:gridSpan w:val="2"/>
        </w:tcPr>
        <w:p>
          <w:pPr>
            <w:pStyle w:val="Header"/>
            <w:spacing w:before="40"/>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
            <w:ind w:right="17"/>
            <w:jc w:val="right"/>
          </w:pPr>
          <w:r>
            <w:rPr>
              <w:b/>
              <w:i/>
            </w:rPr>
            <w:fldChar w:fldCharType="begin"/>
          </w:r>
          <w:r>
            <w:rPr>
              <w:b/>
              <w:i/>
            </w:rPr>
            <w:instrText>Styleref "Name of Act/Reg"</w:instrText>
          </w:r>
          <w:r>
            <w:rPr>
              <w:b/>
              <w:i/>
            </w:rPr>
            <w:fldChar w:fldCharType="separate"/>
          </w:r>
          <w:r>
            <w:rPr>
              <w:b/>
              <w:i/>
            </w:rPr>
            <w:t>Kalgoorlie-Parkeston Railway Act 1959</w:t>
          </w:r>
          <w:r>
            <w:rPr>
              <w:b/>
              <w:i/>
            </w:rPr>
            <w:fldChar w:fldCharType="end"/>
          </w:r>
        </w:p>
      </w:tc>
    </w:tr>
    <w:tr>
      <w:tc>
        <w:tcPr>
          <w:tcW w:w="5985" w:type="dxa"/>
        </w:tcPr>
        <w:p>
          <w:pPr>
            <w:pStyle w:val="Header"/>
            <w:spacing w:before="40"/>
            <w:jc w:val="right"/>
          </w:pPr>
          <w:r>
            <w:fldChar w:fldCharType="begin"/>
          </w:r>
          <w:r>
            <w:instrText xml:space="preserve"> styleref CharPartText </w:instrText>
          </w:r>
          <w:r>
            <w:fldChar w:fldCharType="end"/>
          </w:r>
        </w:p>
      </w:tc>
      <w:tc>
        <w:tcPr>
          <w:tcW w:w="1327" w:type="dxa"/>
        </w:tcPr>
        <w:p>
          <w:pPr>
            <w:pStyle w:val="Header"/>
            <w:spacing w:before="40"/>
            <w:ind w:right="17"/>
            <w:jc w:val="right"/>
          </w:pPr>
          <w:r>
            <w:rPr>
              <w:b/>
            </w:rPr>
            <w:fldChar w:fldCharType="begin"/>
          </w:r>
          <w:r>
            <w:rPr>
              <w:b/>
            </w:rPr>
            <w:instrText xml:space="preserve"> styleref CharPartNo </w:instrText>
          </w:r>
          <w:r>
            <w:rPr>
              <w:b/>
            </w:rPr>
            <w:fldChar w:fldCharType="end"/>
          </w:r>
        </w:p>
      </w:tc>
    </w:tr>
    <w:tr>
      <w:tc>
        <w:tcPr>
          <w:tcW w:w="5985" w:type="dxa"/>
        </w:tcPr>
        <w:p>
          <w:pPr>
            <w:pStyle w:val="Header"/>
            <w:spacing w:before="40"/>
            <w:jc w:val="right"/>
          </w:pPr>
          <w:r>
            <w:fldChar w:fldCharType="begin"/>
          </w:r>
          <w:r>
            <w:instrText xml:space="preserve"> styleref CharDivText </w:instrText>
          </w:r>
          <w:r>
            <w:fldChar w:fldCharType="end"/>
          </w:r>
        </w:p>
      </w:tc>
      <w:tc>
        <w:tcPr>
          <w:tcW w:w="1327" w:type="dxa"/>
        </w:tcPr>
        <w:p>
          <w:pPr>
            <w:pStyle w:val="Header"/>
            <w:spacing w:before="40"/>
            <w:ind w:right="17"/>
            <w:jc w:val="right"/>
          </w:pPr>
          <w:r>
            <w:rPr>
              <w:b/>
            </w:rPr>
            <w:fldChar w:fldCharType="begin"/>
          </w:r>
          <w:r>
            <w:rPr>
              <w:b/>
            </w:rPr>
            <w:instrText xml:space="preserve"> styleref CharDivNo </w:instrText>
          </w:r>
          <w:r>
            <w:rPr>
              <w:b/>
            </w:rPr>
            <w:fldChar w:fldCharType="end"/>
          </w:r>
        </w:p>
      </w:tc>
    </w:tr>
    <w:tr>
      <w:trPr>
        <w:cantSplit/>
      </w:trPr>
      <w:tc>
        <w:tcPr>
          <w:tcW w:w="7312" w:type="dxa"/>
          <w:gridSpan w:val="2"/>
        </w:tcPr>
        <w:p>
          <w:pPr>
            <w:pStyle w:val="Header"/>
            <w:spacing w:before="40"/>
            <w:ind w:right="17"/>
            <w:jc w:val="right"/>
          </w:pPr>
          <w:r>
            <w:rPr>
              <w:b/>
            </w:rPr>
            <w:t xml:space="preserve">s. </w:t>
          </w:r>
          <w:r>
            <w:rPr>
              <w:b/>
            </w:rPr>
            <w:fldChar w:fldCharType="begin"/>
          </w:r>
          <w:r>
            <w:rPr>
              <w:b/>
            </w:rPr>
            <w:instrText>styleref CharSectno</w:instrText>
          </w:r>
          <w:r>
            <w:rPr>
              <w:b/>
            </w:rPr>
            <w:fldChar w:fldCharType="separate"/>
          </w:r>
          <w:r>
            <w:rPr>
              <w:b/>
            </w:rPr>
            <w:t>1</w:t>
          </w:r>
          <w:r>
            <w:rPr>
              <w:b/>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F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C2881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8F0C7E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F7AF57C"/>
    <w:lvl w:ilvl="0">
      <w:start w:val="1"/>
      <w:numFmt w:val="decimal"/>
      <w:pStyle w:val="ListNumber2"/>
      <w:lvlText w:val="%1."/>
      <w:lvlJc w:val="left"/>
      <w:pPr>
        <w:tabs>
          <w:tab w:val="num" w:pos="720"/>
        </w:tabs>
        <w:ind w:left="720" w:hanging="360"/>
      </w:pPr>
    </w:lvl>
  </w:abstractNum>
  <w:abstractNum w:abstractNumId="4">
    <w:nsid w:val="FFFFFF80"/>
    <w:multiLevelType w:val="singleLevel"/>
    <w:tmpl w:val="A8FA11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DC83F3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0F2EFF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6C2FF0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1B896AE"/>
    <w:lvl w:ilvl="0">
      <w:start w:val="1"/>
      <w:numFmt w:val="decimal"/>
      <w:pStyle w:val="ListNumber"/>
      <w:lvlText w:val="%1."/>
      <w:lvlJc w:val="left"/>
      <w:pPr>
        <w:tabs>
          <w:tab w:val="num" w:pos="360"/>
        </w:tabs>
        <w:ind w:left="360" w:hanging="360"/>
      </w:pPr>
    </w:lvl>
  </w:abstractNum>
  <w:abstractNum w:abstractNumId="9">
    <w:nsid w:val="FFFFFF89"/>
    <w:multiLevelType w:val="singleLevel"/>
    <w:tmpl w:val="08D8C11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38B63E2"/>
    <w:multiLevelType w:val="multilevel"/>
    <w:tmpl w:val="3550C8FC"/>
    <w:name w:val="SectionNumbers"/>
    <w:lvl w:ilvl="0">
      <w:start w:val="1"/>
      <w:numFmt w:val="decimal"/>
      <w:lvlRestart w:val="0"/>
      <w:suff w:val="nothing"/>
      <w:lvlText w:val="%1"/>
      <w:lvlJc w:val="left"/>
    </w:lvl>
    <w:lvl w:ilvl="1">
      <w:start w:val="1"/>
      <w:numFmt w:val="decimal"/>
      <w:suff w:val="nothing"/>
      <w:lvlText w:val="(%2)"/>
      <w:lvlJc w:val="righ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1">
    <w:nsid w:val="17F0064C"/>
    <w:multiLevelType w:val="multilevel"/>
    <w:tmpl w:val="B978DF16"/>
    <w:name w:val="PartNumbers"/>
    <w:lvl w:ilvl="0">
      <w:start w:val="1"/>
      <w:numFmt w:val="decimal"/>
      <w:lvlRestart w:val="0"/>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nsid w:val="22FF52EA"/>
    <w:multiLevelType w:val="multilevel"/>
    <w:tmpl w:val="85E88ED1"/>
    <w:name w:val="PermanentNotesNumbering"/>
    <w:lvl w:ilvl="0">
      <w:start w:val="1"/>
      <w:numFmt w:val="none"/>
      <w:lvlRestart w:val="0"/>
      <w:suff w:val="nothing"/>
      <w:lvlText w:val=""/>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3">
    <w:nsid w:val="22FF52EB"/>
    <w:multiLevelType w:val="multilevel"/>
    <w:tmpl w:val="85E88ED0"/>
    <w:name w:val="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4">
    <w:nsid w:val="2BE82A86"/>
    <w:multiLevelType w:val="multilevel"/>
    <w:tmpl w:val="E1506BB2"/>
    <w:name w:val="ScheduleNumbers"/>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nsid w:val="3C2808C0"/>
    <w:multiLevelType w:val="singleLevel"/>
    <w:tmpl w:val="B73A9E90"/>
    <w:lvl w:ilvl="0">
      <w:start w:val="1"/>
      <w:numFmt w:val="bullet"/>
      <w:lvlText w:val=""/>
      <w:lvlJc w:val="left"/>
      <w:pPr>
        <w:tabs>
          <w:tab w:val="num" w:pos="1446"/>
        </w:tabs>
        <w:ind w:left="1446" w:hanging="567"/>
      </w:pPr>
      <w:rPr>
        <w:rFonts w:ascii="Symbol" w:hAnsi="Symbol" w:hint="default"/>
      </w:rPr>
    </w:lvl>
  </w:abstractNum>
  <w:abstractNum w:abstractNumId="16">
    <w:nsid w:val="42C41A54"/>
    <w:multiLevelType w:val="multilevel"/>
    <w:tmpl w:val="3C54BBA6"/>
    <w:name w:val="ScheduleNumberedItems"/>
    <w:lvl w:ilvl="0">
      <w:start w:val="1"/>
      <w:numFmt w:val="decimal"/>
      <w:suff w:val="nothing"/>
      <w:lvlText w:val="%1"/>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7">
    <w:nsid w:val="5E761E26"/>
    <w:multiLevelType w:val="multilevel"/>
    <w:tmpl w:val="9B2EA622"/>
    <w:name w:val="ScheduleSectionNumbers"/>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8">
    <w:nsid w:val="6FDE73CC"/>
    <w:multiLevelType w:val="multilevel"/>
    <w:tmpl w:val="F23471B8"/>
    <w:name w:val="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9">
    <w:nsid w:val="7AB12928"/>
    <w:multiLevelType w:val="multilevel"/>
    <w:tmpl w:val="4B987CFA"/>
    <w:name w:val="SchedulePenalty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0">
    <w:nsid w:val="7E512DEB"/>
    <w:multiLevelType w:val="multilevel"/>
    <w:tmpl w:val="9D2ACE92"/>
    <w:name w:val="ScheduleDefinitionNumbers"/>
    <w:lvl w:ilvl="0">
      <w:start w:val="1"/>
      <w:numFmt w:val="none"/>
      <w:lvlRestart w:val="0"/>
      <w:suff w:val="nothing"/>
      <w:lvlText w:val=""/>
      <w:lvlJc w:val="left"/>
    </w:lvl>
    <w:lvl w:ilvl="1">
      <w:start w:val="1"/>
      <w:numFmt w:val="none"/>
      <w:suff w:val="nothing"/>
      <w:lvlText w:val=""/>
      <w:lvlJc w:val="left"/>
    </w:lvl>
    <w:lvl w:ilvl="2">
      <w:start w:val="1"/>
      <w:numFmt w:val="lowerLetter"/>
      <w:suff w:val="nothing"/>
      <w:lvlText w:val="(%3)"/>
      <w:lvlJc w:val="left"/>
    </w:lvl>
    <w:lvl w:ilvl="3">
      <w:start w:val="1"/>
      <w:numFmt w:val="lowerRoman"/>
      <w:suff w:val="nothing"/>
      <w:lvlText w:val="(%4)"/>
      <w:lvlJc w:val="left"/>
    </w:lvl>
    <w:lvl w:ilvl="4">
      <w:start w:val="1"/>
      <w:numFmt w:val="upperRoman"/>
      <w:suff w:val="nothing"/>
      <w:lvlText w:val="(%5)"/>
      <w:lvlJc w:val="left"/>
    </w:lvl>
    <w:lvl w:ilvl="5">
      <w:start w:val="1"/>
      <w:numFmt w:val="upperLetter"/>
      <w:suff w:val="nothing"/>
      <w:lvlText w:val="(%6)"/>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116112853"/>
    <w:docVar w:name="WAFER_20140131112852" w:val="RemoveTocBookmarks,RemoveUnusedBookmarks,RemoveLanguageTags,UsedStyles,ResetPageSize,UpdateArrangement"/>
    <w:docVar w:name="WAFER_20140131112852_GUID" w:val="ace81672-aa5a-4367-b50e-5462a36e634b"/>
    <w:docVar w:name="WAFER_20140131113539" w:val="RemoveTocBookmarks,RunningHeaders"/>
    <w:docVar w:name="WAFER_20140131113539_GUID" w:val="c8d6ccf1-6555-4923-b03f-527891b3c856"/>
    <w:docVar w:name="WAFER_20150915131748" w:val="ResetPageSize,UpdateArrangement,UpdateNTable"/>
    <w:docVar w:name="WAFER_20150915131748_GUID" w:val="60e4c9f1-35cf-4b53-a6cf-aa5c32916354"/>
    <w:docVar w:name="WAFER_20151116112853" w:val="UpdateStyles,UsedStyles"/>
    <w:docVar w:name="WAFER_20151116112853_GUID" w:val="b14e40ba-fe7e-4865-baf6-cfcb5c9380d4"/>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pPr>
      <w:tabs>
        <w:tab w:val="right" w:pos="3459"/>
      </w:tabs>
      <w:spacing w:before="80"/>
      <w:ind w:left="3686" w:right="284" w:hanging="3119"/>
    </w:pPr>
    <w:rPr>
      <w:snapToGrid w:val="0"/>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Defpara">
    <w:name w:val="Defpara"/>
    <w:pPr>
      <w:tabs>
        <w:tab w:val="right" w:pos="1332"/>
      </w:tabs>
      <w:spacing w:before="80" w:line="260" w:lineRule="atLeast"/>
      <w:ind w:left="1616" w:hanging="1616"/>
    </w:pPr>
    <w:rPr>
      <w:snapToGrid w:val="0"/>
      <w:sz w:val="24"/>
    </w:rPr>
  </w:style>
  <w:style w:type="paragraph" w:styleId="Footer">
    <w:name w:val="footer"/>
    <w:basedOn w:val="Normal"/>
    <w:rPr>
      <w:rFonts w:ascii="Arial" w:hAnsi="Arial"/>
    </w:rPr>
  </w:style>
  <w:style w:type="paragraph" w:styleId="Header">
    <w:name w:val="header"/>
    <w:rPr>
      <w:rFonts w:ascii="Arial" w:hAnsi="Arial"/>
      <w:noProof/>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semiHidden/>
    <w:rPr>
      <w:rFonts w:ascii="Times" w:hAnsi="Times"/>
      <w:sz w:val="18"/>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spacing w:before="80" w:line="260" w:lineRule="atLeast"/>
      <w:ind w:left="879" w:hanging="879"/>
    </w:pPr>
    <w:rPr>
      <w:snapToGrid w:val="0"/>
      <w:sz w:val="24"/>
    </w:rPr>
  </w:style>
  <w:style w:type="paragraph" w:customStyle="1" w:styleId="Defitem">
    <w:name w:val="Defitem"/>
    <w:pPr>
      <w:tabs>
        <w:tab w:val="right" w:pos="2892"/>
      </w:tabs>
      <w:spacing w:before="80" w:line="260" w:lineRule="atLeast"/>
      <w:ind w:left="3204" w:hanging="3204"/>
    </w:pPr>
    <w:rPr>
      <w:snapToGrid w:val="0"/>
      <w:sz w:val="24"/>
    </w:rPr>
  </w:style>
  <w:style w:type="paragraph" w:customStyle="1" w:styleId="Defsubpara">
    <w:name w:val="Defsubpara"/>
    <w:pPr>
      <w:keepLines/>
      <w:tabs>
        <w:tab w:val="right" w:pos="2041"/>
      </w:tabs>
      <w:spacing w:before="80" w:line="260" w:lineRule="atLeast"/>
      <w:ind w:left="2325" w:hanging="2325"/>
    </w:pPr>
    <w:rPr>
      <w:snapToGrid w:val="0"/>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pPr>
      <w:tabs>
        <w:tab w:val="right" w:pos="1332"/>
      </w:tabs>
      <w:spacing w:before="80"/>
      <w:ind w:left="1616" w:hanging="1616"/>
    </w:pPr>
    <w:rPr>
      <w:snapToGrid w:val="0"/>
      <w:sz w:val="22"/>
    </w:rPr>
  </w:style>
  <w:style w:type="paragraph" w:customStyle="1" w:styleId="yDefstart">
    <w:name w:val="yDefstart"/>
    <w:pPr>
      <w:spacing w:before="80"/>
      <w:ind w:left="879" w:hanging="879"/>
    </w:pPr>
    <w:rPr>
      <w:snapToGrid w:val="0"/>
      <w:sz w:val="22"/>
    </w:rPr>
  </w:style>
  <w:style w:type="paragraph" w:customStyle="1" w:styleId="yDefsubpara">
    <w:name w:val="yDefsubpara"/>
    <w:pPr>
      <w:keepLines/>
      <w:tabs>
        <w:tab w:val="right" w:pos="2041"/>
      </w:tabs>
      <w:spacing w:before="80"/>
      <w:ind w:left="2325" w:hanging="2325"/>
    </w:pPr>
    <w:rPr>
      <w:snapToGrid w:val="0"/>
      <w:sz w:val="22"/>
    </w:rPr>
  </w:style>
  <w:style w:type="paragraph" w:customStyle="1" w:styleId="yDefitem">
    <w:name w:val="yDefitem"/>
    <w:pPr>
      <w:tabs>
        <w:tab w:val="right" w:pos="2892"/>
      </w:tabs>
      <w:spacing w:before="80"/>
      <w:ind w:left="3204" w:hanging="3204"/>
    </w:pPr>
    <w:rPr>
      <w:snapToGrid w:val="0"/>
      <w:sz w:val="22"/>
    </w:rPr>
  </w:style>
  <w:style w:type="paragraph" w:customStyle="1" w:styleId="zDefstart">
    <w:name w:val="zDefstart"/>
    <w:pPr>
      <w:spacing w:before="80" w:line="260" w:lineRule="atLeast"/>
      <w:ind w:left="1446" w:right="284" w:hanging="879"/>
    </w:pPr>
    <w:rPr>
      <w:snapToGrid w:val="0"/>
      <w:sz w:val="24"/>
    </w:rPr>
  </w:style>
  <w:style w:type="paragraph" w:customStyle="1" w:styleId="zDefpara">
    <w:name w:val="zDefpara"/>
    <w:pPr>
      <w:tabs>
        <w:tab w:val="right" w:pos="1899"/>
      </w:tabs>
      <w:spacing w:before="80" w:line="260" w:lineRule="atLeast"/>
      <w:ind w:left="2183" w:right="284" w:hanging="1616"/>
    </w:pPr>
    <w:rPr>
      <w:snapToGrid w:val="0"/>
      <w:sz w:val="24"/>
    </w:rPr>
  </w:style>
  <w:style w:type="paragraph" w:customStyle="1" w:styleId="zDefsubpara">
    <w:name w:val="zDefsubpara"/>
    <w:pPr>
      <w:keepLines/>
      <w:tabs>
        <w:tab w:val="right" w:pos="2608"/>
      </w:tabs>
      <w:spacing w:before="80" w:line="260" w:lineRule="atLeast"/>
      <w:ind w:left="2892" w:right="284" w:hanging="2325"/>
    </w:pPr>
    <w:rPr>
      <w:snapToGrid w:val="0"/>
      <w:sz w:val="24"/>
    </w:rPr>
  </w:style>
  <w:style w:type="paragraph" w:customStyle="1" w:styleId="zDefitem">
    <w:name w:val="zDefitem"/>
    <w:pPr>
      <w:tabs>
        <w:tab w:val="right" w:pos="3459"/>
      </w:tabs>
      <w:spacing w:before="80" w:line="260" w:lineRule="atLeast"/>
      <w:ind w:left="3686" w:right="284" w:hanging="3119"/>
    </w:pPr>
    <w:rPr>
      <w:snapToGrid w:val="0"/>
      <w:sz w:val="24"/>
    </w:rPr>
  </w:style>
  <w:style w:type="paragraph" w:customStyle="1" w:styleId="zyDefpara">
    <w:name w:val="zyDefpara"/>
    <w:pPr>
      <w:tabs>
        <w:tab w:val="right" w:pos="1899"/>
      </w:tabs>
      <w:spacing w:before="80"/>
      <w:ind w:left="2183" w:right="284" w:hanging="1616"/>
    </w:pPr>
    <w:rPr>
      <w:snapToGrid w:val="0"/>
      <w:sz w:val="22"/>
    </w:rPr>
  </w:style>
  <w:style w:type="paragraph" w:customStyle="1" w:styleId="zyDefstart">
    <w:name w:val="zyDefstart"/>
    <w:pPr>
      <w:spacing w:before="80"/>
      <w:ind w:left="1446" w:right="284" w:hanging="879"/>
    </w:pPr>
    <w:rPr>
      <w:snapToGrid w:val="0"/>
      <w:sz w:val="22"/>
    </w:rPr>
  </w:style>
  <w:style w:type="paragraph" w:customStyle="1" w:styleId="zyDefsubpara">
    <w:name w:val="zyDefsubpara"/>
    <w:pPr>
      <w:keepLines/>
      <w:tabs>
        <w:tab w:val="right" w:pos="2608"/>
      </w:tabs>
      <w:spacing w:before="80"/>
      <w:ind w:left="2892" w:right="284" w:hanging="2325"/>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
      </w:numPr>
    </w:pPr>
  </w:style>
  <w:style w:type="paragraph" w:styleId="ListBullet2">
    <w:name w:val="List Bullet 2"/>
    <w:basedOn w:val="Normal"/>
    <w:autoRedefine/>
    <w:semiHidden/>
    <w:pPr>
      <w:numPr>
        <w:numId w:val="3"/>
      </w:numPr>
    </w:pPr>
  </w:style>
  <w:style w:type="paragraph" w:styleId="ListBullet3">
    <w:name w:val="List Bullet 3"/>
    <w:basedOn w:val="Normal"/>
    <w:autoRedefine/>
    <w:semiHidden/>
    <w:pPr>
      <w:numPr>
        <w:numId w:val="4"/>
      </w:numPr>
    </w:pPr>
  </w:style>
  <w:style w:type="paragraph" w:styleId="ListBullet4">
    <w:name w:val="List Bullet 4"/>
    <w:basedOn w:val="Normal"/>
    <w:autoRedefine/>
    <w:semiHidden/>
    <w:pPr>
      <w:numPr>
        <w:numId w:val="5"/>
      </w:numPr>
    </w:pPr>
  </w:style>
  <w:style w:type="paragraph" w:styleId="ListBullet5">
    <w:name w:val="List Bullet 5"/>
    <w:basedOn w:val="Normal"/>
    <w:autoRedefine/>
    <w:semiHidden/>
    <w:pPr>
      <w:numPr>
        <w:numId w:val="6"/>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7"/>
      </w:numPr>
    </w:pPr>
  </w:style>
  <w:style w:type="paragraph" w:styleId="ListNumber2">
    <w:name w:val="List Number 2"/>
    <w:basedOn w:val="Normal"/>
    <w:semiHidden/>
    <w:pPr>
      <w:numPr>
        <w:numId w:val="8"/>
      </w:numPr>
    </w:pPr>
  </w:style>
  <w:style w:type="paragraph" w:styleId="ListNumber3">
    <w:name w:val="List Number 3"/>
    <w:basedOn w:val="Normal"/>
    <w:semiHidden/>
    <w:pPr>
      <w:numPr>
        <w:numId w:val="9"/>
      </w:numPr>
    </w:pPr>
  </w:style>
  <w:style w:type="paragraph" w:styleId="ListNumber4">
    <w:name w:val="List Number 4"/>
    <w:basedOn w:val="Normal"/>
    <w:semiHidden/>
    <w:pPr>
      <w:numPr>
        <w:numId w:val="10"/>
      </w:numPr>
    </w:pPr>
  </w:style>
  <w:style w:type="paragraph" w:styleId="ListNumber5">
    <w:name w:val="List Number 5"/>
    <w:basedOn w:val="Normal"/>
    <w:semiHidden/>
    <w:pPr>
      <w:numPr>
        <w:numId w:val="11"/>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rPr>
      <w:i/>
    </w:rPr>
  </w:style>
  <w:style w:type="paragraph" w:customStyle="1" w:styleId="Ednotedefitem">
    <w:name w:val="Ednote(defitem)"/>
    <w:basedOn w:val="Defitem"/>
    <w:rPr>
      <w:i/>
    </w:rPr>
  </w:style>
  <w:style w:type="paragraph" w:customStyle="1" w:styleId="Ednotedefsubpara">
    <w:name w:val="Ednote(defsubpara)"/>
    <w:basedOn w:val="Defsubpara"/>
    <w:rPr>
      <w:i/>
    </w:r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yFootnotesection">
    <w:name w:val="yFootnote(section)"/>
    <w:basedOn w:val="Footnotesection"/>
    <w:pPr>
      <w:spacing w:line="240" w:lineRule="auto"/>
      <w:ind w:left="890" w:hanging="890"/>
    </w:pPr>
    <w:rPr>
      <w:sz w:val="22"/>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pPr>
      <w:tabs>
        <w:tab w:val="right" w:pos="1899"/>
      </w:tabs>
      <w:spacing w:before="40"/>
      <w:ind w:left="2183" w:right="284" w:hanging="1616"/>
    </w:pPr>
    <w:rPr>
      <w:snapToGrid w:val="0"/>
    </w:rPr>
  </w:style>
  <w:style w:type="paragraph" w:customStyle="1" w:styleId="nzDefstart">
    <w:name w:val="nzDefstart"/>
    <w:pPr>
      <w:spacing w:before="40"/>
      <w:ind w:left="1446" w:right="284" w:hanging="879"/>
    </w:pPr>
    <w:rPr>
      <w:snapToGrid w:val="0"/>
    </w:rPr>
  </w:style>
  <w:style w:type="paragraph" w:customStyle="1" w:styleId="nzDefsubpara">
    <w:name w:val="nzDefsubpara"/>
    <w:pPr>
      <w:keepLines/>
      <w:tabs>
        <w:tab w:val="right" w:pos="2608"/>
      </w:tabs>
      <w:spacing w:before="40"/>
      <w:ind w:left="2892" w:right="284" w:hanging="2325"/>
    </w:pPr>
    <w:rPr>
      <w:snapToGrid w:val="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pPr>
      <w:spacing w:before="40"/>
    </w:pPr>
    <w:rPr>
      <w:sz w:val="19"/>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CentredBaseLine">
    <w:name w:val="CentredBaseLine"/>
    <w:pPr>
      <w:suppressLineNumbers/>
      <w:spacing w:before="240"/>
    </w:pPr>
  </w:style>
  <w:style w:type="paragraph" w:customStyle="1" w:styleId="yFootnoteheading">
    <w:name w:val="yFootnote(heading)"/>
    <w:basedOn w:val="Footnoteheading"/>
    <w:pPr>
      <w:spacing w:line="240" w:lineRule="auto"/>
    </w:pPr>
    <w:rPr>
      <w:sz w:val="22"/>
    </w:rPr>
  </w:style>
  <w:style w:type="character" w:customStyle="1" w:styleId="CharDefText">
    <w:name w:val="CharDefText"/>
    <w:basedOn w:val="DefaultParagraphFont"/>
    <w:rPr>
      <w:b/>
    </w:rPr>
  </w:style>
  <w:style w:type="character" w:customStyle="1" w:styleId="CharSchText">
    <w:name w:val="CharSchText"/>
    <w:rPr>
      <w:noProof w:val="0"/>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finedTerms">
    <w:name w:val="Defined Terms"/>
    <w:pPr>
      <w:tabs>
        <w:tab w:val="right" w:leader="dot" w:pos="7070"/>
      </w:tabs>
      <w:ind w:left="578" w:right="578"/>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Equation">
    <w:name w:val="Equation"/>
    <w:rPr>
      <w:noProof/>
      <w:sz w:val="24"/>
    </w:r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Graphics">
    <w:name w:val="Graphics"/>
    <w:basedOn w:val="Equation"/>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MadeBy">
    <w:name w:val="MadeBy"/>
    <w:pPr>
      <w:spacing w:before="600"/>
    </w:pPr>
    <w:rPr>
      <w:sz w:val="24"/>
    </w:r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yNumberedItem">
    <w:name w:val="yNumberedItem"/>
    <w:pPr>
      <w:spacing w:before="120"/>
      <w:ind w:left="879" w:hanging="879"/>
    </w:pPr>
    <w:rPr>
      <w:sz w:val="22"/>
    </w:rPr>
  </w:style>
  <w:style w:type="paragraph" w:customStyle="1" w:styleId="zyNumberedItem">
    <w:name w:val="zyNumberedItem"/>
    <w:pPr>
      <w:spacing w:before="120"/>
      <w:ind w:left="1446" w:right="284" w:hanging="879"/>
    </w:pPr>
    <w:rPr>
      <w:sz w:val="22"/>
    </w:rPr>
  </w:style>
  <w:style w:type="paragraph" w:customStyle="1" w:styleId="nzNumberedItem">
    <w:name w:val="nzNumberedItem"/>
    <w:pPr>
      <w:spacing w:before="40"/>
      <w:ind w:left="1446" w:right="284" w:hanging="879"/>
    </w:p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PrincipalActReg">
    <w:name w:val="PrincipalAct_Reg"/>
    <w:pPr>
      <w:spacing w:after="480"/>
      <w:jc w:val="center"/>
    </w:pPr>
    <w:rPr>
      <w:sz w:val="24"/>
    </w:rPr>
  </w:style>
  <w:style w:type="paragraph" w:customStyle="1" w:styleId="ReprintNo">
    <w:name w:val="ReprintNo"/>
    <w:rPr>
      <w:b/>
      <w:noProof/>
      <w:sz w:val="28"/>
    </w:rPr>
  </w:style>
  <w:style w:type="paragraph" w:styleId="TOC2">
    <w:name w:val="toc 2"/>
    <w:next w:val="Normal"/>
    <w:uiPriority w:val="39"/>
    <w:pPr>
      <w:keepNext/>
      <w:spacing w:before="120" w:after="60"/>
      <w:ind w:left="1985" w:right="1134" w:hanging="567"/>
    </w:pPr>
    <w:rPr>
      <w:b/>
      <w:noProof/>
      <w:sz w:val="28"/>
    </w:rPr>
  </w:style>
  <w:style w:type="paragraph" w:customStyle="1" w:styleId="yEdnotedefitem">
    <w:name w:val="yEdnote(defitem)"/>
    <w:basedOn w:val="yDefitem"/>
    <w:rPr>
      <w:i/>
    </w:rPr>
  </w:style>
  <w:style w:type="paragraph" w:customStyle="1" w:styleId="yEdnotedefpara">
    <w:name w:val="yEdnote(defpara)"/>
    <w:basedOn w:val="yDefpara"/>
    <w:rPr>
      <w:i/>
    </w:rPr>
  </w:style>
  <w:style w:type="paragraph" w:customStyle="1" w:styleId="yEdnotedefsubpara">
    <w:name w:val="yEdnote(defsubpara)"/>
    <w:basedOn w:val="yDefsubpara"/>
    <w:rPr>
      <w:i/>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PrincipalActRegPage1">
    <w:name w:val="PrincipalAct_Reg(Page 1)"/>
    <w:pPr>
      <w:spacing w:before="2600"/>
      <w:jc w:val="center"/>
    </w:pPr>
    <w:rPr>
      <w:sz w:val="24"/>
    </w:rPr>
  </w:style>
  <w:style w:type="paragraph" w:customStyle="1" w:styleId="nzDefitem">
    <w:name w:val="nzDefitem"/>
    <w:pPr>
      <w:tabs>
        <w:tab w:val="right" w:pos="3459"/>
      </w:tabs>
      <w:spacing w:before="40"/>
      <w:ind w:left="3686" w:right="284" w:hanging="3119"/>
    </w:pPr>
    <w:rPr>
      <w:snapToGrid w:val="0"/>
    </w:rPr>
  </w:style>
  <w:style w:type="paragraph" w:customStyle="1" w:styleId="Defsubitem">
    <w:name w:val="Defsubitem"/>
    <w:qFormat/>
    <w:pPr>
      <w:tabs>
        <w:tab w:val="right" w:pos="3686"/>
      </w:tabs>
      <w:spacing w:before="80" w:line="260" w:lineRule="atLeast"/>
      <w:ind w:left="3969" w:hanging="3969"/>
    </w:pPr>
    <w:rPr>
      <w:snapToGrid w:val="0"/>
      <w:sz w:val="24"/>
    </w:rPr>
  </w:style>
  <w:style w:type="paragraph" w:customStyle="1" w:styleId="Ednotedefsubitem">
    <w:name w:val="Ednote(defsubitem)"/>
    <w:basedOn w:val="Defsubitem"/>
    <w:rPr>
      <w:i/>
    </w:rPr>
  </w:style>
  <w:style w:type="paragraph" w:customStyle="1" w:styleId="yDefsubitem">
    <w:name w:val="yDefsubitem"/>
    <w:qFormat/>
    <w:pPr>
      <w:tabs>
        <w:tab w:val="right" w:pos="3686"/>
      </w:tabs>
      <w:spacing w:before="80"/>
      <w:ind w:left="3969" w:hanging="3969"/>
    </w:pPr>
    <w:rPr>
      <w:snapToGrid w:val="0"/>
      <w:sz w:val="22"/>
    </w:rPr>
  </w:style>
  <w:style w:type="paragraph" w:customStyle="1" w:styleId="yEdnotedefsubitem">
    <w:name w:val="yEdnote(defsubitem)"/>
    <w:basedOn w:val="yDefsubitem"/>
    <w:rPr>
      <w:i/>
    </w:rPr>
  </w:style>
  <w:style w:type="paragraph" w:customStyle="1" w:styleId="zDefsubitem">
    <w:name w:val="zDefsubitem"/>
    <w:qFormat/>
    <w:pPr>
      <w:tabs>
        <w:tab w:val="right" w:pos="4167"/>
      </w:tabs>
      <w:spacing w:before="80" w:line="260" w:lineRule="atLeast"/>
      <w:ind w:left="4451" w:right="284" w:hanging="3884"/>
    </w:pPr>
    <w:rPr>
      <w:snapToGrid w:val="0"/>
      <w:sz w:val="24"/>
    </w:rPr>
  </w:style>
  <w:style w:type="paragraph" w:customStyle="1" w:styleId="nzDefsubitem">
    <w:name w:val="nzDefsubitem"/>
    <w:qFormat/>
    <w:pPr>
      <w:tabs>
        <w:tab w:val="right" w:pos="4167"/>
      </w:tabs>
      <w:spacing w:before="40"/>
      <w:ind w:left="4451" w:right="284" w:hanging="3884"/>
    </w:pPr>
    <w:rPr>
      <w:snapToGrid w:val="0"/>
    </w:rPr>
  </w:style>
  <w:style w:type="paragraph" w:customStyle="1" w:styleId="zyDefsubitem">
    <w:name w:val="zyDefsubitem"/>
    <w:qFormat/>
    <w:pPr>
      <w:tabs>
        <w:tab w:val="right" w:pos="4167"/>
      </w:tabs>
      <w:spacing w:before="80"/>
      <w:ind w:left="4451" w:right="284" w:hanging="3884"/>
    </w:pPr>
    <w:rPr>
      <w:snapToGrid w:val="0"/>
      <w:sz w:val="22"/>
    </w:rPr>
  </w:style>
  <w:style w:type="paragraph" w:customStyle="1" w:styleId="nzPensubpara">
    <w:name w:val="nzPensubpara"/>
    <w:basedOn w:val="zPensubpara"/>
    <w:pPr>
      <w:spacing w:before="40" w:line="240" w:lineRule="auto"/>
    </w:pPr>
    <w:rPr>
      <w:sz w:val="20"/>
    </w:rPr>
  </w:style>
  <w:style w:type="paragraph" w:customStyle="1" w:styleId="nzPenitem">
    <w:name w:val="nzPenitem"/>
    <w:basedOn w:val="zPenitem"/>
    <w:pPr>
      <w:spacing w:before="40" w:line="240" w:lineRule="auto"/>
    </w:pPr>
    <w:rPr>
      <w:sz w:val="20"/>
    </w:rPr>
  </w:style>
  <w:style w:type="paragraph" w:customStyle="1" w:styleId="yEdnotenumbereditem">
    <w:name w:val="yEdnote(numbereditem)"/>
    <w:basedOn w:val="yNumberedItem"/>
    <w:rPr>
      <w:i/>
    </w:rPr>
  </w:style>
  <w:style w:type="paragraph" w:customStyle="1" w:styleId="yNumberedItemPara">
    <w:name w:val="yNumberedItemPara"/>
    <w:qFormat/>
    <w:pPr>
      <w:tabs>
        <w:tab w:val="right" w:pos="1332"/>
      </w:tabs>
      <w:spacing w:before="80"/>
      <w:ind w:left="1616" w:hanging="1616"/>
    </w:pPr>
    <w:rPr>
      <w:sz w:val="22"/>
    </w:rPr>
  </w:style>
  <w:style w:type="paragraph" w:customStyle="1" w:styleId="yEdnotenumbereditempara">
    <w:name w:val="yEdnote(numbereditempara)"/>
    <w:basedOn w:val="yNumberedItemPara"/>
    <w:rPr>
      <w:i/>
    </w:rPr>
  </w:style>
  <w:style w:type="paragraph" w:customStyle="1" w:styleId="zyNumberedItemPara">
    <w:name w:val="zyNumberedItemPara"/>
    <w:qFormat/>
    <w:pPr>
      <w:tabs>
        <w:tab w:val="right" w:pos="1899"/>
      </w:tabs>
      <w:spacing w:before="80"/>
      <w:ind w:left="2183" w:right="284" w:hanging="1616"/>
    </w:pPr>
    <w:rPr>
      <w:sz w:val="22"/>
    </w:rPr>
  </w:style>
  <w:style w:type="paragraph" w:customStyle="1" w:styleId="nzNumberedItemPara">
    <w:name w:val="nzNumberedItemPara"/>
    <w:pPr>
      <w:tabs>
        <w:tab w:val="right" w:pos="1899"/>
      </w:tabs>
      <w:spacing w:before="40"/>
      <w:ind w:left="2183" w:right="284" w:hanging="1616"/>
    </w:pPr>
  </w:style>
  <w:style w:type="paragraph" w:customStyle="1" w:styleId="yNumberedItemSubPara">
    <w:name w:val="yNumberedItemSubPara"/>
    <w:qFormat/>
    <w:pPr>
      <w:tabs>
        <w:tab w:val="right" w:pos="2041"/>
      </w:tabs>
      <w:spacing w:before="80"/>
      <w:ind w:left="2325" w:hanging="2325"/>
    </w:pPr>
    <w:rPr>
      <w:sz w:val="22"/>
    </w:rPr>
  </w:style>
  <w:style w:type="paragraph" w:customStyle="1" w:styleId="yEdnotenumbereditemsubpara">
    <w:name w:val="yEdnote(numbereditemsubpara)"/>
    <w:basedOn w:val="yNumberedItemSubPara"/>
    <w:rPr>
      <w:i/>
    </w:rPr>
  </w:style>
  <w:style w:type="paragraph" w:customStyle="1" w:styleId="zyNumberedItemSubPara">
    <w:name w:val="zyNumberedItemSubPara"/>
    <w:qFormat/>
    <w:pPr>
      <w:tabs>
        <w:tab w:val="right" w:pos="2608"/>
      </w:tabs>
      <w:spacing w:before="80"/>
      <w:ind w:left="2892" w:right="284" w:hanging="2325"/>
    </w:pPr>
    <w:rPr>
      <w:sz w:val="22"/>
    </w:rPr>
  </w:style>
  <w:style w:type="paragraph" w:customStyle="1" w:styleId="nzNumberedItemSubPara">
    <w:name w:val="nzNumberedItemSubPara"/>
    <w:pPr>
      <w:tabs>
        <w:tab w:val="right" w:pos="2608"/>
      </w:tabs>
      <w:spacing w:before="40"/>
      <w:ind w:left="2892" w:right="284" w:hanging="2325"/>
    </w:pPr>
  </w:style>
  <w:style w:type="paragraph" w:customStyle="1" w:styleId="PermNoteHeading">
    <w:name w:val="PermNoteHeading"/>
    <w:qFormat/>
    <w:pPr>
      <w:keepNext/>
      <w:spacing w:before="160"/>
      <w:ind w:left="879" w:hanging="879"/>
    </w:pPr>
    <w:rPr>
      <w:rFonts w:ascii="Arial" w:hAnsi="Arial"/>
      <w:sz w:val="18"/>
    </w:rPr>
  </w:style>
  <w:style w:type="paragraph" w:customStyle="1" w:styleId="Ednotepermnoteheading">
    <w:name w:val="Ednote(permnoteheading)"/>
    <w:basedOn w:val="PermNoteHeading"/>
    <w:rPr>
      <w:i/>
    </w:rPr>
  </w:style>
  <w:style w:type="paragraph" w:customStyle="1" w:styleId="zPermNoteHeading">
    <w:name w:val="zPermNoteHeading"/>
    <w:qFormat/>
    <w:pPr>
      <w:spacing w:before="160"/>
      <w:ind w:left="1446" w:right="284" w:hanging="879"/>
    </w:pPr>
    <w:rPr>
      <w:rFonts w:ascii="Arial" w:hAnsi="Arial"/>
      <w:sz w:val="18"/>
    </w:rPr>
  </w:style>
  <w:style w:type="paragraph" w:customStyle="1" w:styleId="nzPermNoteHeading">
    <w:name w:val="nzPermNoteHeading"/>
    <w:pPr>
      <w:spacing w:before="40"/>
      <w:ind w:left="1446" w:right="284" w:hanging="879"/>
    </w:pPr>
    <w:rPr>
      <w:rFonts w:ascii="Arial" w:hAnsi="Arial"/>
      <w:sz w:val="14"/>
    </w:rPr>
  </w:style>
  <w:style w:type="paragraph" w:customStyle="1" w:styleId="PermNoteText">
    <w:name w:val="PermNoteText"/>
    <w:qFormat/>
    <w:pPr>
      <w:tabs>
        <w:tab w:val="left" w:pos="879"/>
      </w:tabs>
      <w:spacing w:before="80"/>
      <w:ind w:left="1418" w:hanging="1418"/>
    </w:pPr>
    <w:rPr>
      <w:rFonts w:ascii="Arial" w:hAnsi="Arial"/>
      <w:sz w:val="18"/>
    </w:rPr>
  </w:style>
  <w:style w:type="paragraph" w:customStyle="1" w:styleId="Ednotepermnotetext">
    <w:name w:val="Ednote(permnotetext)"/>
    <w:basedOn w:val="PermNoteText"/>
    <w:rPr>
      <w:i/>
    </w:rPr>
  </w:style>
  <w:style w:type="paragraph" w:customStyle="1" w:styleId="zPermNoteText">
    <w:name w:val="zPermNoteText"/>
    <w:qFormat/>
    <w:pPr>
      <w:tabs>
        <w:tab w:val="left" w:pos="1446"/>
      </w:tabs>
      <w:spacing w:before="80"/>
      <w:ind w:left="2013" w:right="284" w:hanging="1446"/>
    </w:pPr>
    <w:rPr>
      <w:rFonts w:ascii="Arial" w:hAnsi="Arial"/>
      <w:sz w:val="18"/>
    </w:rPr>
  </w:style>
  <w:style w:type="paragraph" w:customStyle="1" w:styleId="nzPermNoteText">
    <w:name w:val="nzPermNoteText"/>
    <w:pPr>
      <w:tabs>
        <w:tab w:val="left" w:pos="1446"/>
      </w:tabs>
      <w:spacing w:before="40"/>
      <w:ind w:left="2013" w:right="284" w:hanging="1446"/>
    </w:pPr>
    <w:rPr>
      <w:rFonts w:ascii="Arial" w:hAnsi="Arial"/>
      <w:sz w:val="14"/>
    </w:rPr>
  </w:style>
  <w:style w:type="paragraph" w:customStyle="1" w:styleId="PermNotePara">
    <w:name w:val="PermNotePara"/>
    <w:qFormat/>
    <w:pPr>
      <w:tabs>
        <w:tab w:val="right" w:pos="1843"/>
      </w:tabs>
      <w:spacing w:before="80"/>
      <w:ind w:left="2013" w:hanging="2013"/>
    </w:pPr>
    <w:rPr>
      <w:rFonts w:ascii="Arial" w:hAnsi="Arial"/>
      <w:sz w:val="18"/>
    </w:rPr>
  </w:style>
  <w:style w:type="paragraph" w:customStyle="1" w:styleId="Ednotepermnotepara">
    <w:name w:val="Ednote(permnotepara)"/>
    <w:basedOn w:val="PermNotePara"/>
    <w:rPr>
      <w:i/>
    </w:rPr>
  </w:style>
  <w:style w:type="paragraph" w:customStyle="1" w:styleId="zPermNotePara">
    <w:name w:val="zPermNotePara"/>
    <w:qFormat/>
    <w:pPr>
      <w:tabs>
        <w:tab w:val="right" w:pos="2410"/>
      </w:tabs>
      <w:spacing w:before="80"/>
      <w:ind w:left="2580" w:right="284" w:hanging="2013"/>
    </w:pPr>
    <w:rPr>
      <w:rFonts w:ascii="Arial" w:hAnsi="Arial"/>
      <w:sz w:val="18"/>
    </w:rPr>
  </w:style>
  <w:style w:type="paragraph" w:customStyle="1" w:styleId="nzPermNotePara">
    <w:name w:val="nzPermNotePara"/>
    <w:pPr>
      <w:tabs>
        <w:tab w:val="right" w:pos="2410"/>
      </w:tabs>
      <w:spacing w:before="40"/>
      <w:ind w:left="2580" w:right="284" w:hanging="2013"/>
    </w:pPr>
    <w:rPr>
      <w:rFonts w:ascii="Arial" w:hAnsi="Arial"/>
      <w:sz w:val="14"/>
    </w:rPr>
  </w:style>
  <w:style w:type="paragraph" w:customStyle="1" w:styleId="PermNoteSubPara">
    <w:name w:val="PermNoteSubPara"/>
    <w:qFormat/>
    <w:pPr>
      <w:tabs>
        <w:tab w:val="right" w:pos="2296"/>
      </w:tabs>
      <w:spacing w:before="80"/>
      <w:ind w:left="2580" w:hanging="2580"/>
    </w:pPr>
    <w:rPr>
      <w:rFonts w:ascii="Arial" w:hAnsi="Arial"/>
      <w:sz w:val="18"/>
    </w:rPr>
  </w:style>
  <w:style w:type="paragraph" w:customStyle="1" w:styleId="Ednotepermnotesubpara">
    <w:name w:val="Ednote(permnotesubpara)"/>
    <w:basedOn w:val="PermNoteSubPara"/>
    <w:rPr>
      <w:i/>
    </w:rPr>
  </w:style>
  <w:style w:type="paragraph" w:customStyle="1" w:styleId="zPermNoteSubPara">
    <w:name w:val="zPermNoteSubPara"/>
    <w:qFormat/>
    <w:pPr>
      <w:tabs>
        <w:tab w:val="right" w:pos="2863"/>
      </w:tabs>
      <w:spacing w:before="80"/>
      <w:ind w:left="3147" w:right="284" w:hanging="2580"/>
    </w:pPr>
    <w:rPr>
      <w:rFonts w:ascii="Arial" w:hAnsi="Arial"/>
      <w:sz w:val="18"/>
    </w:rPr>
  </w:style>
  <w:style w:type="paragraph" w:customStyle="1" w:styleId="nzPermNoteSubPara">
    <w:name w:val="nzPermNoteSubPara"/>
    <w:pPr>
      <w:tabs>
        <w:tab w:val="right" w:pos="2863"/>
      </w:tabs>
      <w:spacing w:before="40"/>
      <w:ind w:left="3147" w:right="284" w:hanging="2580"/>
    </w:pPr>
    <w:rPr>
      <w:rFonts w:ascii="Arial" w:hAnsi="Arial"/>
      <w:sz w:val="14"/>
    </w:rPr>
  </w:style>
  <w:style w:type="paragraph" w:customStyle="1" w:styleId="SectAltNote">
    <w:name w:val="SectAltNote"/>
    <w:qFormat/>
    <w:pPr>
      <w:keepNext/>
      <w:tabs>
        <w:tab w:val="left" w:pos="879"/>
      </w:tabs>
      <w:spacing w:before="160"/>
      <w:ind w:left="1418" w:hanging="1418"/>
    </w:pPr>
    <w:rPr>
      <w:rFonts w:ascii="Arial" w:hAnsi="Arial"/>
      <w:sz w:val="18"/>
    </w:rPr>
  </w:style>
  <w:style w:type="paragraph" w:customStyle="1" w:styleId="nzSectAltNote">
    <w:name w:val="nzSectAltNote"/>
    <w:qFormat/>
    <w:pPr>
      <w:tabs>
        <w:tab w:val="left" w:pos="1446"/>
      </w:tabs>
      <w:spacing w:before="40"/>
      <w:ind w:left="1990" w:hanging="1423"/>
    </w:pPr>
    <w:rPr>
      <w:rFonts w:ascii="Arial" w:hAnsi="Arial"/>
      <w:sz w:val="14"/>
    </w:rPr>
  </w:style>
  <w:style w:type="paragraph" w:customStyle="1" w:styleId="SectAltHeading">
    <w:name w:val="SectAltHeading"/>
    <w:qFormat/>
    <w:pPr>
      <w:tabs>
        <w:tab w:val="left" w:pos="879"/>
      </w:tabs>
      <w:spacing w:before="80"/>
      <w:ind w:left="1418" w:hanging="1418"/>
    </w:pPr>
    <w:rPr>
      <w:rFonts w:ascii="Arial" w:hAnsi="Arial"/>
      <w:b/>
      <w:sz w:val="18"/>
    </w:rPr>
  </w:style>
  <w:style w:type="paragraph" w:customStyle="1" w:styleId="nzSectAltHeading">
    <w:name w:val="nzSectAltHeading"/>
    <w:qFormat/>
    <w:pPr>
      <w:tabs>
        <w:tab w:val="left" w:pos="1446"/>
      </w:tabs>
      <w:spacing w:before="40"/>
      <w:ind w:left="1990" w:hanging="1423"/>
    </w:pPr>
    <w:rPr>
      <w:rFonts w:ascii="Arial" w:hAnsi="Arial"/>
      <w:b/>
      <w:sz w:val="14"/>
    </w:rPr>
  </w:style>
  <w:style w:type="paragraph" w:customStyle="1" w:styleId="nzShoulderClause">
    <w:name w:val="nzShoulderClause"/>
    <w:next w:val="ySubsection"/>
    <w:pPr>
      <w:spacing w:before="80"/>
      <w:jc w:val="right"/>
    </w:pPr>
  </w:style>
  <w:style w:type="paragraph" w:customStyle="1" w:styleId="nzDeleteListSub">
    <w:name w:val="nzDeleteListSub"/>
    <w:pPr>
      <w:spacing w:before="80"/>
      <w:ind w:left="1446"/>
    </w:pPr>
  </w:style>
  <w:style w:type="paragraph" w:customStyle="1" w:styleId="nzDeleteListPara">
    <w:name w:val="nzDeleteListPara"/>
    <w:pPr>
      <w:spacing w:before="80"/>
      <w:ind w:left="2183"/>
    </w:pPr>
  </w:style>
  <w:style w:type="paragraph" w:customStyle="1" w:styleId="nzEdnotepart">
    <w:name w:val="nzEdnote(part)"/>
    <w:basedOn w:val="nzHeading2"/>
    <w:rPr>
      <w:b w:val="0"/>
      <w:i/>
    </w:rPr>
  </w:style>
  <w:style w:type="paragraph" w:customStyle="1" w:styleId="nzEdnotedivision">
    <w:name w:val="nzEdnote(division)"/>
    <w:basedOn w:val="nzHeading3"/>
    <w:rPr>
      <w:b w:val="0"/>
      <w:i/>
    </w:rPr>
  </w:style>
  <w:style w:type="paragraph" w:customStyle="1" w:styleId="nzEdnotesubdivision">
    <w:name w:val="nzEdnote(subdivision)"/>
    <w:basedOn w:val="nzHeading4"/>
    <w:rPr>
      <w:i/>
    </w:rPr>
  </w:style>
  <w:style w:type="paragraph" w:customStyle="1" w:styleId="nzEdnotesection">
    <w:name w:val="nzEdnote(section)"/>
    <w:basedOn w:val="nzHeading5"/>
    <w:rPr>
      <w:b w:val="0"/>
      <w:i/>
    </w:rPr>
  </w:style>
  <w:style w:type="paragraph" w:customStyle="1" w:styleId="nzEdnotesubsection">
    <w:name w:val="nzEdnote(subsection)"/>
    <w:basedOn w:val="nzSubsection"/>
    <w:rPr>
      <w:i/>
    </w:rPr>
  </w:style>
  <w:style w:type="paragraph" w:customStyle="1" w:styleId="nzEdnotepara">
    <w:name w:val="nzEdnote(para)"/>
    <w:basedOn w:val="nzIndenta"/>
    <w:rPr>
      <w:i/>
    </w:rPr>
  </w:style>
  <w:style w:type="paragraph" w:customStyle="1" w:styleId="nzEdnotesubpara">
    <w:name w:val="nzEdnote(subpara)"/>
    <w:basedOn w:val="nzIndenti"/>
    <w:rPr>
      <w:i/>
    </w:rPr>
  </w:style>
  <w:style w:type="paragraph" w:customStyle="1" w:styleId="nzEdnoteitem">
    <w:name w:val="nzEdnote(item)"/>
    <w:basedOn w:val="nzIndentI0"/>
    <w:rPr>
      <w:i/>
    </w:rPr>
  </w:style>
  <w:style w:type="paragraph" w:customStyle="1" w:styleId="nzEdnotesubitem">
    <w:name w:val="nzEdnote(subitem)"/>
    <w:basedOn w:val="nzIndentA0"/>
    <w:rPr>
      <w:i/>
    </w:rPr>
  </w:style>
  <w:style w:type="paragraph" w:customStyle="1" w:styleId="nzEdnotedefpara">
    <w:name w:val="nzEdnote(defpara)"/>
    <w:basedOn w:val="nzDefpara"/>
    <w:rPr>
      <w:i/>
    </w:rPr>
  </w:style>
  <w:style w:type="paragraph" w:customStyle="1" w:styleId="nzEdnotedefsubpara">
    <w:name w:val="nzEdnote(defsubpara)"/>
    <w:basedOn w:val="nzDefsubpara"/>
    <w:rPr>
      <w:i/>
    </w:rPr>
  </w:style>
  <w:style w:type="paragraph" w:customStyle="1" w:styleId="nzEdnotedefitem">
    <w:name w:val="nzEdnote(defitem)"/>
    <w:basedOn w:val="nzDefitem"/>
    <w:rPr>
      <w:i/>
    </w:rPr>
  </w:style>
  <w:style w:type="paragraph" w:customStyle="1" w:styleId="nzEdnotedefsubitem">
    <w:name w:val="nzEdnote(defsubitem)"/>
    <w:basedOn w:val="nzDefsubitem"/>
    <w:rPr>
      <w:i/>
    </w:rPr>
  </w:style>
  <w:style w:type="paragraph" w:customStyle="1" w:styleId="nzEdnotepenpara">
    <w:name w:val="nzEdnote(penpara)"/>
    <w:basedOn w:val="nzPenpara"/>
    <w:rPr>
      <w:i/>
    </w:rPr>
  </w:style>
  <w:style w:type="paragraph" w:customStyle="1" w:styleId="nzEdnotepensubpara">
    <w:name w:val="nzEdnote(pensubpara)"/>
    <w:basedOn w:val="nzPensubpara"/>
    <w:rPr>
      <w:i/>
    </w:rPr>
  </w:style>
  <w:style w:type="paragraph" w:customStyle="1" w:styleId="nzEdnotepenitem">
    <w:name w:val="nzEdnote(penitem)"/>
    <w:basedOn w:val="nzPenitem"/>
    <w:rPr>
      <w:i/>
    </w:rPr>
  </w:style>
  <w:style w:type="paragraph" w:customStyle="1" w:styleId="nzFootnoteheading">
    <w:name w:val="nzFootnote(heading)"/>
    <w:pPr>
      <w:tabs>
        <w:tab w:val="left" w:pos="879"/>
      </w:tabs>
      <w:spacing w:before="40"/>
      <w:ind w:left="879" w:hanging="879"/>
    </w:pPr>
    <w:rPr>
      <w:i/>
      <w:snapToGrid w:val="0"/>
    </w:rPr>
  </w:style>
  <w:style w:type="paragraph" w:customStyle="1" w:styleId="nzFootnotesection">
    <w:name w:val="nzFootnote(section)"/>
    <w:pPr>
      <w:keepLines/>
      <w:tabs>
        <w:tab w:val="left" w:pos="893"/>
      </w:tabs>
      <w:spacing w:before="40"/>
      <w:ind w:left="893" w:hanging="893"/>
    </w:pPr>
    <w:rPr>
      <w:i/>
      <w:snapToGrid w:val="0"/>
    </w:rPr>
  </w:style>
  <w:style w:type="paragraph" w:customStyle="1" w:styleId="nzFootnotelongtitle">
    <w:name w:val="nzFootnote(longtitle)"/>
    <w:basedOn w:val="nzFootnotesection"/>
  </w:style>
  <w:style w:type="paragraph" w:customStyle="1" w:styleId="nzFootnotepreamble">
    <w:name w:val="nzFootnote(preamble)"/>
    <w:basedOn w:val="nzFootnotesection"/>
  </w:style>
  <w:style w:type="paragraph" w:customStyle="1" w:styleId="nzOmitFootnote">
    <w:name w:val="nzOmitFootnote"/>
    <w:basedOn w:val="nzEdnotesec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13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991</Words>
  <Characters>4797</Characters>
  <Application>Microsoft Office Word</Application>
  <DocSecurity>0</DocSecurity>
  <Lines>133</Lines>
  <Paragraphs>57</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Kalgoorlie-Parkeston Railway Act 1959 - 00-b0-06</dc:title>
  <dc:subject/>
  <dc:creator/>
  <cp:keywords/>
  <dc:description/>
  <cp:lastModifiedBy>svcMRProcess</cp:lastModifiedBy>
  <cp:revision>4</cp:revision>
  <cp:lastPrinted>2006-04-18T03:00:00Z</cp:lastPrinted>
  <dcterms:created xsi:type="dcterms:W3CDTF">2015-11-16T03:41:00Z</dcterms:created>
  <dcterms:modified xsi:type="dcterms:W3CDTF">2015-11-16T03:41:00Z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36 of 1959</vt:lpwstr>
  </property>
  <property fmtid="{D5CDD505-2E9C-101B-9397-08002B2CF9AE}" pid="3" name="CommencementDate">
    <vt:lpwstr>20030701</vt:lpwstr>
  </property>
  <property fmtid="{D5CDD505-2E9C-101B-9397-08002B2CF9AE}" pid="4" name="DocumentType">
    <vt:lpwstr>Act</vt:lpwstr>
  </property>
  <property fmtid="{D5CDD505-2E9C-101B-9397-08002B2CF9AE}" pid="5" name="AsAtDate">
    <vt:lpwstr>01 Jul 2003</vt:lpwstr>
  </property>
  <property fmtid="{D5CDD505-2E9C-101B-9397-08002B2CF9AE}" pid="6" name="Suffix">
    <vt:lpwstr>00-b0-06</vt:lpwstr>
  </property>
  <property fmtid="{D5CDD505-2E9C-101B-9397-08002B2CF9AE}" pid="7" name="Status">
    <vt:lpwstr>NIF</vt:lpwstr>
  </property>
</Properties>
</file>