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Petroleum Pipelines Act 1969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Pipelines Act 1969</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_Toc131411167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_Toc131411168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_Toc131411169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Power of Minister to make certain declarations for interpretation purposes</w:t>
      </w:r>
      <w:r>
        <w:rPr>
          <w:noProof/>
        </w:rPr>
        <w:tab/>
      </w:r>
      <w:r>
        <w:rPr>
          <w:noProof/>
        </w:rPr>
        <w:fldChar w:fldCharType="begin"/>
      </w:r>
      <w:r>
        <w:rPr>
          <w:noProof/>
        </w:rPr>
        <w:instrText xml:space="preserve"> PAGEREF _Toc131411170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II — Licences and acquisition of land and rights over land</w:t>
      </w:r>
    </w:p>
    <w:p>
      <w:pPr>
        <w:pStyle w:val="TOC4"/>
        <w:tabs>
          <w:tab w:val="left" w:pos="1701"/>
        </w:tabs>
        <w:rPr>
          <w:noProof/>
          <w:sz w:val="24"/>
          <w:szCs w:val="24"/>
        </w:rPr>
      </w:pPr>
      <w:r>
        <w:rPr>
          <w:noProof/>
          <w:szCs w:val="24"/>
        </w:rPr>
        <w:t>5A.</w:t>
      </w:r>
      <w:r>
        <w:rPr>
          <w:noProof/>
          <w:sz w:val="24"/>
          <w:szCs w:val="24"/>
        </w:rPr>
        <w:tab/>
      </w:r>
      <w:r>
        <w:rPr>
          <w:noProof/>
          <w:szCs w:val="24"/>
        </w:rPr>
        <w:t>Restriction on operation of this Part</w:t>
      </w:r>
      <w:r>
        <w:rPr>
          <w:noProof/>
        </w:rPr>
        <w:tab/>
      </w:r>
      <w:r>
        <w:rPr>
          <w:noProof/>
        </w:rPr>
        <w:fldChar w:fldCharType="begin"/>
      </w:r>
      <w:r>
        <w:rPr>
          <w:noProof/>
        </w:rPr>
        <w:instrText xml:space="preserve"> PAGEREF _Toc131411172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Construction etc. of pipelines</w:t>
      </w:r>
      <w:r>
        <w:rPr>
          <w:noProof/>
        </w:rPr>
        <w:tab/>
      </w:r>
      <w:r>
        <w:rPr>
          <w:noProof/>
        </w:rPr>
        <w:fldChar w:fldCharType="begin"/>
      </w:r>
      <w:r>
        <w:rPr>
          <w:noProof/>
        </w:rPr>
        <w:instrText xml:space="preserve"> PAGEREF _Toc131411173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Power of Minister to authorise entry</w:t>
      </w:r>
      <w:r>
        <w:rPr>
          <w:noProof/>
        </w:rPr>
        <w:tab/>
      </w:r>
      <w:r>
        <w:rPr>
          <w:noProof/>
        </w:rPr>
        <w:fldChar w:fldCharType="begin"/>
      </w:r>
      <w:r>
        <w:rPr>
          <w:noProof/>
        </w:rPr>
        <w:instrText xml:space="preserve"> PAGEREF _Toc131411174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Application for a licence</w:t>
      </w:r>
      <w:r>
        <w:rPr>
          <w:noProof/>
        </w:rPr>
        <w:tab/>
      </w:r>
      <w:r>
        <w:rPr>
          <w:noProof/>
        </w:rPr>
        <w:fldChar w:fldCharType="begin"/>
      </w:r>
      <w:r>
        <w:rPr>
          <w:noProof/>
        </w:rPr>
        <w:instrText xml:space="preserve"> PAGEREF _Toc131411175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Refusal of licence</w:t>
      </w:r>
      <w:r>
        <w:rPr>
          <w:noProof/>
        </w:rPr>
        <w:tab/>
      </w:r>
      <w:r>
        <w:rPr>
          <w:noProof/>
        </w:rPr>
        <w:fldChar w:fldCharType="begin"/>
      </w:r>
      <w:r>
        <w:rPr>
          <w:noProof/>
        </w:rPr>
        <w:instrText xml:space="preserve"> PAGEREF _Toc131411176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Grant of licence</w:t>
      </w:r>
      <w:r>
        <w:rPr>
          <w:noProof/>
        </w:rPr>
        <w:tab/>
      </w:r>
      <w:r>
        <w:rPr>
          <w:noProof/>
        </w:rPr>
        <w:fldChar w:fldCharType="begin"/>
      </w:r>
      <w:r>
        <w:rPr>
          <w:noProof/>
        </w:rPr>
        <w:instrText xml:space="preserve"> PAGEREF _Toc131411177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Renewal of licence</w:t>
      </w:r>
      <w:r>
        <w:rPr>
          <w:noProof/>
        </w:rPr>
        <w:tab/>
      </w:r>
      <w:r>
        <w:rPr>
          <w:noProof/>
        </w:rPr>
        <w:fldChar w:fldCharType="begin"/>
      </w:r>
      <w:r>
        <w:rPr>
          <w:noProof/>
        </w:rPr>
        <w:instrText xml:space="preserve"> PAGEREF _Toc131411178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Conditions of licence</w:t>
      </w:r>
      <w:r>
        <w:rPr>
          <w:noProof/>
        </w:rPr>
        <w:tab/>
      </w:r>
      <w:r>
        <w:rPr>
          <w:noProof/>
        </w:rPr>
        <w:fldChar w:fldCharType="begin"/>
      </w:r>
      <w:r>
        <w:rPr>
          <w:noProof/>
        </w:rPr>
        <w:instrText xml:space="preserve"> PAGEREF _Toc131411179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Security</w:t>
      </w:r>
      <w:r>
        <w:rPr>
          <w:noProof/>
        </w:rPr>
        <w:tab/>
      </w:r>
      <w:r>
        <w:rPr>
          <w:noProof/>
        </w:rPr>
        <w:fldChar w:fldCharType="begin"/>
      </w:r>
      <w:r>
        <w:rPr>
          <w:noProof/>
        </w:rPr>
        <w:instrText xml:space="preserve"> PAGEREF _Toc131411180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Term and form of licence</w:t>
      </w:r>
      <w:r>
        <w:rPr>
          <w:noProof/>
        </w:rPr>
        <w:tab/>
      </w:r>
      <w:r>
        <w:rPr>
          <w:noProof/>
        </w:rPr>
        <w:fldChar w:fldCharType="begin"/>
      </w:r>
      <w:r>
        <w:rPr>
          <w:noProof/>
        </w:rPr>
        <w:instrText xml:space="preserve"> PAGEREF _Toc131411181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Variation of licence on application by licensee</w:t>
      </w:r>
      <w:r>
        <w:rPr>
          <w:noProof/>
        </w:rPr>
        <w:tab/>
      </w:r>
      <w:r>
        <w:rPr>
          <w:noProof/>
        </w:rPr>
        <w:fldChar w:fldCharType="begin"/>
      </w:r>
      <w:r>
        <w:rPr>
          <w:noProof/>
        </w:rPr>
        <w:instrText xml:space="preserve"> PAGEREF _Toc131411182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Power of Governor to grant easements etc. over Crown land</w:t>
      </w:r>
      <w:r>
        <w:rPr>
          <w:noProof/>
        </w:rPr>
        <w:tab/>
      </w:r>
      <w:r>
        <w:rPr>
          <w:noProof/>
        </w:rPr>
        <w:fldChar w:fldCharType="begin"/>
      </w:r>
      <w:r>
        <w:rPr>
          <w:noProof/>
        </w:rPr>
        <w:instrText xml:space="preserve"> PAGEREF _Toc131411183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Power of public authority to grant easements etc.</w:t>
      </w:r>
      <w:r>
        <w:rPr>
          <w:noProof/>
        </w:rPr>
        <w:tab/>
      </w:r>
      <w:r>
        <w:rPr>
          <w:noProof/>
        </w:rPr>
        <w:fldChar w:fldCharType="begin"/>
      </w:r>
      <w:r>
        <w:rPr>
          <w:noProof/>
        </w:rPr>
        <w:instrText xml:space="preserve"> PAGEREF _Toc131411184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Authority to make arrangements and agreements for easements</w:t>
      </w:r>
      <w:r>
        <w:rPr>
          <w:noProof/>
        </w:rPr>
        <w:tab/>
      </w:r>
      <w:r>
        <w:rPr>
          <w:noProof/>
        </w:rPr>
        <w:fldChar w:fldCharType="begin"/>
      </w:r>
      <w:r>
        <w:rPr>
          <w:noProof/>
        </w:rPr>
        <w:instrText xml:space="preserve"> PAGEREF _Toc131411185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Taking of land or easement over land for the purposes of or incidental to construction or operation of pipeline</w:t>
      </w:r>
      <w:r>
        <w:rPr>
          <w:noProof/>
        </w:rPr>
        <w:tab/>
      </w:r>
      <w:r>
        <w:rPr>
          <w:noProof/>
        </w:rPr>
        <w:fldChar w:fldCharType="begin"/>
      </w:r>
      <w:r>
        <w:rPr>
          <w:noProof/>
        </w:rPr>
        <w:instrText xml:space="preserve"> PAGEREF _Toc131411186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 xml:space="preserve">Application of s.195 of the </w:t>
      </w:r>
      <w:r>
        <w:rPr>
          <w:i/>
          <w:noProof/>
          <w:snapToGrid w:val="0"/>
          <w:szCs w:val="24"/>
        </w:rPr>
        <w:t>Land Administration Act 1997</w:t>
      </w:r>
      <w:r>
        <w:rPr>
          <w:noProof/>
          <w:snapToGrid w:val="0"/>
          <w:szCs w:val="24"/>
        </w:rPr>
        <w:t xml:space="preserve"> to easements for pipelines etc.</w:t>
      </w:r>
      <w:r>
        <w:rPr>
          <w:noProof/>
        </w:rPr>
        <w:tab/>
      </w:r>
      <w:r>
        <w:rPr>
          <w:noProof/>
        </w:rPr>
        <w:fldChar w:fldCharType="begin"/>
      </w:r>
      <w:r>
        <w:rPr>
          <w:noProof/>
        </w:rPr>
        <w:instrText xml:space="preserve"> PAGEREF _Toc131411187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Directions as to the conveyance of petroleum</w:t>
      </w:r>
      <w:r>
        <w:rPr>
          <w:noProof/>
        </w:rPr>
        <w:tab/>
      </w:r>
      <w:r>
        <w:rPr>
          <w:noProof/>
        </w:rPr>
        <w:fldChar w:fldCharType="begin"/>
      </w:r>
      <w:r>
        <w:rPr>
          <w:noProof/>
        </w:rPr>
        <w:instrText xml:space="preserve"> PAGEREF _Toc131411188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Exemptions</w:t>
      </w:r>
      <w:r>
        <w:rPr>
          <w:noProof/>
        </w:rPr>
        <w:tab/>
      </w:r>
      <w:r>
        <w:rPr>
          <w:noProof/>
        </w:rPr>
        <w:fldChar w:fldCharType="begin"/>
      </w:r>
      <w:r>
        <w:rPr>
          <w:noProof/>
        </w:rPr>
        <w:instrText xml:space="preserve"> PAGEREF _Toc131411189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Surrender of licence</w:t>
      </w:r>
      <w:r>
        <w:rPr>
          <w:noProof/>
        </w:rPr>
        <w:tab/>
      </w:r>
      <w:r>
        <w:rPr>
          <w:noProof/>
        </w:rPr>
        <w:fldChar w:fldCharType="begin"/>
      </w:r>
      <w:r>
        <w:rPr>
          <w:noProof/>
        </w:rPr>
        <w:instrText xml:space="preserve"> PAGEREF _Toc131411190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Cancellation of licences for breach of conditions, the Act or regulations or non</w:t>
      </w:r>
      <w:r>
        <w:rPr>
          <w:noProof/>
          <w:snapToGrid w:val="0"/>
          <w:szCs w:val="24"/>
        </w:rPr>
        <w:noBreakHyphen/>
        <w:t>payment of amounts due</w:t>
      </w:r>
      <w:r>
        <w:rPr>
          <w:noProof/>
        </w:rPr>
        <w:tab/>
      </w:r>
      <w:r>
        <w:rPr>
          <w:noProof/>
        </w:rPr>
        <w:fldChar w:fldCharType="begin"/>
      </w:r>
      <w:r>
        <w:rPr>
          <w:noProof/>
        </w:rPr>
        <w:instrText xml:space="preserve"> PAGEREF _Toc131411191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Change in position or route of pipeline</w:t>
      </w:r>
      <w:r>
        <w:rPr>
          <w:noProof/>
        </w:rPr>
        <w:tab/>
      </w:r>
      <w:r>
        <w:rPr>
          <w:noProof/>
        </w:rPr>
        <w:fldChar w:fldCharType="begin"/>
      </w:r>
      <w:r>
        <w:rPr>
          <w:noProof/>
        </w:rPr>
        <w:instrText xml:space="preserve"> PAGEREF _Toc131411192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Cancellation of licences not affected by other provisions</w:t>
      </w:r>
      <w:r>
        <w:rPr>
          <w:noProof/>
        </w:rPr>
        <w:tab/>
      </w:r>
      <w:r>
        <w:rPr>
          <w:noProof/>
        </w:rPr>
        <w:fldChar w:fldCharType="begin"/>
      </w:r>
      <w:r>
        <w:rPr>
          <w:noProof/>
        </w:rPr>
        <w:instrText xml:space="preserve"> PAGEREF _Toc131411193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Removal of property etc. by licensee</w:t>
      </w:r>
      <w:r>
        <w:rPr>
          <w:noProof/>
        </w:rPr>
        <w:tab/>
      </w:r>
      <w:r>
        <w:rPr>
          <w:noProof/>
        </w:rPr>
        <w:fldChar w:fldCharType="begin"/>
      </w:r>
      <w:r>
        <w:rPr>
          <w:noProof/>
        </w:rPr>
        <w:instrText xml:space="preserve"> PAGEREF _Toc131411194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Powers of Minister where direction not complied with</w:t>
      </w:r>
      <w:r>
        <w:rPr>
          <w:noProof/>
        </w:rPr>
        <w:tab/>
      </w:r>
      <w:r>
        <w:rPr>
          <w:noProof/>
        </w:rPr>
        <w:fldChar w:fldCharType="begin"/>
      </w:r>
      <w:r>
        <w:rPr>
          <w:noProof/>
        </w:rPr>
        <w:instrText xml:space="preserve"> PAGEREF _Toc131411195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Licence fees</w:t>
      </w:r>
      <w:r>
        <w:rPr>
          <w:noProof/>
        </w:rPr>
        <w:tab/>
      </w:r>
      <w:r>
        <w:rPr>
          <w:noProof/>
        </w:rPr>
        <w:fldChar w:fldCharType="begin"/>
      </w:r>
      <w:r>
        <w:rPr>
          <w:noProof/>
        </w:rPr>
        <w:instrText xml:space="preserve"> PAGEREF _Toc131411196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Penalty for late payment</w:t>
      </w:r>
      <w:r>
        <w:rPr>
          <w:noProof/>
        </w:rPr>
        <w:tab/>
      </w:r>
      <w:r>
        <w:rPr>
          <w:noProof/>
        </w:rPr>
        <w:fldChar w:fldCharType="begin"/>
      </w:r>
      <w:r>
        <w:rPr>
          <w:noProof/>
        </w:rPr>
        <w:instrText xml:space="preserve"> PAGEREF _Toc131411197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Fees and penalties debts due to the Crown</w:t>
      </w:r>
      <w:r>
        <w:rPr>
          <w:noProof/>
        </w:rPr>
        <w:tab/>
      </w:r>
      <w:r>
        <w:rPr>
          <w:noProof/>
        </w:rPr>
        <w:fldChar w:fldCharType="begin"/>
      </w:r>
      <w:r>
        <w:rPr>
          <w:noProof/>
        </w:rPr>
        <w:instrText xml:space="preserve"> PAGEREF _Toc131411198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Certain written laws not to apply to licensed pipelines</w:t>
      </w:r>
      <w:r>
        <w:rPr>
          <w:noProof/>
        </w:rPr>
        <w:tab/>
      </w:r>
      <w:r>
        <w:rPr>
          <w:noProof/>
        </w:rPr>
        <w:fldChar w:fldCharType="begin"/>
      </w:r>
      <w:r>
        <w:rPr>
          <w:noProof/>
        </w:rPr>
        <w:instrText xml:space="preserve"> PAGEREF _Toc131411199 \h </w:instrText>
      </w:r>
      <w:r>
        <w:rPr>
          <w:noProof/>
        </w:rPr>
      </w:r>
      <w:r>
        <w:rPr>
          <w:noProof/>
        </w:rPr>
        <w:fldChar w:fldCharType="separate"/>
      </w:r>
      <w:r>
        <w:rPr>
          <w:noProof/>
        </w:rPr>
        <w:t>34</w:t>
      </w:r>
      <w:r>
        <w:rPr>
          <w:noProof/>
        </w:rPr>
        <w:fldChar w:fldCharType="end"/>
      </w:r>
    </w:p>
    <w:p>
      <w:pPr>
        <w:pStyle w:val="TOC2"/>
        <w:tabs>
          <w:tab w:val="right" w:leader="dot" w:pos="7086"/>
        </w:tabs>
        <w:rPr>
          <w:b w:val="0"/>
          <w:noProof/>
          <w:sz w:val="24"/>
          <w:szCs w:val="24"/>
        </w:rPr>
      </w:pPr>
      <w:r>
        <w:rPr>
          <w:noProof/>
          <w:szCs w:val="30"/>
        </w:rPr>
        <w:t>Part III — Construction and operation of pipeline</w:t>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Construction to be along authorised route</w:t>
      </w:r>
      <w:r>
        <w:rPr>
          <w:noProof/>
        </w:rPr>
        <w:tab/>
      </w:r>
      <w:r>
        <w:rPr>
          <w:noProof/>
        </w:rPr>
        <w:fldChar w:fldCharType="begin"/>
      </w:r>
      <w:r>
        <w:rPr>
          <w:noProof/>
        </w:rPr>
        <w:instrText xml:space="preserve"> PAGEREF _Toc131411201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Construction to be in accordance with prescribed standards etc.</w:t>
      </w:r>
      <w:r>
        <w:rPr>
          <w:noProof/>
        </w:rPr>
        <w:tab/>
      </w:r>
      <w:r>
        <w:rPr>
          <w:noProof/>
        </w:rPr>
        <w:fldChar w:fldCharType="begin"/>
      </w:r>
      <w:r>
        <w:rPr>
          <w:noProof/>
        </w:rPr>
        <w:instrText xml:space="preserve"> PAGEREF _Toc131411202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Ceasing to operate pipeline</w:t>
      </w:r>
      <w:r>
        <w:rPr>
          <w:noProof/>
        </w:rPr>
        <w:tab/>
      </w:r>
      <w:r>
        <w:rPr>
          <w:noProof/>
        </w:rPr>
        <w:fldChar w:fldCharType="begin"/>
      </w:r>
      <w:r>
        <w:rPr>
          <w:noProof/>
        </w:rPr>
        <w:instrText xml:space="preserve"> PAGEREF _Toc131411203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Consent to commencement or resumption of pipeline operations</w:t>
      </w:r>
      <w:r>
        <w:rPr>
          <w:noProof/>
        </w:rPr>
        <w:tab/>
      </w:r>
      <w:r>
        <w:rPr>
          <w:noProof/>
        </w:rPr>
        <w:fldChar w:fldCharType="begin"/>
      </w:r>
      <w:r>
        <w:rPr>
          <w:noProof/>
        </w:rPr>
        <w:instrText xml:space="preserve"> PAGEREF _Toc131411204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36A</w:t>
      </w:r>
      <w:r>
        <w:rPr>
          <w:noProof/>
          <w:snapToGrid w:val="0"/>
          <w:szCs w:val="24"/>
        </w:rPr>
        <w:t>.</w:t>
      </w:r>
      <w:r>
        <w:rPr>
          <w:noProof/>
          <w:sz w:val="24"/>
          <w:szCs w:val="24"/>
        </w:rPr>
        <w:tab/>
      </w:r>
      <w:r>
        <w:rPr>
          <w:noProof/>
          <w:snapToGrid w:val="0"/>
          <w:szCs w:val="24"/>
        </w:rPr>
        <w:t>Work practices</w:t>
      </w:r>
      <w:r>
        <w:rPr>
          <w:noProof/>
        </w:rPr>
        <w:tab/>
      </w:r>
      <w:r>
        <w:rPr>
          <w:noProof/>
        </w:rPr>
        <w:fldChar w:fldCharType="begin"/>
      </w:r>
      <w:r>
        <w:rPr>
          <w:noProof/>
        </w:rPr>
        <w:instrText xml:space="preserve"> PAGEREF _Toc131411205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Waste or escape of substances from pipeline</w:t>
      </w:r>
      <w:r>
        <w:rPr>
          <w:noProof/>
        </w:rPr>
        <w:tab/>
      </w:r>
      <w:r>
        <w:rPr>
          <w:noProof/>
        </w:rPr>
        <w:fldChar w:fldCharType="begin"/>
      </w:r>
      <w:r>
        <w:rPr>
          <w:noProof/>
        </w:rPr>
        <w:instrText xml:space="preserve"> PAGEREF _Toc131411206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37A</w:t>
      </w:r>
      <w:r>
        <w:rPr>
          <w:noProof/>
          <w:snapToGrid w:val="0"/>
          <w:szCs w:val="24"/>
        </w:rPr>
        <w:t>.</w:t>
      </w:r>
      <w:r>
        <w:rPr>
          <w:noProof/>
          <w:sz w:val="24"/>
          <w:szCs w:val="24"/>
        </w:rPr>
        <w:tab/>
      </w:r>
      <w:r>
        <w:rPr>
          <w:noProof/>
          <w:snapToGrid w:val="0"/>
          <w:szCs w:val="24"/>
        </w:rPr>
        <w:t>Conditions relating to insurance</w:t>
      </w:r>
      <w:r>
        <w:rPr>
          <w:noProof/>
        </w:rPr>
        <w:tab/>
      </w:r>
      <w:r>
        <w:rPr>
          <w:noProof/>
        </w:rPr>
        <w:fldChar w:fldCharType="begin"/>
      </w:r>
      <w:r>
        <w:rPr>
          <w:noProof/>
        </w:rPr>
        <w:instrText xml:space="preserve"> PAGEREF _Toc131411207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Marking route of pipeline and maintenance etc. of property</w:t>
      </w:r>
      <w:r>
        <w:rPr>
          <w:noProof/>
        </w:rPr>
        <w:tab/>
      </w:r>
      <w:r>
        <w:rPr>
          <w:noProof/>
        </w:rPr>
        <w:fldChar w:fldCharType="begin"/>
      </w:r>
      <w:r>
        <w:rPr>
          <w:noProof/>
        </w:rPr>
        <w:instrText xml:space="preserve"> PAGEREF _Toc131411208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Where pipeline crosses agricultural land</w:t>
      </w:r>
      <w:r>
        <w:rPr>
          <w:noProof/>
        </w:rPr>
        <w:tab/>
      </w:r>
      <w:r>
        <w:rPr>
          <w:noProof/>
        </w:rPr>
        <w:fldChar w:fldCharType="begin"/>
      </w:r>
      <w:r>
        <w:rPr>
          <w:noProof/>
        </w:rPr>
        <w:instrText xml:space="preserve"> PAGEREF _Toc131411209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Where route of pipeline crosses any water</w:t>
      </w:r>
      <w:r>
        <w:rPr>
          <w:noProof/>
        </w:rPr>
        <w:tab/>
      </w:r>
      <w:r>
        <w:rPr>
          <w:noProof/>
        </w:rPr>
        <w:fldChar w:fldCharType="begin"/>
      </w:r>
      <w:r>
        <w:rPr>
          <w:noProof/>
        </w:rPr>
        <w:instrText xml:space="preserve"> PAGEREF _Toc131411210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Directions</w:t>
      </w:r>
      <w:r>
        <w:rPr>
          <w:noProof/>
        </w:rPr>
        <w:tab/>
      </w:r>
      <w:r>
        <w:rPr>
          <w:noProof/>
        </w:rPr>
        <w:fldChar w:fldCharType="begin"/>
      </w:r>
      <w:r>
        <w:rPr>
          <w:noProof/>
        </w:rPr>
        <w:instrText xml:space="preserve"> PAGEREF _Toc131411211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Compliance with directions</w:t>
      </w:r>
      <w:r>
        <w:rPr>
          <w:noProof/>
        </w:rPr>
        <w:tab/>
      </w:r>
      <w:r>
        <w:rPr>
          <w:noProof/>
        </w:rPr>
        <w:fldChar w:fldCharType="begin"/>
      </w:r>
      <w:r>
        <w:rPr>
          <w:noProof/>
        </w:rPr>
        <w:instrText xml:space="preserve"> PAGEREF _Toc131411212 \h </w:instrText>
      </w:r>
      <w:r>
        <w:rPr>
          <w:noProof/>
        </w:rPr>
      </w:r>
      <w:r>
        <w:rPr>
          <w:noProof/>
        </w:rPr>
        <w:fldChar w:fldCharType="separate"/>
      </w:r>
      <w:r>
        <w:rPr>
          <w:noProof/>
        </w:rPr>
        <w:t>42</w:t>
      </w:r>
      <w:r>
        <w:rPr>
          <w:noProof/>
        </w:rPr>
        <w:fldChar w:fldCharType="end"/>
      </w:r>
    </w:p>
    <w:p>
      <w:pPr>
        <w:pStyle w:val="TOC2"/>
        <w:tabs>
          <w:tab w:val="right" w:leader="dot" w:pos="7086"/>
        </w:tabs>
        <w:rPr>
          <w:b w:val="0"/>
          <w:noProof/>
          <w:sz w:val="24"/>
          <w:szCs w:val="24"/>
        </w:rPr>
      </w:pPr>
      <w:r>
        <w:rPr>
          <w:noProof/>
          <w:szCs w:val="30"/>
        </w:rPr>
        <w:t>Part IV — Registration of licences and related instruments</w:t>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Register of licences to be kept</w:t>
      </w:r>
      <w:r>
        <w:rPr>
          <w:noProof/>
        </w:rPr>
        <w:tab/>
      </w:r>
      <w:r>
        <w:rPr>
          <w:noProof/>
        </w:rPr>
        <w:fldChar w:fldCharType="begin"/>
      </w:r>
      <w:r>
        <w:rPr>
          <w:noProof/>
        </w:rPr>
        <w:instrText xml:space="preserve"> PAGEREF _Toc131411214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Approval and registration of transfers</w:t>
      </w:r>
      <w:r>
        <w:rPr>
          <w:noProof/>
        </w:rPr>
        <w:tab/>
      </w:r>
      <w:r>
        <w:rPr>
          <w:noProof/>
        </w:rPr>
        <w:fldChar w:fldCharType="begin"/>
      </w:r>
      <w:r>
        <w:rPr>
          <w:noProof/>
        </w:rPr>
        <w:instrText xml:space="preserve"> PAGEREF _Toc131411215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Entries in register on devolution of rights of registered holder</w:t>
      </w:r>
      <w:r>
        <w:rPr>
          <w:noProof/>
        </w:rPr>
        <w:tab/>
      </w:r>
      <w:r>
        <w:rPr>
          <w:noProof/>
        </w:rPr>
        <w:fldChar w:fldCharType="begin"/>
      </w:r>
      <w:r>
        <w:rPr>
          <w:noProof/>
        </w:rPr>
        <w:instrText xml:space="preserve"> PAGEREF _Toc131411216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Approval of dealings creating etc. interests etc. in existing licences</w:t>
      </w:r>
      <w:r>
        <w:rPr>
          <w:noProof/>
        </w:rPr>
        <w:tab/>
      </w:r>
      <w:r>
        <w:rPr>
          <w:noProof/>
        </w:rPr>
        <w:fldChar w:fldCharType="begin"/>
      </w:r>
      <w:r>
        <w:rPr>
          <w:noProof/>
        </w:rPr>
        <w:instrText xml:space="preserve"> PAGEREF _Toc131411217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47A</w:t>
      </w:r>
      <w:r>
        <w:rPr>
          <w:noProof/>
          <w:snapToGrid w:val="0"/>
          <w:szCs w:val="24"/>
        </w:rPr>
        <w:t>.</w:t>
      </w:r>
      <w:r>
        <w:rPr>
          <w:noProof/>
          <w:sz w:val="24"/>
          <w:szCs w:val="24"/>
        </w:rPr>
        <w:tab/>
      </w:r>
      <w:r>
        <w:rPr>
          <w:noProof/>
          <w:snapToGrid w:val="0"/>
          <w:szCs w:val="24"/>
        </w:rPr>
        <w:t>Approval of dealings in future interests etc.</w:t>
      </w:r>
      <w:r>
        <w:rPr>
          <w:noProof/>
        </w:rPr>
        <w:tab/>
      </w:r>
      <w:r>
        <w:rPr>
          <w:noProof/>
        </w:rPr>
        <w:fldChar w:fldCharType="begin"/>
      </w:r>
      <w:r>
        <w:rPr>
          <w:noProof/>
        </w:rPr>
        <w:instrText xml:space="preserve"> PAGEREF _Toc131411218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True consideration to be shown</w:t>
      </w:r>
      <w:r>
        <w:rPr>
          <w:noProof/>
        </w:rPr>
        <w:tab/>
      </w:r>
      <w:r>
        <w:rPr>
          <w:noProof/>
        </w:rPr>
        <w:fldChar w:fldCharType="begin"/>
      </w:r>
      <w:r>
        <w:rPr>
          <w:noProof/>
        </w:rPr>
        <w:instrText xml:space="preserve"> PAGEREF _Toc131411219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Minister not concerned with certain matters</w:t>
      </w:r>
      <w:r>
        <w:rPr>
          <w:noProof/>
        </w:rPr>
        <w:tab/>
      </w:r>
      <w:r>
        <w:rPr>
          <w:noProof/>
        </w:rPr>
        <w:fldChar w:fldCharType="begin"/>
      </w:r>
      <w:r>
        <w:rPr>
          <w:noProof/>
        </w:rPr>
        <w:instrText xml:space="preserve"> PAGEREF _Toc131411220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Power of Minister to require information as to proposed dealings</w:t>
      </w:r>
      <w:r>
        <w:rPr>
          <w:noProof/>
        </w:rPr>
        <w:tab/>
      </w:r>
      <w:r>
        <w:rPr>
          <w:noProof/>
        </w:rPr>
        <w:fldChar w:fldCharType="begin"/>
      </w:r>
      <w:r>
        <w:rPr>
          <w:noProof/>
        </w:rPr>
        <w:instrText xml:space="preserve"> PAGEREF _Toc131411221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Production and inspection of books, records and documents</w:t>
      </w:r>
      <w:r>
        <w:rPr>
          <w:noProof/>
        </w:rPr>
        <w:tab/>
      </w:r>
      <w:r>
        <w:rPr>
          <w:noProof/>
        </w:rPr>
        <w:fldChar w:fldCharType="begin"/>
      </w:r>
      <w:r>
        <w:rPr>
          <w:noProof/>
        </w:rPr>
        <w:instrText xml:space="preserve"> PAGEREF _Toc131411222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Inspection of register and documents</w:t>
      </w:r>
      <w:r>
        <w:rPr>
          <w:noProof/>
        </w:rPr>
        <w:tab/>
      </w:r>
      <w:r>
        <w:rPr>
          <w:noProof/>
        </w:rPr>
        <w:fldChar w:fldCharType="begin"/>
      </w:r>
      <w:r>
        <w:rPr>
          <w:noProof/>
        </w:rPr>
        <w:instrText xml:space="preserve"> PAGEREF _Toc131411223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Evidentiary provisions</w:t>
      </w:r>
      <w:r>
        <w:rPr>
          <w:noProof/>
        </w:rPr>
        <w:tab/>
      </w:r>
      <w:r>
        <w:rPr>
          <w:noProof/>
        </w:rPr>
        <w:fldChar w:fldCharType="begin"/>
      </w:r>
      <w:r>
        <w:rPr>
          <w:noProof/>
        </w:rPr>
        <w:instrText xml:space="preserve"> PAGEREF _Toc131411224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53A</w:t>
      </w:r>
      <w:r>
        <w:rPr>
          <w:noProof/>
          <w:snapToGrid w:val="0"/>
          <w:szCs w:val="24"/>
        </w:rPr>
        <w:t>.</w:t>
      </w:r>
      <w:r>
        <w:rPr>
          <w:noProof/>
          <w:sz w:val="24"/>
          <w:szCs w:val="24"/>
        </w:rPr>
        <w:tab/>
      </w:r>
      <w:r>
        <w:rPr>
          <w:noProof/>
          <w:snapToGrid w:val="0"/>
          <w:szCs w:val="24"/>
        </w:rPr>
        <w:t>Minister may make corrections to register</w:t>
      </w:r>
      <w:r>
        <w:rPr>
          <w:noProof/>
        </w:rPr>
        <w:tab/>
      </w:r>
      <w:r>
        <w:rPr>
          <w:noProof/>
        </w:rPr>
        <w:fldChar w:fldCharType="begin"/>
      </w:r>
      <w:r>
        <w:rPr>
          <w:noProof/>
        </w:rPr>
        <w:instrText xml:space="preserve"> PAGEREF _Toc131411225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Appeals</w:t>
      </w:r>
      <w:r>
        <w:rPr>
          <w:noProof/>
        </w:rPr>
        <w:tab/>
      </w:r>
      <w:r>
        <w:rPr>
          <w:noProof/>
        </w:rPr>
        <w:fldChar w:fldCharType="begin"/>
      </w:r>
      <w:r>
        <w:rPr>
          <w:noProof/>
        </w:rPr>
        <w:instrText xml:space="preserve"> PAGEREF _Toc131411226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Minister not liable to certain actions</w:t>
      </w:r>
      <w:r>
        <w:rPr>
          <w:noProof/>
        </w:rPr>
        <w:tab/>
      </w:r>
      <w:r>
        <w:rPr>
          <w:noProof/>
        </w:rPr>
        <w:fldChar w:fldCharType="begin"/>
      </w:r>
      <w:r>
        <w:rPr>
          <w:noProof/>
        </w:rPr>
        <w:instrText xml:space="preserve"> PAGEREF _Toc131411227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_Toc131411228 \h </w:instrText>
      </w:r>
      <w:r>
        <w:rPr>
          <w:noProof/>
        </w:rPr>
      </w:r>
      <w:r>
        <w:rPr>
          <w:noProof/>
        </w:rPr>
        <w:fldChar w:fldCharType="separate"/>
      </w:r>
      <w:r>
        <w:rPr>
          <w:noProof/>
        </w:rPr>
        <w:t>58</w:t>
      </w:r>
      <w:r>
        <w:rPr>
          <w:noProof/>
        </w:rPr>
        <w:fldChar w:fldCharType="end"/>
      </w:r>
    </w:p>
    <w:p>
      <w:pPr>
        <w:pStyle w:val="TOC2"/>
        <w:tabs>
          <w:tab w:val="right" w:leader="dot" w:pos="7086"/>
        </w:tabs>
        <w:rPr>
          <w:b w:val="0"/>
          <w:noProof/>
          <w:sz w:val="24"/>
          <w:szCs w:val="24"/>
        </w:rPr>
      </w:pPr>
      <w:r>
        <w:rPr>
          <w:noProof/>
          <w:szCs w:val="30"/>
        </w:rPr>
        <w:t>Part V — Miscellaneous</w:t>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Pipelines to remain property of owner</w:t>
      </w:r>
      <w:r>
        <w:rPr>
          <w:noProof/>
        </w:rPr>
        <w:tab/>
      </w:r>
      <w:r>
        <w:rPr>
          <w:noProof/>
        </w:rPr>
        <w:fldChar w:fldCharType="begin"/>
      </w:r>
      <w:r>
        <w:rPr>
          <w:noProof/>
        </w:rPr>
        <w:instrText xml:space="preserve"> PAGEREF _Toc131411230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Notices of grants etc. of licences to be published</w:t>
      </w:r>
      <w:r>
        <w:rPr>
          <w:noProof/>
        </w:rPr>
        <w:tab/>
      </w:r>
      <w:r>
        <w:rPr>
          <w:noProof/>
        </w:rPr>
        <w:fldChar w:fldCharType="begin"/>
      </w:r>
      <w:r>
        <w:rPr>
          <w:noProof/>
        </w:rPr>
        <w:instrText xml:space="preserve"> PAGEREF _Toc131411231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Judicial notice</w:t>
      </w:r>
      <w:r>
        <w:rPr>
          <w:noProof/>
        </w:rPr>
        <w:tab/>
      </w:r>
      <w:r>
        <w:rPr>
          <w:noProof/>
        </w:rPr>
        <w:fldChar w:fldCharType="begin"/>
      </w:r>
      <w:r>
        <w:rPr>
          <w:noProof/>
        </w:rPr>
        <w:instrText xml:space="preserve"> PAGEREF _Toc131411232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Address for service</w:t>
      </w:r>
      <w:r>
        <w:rPr>
          <w:noProof/>
        </w:rPr>
        <w:tab/>
      </w:r>
      <w:r>
        <w:rPr>
          <w:noProof/>
        </w:rPr>
        <w:fldChar w:fldCharType="begin"/>
      </w:r>
      <w:r>
        <w:rPr>
          <w:noProof/>
        </w:rPr>
        <w:instrText xml:space="preserve"> PAGEREF _Toc131411233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60A</w:t>
      </w:r>
      <w:r>
        <w:rPr>
          <w:noProof/>
          <w:snapToGrid w:val="0"/>
          <w:szCs w:val="24"/>
        </w:rPr>
        <w:t>.</w:t>
      </w:r>
      <w:r>
        <w:rPr>
          <w:noProof/>
          <w:sz w:val="24"/>
          <w:szCs w:val="24"/>
        </w:rPr>
        <w:tab/>
      </w:r>
      <w:r>
        <w:rPr>
          <w:noProof/>
          <w:snapToGrid w:val="0"/>
          <w:szCs w:val="24"/>
        </w:rPr>
        <w:t>Service of documents on 2 or more licensees</w:t>
      </w:r>
      <w:r>
        <w:rPr>
          <w:noProof/>
        </w:rPr>
        <w:tab/>
      </w:r>
      <w:r>
        <w:rPr>
          <w:noProof/>
        </w:rPr>
        <w:fldChar w:fldCharType="begin"/>
      </w:r>
      <w:r>
        <w:rPr>
          <w:noProof/>
        </w:rPr>
        <w:instrText xml:space="preserve"> PAGEREF _Toc131411234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Power of Minister to delegate powers and functions</w:t>
      </w:r>
      <w:r>
        <w:rPr>
          <w:noProof/>
        </w:rPr>
        <w:tab/>
      </w:r>
      <w:r>
        <w:rPr>
          <w:noProof/>
        </w:rPr>
        <w:fldChar w:fldCharType="begin"/>
      </w:r>
      <w:r>
        <w:rPr>
          <w:noProof/>
        </w:rPr>
        <w:instrText xml:space="preserve"> PAGEREF _Toc131411235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Inspectors</w:t>
      </w:r>
      <w:r>
        <w:rPr>
          <w:noProof/>
        </w:rPr>
        <w:tab/>
      </w:r>
      <w:r>
        <w:rPr>
          <w:noProof/>
        </w:rPr>
        <w:fldChar w:fldCharType="begin"/>
      </w:r>
      <w:r>
        <w:rPr>
          <w:noProof/>
        </w:rPr>
        <w:instrText xml:space="preserve"> PAGEREF _Toc131411236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Powers of inspectors</w:t>
      </w:r>
      <w:r>
        <w:rPr>
          <w:noProof/>
        </w:rPr>
        <w:tab/>
      </w:r>
      <w:r>
        <w:rPr>
          <w:noProof/>
        </w:rPr>
        <w:fldChar w:fldCharType="begin"/>
      </w:r>
      <w:r>
        <w:rPr>
          <w:noProof/>
        </w:rPr>
        <w:instrText xml:space="preserve"> PAGEREF _Toc131411237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Theft of petroleum from pipeline</w:t>
      </w:r>
      <w:r>
        <w:rPr>
          <w:noProof/>
        </w:rPr>
        <w:tab/>
      </w:r>
      <w:r>
        <w:rPr>
          <w:noProof/>
        </w:rPr>
        <w:fldChar w:fldCharType="begin"/>
      </w:r>
      <w:r>
        <w:rPr>
          <w:noProof/>
        </w:rPr>
        <w:instrText xml:space="preserve"> PAGEREF _Toc131411238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Damaging etc. pipelines</w:t>
      </w:r>
      <w:r>
        <w:rPr>
          <w:noProof/>
        </w:rPr>
        <w:tab/>
      </w:r>
      <w:r>
        <w:rPr>
          <w:noProof/>
        </w:rPr>
        <w:fldChar w:fldCharType="begin"/>
      </w:r>
      <w:r>
        <w:rPr>
          <w:noProof/>
        </w:rPr>
        <w:instrText xml:space="preserve"> PAGEREF _Toc131411239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Continuing offences</w:t>
      </w:r>
      <w:r>
        <w:rPr>
          <w:noProof/>
        </w:rPr>
        <w:tab/>
      </w:r>
      <w:r>
        <w:rPr>
          <w:noProof/>
        </w:rPr>
        <w:fldChar w:fldCharType="begin"/>
      </w:r>
      <w:r>
        <w:rPr>
          <w:noProof/>
        </w:rPr>
        <w:instrText xml:space="preserve"> PAGEREF _Toc131411240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66A</w:t>
      </w:r>
      <w:r>
        <w:rPr>
          <w:noProof/>
          <w:snapToGrid w:val="0"/>
          <w:szCs w:val="24"/>
        </w:rPr>
        <w:t>.</w:t>
      </w:r>
      <w:r>
        <w:rPr>
          <w:noProof/>
          <w:sz w:val="24"/>
          <w:szCs w:val="24"/>
        </w:rPr>
        <w:tab/>
      </w:r>
      <w:r>
        <w:rPr>
          <w:noProof/>
          <w:snapToGrid w:val="0"/>
          <w:szCs w:val="24"/>
        </w:rPr>
        <w:t>Persons concerned in commission of offences</w:t>
      </w:r>
      <w:r>
        <w:rPr>
          <w:noProof/>
        </w:rPr>
        <w:tab/>
      </w:r>
      <w:r>
        <w:rPr>
          <w:noProof/>
        </w:rPr>
        <w:fldChar w:fldCharType="begin"/>
      </w:r>
      <w:r>
        <w:rPr>
          <w:noProof/>
        </w:rPr>
        <w:instrText xml:space="preserve"> PAGEREF _Toc131411241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66B.</w:t>
      </w:r>
      <w:r>
        <w:rPr>
          <w:noProof/>
          <w:sz w:val="24"/>
          <w:szCs w:val="24"/>
        </w:rPr>
        <w:tab/>
      </w:r>
      <w:r>
        <w:rPr>
          <w:noProof/>
          <w:szCs w:val="24"/>
        </w:rPr>
        <w:t>Crimes and other offences</w:t>
      </w:r>
      <w:r>
        <w:rPr>
          <w:noProof/>
        </w:rPr>
        <w:tab/>
      </w:r>
      <w:r>
        <w:rPr>
          <w:noProof/>
        </w:rPr>
        <w:fldChar w:fldCharType="begin"/>
      </w:r>
      <w:r>
        <w:rPr>
          <w:noProof/>
        </w:rPr>
        <w:instrText xml:space="preserve"> PAGEREF _Toc131411242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66C</w:t>
      </w:r>
      <w:r>
        <w:rPr>
          <w:noProof/>
          <w:snapToGrid w:val="0"/>
          <w:szCs w:val="24"/>
        </w:rPr>
        <w:t>.</w:t>
      </w:r>
      <w:r>
        <w:rPr>
          <w:noProof/>
          <w:sz w:val="24"/>
          <w:szCs w:val="24"/>
        </w:rPr>
        <w:tab/>
      </w:r>
      <w:r>
        <w:rPr>
          <w:noProof/>
          <w:snapToGrid w:val="0"/>
          <w:szCs w:val="24"/>
        </w:rPr>
        <w:t>Orders for forfeiture in respect of certain offences</w:t>
      </w:r>
      <w:r>
        <w:rPr>
          <w:noProof/>
        </w:rPr>
        <w:tab/>
      </w:r>
      <w:r>
        <w:rPr>
          <w:noProof/>
        </w:rPr>
        <w:fldChar w:fldCharType="begin"/>
      </w:r>
      <w:r>
        <w:rPr>
          <w:noProof/>
        </w:rPr>
        <w:instrText xml:space="preserve"> PAGEREF _Toc131411243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66D</w:t>
      </w:r>
      <w:r>
        <w:rPr>
          <w:noProof/>
          <w:snapToGrid w:val="0"/>
          <w:szCs w:val="24"/>
        </w:rPr>
        <w:t>.</w:t>
      </w:r>
      <w:r>
        <w:rPr>
          <w:noProof/>
          <w:sz w:val="24"/>
          <w:szCs w:val="24"/>
        </w:rPr>
        <w:tab/>
      </w:r>
      <w:r>
        <w:rPr>
          <w:noProof/>
          <w:snapToGrid w:val="0"/>
          <w:szCs w:val="24"/>
        </w:rPr>
        <w:t>Disposal of forfeited goods</w:t>
      </w:r>
      <w:r>
        <w:rPr>
          <w:noProof/>
        </w:rPr>
        <w:tab/>
      </w:r>
      <w:r>
        <w:rPr>
          <w:noProof/>
        </w:rPr>
        <w:fldChar w:fldCharType="begin"/>
      </w:r>
      <w:r>
        <w:rPr>
          <w:noProof/>
        </w:rPr>
        <w:instrText xml:space="preserve"> PAGEREF _Toc131411244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_Toc131411245 \h </w:instrText>
      </w:r>
      <w:r>
        <w:rPr>
          <w:noProof/>
        </w:rPr>
      </w:r>
      <w:r>
        <w:rPr>
          <w:noProof/>
        </w:rPr>
        <w:fldChar w:fldCharType="separate"/>
      </w:r>
      <w:r>
        <w:rPr>
          <w:noProof/>
        </w:rPr>
        <w:t>67</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_Toc131411247 \h </w:instrText>
      </w:r>
      <w:r>
        <w:rPr>
          <w:noProof/>
        </w:rPr>
      </w:r>
      <w:r>
        <w:rPr>
          <w:noProof/>
        </w:rPr>
        <w:fldChar w:fldCharType="separate"/>
      </w:r>
      <w:r>
        <w:rPr>
          <w:noProof/>
        </w:rPr>
        <w:t>69</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_Toc131411248 \h </w:instrText>
      </w:r>
      <w:r>
        <w:rPr>
          <w:noProof/>
        </w:rPr>
      </w:r>
      <w:r>
        <w:rPr>
          <w:noProof/>
        </w:rPr>
        <w:fldChar w:fldCharType="separate"/>
      </w:r>
      <w:r>
        <w:rPr>
          <w:noProof/>
        </w:rPr>
        <w:t>71</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Petroleum Pipelines Act 1969 </w:t>
      </w:r>
    </w:p>
    <w:p>
      <w:pPr>
        <w:pStyle w:val="LongTitle"/>
        <w:rPr>
          <w:snapToGrid w:val="0"/>
        </w:rPr>
      </w:pPr>
      <w:r>
        <w:rPr>
          <w:snapToGrid w:val="0"/>
        </w:rPr>
        <w:t xml:space="preserve">An Act relating to the construction, operation and maintenance of pipelines for the conveyance of petroleum and for purposes connected therewith. </w:t>
      </w:r>
    </w:p>
    <w:p>
      <w:pPr>
        <w:pStyle w:val="Heading2"/>
      </w:pPr>
      <w:bookmarkStart w:id="2" w:name="_Toc72913618"/>
      <w:bookmarkStart w:id="3" w:name="_Toc78089472"/>
      <w:bookmarkStart w:id="4" w:name="_Toc91305242"/>
      <w:bookmarkStart w:id="5" w:name="_Toc92690676"/>
      <w:bookmarkStart w:id="6" w:name="_Toc113771232"/>
      <w:bookmarkStart w:id="7" w:name="_Toc131411083"/>
      <w:bookmarkStart w:id="8" w:name="_Toc13141116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64640056"/>
      <w:bookmarkStart w:id="10" w:name="_Toc483119600"/>
      <w:bookmarkStart w:id="11" w:name="_Toc131411167"/>
      <w:r>
        <w:rPr>
          <w:rStyle w:val="CharSectno"/>
        </w:rPr>
        <w:t>1</w:t>
      </w:r>
      <w:r>
        <w:rPr>
          <w:snapToGrid w:val="0"/>
        </w:rPr>
        <w:t>.</w:t>
      </w:r>
      <w:r>
        <w:rPr>
          <w:snapToGrid w:val="0"/>
        </w:rPr>
        <w:tab/>
        <w:t>Short title</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Pipelines Act 1969</w:t>
      </w:r>
      <w:r>
        <w:rPr>
          <w:snapToGrid w:val="0"/>
        </w:rPr>
        <w:t xml:space="preserve"> </w:t>
      </w:r>
      <w:r>
        <w:rPr>
          <w:snapToGrid w:val="0"/>
          <w:vertAlign w:val="superscript"/>
        </w:rPr>
        <w:t>1</w:t>
      </w:r>
      <w:r>
        <w:rPr>
          <w:snapToGrid w:val="0"/>
        </w:rPr>
        <w:t>.</w:t>
      </w:r>
    </w:p>
    <w:p>
      <w:pPr>
        <w:pStyle w:val="Heading5"/>
        <w:rPr>
          <w:snapToGrid w:val="0"/>
        </w:rPr>
      </w:pPr>
      <w:bookmarkStart w:id="12" w:name="_Toc464640057"/>
      <w:bookmarkStart w:id="13" w:name="_Toc483119601"/>
      <w:bookmarkStart w:id="14" w:name="_Toc131411168"/>
      <w:r>
        <w:rPr>
          <w:rStyle w:val="CharSectno"/>
        </w:rPr>
        <w:t>2</w:t>
      </w:r>
      <w:r>
        <w:rPr>
          <w:snapToGrid w:val="0"/>
        </w:rPr>
        <w:t>.</w:t>
      </w:r>
      <w:r>
        <w:rPr>
          <w:snapToGrid w:val="0"/>
        </w:rPr>
        <w:tab/>
        <w:t>Commencement</w:t>
      </w:r>
      <w:bookmarkEnd w:id="12"/>
      <w:bookmarkEnd w:id="13"/>
      <w:bookmarkEnd w:id="1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12 of 1990 s.120.] </w:t>
      </w:r>
    </w:p>
    <w:p>
      <w:pPr>
        <w:pStyle w:val="Heading5"/>
        <w:rPr>
          <w:snapToGrid w:val="0"/>
        </w:rPr>
      </w:pPr>
      <w:bookmarkStart w:id="15" w:name="_Toc464640058"/>
      <w:bookmarkStart w:id="16" w:name="_Toc483119602"/>
      <w:bookmarkStart w:id="17" w:name="_Toc131411169"/>
      <w:r>
        <w:rPr>
          <w:rStyle w:val="CharSectno"/>
        </w:rPr>
        <w:t>4</w:t>
      </w:r>
      <w:r>
        <w:rPr>
          <w:snapToGrid w:val="0"/>
        </w:rPr>
        <w:t>.</w:t>
      </w:r>
      <w:r>
        <w:rPr>
          <w:snapToGrid w:val="0"/>
        </w:rPr>
        <w:tab/>
        <w:t>Interpretation</w:t>
      </w:r>
      <w:bookmarkEnd w:id="15"/>
      <w:bookmarkEnd w:id="16"/>
      <w:bookmarkEnd w:id="1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Minister;</w:t>
      </w:r>
    </w:p>
    <w:p>
      <w:pPr>
        <w:pStyle w:val="Defstart"/>
      </w:pPr>
      <w:r>
        <w:rPr>
          <w:b/>
        </w:rPr>
        <w:tab/>
        <w:t>“</w:t>
      </w:r>
      <w:r>
        <w:rPr>
          <w:rStyle w:val="CharDefText"/>
        </w:rPr>
        <w:t>inspector</w:t>
      </w:r>
      <w:r>
        <w:rPr>
          <w:b/>
        </w:rPr>
        <w:t>”</w:t>
      </w:r>
      <w:r>
        <w:t xml:space="preserve"> means a person appointed an inspector under this Act;</w:t>
      </w:r>
    </w:p>
    <w:p>
      <w:pPr>
        <w:pStyle w:val="Defstart"/>
      </w:pPr>
      <w:r>
        <w:rPr>
          <w:b/>
        </w:rPr>
        <w:tab/>
        <w:t>“</w:t>
      </w:r>
      <w:r>
        <w:rPr>
          <w:rStyle w:val="CharDefText"/>
        </w:rPr>
        <w:t>licence</w:t>
      </w:r>
      <w:r>
        <w:rPr>
          <w:b/>
        </w:rPr>
        <w:t>”</w:t>
      </w:r>
      <w:r>
        <w:t xml:space="preserve"> means a current licence granted under this Act authorising the construction and operation of a pipeline;</w:t>
      </w:r>
    </w:p>
    <w:p>
      <w:pPr>
        <w:pStyle w:val="Defstart"/>
      </w:pPr>
      <w:r>
        <w:rPr>
          <w:b/>
        </w:rPr>
        <w:tab/>
        <w:t>“</w:t>
      </w:r>
      <w:r>
        <w:rPr>
          <w:rStyle w:val="CharDefText"/>
        </w:rPr>
        <w:t>licence area</w:t>
      </w:r>
      <w:r>
        <w:rPr>
          <w:b/>
        </w:rPr>
        <w:t>”</w:t>
      </w:r>
      <w:r>
        <w:t xml:space="preserve"> in relation to a licence means the lands specified in the licence as being that area;</w:t>
      </w:r>
    </w:p>
    <w:p>
      <w:pPr>
        <w:pStyle w:val="Defstart"/>
      </w:pPr>
      <w:r>
        <w:rPr>
          <w:b/>
        </w:rPr>
        <w:tab/>
        <w:t>“</w:t>
      </w:r>
      <w:r>
        <w:rPr>
          <w:rStyle w:val="CharDefText"/>
        </w:rPr>
        <w:t>licensee</w:t>
      </w:r>
      <w:r>
        <w:rPr>
          <w:b/>
        </w:rPr>
        <w:t>”</w:t>
      </w:r>
      <w:r>
        <w:t xml:space="preserve"> means a person who is the registered holder of a licence;</w:t>
      </w:r>
    </w:p>
    <w:p>
      <w:pPr>
        <w:pStyle w:val="Defstart"/>
      </w:pPr>
      <w:r>
        <w:rPr>
          <w:b/>
        </w:rPr>
        <w:tab/>
        <w:t>“</w:t>
      </w:r>
      <w:r>
        <w:rPr>
          <w:rStyle w:val="CharDefText"/>
        </w:rPr>
        <w:t>owner</w:t>
      </w:r>
      <w:r>
        <w:rPr>
          <w:b/>
        </w:rPr>
        <w:t>”</w:t>
      </w:r>
      <w:r>
        <w:t xml:space="preserve"> in relation to — </w:t>
      </w:r>
    </w:p>
    <w:p>
      <w:pPr>
        <w:pStyle w:val="Defpara"/>
      </w:pPr>
      <w:r>
        <w:tab/>
        <w:t>(a)</w:t>
      </w:r>
      <w:r>
        <w:tab/>
        <w:t>land other than Crown land or land owned by or vested in the Crown or a public authority, includes every person who jointly or severally, whether at law or in equity — </w:t>
      </w:r>
    </w:p>
    <w:p>
      <w:pPr>
        <w:pStyle w:val="Defsubpara"/>
        <w:rPr>
          <w:snapToGrid w:val="0"/>
        </w:rPr>
      </w:pPr>
      <w:r>
        <w:rPr>
          <w:snapToGrid w:val="0"/>
        </w:rPr>
        <w:tab/>
        <w:t>(i)</w:t>
      </w:r>
      <w:r>
        <w:rPr>
          <w:snapToGrid w:val="0"/>
        </w:rPr>
        <w:tab/>
        <w:t>is entitled to the land for an estate of freehold in possession;</w:t>
      </w:r>
    </w:p>
    <w:p>
      <w:pPr>
        <w:pStyle w:val="Defsubpara"/>
        <w:rPr>
          <w:snapToGrid w:val="0"/>
        </w:rPr>
      </w:pPr>
      <w:r>
        <w:rPr>
          <w:snapToGrid w:val="0"/>
        </w:rPr>
        <w:tab/>
        <w:t>(ii)</w:t>
      </w:r>
      <w:r>
        <w:rPr>
          <w:snapToGrid w:val="0"/>
        </w:rPr>
        <w:tab/>
        <w:t xml:space="preserve">is a person to whom the Crown has lawfully contracted to transfer the land in fee simple under the </w:t>
      </w:r>
      <w:r>
        <w:rPr>
          <w:i/>
          <w:snapToGrid w:val="0"/>
        </w:rPr>
        <w:t>Land Administration Act 1997</w:t>
      </w:r>
      <w:r>
        <w:rPr>
          <w:snapToGrid w:val="0"/>
        </w:rPr>
        <w:t>, or any other Act;</w:t>
      </w:r>
    </w:p>
    <w:p>
      <w:pPr>
        <w:pStyle w:val="Defsubpara"/>
        <w:rPr>
          <w:snapToGrid w:val="0"/>
        </w:rPr>
      </w:pPr>
      <w:r>
        <w:rPr>
          <w:snapToGrid w:val="0"/>
        </w:rPr>
        <w:tab/>
        <w:t>(iii)</w:t>
      </w:r>
      <w:r>
        <w:rPr>
          <w:snapToGrid w:val="0"/>
        </w:rPr>
        <w:tab/>
        <w:t>is entitled to receive, or is in receipt of, or if the land were let would be entitled to receive the rents and profits thereof, whether as beneficial owner, trustee, mortgagee in possession, or otherwise;</w:t>
      </w:r>
    </w:p>
    <w:p>
      <w:pPr>
        <w:pStyle w:val="Defpara"/>
      </w:pPr>
      <w:r>
        <w:tab/>
        <w:t>(b)</w:t>
      </w:r>
      <w:r>
        <w:tab/>
        <w:t>Crown land and land owned by or vested in the Crown, means the Crown;</w:t>
      </w:r>
    </w:p>
    <w:p>
      <w:pPr>
        <w:pStyle w:val="Defpara"/>
      </w:pPr>
      <w:r>
        <w:tab/>
        <w:t>(c)</w:t>
      </w:r>
      <w:r>
        <w:tab/>
        <w:t>land owned by or vested in a public authority, means that public authority,</w:t>
      </w:r>
    </w:p>
    <w:p>
      <w:pPr>
        <w:pStyle w:val="Defstart"/>
      </w:pPr>
      <w:r>
        <w:tab/>
      </w:r>
      <w:r>
        <w:tab/>
        <w:t xml:space="preserve">and </w:t>
      </w:r>
    </w:p>
    <w:p>
      <w:pPr>
        <w:pStyle w:val="Defstart"/>
      </w:pPr>
      <w:r>
        <w:rPr>
          <w:b/>
        </w:rPr>
        <w:tab/>
        <w:t>“</w:t>
      </w:r>
      <w:r>
        <w:rPr>
          <w:rStyle w:val="CharDefText"/>
        </w:rPr>
        <w:t>owned</w:t>
      </w:r>
      <w:r>
        <w:rPr>
          <w:b/>
        </w:rPr>
        <w:t>”</w:t>
      </w:r>
      <w:r>
        <w:t xml:space="preserve"> and like expressions have a corresponding meaning;</w:t>
      </w:r>
    </w:p>
    <w:p>
      <w:pPr>
        <w:pStyle w:val="Defstart"/>
      </w:pPr>
      <w:r>
        <w:rPr>
          <w:b/>
        </w:rPr>
        <w:tab/>
        <w:t>“</w:t>
      </w:r>
      <w:r>
        <w:rPr>
          <w:rStyle w:val="CharDefText"/>
        </w:rPr>
        <w:t>partly cancelled</w:t>
      </w:r>
      <w:r>
        <w:rPr>
          <w:b/>
        </w:rPr>
        <w:t>”</w:t>
      </w:r>
      <w:r>
        <w:t xml:space="preserve"> in relation to a licence means cancelled as to part of the pipeline the subject of the licence;</w:t>
      </w:r>
    </w:p>
    <w:p>
      <w:pPr>
        <w:pStyle w:val="Defstart"/>
      </w:pPr>
      <w:r>
        <w:rPr>
          <w:b/>
        </w:rPr>
        <w:tab/>
        <w:t>“</w:t>
      </w:r>
      <w:r>
        <w:rPr>
          <w:rStyle w:val="CharDefText"/>
        </w:rPr>
        <w:t>petroleum</w:t>
      </w:r>
      <w:r>
        <w:rPr>
          <w:b/>
        </w:rPr>
        <w:t>”</w:t>
      </w:r>
      <w:r>
        <w:t xml:space="preserve"> means —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any one or more of the following, that is to say, hydrogen, sulphide, nitrogen, helium and carbon dioxide,</w:t>
      </w:r>
    </w:p>
    <w:p>
      <w:pPr>
        <w:pStyle w:val="Defstart"/>
      </w:pPr>
      <w:r>
        <w:tab/>
      </w:r>
      <w:r>
        <w:tab/>
        <w:t>and includes any petroleum as defined by paragraph (a), (b) or (c) of this definition that has been returned to a natural reservoir;</w:t>
      </w:r>
    </w:p>
    <w:p>
      <w:pPr>
        <w:pStyle w:val="Defstart"/>
      </w:pPr>
      <w:r>
        <w:rPr>
          <w:b/>
        </w:rPr>
        <w:tab/>
        <w:t>“</w:t>
      </w:r>
      <w:r>
        <w:rPr>
          <w:rStyle w:val="CharDefText"/>
        </w:rPr>
        <w:t>pipeline</w:t>
      </w:r>
      <w:r>
        <w:rPr>
          <w:b/>
        </w:rPr>
        <w:t>”</w:t>
      </w:r>
      <w:r>
        <w:t xml:space="preserve"> means a pipe or system of pipes used or intended to be used for the conveyance of petroleum; and includes all structures for protecting or supporting a pipeline and all loading terminals, works and buildings and all fittings, pumps, tanks, storage tanks, appurtenances and appliances and any facility, or any facility of a class, which is declared for the time being under section 5 to be a pipeline facility for the purposes of this Act used in connection with a pipeline, but does not include — </w:t>
      </w:r>
    </w:p>
    <w:p>
      <w:pPr>
        <w:pStyle w:val="Defpara"/>
      </w:pPr>
      <w:r>
        <w:tab/>
        <w:t>(a)</w:t>
      </w:r>
      <w:r>
        <w:tab/>
        <w:t xml:space="preserve">a pipeline as defined in the </w:t>
      </w:r>
      <w:r>
        <w:rPr>
          <w:i/>
        </w:rPr>
        <w:t>Petroleum (Submerged Lands) Act 1982</w:t>
      </w:r>
      <w:r>
        <w:t>;</w:t>
      </w:r>
    </w:p>
    <w:p>
      <w:pPr>
        <w:pStyle w:val="Defpara"/>
      </w:pPr>
      <w:r>
        <w:tab/>
        <w:t>(b)</w:t>
      </w:r>
      <w:r>
        <w:tab/>
        <w:t>a pipeline that is used — </w:t>
      </w:r>
    </w:p>
    <w:p>
      <w:pPr>
        <w:pStyle w:val="Defsubpara"/>
        <w:rPr>
          <w:snapToGrid w:val="0"/>
        </w:rPr>
      </w:pPr>
      <w:r>
        <w:rPr>
          <w:snapToGrid w:val="0"/>
        </w:rPr>
        <w:tab/>
        <w:t>(i)</w:t>
      </w:r>
      <w:r>
        <w:rPr>
          <w:snapToGrid w:val="0"/>
        </w:rPr>
        <w:tab/>
        <w:t>for the conveyance of petroleum from the well head to a tank or separator or for the collection of petroleum within the area in which it is produced or recovered;</w:t>
      </w:r>
    </w:p>
    <w:p>
      <w:pPr>
        <w:pStyle w:val="Defsubpara"/>
        <w:rPr>
          <w:snapToGrid w:val="0"/>
        </w:rPr>
      </w:pPr>
      <w:r>
        <w:rPr>
          <w:snapToGrid w:val="0"/>
        </w:rPr>
        <w:tab/>
        <w:t>(ii)</w:t>
      </w:r>
      <w:r>
        <w:rPr>
          <w:snapToGrid w:val="0"/>
        </w:rPr>
        <w:tab/>
        <w:t>for returning petroleum to a natural reservoir;</w:t>
      </w:r>
    </w:p>
    <w:p>
      <w:pPr>
        <w:pStyle w:val="Defsubpara"/>
        <w:rPr>
          <w:snapToGrid w:val="0"/>
        </w:rPr>
      </w:pPr>
      <w:r>
        <w:rPr>
          <w:snapToGrid w:val="0"/>
        </w:rPr>
        <w:tab/>
        <w:t>(iii)</w:t>
      </w:r>
      <w:r>
        <w:rPr>
          <w:snapToGrid w:val="0"/>
        </w:rPr>
        <w:tab/>
        <w:t>for the conveyance of petroleum for use for the purpose of petroleum exploration operations or operations for the recovery of petroleum;</w:t>
      </w:r>
    </w:p>
    <w:p>
      <w:pPr>
        <w:pStyle w:val="Defsubpara"/>
        <w:rPr>
          <w:snapToGrid w:val="0"/>
        </w:rPr>
      </w:pPr>
      <w:r>
        <w:rPr>
          <w:snapToGrid w:val="0"/>
        </w:rPr>
        <w:tab/>
        <w:t>(iv)</w:t>
      </w:r>
      <w:r>
        <w:rPr>
          <w:snapToGrid w:val="0"/>
        </w:rPr>
        <w:tab/>
        <w:t>for the conveyance of petroleum that is to be flared or vented;</w:t>
      </w:r>
    </w:p>
    <w:p>
      <w:pPr>
        <w:pStyle w:val="Defpara"/>
      </w:pPr>
      <w:r>
        <w:tab/>
        <w:t>(c)</w:t>
      </w:r>
      <w:r>
        <w:tab/>
        <w:t>a pipeline constructed or to be constructed under the authority of any Act, other than this Act;</w:t>
      </w:r>
    </w:p>
    <w:p>
      <w:pPr>
        <w:pStyle w:val="Defpara"/>
      </w:pPr>
      <w:r>
        <w:tab/>
        <w:t>(d)</w:t>
      </w:r>
      <w:r>
        <w:tab/>
        <w:t>a pipeline constructed or to be constructed by a public authority;</w:t>
      </w:r>
    </w:p>
    <w:p>
      <w:pPr>
        <w:pStyle w:val="Defpara"/>
      </w:pPr>
      <w:r>
        <w:tab/>
        <w:t>(da)</w:t>
      </w:r>
      <w:r>
        <w:tab/>
        <w:t xml:space="preserve">a pipeline that is part of a distribution system as defined in the </w:t>
      </w:r>
      <w:r>
        <w:rPr>
          <w:i/>
        </w:rPr>
        <w:t>Energy Coordination Act 1994</w:t>
      </w:r>
      <w:r>
        <w:t>;</w:t>
      </w:r>
    </w:p>
    <w:p>
      <w:pPr>
        <w:pStyle w:val="Defpara"/>
      </w:pPr>
      <w:r>
        <w:tab/>
        <w:t>(e)</w:t>
      </w:r>
      <w:r>
        <w:tab/>
        <w:t>a pipeline constructed or to be constructed on land used for residential, business, agricultural, commercial or industrial purposes, designed for use solely for the residential, business, agricultural, commercial or industrial purposes carried on on that land and situated wholly within the boundaries of that land;</w:t>
      </w:r>
    </w:p>
    <w:p>
      <w:pPr>
        <w:pStyle w:val="Defpara"/>
      </w:pPr>
      <w:r>
        <w:tab/>
        <w:t>(f)</w:t>
      </w:r>
      <w:r>
        <w:tab/>
        <w:t>a pipeline or a pipeline of a class declared for the time being under section 5 not to be a pipeline for the purposes of this Act;</w:t>
      </w:r>
    </w:p>
    <w:p>
      <w:pPr>
        <w:pStyle w:val="Defstart"/>
        <w:keepNext/>
      </w:pPr>
      <w:r>
        <w:rPr>
          <w:b/>
        </w:rPr>
        <w:tab/>
        <w:t>“</w:t>
      </w:r>
      <w:r>
        <w:rPr>
          <w:rStyle w:val="CharDefText"/>
        </w:rPr>
        <w:t>public authority</w:t>
      </w:r>
      <w:r>
        <w:rPr>
          <w:b/>
        </w:rPr>
        <w:t>”</w:t>
      </w:r>
      <w:r>
        <w:t xml:space="preserve"> means — </w:t>
      </w:r>
    </w:p>
    <w:p>
      <w:pPr>
        <w:pStyle w:val="Defpara"/>
      </w:pPr>
      <w:r>
        <w:tab/>
        <w:t>(a)</w:t>
      </w:r>
      <w:r>
        <w:tab/>
        <w:t>a Minister of the Crown acting in his official capacity under an Act;</w:t>
      </w:r>
    </w:p>
    <w:p>
      <w:pPr>
        <w:pStyle w:val="Defpara"/>
      </w:pPr>
      <w:r>
        <w:tab/>
        <w:t>(b)</w:t>
      </w:r>
      <w:r>
        <w:tab/>
        <w:t>a State instrumentality; or</w:t>
      </w:r>
    </w:p>
    <w:p>
      <w:pPr>
        <w:pStyle w:val="Defpara"/>
      </w:pPr>
      <w:r>
        <w:tab/>
        <w:t>(c)</w:t>
      </w:r>
      <w:r>
        <w:tab/>
        <w:t>any body — </w:t>
      </w:r>
    </w:p>
    <w:p>
      <w:pPr>
        <w:pStyle w:val="Defsubpara"/>
        <w:rPr>
          <w:snapToGrid w:val="0"/>
        </w:rPr>
      </w:pPr>
      <w:r>
        <w:rPr>
          <w:snapToGrid w:val="0"/>
        </w:rPr>
        <w:tab/>
        <w:t>(i)</w:t>
      </w:r>
      <w:r>
        <w:rPr>
          <w:snapToGrid w:val="0"/>
        </w:rPr>
        <w:tab/>
        <w:t>which is established under an Act;</w:t>
      </w:r>
    </w:p>
    <w:p>
      <w:pPr>
        <w:pStyle w:val="Defsubpara"/>
        <w:rPr>
          <w:snapToGrid w:val="0"/>
        </w:rPr>
      </w:pPr>
      <w:r>
        <w:rPr>
          <w:snapToGrid w:val="0"/>
        </w:rPr>
        <w:tab/>
        <w:t>(ii)</w:t>
      </w:r>
      <w:r>
        <w:rPr>
          <w:snapToGrid w:val="0"/>
        </w:rPr>
        <w:tab/>
        <w:t>which administers or carries out any social service or public utility for the benefit of the State; and</w:t>
      </w:r>
    </w:p>
    <w:p>
      <w:pPr>
        <w:pStyle w:val="Defsubpara"/>
        <w:rPr>
          <w:snapToGrid w:val="0"/>
        </w:rPr>
      </w:pPr>
      <w:r>
        <w:rPr>
          <w:snapToGrid w:val="0"/>
        </w:rPr>
        <w:tab/>
        <w:t>(iii)</w:t>
      </w:r>
      <w:r>
        <w:rPr>
          <w:snapToGrid w:val="0"/>
        </w:rPr>
        <w:tab/>
        <w:t>which is declared for the time being under section 5 to be a public authority for the purposes of this Act;</w:t>
      </w:r>
    </w:p>
    <w:p>
      <w:pPr>
        <w:pStyle w:val="Defstart"/>
      </w:pPr>
      <w:r>
        <w:rPr>
          <w:b/>
        </w:rPr>
        <w:tab/>
        <w:t>“</w:t>
      </w:r>
      <w:r>
        <w:rPr>
          <w:rStyle w:val="CharDefText"/>
        </w:rPr>
        <w:t>register</w:t>
      </w:r>
      <w:r>
        <w:rPr>
          <w:b/>
        </w:rPr>
        <w:t>”</w:t>
      </w:r>
      <w:r>
        <w:t xml:space="preserve"> means the register referred to in section 43;</w:t>
      </w:r>
    </w:p>
    <w:p>
      <w:pPr>
        <w:pStyle w:val="Defstart"/>
      </w:pPr>
      <w:r>
        <w:rPr>
          <w:b/>
        </w:rPr>
        <w:tab/>
        <w:t>“</w:t>
      </w:r>
      <w:r>
        <w:rPr>
          <w:rStyle w:val="CharDefText"/>
        </w:rPr>
        <w:t>registered holder</w:t>
      </w:r>
      <w:r>
        <w:rPr>
          <w:b/>
        </w:rPr>
        <w:t>”</w:t>
      </w:r>
      <w:r>
        <w:t xml:space="preserve"> in relation to a licence means the person whose name is for the time being shown in the register as being the holder of the licence;</w:t>
      </w:r>
    </w:p>
    <w:p>
      <w:pPr>
        <w:pStyle w:val="Defstart"/>
      </w:pPr>
      <w:r>
        <w:rPr>
          <w:b/>
        </w:rPr>
        <w:tab/>
        <w:t>“</w:t>
      </w:r>
      <w:r>
        <w:rPr>
          <w:rStyle w:val="CharDefText"/>
        </w:rPr>
        <w:t>the Minister for Lands</w:t>
      </w:r>
      <w:r>
        <w:rPr>
          <w:b/>
        </w:rPr>
        <w:t>”</w:t>
      </w:r>
      <w:r>
        <w:t xml:space="preserve"> means the Minister of the Crown to whom the Governor has for the time being committed the administration of the </w:t>
      </w:r>
      <w:r>
        <w:rPr>
          <w:i/>
        </w:rPr>
        <w:t>Land Administration Act 1997</w:t>
      </w:r>
      <w:r>
        <w:t>;</w:t>
      </w:r>
    </w:p>
    <w:p>
      <w:pPr>
        <w:pStyle w:val="Defstart"/>
      </w:pPr>
      <w:r>
        <w:rPr>
          <w:b/>
        </w:rPr>
        <w:tab/>
        <w:t>“</w:t>
      </w:r>
      <w:r>
        <w:rPr>
          <w:rStyle w:val="CharDefText"/>
        </w:rPr>
        <w:t>the relinquished area</w:t>
      </w:r>
      <w:r>
        <w:rPr>
          <w:b/>
        </w:rPr>
        <w:t>”</w:t>
      </w:r>
      <w:r>
        <w:t xml:space="preserve"> means in relation to a licence that — </w:t>
      </w:r>
    </w:p>
    <w:p>
      <w:pPr>
        <w:pStyle w:val="Defpara"/>
      </w:pPr>
      <w:r>
        <w:tab/>
        <w:t>(a)</w:t>
      </w:r>
      <w:r>
        <w:tab/>
        <w:t>has expired or been wholly cancelled — the licence area; and</w:t>
      </w:r>
    </w:p>
    <w:p>
      <w:pPr>
        <w:pStyle w:val="Defpara"/>
      </w:pPr>
      <w:r>
        <w:tab/>
        <w:t>(b)</w:t>
      </w:r>
      <w:r>
        <w:tab/>
        <w:t>has been partly cancelled — that part of the licence area on which is situated the part of the pipeline as to which the licence was partly cancelled;</w:t>
      </w:r>
    </w:p>
    <w:p>
      <w:pPr>
        <w:pStyle w:val="Defstart"/>
      </w:pPr>
      <w:r>
        <w:rPr>
          <w:b/>
        </w:rPr>
        <w:tab/>
        <w:t>“</w:t>
      </w:r>
      <w:r>
        <w:rPr>
          <w:rStyle w:val="CharDefText"/>
        </w:rPr>
        <w:t>wholly cancelled</w:t>
      </w:r>
      <w:r>
        <w:rPr>
          <w:b/>
        </w:rPr>
        <w:t>”</w:t>
      </w:r>
      <w:r>
        <w:t xml:space="preserve"> in relation to a licence means cancelled as to the whole of the pipeline the subject of the licence.</w:t>
      </w:r>
    </w:p>
    <w:p>
      <w:pPr>
        <w:pStyle w:val="Subsection"/>
        <w:rPr>
          <w:snapToGrid w:val="0"/>
        </w:rPr>
      </w:pPr>
      <w:r>
        <w:rPr>
          <w:snapToGrid w:val="0"/>
        </w:rPr>
        <w:tab/>
        <w:t>(2)</w:t>
      </w:r>
      <w:r>
        <w:rPr>
          <w:snapToGrid w:val="0"/>
        </w:rPr>
        <w:tab/>
        <w:t>In this Act, a reference — </w:t>
      </w:r>
    </w:p>
    <w:p>
      <w:pPr>
        <w:pStyle w:val="Indenta"/>
        <w:rPr>
          <w:snapToGrid w:val="0"/>
        </w:rPr>
      </w:pPr>
      <w:r>
        <w:rPr>
          <w:snapToGrid w:val="0"/>
        </w:rPr>
        <w:tab/>
        <w:t>(a)</w:t>
      </w:r>
      <w:r>
        <w:rPr>
          <w:snapToGrid w:val="0"/>
        </w:rPr>
        <w:tab/>
        <w:t>to a pipeline on any land, includes a reference to a pipeline in, under, through, across or above the surface of the land;</w:t>
      </w:r>
    </w:p>
    <w:p>
      <w:pPr>
        <w:pStyle w:val="Indenta"/>
        <w:rPr>
          <w:snapToGrid w:val="0"/>
        </w:rPr>
      </w:pPr>
      <w:r>
        <w:rPr>
          <w:snapToGrid w:val="0"/>
        </w:rPr>
        <w:tab/>
        <w:t>(b)</w:t>
      </w:r>
      <w:r>
        <w:rPr>
          <w:snapToGrid w:val="0"/>
        </w:rPr>
        <w:tab/>
        <w:t>to a pipeline, includes a reference to part of a pipeline;</w:t>
      </w:r>
    </w:p>
    <w:p>
      <w:pPr>
        <w:pStyle w:val="Indenta"/>
        <w:keepNext/>
        <w:rPr>
          <w:snapToGrid w:val="0"/>
        </w:rPr>
      </w:pPr>
      <w:r>
        <w:rPr>
          <w:snapToGrid w:val="0"/>
        </w:rPr>
        <w:tab/>
        <w:t>(c)</w:t>
      </w:r>
      <w:r>
        <w:rPr>
          <w:snapToGrid w:val="0"/>
        </w:rPr>
        <w:tab/>
        <w:t>to a licence, includes a reference to a licence as varied under this Act.</w:t>
      </w:r>
    </w:p>
    <w:p>
      <w:pPr>
        <w:pStyle w:val="Footnotesection"/>
      </w:pPr>
      <w:r>
        <w:tab/>
        <w:t xml:space="preserve">[Section 4 amended by No. 12 of 1990 s.121; No. 28 of 1994 s.64; No. 73 of 1994 s.4; No. 31 of 1997 ss.77(1) and 141; No. 20 of 1999 s.10(5).] </w:t>
      </w:r>
    </w:p>
    <w:p>
      <w:pPr>
        <w:pStyle w:val="Heading5"/>
        <w:rPr>
          <w:snapToGrid w:val="0"/>
        </w:rPr>
      </w:pPr>
      <w:bookmarkStart w:id="18" w:name="_Toc464640059"/>
      <w:bookmarkStart w:id="19" w:name="_Toc483119603"/>
      <w:bookmarkStart w:id="20" w:name="_Toc131411170"/>
      <w:r>
        <w:rPr>
          <w:rStyle w:val="CharSectno"/>
        </w:rPr>
        <w:t>5</w:t>
      </w:r>
      <w:r>
        <w:rPr>
          <w:snapToGrid w:val="0"/>
        </w:rPr>
        <w:t>.</w:t>
      </w:r>
      <w:r>
        <w:rPr>
          <w:snapToGrid w:val="0"/>
        </w:rPr>
        <w:tab/>
        <w:t>Power of Minister to make certain declarations for interpretation purposes</w:t>
      </w:r>
      <w:bookmarkEnd w:id="18"/>
      <w:bookmarkEnd w:id="19"/>
      <w:bookmarkEnd w:id="20"/>
      <w:r>
        <w:rPr>
          <w:snapToGrid w:val="0"/>
        </w:rPr>
        <w:t xml:space="preserve"> </w:t>
      </w:r>
    </w:p>
    <w:p>
      <w:pPr>
        <w:pStyle w:val="Subsection"/>
        <w:rPr>
          <w:snapToGrid w:val="0"/>
        </w:rPr>
      </w:pPr>
      <w:r>
        <w:rPr>
          <w:snapToGrid w:val="0"/>
        </w:rPr>
        <w:tab/>
        <w:t>(1)</w:t>
      </w:r>
      <w:r>
        <w:rPr>
          <w:snapToGrid w:val="0"/>
        </w:rPr>
        <w:tab/>
        <w:t>The Minister may by order — </w:t>
      </w:r>
    </w:p>
    <w:p>
      <w:pPr>
        <w:pStyle w:val="Indenta"/>
        <w:rPr>
          <w:snapToGrid w:val="0"/>
        </w:rPr>
      </w:pPr>
      <w:r>
        <w:rPr>
          <w:snapToGrid w:val="0"/>
        </w:rPr>
        <w:tab/>
        <w:t>(a)</w:t>
      </w:r>
      <w:r>
        <w:rPr>
          <w:snapToGrid w:val="0"/>
        </w:rPr>
        <w:tab/>
        <w:t>declare — </w:t>
      </w:r>
    </w:p>
    <w:p>
      <w:pPr>
        <w:pStyle w:val="Indenti"/>
        <w:rPr>
          <w:snapToGrid w:val="0"/>
        </w:rPr>
      </w:pPr>
      <w:r>
        <w:rPr>
          <w:snapToGrid w:val="0"/>
        </w:rPr>
        <w:tab/>
        <w:t>(i)</w:t>
      </w:r>
      <w:r>
        <w:rPr>
          <w:snapToGrid w:val="0"/>
        </w:rPr>
        <w:tab/>
        <w:t>a facility, or a facility of a class, specified in the order to be a pipeline facility;</w:t>
      </w:r>
    </w:p>
    <w:p>
      <w:pPr>
        <w:pStyle w:val="Indenti"/>
        <w:rPr>
          <w:snapToGrid w:val="0"/>
        </w:rPr>
      </w:pPr>
      <w:r>
        <w:rPr>
          <w:snapToGrid w:val="0"/>
        </w:rPr>
        <w:tab/>
        <w:t>(ii)</w:t>
      </w:r>
      <w:r>
        <w:rPr>
          <w:snapToGrid w:val="0"/>
        </w:rPr>
        <w:tab/>
        <w:t>a pipeline, or a pipeline of a class, specified in the order not to be a pipeline; or</w:t>
      </w:r>
    </w:p>
    <w:p>
      <w:pPr>
        <w:pStyle w:val="Indenti"/>
        <w:rPr>
          <w:snapToGrid w:val="0"/>
        </w:rPr>
      </w:pPr>
      <w:r>
        <w:rPr>
          <w:snapToGrid w:val="0"/>
        </w:rPr>
        <w:tab/>
        <w:t>(iii)</w:t>
      </w:r>
      <w:r>
        <w:rPr>
          <w:snapToGrid w:val="0"/>
        </w:rPr>
        <w:tab/>
        <w:t>a body which is referred to in paragraph (c) of the definition of “public authority” in section 4(1) and which is specified in the order to be a public authority,</w:t>
      </w:r>
    </w:p>
    <w:p>
      <w:pPr>
        <w:pStyle w:val="Indenta"/>
        <w:rPr>
          <w:snapToGrid w:val="0"/>
        </w:rPr>
      </w:pPr>
      <w:r>
        <w:rPr>
          <w:snapToGrid w:val="0"/>
        </w:rPr>
        <w:tab/>
      </w:r>
      <w:r>
        <w:rPr>
          <w:snapToGrid w:val="0"/>
        </w:rPr>
        <w:tab/>
        <w:t>for the purposes of this Act; or</w:t>
      </w:r>
    </w:p>
    <w:p>
      <w:pPr>
        <w:pStyle w:val="Indenta"/>
        <w:rPr>
          <w:snapToGrid w:val="0"/>
        </w:rPr>
      </w:pPr>
      <w:r>
        <w:rPr>
          <w:snapToGrid w:val="0"/>
        </w:rPr>
        <w:tab/>
        <w:t>(b)</w:t>
      </w:r>
      <w:r>
        <w:rPr>
          <w:snapToGrid w:val="0"/>
        </w:rPr>
        <w:tab/>
        <w:t>repeal an order made under this subsection.</w:t>
      </w:r>
    </w:p>
    <w:p>
      <w:pPr>
        <w:pStyle w:val="Subsection"/>
        <w:rPr>
          <w:snapToGrid w:val="0"/>
        </w:rPr>
      </w:pPr>
      <w:r>
        <w:rPr>
          <w:snapToGrid w:val="0"/>
        </w:rPr>
        <w:tab/>
        <w:t>(2)</w:t>
      </w:r>
      <w:r>
        <w:rPr>
          <w:snapToGrid w:val="0"/>
        </w:rPr>
        <w:tab/>
        <w:t xml:space="preserve">An order made under subsection (1) has legislative effect for the purposes of the definition of </w:t>
      </w:r>
      <w:r>
        <w:rPr>
          <w:b/>
          <w:snapToGrid w:val="0"/>
        </w:rPr>
        <w:t>“subsidiary legislation”</w:t>
      </w:r>
      <w:r>
        <w:rPr>
          <w:snapToGrid w:val="0"/>
        </w:rPr>
        <w:t xml:space="preserve"> in section 5 of the </w:t>
      </w:r>
      <w:r>
        <w:rPr>
          <w:i/>
          <w:snapToGrid w:val="0"/>
        </w:rPr>
        <w:t>Interpretation Act 1984</w:t>
      </w:r>
      <w:r>
        <w:rPr>
          <w:snapToGrid w:val="0"/>
        </w:rPr>
        <w:t>.</w:t>
      </w:r>
    </w:p>
    <w:p>
      <w:pPr>
        <w:pStyle w:val="Subsection"/>
        <w:rPr>
          <w:snapToGrid w:val="0"/>
        </w:rPr>
      </w:pPr>
      <w:r>
        <w:rPr>
          <w:snapToGrid w:val="0"/>
        </w:rPr>
        <w:tab/>
        <w:t>(3)</w:t>
      </w:r>
      <w:r>
        <w:rPr>
          <w:snapToGrid w:val="0"/>
        </w:rPr>
        <w:tab/>
        <w:t>A declaration of the kind referred to in subsection (1)(a)(i) may be made so as to have retrospective effect.</w:t>
      </w:r>
    </w:p>
    <w:p>
      <w:pPr>
        <w:pStyle w:val="Footnotesection"/>
      </w:pPr>
      <w:r>
        <w:tab/>
        <w:t>[Section 5 inserted by No. 12 of 1990</w:t>
      </w:r>
      <w:r>
        <w:rPr>
          <w:vertAlign w:val="superscript"/>
        </w:rPr>
        <w:t xml:space="preserve"> 2</w:t>
      </w:r>
      <w:r>
        <w:t xml:space="preserve"> s.122.] </w:t>
      </w:r>
    </w:p>
    <w:p>
      <w:pPr>
        <w:pStyle w:val="Heading2"/>
      </w:pPr>
      <w:bookmarkStart w:id="21" w:name="_Toc72913623"/>
      <w:bookmarkStart w:id="22" w:name="_Toc78089477"/>
      <w:bookmarkStart w:id="23" w:name="_Toc91305247"/>
      <w:bookmarkStart w:id="24" w:name="_Toc92690681"/>
      <w:bookmarkStart w:id="25" w:name="_Toc113771237"/>
      <w:bookmarkStart w:id="26" w:name="_Toc131411088"/>
      <w:bookmarkStart w:id="27" w:name="_Toc131411171"/>
      <w:r>
        <w:rPr>
          <w:rStyle w:val="CharPartNo"/>
        </w:rPr>
        <w:t>Part II</w:t>
      </w:r>
      <w:r>
        <w:rPr>
          <w:rStyle w:val="CharDivNo"/>
        </w:rPr>
        <w:t> </w:t>
      </w:r>
      <w:r>
        <w:t>—</w:t>
      </w:r>
      <w:r>
        <w:rPr>
          <w:rStyle w:val="CharDivText"/>
        </w:rPr>
        <w:t> </w:t>
      </w:r>
      <w:r>
        <w:rPr>
          <w:rStyle w:val="CharPartText"/>
        </w:rPr>
        <w:t>Licences and acquisition of land and rights over land</w:t>
      </w:r>
      <w:bookmarkEnd w:id="21"/>
      <w:bookmarkEnd w:id="22"/>
      <w:bookmarkEnd w:id="23"/>
      <w:bookmarkEnd w:id="24"/>
      <w:bookmarkEnd w:id="25"/>
      <w:bookmarkEnd w:id="26"/>
      <w:bookmarkEnd w:id="27"/>
      <w:r>
        <w:rPr>
          <w:rStyle w:val="CharPartText"/>
        </w:rPr>
        <w:t xml:space="preserve"> </w:t>
      </w:r>
    </w:p>
    <w:p>
      <w:pPr>
        <w:pStyle w:val="Heading5"/>
      </w:pPr>
      <w:bookmarkStart w:id="28" w:name="_Toc464640060"/>
      <w:bookmarkStart w:id="29" w:name="_Toc483119604"/>
      <w:bookmarkStart w:id="30" w:name="_Toc131411172"/>
      <w:r>
        <w:rPr>
          <w:rStyle w:val="CharSectno"/>
        </w:rPr>
        <w:t>5A.</w:t>
      </w:r>
      <w:r>
        <w:rPr>
          <w:rStyle w:val="CharSectno"/>
        </w:rPr>
        <w:tab/>
      </w:r>
      <w:r>
        <w:t>Restriction on operation of this Part</w:t>
      </w:r>
      <w:bookmarkEnd w:id="28"/>
      <w:bookmarkEnd w:id="29"/>
      <w:bookmarkEnd w:id="30"/>
    </w:p>
    <w:p>
      <w:pPr>
        <w:pStyle w:val="Subsection"/>
      </w:pPr>
      <w:r>
        <w:tab/>
      </w:r>
      <w:r>
        <w:tab/>
        <w:t xml:space="preserve">This Part has effect subject to sections 90 and 92 of the </w:t>
      </w:r>
      <w:r>
        <w:rPr>
          <w:i/>
        </w:rPr>
        <w:t>Gas Pipelines Access (Western Australia) Act 1998</w:t>
      </w:r>
      <w:r>
        <w:t>.</w:t>
      </w:r>
    </w:p>
    <w:p>
      <w:pPr>
        <w:pStyle w:val="Footnotesection"/>
      </w:pPr>
      <w:r>
        <w:tab/>
        <w:t>[Section 5A inserted by No. 65 of 1998 s.89.]</w:t>
      </w:r>
    </w:p>
    <w:p>
      <w:pPr>
        <w:pStyle w:val="Heading5"/>
        <w:rPr>
          <w:snapToGrid w:val="0"/>
        </w:rPr>
      </w:pPr>
      <w:bookmarkStart w:id="31" w:name="_Toc464640061"/>
      <w:bookmarkStart w:id="32" w:name="_Toc483119605"/>
      <w:bookmarkStart w:id="33" w:name="_Toc131411173"/>
      <w:r>
        <w:rPr>
          <w:rStyle w:val="CharSectno"/>
        </w:rPr>
        <w:t>6</w:t>
      </w:r>
      <w:r>
        <w:rPr>
          <w:snapToGrid w:val="0"/>
        </w:rPr>
        <w:t>.</w:t>
      </w:r>
      <w:r>
        <w:rPr>
          <w:snapToGrid w:val="0"/>
        </w:rPr>
        <w:tab/>
        <w:t>Construction etc. of pipelines</w:t>
      </w:r>
      <w:bookmarkEnd w:id="31"/>
      <w:bookmarkEnd w:id="32"/>
      <w:bookmarkEnd w:id="33"/>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commence, or continue the construction of a pipeline; or</w:t>
      </w:r>
    </w:p>
    <w:p>
      <w:pPr>
        <w:pStyle w:val="Indenta"/>
        <w:rPr>
          <w:snapToGrid w:val="0"/>
        </w:rPr>
      </w:pPr>
      <w:r>
        <w:rPr>
          <w:snapToGrid w:val="0"/>
        </w:rPr>
        <w:tab/>
        <w:t>(b)</w:t>
      </w:r>
      <w:r>
        <w:rPr>
          <w:snapToGrid w:val="0"/>
        </w:rPr>
        <w:tab/>
        <w:t>alter or reconstruct a pipeline,</w:t>
      </w:r>
    </w:p>
    <w:p>
      <w:pPr>
        <w:pStyle w:val="Subsection"/>
        <w:rPr>
          <w:snapToGrid w:val="0"/>
        </w:rPr>
      </w:pPr>
      <w:r>
        <w:rPr>
          <w:snapToGrid w:val="0"/>
        </w:rPr>
        <w:tab/>
      </w:r>
      <w:r>
        <w:rPr>
          <w:snapToGrid w:val="0"/>
        </w:rPr>
        <w:tab/>
        <w:t>except under and in pursuance of a licence.</w:t>
      </w:r>
    </w:p>
    <w:p>
      <w:pPr>
        <w:pStyle w:val="Subsection"/>
        <w:rPr>
          <w:snapToGrid w:val="0"/>
        </w:rPr>
      </w:pPr>
      <w:r>
        <w:rPr>
          <w:snapToGrid w:val="0"/>
        </w:rPr>
        <w:tab/>
        <w:t>(2)</w:t>
      </w:r>
      <w:r>
        <w:rPr>
          <w:snapToGrid w:val="0"/>
        </w:rPr>
        <w:tab/>
        <w:t>A person shall not operate a pipeline — </w:t>
      </w:r>
    </w:p>
    <w:p>
      <w:pPr>
        <w:pStyle w:val="Indenta"/>
        <w:rPr>
          <w:snapToGrid w:val="0"/>
        </w:rPr>
      </w:pPr>
      <w:r>
        <w:rPr>
          <w:snapToGrid w:val="0"/>
        </w:rPr>
        <w:tab/>
        <w:t>(a)</w:t>
      </w:r>
      <w:r>
        <w:rPr>
          <w:snapToGrid w:val="0"/>
        </w:rPr>
        <w:tab/>
        <w:t>except under and in pursuance of a licence; and</w:t>
      </w:r>
    </w:p>
    <w:p>
      <w:pPr>
        <w:pStyle w:val="Indenta"/>
        <w:rPr>
          <w:snapToGrid w:val="0"/>
        </w:rPr>
      </w:pPr>
      <w:r>
        <w:rPr>
          <w:snapToGrid w:val="0"/>
        </w:rPr>
        <w:tab/>
        <w:t>(b)</w:t>
      </w:r>
      <w:r>
        <w:rPr>
          <w:snapToGrid w:val="0"/>
        </w:rPr>
        <w:tab/>
        <w:t>unless he has obtained the consent of the Minister under section 36 to the commencement or resumption, as the case may be, of operations and commences or resumes operations in accordance with the conditions, if any, specified in the instrument of consent.</w:t>
      </w:r>
    </w:p>
    <w:p>
      <w:pPr>
        <w:pStyle w:val="Subsection"/>
        <w:rPr>
          <w:snapToGrid w:val="0"/>
        </w:rPr>
      </w:pPr>
      <w:r>
        <w:rPr>
          <w:snapToGrid w:val="0"/>
        </w:rPr>
        <w:tab/>
        <w:t>(3)</w:t>
      </w:r>
      <w:r>
        <w:rPr>
          <w:snapToGrid w:val="0"/>
        </w:rPr>
        <w:tab/>
        <w:t>It is not an offence against this section —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and repair, a person does an act to avoid the loss or injury or to maintain the pipeline in good order and repair and —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 xml:space="preserve">complies with any directions given to him by the Minister;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a person does an act in compliance with a direction under this Act or the regulations.</w:t>
      </w:r>
    </w:p>
    <w:p>
      <w:pPr>
        <w:pStyle w:val="Penstart"/>
        <w:keepNext/>
        <w:rPr>
          <w:snapToGrid w:val="0"/>
        </w:rPr>
      </w:pPr>
      <w:r>
        <w:rPr>
          <w:snapToGrid w:val="0"/>
        </w:rPr>
        <w:tab/>
        <w:t>Penalty: $50 000 or imprisonment for 5 years, or both.</w:t>
      </w:r>
    </w:p>
    <w:p>
      <w:pPr>
        <w:pStyle w:val="Footnotesection"/>
      </w:pPr>
      <w:r>
        <w:tab/>
        <w:t xml:space="preserve">[Section 6 amended by No. 12 of 1990 s.123.] </w:t>
      </w:r>
    </w:p>
    <w:p>
      <w:pPr>
        <w:pStyle w:val="Heading5"/>
        <w:rPr>
          <w:snapToGrid w:val="0"/>
        </w:rPr>
      </w:pPr>
      <w:bookmarkStart w:id="34" w:name="_Toc464640062"/>
      <w:bookmarkStart w:id="35" w:name="_Toc483119606"/>
      <w:bookmarkStart w:id="36" w:name="_Toc131411174"/>
      <w:r>
        <w:rPr>
          <w:rStyle w:val="CharSectno"/>
        </w:rPr>
        <w:t>7</w:t>
      </w:r>
      <w:r>
        <w:rPr>
          <w:snapToGrid w:val="0"/>
        </w:rPr>
        <w:t>.</w:t>
      </w:r>
      <w:r>
        <w:rPr>
          <w:snapToGrid w:val="0"/>
        </w:rPr>
        <w:tab/>
        <w:t>Power of Minister to authorise entry</w:t>
      </w:r>
      <w:bookmarkEnd w:id="34"/>
      <w:bookmarkEnd w:id="35"/>
      <w:bookmarkEnd w:id="36"/>
      <w:r>
        <w:rPr>
          <w:snapToGrid w:val="0"/>
        </w:rPr>
        <w:t xml:space="preserve"> </w:t>
      </w:r>
    </w:p>
    <w:p>
      <w:pPr>
        <w:pStyle w:val="Subsection"/>
        <w:rPr>
          <w:snapToGrid w:val="0"/>
        </w:rPr>
      </w:pPr>
      <w:r>
        <w:rPr>
          <w:snapToGrid w:val="0"/>
        </w:rPr>
        <w:tab/>
        <w:t>(1)</w:t>
      </w:r>
      <w:r>
        <w:rPr>
          <w:snapToGrid w:val="0"/>
        </w:rPr>
        <w:tab/>
        <w:t>The Minister may, on an application being made to him in that behalf by a person who proposes to apply for a licence, authorise in writing either specially or generally — </w:t>
      </w:r>
    </w:p>
    <w:p>
      <w:pPr>
        <w:pStyle w:val="Indenta"/>
        <w:rPr>
          <w:snapToGrid w:val="0"/>
        </w:rPr>
      </w:pPr>
      <w:r>
        <w:rPr>
          <w:snapToGrid w:val="0"/>
        </w:rPr>
        <w:tab/>
        <w:t>(a)</w:t>
      </w:r>
      <w:r>
        <w:rPr>
          <w:snapToGrid w:val="0"/>
        </w:rPr>
        <w:tab/>
        <w:t>that person to enter, from time to time, during the day time, upon any land within an area specified in the authority; and</w:t>
      </w:r>
    </w:p>
    <w:p>
      <w:pPr>
        <w:pStyle w:val="Indenta"/>
        <w:rPr>
          <w:snapToGrid w:val="0"/>
        </w:rPr>
      </w:pPr>
      <w:r>
        <w:rPr>
          <w:snapToGrid w:val="0"/>
        </w:rPr>
        <w:tab/>
        <w:t>(b)</w:t>
      </w:r>
      <w:r>
        <w:rPr>
          <w:snapToGrid w:val="0"/>
        </w:rPr>
        <w:tab/>
        <w:t>that person to so enter with such assistants and such equipment and materials as he thinks fit,</w:t>
      </w:r>
    </w:p>
    <w:p>
      <w:pPr>
        <w:pStyle w:val="Subsection"/>
        <w:rPr>
          <w:snapToGrid w:val="0"/>
        </w:rPr>
      </w:pPr>
      <w:r>
        <w:rPr>
          <w:snapToGrid w:val="0"/>
        </w:rPr>
        <w:tab/>
      </w:r>
      <w:r>
        <w:rPr>
          <w:snapToGrid w:val="0"/>
        </w:rPr>
        <w:tab/>
        <w:t>for the purpose of making surveys and preliminary investigations in respect of the construction of the pipeline to which the licence for which he proposes to apply will relate.</w:t>
      </w:r>
    </w:p>
    <w:p>
      <w:pPr>
        <w:pStyle w:val="Subsection"/>
        <w:rPr>
          <w:snapToGrid w:val="0"/>
        </w:rPr>
      </w:pPr>
      <w:r>
        <w:rPr>
          <w:snapToGrid w:val="0"/>
        </w:rPr>
        <w:tab/>
        <w:t>(2)</w:t>
      </w:r>
      <w:r>
        <w:rPr>
          <w:snapToGrid w:val="0"/>
        </w:rPr>
        <w:tab/>
        <w:t>Any person so authorised may do all things that he considers necessary for the purpose of the survey and investigation, including the drilling or digging of holes and the affixing and setting up of such pegs, marks or poles as may be required.</w:t>
      </w:r>
    </w:p>
    <w:p>
      <w:pPr>
        <w:pStyle w:val="Subsection"/>
        <w:rPr>
          <w:snapToGrid w:val="0"/>
        </w:rPr>
      </w:pPr>
      <w:r>
        <w:rPr>
          <w:snapToGrid w:val="0"/>
        </w:rPr>
        <w:tab/>
        <w:t>(3)</w:t>
      </w:r>
      <w:r>
        <w:rPr>
          <w:snapToGrid w:val="0"/>
        </w:rPr>
        <w:tab/>
        <w:t>Before entry on any land is made for the purposes of this section any person authorised in that behalf under this section, shall, if practicable, give reasonable notice to the owner or occupier of the land of his intention to enter thereon and shall, if required by the owner or occupier, produce the authority under which he claims to enter or has entered on the land.</w:t>
      </w:r>
    </w:p>
    <w:p>
      <w:pPr>
        <w:pStyle w:val="Subsection"/>
        <w:rPr>
          <w:snapToGrid w:val="0"/>
        </w:rPr>
      </w:pPr>
      <w:r>
        <w:rPr>
          <w:snapToGrid w:val="0"/>
        </w:rPr>
        <w:tab/>
        <w:t>(4)</w:t>
      </w:r>
      <w:r>
        <w:rPr>
          <w:snapToGrid w:val="0"/>
        </w:rPr>
        <w:tab/>
        <w:t>Any damage to the land caused by any such person shall be repaired as soon as practicable and the land restored, so far as possible, to its former condition.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without lawful authority removes, destroys or alters any peg, mark, pole, or other thing used for the purpose of any survey or investigation made or in the course of being made under this section;</w:t>
      </w:r>
    </w:p>
    <w:p>
      <w:pPr>
        <w:pStyle w:val="Indenta"/>
        <w:rPr>
          <w:snapToGrid w:val="0"/>
        </w:rPr>
      </w:pPr>
      <w:r>
        <w:rPr>
          <w:snapToGrid w:val="0"/>
        </w:rPr>
        <w:tab/>
        <w:t>(b)</w:t>
      </w:r>
      <w:r>
        <w:rPr>
          <w:snapToGrid w:val="0"/>
        </w:rPr>
        <w:tab/>
        <w:t>wilfully damages or destroys or otherwise interferes with any such peg, mark, pole or other thing; or</w:t>
      </w:r>
    </w:p>
    <w:p>
      <w:pPr>
        <w:pStyle w:val="Indenta"/>
        <w:rPr>
          <w:snapToGrid w:val="0"/>
        </w:rPr>
      </w:pPr>
      <w:r>
        <w:rPr>
          <w:snapToGrid w:val="0"/>
        </w:rPr>
        <w:tab/>
        <w:t>(c)</w:t>
      </w:r>
      <w:r>
        <w:rPr>
          <w:snapToGrid w:val="0"/>
        </w:rPr>
        <w:tab/>
        <w:t>wilfully obstructs or interferes with any person lawfully engaged in connection with any such survey or investigation,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(6)</w:t>
      </w:r>
      <w:r>
        <w:rPr>
          <w:snapToGrid w:val="0"/>
        </w:rPr>
        <w:tab/>
        <w:t>Every person having any estate or interest in land entered upon under the authority of this section and injuriously affected or suffering any damage thereby, is entitled to full compensation, the amount thereof to be as agreed between the person making the entry and the person claiming compensation, or, failing agreement, to be determined by a court of competent jurisdiction.</w:t>
      </w:r>
    </w:p>
    <w:p>
      <w:pPr>
        <w:pStyle w:val="Footnotesection"/>
      </w:pPr>
      <w:r>
        <w:tab/>
        <w:t xml:space="preserve">[Section 7 amended by No. 12 of 1990 s.124.] </w:t>
      </w:r>
    </w:p>
    <w:p>
      <w:pPr>
        <w:pStyle w:val="Heading5"/>
        <w:rPr>
          <w:snapToGrid w:val="0"/>
        </w:rPr>
      </w:pPr>
      <w:bookmarkStart w:id="37" w:name="_Toc464640063"/>
      <w:bookmarkStart w:id="38" w:name="_Toc483119607"/>
      <w:bookmarkStart w:id="39" w:name="_Toc131411175"/>
      <w:r>
        <w:rPr>
          <w:rStyle w:val="CharSectno"/>
        </w:rPr>
        <w:t>8</w:t>
      </w:r>
      <w:r>
        <w:rPr>
          <w:snapToGrid w:val="0"/>
        </w:rPr>
        <w:t>.</w:t>
      </w:r>
      <w:r>
        <w:rPr>
          <w:snapToGrid w:val="0"/>
        </w:rPr>
        <w:tab/>
        <w:t>Application for a licence</w:t>
      </w:r>
      <w:bookmarkEnd w:id="37"/>
      <w:bookmarkEnd w:id="38"/>
      <w:bookmarkEnd w:id="39"/>
      <w:r>
        <w:rPr>
          <w:snapToGrid w:val="0"/>
        </w:rPr>
        <w:t xml:space="preserve"> </w:t>
      </w:r>
    </w:p>
    <w:p>
      <w:pPr>
        <w:pStyle w:val="Subsection"/>
        <w:keepNext/>
        <w:rPr>
          <w:snapToGrid w:val="0"/>
        </w:rPr>
      </w:pPr>
      <w:r>
        <w:rPr>
          <w:snapToGrid w:val="0"/>
        </w:rPr>
        <w:tab/>
        <w:t>(1)</w:t>
      </w:r>
      <w:r>
        <w:rPr>
          <w:snapToGrid w:val="0"/>
        </w:rPr>
        <w:tab/>
        <w:t>An application for a licence — </w:t>
      </w:r>
    </w:p>
    <w:p>
      <w:pPr>
        <w:pStyle w:val="Indenta"/>
        <w:rPr>
          <w:snapToGrid w:val="0"/>
        </w:rPr>
      </w:pPr>
      <w:r>
        <w:rPr>
          <w:snapToGrid w:val="0"/>
        </w:rPr>
        <w:tab/>
        <w:t>(a)</w:t>
      </w:r>
      <w:r>
        <w:rPr>
          <w:snapToGrid w:val="0"/>
        </w:rPr>
        <w:tab/>
        <w:t>shall be made in the approved form;</w:t>
      </w:r>
    </w:p>
    <w:p>
      <w:pPr>
        <w:pStyle w:val="Indenta"/>
        <w:rPr>
          <w:snapToGrid w:val="0"/>
        </w:rPr>
      </w:pPr>
      <w:r>
        <w:rPr>
          <w:snapToGrid w:val="0"/>
        </w:rPr>
        <w:tab/>
        <w:t>(b)</w:t>
      </w:r>
      <w:r>
        <w:rPr>
          <w:snapToGrid w:val="0"/>
        </w:rPr>
        <w:tab/>
        <w:t>shall be made in the approved manner;</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design and construction of the proposed pipeline;</w:t>
      </w:r>
    </w:p>
    <w:p>
      <w:pPr>
        <w:pStyle w:val="Indenti"/>
        <w:rPr>
          <w:snapToGrid w:val="0"/>
        </w:rPr>
      </w:pPr>
      <w:r>
        <w:rPr>
          <w:snapToGrid w:val="0"/>
        </w:rPr>
        <w:tab/>
        <w:t>(ii)</w:t>
      </w:r>
      <w:r>
        <w:rPr>
          <w:snapToGrid w:val="0"/>
        </w:rPr>
        <w:tab/>
        <w:t>the provisions for cathodic protection of the proposed pipeline;</w:t>
      </w:r>
    </w:p>
    <w:p>
      <w:pPr>
        <w:pStyle w:val="Indenti"/>
        <w:rPr>
          <w:snapToGrid w:val="0"/>
        </w:rPr>
      </w:pPr>
      <w:r>
        <w:rPr>
          <w:snapToGrid w:val="0"/>
        </w:rPr>
        <w:tab/>
        <w:t>(iii)</w:t>
      </w:r>
      <w:r>
        <w:rPr>
          <w:snapToGrid w:val="0"/>
        </w:rPr>
        <w:tab/>
        <w:t>the size and capacity of the proposed pipeline;</w:t>
      </w:r>
    </w:p>
    <w:p>
      <w:pPr>
        <w:pStyle w:val="Indenti"/>
        <w:rPr>
          <w:snapToGrid w:val="0"/>
        </w:rPr>
      </w:pPr>
      <w:r>
        <w:rPr>
          <w:snapToGrid w:val="0"/>
        </w:rPr>
        <w:tab/>
        <w:t>(iv)</w:t>
      </w:r>
      <w:r>
        <w:rPr>
          <w:snapToGrid w:val="0"/>
        </w:rPr>
        <w:tab/>
        <w:t>the proposals of the applicant for work and expenditure in respect of the construction of the proposed pipeline;</w:t>
      </w:r>
    </w:p>
    <w:p>
      <w:pPr>
        <w:pStyle w:val="Indenti"/>
        <w:rPr>
          <w:snapToGrid w:val="0"/>
        </w:rPr>
      </w:pPr>
      <w:r>
        <w:rPr>
          <w:snapToGrid w:val="0"/>
        </w:rPr>
        <w:tab/>
        <w:t>(v)</w:t>
      </w:r>
      <w:r>
        <w:rPr>
          <w:snapToGrid w:val="0"/>
        </w:rPr>
        <w:tab/>
        <w:t>the technical qualifications of the applicant and of his employees;</w:t>
      </w:r>
    </w:p>
    <w:p>
      <w:pPr>
        <w:pStyle w:val="Indenti"/>
        <w:rPr>
          <w:snapToGrid w:val="0"/>
        </w:rPr>
      </w:pPr>
      <w:r>
        <w:rPr>
          <w:snapToGrid w:val="0"/>
        </w:rPr>
        <w:tab/>
        <w:t>(vi)</w:t>
      </w:r>
      <w:r>
        <w:rPr>
          <w:snapToGrid w:val="0"/>
        </w:rPr>
        <w:tab/>
        <w:t>the technical advice available to the applicant;</w:t>
      </w:r>
    </w:p>
    <w:p>
      <w:pPr>
        <w:pStyle w:val="Indenti"/>
        <w:rPr>
          <w:snapToGrid w:val="0"/>
        </w:rPr>
      </w:pPr>
      <w:r>
        <w:rPr>
          <w:snapToGrid w:val="0"/>
        </w:rPr>
        <w:tab/>
        <w:t>(vii)</w:t>
      </w:r>
      <w:r>
        <w:rPr>
          <w:snapToGrid w:val="0"/>
        </w:rPr>
        <w:tab/>
        <w:t>the financial resources available to the applicant;</w:t>
      </w:r>
    </w:p>
    <w:p>
      <w:pPr>
        <w:pStyle w:val="Indenta"/>
        <w:rPr>
          <w:snapToGrid w:val="0"/>
        </w:rPr>
      </w:pPr>
      <w:r>
        <w:rPr>
          <w:snapToGrid w:val="0"/>
        </w:rPr>
        <w:tab/>
        <w:t>(d)</w:t>
      </w:r>
      <w:r>
        <w:rPr>
          <w:snapToGrid w:val="0"/>
        </w:rPr>
        <w:tab/>
        <w:t>shall be accompanied by a plan, drawn to an approved scale — </w:t>
      </w:r>
    </w:p>
    <w:p>
      <w:pPr>
        <w:pStyle w:val="Indenti"/>
        <w:rPr>
          <w:snapToGrid w:val="0"/>
        </w:rPr>
      </w:pPr>
      <w:r>
        <w:rPr>
          <w:snapToGrid w:val="0"/>
        </w:rPr>
        <w:tab/>
        <w:t>(i)</w:t>
      </w:r>
      <w:r>
        <w:rPr>
          <w:snapToGrid w:val="0"/>
        </w:rPr>
        <w:tab/>
        <w:t>showing the route of the proposed pipeline;</w:t>
      </w:r>
    </w:p>
    <w:p>
      <w:pPr>
        <w:pStyle w:val="Indenti"/>
        <w:rPr>
          <w:snapToGrid w:val="0"/>
        </w:rPr>
      </w:pPr>
      <w:r>
        <w:rPr>
          <w:snapToGrid w:val="0"/>
        </w:rPr>
        <w:tab/>
        <w:t>(ii)</w:t>
      </w:r>
      <w:r>
        <w:rPr>
          <w:snapToGrid w:val="0"/>
        </w:rPr>
        <w:tab/>
        <w:t>showing the situation of any proposed pumping and compression stations, terminal facilities and other permanent appurtenances of a substantial nature intended to be used in connection with the operation of the proposed pipeline;</w:t>
      </w:r>
    </w:p>
    <w:p>
      <w:pPr>
        <w:pStyle w:val="Indenti"/>
        <w:rPr>
          <w:snapToGrid w:val="0"/>
        </w:rPr>
      </w:pPr>
      <w:r>
        <w:rPr>
          <w:snapToGrid w:val="0"/>
        </w:rPr>
        <w:tab/>
        <w:t>(iii)</w:t>
      </w:r>
      <w:r>
        <w:rPr>
          <w:snapToGrid w:val="0"/>
        </w:rPr>
        <w:tab/>
        <w:t>showing the lands, if any proposed to be used for the purposes of gaining access to the proposed pipeline; and</w:t>
      </w:r>
    </w:p>
    <w:p>
      <w:pPr>
        <w:pStyle w:val="Indenti"/>
        <w:rPr>
          <w:snapToGrid w:val="0"/>
        </w:rPr>
      </w:pPr>
      <w:r>
        <w:rPr>
          <w:snapToGrid w:val="0"/>
        </w:rPr>
        <w:tab/>
        <w:t>(iv)</w:t>
      </w:r>
      <w:r>
        <w:rPr>
          <w:snapToGrid w:val="0"/>
        </w:rPr>
        <w:tab/>
        <w:t>on which shall be identified the lands or easements over lands referred to in paragraph (f);</w:t>
      </w:r>
    </w:p>
    <w:p>
      <w:pPr>
        <w:pStyle w:val="Indenta"/>
        <w:rPr>
          <w:snapToGrid w:val="0"/>
        </w:rPr>
      </w:pPr>
      <w:r>
        <w:rPr>
          <w:snapToGrid w:val="0"/>
        </w:rPr>
        <w:tab/>
        <w:t>(e)</w:t>
      </w:r>
      <w:r>
        <w:rPr>
          <w:snapToGrid w:val="0"/>
        </w:rPr>
        <w:tab/>
        <w:t>shall be accompanied by particulars of any agreements entered into or proposed to be entered into, by the applicant for the acquisition by him of, or of easements over, the lands shown in the plan, referred to in paragraph (d);</w:t>
      </w:r>
    </w:p>
    <w:p>
      <w:pPr>
        <w:pStyle w:val="Indenta"/>
        <w:rPr>
          <w:snapToGrid w:val="0"/>
        </w:rPr>
      </w:pPr>
      <w:r>
        <w:rPr>
          <w:snapToGrid w:val="0"/>
        </w:rPr>
        <w:tab/>
        <w:t>(f)</w:t>
      </w:r>
      <w:r>
        <w:rPr>
          <w:snapToGrid w:val="0"/>
        </w:rPr>
        <w:tab/>
        <w:t>shall specify, in relation to each part of the proposed pipeline, particulars of the lands, or the easements over lands, acquired or agreed to be acquired, or in respect of which the applicant will need to acquire for the purpose of constructing and operating the proposed pipeline or gaining access thereto;</w:t>
      </w:r>
    </w:p>
    <w:p>
      <w:pPr>
        <w:pStyle w:val="Indenta"/>
        <w:rPr>
          <w:snapToGrid w:val="0"/>
        </w:rPr>
      </w:pPr>
      <w:r>
        <w:rPr>
          <w:snapToGrid w:val="0"/>
        </w:rPr>
        <w:tab/>
        <w:t>(g)</w:t>
      </w:r>
      <w:r>
        <w:rPr>
          <w:snapToGrid w:val="0"/>
        </w:rPr>
        <w:tab/>
        <w:t>shall be accompanied by any agreements entered into, or proposed to be entered into, by the applicant for or in relation to the supply or conveyance of petroleum by means of the proposed pipeline;</w:t>
      </w:r>
    </w:p>
    <w:p>
      <w:pPr>
        <w:pStyle w:val="Indenta"/>
        <w:rPr>
          <w:snapToGrid w:val="0"/>
        </w:rPr>
      </w:pPr>
      <w:r>
        <w:rPr>
          <w:snapToGrid w:val="0"/>
        </w:rPr>
        <w:tab/>
        <w:t>(h)</w:t>
      </w:r>
      <w:r>
        <w:rPr>
          <w:snapToGrid w:val="0"/>
        </w:rPr>
        <w:tab/>
        <w:t>shall be accompanied by copies of the notifications caused to be served in accordance with the provisions of subsection (3);</w:t>
      </w:r>
    </w:p>
    <w:p>
      <w:pPr>
        <w:pStyle w:val="Indenta"/>
        <w:rPr>
          <w:snapToGrid w:val="0"/>
        </w:rPr>
      </w:pPr>
      <w:r>
        <w:rPr>
          <w:snapToGrid w:val="0"/>
        </w:rPr>
        <w:tab/>
        <w:t>(i)</w:t>
      </w:r>
      <w:r>
        <w:rPr>
          <w:snapToGrid w:val="0"/>
        </w:rPr>
        <w:tab/>
        <w:t>may set out any other matter that the applicant wishes the Minister to consider; and</w:t>
      </w:r>
    </w:p>
    <w:p>
      <w:pPr>
        <w:pStyle w:val="Indenta"/>
        <w:rPr>
          <w:snapToGrid w:val="0"/>
        </w:rPr>
      </w:pPr>
      <w:r>
        <w:rPr>
          <w:snapToGrid w:val="0"/>
        </w:rPr>
        <w:tab/>
        <w:t>(j)</w:t>
      </w:r>
      <w:r>
        <w:rPr>
          <w:snapToGrid w:val="0"/>
        </w:rPr>
        <w:tab/>
        <w:t>shall be accompanied by the prescribed application fee.</w:t>
      </w:r>
    </w:p>
    <w:p>
      <w:pPr>
        <w:pStyle w:val="Subsection"/>
        <w:rPr>
          <w:snapToGrid w:val="0"/>
        </w:rPr>
      </w:pPr>
      <w:r>
        <w:rPr>
          <w:snapToGrid w:val="0"/>
        </w:rPr>
        <w:tab/>
        <w:t>(2)</w:t>
      </w:r>
      <w:r>
        <w:rPr>
          <w:snapToGrid w:val="0"/>
        </w:rPr>
        <w:tab/>
        <w:t>The Minister may, at any time, by instrument in writing served on the applicant, require him to furnish to the Minister, within the time specified in the instrument, further information in writing in connection with his application.</w:t>
      </w:r>
    </w:p>
    <w:p>
      <w:pPr>
        <w:pStyle w:val="Subsection"/>
        <w:rPr>
          <w:snapToGrid w:val="0"/>
        </w:rPr>
      </w:pPr>
      <w:r>
        <w:rPr>
          <w:snapToGrid w:val="0"/>
        </w:rPr>
        <w:tab/>
        <w:t>(3)</w:t>
      </w:r>
      <w:r>
        <w:rPr>
          <w:snapToGrid w:val="0"/>
        </w:rPr>
        <w:tab/>
        <w:t>At the time of making the application the applicant — </w:t>
      </w:r>
    </w:p>
    <w:p>
      <w:pPr>
        <w:pStyle w:val="Indenta"/>
        <w:rPr>
          <w:snapToGrid w:val="0"/>
        </w:rPr>
      </w:pPr>
      <w:r>
        <w:rPr>
          <w:snapToGrid w:val="0"/>
        </w:rPr>
        <w:tab/>
        <w:t>(a)</w:t>
      </w:r>
      <w:r>
        <w:rPr>
          <w:snapToGrid w:val="0"/>
        </w:rPr>
        <w:tab/>
        <w:t>shall notify the local government of each district in which any part of the proposed pipeline is intended to be situated, that an application has been made; and</w:t>
      </w:r>
    </w:p>
    <w:p>
      <w:pPr>
        <w:pStyle w:val="Indenta"/>
        <w:rPr>
          <w:snapToGrid w:val="0"/>
        </w:rPr>
      </w:pPr>
      <w:r>
        <w:rPr>
          <w:snapToGrid w:val="0"/>
        </w:rPr>
        <w:tab/>
        <w:t>(b)</w:t>
      </w:r>
      <w:r>
        <w:rPr>
          <w:snapToGrid w:val="0"/>
        </w:rPr>
        <w:tab/>
        <w:t>shall notify each owner and each occupier, if any, of any land over which any part of the pipeline referred to in the application is to be constructed, that an application has been made.</w:t>
      </w:r>
    </w:p>
    <w:p>
      <w:pPr>
        <w:pStyle w:val="Subsection"/>
        <w:rPr>
          <w:snapToGrid w:val="0"/>
        </w:rPr>
      </w:pPr>
      <w:r>
        <w:rPr>
          <w:snapToGrid w:val="0"/>
        </w:rPr>
        <w:tab/>
        <w:t>(4)</w:t>
      </w:r>
      <w:r>
        <w:rPr>
          <w:snapToGrid w:val="0"/>
        </w:rPr>
        <w:tab/>
        <w:t>The Minister, at the expense of the applicant, shall, as soon as practicable, publish — </w:t>
      </w:r>
    </w:p>
    <w:p>
      <w:pPr>
        <w:pStyle w:val="Indenta"/>
        <w:rPr>
          <w:snapToGrid w:val="0"/>
        </w:rPr>
      </w:pPr>
      <w:r>
        <w:rPr>
          <w:snapToGrid w:val="0"/>
        </w:rPr>
        <w:tab/>
        <w:t>(a)</w:t>
      </w:r>
      <w:r>
        <w:rPr>
          <w:snapToGrid w:val="0"/>
        </w:rPr>
        <w:tab/>
        <w:t xml:space="preserve">in the </w:t>
      </w:r>
      <w:r>
        <w:rPr>
          <w:i/>
          <w:snapToGrid w:val="0"/>
        </w:rPr>
        <w:t>Government Gazette</w:t>
      </w:r>
      <w:r>
        <w:rPr>
          <w:snapToGrid w:val="0"/>
        </w:rPr>
        <w:t>;</w:t>
      </w:r>
    </w:p>
    <w:p>
      <w:pPr>
        <w:pStyle w:val="Indenta"/>
        <w:rPr>
          <w:snapToGrid w:val="0"/>
        </w:rPr>
      </w:pPr>
      <w:r>
        <w:rPr>
          <w:snapToGrid w:val="0"/>
        </w:rPr>
        <w:tab/>
        <w:t>(b)</w:t>
      </w:r>
      <w:r>
        <w:rPr>
          <w:snapToGrid w:val="0"/>
        </w:rPr>
        <w:tab/>
        <w:t>in a daily newspaper circulating generally in the State; and</w:t>
      </w:r>
    </w:p>
    <w:p>
      <w:pPr>
        <w:pStyle w:val="Indenta"/>
        <w:rPr>
          <w:snapToGrid w:val="0"/>
        </w:rPr>
      </w:pPr>
      <w:r>
        <w:rPr>
          <w:snapToGrid w:val="0"/>
        </w:rPr>
        <w:tab/>
        <w:t>(c)</w:t>
      </w:r>
      <w:r>
        <w:rPr>
          <w:snapToGrid w:val="0"/>
        </w:rPr>
        <w:tab/>
        <w:t>in such other newspapers as the Minister considers necessary which circulate in the districts in which the proposed pipeline is intended to be situated,</w:t>
      </w:r>
    </w:p>
    <w:p>
      <w:pPr>
        <w:pStyle w:val="Subsection"/>
        <w:rPr>
          <w:snapToGrid w:val="0"/>
        </w:rPr>
      </w:pPr>
      <w:r>
        <w:rPr>
          <w:snapToGrid w:val="0"/>
        </w:rPr>
        <w:tab/>
      </w:r>
      <w:r>
        <w:rPr>
          <w:snapToGrid w:val="0"/>
        </w:rPr>
        <w:tab/>
        <w:t>a notice that he has received the application and that a map showing the proposed route of the pipeline may be examined at the place or places and at the times specified in the notice.</w:t>
      </w:r>
    </w:p>
    <w:p>
      <w:pPr>
        <w:pStyle w:val="Subsection"/>
        <w:rPr>
          <w:snapToGrid w:val="0"/>
        </w:rPr>
      </w:pPr>
      <w:r>
        <w:rPr>
          <w:snapToGrid w:val="0"/>
        </w:rPr>
        <w:tab/>
        <w:t>(5)</w:t>
      </w:r>
      <w:r>
        <w:rPr>
          <w:snapToGrid w:val="0"/>
        </w:rPr>
        <w:tab/>
        <w:t>The Minister may direct the applicant to inform such other persons as the Minister considers necessary that the application has been made.</w:t>
      </w:r>
    </w:p>
    <w:p>
      <w:pPr>
        <w:pStyle w:val="Subsection"/>
        <w:rPr>
          <w:snapToGrid w:val="0"/>
        </w:rPr>
      </w:pPr>
      <w:r>
        <w:rPr>
          <w:snapToGrid w:val="0"/>
        </w:rPr>
        <w:tab/>
        <w:t>(6)</w:t>
      </w:r>
      <w:r>
        <w:rPr>
          <w:snapToGrid w:val="0"/>
        </w:rPr>
        <w:tab/>
        <w:t>An application and each of the documents accompanying it shall be submitted in quadruplicate.</w:t>
      </w:r>
    </w:p>
    <w:p>
      <w:pPr>
        <w:pStyle w:val="Footnotesection"/>
      </w:pPr>
      <w:r>
        <w:tab/>
        <w:t xml:space="preserve">[Section 8 amended by No. 12 of 1990 s.125; No. 28 of 1994 s.77; No. 14 of 1996 s.4.] </w:t>
      </w:r>
    </w:p>
    <w:p>
      <w:pPr>
        <w:pStyle w:val="Heading5"/>
        <w:rPr>
          <w:snapToGrid w:val="0"/>
        </w:rPr>
      </w:pPr>
      <w:bookmarkStart w:id="40" w:name="_Toc464640064"/>
      <w:bookmarkStart w:id="41" w:name="_Toc483119608"/>
      <w:bookmarkStart w:id="42" w:name="_Toc131411176"/>
      <w:r>
        <w:rPr>
          <w:rStyle w:val="CharSectno"/>
        </w:rPr>
        <w:t>9</w:t>
      </w:r>
      <w:r>
        <w:rPr>
          <w:snapToGrid w:val="0"/>
        </w:rPr>
        <w:t>.</w:t>
      </w:r>
      <w:r>
        <w:rPr>
          <w:snapToGrid w:val="0"/>
        </w:rPr>
        <w:tab/>
        <w:t>Refusal of licence</w:t>
      </w:r>
      <w:bookmarkEnd w:id="40"/>
      <w:bookmarkEnd w:id="41"/>
      <w:bookmarkEnd w:id="42"/>
      <w:r>
        <w:rPr>
          <w:snapToGrid w:val="0"/>
        </w:rPr>
        <w:t xml:space="preserve"> </w:t>
      </w:r>
    </w:p>
    <w:p>
      <w:pPr>
        <w:pStyle w:val="Subsection"/>
        <w:rPr>
          <w:snapToGrid w:val="0"/>
        </w:rPr>
      </w:pPr>
      <w:r>
        <w:rPr>
          <w:snapToGrid w:val="0"/>
        </w:rPr>
        <w:tab/>
        <w:t>(1)</w:t>
      </w:r>
      <w:r>
        <w:rPr>
          <w:snapToGrid w:val="0"/>
        </w:rPr>
        <w:tab/>
        <w:t>The Minister may refuse an application made under section 8(1), but such an application shall not be refused unless — </w:t>
      </w:r>
    </w:p>
    <w:p>
      <w:pPr>
        <w:pStyle w:val="Indenta"/>
        <w:rPr>
          <w:snapToGrid w:val="0"/>
        </w:rPr>
      </w:pPr>
      <w:r>
        <w:rPr>
          <w:snapToGrid w:val="0"/>
        </w:rPr>
        <w:tab/>
        <w:t>(a)</w:t>
      </w:r>
      <w:r>
        <w:rPr>
          <w:snapToGrid w:val="0"/>
        </w:rPr>
        <w:tab/>
        <w:t>the Minister has, by instrument in writing served on the applicant, given not less than 90 days’ notice of his intention to refuse the application;</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 for the intention; and</w:t>
      </w:r>
    </w:p>
    <w:p>
      <w:pPr>
        <w:pStyle w:val="Indenti"/>
        <w:rPr>
          <w:snapToGrid w:val="0"/>
        </w:rPr>
      </w:pPr>
      <w:r>
        <w:rPr>
          <w:snapToGrid w:val="0"/>
        </w:rPr>
        <w:tab/>
        <w:t>(ii)</w:t>
      </w:r>
      <w:r>
        <w:rPr>
          <w:snapToGrid w:val="0"/>
        </w:rPr>
        <w:tab/>
        <w:t>specified a date on or before which the applicant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so submitted on or before the specified date.</w:t>
      </w:r>
    </w:p>
    <w:p>
      <w:pPr>
        <w:pStyle w:val="Ednotesubsection"/>
      </w:pPr>
      <w:r>
        <w:tab/>
        <w:t>[(2)</w:t>
      </w:r>
      <w:r>
        <w:tab/>
        <w:t xml:space="preserve">repealed] </w:t>
      </w:r>
    </w:p>
    <w:p>
      <w:pPr>
        <w:pStyle w:val="Footnotesection"/>
      </w:pPr>
      <w:r>
        <w:tab/>
        <w:t xml:space="preserve">[Section 9 amended by No. 28 of 1994 s.65.] </w:t>
      </w:r>
    </w:p>
    <w:p>
      <w:pPr>
        <w:pStyle w:val="Heading5"/>
        <w:rPr>
          <w:snapToGrid w:val="0"/>
        </w:rPr>
      </w:pPr>
      <w:bookmarkStart w:id="43" w:name="_Toc464640065"/>
      <w:bookmarkStart w:id="44" w:name="_Toc483119609"/>
      <w:bookmarkStart w:id="45" w:name="_Toc131411177"/>
      <w:r>
        <w:rPr>
          <w:rStyle w:val="CharSectno"/>
        </w:rPr>
        <w:t>10</w:t>
      </w:r>
      <w:r>
        <w:rPr>
          <w:snapToGrid w:val="0"/>
        </w:rPr>
        <w:t>.</w:t>
      </w:r>
      <w:r>
        <w:rPr>
          <w:snapToGrid w:val="0"/>
        </w:rPr>
        <w:tab/>
        <w:t>Grant of licence</w:t>
      </w:r>
      <w:bookmarkEnd w:id="43"/>
      <w:bookmarkEnd w:id="44"/>
      <w:bookmarkEnd w:id="45"/>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makes an application in accordance with section 8 and the Minister is satisfied that the applicant has made provision or given security to the satisfaction of the Minister for the payment — </w:t>
      </w:r>
    </w:p>
    <w:p>
      <w:pPr>
        <w:pStyle w:val="Indenti"/>
        <w:rPr>
          <w:snapToGrid w:val="0"/>
        </w:rPr>
      </w:pPr>
      <w:r>
        <w:rPr>
          <w:snapToGrid w:val="0"/>
        </w:rPr>
        <w:tab/>
        <w:t>(i)</w:t>
      </w:r>
      <w:r>
        <w:rPr>
          <w:snapToGrid w:val="0"/>
        </w:rPr>
        <w:tab/>
        <w:t>of all compensation payable in respect of any land or easement over any land to be taken by compulsory acquisition;</w:t>
      </w:r>
    </w:p>
    <w:p>
      <w:pPr>
        <w:pStyle w:val="Indenti"/>
        <w:rPr>
          <w:snapToGrid w:val="0"/>
        </w:rPr>
      </w:pPr>
      <w:r>
        <w:rPr>
          <w:snapToGrid w:val="0"/>
        </w:rPr>
        <w:tab/>
        <w:t>(ii)</w:t>
      </w:r>
      <w:r>
        <w:rPr>
          <w:snapToGrid w:val="0"/>
        </w:rPr>
        <w:tab/>
        <w:t>of all charges and expenses necessary for or incidental to the compulsory acquisition of that land or easement;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period of 28 days has elapsed since the date on which the last of the notifications required to be given by section 8(3) was given,</w:t>
      </w:r>
    </w:p>
    <w:p>
      <w:pPr>
        <w:pStyle w:val="Subsection"/>
        <w:rPr>
          <w:snapToGrid w:val="0"/>
        </w:rPr>
      </w:pPr>
      <w:r>
        <w:rPr>
          <w:snapToGrid w:val="0"/>
        </w:rPr>
        <w:tab/>
      </w:r>
      <w:r>
        <w:rPr>
          <w:snapToGrid w:val="0"/>
        </w:rPr>
        <w:tab/>
        <w:t xml:space="preserve">the Minister may, after taking into consideration any representations made to him with respect to the proposed pipeline, and in particular the matters referred to in subsection (2), grant to the applicant a licence in respect of the proposed pipeline and cause to be published in the </w:t>
      </w:r>
      <w:r>
        <w:rPr>
          <w:i/>
          <w:snapToGrid w:val="0"/>
        </w:rPr>
        <w:t>Government Gazette</w:t>
      </w:r>
      <w:r>
        <w:rPr>
          <w:snapToGrid w:val="0"/>
        </w:rPr>
        <w:t xml:space="preserve"> a notice that the license has been granted.</w:t>
      </w:r>
    </w:p>
    <w:p>
      <w:pPr>
        <w:pStyle w:val="Subsection"/>
        <w:rPr>
          <w:snapToGrid w:val="0"/>
        </w:rPr>
      </w:pPr>
      <w:r>
        <w:rPr>
          <w:snapToGrid w:val="0"/>
        </w:rPr>
        <w:tab/>
        <w:t>(2)</w:t>
      </w:r>
      <w:r>
        <w:rPr>
          <w:snapToGrid w:val="0"/>
        </w:rPr>
        <w:tab/>
        <w:t>In considering any such application the Minister shall generally have regard to — </w:t>
      </w:r>
    </w:p>
    <w:p>
      <w:pPr>
        <w:pStyle w:val="Indenta"/>
        <w:rPr>
          <w:snapToGrid w:val="0"/>
        </w:rPr>
      </w:pPr>
      <w:r>
        <w:rPr>
          <w:snapToGrid w:val="0"/>
        </w:rPr>
        <w:tab/>
        <w:t>(a)</w:t>
      </w:r>
      <w:r>
        <w:rPr>
          <w:snapToGrid w:val="0"/>
        </w:rPr>
        <w:tab/>
        <w:t>the public interest;</w:t>
      </w:r>
    </w:p>
    <w:p>
      <w:pPr>
        <w:pStyle w:val="Indenta"/>
        <w:rPr>
          <w:snapToGrid w:val="0"/>
        </w:rPr>
      </w:pPr>
      <w:r>
        <w:rPr>
          <w:snapToGrid w:val="0"/>
        </w:rPr>
        <w:tab/>
        <w:t>(b)</w:t>
      </w:r>
      <w:r>
        <w:rPr>
          <w:snapToGrid w:val="0"/>
        </w:rPr>
        <w:tab/>
        <w:t>the financial ability of the applicant to construct, operate and maintain the proposed pipeline;</w:t>
      </w:r>
    </w:p>
    <w:p>
      <w:pPr>
        <w:pStyle w:val="Indenta"/>
        <w:rPr>
          <w:snapToGrid w:val="0"/>
        </w:rPr>
      </w:pPr>
      <w:r>
        <w:rPr>
          <w:snapToGrid w:val="0"/>
        </w:rPr>
        <w:tab/>
        <w:t>(c)</w:t>
      </w:r>
      <w:r>
        <w:rPr>
          <w:snapToGrid w:val="0"/>
        </w:rPr>
        <w:tab/>
        <w:t>whether the construction of the proposed pipeline on the lands specified in the application would contravene</w:t>
      </w:r>
      <w:r>
        <w:t xml:space="preserve"> any planning scheme under the </w:t>
      </w:r>
      <w:r>
        <w:rPr>
          <w:i/>
        </w:rPr>
        <w:t>Planning and Development Act 2005</w:t>
      </w:r>
      <w:r>
        <w:rPr>
          <w:snapToGrid w:val="0"/>
        </w:rPr>
        <w:t>; and</w:t>
      </w:r>
    </w:p>
    <w:p>
      <w:pPr>
        <w:pStyle w:val="Indenta"/>
        <w:rPr>
          <w:snapToGrid w:val="0"/>
        </w:rPr>
      </w:pPr>
      <w:r>
        <w:rPr>
          <w:snapToGrid w:val="0"/>
        </w:rPr>
        <w:tab/>
        <w:t>(d)</w:t>
      </w:r>
      <w:r>
        <w:rPr>
          <w:snapToGrid w:val="0"/>
        </w:rPr>
        <w:tab/>
        <w:t>whether the construction and operation of the proposed pipeline on the lands specified in the application would be unsuitable by reason of the proposed pipeline being likely to interfere unnecessarily with improvements, improved land, flora, fauna or scenic attractions or for any other reason that the Minister thinks sufficient.</w:t>
      </w:r>
    </w:p>
    <w:p>
      <w:pPr>
        <w:pStyle w:val="Footnotesection"/>
      </w:pPr>
      <w:r>
        <w:tab/>
        <w:t xml:space="preserve">[Section 10 amended by No. 28 of 1994 s.66; No. 38 of 2005 s. 15.] </w:t>
      </w:r>
    </w:p>
    <w:p>
      <w:pPr>
        <w:pStyle w:val="Ednotesection"/>
      </w:pPr>
      <w:r>
        <w:t>[</w:t>
      </w:r>
      <w:r>
        <w:rPr>
          <w:b/>
        </w:rPr>
        <w:t>10A.</w:t>
      </w:r>
      <w:r>
        <w:tab/>
        <w:t xml:space="preserve">Repealed by No. 52 of 1995 s.43.] </w:t>
      </w:r>
    </w:p>
    <w:p>
      <w:pPr>
        <w:pStyle w:val="Heading5"/>
        <w:rPr>
          <w:snapToGrid w:val="0"/>
        </w:rPr>
      </w:pPr>
      <w:bookmarkStart w:id="46" w:name="_Toc464640066"/>
      <w:bookmarkStart w:id="47" w:name="_Toc483119610"/>
      <w:bookmarkStart w:id="48" w:name="_Toc131411178"/>
      <w:r>
        <w:rPr>
          <w:rStyle w:val="CharSectno"/>
        </w:rPr>
        <w:t>11</w:t>
      </w:r>
      <w:r>
        <w:rPr>
          <w:snapToGrid w:val="0"/>
        </w:rPr>
        <w:t>.</w:t>
      </w:r>
      <w:r>
        <w:rPr>
          <w:snapToGrid w:val="0"/>
        </w:rPr>
        <w:tab/>
        <w:t>Renewal of licence</w:t>
      </w:r>
      <w:bookmarkEnd w:id="46"/>
      <w:bookmarkEnd w:id="47"/>
      <w:bookmarkEnd w:id="48"/>
      <w:r>
        <w:rPr>
          <w:snapToGrid w:val="0"/>
        </w:rPr>
        <w:t xml:space="preserve"> </w:t>
      </w:r>
    </w:p>
    <w:p>
      <w:pPr>
        <w:pStyle w:val="Subsection"/>
        <w:rPr>
          <w:snapToGrid w:val="0"/>
        </w:rPr>
      </w:pPr>
      <w:r>
        <w:rPr>
          <w:snapToGrid w:val="0"/>
        </w:rPr>
        <w:tab/>
        <w:t>(1)</w:t>
      </w:r>
      <w:r>
        <w:rPr>
          <w:snapToGrid w:val="0"/>
        </w:rPr>
        <w:tab/>
        <w:t>A licensee may from time to time make an application for the renewal of the licence.</w:t>
      </w:r>
    </w:p>
    <w:p>
      <w:pPr>
        <w:pStyle w:val="Subsection"/>
        <w:rPr>
          <w:snapToGrid w:val="0"/>
        </w:rPr>
      </w:pPr>
      <w:r>
        <w:rPr>
          <w:snapToGrid w:val="0"/>
        </w:rPr>
        <w:tab/>
        <w:t>(2)</w:t>
      </w:r>
      <w:r>
        <w:rPr>
          <w:snapToGrid w:val="0"/>
        </w:rPr>
        <w:tab/>
        <w:t>An application for the renewal of a licence — </w:t>
      </w:r>
    </w:p>
    <w:p>
      <w:pPr>
        <w:pStyle w:val="Indenta"/>
        <w:rPr>
          <w:snapToGrid w:val="0"/>
        </w:rPr>
      </w:pPr>
      <w:r>
        <w:rPr>
          <w:snapToGrid w:val="0"/>
        </w:rPr>
        <w:tab/>
        <w:t>(a)</w:t>
      </w:r>
      <w:r>
        <w:rPr>
          <w:snapToGrid w:val="0"/>
        </w:rPr>
        <w:tab/>
        <w:t>shall, subject to subsection (3), be made not less than 6 months before the day the licence ceases to be in force;</w:t>
      </w:r>
    </w:p>
    <w:p>
      <w:pPr>
        <w:pStyle w:val="Indenta"/>
        <w:rPr>
          <w:snapToGrid w:val="0"/>
        </w:rPr>
      </w:pPr>
      <w:r>
        <w:rPr>
          <w:snapToGrid w:val="0"/>
        </w:rPr>
        <w:tab/>
        <w:t>(b)</w:t>
      </w:r>
      <w:r>
        <w:rPr>
          <w:snapToGrid w:val="0"/>
        </w:rPr>
        <w:tab/>
        <w:t>shall be made in the approved form;</w:t>
      </w:r>
    </w:p>
    <w:p>
      <w:pPr>
        <w:pStyle w:val="Indenta"/>
        <w:rPr>
          <w:snapToGrid w:val="0"/>
        </w:rPr>
      </w:pPr>
      <w:r>
        <w:rPr>
          <w:snapToGrid w:val="0"/>
        </w:rPr>
        <w:tab/>
        <w:t>(c)</w:t>
      </w:r>
      <w:r>
        <w:rPr>
          <w:snapToGrid w:val="0"/>
        </w:rPr>
        <w:tab/>
        <w:t>shall be made in the approved manner;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he thinks sufficient, receive an application for the renewal of a licence less than 6 months before it ceases to be in force, but not in any case after, the day on which the licence ceases to be in force.</w:t>
      </w:r>
    </w:p>
    <w:p>
      <w:pPr>
        <w:pStyle w:val="Subsection"/>
        <w:rPr>
          <w:snapToGrid w:val="0"/>
        </w:rPr>
      </w:pPr>
      <w:r>
        <w:rPr>
          <w:snapToGrid w:val="0"/>
        </w:rPr>
        <w:tab/>
        <w:t>(4)</w:t>
      </w:r>
      <w:r>
        <w:rPr>
          <w:snapToGrid w:val="0"/>
        </w:rPr>
        <w:tab/>
        <w:t>An application for the renewal of a licence shall be submitted in quadruplicate.</w:t>
      </w:r>
    </w:p>
    <w:p>
      <w:pPr>
        <w:pStyle w:val="Subsection"/>
        <w:rPr>
          <w:snapToGrid w:val="0"/>
        </w:rPr>
      </w:pPr>
      <w:r>
        <w:rPr>
          <w:snapToGrid w:val="0"/>
        </w:rPr>
        <w:tab/>
        <w:t>(5)</w:t>
      </w:r>
      <w:r>
        <w:rPr>
          <w:snapToGrid w:val="0"/>
        </w:rPr>
        <w:tab/>
        <w:t>The Minister may refuse an application for the renewal of a licence but such an application shall not be refused unless — </w:t>
      </w:r>
    </w:p>
    <w:p>
      <w:pPr>
        <w:pStyle w:val="Indenta"/>
        <w:rPr>
          <w:snapToGrid w:val="0"/>
        </w:rPr>
      </w:pPr>
      <w:r>
        <w:rPr>
          <w:snapToGrid w:val="0"/>
        </w:rPr>
        <w:tab/>
        <w:t>(a)</w:t>
      </w:r>
      <w:r>
        <w:rPr>
          <w:snapToGrid w:val="0"/>
        </w:rPr>
        <w:tab/>
        <w:t>the Minister has, by instrument in writing served on the licensee, given not less than 90 days’ notice of his intention to refuse the application;</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submitted to him on or before the specified date.</w:t>
      </w:r>
    </w:p>
    <w:p>
      <w:pPr>
        <w:pStyle w:val="Ednotesubsection"/>
      </w:pPr>
      <w:r>
        <w:tab/>
        <w:t>[(6)</w:t>
      </w:r>
      <w:r>
        <w:tab/>
        <w:t xml:space="preserve">repealed] </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application for the renewal of a licence is made under this section; and</w:t>
      </w:r>
    </w:p>
    <w:p>
      <w:pPr>
        <w:pStyle w:val="Indenta"/>
        <w:rPr>
          <w:snapToGrid w:val="0"/>
        </w:rPr>
      </w:pPr>
      <w:r>
        <w:rPr>
          <w:snapToGrid w:val="0"/>
        </w:rPr>
        <w:tab/>
        <w:t>(b)</w:t>
      </w:r>
      <w:r>
        <w:rPr>
          <w:snapToGrid w:val="0"/>
        </w:rPr>
        <w:tab/>
        <w:t>the licence ceases to be in force before the application is granted or refused,</w:t>
      </w:r>
    </w:p>
    <w:p>
      <w:pPr>
        <w:pStyle w:val="Subsection"/>
        <w:keepNext/>
        <w:rPr>
          <w:snapToGrid w:val="0"/>
        </w:rPr>
      </w:pPr>
      <w:r>
        <w:rPr>
          <w:snapToGrid w:val="0"/>
        </w:rPr>
        <w:tab/>
      </w:r>
      <w:r>
        <w:rPr>
          <w:snapToGrid w:val="0"/>
        </w:rPr>
        <w:tab/>
        <w:t>the licence shall be deemed to continue in force in all respects until the application is granted or refused.</w:t>
      </w:r>
    </w:p>
    <w:p>
      <w:pPr>
        <w:pStyle w:val="Footnotesection"/>
      </w:pPr>
      <w:r>
        <w:tab/>
        <w:t xml:space="preserve">[Section 11 amended by No. 28 of 1994 ss.67 and 77.] </w:t>
      </w:r>
    </w:p>
    <w:p>
      <w:pPr>
        <w:pStyle w:val="Heading5"/>
        <w:rPr>
          <w:snapToGrid w:val="0"/>
        </w:rPr>
      </w:pPr>
      <w:bookmarkStart w:id="49" w:name="_Toc464640067"/>
      <w:bookmarkStart w:id="50" w:name="_Toc483119611"/>
      <w:bookmarkStart w:id="51" w:name="_Toc131411179"/>
      <w:r>
        <w:rPr>
          <w:rStyle w:val="CharSectno"/>
        </w:rPr>
        <w:t>12</w:t>
      </w:r>
      <w:r>
        <w:rPr>
          <w:snapToGrid w:val="0"/>
        </w:rPr>
        <w:t>.</w:t>
      </w:r>
      <w:r>
        <w:rPr>
          <w:snapToGrid w:val="0"/>
        </w:rPr>
        <w:tab/>
        <w:t>Conditions of licence</w:t>
      </w:r>
      <w:bookmarkEnd w:id="49"/>
      <w:bookmarkEnd w:id="50"/>
      <w:bookmarkEnd w:id="51"/>
      <w:r>
        <w:rPr>
          <w:snapToGrid w:val="0"/>
        </w:rPr>
        <w:t xml:space="preserve"> </w:t>
      </w:r>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rPr>
          <w:snapToGrid w:val="0"/>
        </w:rPr>
      </w:pPr>
      <w:r>
        <w:rPr>
          <w:snapToGrid w:val="0"/>
        </w:rPr>
        <w:tab/>
        <w:t>(2)</w:t>
      </w:r>
      <w:r>
        <w:rPr>
          <w:snapToGrid w:val="0"/>
        </w:rPr>
        <w:tab/>
        <w:t>The conditions referred to in subsection (1) may include a condition that the licensee shall complete the construction of, and commence to operate, the pipeline within the period specified in the licence.</w:t>
      </w:r>
    </w:p>
    <w:p>
      <w:pPr>
        <w:pStyle w:val="Subsection"/>
        <w:rPr>
          <w:snapToGrid w:val="0"/>
        </w:rPr>
      </w:pPr>
      <w:r>
        <w:rPr>
          <w:snapToGrid w:val="0"/>
        </w:rPr>
        <w:tab/>
        <w:t>(3)</w:t>
      </w:r>
      <w:r>
        <w:rPr>
          <w:snapToGrid w:val="0"/>
        </w:rPr>
        <w:tab/>
        <w:t>Subject to subsection (4), the licence is subject to a condition that the licensee shall not commence or cause to be commenced the construction of the proposed pipeline specified therein over any part of the licence area unless he has first acquired all the lands in that part of the licence area or a lease, licence or other authority over the lands and acquired and registered all such easements over those lands as are necessary for him to lawfully construct that pipeline over those lands or part thereof and to have the right of access thereto.</w:t>
      </w:r>
    </w:p>
    <w:p>
      <w:pPr>
        <w:pStyle w:val="Subsection"/>
        <w:rPr>
          <w:snapToGrid w:val="0"/>
        </w:rPr>
      </w:pPr>
      <w:r>
        <w:rPr>
          <w:snapToGrid w:val="0"/>
        </w:rPr>
        <w:tab/>
        <w:t>(4)</w:t>
      </w:r>
      <w:r>
        <w:rPr>
          <w:snapToGrid w:val="0"/>
        </w:rPr>
        <w:tab/>
        <w:t>Where the Minister is satisfied that the licensee has acquired any such easement and is unable to register it, through circumstances beyond his control, the licensee, with the prior consent in writing of the Minister, may, pending the registration of the easement, commence or cause to be commenced the construction of the proposed pipeline over the land to which the easement relates, on such terms and conditions relating to the registration of the easement as the Minister thinks fit and specifies in the instrument of consent.</w:t>
      </w:r>
    </w:p>
    <w:p>
      <w:pPr>
        <w:pStyle w:val="Footnotesection"/>
      </w:pPr>
      <w:r>
        <w:tab/>
        <w:t xml:space="preserve">[Section 12 amended by No. 42 of 1970 s.2; No. 10 of 1983 s.3; No. 12 of 1990 s.126; No. 28 of 1994 s.68.] </w:t>
      </w:r>
    </w:p>
    <w:p>
      <w:pPr>
        <w:pStyle w:val="Heading5"/>
        <w:rPr>
          <w:snapToGrid w:val="0"/>
        </w:rPr>
      </w:pPr>
      <w:bookmarkStart w:id="52" w:name="_Toc464640068"/>
      <w:bookmarkStart w:id="53" w:name="_Toc483119612"/>
      <w:bookmarkStart w:id="54" w:name="_Toc131411180"/>
      <w:r>
        <w:rPr>
          <w:rStyle w:val="CharSectno"/>
        </w:rPr>
        <w:t>13</w:t>
      </w:r>
      <w:r>
        <w:rPr>
          <w:snapToGrid w:val="0"/>
        </w:rPr>
        <w:t>.</w:t>
      </w:r>
      <w:r>
        <w:rPr>
          <w:snapToGrid w:val="0"/>
        </w:rPr>
        <w:tab/>
        <w:t>Security</w:t>
      </w:r>
      <w:bookmarkEnd w:id="52"/>
      <w:bookmarkEnd w:id="53"/>
      <w:bookmarkEnd w:id="54"/>
      <w:r>
        <w:rPr>
          <w:snapToGrid w:val="0"/>
        </w:rPr>
        <w:t xml:space="preserve"> </w:t>
      </w:r>
    </w:p>
    <w:p>
      <w:pPr>
        <w:pStyle w:val="Subsection"/>
        <w:rPr>
          <w:snapToGrid w:val="0"/>
        </w:rPr>
      </w:pPr>
      <w:r>
        <w:rPr>
          <w:snapToGrid w:val="0"/>
        </w:rPr>
        <w:tab/>
        <w:t>(1)</w:t>
      </w:r>
      <w:r>
        <w:rPr>
          <w:snapToGrid w:val="0"/>
        </w:rPr>
        <w:tab/>
        <w:t>A security referred to in section 10 — </w:t>
      </w:r>
    </w:p>
    <w:p>
      <w:pPr>
        <w:pStyle w:val="Indenta"/>
        <w:rPr>
          <w:snapToGrid w:val="0"/>
        </w:rPr>
      </w:pPr>
      <w:r>
        <w:rPr>
          <w:snapToGrid w:val="0"/>
        </w:rPr>
        <w:tab/>
        <w:t>(a)</w:t>
      </w:r>
      <w:r>
        <w:rPr>
          <w:snapToGrid w:val="0"/>
        </w:rPr>
        <w:tab/>
        <w:t>shall be given in such manner and form as are approved by the Minister; and</w:t>
      </w:r>
    </w:p>
    <w:p>
      <w:pPr>
        <w:pStyle w:val="Indenta"/>
        <w:rPr>
          <w:snapToGrid w:val="0"/>
        </w:rPr>
      </w:pPr>
      <w:r>
        <w:rPr>
          <w:snapToGrid w:val="0"/>
        </w:rPr>
        <w:tab/>
        <w:t>(b)</w:t>
      </w:r>
      <w:r>
        <w:rPr>
          <w:snapToGrid w:val="0"/>
        </w:rPr>
        <w:tab/>
        <w:t>may, subject to that approval, be by cash deposit or other such method as the Minister allows or partly by cash deposit and partly by such other method as the Minister allows.</w:t>
      </w:r>
    </w:p>
    <w:p>
      <w:pPr>
        <w:pStyle w:val="Subsection"/>
        <w:rPr>
          <w:snapToGrid w:val="0"/>
        </w:rPr>
      </w:pPr>
      <w:r>
        <w:rPr>
          <w:snapToGrid w:val="0"/>
        </w:rPr>
        <w:tab/>
        <w:t>(2)</w:t>
      </w:r>
      <w:r>
        <w:rPr>
          <w:snapToGrid w:val="0"/>
        </w:rPr>
        <w:tab/>
        <w:t>A security given in accordance with a form approved by the Minister, although it is not sealed, binds the person subscribing to it as if it were sealed.</w:t>
      </w:r>
    </w:p>
    <w:p>
      <w:pPr>
        <w:pStyle w:val="Subsection"/>
        <w:rPr>
          <w:snapToGrid w:val="0"/>
        </w:rPr>
      </w:pPr>
      <w:r>
        <w:rPr>
          <w:snapToGrid w:val="0"/>
        </w:rPr>
        <w:tab/>
        <w:t>(3)</w:t>
      </w:r>
      <w:r>
        <w:rPr>
          <w:snapToGrid w:val="0"/>
        </w:rPr>
        <w:tab/>
        <w:t>Whenever a security referred to in section 10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that a noncompliance with a condition of a security under this Act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noncompliance with a condition; or</w:t>
      </w:r>
    </w:p>
    <w:p>
      <w:pPr>
        <w:pStyle w:val="Indenta"/>
        <w:rPr>
          <w:snapToGrid w:val="0"/>
        </w:rPr>
      </w:pPr>
      <w:r>
        <w:rPr>
          <w:snapToGrid w:val="0"/>
        </w:rPr>
        <w:tab/>
        <w:t>(c)</w:t>
      </w:r>
      <w:r>
        <w:rPr>
          <w:snapToGrid w:val="0"/>
        </w:rPr>
        <w:tab/>
        <w:t>any failure to bring suit against the subscriber upon the occurrence of a previous noncompliance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referred to in section 10 may be sued on if the subscriber fails to make any payment referred to in section 10(1).</w:t>
      </w:r>
    </w:p>
    <w:p>
      <w:pPr>
        <w:pStyle w:val="Footnotesection"/>
      </w:pPr>
      <w:r>
        <w:tab/>
        <w:t xml:space="preserve">[Section 13 amended by No. 28 of 1994 s.69.] </w:t>
      </w:r>
    </w:p>
    <w:p>
      <w:pPr>
        <w:pStyle w:val="Heading5"/>
        <w:rPr>
          <w:snapToGrid w:val="0"/>
        </w:rPr>
      </w:pPr>
      <w:bookmarkStart w:id="55" w:name="_Toc464640069"/>
      <w:bookmarkStart w:id="56" w:name="_Toc483119613"/>
      <w:bookmarkStart w:id="57" w:name="_Toc131411181"/>
      <w:r>
        <w:rPr>
          <w:rStyle w:val="CharSectno"/>
        </w:rPr>
        <w:t>14</w:t>
      </w:r>
      <w:r>
        <w:rPr>
          <w:snapToGrid w:val="0"/>
        </w:rPr>
        <w:t>.</w:t>
      </w:r>
      <w:r>
        <w:rPr>
          <w:snapToGrid w:val="0"/>
        </w:rPr>
        <w:tab/>
        <w:t>Term and form of licence</w:t>
      </w:r>
      <w:bookmarkEnd w:id="55"/>
      <w:bookmarkEnd w:id="56"/>
      <w:bookmarkEnd w:id="57"/>
      <w:r>
        <w:rPr>
          <w:snapToGrid w:val="0"/>
        </w:rPr>
        <w:t xml:space="preserve"> </w:t>
      </w:r>
    </w:p>
    <w:p>
      <w:pPr>
        <w:pStyle w:val="Subsection"/>
        <w:rPr>
          <w:snapToGrid w:val="0"/>
        </w:rPr>
      </w:pPr>
      <w:r>
        <w:rPr>
          <w:snapToGrid w:val="0"/>
        </w:rPr>
        <w:tab/>
        <w:t>(1)</w:t>
      </w:r>
      <w:r>
        <w:rPr>
          <w:snapToGrid w:val="0"/>
        </w:rPr>
        <w:tab/>
        <w:t>A licence — </w:t>
      </w:r>
    </w:p>
    <w:p>
      <w:pPr>
        <w:pStyle w:val="Indenta"/>
        <w:rPr>
          <w:snapToGrid w:val="0"/>
        </w:rPr>
      </w:pPr>
      <w:r>
        <w:rPr>
          <w:snapToGrid w:val="0"/>
        </w:rPr>
        <w:tab/>
        <w:t>(a)</w:t>
      </w:r>
      <w:r>
        <w:rPr>
          <w:snapToGrid w:val="0"/>
        </w:rPr>
        <w:tab/>
        <w:t>not being a renewal of a licence, comes into force on the day specified for the purpose in the licence; and</w:t>
      </w:r>
    </w:p>
    <w:p>
      <w:pPr>
        <w:pStyle w:val="Indenta"/>
        <w:rPr>
          <w:snapToGrid w:val="0"/>
        </w:rPr>
      </w:pPr>
      <w:r>
        <w:rPr>
          <w:snapToGrid w:val="0"/>
        </w:rPr>
        <w:tab/>
        <w:t>(b)</w:t>
      </w:r>
      <w:r>
        <w:rPr>
          <w:snapToGrid w:val="0"/>
        </w:rPr>
        <w:tab/>
        <w:t>being a renewal of a licence, comes into force on the day after the day on which the last previous licence in respect of the same pipeline ceases to be in force,</w:t>
      </w:r>
    </w:p>
    <w:p>
      <w:pPr>
        <w:pStyle w:val="Subsection"/>
        <w:rPr>
          <w:snapToGrid w:val="0"/>
        </w:rPr>
      </w:pPr>
      <w:r>
        <w:rPr>
          <w:snapToGrid w:val="0"/>
        </w:rPr>
        <w:tab/>
      </w:r>
      <w:r>
        <w:rPr>
          <w:snapToGrid w:val="0"/>
        </w:rPr>
        <w:tab/>
        <w:t>and subject to this Act, remains in force for such period commencing on that day and not exceeding 21 years as may be specified in the licence.</w:t>
      </w:r>
    </w:p>
    <w:p>
      <w:pPr>
        <w:pStyle w:val="Subsection"/>
        <w:rPr>
          <w:snapToGrid w:val="0"/>
        </w:rPr>
      </w:pPr>
      <w:r>
        <w:rPr>
          <w:snapToGrid w:val="0"/>
        </w:rPr>
        <w:tab/>
        <w:t>(2)</w:t>
      </w:r>
      <w:r>
        <w:rPr>
          <w:snapToGrid w:val="0"/>
        </w:rPr>
        <w:tab/>
        <w:t>A licence shall be in the form approved.</w:t>
      </w:r>
    </w:p>
    <w:p>
      <w:pPr>
        <w:pStyle w:val="Footnotesection"/>
      </w:pPr>
      <w:r>
        <w:tab/>
        <w:t xml:space="preserve">[Section 14 amended by No. 28 of 1994 s.77.] </w:t>
      </w:r>
    </w:p>
    <w:p>
      <w:pPr>
        <w:pStyle w:val="Heading5"/>
        <w:rPr>
          <w:snapToGrid w:val="0"/>
        </w:rPr>
      </w:pPr>
      <w:bookmarkStart w:id="58" w:name="_Toc464640070"/>
      <w:bookmarkStart w:id="59" w:name="_Toc483119614"/>
      <w:bookmarkStart w:id="60" w:name="_Toc131411182"/>
      <w:r>
        <w:rPr>
          <w:rStyle w:val="CharSectno"/>
        </w:rPr>
        <w:t>15</w:t>
      </w:r>
      <w:r>
        <w:rPr>
          <w:snapToGrid w:val="0"/>
        </w:rPr>
        <w:t>.</w:t>
      </w:r>
      <w:r>
        <w:rPr>
          <w:snapToGrid w:val="0"/>
        </w:rPr>
        <w:tab/>
        <w:t>Variation of licence on application by licensee</w:t>
      </w:r>
      <w:bookmarkEnd w:id="58"/>
      <w:bookmarkEnd w:id="59"/>
      <w:bookmarkEnd w:id="60"/>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the variation of a licence other than a variation with respect to the licence area.</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p>
    <w:p>
      <w:pPr>
        <w:pStyle w:val="Indenta"/>
        <w:rPr>
          <w:snapToGrid w:val="0"/>
        </w:rPr>
      </w:pPr>
      <w:r>
        <w:rPr>
          <w:snapToGrid w:val="0"/>
        </w:rPr>
        <w:tab/>
        <w:t>(b)</w:t>
      </w:r>
      <w:r>
        <w:rPr>
          <w:snapToGrid w:val="0"/>
        </w:rPr>
        <w:tab/>
        <w:t>shall be accompanied by particulars of the proposed variation;</w:t>
      </w:r>
    </w:p>
    <w:p>
      <w:pPr>
        <w:pStyle w:val="Indenta"/>
        <w:rPr>
          <w:snapToGrid w:val="0"/>
        </w:rPr>
      </w:pPr>
      <w:r>
        <w:rPr>
          <w:snapToGrid w:val="0"/>
        </w:rPr>
        <w:tab/>
        <w:t>(c)</w:t>
      </w:r>
      <w:r>
        <w:rPr>
          <w:snapToGrid w:val="0"/>
        </w:rPr>
        <w:tab/>
        <w:t>shall specify the reasons for the proposed variation;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at any time, by notice in writing served on a person who has made an application under this section, require him to furnish within a time specified in the notice further information in connection with his application.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notice of an application under this section to such persons, if any, as he thinks fit; and</w:t>
      </w:r>
    </w:p>
    <w:p>
      <w:pPr>
        <w:pStyle w:val="Indenta"/>
        <w:rPr>
          <w:snapToGrid w:val="0"/>
        </w:rPr>
      </w:pPr>
      <w:r>
        <w:rPr>
          <w:snapToGrid w:val="0"/>
        </w:rPr>
        <w:tab/>
        <w:t>(b)</w:t>
      </w:r>
      <w:r>
        <w:rPr>
          <w:snapToGrid w:val="0"/>
        </w:rPr>
        <w:tab/>
        <w:t>specify a period within which each person to whom notice is so given may submit to the Minister in writing any matters that he wishes to be considered in connection with the application.</w:t>
      </w:r>
    </w:p>
    <w:p>
      <w:pPr>
        <w:pStyle w:val="Subsection"/>
        <w:rPr>
          <w:snapToGrid w:val="0"/>
        </w:rPr>
      </w:pPr>
      <w:r>
        <w:rPr>
          <w:snapToGrid w:val="0"/>
        </w:rPr>
        <w:tab/>
        <w:t>(5)</w:t>
      </w:r>
      <w:r>
        <w:rPr>
          <w:snapToGrid w:val="0"/>
        </w:rPr>
        <w:tab/>
        <w:t>After considering particulars of any matters submitted to him under subsection (4), the Minister may vary the licence to such extent as he thinks necessary or may refuse to vary the licence.</w:t>
      </w:r>
    </w:p>
    <w:p>
      <w:pPr>
        <w:pStyle w:val="Footnotesection"/>
      </w:pPr>
      <w:r>
        <w:tab/>
        <w:t xml:space="preserve">[Section 15 amended by No. 28 of 1994 s.77.] </w:t>
      </w:r>
    </w:p>
    <w:p>
      <w:pPr>
        <w:pStyle w:val="Heading5"/>
        <w:rPr>
          <w:snapToGrid w:val="0"/>
        </w:rPr>
      </w:pPr>
      <w:bookmarkStart w:id="61" w:name="_Toc464640071"/>
      <w:bookmarkStart w:id="62" w:name="_Toc483119615"/>
      <w:bookmarkStart w:id="63" w:name="_Toc131411183"/>
      <w:r>
        <w:rPr>
          <w:rStyle w:val="CharSectno"/>
        </w:rPr>
        <w:t>16</w:t>
      </w:r>
      <w:r>
        <w:rPr>
          <w:snapToGrid w:val="0"/>
        </w:rPr>
        <w:t>.</w:t>
      </w:r>
      <w:r>
        <w:rPr>
          <w:snapToGrid w:val="0"/>
        </w:rPr>
        <w:tab/>
        <w:t>Power of Governor to grant easements etc. over Crown land</w:t>
      </w:r>
      <w:bookmarkEnd w:id="61"/>
      <w:bookmarkEnd w:id="62"/>
      <w:bookmarkEnd w:id="63"/>
      <w:r>
        <w:rPr>
          <w:snapToGrid w:val="0"/>
        </w:rPr>
        <w:t xml:space="preserve"> </w:t>
      </w:r>
    </w:p>
    <w:p>
      <w:pPr>
        <w:pStyle w:val="Subsection"/>
        <w:rPr>
          <w:snapToGrid w:val="0"/>
        </w:rPr>
      </w:pPr>
      <w:r>
        <w:rPr>
          <w:snapToGrid w:val="0"/>
        </w:rPr>
        <w:tab/>
      </w:r>
      <w:r>
        <w:rPr>
          <w:snapToGrid w:val="0"/>
        </w:rPr>
        <w:tab/>
        <w:t>Notwithstanding anything to the contrary contained in any Act or in any licence, proclamation, reservation, declaration or dedication of or with respect to any unalienated Crown land, the Governor, on the recommendation of the Minister for Lands, may, upon such terms and conditions, and subject to the payment of such fee as the Governor thinks fit, grant to a licensee any lease, easement, licence or other authority necessary or expedient to enable the licensee — </w:t>
      </w:r>
    </w:p>
    <w:p>
      <w:pPr>
        <w:pStyle w:val="Indenta"/>
        <w:rPr>
          <w:snapToGrid w:val="0"/>
        </w:rPr>
      </w:pPr>
      <w:r>
        <w:rPr>
          <w:snapToGrid w:val="0"/>
        </w:rPr>
        <w:tab/>
        <w:t>(a)</w:t>
      </w:r>
      <w:r>
        <w:rPr>
          <w:snapToGrid w:val="0"/>
        </w:rPr>
        <w:tab/>
        <w:t>to construct the pipeline specified in the licensee’s licence over any such Crown land; and</w:t>
      </w:r>
    </w:p>
    <w:p>
      <w:pPr>
        <w:pStyle w:val="Indenta"/>
        <w:rPr>
          <w:snapToGrid w:val="0"/>
        </w:rPr>
      </w:pPr>
      <w:r>
        <w:rPr>
          <w:snapToGrid w:val="0"/>
        </w:rPr>
        <w:tab/>
        <w:t>(b)</w:t>
      </w:r>
      <w:r>
        <w:rPr>
          <w:snapToGrid w:val="0"/>
        </w:rPr>
        <w:tab/>
        <w:t>to operate, inspect, maintain and repair that pipeline.</w:t>
      </w:r>
    </w:p>
    <w:p>
      <w:pPr>
        <w:pStyle w:val="Heading5"/>
        <w:rPr>
          <w:snapToGrid w:val="0"/>
        </w:rPr>
      </w:pPr>
      <w:bookmarkStart w:id="64" w:name="_Toc464640072"/>
      <w:bookmarkStart w:id="65" w:name="_Toc483119616"/>
      <w:bookmarkStart w:id="66" w:name="_Toc131411184"/>
      <w:r>
        <w:rPr>
          <w:rStyle w:val="CharSectno"/>
        </w:rPr>
        <w:t>17</w:t>
      </w:r>
      <w:r>
        <w:rPr>
          <w:snapToGrid w:val="0"/>
        </w:rPr>
        <w:t>.</w:t>
      </w:r>
      <w:r>
        <w:rPr>
          <w:snapToGrid w:val="0"/>
        </w:rPr>
        <w:tab/>
        <w:t>Power of public authority to grant easements etc.</w:t>
      </w:r>
      <w:bookmarkEnd w:id="64"/>
      <w:bookmarkEnd w:id="65"/>
      <w:bookmarkEnd w:id="66"/>
      <w:r>
        <w:rPr>
          <w:snapToGrid w:val="0"/>
        </w:rPr>
        <w:t xml:space="preserve"> </w:t>
      </w:r>
    </w:p>
    <w:p>
      <w:pPr>
        <w:pStyle w:val="Subsection"/>
        <w:rPr>
          <w:snapToGrid w:val="0"/>
        </w:rPr>
      </w:pPr>
      <w:r>
        <w:rPr>
          <w:snapToGrid w:val="0"/>
        </w:rPr>
        <w:tab/>
      </w:r>
      <w:r>
        <w:rPr>
          <w:snapToGrid w:val="0"/>
        </w:rPr>
        <w:tab/>
        <w:t>Notwithstanding anything contained to the contrary in any Act or rule of law or its constitution, any public authority may, upon such terms and conditions as are agreed upon by such authority and a licensee, and if the Governor so determines shall, upon such terms and conditions as the Governor may impose, grant to the licensee a lease, easement, licence or other authority of the kind referred to in section 16 of or over — </w:t>
      </w:r>
    </w:p>
    <w:p>
      <w:pPr>
        <w:pStyle w:val="Indenta"/>
        <w:rPr>
          <w:snapToGrid w:val="0"/>
        </w:rPr>
      </w:pPr>
      <w:r>
        <w:rPr>
          <w:snapToGrid w:val="0"/>
        </w:rPr>
        <w:tab/>
        <w:t>(a)</w:t>
      </w:r>
      <w:r>
        <w:rPr>
          <w:snapToGrid w:val="0"/>
        </w:rPr>
        <w:tab/>
        <w:t>any land vested in or owned by the public authority; or</w:t>
      </w:r>
    </w:p>
    <w:p>
      <w:pPr>
        <w:pStyle w:val="Indenta"/>
        <w:rPr>
          <w:snapToGrid w:val="0"/>
        </w:rPr>
      </w:pPr>
      <w:r>
        <w:rPr>
          <w:snapToGrid w:val="0"/>
        </w:rPr>
        <w:tab/>
        <w:t>(b)</w:t>
      </w:r>
      <w:r>
        <w:rPr>
          <w:snapToGrid w:val="0"/>
        </w:rPr>
        <w:tab/>
        <w:t>any land under the care and management of the public authority,</w:t>
      </w:r>
    </w:p>
    <w:p>
      <w:pPr>
        <w:pStyle w:val="Subsection"/>
        <w:rPr>
          <w:snapToGrid w:val="0"/>
        </w:rPr>
      </w:pPr>
      <w:r>
        <w:rPr>
          <w:snapToGrid w:val="0"/>
        </w:rPr>
        <w:tab/>
      </w:r>
      <w:r>
        <w:rPr>
          <w:snapToGrid w:val="0"/>
        </w:rPr>
        <w:tab/>
        <w:t>necessary or expedient to enable the licensee — </w:t>
      </w:r>
    </w:p>
    <w:p>
      <w:pPr>
        <w:pStyle w:val="Indenta"/>
        <w:rPr>
          <w:snapToGrid w:val="0"/>
        </w:rPr>
      </w:pPr>
      <w:r>
        <w:rPr>
          <w:snapToGrid w:val="0"/>
        </w:rPr>
        <w:tab/>
        <w:t>(c)</w:t>
      </w:r>
      <w:r>
        <w:rPr>
          <w:snapToGrid w:val="0"/>
        </w:rPr>
        <w:tab/>
        <w:t>to construct the pipeline specified in the licensee’s licence; and</w:t>
      </w:r>
    </w:p>
    <w:p>
      <w:pPr>
        <w:pStyle w:val="Indenta"/>
        <w:rPr>
          <w:snapToGrid w:val="0"/>
        </w:rPr>
      </w:pPr>
      <w:r>
        <w:rPr>
          <w:snapToGrid w:val="0"/>
        </w:rPr>
        <w:tab/>
        <w:t>(d)</w:t>
      </w:r>
      <w:r>
        <w:rPr>
          <w:snapToGrid w:val="0"/>
        </w:rPr>
        <w:tab/>
        <w:t>to operate, inspect, maintain and repair that pipeline.</w:t>
      </w:r>
    </w:p>
    <w:p>
      <w:pPr>
        <w:pStyle w:val="Heading5"/>
        <w:rPr>
          <w:snapToGrid w:val="0"/>
        </w:rPr>
      </w:pPr>
      <w:bookmarkStart w:id="67" w:name="_Toc464640073"/>
      <w:bookmarkStart w:id="68" w:name="_Toc483119617"/>
      <w:bookmarkStart w:id="69" w:name="_Toc131411185"/>
      <w:r>
        <w:rPr>
          <w:rStyle w:val="CharSectno"/>
        </w:rPr>
        <w:t>18</w:t>
      </w:r>
      <w:r>
        <w:rPr>
          <w:snapToGrid w:val="0"/>
        </w:rPr>
        <w:t>.</w:t>
      </w:r>
      <w:r>
        <w:rPr>
          <w:snapToGrid w:val="0"/>
        </w:rPr>
        <w:tab/>
        <w:t>Authority to make arrangements and agreements for easements</w:t>
      </w:r>
      <w:bookmarkEnd w:id="67"/>
      <w:bookmarkEnd w:id="68"/>
      <w:bookmarkEnd w:id="69"/>
      <w:r>
        <w:rPr>
          <w:snapToGrid w:val="0"/>
        </w:rPr>
        <w:t xml:space="preserve"> </w:t>
      </w:r>
    </w:p>
    <w:p>
      <w:pPr>
        <w:pStyle w:val="Subsection"/>
        <w:keepNext/>
        <w:rPr>
          <w:snapToGrid w:val="0"/>
        </w:rPr>
      </w:pPr>
      <w:r>
        <w:rPr>
          <w:snapToGrid w:val="0"/>
        </w:rPr>
        <w:tab/>
        <w:t>(1)</w:t>
      </w:r>
      <w:r>
        <w:rPr>
          <w:snapToGrid w:val="0"/>
        </w:rPr>
        <w:tab/>
        <w:t>For the purposes of exercising the authority conferred on him by a licence, the licensee may — </w:t>
      </w:r>
    </w:p>
    <w:p>
      <w:pPr>
        <w:pStyle w:val="Indenta"/>
        <w:rPr>
          <w:snapToGrid w:val="0"/>
        </w:rPr>
      </w:pPr>
      <w:r>
        <w:rPr>
          <w:snapToGrid w:val="0"/>
        </w:rPr>
        <w:tab/>
        <w:t>(a)</w:t>
      </w:r>
      <w:r>
        <w:rPr>
          <w:snapToGrid w:val="0"/>
        </w:rPr>
        <w:tab/>
        <w:t>make such arrangements and enter into such contracts not inconsistent with this Act or with the licence as he considers necessary;</w:t>
      </w:r>
    </w:p>
    <w:p>
      <w:pPr>
        <w:pStyle w:val="Indenta"/>
        <w:rPr>
          <w:snapToGrid w:val="0"/>
        </w:rPr>
      </w:pPr>
      <w:r>
        <w:rPr>
          <w:snapToGrid w:val="0"/>
        </w:rPr>
        <w:tab/>
        <w:t>(b)</w:t>
      </w:r>
      <w:r>
        <w:rPr>
          <w:snapToGrid w:val="0"/>
        </w:rPr>
        <w:tab/>
        <w:t>agree with the owner of an estate or interest in land for the purchase or other acquisition of any right, interest or easement in or upon the land, and the terms upon which any such right or interest may be used or exercised or any such easement enjoyed.</w:t>
      </w:r>
    </w:p>
    <w:p>
      <w:pPr>
        <w:pStyle w:val="Subsection"/>
        <w:rPr>
          <w:snapToGrid w:val="0"/>
        </w:rPr>
      </w:pPr>
      <w:r>
        <w:rPr>
          <w:snapToGrid w:val="0"/>
        </w:rPr>
        <w:tab/>
        <w:t>(2)</w:t>
      </w:r>
      <w:r>
        <w:rPr>
          <w:snapToGrid w:val="0"/>
        </w:rPr>
        <w:tab/>
        <w:t>Notwithstanding any Act or rule of law to the contrary, any company, body or authority has power to enter into and carry out any arrangement, contract or agreement referred to in subsection (1).</w:t>
      </w:r>
    </w:p>
    <w:p>
      <w:pPr>
        <w:pStyle w:val="Heading5"/>
        <w:rPr>
          <w:snapToGrid w:val="0"/>
        </w:rPr>
      </w:pPr>
      <w:bookmarkStart w:id="70" w:name="_Toc464640074"/>
      <w:bookmarkStart w:id="71" w:name="_Toc483119618"/>
      <w:bookmarkStart w:id="72" w:name="_Toc131411186"/>
      <w:r>
        <w:rPr>
          <w:rStyle w:val="CharSectno"/>
        </w:rPr>
        <w:t>19</w:t>
      </w:r>
      <w:r>
        <w:rPr>
          <w:snapToGrid w:val="0"/>
        </w:rPr>
        <w:t>.</w:t>
      </w:r>
      <w:r>
        <w:rPr>
          <w:snapToGrid w:val="0"/>
        </w:rPr>
        <w:tab/>
        <w:t>Taking of land or easement over land for the purposes of or incidental to construction or operation of pipeline</w:t>
      </w:r>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Subject to subsection (2), for the purpose of carrying out any function authorised by a licence or any other function necessary for the efficient operation of the pipeline in respect of which the licence is granted or necessarily incidental to the operation of the pipeline, the Minister may, on the application of the licensee and at his expense in all things, take under Part 9 of the </w:t>
      </w:r>
      <w:r>
        <w:rPr>
          <w:i/>
          <w:snapToGrid w:val="0"/>
        </w:rPr>
        <w:t>Land Administration Act 1997</w:t>
      </w:r>
      <w:r>
        <w:rPr>
          <w:snapToGrid w:val="0"/>
        </w:rPr>
        <w:t xml:space="preserve">, as if for a public work within the meaning of the </w:t>
      </w:r>
      <w:r>
        <w:rPr>
          <w:i/>
          <w:snapToGrid w:val="0"/>
        </w:rPr>
        <w:t>Public Works Act 1902</w:t>
      </w:r>
      <w:r>
        <w:rPr>
          <w:snapToGrid w:val="0"/>
        </w:rPr>
        <w:t>, any land or any easement over any land whether for the time being subsisting or not.</w:t>
      </w:r>
    </w:p>
    <w:p>
      <w:pPr>
        <w:pStyle w:val="Subsection"/>
        <w:rPr>
          <w:snapToGrid w:val="0"/>
        </w:rPr>
      </w:pPr>
      <w:r>
        <w:rPr>
          <w:snapToGrid w:val="0"/>
        </w:rPr>
        <w:tab/>
        <w:t>(2)</w:t>
      </w:r>
      <w:r>
        <w:rPr>
          <w:snapToGrid w:val="0"/>
        </w:rPr>
        <w:tab/>
        <w:t>Subsection (1) does not apply unless the Minister is satisfied that the licensee, after making reasonable attempts to do so, has been unable to acquire the land or easement over the land by agreement with the owner thereof.</w:t>
      </w:r>
    </w:p>
    <w:p>
      <w:pPr>
        <w:pStyle w:val="Subsection"/>
        <w:rPr>
          <w:snapToGrid w:val="0"/>
        </w:rPr>
      </w:pPr>
      <w:r>
        <w:rPr>
          <w:snapToGrid w:val="0"/>
        </w:rPr>
        <w:tab/>
        <w:t>(3)</w:t>
      </w:r>
      <w:r>
        <w:rPr>
          <w:snapToGrid w:val="0"/>
        </w:rPr>
        <w:tab/>
        <w:t>For the purposes of giving effect to this section — </w:t>
      </w:r>
    </w:p>
    <w:p>
      <w:pPr>
        <w:pStyle w:val="Indenta"/>
        <w:rPr>
          <w:snapToGrid w:val="0"/>
        </w:rPr>
      </w:pPr>
      <w:r>
        <w:rPr>
          <w:snapToGrid w:val="0"/>
        </w:rPr>
        <w:tab/>
        <w:t>(a)</w:t>
      </w:r>
      <w:r>
        <w:rPr>
          <w:snapToGrid w:val="0"/>
        </w:rPr>
        <w:tab/>
        <w:t xml:space="preserve">the word </w:t>
      </w:r>
      <w:r>
        <w:rPr>
          <w:b/>
          <w:snapToGrid w:val="0"/>
        </w:rPr>
        <w:t>“</w:t>
      </w:r>
      <w:r>
        <w:rPr>
          <w:rStyle w:val="CharDefText"/>
        </w:rPr>
        <w:t>land</w:t>
      </w:r>
      <w:r>
        <w:rPr>
          <w:b/>
          <w:snapToGrid w:val="0"/>
        </w:rPr>
        <w:t>”</w:t>
      </w:r>
      <w:r>
        <w:rPr>
          <w:snapToGrid w:val="0"/>
        </w:rPr>
        <w:t xml:space="preserve"> in Part 9 of the </w:t>
      </w:r>
      <w:r>
        <w:rPr>
          <w:i/>
          <w:snapToGrid w:val="0"/>
        </w:rPr>
        <w:t>Land Administration Act 1997</w:t>
      </w:r>
      <w:r>
        <w:rPr>
          <w:snapToGrid w:val="0"/>
        </w:rPr>
        <w:t xml:space="preserve"> shall be construed as including an easement over land;</w:t>
      </w:r>
    </w:p>
    <w:p>
      <w:pPr>
        <w:pStyle w:val="Indenta"/>
        <w:rPr>
          <w:snapToGrid w:val="0"/>
        </w:rPr>
      </w:pPr>
      <w:r>
        <w:rPr>
          <w:snapToGrid w:val="0"/>
        </w:rPr>
        <w:tab/>
        <w:t>(b)</w:t>
      </w:r>
      <w:r>
        <w:rPr>
          <w:snapToGrid w:val="0"/>
        </w:rPr>
        <w:tab/>
        <w:t xml:space="preserve">on the taking of the land or easement over the land under this section, the land or easement, as the case may be, shall vest in the licensee and all proceedings subsequent thereto in respect of compensation, or otherwise for the purpose of complying with Parts 9 and 10 of the </w:t>
      </w:r>
      <w:r>
        <w:rPr>
          <w:i/>
          <w:snapToGrid w:val="0"/>
        </w:rPr>
        <w:t>Land Administration Act 1997</w:t>
      </w:r>
      <w:r>
        <w:rPr>
          <w:snapToGrid w:val="0"/>
        </w:rPr>
        <w:t>, shall be taken against the licensee, who shall be deemed to be the respondent and shall be liable in respect of the taking to the same extent as the Minister administering that Act would have been liable if the taking had been for the purpose of a public work.</w:t>
      </w:r>
    </w:p>
    <w:p>
      <w:pPr>
        <w:pStyle w:val="Subsection"/>
        <w:rPr>
          <w:snapToGrid w:val="0"/>
        </w:rPr>
      </w:pPr>
      <w:r>
        <w:rPr>
          <w:snapToGrid w:val="0"/>
        </w:rPr>
        <w:tab/>
        <w:t>(4)</w:t>
      </w:r>
      <w:r>
        <w:rPr>
          <w:snapToGrid w:val="0"/>
        </w:rPr>
        <w:tab/>
        <w:t>Where an easement is acquired or taken over any land pursuant to this Act a description of the easement and a notification that it has been so taken, together with a plan showing the location of the easement over that land, shall, if the easement is over land — </w:t>
      </w:r>
    </w:p>
    <w:p>
      <w:pPr>
        <w:pStyle w:val="Indenta"/>
        <w:rPr>
          <w:snapToGrid w:val="0"/>
        </w:rPr>
      </w:pPr>
      <w:r>
        <w:rPr>
          <w:snapToGrid w:val="0"/>
        </w:rPr>
        <w:tab/>
        <w:t>(a)</w:t>
      </w:r>
      <w:r>
        <w:rPr>
          <w:snapToGrid w:val="0"/>
        </w:rPr>
        <w:tab/>
        <w:t xml:space="preserve">that is under the operation of the </w:t>
      </w:r>
      <w:r>
        <w:rPr>
          <w:i/>
          <w:snapToGrid w:val="0"/>
        </w:rPr>
        <w:t>Transfer of Land Act 1893</w:t>
      </w:r>
      <w:r>
        <w:rPr>
          <w:snapToGrid w:val="0"/>
        </w:rPr>
        <w:t xml:space="preserve"> or </w:t>
      </w:r>
      <w:r>
        <w:rPr>
          <w:i/>
          <w:snapToGrid w:val="0"/>
        </w:rPr>
        <w:t>Land Administration Act 1997</w:t>
      </w:r>
      <w:r>
        <w:rPr>
          <w:snapToGrid w:val="0"/>
        </w:rPr>
        <w:t>, be sent by the licensee to the Registrar of Titles, who shall duly record on the document of title relating to the land a statement or entry thereof; or</w:t>
      </w:r>
    </w:p>
    <w:p>
      <w:pPr>
        <w:pStyle w:val="Indenta"/>
        <w:rPr>
          <w:snapToGrid w:val="0"/>
        </w:rPr>
      </w:pPr>
      <w:r>
        <w:rPr>
          <w:snapToGrid w:val="0"/>
        </w:rPr>
        <w:tab/>
        <w:t>(b)</w:t>
      </w:r>
      <w:r>
        <w:rPr>
          <w:snapToGrid w:val="0"/>
        </w:rPr>
        <w:tab/>
        <w:t>that is not under the operation of that Act, be sent by the licensee to the Registrar of Deeds, who shall, by memorial in the Register of Deeds, duly record the notification of the easement.</w:t>
      </w:r>
    </w:p>
    <w:p>
      <w:pPr>
        <w:pStyle w:val="Footnotesection"/>
      </w:pPr>
      <w:r>
        <w:tab/>
        <w:t>[Section 19 amended by No. 31 of 1997 ss.77(2)</w:t>
      </w:r>
      <w:r>
        <w:noBreakHyphen/>
        <w:t>(4) and 142.]</w:t>
      </w:r>
    </w:p>
    <w:p>
      <w:pPr>
        <w:pStyle w:val="Heading5"/>
        <w:rPr>
          <w:snapToGrid w:val="0"/>
        </w:rPr>
      </w:pPr>
      <w:bookmarkStart w:id="73" w:name="_Toc464640075"/>
      <w:bookmarkStart w:id="74" w:name="_Toc483119619"/>
      <w:bookmarkStart w:id="75" w:name="_Toc131411187"/>
      <w:r>
        <w:rPr>
          <w:rStyle w:val="CharSectno"/>
        </w:rPr>
        <w:t>20</w:t>
      </w:r>
      <w:r>
        <w:rPr>
          <w:snapToGrid w:val="0"/>
        </w:rPr>
        <w:t>.</w:t>
      </w:r>
      <w:r>
        <w:rPr>
          <w:snapToGrid w:val="0"/>
        </w:rPr>
        <w:tab/>
        <w:t xml:space="preserve">Application of s.195 of the </w:t>
      </w:r>
      <w:r>
        <w:rPr>
          <w:i/>
          <w:snapToGrid w:val="0"/>
        </w:rPr>
        <w:t>Land Administration Act 1997</w:t>
      </w:r>
      <w:r>
        <w:rPr>
          <w:snapToGrid w:val="0"/>
        </w:rPr>
        <w:t xml:space="preserve"> to easements for pipelines etc.</w:t>
      </w:r>
      <w:bookmarkEnd w:id="73"/>
      <w:bookmarkEnd w:id="74"/>
      <w:bookmarkEnd w:id="75"/>
      <w:r>
        <w:rPr>
          <w:snapToGrid w:val="0"/>
        </w:rPr>
        <w:t xml:space="preserve"> </w:t>
      </w:r>
    </w:p>
    <w:p>
      <w:pPr>
        <w:pStyle w:val="Subsection"/>
        <w:rPr>
          <w:snapToGrid w:val="0"/>
        </w:rPr>
      </w:pPr>
      <w:r>
        <w:rPr>
          <w:snapToGrid w:val="0"/>
        </w:rPr>
        <w:tab/>
        <w:t>(1)</w:t>
      </w:r>
      <w:r>
        <w:rPr>
          <w:snapToGrid w:val="0"/>
        </w:rPr>
        <w:tab/>
        <w:t xml:space="preserve">The provisions of section 195 of the </w:t>
      </w:r>
      <w:r>
        <w:rPr>
          <w:i/>
          <w:snapToGrid w:val="0"/>
        </w:rPr>
        <w:t>Land Administration Act 1997</w:t>
      </w:r>
      <w:r>
        <w:rPr>
          <w:snapToGrid w:val="0"/>
        </w:rPr>
        <w:t xml:space="preserve"> apply to and in respect of easements in favour of a licensee acquired under any of the provisions of this Act for the purpose of the construction, maintenance and use of pipelines, for any purpose incidental to any such purpose, and for the purpose of access to pipelines in the same manner as they apply to easements in favour of the Crown.</w:t>
      </w:r>
    </w:p>
    <w:p>
      <w:pPr>
        <w:pStyle w:val="Subsection"/>
        <w:rPr>
          <w:snapToGrid w:val="0"/>
        </w:rPr>
      </w:pPr>
      <w:r>
        <w:rPr>
          <w:snapToGrid w:val="0"/>
        </w:rPr>
        <w:tab/>
        <w:t>(2)</w:t>
      </w:r>
      <w:r>
        <w:rPr>
          <w:snapToGrid w:val="0"/>
        </w:rPr>
        <w:tab/>
        <w:t>For the purposes of subsection (1), an instrument does not create an easement in favour of, or operate to transfer an easement to, a licensee unless — </w:t>
      </w:r>
    </w:p>
    <w:p>
      <w:pPr>
        <w:pStyle w:val="Indenta"/>
        <w:rPr>
          <w:snapToGrid w:val="0"/>
        </w:rPr>
      </w:pPr>
      <w:r>
        <w:rPr>
          <w:snapToGrid w:val="0"/>
        </w:rPr>
        <w:tab/>
        <w:t>(a)</w:t>
      </w:r>
      <w:r>
        <w:rPr>
          <w:snapToGrid w:val="0"/>
        </w:rPr>
        <w:tab/>
        <w:t>it is expressed to create the easement in favour of, or to transfer the easement to, a licensee; and</w:t>
      </w:r>
    </w:p>
    <w:p>
      <w:pPr>
        <w:pStyle w:val="Indenta"/>
        <w:rPr>
          <w:snapToGrid w:val="0"/>
        </w:rPr>
      </w:pPr>
      <w:r>
        <w:rPr>
          <w:snapToGrid w:val="0"/>
        </w:rPr>
        <w:tab/>
        <w:t>(b)</w:t>
      </w:r>
      <w:r>
        <w:rPr>
          <w:snapToGrid w:val="0"/>
        </w:rPr>
        <w:tab/>
        <w:t>it bears a certificate by the Minister to that effect.</w:t>
      </w:r>
    </w:p>
    <w:p>
      <w:pPr>
        <w:pStyle w:val="Subsection"/>
        <w:rPr>
          <w:snapToGrid w:val="0"/>
        </w:rPr>
      </w:pPr>
      <w:r>
        <w:rPr>
          <w:snapToGrid w:val="0"/>
        </w:rPr>
        <w:tab/>
        <w:t>(3)</w:t>
      </w:r>
      <w:r>
        <w:rPr>
          <w:snapToGrid w:val="0"/>
        </w:rPr>
        <w:tab/>
        <w:t>Where a licence — </w:t>
      </w:r>
    </w:p>
    <w:p>
      <w:pPr>
        <w:pStyle w:val="Indenta"/>
        <w:rPr>
          <w:snapToGrid w:val="0"/>
        </w:rPr>
      </w:pPr>
      <w:r>
        <w:rPr>
          <w:snapToGrid w:val="0"/>
        </w:rPr>
        <w:tab/>
        <w:t>(a)</w:t>
      </w:r>
      <w:r>
        <w:rPr>
          <w:snapToGrid w:val="0"/>
        </w:rPr>
        <w:tab/>
        <w:t>expires;</w:t>
      </w:r>
    </w:p>
    <w:p>
      <w:pPr>
        <w:pStyle w:val="Indenta"/>
        <w:rPr>
          <w:snapToGrid w:val="0"/>
        </w:rPr>
      </w:pPr>
      <w:r>
        <w:rPr>
          <w:snapToGrid w:val="0"/>
        </w:rPr>
        <w:tab/>
        <w:t>(b)</w:t>
      </w:r>
      <w:r>
        <w:rPr>
          <w:snapToGrid w:val="0"/>
        </w:rPr>
        <w:tab/>
        <w:t>is surrendered as to the whole or a part of the pipeline in respect of which it is in force;</w:t>
      </w:r>
    </w:p>
    <w:p>
      <w:pPr>
        <w:pStyle w:val="Indenta"/>
        <w:rPr>
          <w:snapToGrid w:val="0"/>
        </w:rPr>
      </w:pPr>
      <w:r>
        <w:rPr>
          <w:snapToGrid w:val="0"/>
        </w:rPr>
        <w:tab/>
        <w:t>(c)</w:t>
      </w:r>
      <w:r>
        <w:rPr>
          <w:snapToGrid w:val="0"/>
        </w:rPr>
        <w:tab/>
        <w:t>is cancelled as to the whole or a part of the pipeline in respect of which it is in force,</w:t>
      </w:r>
    </w:p>
    <w:p>
      <w:pPr>
        <w:pStyle w:val="Subsection"/>
        <w:rPr>
          <w:snapToGrid w:val="0"/>
        </w:rPr>
      </w:pPr>
      <w:r>
        <w:rPr>
          <w:snapToGrid w:val="0"/>
        </w:rPr>
        <w:tab/>
      </w:r>
      <w:r>
        <w:rPr>
          <w:snapToGrid w:val="0"/>
        </w:rPr>
        <w:tab/>
        <w:t>the Minister shall notify in writing forthwith the Registrar of Titles or the Registrar of Deeds of the fact, according to whether the licence area or the part thereof on which is situated the whole or part of the pipeline as to which the licence has expired or was wholly or partly surrendered or cancelled — </w:t>
      </w:r>
    </w:p>
    <w:p>
      <w:pPr>
        <w:pStyle w:val="Indenta"/>
        <w:rPr>
          <w:snapToGrid w:val="0"/>
        </w:rPr>
      </w:pPr>
      <w:r>
        <w:rPr>
          <w:snapToGrid w:val="0"/>
        </w:rPr>
        <w:tab/>
        <w:t>(d)</w:t>
      </w:r>
      <w:r>
        <w:rPr>
          <w:snapToGrid w:val="0"/>
        </w:rPr>
        <w:tab/>
        <w:t xml:space="preserve">is under the operation of the </w:t>
      </w:r>
      <w:r>
        <w:rPr>
          <w:i/>
          <w:snapToGrid w:val="0"/>
        </w:rPr>
        <w:t>Transfer of Land Act 1893</w:t>
      </w:r>
      <w:r>
        <w:rPr>
          <w:snapToGrid w:val="0"/>
        </w:rPr>
        <w:t xml:space="preserve"> or the </w:t>
      </w:r>
      <w:r>
        <w:rPr>
          <w:i/>
          <w:snapToGrid w:val="0"/>
        </w:rPr>
        <w:t>Land Administration Act 1997</w:t>
      </w:r>
      <w:r>
        <w:rPr>
          <w:snapToGrid w:val="0"/>
        </w:rPr>
        <w:t>; or</w:t>
      </w:r>
    </w:p>
    <w:p>
      <w:pPr>
        <w:pStyle w:val="Indenta"/>
        <w:rPr>
          <w:snapToGrid w:val="0"/>
        </w:rPr>
      </w:pPr>
      <w:r>
        <w:rPr>
          <w:snapToGrid w:val="0"/>
        </w:rPr>
        <w:tab/>
        <w:t>(e)</w:t>
      </w:r>
      <w:r>
        <w:rPr>
          <w:snapToGrid w:val="0"/>
        </w:rPr>
        <w:tab/>
        <w:t xml:space="preserve">is alienated from the Crown but is not under the operation of the </w:t>
      </w:r>
      <w:r>
        <w:rPr>
          <w:i/>
          <w:snapToGrid w:val="0"/>
        </w:rPr>
        <w:t>Transfer of Land Act 1893</w:t>
      </w:r>
      <w:r>
        <w:rPr>
          <w:snapToGrid w:val="0"/>
        </w:rPr>
        <w:t>.</w:t>
      </w:r>
    </w:p>
    <w:p>
      <w:pPr>
        <w:pStyle w:val="Subsection"/>
        <w:rPr>
          <w:snapToGrid w:val="0"/>
        </w:rPr>
      </w:pPr>
      <w:r>
        <w:rPr>
          <w:snapToGrid w:val="0"/>
        </w:rPr>
        <w:tab/>
        <w:t>(4)</w:t>
      </w:r>
      <w:r>
        <w:rPr>
          <w:snapToGrid w:val="0"/>
        </w:rPr>
        <w:tab/>
        <w:t>On receipt of the notification pursuant to subsection (3), the Registrar of Titles or Registrar of Deeds, as the case may be, shall duly record the notification or cause it to be recorded; and thereupon any easement that has been recorded under section 19(4) over the licence area or the part thereof to which the notification relates, is, by force of this Act, extinguished and no compensation is payable in respect thereof.</w:t>
      </w:r>
    </w:p>
    <w:p>
      <w:pPr>
        <w:pStyle w:val="Indenta"/>
        <w:tabs>
          <w:tab w:val="left" w:pos="284"/>
        </w:tabs>
        <w:rPr>
          <w:snapToGrid w:val="0"/>
        </w:rPr>
      </w:pPr>
      <w:r>
        <w:rPr>
          <w:snapToGrid w:val="0"/>
        </w:rPr>
        <w:tab/>
        <w:t xml:space="preserve"> (5)</w:t>
      </w:r>
      <w:r>
        <w:rPr>
          <w:snapToGrid w:val="0"/>
        </w:rPr>
        <w:tab/>
        <w:t>(a)</w:t>
      </w:r>
      <w:r>
        <w:rPr>
          <w:snapToGrid w:val="0"/>
        </w:rPr>
        <w:tab/>
        <w:t>Where a transfer of a licence is registered under section 44, the Minister shall notify forthwith in writing the Registrar of Titles or Registrar of Deeds.</w:t>
      </w:r>
    </w:p>
    <w:p>
      <w:pPr>
        <w:pStyle w:val="Indenta"/>
        <w:rPr>
          <w:snapToGrid w:val="0"/>
        </w:rPr>
      </w:pPr>
      <w:r>
        <w:rPr>
          <w:snapToGrid w:val="0"/>
        </w:rPr>
        <w:tab/>
        <w:t>(b)</w:t>
      </w:r>
      <w:r>
        <w:rPr>
          <w:snapToGrid w:val="0"/>
        </w:rPr>
        <w:tab/>
        <w:t>Upon receipt of such notification the Registrar of Titles or Registrar of Deeds shall duly record on the document of title, in the Register of Deeds or in the appropriate register, as the case requires, that any easement that has been recorded under section 19(4) thereon or therein over the licence area or part thereof, has been transferred to the registered holder and thereupon, by force of this Act, the easement vests in the registered holder.</w:t>
      </w:r>
    </w:p>
    <w:p>
      <w:pPr>
        <w:pStyle w:val="Indenta"/>
        <w:tabs>
          <w:tab w:val="left" w:pos="284"/>
        </w:tabs>
        <w:rPr>
          <w:snapToGrid w:val="0"/>
        </w:rPr>
      </w:pPr>
      <w:r>
        <w:rPr>
          <w:snapToGrid w:val="0"/>
        </w:rPr>
        <w:tab/>
        <w:t xml:space="preserve"> (6)</w:t>
      </w:r>
      <w:r>
        <w:rPr>
          <w:snapToGrid w:val="0"/>
        </w:rPr>
        <w:tab/>
        <w:t>(a)</w:t>
      </w:r>
      <w:r>
        <w:rPr>
          <w:snapToGrid w:val="0"/>
        </w:rPr>
        <w:tab/>
        <w:t>Any person in possession of any deed, certificate or other instrument evidencing the title to any land over which any such easement as is referred to in subsection (4) is registered shall, upon receiving notice from the Registrar of Titles or Registrar of Deeds, deliver up to him such deed, certificate or instrument for the purpose of recording the extinguishment of the easement or the vesting of it in the registered holder, pursuant to this section, as the case may require.</w:t>
      </w:r>
    </w:p>
    <w:p>
      <w:pPr>
        <w:pStyle w:val="Indenta"/>
        <w:rPr>
          <w:snapToGrid w:val="0"/>
        </w:rPr>
      </w:pPr>
      <w:r>
        <w:rPr>
          <w:snapToGrid w:val="0"/>
        </w:rPr>
        <w:tab/>
        <w:t>(b)</w:t>
      </w:r>
      <w:r>
        <w:rPr>
          <w:snapToGrid w:val="0"/>
        </w:rPr>
        <w:tab/>
        <w:t>A person who fails to so deliver up any such deed, certificate or instrument after receiving a notice to do so is guilty of an offence against this Act.</w:t>
      </w:r>
    </w:p>
    <w:p>
      <w:pPr>
        <w:pStyle w:val="Penstart"/>
        <w:rPr>
          <w:snapToGrid w:val="0"/>
        </w:rPr>
      </w:pPr>
      <w:r>
        <w:rPr>
          <w:snapToGrid w:val="0"/>
        </w:rPr>
        <w:tab/>
        <w:t>Penalty: $500.</w:t>
      </w:r>
    </w:p>
    <w:p>
      <w:pPr>
        <w:pStyle w:val="Footnotesection"/>
      </w:pPr>
      <w:r>
        <w:tab/>
        <w:t>[Section 20 amended by No. 12 of 1990 s.127; No. 31 of 1997 s.77(5)</w:t>
      </w:r>
      <w:r>
        <w:noBreakHyphen/>
        <w:t xml:space="preserve">(8).] </w:t>
      </w:r>
    </w:p>
    <w:p>
      <w:pPr>
        <w:pStyle w:val="Heading5"/>
        <w:rPr>
          <w:snapToGrid w:val="0"/>
        </w:rPr>
      </w:pPr>
      <w:bookmarkStart w:id="76" w:name="_Toc464640076"/>
      <w:bookmarkStart w:id="77" w:name="_Toc483119620"/>
      <w:bookmarkStart w:id="78" w:name="_Toc131411188"/>
      <w:r>
        <w:rPr>
          <w:rStyle w:val="CharSectno"/>
        </w:rPr>
        <w:t>21</w:t>
      </w:r>
      <w:r>
        <w:rPr>
          <w:snapToGrid w:val="0"/>
        </w:rPr>
        <w:t>.</w:t>
      </w:r>
      <w:r>
        <w:rPr>
          <w:snapToGrid w:val="0"/>
        </w:rPr>
        <w:tab/>
        <w:t>Directions as to the conveyance of petroleum</w:t>
      </w:r>
      <w:bookmarkEnd w:id="76"/>
      <w:bookmarkEnd w:id="77"/>
      <w:bookmarkEnd w:id="78"/>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by instrument in writing served on a licensee, requests the licensee to enter into an agreement for the conveyance of petroleum through the pipeline specified in that licensee’s licence; and</w:t>
      </w:r>
    </w:p>
    <w:p>
      <w:pPr>
        <w:pStyle w:val="Indenta"/>
        <w:rPr>
          <w:snapToGrid w:val="0"/>
        </w:rPr>
      </w:pPr>
      <w:r>
        <w:rPr>
          <w:snapToGrid w:val="0"/>
        </w:rPr>
        <w:tab/>
        <w:t>(b)</w:t>
      </w:r>
      <w:r>
        <w:rPr>
          <w:snapToGrid w:val="0"/>
        </w:rPr>
        <w:tab/>
        <w:t>that person and the licensee do not, within a period of 3 months after the instrument is served on the licensee, enter into such an agreement,</w:t>
      </w:r>
    </w:p>
    <w:p>
      <w:pPr>
        <w:pStyle w:val="Subsection"/>
        <w:rPr>
          <w:snapToGrid w:val="0"/>
        </w:rPr>
      </w:pPr>
      <w:r>
        <w:rPr>
          <w:snapToGrid w:val="0"/>
        </w:rPr>
        <w:tab/>
      </w:r>
      <w:r>
        <w:rPr>
          <w:snapToGrid w:val="0"/>
        </w:rPr>
        <w:tab/>
        <w:t>that person may apply to the Minister for a direction under this section.</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set out the matters that the applicant wishes the Minister to consider in relation to the application.</w:t>
      </w:r>
    </w:p>
    <w:p>
      <w:pPr>
        <w:pStyle w:val="Subsection"/>
        <w:rPr>
          <w:snapToGrid w:val="0"/>
        </w:rPr>
      </w:pPr>
      <w:r>
        <w:rPr>
          <w:snapToGrid w:val="0"/>
        </w:rPr>
        <w:tab/>
        <w:t>(3)</w:t>
      </w:r>
      <w:r>
        <w:rPr>
          <w:snapToGrid w:val="0"/>
        </w:rPr>
        <w:tab/>
        <w:t>The Minister — </w:t>
      </w:r>
    </w:p>
    <w:p>
      <w:pPr>
        <w:pStyle w:val="Indenta"/>
        <w:rPr>
          <w:snapToGrid w:val="0"/>
        </w:rPr>
      </w:pPr>
      <w:r>
        <w:rPr>
          <w:snapToGrid w:val="0"/>
        </w:rPr>
        <w:tab/>
        <w:t>(a)</w:t>
      </w:r>
      <w:r>
        <w:rPr>
          <w:snapToGrid w:val="0"/>
        </w:rPr>
        <w:tab/>
        <w:t>shall serve notice of the application on the licensee;</w:t>
      </w:r>
    </w:p>
    <w:p>
      <w:pPr>
        <w:pStyle w:val="Indenta"/>
        <w:rPr>
          <w:snapToGrid w:val="0"/>
        </w:rPr>
      </w:pPr>
      <w:r>
        <w:rPr>
          <w:snapToGrid w:val="0"/>
        </w:rPr>
        <w:tab/>
        <w:t>(b)</w:t>
      </w:r>
      <w:r>
        <w:rPr>
          <w:snapToGrid w:val="0"/>
        </w:rPr>
        <w:tab/>
        <w:t>may serve notice of the application on such other persons, if any, as he thinks fit; and</w:t>
      </w:r>
    </w:p>
    <w:p>
      <w:pPr>
        <w:pStyle w:val="Indenta"/>
        <w:rPr>
          <w:snapToGrid w:val="0"/>
        </w:rPr>
      </w:pPr>
      <w:r>
        <w:rPr>
          <w:snapToGrid w:val="0"/>
        </w:rPr>
        <w:tab/>
        <w:t>(c)</w:t>
      </w:r>
      <w:r>
        <w:rPr>
          <w:snapToGrid w:val="0"/>
        </w:rPr>
        <w:tab/>
        <w:t>shall specify in any such notice a date on or before which the licensee or any other person on whom a notice is served may submit to the Minister in writing any matters that he wishes the Minister to consider in connection with the application.</w:t>
      </w:r>
    </w:p>
    <w:p>
      <w:pPr>
        <w:pStyle w:val="Subsection"/>
        <w:rPr>
          <w:snapToGrid w:val="0"/>
        </w:rPr>
      </w:pPr>
      <w:r>
        <w:rPr>
          <w:snapToGrid w:val="0"/>
        </w:rPr>
        <w:tab/>
        <w:t>(4)</w:t>
      </w:r>
      <w:r>
        <w:rPr>
          <w:snapToGrid w:val="0"/>
        </w:rPr>
        <w:tab/>
        <w:t>After considering any matters submitted to him under subsection (3) on or before the specified date and such matters as he thinks relevant, the Minister, by an instrument in writing served on the licensee and the applicant — </w:t>
      </w:r>
    </w:p>
    <w:p>
      <w:pPr>
        <w:pStyle w:val="Indenta"/>
        <w:rPr>
          <w:snapToGrid w:val="0"/>
        </w:rPr>
      </w:pPr>
      <w:r>
        <w:rPr>
          <w:snapToGrid w:val="0"/>
        </w:rPr>
        <w:tab/>
        <w:t>(a)</w:t>
      </w:r>
      <w:r>
        <w:rPr>
          <w:snapToGrid w:val="0"/>
        </w:rPr>
        <w:tab/>
        <w:t>may give to the licensee, to the applicant and to any other person lawfully entitled to use the pipeline, such directions as he thinks appropriate for or in relation to the use of the pipeline by the licensee, the applicant and any such other person; or</w:t>
      </w:r>
    </w:p>
    <w:p>
      <w:pPr>
        <w:pStyle w:val="Indenta"/>
        <w:rPr>
          <w:snapToGrid w:val="0"/>
        </w:rPr>
      </w:pPr>
      <w:r>
        <w:rPr>
          <w:snapToGrid w:val="0"/>
        </w:rPr>
        <w:tab/>
        <w:t>(b)</w:t>
      </w:r>
      <w:r>
        <w:rPr>
          <w:snapToGrid w:val="0"/>
        </w:rPr>
        <w:tab/>
        <w:t>may refuse the application.</w:t>
      </w:r>
    </w:p>
    <w:p>
      <w:pPr>
        <w:pStyle w:val="Subsection"/>
        <w:rPr>
          <w:snapToGrid w:val="0"/>
        </w:rPr>
      </w:pPr>
      <w:r>
        <w:rPr>
          <w:snapToGrid w:val="0"/>
        </w:rPr>
        <w:tab/>
        <w:t>(5)</w:t>
      </w:r>
      <w:r>
        <w:rPr>
          <w:snapToGrid w:val="0"/>
        </w:rPr>
        <w:tab/>
        <w:t>Without limiting the generality of subsection (4), directions under paragraph (a) of that subsection may include directions as to the amounts to be paid to the licensee by the applicant and any other person lawfully entitled to use the pipeline but any such direction shall be subject to the licensee’s right to convey its own petroleum through the pipeline in priority to any other petroleum to be so conveyed.</w:t>
      </w:r>
    </w:p>
    <w:p>
      <w:pPr>
        <w:pStyle w:val="Subsection"/>
        <w:rPr>
          <w:snapToGrid w:val="0"/>
        </w:rPr>
      </w:pPr>
      <w:r>
        <w:rPr>
          <w:snapToGrid w:val="0"/>
        </w:rPr>
        <w:tab/>
        <w:t>(6)</w:t>
      </w:r>
      <w:r>
        <w:rPr>
          <w:snapToGrid w:val="0"/>
        </w:rPr>
        <w:tab/>
        <w:t>A person to whom a direction is given under subsection (4) shall comply with the direction.</w:t>
      </w:r>
    </w:p>
    <w:p>
      <w:pPr>
        <w:pStyle w:val="Penstart"/>
        <w:rPr>
          <w:snapToGrid w:val="0"/>
        </w:rPr>
      </w:pPr>
      <w:r>
        <w:rPr>
          <w:snapToGrid w:val="0"/>
        </w:rPr>
        <w:tab/>
        <w:t>Penalty: $10 000.</w:t>
      </w:r>
    </w:p>
    <w:p>
      <w:pPr>
        <w:pStyle w:val="Subsection"/>
        <w:rPr>
          <w:snapToGrid w:val="0"/>
        </w:rPr>
      </w:pPr>
      <w:r>
        <w:rPr>
          <w:snapToGrid w:val="0"/>
        </w:rPr>
        <w:tab/>
        <w:t>(7)</w:t>
      </w:r>
      <w:r>
        <w:rPr>
          <w:snapToGrid w:val="0"/>
        </w:rPr>
        <w:tab/>
        <w:t>This section does not apply to a Code pipeline within the meaning of the Gas Pipelines Access (Western Australia) Law for which there is an approved Access Arrangement under that Law.</w:t>
      </w:r>
    </w:p>
    <w:p>
      <w:pPr>
        <w:pStyle w:val="Footnotesection"/>
      </w:pPr>
      <w:r>
        <w:tab/>
        <w:t xml:space="preserve">[Section 21 amended by No. 12 of 1990 s.128; No. 28 of 1994 s.77; No. 65 of 1998 s.89.] </w:t>
      </w:r>
    </w:p>
    <w:p>
      <w:pPr>
        <w:pStyle w:val="Heading5"/>
        <w:rPr>
          <w:snapToGrid w:val="0"/>
        </w:rPr>
      </w:pPr>
      <w:bookmarkStart w:id="79" w:name="_Toc464640077"/>
      <w:bookmarkStart w:id="80" w:name="_Toc483119621"/>
      <w:bookmarkStart w:id="81" w:name="_Toc131411189"/>
      <w:r>
        <w:rPr>
          <w:rStyle w:val="CharSectno"/>
        </w:rPr>
        <w:t>22</w:t>
      </w:r>
      <w:r>
        <w:rPr>
          <w:snapToGrid w:val="0"/>
        </w:rPr>
        <w:t>.</w:t>
      </w:r>
      <w:r>
        <w:rPr>
          <w:snapToGrid w:val="0"/>
        </w:rPr>
        <w:tab/>
        <w:t>Exemptions</w:t>
      </w:r>
      <w:bookmarkEnd w:id="79"/>
      <w:bookmarkEnd w:id="80"/>
      <w:bookmarkEnd w:id="8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under this Act, to be deemed to continue in force until the Minister grants, or refuses to grant, the renewal of the licence;</w:t>
      </w:r>
    </w:p>
    <w:p>
      <w:pPr>
        <w:pStyle w:val="Indenta"/>
        <w:rPr>
          <w:snapToGrid w:val="0"/>
        </w:rPr>
      </w:pPr>
      <w:r>
        <w:rPr>
          <w:snapToGrid w:val="0"/>
        </w:rPr>
        <w:tab/>
        <w:t>(b)</w:t>
      </w:r>
      <w:r>
        <w:rPr>
          <w:snapToGrid w:val="0"/>
        </w:rPr>
        <w:tab/>
        <w:t>a licence is varied under section 15;</w:t>
      </w:r>
    </w:p>
    <w:p>
      <w:pPr>
        <w:pStyle w:val="Indenta"/>
        <w:rPr>
          <w:snapToGrid w:val="0"/>
        </w:rPr>
      </w:pPr>
      <w:r>
        <w:rPr>
          <w:snapToGrid w:val="0"/>
        </w:rPr>
        <w:tab/>
        <w:t>(c)</w:t>
      </w:r>
      <w:r>
        <w:rPr>
          <w:snapToGrid w:val="0"/>
        </w:rPr>
        <w:tab/>
        <w:t>a licensee enters into an agreement referred to in section 21;</w:t>
      </w:r>
    </w:p>
    <w:p>
      <w:pPr>
        <w:pStyle w:val="Indenta"/>
        <w:rPr>
          <w:snapToGrid w:val="0"/>
        </w:rPr>
      </w:pPr>
      <w:r>
        <w:rPr>
          <w:snapToGrid w:val="0"/>
        </w:rPr>
        <w:tab/>
        <w:t>(d)</w:t>
      </w:r>
      <w:r>
        <w:rPr>
          <w:snapToGrid w:val="0"/>
        </w:rPr>
        <w:tab/>
        <w:t>a licence is cancelled as to part of the pipeline in respect of which it is in force;</w:t>
      </w:r>
    </w:p>
    <w:p>
      <w:pPr>
        <w:pStyle w:val="Indenta"/>
        <w:rPr>
          <w:snapToGrid w:val="0"/>
        </w:rPr>
      </w:pPr>
      <w:r>
        <w:rPr>
          <w:snapToGrid w:val="0"/>
        </w:rPr>
        <w:tab/>
        <w:t>(e)</w:t>
      </w:r>
      <w:r>
        <w:rPr>
          <w:snapToGrid w:val="0"/>
        </w:rPr>
        <w:tab/>
        <w:t>a licensee applies by instrument in writing served on the Minister, for a variation or suspension of, or exemption from compliance with, any of the conditions to which the licence is subject; or</w:t>
      </w:r>
    </w:p>
    <w:p>
      <w:pPr>
        <w:pStyle w:val="Indenta"/>
        <w:rPr>
          <w:snapToGrid w:val="0"/>
        </w:rPr>
      </w:pPr>
      <w:r>
        <w:rPr>
          <w:snapToGrid w:val="0"/>
        </w:rPr>
        <w:tab/>
        <w:t>(f)</w:t>
      </w:r>
      <w:r>
        <w:rPr>
          <w:snapToGrid w:val="0"/>
        </w:rPr>
        <w:tab/>
        <w:t>the Minister, under this Act or the regulations, gives a direction or consent to a licensee,</w:t>
      </w:r>
    </w:p>
    <w:p>
      <w:pPr>
        <w:pStyle w:val="Subsection"/>
        <w:rPr>
          <w:snapToGrid w:val="0"/>
        </w:rPr>
      </w:pPr>
      <w:r>
        <w:rPr>
          <w:snapToGrid w:val="0"/>
        </w:rPr>
        <w:tab/>
      </w:r>
      <w:r>
        <w:rPr>
          <w:snapToGrid w:val="0"/>
        </w:rPr>
        <w:tab/>
        <w:t>the Minister may, at any time, by instrument in writing served on the licensee, vary or suspend, or exempt the licensee from compliance with, any of the conditions to which the licence is subject, upon such conditions, if any, as the Minister determines and specifies in the instrument.</w:t>
      </w:r>
    </w:p>
    <w:p>
      <w:pPr>
        <w:pStyle w:val="Subsection"/>
        <w:rPr>
          <w:snapToGrid w:val="0"/>
        </w:rPr>
      </w:pPr>
      <w:r>
        <w:rPr>
          <w:snapToGrid w:val="0"/>
        </w:rPr>
        <w:tab/>
        <w:t>(1a)</w:t>
      </w:r>
      <w:r>
        <w:rPr>
          <w:snapToGrid w:val="0"/>
        </w:rPr>
        <w:tab/>
        <w:t>Subsection (1)(c) does not apply to the licensee under a licence in respect of a Code pipeline within the meaning of the Gas Pipelines Access (Western Australia) Law for which there is an approved Access Arrangement under that Law.</w:t>
      </w:r>
    </w:p>
    <w:p>
      <w:pPr>
        <w:pStyle w:val="Subsection"/>
        <w:rPr>
          <w:snapToGrid w:val="0"/>
        </w:rPr>
      </w:pPr>
      <w:r>
        <w:rPr>
          <w:snapToGrid w:val="0"/>
        </w:rPr>
        <w:tab/>
        <w:t>(2)</w:t>
      </w:r>
      <w:r>
        <w:rPr>
          <w:snapToGrid w:val="0"/>
        </w:rPr>
        <w:tab/>
        <w:t>Nothing in subsection (1) empowers the Minister to alter the term of a licence.</w:t>
      </w:r>
    </w:p>
    <w:p>
      <w:pPr>
        <w:pStyle w:val="Footnotesection"/>
      </w:pPr>
      <w:r>
        <w:tab/>
        <w:t>[Section 22 amended by No. 65 of 1998 s.89.]</w:t>
      </w:r>
    </w:p>
    <w:p>
      <w:pPr>
        <w:pStyle w:val="Heading5"/>
        <w:rPr>
          <w:snapToGrid w:val="0"/>
        </w:rPr>
      </w:pPr>
      <w:bookmarkStart w:id="82" w:name="_Toc464640078"/>
      <w:bookmarkStart w:id="83" w:name="_Toc483119622"/>
      <w:bookmarkStart w:id="84" w:name="_Toc131411190"/>
      <w:r>
        <w:rPr>
          <w:rStyle w:val="CharSectno"/>
        </w:rPr>
        <w:t>23</w:t>
      </w:r>
      <w:r>
        <w:rPr>
          <w:snapToGrid w:val="0"/>
        </w:rPr>
        <w:t>.</w:t>
      </w:r>
      <w:r>
        <w:rPr>
          <w:snapToGrid w:val="0"/>
        </w:rPr>
        <w:tab/>
        <w:t>Surrender of licence</w:t>
      </w:r>
      <w:bookmarkEnd w:id="82"/>
      <w:bookmarkEnd w:id="83"/>
      <w:bookmarkEnd w:id="84"/>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consent to surrender his licence as to the whole or a part of the pipeline in respect of which it is in force.</w:t>
      </w:r>
    </w:p>
    <w:p>
      <w:pPr>
        <w:pStyle w:val="Subsection"/>
        <w:keepNext/>
        <w:rPr>
          <w:snapToGrid w:val="0"/>
        </w:rPr>
      </w:pPr>
      <w:r>
        <w:rPr>
          <w:snapToGrid w:val="0"/>
        </w:rPr>
        <w:tab/>
        <w:t>(2)</w:t>
      </w:r>
      <w:r>
        <w:rPr>
          <w:snapToGrid w:val="0"/>
        </w:rPr>
        <w:tab/>
        <w:t>Subject to subsection (3), a consent, under subsection (1), to the surrender of a licence shall not be given unless the licensee — </w:t>
      </w:r>
    </w:p>
    <w:p>
      <w:pPr>
        <w:pStyle w:val="Indenta"/>
        <w:rPr>
          <w:snapToGrid w:val="0"/>
        </w:rPr>
      </w:pPr>
      <w:r>
        <w:rPr>
          <w:snapToGrid w:val="0"/>
        </w:rPr>
        <w:tab/>
        <w:t>(a)</w:t>
      </w:r>
      <w:r>
        <w:rPr>
          <w:snapToGrid w:val="0"/>
        </w:rPr>
        <w:tab/>
        <w:t>has paid all amounts payable by him under this Act or has made arrangements which are satisfactory to the Minister for the payment of those amounts;</w:t>
      </w:r>
    </w:p>
    <w:p>
      <w:pPr>
        <w:pStyle w:val="Indenta"/>
        <w:rPr>
          <w:snapToGrid w:val="0"/>
        </w:rPr>
      </w:pPr>
      <w:r>
        <w:rPr>
          <w:snapToGrid w:val="0"/>
        </w:rPr>
        <w:tab/>
        <w:t>(b)</w:t>
      </w:r>
      <w:r>
        <w:rPr>
          <w:snapToGrid w:val="0"/>
        </w:rPr>
        <w:tab/>
        <w:t>has complied with the conditions to which the licence is subject and with the provisions of this Act and of the regulations;</w:t>
      </w:r>
    </w:p>
    <w:p>
      <w:pPr>
        <w:pStyle w:val="Indenta"/>
        <w:rPr>
          <w:snapToGrid w:val="0"/>
        </w:rPr>
      </w:pPr>
      <w:r>
        <w:rPr>
          <w:snapToGrid w:val="0"/>
        </w:rPr>
        <w:tab/>
        <w:t>(c)</w:t>
      </w:r>
      <w:r>
        <w:rPr>
          <w:snapToGrid w:val="0"/>
        </w:rPr>
        <w:tab/>
        <w:t>has, where the Minister, by an instrument in writing served on the licensee, has required him to do so, caused to be published in such newspapers as may be specified in the instrument, notice of the licensee’s intention to apply for consent to surrender the licence as to the whole or a part of the pipeline in respect of which it is in force and has in that notice specified a date not being earlier than one month after publication of the notice on or before which any person having an interest in any land in the licence area may, by instrument in writing served on the Minister, submit any matters that he wishes to be considered in connection with the application for the consent; and</w:t>
      </w:r>
    </w:p>
    <w:p>
      <w:pPr>
        <w:pStyle w:val="Indenta"/>
        <w:rPr>
          <w:snapToGrid w:val="0"/>
        </w:rPr>
      </w:pPr>
      <w:r>
        <w:rPr>
          <w:snapToGrid w:val="0"/>
        </w:rPr>
        <w:tab/>
        <w:t>(d)</w:t>
      </w:r>
      <w:r>
        <w:rPr>
          <w:snapToGrid w:val="0"/>
        </w:rPr>
        <w:tab/>
        <w:t>has, to the extent that he is required to do so by the Minister and to the satisfaction of the Minister, removed or caused to be removed from the area to which the surrender relates, property brought into that area by any person engaged or concerned in the operations authorised by the licence, or has made arrangements that are satisfactory to the Minister for the removal or disposal of that property.</w:t>
      </w:r>
    </w:p>
    <w:p>
      <w:pPr>
        <w:pStyle w:val="Subsection"/>
        <w:rPr>
          <w:snapToGrid w:val="0"/>
        </w:rPr>
      </w:pPr>
      <w:r>
        <w:rPr>
          <w:snapToGrid w:val="0"/>
        </w:rPr>
        <w:tab/>
        <w:t>(3)</w:t>
      </w:r>
      <w:r>
        <w:rPr>
          <w:snapToGrid w:val="0"/>
        </w:rPr>
        <w:tab/>
        <w:t>Where a licensee has not complied with the conditions to which the licence is subject and with the provisions of this Act and of the regulations, the Minister may give his consent to the surrender of a licence under subsection (1) if he is satisfied that, although the licensee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licence accordingly.</w:t>
      </w:r>
    </w:p>
    <w:p>
      <w:pPr>
        <w:pStyle w:val="Heading5"/>
        <w:rPr>
          <w:snapToGrid w:val="0"/>
        </w:rPr>
      </w:pPr>
      <w:bookmarkStart w:id="85" w:name="_Toc464640079"/>
      <w:bookmarkStart w:id="86" w:name="_Toc483119623"/>
      <w:bookmarkStart w:id="87" w:name="_Toc131411191"/>
      <w:r>
        <w:rPr>
          <w:rStyle w:val="CharSectno"/>
        </w:rPr>
        <w:t>24</w:t>
      </w:r>
      <w:r>
        <w:rPr>
          <w:snapToGrid w:val="0"/>
        </w:rPr>
        <w:t>.</w:t>
      </w:r>
      <w:r>
        <w:rPr>
          <w:snapToGrid w:val="0"/>
        </w:rPr>
        <w:tab/>
        <w:t>Cancellation of licences for breach of conditions, the Act or regulations or non</w:t>
      </w:r>
      <w:r>
        <w:rPr>
          <w:snapToGrid w:val="0"/>
        </w:rPr>
        <w:noBreakHyphen/>
        <w:t>payment of amounts due</w:t>
      </w:r>
      <w:bookmarkEnd w:id="85"/>
      <w:bookmarkEnd w:id="86"/>
      <w:bookmarkEnd w:id="87"/>
      <w:r>
        <w:rPr>
          <w:snapToGrid w:val="0"/>
        </w:rPr>
        <w:t xml:space="preserve"> </w:t>
      </w:r>
    </w:p>
    <w:p>
      <w:pPr>
        <w:pStyle w:val="Subsection"/>
        <w:keepNext/>
        <w:rPr>
          <w:snapToGrid w:val="0"/>
        </w:rPr>
      </w:pPr>
      <w:r>
        <w:rPr>
          <w:snapToGrid w:val="0"/>
        </w:rPr>
        <w:tab/>
        <w:t>(1)</w:t>
      </w:r>
      <w:r>
        <w:rPr>
          <w:snapToGrid w:val="0"/>
        </w:rPr>
        <w:tab/>
        <w:t>Where a licensee — </w:t>
      </w:r>
    </w:p>
    <w:p>
      <w:pPr>
        <w:pStyle w:val="Indenta"/>
        <w:rPr>
          <w:snapToGrid w:val="0"/>
        </w:rPr>
      </w:pPr>
      <w:r>
        <w:rPr>
          <w:snapToGrid w:val="0"/>
        </w:rPr>
        <w:tab/>
        <w:t>(a)</w:t>
      </w:r>
      <w:r>
        <w:rPr>
          <w:snapToGrid w:val="0"/>
        </w:rPr>
        <w:tab/>
        <w:t>has not complied with a condition to which the licence is subject;</w:t>
      </w:r>
    </w:p>
    <w:p>
      <w:pPr>
        <w:pStyle w:val="Indenta"/>
        <w:rPr>
          <w:snapToGrid w:val="0"/>
        </w:rPr>
      </w:pPr>
      <w:r>
        <w:rPr>
          <w:snapToGrid w:val="0"/>
        </w:rPr>
        <w:tab/>
        <w:t>(b)</w:t>
      </w:r>
      <w:r>
        <w:rPr>
          <w:snapToGrid w:val="0"/>
        </w:rPr>
        <w:tab/>
        <w:t>has not complied with a provision of this Act or of the regulations; or</w:t>
      </w:r>
    </w:p>
    <w:p>
      <w:pPr>
        <w:pStyle w:val="Indenta"/>
        <w:rPr>
          <w:snapToGrid w:val="0"/>
        </w:rPr>
      </w:pPr>
      <w:r>
        <w:rPr>
          <w:snapToGrid w:val="0"/>
        </w:rPr>
        <w:tab/>
        <w:t>(c)</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licensee, cancel the licence as to the whole or a part of the pipeline in respect of which it is in force.</w:t>
      </w:r>
    </w:p>
    <w:p>
      <w:pPr>
        <w:pStyle w:val="Subsection"/>
        <w:rPr>
          <w:snapToGrid w:val="0"/>
        </w:rPr>
      </w:pPr>
      <w:r>
        <w:rPr>
          <w:snapToGrid w:val="0"/>
        </w:rPr>
        <w:tab/>
        <w:t>(2)</w:t>
      </w:r>
      <w:r>
        <w:rPr>
          <w:snapToGrid w:val="0"/>
        </w:rPr>
        <w:tab/>
        <w:t>A licence shall not, under subsection (1), be cancelled as mentioned in that subsection on a ground referred to in that subsection unless — </w:t>
      </w:r>
    </w:p>
    <w:p>
      <w:pPr>
        <w:pStyle w:val="Indenta"/>
        <w:rPr>
          <w:snapToGrid w:val="0"/>
        </w:rPr>
      </w:pPr>
      <w:r>
        <w:rPr>
          <w:snapToGrid w:val="0"/>
        </w:rPr>
        <w:tab/>
        <w:t>(a)</w:t>
      </w:r>
      <w:r>
        <w:rPr>
          <w:snapToGrid w:val="0"/>
        </w:rPr>
        <w:tab/>
        <w:t>the Minister has, by instrument in writing served on the licensee, given not less than one month’s notice of his intention so to cancel the licence on that ground;</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specified a date on or before which the licensee or any person on whom a copy of the instrument is served may, by instrument in writing served on the Minister, submit any matters that he wishes to be considered in connection with the cancellation of the licence;</w:t>
      </w:r>
    </w:p>
    <w:p>
      <w:pPr>
        <w:pStyle w:val="Indenta"/>
        <w:rPr>
          <w:snapToGrid w:val="0"/>
        </w:rPr>
      </w:pPr>
      <w:r>
        <w:rPr>
          <w:snapToGrid w:val="0"/>
        </w:rPr>
        <w:tab/>
        <w:t>(d)</w:t>
      </w:r>
      <w:r>
        <w:rPr>
          <w:snapToGrid w:val="0"/>
        </w:rPr>
        <w:tab/>
        <w:t>the Minister has caused to be published in such newspapers as he thinks fit, notice of his intention so to cancel the licence on that ground and has, in that notice, specified a date on or before which any person having an interest in any land in the licence area may submit any matters that he wishes to be considered in connection with the cancellation of the licence; and</w:t>
      </w:r>
    </w:p>
    <w:p>
      <w:pPr>
        <w:pStyle w:val="Indenta"/>
        <w:rPr>
          <w:snapToGrid w:val="0"/>
        </w:rPr>
      </w:pPr>
      <w:r>
        <w:rPr>
          <w:snapToGrid w:val="0"/>
        </w:rPr>
        <w:tab/>
        <w:t>(e)</w:t>
      </w:r>
      <w:r>
        <w:rPr>
          <w:snapToGrid w:val="0"/>
        </w:rPr>
        <w:tab/>
        <w:t>the Minister has taken into account — </w:t>
      </w:r>
    </w:p>
    <w:p>
      <w:pPr>
        <w:pStyle w:val="Indenti"/>
        <w:rPr>
          <w:snapToGrid w:val="0"/>
        </w:rPr>
      </w:pPr>
      <w:r>
        <w:rPr>
          <w:snapToGrid w:val="0"/>
        </w:rPr>
        <w:tab/>
        <w:t>(i)</w:t>
      </w:r>
      <w:r>
        <w:rPr>
          <w:snapToGrid w:val="0"/>
        </w:rPr>
        <w:tab/>
        <w:t>any action taken by the licensee to remove that ground or to prevent the recurrence of similar grounds; and</w:t>
      </w:r>
    </w:p>
    <w:p>
      <w:pPr>
        <w:pStyle w:val="Indenti"/>
        <w:rPr>
          <w:snapToGrid w:val="0"/>
        </w:rPr>
      </w:pPr>
      <w:r>
        <w:rPr>
          <w:snapToGrid w:val="0"/>
        </w:rPr>
        <w:tab/>
        <w:t>(ii)</w:t>
      </w:r>
      <w:r>
        <w:rPr>
          <w:snapToGrid w:val="0"/>
        </w:rPr>
        <w:tab/>
        <w:t>particulars of any matters submitted under paragraph (c) on or before the date specified under that paragraph or under paragraph (d) on or before the date specified under that paragraph.</w:t>
      </w:r>
    </w:p>
    <w:p>
      <w:pPr>
        <w:pStyle w:val="Heading5"/>
        <w:rPr>
          <w:snapToGrid w:val="0"/>
        </w:rPr>
      </w:pPr>
      <w:bookmarkStart w:id="88" w:name="_Toc464640080"/>
      <w:bookmarkStart w:id="89" w:name="_Toc483119624"/>
      <w:bookmarkStart w:id="90" w:name="_Toc131411192"/>
      <w:r>
        <w:rPr>
          <w:rStyle w:val="CharSectno"/>
        </w:rPr>
        <w:t>25</w:t>
      </w:r>
      <w:r>
        <w:rPr>
          <w:snapToGrid w:val="0"/>
        </w:rPr>
        <w:t>.</w:t>
      </w:r>
      <w:r>
        <w:rPr>
          <w:snapToGrid w:val="0"/>
        </w:rPr>
        <w:tab/>
      </w:r>
      <w:bookmarkEnd w:id="88"/>
      <w:r>
        <w:rPr>
          <w:snapToGrid w:val="0"/>
        </w:rPr>
        <w:t>Change in position or route of pipeline</w:t>
      </w:r>
      <w:bookmarkEnd w:id="89"/>
      <w:bookmarkEnd w:id="90"/>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or a Minister of State of the Commonwealth; or</w:t>
      </w:r>
    </w:p>
    <w:p>
      <w:pPr>
        <w:pStyle w:val="Indenti"/>
        <w:rPr>
          <w:snapToGrid w:val="0"/>
        </w:rPr>
      </w:pPr>
      <w:r>
        <w:rPr>
          <w:snapToGrid w:val="0"/>
        </w:rPr>
        <w:tab/>
        <w:t>(ii)</w:t>
      </w:r>
      <w:r>
        <w:rPr>
          <w:snapToGrid w:val="0"/>
        </w:rPr>
        <w:tab/>
        <w:t>a body established by a law of the State or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 and the Minister or body making the request has given security, to the satisfaction of the Minister, for the payment of any amount payable to a licensee under subsection (5),</w:t>
      </w:r>
    </w:p>
    <w:p>
      <w:pPr>
        <w:pStyle w:val="Subsection"/>
        <w:rPr>
          <w:snapToGrid w:val="0"/>
        </w:rPr>
      </w:pPr>
      <w:r>
        <w:rPr>
          <w:snapToGrid w:val="0"/>
        </w:rPr>
        <w:tab/>
      </w:r>
      <w:r>
        <w:rPr>
          <w:snapToGrid w:val="0"/>
        </w:rPr>
        <w:tab/>
        <w:t>by instrument in writing served on the licensee, direct the licensee to make such changes in the route or position of the licensee’s pipeline as are specified in the instrument.</w:t>
      </w:r>
    </w:p>
    <w:p>
      <w:pPr>
        <w:pStyle w:val="Subsection"/>
        <w:keepNext/>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rPr>
          <w:snapToGrid w:val="0"/>
        </w:rPr>
      </w:pPr>
      <w:r>
        <w:rPr>
          <w:snapToGrid w:val="0"/>
        </w:rPr>
        <w:tab/>
        <w:t>(3)</w:t>
      </w:r>
      <w:r>
        <w:rPr>
          <w:snapToGrid w:val="0"/>
        </w:rPr>
        <w:tab/>
        <w:t>Where the Minister gives a direction under subsection (1) and the licensee to whom the direction is given complies with the direction, the licensee may bring an action in the Supreme Court against the Minister or body making the request.</w:t>
      </w:r>
    </w:p>
    <w:p>
      <w:pPr>
        <w:pStyle w:val="Subsection"/>
        <w:rPr>
          <w:snapToGrid w:val="0"/>
        </w:rPr>
      </w:pPr>
      <w:r>
        <w:rPr>
          <w:snapToGrid w:val="0"/>
        </w:rPr>
        <w:tab/>
        <w:t>(4)</w:t>
      </w:r>
      <w:r>
        <w:rPr>
          <w:snapToGrid w:val="0"/>
        </w:rPr>
        <w:tab/>
        <w:t>The Supreme Court shall hear the action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 xml:space="preserve">[Section 25 amended by No. 12 of 1990 s.129.] </w:t>
      </w:r>
    </w:p>
    <w:p>
      <w:pPr>
        <w:pStyle w:val="Heading5"/>
        <w:rPr>
          <w:snapToGrid w:val="0"/>
        </w:rPr>
      </w:pPr>
      <w:bookmarkStart w:id="91" w:name="_Toc464640081"/>
      <w:bookmarkStart w:id="92" w:name="_Toc483119625"/>
      <w:bookmarkStart w:id="93" w:name="_Toc131411193"/>
      <w:r>
        <w:rPr>
          <w:rStyle w:val="CharSectno"/>
        </w:rPr>
        <w:t>26</w:t>
      </w:r>
      <w:r>
        <w:rPr>
          <w:snapToGrid w:val="0"/>
        </w:rPr>
        <w:t>.</w:t>
      </w:r>
      <w:r>
        <w:rPr>
          <w:snapToGrid w:val="0"/>
        </w:rPr>
        <w:tab/>
        <w:t>Cancellation of licences not affected by other provisions</w:t>
      </w:r>
      <w:bookmarkEnd w:id="91"/>
      <w:bookmarkEnd w:id="92"/>
      <w:bookmarkEnd w:id="93"/>
      <w:r>
        <w:rPr>
          <w:snapToGrid w:val="0"/>
        </w:rPr>
        <w:t xml:space="preserve"> </w:t>
      </w:r>
    </w:p>
    <w:p>
      <w:pPr>
        <w:pStyle w:val="Subsection"/>
        <w:rPr>
          <w:snapToGrid w:val="0"/>
        </w:rPr>
      </w:pPr>
      <w:r>
        <w:rPr>
          <w:snapToGrid w:val="0"/>
        </w:rPr>
        <w:tab/>
        <w:t>(1)</w:t>
      </w:r>
      <w:r>
        <w:rPr>
          <w:snapToGrid w:val="0"/>
        </w:rPr>
        <w:tab/>
        <w:t>A licence may be wholly cancelled or partly cancelled on the ground that the licensee has not complied with a provision of this Act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licence that has been wholly cancelled, or is the registered holder of a licence that has been partly cancelled, on the ground that he has not complied with a provision of this Act or of the regulations, may be convicted of an offence by reason of his failure to comply with the provision, notwithstanding that the licence has been so cancelled.</w:t>
      </w:r>
    </w:p>
    <w:p>
      <w:pPr>
        <w:pStyle w:val="Subsection"/>
        <w:rPr>
          <w:snapToGrid w:val="0"/>
        </w:rPr>
      </w:pPr>
      <w:r>
        <w:rPr>
          <w:snapToGrid w:val="0"/>
        </w:rPr>
        <w:tab/>
        <w:t>(3)</w:t>
      </w:r>
      <w:r>
        <w:rPr>
          <w:snapToGrid w:val="0"/>
        </w:rPr>
        <w:tab/>
        <w:t>A licence may be wholly cancelled or partly cancelled on the ground that the licensee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licence that has been wholly cancelled, or is the registered holder of a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licence has been so cancelled.</w:t>
      </w:r>
    </w:p>
    <w:p>
      <w:pPr>
        <w:pStyle w:val="Heading5"/>
        <w:rPr>
          <w:snapToGrid w:val="0"/>
        </w:rPr>
      </w:pPr>
      <w:bookmarkStart w:id="94" w:name="_Toc464640082"/>
      <w:bookmarkStart w:id="95" w:name="_Toc483119626"/>
      <w:bookmarkStart w:id="96" w:name="_Toc131411194"/>
      <w:r>
        <w:rPr>
          <w:rStyle w:val="CharSectno"/>
        </w:rPr>
        <w:t>27</w:t>
      </w:r>
      <w:r>
        <w:rPr>
          <w:snapToGrid w:val="0"/>
        </w:rPr>
        <w:t>.</w:t>
      </w:r>
      <w:r>
        <w:rPr>
          <w:snapToGrid w:val="0"/>
        </w:rPr>
        <w:tab/>
        <w:t>Removal of property etc. by licensee</w:t>
      </w:r>
      <w:bookmarkEnd w:id="94"/>
      <w:bookmarkEnd w:id="95"/>
      <w:bookmarkEnd w:id="96"/>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the Minister may, by instrument in writing served on the person who was, or is, as the case may be, the licensee, direct that person to do either or both of the following things — </w:t>
      </w:r>
    </w:p>
    <w:p>
      <w:pPr>
        <w:pStyle w:val="Indenta"/>
        <w:rPr>
          <w:snapToGrid w:val="0"/>
        </w:rPr>
      </w:pPr>
      <w:r>
        <w:rPr>
          <w:snapToGrid w:val="0"/>
        </w:rPr>
        <w:tab/>
        <w:t>(a)</w:t>
      </w:r>
      <w:r>
        <w:rPr>
          <w:snapToGrid w:val="0"/>
        </w:rPr>
        <w:tab/>
        <w:t>remove or cause to be removed from the relinquished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relinquished area caused by the removal of the property; and</w:t>
      </w:r>
    </w:p>
    <w:p>
      <w:pPr>
        <w:pStyle w:val="Indenta"/>
        <w:rPr>
          <w:snapToGrid w:val="0"/>
        </w:rPr>
      </w:pPr>
      <w:r>
        <w:rPr>
          <w:snapToGrid w:val="0"/>
        </w:rPr>
        <w:tab/>
        <w:t>(b)</w:t>
      </w:r>
      <w:r>
        <w:rPr>
          <w:snapToGrid w:val="0"/>
        </w:rPr>
        <w:tab/>
        <w:t>make good, to the satisfaction of the Minister, any damage to the relinquished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(2)</w:t>
      </w:r>
      <w:r>
        <w:rPr>
          <w:snapToGrid w:val="0"/>
        </w:rPr>
        <w:tab/>
        <w:t>The Minister may, by instrument in writing served on a licensee, direct him to do either or both of the following things — </w:t>
      </w:r>
    </w:p>
    <w:p>
      <w:pPr>
        <w:pStyle w:val="Indenta"/>
        <w:rPr>
          <w:snapToGrid w:val="0"/>
        </w:rPr>
      </w:pPr>
      <w:r>
        <w:rPr>
          <w:snapToGrid w:val="0"/>
        </w:rPr>
        <w:tab/>
        <w:t>(a)</w:t>
      </w:r>
      <w:r>
        <w:rPr>
          <w:snapToGrid w:val="0"/>
        </w:rPr>
        <w:tab/>
        <w:t>remove or cause to be removed from the licence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licence area caused by the removal of the property; and</w:t>
      </w:r>
    </w:p>
    <w:p>
      <w:pPr>
        <w:pStyle w:val="Indenta"/>
        <w:rPr>
          <w:snapToGrid w:val="0"/>
        </w:rPr>
      </w:pPr>
      <w:r>
        <w:rPr>
          <w:snapToGrid w:val="0"/>
        </w:rPr>
        <w:tab/>
        <w:t>(b)</w:t>
      </w:r>
      <w:r>
        <w:rPr>
          <w:snapToGrid w:val="0"/>
        </w:rPr>
        <w:tab/>
        <w:t>make good, to the satisfaction of the Minister, any damage to the licence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(3)</w:t>
      </w:r>
      <w:r>
        <w:rPr>
          <w:snapToGrid w:val="0"/>
        </w:rPr>
        <w:tab/>
        <w:t>A direction under subsection (1)(a) or (2)(a) may specify the manner in which the property, or any of the property specified in the direction, shall be removed.</w:t>
      </w:r>
    </w:p>
    <w:p>
      <w:pPr>
        <w:pStyle w:val="Subsection"/>
        <w:rPr>
          <w:snapToGrid w:val="0"/>
        </w:rPr>
      </w:pPr>
      <w:r>
        <w:rPr>
          <w:snapToGrid w:val="0"/>
        </w:rPr>
        <w:tab/>
        <w:t>(4)</w:t>
      </w:r>
      <w:r>
        <w:rPr>
          <w:snapToGrid w:val="0"/>
        </w:rPr>
        <w:tab/>
        <w:t>A person to whom a direction is given under either subsection (1) or (2) shall comply with the direction —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licence.</w:t>
      </w:r>
    </w:p>
    <w:p>
      <w:pPr>
        <w:pStyle w:val="Penstart"/>
        <w:rPr>
          <w:snapToGrid w:val="0"/>
        </w:rPr>
      </w:pPr>
      <w:r>
        <w:rPr>
          <w:snapToGrid w:val="0"/>
        </w:rPr>
        <w:tab/>
        <w:t>Penalty: $10 000.</w:t>
      </w:r>
    </w:p>
    <w:p>
      <w:pPr>
        <w:pStyle w:val="Footnotesection"/>
      </w:pPr>
      <w:r>
        <w:tab/>
        <w:t xml:space="preserve">[Section 27 amended by No. 12 of 1990 s.130.] </w:t>
      </w:r>
    </w:p>
    <w:p>
      <w:pPr>
        <w:pStyle w:val="Heading5"/>
        <w:rPr>
          <w:snapToGrid w:val="0"/>
        </w:rPr>
      </w:pPr>
      <w:bookmarkStart w:id="97" w:name="_Toc464640083"/>
      <w:bookmarkStart w:id="98" w:name="_Toc483119627"/>
      <w:bookmarkStart w:id="99" w:name="_Toc131411195"/>
      <w:r>
        <w:rPr>
          <w:rStyle w:val="CharSectno"/>
        </w:rPr>
        <w:t>28</w:t>
      </w:r>
      <w:r>
        <w:rPr>
          <w:snapToGrid w:val="0"/>
        </w:rPr>
        <w:t>.</w:t>
      </w:r>
      <w:r>
        <w:rPr>
          <w:snapToGrid w:val="0"/>
        </w:rPr>
        <w:tab/>
        <w:t>Powers of Minister where direction not complied with</w:t>
      </w:r>
      <w:bookmarkEnd w:id="97"/>
      <w:bookmarkEnd w:id="98"/>
      <w:bookmarkEnd w:id="99"/>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and — </w:t>
      </w:r>
    </w:p>
    <w:p>
      <w:pPr>
        <w:pStyle w:val="Indenta"/>
        <w:rPr>
          <w:snapToGrid w:val="0"/>
        </w:rPr>
      </w:pPr>
      <w:r>
        <w:rPr>
          <w:snapToGrid w:val="0"/>
        </w:rPr>
        <w:tab/>
        <w:t>(a)</w:t>
      </w:r>
      <w:r>
        <w:rPr>
          <w:snapToGrid w:val="0"/>
        </w:rPr>
        <w:tab/>
        <w:t xml:space="preserve">a direction referred to in section 27(1)(a) or (2)(a) for the removal of property from the relinquished area has not been complied with, the Minister may, by instrument published in the </w:t>
      </w:r>
      <w:r>
        <w:rPr>
          <w:i/>
          <w:snapToGrid w:val="0"/>
        </w:rPr>
        <w:t>Government Gazette</w:t>
      </w:r>
      <w:r>
        <w:rPr>
          <w:snapToGrid w:val="0"/>
        </w:rPr>
        <w:t>, direct that the owner or owners of the property shall remove it from that area within the period specified in the instrument and shall serve a copy of the instrument on each person whom he believes to be an owner of that property or part of that property;</w:t>
      </w:r>
    </w:p>
    <w:p>
      <w:pPr>
        <w:pStyle w:val="Indenta"/>
        <w:rPr>
          <w:snapToGrid w:val="0"/>
        </w:rPr>
      </w:pPr>
      <w:r>
        <w:rPr>
          <w:snapToGrid w:val="0"/>
        </w:rPr>
        <w:tab/>
        <w:t>(b)</w:t>
      </w:r>
      <w:r>
        <w:rPr>
          <w:snapToGrid w:val="0"/>
        </w:rPr>
        <w:tab/>
        <w:t>a direction referred to in section 27(1)(a) or (2)(a) for the removal of property from the relinquished area has been complied with, but any damage to the relinquished area or to the licence area, as the case may be, caused by the removal of the property has not been made good to the satisfaction of the Minister, the Minister may make good the damage in such manner as he thinks fit; or</w:t>
      </w:r>
    </w:p>
    <w:p>
      <w:pPr>
        <w:pStyle w:val="Indenta"/>
        <w:rPr>
          <w:snapToGrid w:val="0"/>
        </w:rPr>
      </w:pPr>
      <w:r>
        <w:rPr>
          <w:snapToGrid w:val="0"/>
        </w:rPr>
        <w:tab/>
        <w:t>(c)</w:t>
      </w:r>
      <w:r>
        <w:rPr>
          <w:snapToGrid w:val="0"/>
        </w:rPr>
        <w:tab/>
        <w:t>a direction referred to in section 27(1)(b) or (2)(b) has not been complied with, the Minister may do all or any of the things required by the direction to be done.</w:t>
      </w:r>
    </w:p>
    <w:p>
      <w:pPr>
        <w:pStyle w:val="Subsection"/>
        <w:rPr>
          <w:snapToGrid w:val="0"/>
        </w:rPr>
      </w:pPr>
      <w:r>
        <w:rPr>
          <w:snapToGrid w:val="0"/>
        </w:rPr>
        <w:tab/>
        <w:t>(2)</w:t>
      </w:r>
      <w:r>
        <w:rPr>
          <w:snapToGrid w:val="0"/>
        </w:rPr>
        <w:tab/>
        <w:t>Where any property has not been removed from the relinquished area in accordance with a direction under subsection (1)(a), the Minister may do all or any of the following things — </w:t>
      </w:r>
    </w:p>
    <w:p>
      <w:pPr>
        <w:pStyle w:val="Indenta"/>
        <w:rPr>
          <w:snapToGrid w:val="0"/>
        </w:rPr>
      </w:pPr>
      <w:r>
        <w:rPr>
          <w:snapToGrid w:val="0"/>
        </w:rPr>
        <w:tab/>
        <w:t>(a)</w:t>
      </w:r>
      <w:r>
        <w:rPr>
          <w:snapToGrid w:val="0"/>
        </w:rPr>
        <w:tab/>
        <w:t>remove, in such manner as he thinks fit, all or any of that property from the relinquished area concerned;</w:t>
      </w:r>
    </w:p>
    <w:p>
      <w:pPr>
        <w:pStyle w:val="Indenta"/>
        <w:rPr>
          <w:snapToGrid w:val="0"/>
        </w:rPr>
      </w:pPr>
      <w:r>
        <w:rPr>
          <w:snapToGrid w:val="0"/>
        </w:rPr>
        <w:tab/>
        <w:t>(b)</w:t>
      </w:r>
      <w:r>
        <w:rPr>
          <w:snapToGrid w:val="0"/>
        </w:rPr>
        <w:tab/>
        <w:t>dispose of, in such a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the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(3)</w:t>
      </w:r>
      <w:r>
        <w:rPr>
          <w:snapToGrid w:val="0"/>
        </w:rPr>
        <w:tab/>
        <w:t>The Minister may deduct from the proceeds of a sale under subsection (2)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spacing w:val="-4"/>
        </w:rPr>
      </w:pPr>
      <w:r>
        <w:rPr>
          <w:snapToGrid w:val="0"/>
          <w:spacing w:val="-4"/>
        </w:rPr>
        <w:tab/>
        <w:t>(b)</w:t>
      </w:r>
      <w:r>
        <w:rPr>
          <w:snapToGrid w:val="0"/>
          <w:spacing w:val="-4"/>
        </w:rPr>
        <w:tab/>
        <w:t>all or any part of any costs and expenses incurred by him in relation to the doing of any thing required by a direction under section 27(1)(b) or (2)(b) to be done by that person;</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(4)</w:t>
      </w:r>
      <w:r>
        <w:rPr>
          <w:snapToGrid w:val="0"/>
        </w:rPr>
        <w:tab/>
        <w:t>Costs and expenses incurred by the Minister under subsection (2) — </w:t>
      </w:r>
    </w:p>
    <w:p>
      <w:pPr>
        <w:pStyle w:val="Indenta"/>
        <w:rPr>
          <w:snapToGrid w:val="0"/>
        </w:rPr>
      </w:pPr>
      <w:r>
        <w:rPr>
          <w:snapToGrid w:val="0"/>
        </w:rPr>
        <w:tab/>
        <w:t>(a)</w:t>
      </w:r>
      <w:r>
        <w:rPr>
          <w:snapToGrid w:val="0"/>
        </w:rPr>
        <w:tab/>
        <w:t>if incurred in relation to the removal, disposal or sale of property or the making good of damage caused by the removal of property, are a debt due by the owner of the property to the Crown; or</w:t>
      </w:r>
    </w:p>
    <w:p>
      <w:pPr>
        <w:pStyle w:val="Indenta"/>
        <w:rPr>
          <w:snapToGrid w:val="0"/>
        </w:rPr>
      </w:pPr>
      <w:r>
        <w:rPr>
          <w:snapToGrid w:val="0"/>
        </w:rPr>
        <w:tab/>
        <w:t>(b)</w:t>
      </w:r>
      <w:r>
        <w:rPr>
          <w:snapToGrid w:val="0"/>
        </w:rPr>
        <w:tab/>
        <w:t>if incurred in relation to the doing of any thing required by a direction under section 27(1)(b) or (2)(b), are a debt due by the person to whom the direction was given to the Crown,</w:t>
      </w:r>
    </w:p>
    <w:p>
      <w:pPr>
        <w:pStyle w:val="Subsection"/>
        <w:rPr>
          <w:snapToGrid w:val="0"/>
        </w:rPr>
      </w:pPr>
      <w:r>
        <w:rPr>
          <w:snapToGrid w:val="0"/>
        </w:rPr>
        <w:tab/>
      </w:r>
      <w:r>
        <w:rPr>
          <w:snapToGrid w:val="0"/>
        </w:rPr>
        <w:tab/>
        <w:t>and, to the extent to which they are not recovered under subsection (3), are recoverable in a court of competent jurisdiction.</w:t>
      </w:r>
    </w:p>
    <w:p>
      <w:pPr>
        <w:pStyle w:val="Subsection"/>
        <w:rPr>
          <w:snapToGrid w:val="0"/>
        </w:rPr>
      </w:pPr>
      <w:r>
        <w:rPr>
          <w:snapToGrid w:val="0"/>
        </w:rPr>
        <w:tab/>
        <w:t>(5)</w:t>
      </w:r>
      <w:r>
        <w:rPr>
          <w:snapToGrid w:val="0"/>
        </w:rPr>
        <w:tab/>
        <w:t>Subject to subsection (4), no action lies in respect of the removal, disposal or sale of property under this section.</w:t>
      </w:r>
    </w:p>
    <w:p>
      <w:pPr>
        <w:pStyle w:val="Heading5"/>
        <w:rPr>
          <w:snapToGrid w:val="0"/>
        </w:rPr>
      </w:pPr>
      <w:bookmarkStart w:id="100" w:name="_Toc464640084"/>
      <w:bookmarkStart w:id="101" w:name="_Toc483119628"/>
      <w:bookmarkStart w:id="102" w:name="_Toc131411196"/>
      <w:r>
        <w:rPr>
          <w:rStyle w:val="CharSectno"/>
        </w:rPr>
        <w:t>29</w:t>
      </w:r>
      <w:r>
        <w:rPr>
          <w:snapToGrid w:val="0"/>
        </w:rPr>
        <w:t>.</w:t>
      </w:r>
      <w:r>
        <w:rPr>
          <w:snapToGrid w:val="0"/>
        </w:rPr>
        <w:tab/>
        <w:t>Licence fees</w:t>
      </w:r>
      <w:bookmarkEnd w:id="100"/>
      <w:bookmarkEnd w:id="101"/>
      <w:bookmarkEnd w:id="102"/>
      <w:r>
        <w:rPr>
          <w:snapToGrid w:val="0"/>
        </w:rPr>
        <w:t xml:space="preserve"> </w:t>
      </w:r>
    </w:p>
    <w:p>
      <w:pPr>
        <w:pStyle w:val="Subsection"/>
        <w:rPr>
          <w:snapToGrid w:val="0"/>
        </w:rPr>
      </w:pPr>
      <w:r>
        <w:rPr>
          <w:snapToGrid w:val="0"/>
        </w:rPr>
        <w:tab/>
        <w:t>(1)</w:t>
      </w:r>
      <w:r>
        <w:rPr>
          <w:snapToGrid w:val="0"/>
        </w:rPr>
        <w:tab/>
        <w:t>There is payable to the Minister by a licensee, in respect of each year of the term of a licence, a licence fee of the prescribed amount in respect of each kilometre or portion of a kilometre of the length of the pipeline on the first day of that year.</w:t>
      </w:r>
    </w:p>
    <w:p>
      <w:pPr>
        <w:pStyle w:val="Subsection"/>
        <w:rPr>
          <w:snapToGrid w:val="0"/>
        </w:rPr>
      </w:pPr>
      <w:r>
        <w:rPr>
          <w:snapToGrid w:val="0"/>
        </w:rPr>
        <w:tab/>
        <w:t>(2)</w:t>
      </w:r>
      <w:r>
        <w:rPr>
          <w:snapToGrid w:val="0"/>
        </w:rPr>
        <w:tab/>
        <w:t>A fee referred to in subsection (1) is payable within one month after — </w:t>
      </w:r>
    </w:p>
    <w:p>
      <w:pPr>
        <w:pStyle w:val="Indenta"/>
        <w:rPr>
          <w:snapToGrid w:val="0"/>
        </w:rPr>
      </w:pPr>
      <w:r>
        <w:rPr>
          <w:snapToGrid w:val="0"/>
        </w:rPr>
        <w:tab/>
        <w:t>(a)</w:t>
      </w:r>
      <w:r>
        <w:rPr>
          <w:snapToGrid w:val="0"/>
        </w:rPr>
        <w:tab/>
        <w:t>in the case of the first year of the term of the licence the day on which that term commenced; and</w:t>
      </w:r>
    </w:p>
    <w:p>
      <w:pPr>
        <w:pStyle w:val="Indenta"/>
        <w:keepNext/>
        <w:rPr>
          <w:snapToGrid w:val="0"/>
        </w:rPr>
      </w:pPr>
      <w:r>
        <w:rPr>
          <w:snapToGrid w:val="0"/>
        </w:rPr>
        <w:tab/>
        <w:t>(b)</w:t>
      </w:r>
      <w:r>
        <w:rPr>
          <w:snapToGrid w:val="0"/>
        </w:rPr>
        <w:tab/>
        <w:t>in the case of a year of the term of a licence other than the first — the anniversary of that day.</w:t>
      </w:r>
    </w:p>
    <w:p>
      <w:pPr>
        <w:pStyle w:val="Footnotesection"/>
      </w:pPr>
      <w:r>
        <w:tab/>
        <w:t xml:space="preserve">[Section 29 amended by No. 94 of 1972 s.4 (as amended by No. 42 of 1975); No. 10 of 1983 s.4; No. 12 of 1990 s.131.] </w:t>
      </w:r>
    </w:p>
    <w:p>
      <w:pPr>
        <w:pStyle w:val="Heading5"/>
        <w:rPr>
          <w:snapToGrid w:val="0"/>
        </w:rPr>
      </w:pPr>
      <w:bookmarkStart w:id="103" w:name="_Toc464640085"/>
      <w:bookmarkStart w:id="104" w:name="_Toc483119629"/>
      <w:bookmarkStart w:id="105" w:name="_Toc131411197"/>
      <w:r>
        <w:rPr>
          <w:rStyle w:val="CharSectno"/>
        </w:rPr>
        <w:t>30</w:t>
      </w:r>
      <w:r>
        <w:rPr>
          <w:snapToGrid w:val="0"/>
        </w:rPr>
        <w:t>.</w:t>
      </w:r>
      <w:r>
        <w:rPr>
          <w:snapToGrid w:val="0"/>
        </w:rPr>
        <w:tab/>
        <w:t>Penalty for late payment</w:t>
      </w:r>
      <w:bookmarkEnd w:id="103"/>
      <w:bookmarkEnd w:id="104"/>
      <w:bookmarkEnd w:id="105"/>
      <w:r>
        <w:rPr>
          <w:snapToGrid w:val="0"/>
        </w:rPr>
        <w:t xml:space="preserve"> </w:t>
      </w:r>
    </w:p>
    <w:p>
      <w:pPr>
        <w:pStyle w:val="Subsection"/>
        <w:rPr>
          <w:snapToGrid w:val="0"/>
        </w:rPr>
      </w:pPr>
      <w:r>
        <w:rPr>
          <w:snapToGrid w:val="0"/>
        </w:rPr>
        <w:tab/>
      </w:r>
      <w:r>
        <w:rPr>
          <w:snapToGrid w:val="0"/>
        </w:rPr>
        <w:tab/>
        <w:t>Where the liability of a licensee to pay a fee referred to in section 29 is not discharged at or before the time when the fee is payable, there is payable to the Minister by the licensee an additional amount calculated at the rate of one</w:t>
      </w:r>
      <w:r>
        <w:rPr>
          <w:snapToGrid w:val="0"/>
        </w:rPr>
        <w:noBreakHyphen/>
        <w:t>third of one per centum per day upon the amount of the fee from time to time when the fee became payable until it is paid.</w:t>
      </w:r>
    </w:p>
    <w:p>
      <w:pPr>
        <w:pStyle w:val="Heading5"/>
        <w:rPr>
          <w:snapToGrid w:val="0"/>
        </w:rPr>
      </w:pPr>
      <w:bookmarkStart w:id="106" w:name="_Toc464640086"/>
      <w:bookmarkStart w:id="107" w:name="_Toc483119630"/>
      <w:bookmarkStart w:id="108" w:name="_Toc131411198"/>
      <w:r>
        <w:rPr>
          <w:rStyle w:val="CharSectno"/>
        </w:rPr>
        <w:t>31</w:t>
      </w:r>
      <w:r>
        <w:rPr>
          <w:snapToGrid w:val="0"/>
        </w:rPr>
        <w:t>.</w:t>
      </w:r>
      <w:r>
        <w:rPr>
          <w:snapToGrid w:val="0"/>
        </w:rPr>
        <w:tab/>
        <w:t>Fees and penalties debts due to the Crown</w:t>
      </w:r>
      <w:bookmarkEnd w:id="106"/>
      <w:bookmarkEnd w:id="107"/>
      <w:bookmarkEnd w:id="108"/>
      <w:r>
        <w:rPr>
          <w:snapToGrid w:val="0"/>
        </w:rPr>
        <w:t xml:space="preserve"> </w:t>
      </w:r>
    </w:p>
    <w:p>
      <w:pPr>
        <w:pStyle w:val="Subsection"/>
        <w:rPr>
          <w:snapToGrid w:val="0"/>
        </w:rPr>
      </w:pPr>
      <w:r>
        <w:rPr>
          <w:snapToGrid w:val="0"/>
        </w:rPr>
        <w:tab/>
      </w:r>
      <w:r>
        <w:rPr>
          <w:snapToGrid w:val="0"/>
        </w:rPr>
        <w:tab/>
        <w:t>A fee under section 29, or an amount payable under section 30, is a debt due by the licensee to the Crown and is recoverable in a court of competent jurisdiction.</w:t>
      </w:r>
    </w:p>
    <w:p>
      <w:pPr>
        <w:pStyle w:val="Heading5"/>
        <w:rPr>
          <w:snapToGrid w:val="0"/>
        </w:rPr>
      </w:pPr>
      <w:bookmarkStart w:id="109" w:name="_Toc464640087"/>
      <w:bookmarkStart w:id="110" w:name="_Toc483119631"/>
      <w:bookmarkStart w:id="111" w:name="_Toc131411199"/>
      <w:r>
        <w:rPr>
          <w:rStyle w:val="CharSectno"/>
        </w:rPr>
        <w:t>32</w:t>
      </w:r>
      <w:r>
        <w:rPr>
          <w:snapToGrid w:val="0"/>
        </w:rPr>
        <w:t>.</w:t>
      </w:r>
      <w:r>
        <w:rPr>
          <w:snapToGrid w:val="0"/>
        </w:rPr>
        <w:tab/>
        <w:t>Certain written laws not to apply to licensed pipelines</w:t>
      </w:r>
      <w:bookmarkEnd w:id="109"/>
      <w:bookmarkEnd w:id="110"/>
      <w:bookmarkEnd w:id="111"/>
      <w:r>
        <w:rPr>
          <w:snapToGrid w:val="0"/>
        </w:rPr>
        <w:t xml:space="preserve"> </w:t>
      </w:r>
    </w:p>
    <w:p>
      <w:pPr>
        <w:pStyle w:val="Subsection"/>
        <w:keepNext/>
        <w:rPr>
          <w:snapToGrid w:val="0"/>
        </w:rPr>
      </w:pPr>
      <w:r>
        <w:rPr>
          <w:snapToGrid w:val="0"/>
        </w:rPr>
        <w:tab/>
      </w:r>
      <w:r>
        <w:rPr>
          <w:snapToGrid w:val="0"/>
        </w:rPr>
        <w:tab/>
        <w:t>The provisions of — </w:t>
      </w:r>
    </w:p>
    <w:p>
      <w:pPr>
        <w:pStyle w:val="Indenta"/>
        <w:keepNext/>
        <w:rPr>
          <w:snapToGrid w:val="0"/>
        </w:rPr>
      </w:pPr>
      <w:r>
        <w:rPr>
          <w:snapToGrid w:val="0"/>
        </w:rPr>
        <w:tab/>
        <w:t>(a)</w:t>
      </w:r>
      <w:r>
        <w:rPr>
          <w:snapToGrid w:val="0"/>
        </w:rPr>
        <w:tab/>
        <w:t xml:space="preserve">local laws made under the </w:t>
      </w:r>
      <w:r>
        <w:rPr>
          <w:i/>
          <w:snapToGrid w:val="0"/>
        </w:rPr>
        <w:t>Local Government Act 1995</w:t>
      </w:r>
      <w:r>
        <w:rPr>
          <w:snapToGrid w:val="0"/>
        </w:rPr>
        <w:t xml:space="preserve"> in relation to — </w:t>
      </w:r>
    </w:p>
    <w:p>
      <w:pPr>
        <w:pStyle w:val="Indenti"/>
        <w:rPr>
          <w:snapToGrid w:val="0"/>
        </w:rPr>
      </w:pPr>
      <w:r>
        <w:rPr>
          <w:snapToGrid w:val="0"/>
        </w:rPr>
        <w:tab/>
        <w:t>(i)</w:t>
      </w:r>
      <w:r>
        <w:rPr>
          <w:snapToGrid w:val="0"/>
        </w:rPr>
        <w:tab/>
        <w:t>the keeping, carrying, handling and storage of dangerous things; or</w:t>
      </w:r>
    </w:p>
    <w:p>
      <w:pPr>
        <w:pStyle w:val="Indenti"/>
        <w:rPr>
          <w:snapToGrid w:val="0"/>
        </w:rPr>
      </w:pPr>
      <w:r>
        <w:rPr>
          <w:snapToGrid w:val="0"/>
        </w:rPr>
        <w:tab/>
        <w:t>(ii)</w:t>
      </w:r>
      <w:r>
        <w:rPr>
          <w:snapToGrid w:val="0"/>
        </w:rPr>
        <w:tab/>
        <w:t>the use, management and maintenance of thoroughfares;</w:t>
      </w:r>
    </w:p>
    <w:p>
      <w:pPr>
        <w:pStyle w:val="Indenta"/>
        <w:rPr>
          <w:snapToGrid w:val="0"/>
        </w:rPr>
      </w:pPr>
      <w:r>
        <w:rPr>
          <w:snapToGrid w:val="0"/>
        </w:rPr>
        <w:tab/>
        <w:t>(b)</w:t>
      </w:r>
      <w:r>
        <w:rPr>
          <w:snapToGrid w:val="0"/>
        </w:rPr>
        <w:tab/>
        <w:t xml:space="preserve">the </w:t>
      </w:r>
      <w:r>
        <w:rPr>
          <w:i/>
          <w:snapToGrid w:val="0"/>
        </w:rPr>
        <w:t>Explosives and Dangerous Goods Act 1961</w:t>
      </w:r>
      <w:r>
        <w:rPr>
          <w:snapToGrid w:val="0"/>
        </w:rPr>
        <w:t>,</w:t>
      </w:r>
    </w:p>
    <w:p>
      <w:pPr>
        <w:pStyle w:val="Subsection"/>
        <w:rPr>
          <w:snapToGrid w:val="0"/>
        </w:rPr>
      </w:pPr>
      <w:r>
        <w:rPr>
          <w:snapToGrid w:val="0"/>
        </w:rPr>
        <w:tab/>
      </w:r>
      <w:r>
        <w:rPr>
          <w:snapToGrid w:val="0"/>
        </w:rPr>
        <w:tab/>
        <w:t>do not apply to or in respect of a pipeline the construction or operation of which is authorised by a licence.</w:t>
      </w:r>
    </w:p>
    <w:p>
      <w:pPr>
        <w:pStyle w:val="Footnotesection"/>
      </w:pPr>
      <w:r>
        <w:tab/>
        <w:t xml:space="preserve">[Section 32 inserted by No. 12 of 1990 s.132; amended by No. 14 of 1996 s.4.] </w:t>
      </w:r>
    </w:p>
    <w:p>
      <w:pPr>
        <w:pStyle w:val="Ednotepart"/>
      </w:pPr>
      <w:r>
        <w:t>[Part IIA (sections 32A-32H) repealed by No. 52 of 1995 s.44.]</w:t>
      </w:r>
    </w:p>
    <w:p>
      <w:pPr>
        <w:pStyle w:val="Heading2"/>
      </w:pPr>
      <w:bookmarkStart w:id="112" w:name="_Toc72913652"/>
      <w:bookmarkStart w:id="113" w:name="_Toc78089506"/>
      <w:bookmarkStart w:id="114" w:name="_Toc91305276"/>
      <w:bookmarkStart w:id="115" w:name="_Toc92690710"/>
      <w:bookmarkStart w:id="116" w:name="_Toc113771266"/>
      <w:bookmarkStart w:id="117" w:name="_Toc131411117"/>
      <w:bookmarkStart w:id="118" w:name="_Toc131411200"/>
      <w:r>
        <w:rPr>
          <w:rStyle w:val="CharPartNo"/>
        </w:rPr>
        <w:t>Part III</w:t>
      </w:r>
      <w:r>
        <w:rPr>
          <w:rStyle w:val="CharDivNo"/>
        </w:rPr>
        <w:t> </w:t>
      </w:r>
      <w:r>
        <w:t>—</w:t>
      </w:r>
      <w:r>
        <w:rPr>
          <w:rStyle w:val="CharDivText"/>
        </w:rPr>
        <w:t> </w:t>
      </w:r>
      <w:r>
        <w:rPr>
          <w:rStyle w:val="CharPartText"/>
        </w:rPr>
        <w:t>Construction and operation of pipeline</w:t>
      </w:r>
      <w:bookmarkEnd w:id="112"/>
      <w:bookmarkEnd w:id="113"/>
      <w:bookmarkEnd w:id="114"/>
      <w:bookmarkEnd w:id="115"/>
      <w:bookmarkEnd w:id="116"/>
      <w:bookmarkEnd w:id="117"/>
      <w:bookmarkEnd w:id="118"/>
      <w:r>
        <w:rPr>
          <w:rStyle w:val="CharPartText"/>
        </w:rPr>
        <w:t xml:space="preserve"> </w:t>
      </w:r>
    </w:p>
    <w:p>
      <w:pPr>
        <w:pStyle w:val="Heading5"/>
        <w:rPr>
          <w:snapToGrid w:val="0"/>
        </w:rPr>
      </w:pPr>
      <w:bookmarkStart w:id="119" w:name="_Toc464640088"/>
      <w:bookmarkStart w:id="120" w:name="_Toc483119632"/>
      <w:bookmarkStart w:id="121" w:name="_Toc131411201"/>
      <w:r>
        <w:rPr>
          <w:rStyle w:val="CharSectno"/>
        </w:rPr>
        <w:t>33</w:t>
      </w:r>
      <w:r>
        <w:rPr>
          <w:snapToGrid w:val="0"/>
        </w:rPr>
        <w:t>.</w:t>
      </w:r>
      <w:r>
        <w:rPr>
          <w:snapToGrid w:val="0"/>
        </w:rPr>
        <w:tab/>
        <w:t>Construction to be along authorised route</w:t>
      </w:r>
      <w:bookmarkEnd w:id="119"/>
      <w:bookmarkEnd w:id="120"/>
      <w:bookmarkEnd w:id="121"/>
      <w:r>
        <w:rPr>
          <w:snapToGrid w:val="0"/>
        </w:rPr>
        <w:t xml:space="preserve"> </w:t>
      </w:r>
    </w:p>
    <w:p>
      <w:pPr>
        <w:pStyle w:val="Subsection"/>
        <w:rPr>
          <w:snapToGrid w:val="0"/>
        </w:rPr>
      </w:pPr>
      <w:r>
        <w:rPr>
          <w:snapToGrid w:val="0"/>
        </w:rPr>
        <w:tab/>
      </w:r>
      <w:r>
        <w:rPr>
          <w:snapToGrid w:val="0"/>
        </w:rPr>
        <w:tab/>
        <w:t>A pipeline shall be constructed along the route authorised in the licence in respect of that pipeline, subject to deviation from that route within the limits of lateral deviation authorised by the Minister.</w:t>
      </w:r>
    </w:p>
    <w:p>
      <w:pPr>
        <w:pStyle w:val="Heading5"/>
        <w:rPr>
          <w:snapToGrid w:val="0"/>
        </w:rPr>
      </w:pPr>
      <w:bookmarkStart w:id="122" w:name="_Toc464640089"/>
      <w:bookmarkStart w:id="123" w:name="_Toc483119633"/>
      <w:bookmarkStart w:id="124" w:name="_Toc131411202"/>
      <w:r>
        <w:rPr>
          <w:rStyle w:val="CharSectno"/>
        </w:rPr>
        <w:t>34</w:t>
      </w:r>
      <w:r>
        <w:rPr>
          <w:snapToGrid w:val="0"/>
        </w:rPr>
        <w:t>.</w:t>
      </w:r>
      <w:r>
        <w:rPr>
          <w:snapToGrid w:val="0"/>
        </w:rPr>
        <w:tab/>
        <w:t>Construction to be in accordance with prescribed standards etc.</w:t>
      </w:r>
      <w:bookmarkEnd w:id="122"/>
      <w:bookmarkEnd w:id="123"/>
      <w:bookmarkEnd w:id="124"/>
      <w:r>
        <w:rPr>
          <w:snapToGrid w:val="0"/>
        </w:rPr>
        <w:t xml:space="preserve"> </w:t>
      </w:r>
    </w:p>
    <w:p>
      <w:pPr>
        <w:pStyle w:val="Subsection"/>
        <w:rPr>
          <w:snapToGrid w:val="0"/>
        </w:rPr>
      </w:pPr>
      <w:r>
        <w:rPr>
          <w:snapToGrid w:val="0"/>
        </w:rPr>
        <w:tab/>
        <w:t>(1)</w:t>
      </w:r>
      <w:r>
        <w:rPr>
          <w:snapToGrid w:val="0"/>
        </w:rPr>
        <w:tab/>
        <w:t>Notwithstanding any other requirements in this Part, a pipeline shall be constructed in accordance with such standards, specifications and conditions as are prescribed and such further standards, specifications and conditions as are stated or included in the licence in respect of that pipeline.</w:t>
      </w:r>
    </w:p>
    <w:p>
      <w:pPr>
        <w:pStyle w:val="Subsection"/>
        <w:rPr>
          <w:snapToGrid w:val="0"/>
        </w:rPr>
      </w:pPr>
      <w:r>
        <w:rPr>
          <w:snapToGrid w:val="0"/>
        </w:rPr>
        <w:tab/>
        <w:t>(2)</w:t>
      </w:r>
      <w:r>
        <w:rPr>
          <w:snapToGrid w:val="0"/>
        </w:rPr>
        <w:tab/>
        <w:t>Where there is conflict between any standard or specification as prescribed and a standard or specification stated or included in the licence in respect of a pipeline, the latter prevails.</w:t>
      </w:r>
    </w:p>
    <w:p>
      <w:pPr>
        <w:pStyle w:val="Heading5"/>
        <w:rPr>
          <w:snapToGrid w:val="0"/>
        </w:rPr>
      </w:pPr>
      <w:bookmarkStart w:id="125" w:name="_Toc464640090"/>
      <w:bookmarkStart w:id="126" w:name="_Toc483119634"/>
      <w:bookmarkStart w:id="127" w:name="_Toc131411203"/>
      <w:r>
        <w:rPr>
          <w:rStyle w:val="CharSectno"/>
        </w:rPr>
        <w:t>35</w:t>
      </w:r>
      <w:r>
        <w:rPr>
          <w:snapToGrid w:val="0"/>
        </w:rPr>
        <w:t>.</w:t>
      </w:r>
      <w:r>
        <w:rPr>
          <w:snapToGrid w:val="0"/>
        </w:rPr>
        <w:tab/>
        <w:t>Ceasing to operate pipeline</w:t>
      </w:r>
      <w:bookmarkEnd w:id="125"/>
      <w:bookmarkEnd w:id="126"/>
      <w:bookmarkEnd w:id="127"/>
      <w:r>
        <w:rPr>
          <w:snapToGrid w:val="0"/>
        </w:rPr>
        <w:t xml:space="preserve"> </w:t>
      </w:r>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licensee shall operate continuously the pipeline specified in his licence.</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It is not an offence against subsection (1) if the failure of the licensee to operate the pipeline continuously — </w:t>
      </w:r>
    </w:p>
    <w:p>
      <w:pPr>
        <w:pStyle w:val="Indenta"/>
        <w:rPr>
          <w:snapToGrid w:val="0"/>
        </w:rPr>
      </w:pPr>
      <w:r>
        <w:rPr>
          <w:snapToGrid w:val="0"/>
        </w:rPr>
        <w:tab/>
        <w:t>(a)</w:t>
      </w:r>
      <w:r>
        <w:rPr>
          <w:snapToGrid w:val="0"/>
        </w:rPr>
        <w:tab/>
        <w:t>was in the ordinary course of operating the pipeline;</w:t>
      </w:r>
    </w:p>
    <w:p>
      <w:pPr>
        <w:pStyle w:val="Indenta"/>
        <w:rPr>
          <w:snapToGrid w:val="0"/>
        </w:rPr>
      </w:pPr>
      <w:r>
        <w:rPr>
          <w:snapToGrid w:val="0"/>
        </w:rPr>
        <w:tab/>
        <w:t>(b)</w:t>
      </w:r>
      <w:r>
        <w:rPr>
          <w:snapToGrid w:val="0"/>
        </w:rPr>
        <w:tab/>
        <w:t>was for the purpose of repairing or maintaining the pipeline; or</w:t>
      </w:r>
    </w:p>
    <w:p>
      <w:pPr>
        <w:pStyle w:val="Indenta"/>
        <w:keepNext/>
        <w:rPr>
          <w:snapToGrid w:val="0"/>
        </w:rPr>
      </w:pPr>
      <w:r>
        <w:rPr>
          <w:snapToGrid w:val="0"/>
        </w:rPr>
        <w:tab/>
        <w:t>(c)</w:t>
      </w:r>
      <w:r>
        <w:rPr>
          <w:snapToGrid w:val="0"/>
        </w:rPr>
        <w:tab/>
        <w:t>was in an emergency in which there was a likelihood of loss or injury.</w:t>
      </w:r>
    </w:p>
    <w:p>
      <w:pPr>
        <w:pStyle w:val="Footnotesection"/>
      </w:pPr>
      <w:r>
        <w:tab/>
        <w:t xml:space="preserve">[Section 35 amended by No. 12 of 1990 s.133.] </w:t>
      </w:r>
    </w:p>
    <w:p>
      <w:pPr>
        <w:pStyle w:val="Heading5"/>
        <w:rPr>
          <w:snapToGrid w:val="0"/>
        </w:rPr>
      </w:pPr>
      <w:bookmarkStart w:id="128" w:name="_Toc464640091"/>
      <w:bookmarkStart w:id="129" w:name="_Toc483119635"/>
      <w:bookmarkStart w:id="130" w:name="_Toc131411204"/>
      <w:r>
        <w:rPr>
          <w:rStyle w:val="CharSectno"/>
        </w:rPr>
        <w:t>36</w:t>
      </w:r>
      <w:r>
        <w:rPr>
          <w:snapToGrid w:val="0"/>
        </w:rPr>
        <w:t>.</w:t>
      </w:r>
      <w:r>
        <w:rPr>
          <w:snapToGrid w:val="0"/>
        </w:rPr>
        <w:tab/>
        <w:t>Consent to commencement or resumption of pipeline operations</w:t>
      </w:r>
      <w:bookmarkEnd w:id="128"/>
      <w:bookmarkEnd w:id="129"/>
      <w:bookmarkEnd w:id="130"/>
      <w:r>
        <w:rPr>
          <w:snapToGrid w:val="0"/>
        </w:rPr>
        <w:t xml:space="preserve"> </w:t>
      </w:r>
    </w:p>
    <w:p>
      <w:pPr>
        <w:pStyle w:val="Subsection"/>
        <w:rPr>
          <w:snapToGrid w:val="0"/>
        </w:rPr>
      </w:pPr>
      <w:r>
        <w:rPr>
          <w:snapToGrid w:val="0"/>
        </w:rPr>
        <w:tab/>
        <w:t>(1)</w:t>
      </w:r>
      <w:r>
        <w:rPr>
          <w:snapToGrid w:val="0"/>
        </w:rPr>
        <w:tab/>
        <w:t>The Minister, on application in writing served on him — </w:t>
      </w:r>
    </w:p>
    <w:p>
      <w:pPr>
        <w:pStyle w:val="Indenta"/>
        <w:rPr>
          <w:snapToGrid w:val="0"/>
        </w:rPr>
      </w:pPr>
      <w:r>
        <w:rPr>
          <w:snapToGrid w:val="0"/>
        </w:rPr>
        <w:tab/>
        <w:t>(a)</w:t>
      </w:r>
      <w:r>
        <w:rPr>
          <w:snapToGrid w:val="0"/>
        </w:rPr>
        <w:tab/>
        <w:t>by a licensee whose pipeline has not previously been in operation; or</w:t>
      </w:r>
    </w:p>
    <w:p>
      <w:pPr>
        <w:pStyle w:val="Indenta"/>
        <w:rPr>
          <w:snapToGrid w:val="0"/>
        </w:rPr>
      </w:pPr>
      <w:r>
        <w:rPr>
          <w:snapToGrid w:val="0"/>
        </w:rPr>
        <w:tab/>
        <w:t>(b)</w:t>
      </w:r>
      <w:r>
        <w:rPr>
          <w:snapToGrid w:val="0"/>
        </w:rPr>
        <w:tab/>
        <w:t>by a licensee who has ceased to operate the pipeline specified in his licence,</w:t>
      </w:r>
    </w:p>
    <w:p>
      <w:pPr>
        <w:pStyle w:val="Subsection"/>
        <w:rPr>
          <w:snapToGrid w:val="0"/>
        </w:rPr>
      </w:pPr>
      <w:r>
        <w:rPr>
          <w:snapToGrid w:val="0"/>
        </w:rPr>
        <w:tab/>
      </w:r>
      <w:r>
        <w:rPr>
          <w:snapToGrid w:val="0"/>
        </w:rPr>
        <w:tab/>
        <w:t>may, if he is of the opinion that the pipeline may be operated with safety, by instrument in writing served on the licensee, consent to the commencement or resumption, as the case may be, of operations.</w:t>
      </w:r>
    </w:p>
    <w:p>
      <w:pPr>
        <w:pStyle w:val="Subsection"/>
        <w:rPr>
          <w:snapToGrid w:val="0"/>
        </w:rPr>
      </w:pPr>
      <w:r>
        <w:rPr>
          <w:snapToGrid w:val="0"/>
        </w:rPr>
        <w:tab/>
        <w:t>(2)</w:t>
      </w:r>
      <w:r>
        <w:rPr>
          <w:snapToGrid w:val="0"/>
        </w:rPr>
        <w:tab/>
        <w:t>A consent under subsection (1) may be given subject to such conditions, if any, as the Minister thinks fit and specifies in the instrument of consent.</w:t>
      </w:r>
    </w:p>
    <w:p>
      <w:pPr>
        <w:pStyle w:val="Heading5"/>
        <w:rPr>
          <w:snapToGrid w:val="0"/>
        </w:rPr>
      </w:pPr>
      <w:bookmarkStart w:id="131" w:name="_Toc464640092"/>
      <w:bookmarkStart w:id="132" w:name="_Toc483119636"/>
      <w:bookmarkStart w:id="133" w:name="_Toc131411205"/>
      <w:r>
        <w:rPr>
          <w:rStyle w:val="CharSectno"/>
        </w:rPr>
        <w:t>36A</w:t>
      </w:r>
      <w:r>
        <w:rPr>
          <w:snapToGrid w:val="0"/>
        </w:rPr>
        <w:t>.</w:t>
      </w:r>
      <w:r>
        <w:rPr>
          <w:snapToGrid w:val="0"/>
        </w:rPr>
        <w:tab/>
        <w:t>Work practices</w:t>
      </w:r>
      <w:bookmarkEnd w:id="131"/>
      <w:bookmarkEnd w:id="132"/>
      <w:bookmarkEnd w:id="133"/>
      <w:r>
        <w:rPr>
          <w:snapToGrid w:val="0"/>
        </w:rPr>
        <w:t xml:space="preserve"> </w:t>
      </w:r>
    </w:p>
    <w:p>
      <w:pPr>
        <w:pStyle w:val="Subsection"/>
        <w:rPr>
          <w:snapToGrid w:val="0"/>
        </w:rPr>
      </w:pPr>
      <w:r>
        <w:rPr>
          <w:snapToGrid w:val="0"/>
        </w:rPr>
        <w:tab/>
      </w:r>
      <w:r>
        <w:rPr>
          <w:snapToGrid w:val="0"/>
        </w:rPr>
        <w:tab/>
        <w:t>A licensee shall operate the pipeline specified in the licence of which he is the registered holder in a proper and workmanlike manner and shall secure the safety, health and welfare of persons engaged in operations in connection with the pipeline.</w:t>
      </w:r>
    </w:p>
    <w:p>
      <w:pPr>
        <w:pStyle w:val="Penstart"/>
        <w:rPr>
          <w:snapToGrid w:val="0"/>
        </w:rPr>
      </w:pPr>
      <w:r>
        <w:rPr>
          <w:snapToGrid w:val="0"/>
        </w:rPr>
        <w:tab/>
        <w:t>Penalty: $10 000.</w:t>
      </w:r>
    </w:p>
    <w:p>
      <w:pPr>
        <w:pStyle w:val="Footnotesection"/>
      </w:pPr>
      <w:r>
        <w:tab/>
        <w:t xml:space="preserve">[Section 36A inserted by No. 28 of 1994 s.70.] </w:t>
      </w:r>
    </w:p>
    <w:p>
      <w:pPr>
        <w:pStyle w:val="Heading5"/>
        <w:rPr>
          <w:snapToGrid w:val="0"/>
        </w:rPr>
      </w:pPr>
      <w:bookmarkStart w:id="134" w:name="_Toc464640093"/>
      <w:bookmarkStart w:id="135" w:name="_Toc483119637"/>
      <w:bookmarkStart w:id="136" w:name="_Toc131411206"/>
      <w:r>
        <w:rPr>
          <w:rStyle w:val="CharSectno"/>
        </w:rPr>
        <w:t>37</w:t>
      </w:r>
      <w:r>
        <w:rPr>
          <w:snapToGrid w:val="0"/>
        </w:rPr>
        <w:t>.</w:t>
      </w:r>
      <w:r>
        <w:rPr>
          <w:snapToGrid w:val="0"/>
        </w:rPr>
        <w:tab/>
        <w:t>Waste or escape of substances from pipeline</w:t>
      </w:r>
      <w:bookmarkEnd w:id="134"/>
      <w:bookmarkEnd w:id="135"/>
      <w:bookmarkEnd w:id="136"/>
      <w:r>
        <w:rPr>
          <w:snapToGrid w:val="0"/>
        </w:rPr>
        <w:t xml:space="preserve"> </w:t>
      </w:r>
    </w:p>
    <w:p>
      <w:pPr>
        <w:pStyle w:val="Subsection"/>
        <w:keepNext/>
        <w:rPr>
          <w:snapToGrid w:val="0"/>
        </w:rPr>
      </w:pPr>
      <w:r>
        <w:rPr>
          <w:snapToGrid w:val="0"/>
        </w:rPr>
        <w:tab/>
      </w:r>
      <w:r>
        <w:rPr>
          <w:snapToGrid w:val="0"/>
        </w:rPr>
        <w:tab/>
        <w:t>A licensee shall not permit or suffer the waste or escape of any substance from the pipeline specified in the licence of which he is the registered holder.</w:t>
      </w:r>
    </w:p>
    <w:p>
      <w:pPr>
        <w:pStyle w:val="Penstart"/>
        <w:keepNext/>
        <w:rPr>
          <w:snapToGrid w:val="0"/>
        </w:rPr>
      </w:pPr>
      <w:r>
        <w:rPr>
          <w:snapToGrid w:val="0"/>
        </w:rPr>
        <w:tab/>
        <w:t>Penalty: $10 000.</w:t>
      </w:r>
    </w:p>
    <w:p>
      <w:pPr>
        <w:pStyle w:val="Footnotesection"/>
      </w:pPr>
      <w:r>
        <w:tab/>
        <w:t xml:space="preserve">[Section 37 amended by No. 12 of 1990 s.134.] </w:t>
      </w:r>
    </w:p>
    <w:p>
      <w:pPr>
        <w:pStyle w:val="Heading5"/>
        <w:rPr>
          <w:snapToGrid w:val="0"/>
        </w:rPr>
      </w:pPr>
      <w:bookmarkStart w:id="137" w:name="_Toc464640094"/>
      <w:bookmarkStart w:id="138" w:name="_Toc483119638"/>
      <w:bookmarkStart w:id="139" w:name="_Toc131411207"/>
      <w:r>
        <w:rPr>
          <w:rStyle w:val="CharSectno"/>
        </w:rPr>
        <w:t>37A</w:t>
      </w:r>
      <w:r>
        <w:rPr>
          <w:snapToGrid w:val="0"/>
        </w:rPr>
        <w:t>.</w:t>
      </w:r>
      <w:r>
        <w:rPr>
          <w:snapToGrid w:val="0"/>
        </w:rPr>
        <w:tab/>
        <w:t>Conditions relating to insurance</w:t>
      </w:r>
      <w:bookmarkEnd w:id="137"/>
      <w:bookmarkEnd w:id="138"/>
      <w:bookmarkEnd w:id="139"/>
      <w:r>
        <w:rPr>
          <w:snapToGrid w:val="0"/>
        </w:rPr>
        <w:t xml:space="preserve"> </w:t>
      </w:r>
    </w:p>
    <w:p>
      <w:pPr>
        <w:pStyle w:val="Subsection"/>
        <w:rPr>
          <w:snapToGrid w:val="0"/>
        </w:rPr>
      </w:pPr>
      <w:r>
        <w:rPr>
          <w:snapToGrid w:val="0"/>
        </w:rPr>
        <w:tab/>
        <w:t>(1)</w:t>
      </w:r>
      <w:r>
        <w:rPr>
          <w:snapToGrid w:val="0"/>
        </w:rPr>
        <w:tab/>
        <w:t>A licensee must maintain, as directed by the Minister from time to time, insurance against expenses or liabilities or specified things arising in connection with, or as a result of, the carrying out of work, or the doing of any other thing, under the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was in force immediately before the commencement of section 71 of the </w:t>
      </w:r>
      <w:r>
        <w:rPr>
          <w:i/>
          <w:snapToGrid w:val="0"/>
        </w:rPr>
        <w:t>Acts Amendment (Petroleum) Act 1994</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(3)</w:t>
      </w:r>
      <w:r>
        <w:rPr>
          <w:snapToGrid w:val="0"/>
        </w:rPr>
        <w:tab/>
        <w:t xml:space="preserve">Where the Minister issues a certificate under subsection (2), any security in force in relation to the licence, being a security that was required under this Act before the commencement of section 71 of the </w:t>
      </w:r>
      <w:r>
        <w:rPr>
          <w:i/>
          <w:snapToGrid w:val="0"/>
        </w:rPr>
        <w:t xml:space="preserve">Acts Amendment (Petroleum) Act 1994, </w:t>
      </w:r>
      <w:r>
        <w:rPr>
          <w:snapToGrid w:val="0"/>
        </w:rPr>
        <w:t>is discharged.</w:t>
      </w:r>
    </w:p>
    <w:p>
      <w:pPr>
        <w:pStyle w:val="Subsection"/>
        <w:rPr>
          <w:snapToGrid w:val="0"/>
        </w:rPr>
      </w:pPr>
      <w:r>
        <w:rPr>
          <w:snapToGrid w:val="0"/>
        </w:rPr>
        <w:tab/>
        <w:t>(4)</w:t>
      </w:r>
      <w:r>
        <w:rPr>
          <w:snapToGrid w:val="0"/>
        </w:rPr>
        <w:tab/>
        <w:t>The discharge of a security under subsection (3) has no effect on any liability arising under or in relation to the security before its discharge.</w:t>
      </w:r>
    </w:p>
    <w:p>
      <w:pPr>
        <w:pStyle w:val="Footnotesection"/>
      </w:pPr>
      <w:r>
        <w:tab/>
        <w:t xml:space="preserve">[Section 37A inserted by No. 28 of 1994 s.71.] </w:t>
      </w:r>
    </w:p>
    <w:p>
      <w:pPr>
        <w:pStyle w:val="Heading5"/>
        <w:rPr>
          <w:snapToGrid w:val="0"/>
        </w:rPr>
      </w:pPr>
      <w:bookmarkStart w:id="140" w:name="_Toc464640095"/>
      <w:bookmarkStart w:id="141" w:name="_Toc483119639"/>
      <w:bookmarkStart w:id="142" w:name="_Toc131411208"/>
      <w:r>
        <w:rPr>
          <w:rStyle w:val="CharSectno"/>
        </w:rPr>
        <w:t>38</w:t>
      </w:r>
      <w:r>
        <w:rPr>
          <w:snapToGrid w:val="0"/>
        </w:rPr>
        <w:t>.</w:t>
      </w:r>
      <w:r>
        <w:rPr>
          <w:snapToGrid w:val="0"/>
        </w:rPr>
        <w:tab/>
        <w:t>Marking route of pipeline and maintenance etc. of property</w:t>
      </w:r>
      <w:bookmarkEnd w:id="140"/>
      <w:bookmarkEnd w:id="141"/>
      <w:bookmarkEnd w:id="142"/>
      <w:r>
        <w:rPr>
          <w:snapToGrid w:val="0"/>
        </w:rPr>
        <w:t xml:space="preserve"> </w:t>
      </w:r>
    </w:p>
    <w:p>
      <w:pPr>
        <w:pStyle w:val="Subsection"/>
        <w:rPr>
          <w:snapToGrid w:val="0"/>
        </w:rPr>
      </w:pPr>
      <w:r>
        <w:rPr>
          <w:snapToGrid w:val="0"/>
        </w:rPr>
        <w:tab/>
      </w:r>
      <w:r>
        <w:rPr>
          <w:snapToGrid w:val="0"/>
        </w:rPr>
        <w:tab/>
        <w:t>A licensee — </w:t>
      </w:r>
    </w:p>
    <w:p>
      <w:pPr>
        <w:pStyle w:val="Indenta"/>
        <w:rPr>
          <w:snapToGrid w:val="0"/>
        </w:rPr>
      </w:pPr>
      <w:r>
        <w:rPr>
          <w:snapToGrid w:val="0"/>
        </w:rPr>
        <w:tab/>
        <w:t>(a)</w:t>
      </w:r>
      <w:r>
        <w:rPr>
          <w:snapToGrid w:val="0"/>
        </w:rPr>
        <w:tab/>
        <w:t>shall mark and keep marked in such manner as may be approved, the route of the pipeline specified in the licence of which he is the registered holder;</w:t>
      </w:r>
    </w:p>
    <w:p>
      <w:pPr>
        <w:pStyle w:val="Indenta"/>
        <w:rPr>
          <w:snapToGrid w:val="0"/>
        </w:rPr>
      </w:pPr>
      <w:r>
        <w:rPr>
          <w:snapToGrid w:val="0"/>
        </w:rPr>
        <w:tab/>
        <w:t>(b)</w:t>
      </w:r>
      <w:r>
        <w:rPr>
          <w:snapToGrid w:val="0"/>
        </w:rPr>
        <w:tab/>
        <w:t>shall maintain the pipeline in good condition and repair; and</w:t>
      </w:r>
    </w:p>
    <w:p>
      <w:pPr>
        <w:pStyle w:val="Indenta"/>
        <w:rPr>
          <w:snapToGrid w:val="0"/>
        </w:rPr>
      </w:pPr>
      <w:r>
        <w:rPr>
          <w:snapToGrid w:val="0"/>
        </w:rPr>
        <w:tab/>
        <w:t>(c)</w:t>
      </w:r>
      <w:r>
        <w:rPr>
          <w:snapToGrid w:val="0"/>
        </w:rPr>
        <w:tab/>
        <w:t>shall remove from the licence area all structures, equipment and other property that are neither being used nor will be used in connection with the operation of the pipeline.</w:t>
      </w:r>
    </w:p>
    <w:p>
      <w:pPr>
        <w:pStyle w:val="Penstart"/>
        <w:rPr>
          <w:snapToGrid w:val="0"/>
        </w:rPr>
      </w:pPr>
      <w:r>
        <w:rPr>
          <w:snapToGrid w:val="0"/>
        </w:rPr>
        <w:tab/>
        <w:t>Penalty: $10 000.</w:t>
      </w:r>
    </w:p>
    <w:p>
      <w:pPr>
        <w:pStyle w:val="Footnotesection"/>
      </w:pPr>
      <w:r>
        <w:tab/>
        <w:t xml:space="preserve">[Section 38 amended by No. 12 of 1990 s.135; No. 28 of 1994 s.77.] </w:t>
      </w:r>
    </w:p>
    <w:p>
      <w:pPr>
        <w:pStyle w:val="Heading5"/>
        <w:rPr>
          <w:snapToGrid w:val="0"/>
        </w:rPr>
      </w:pPr>
      <w:bookmarkStart w:id="143" w:name="_Toc464640096"/>
      <w:bookmarkStart w:id="144" w:name="_Toc483119640"/>
      <w:bookmarkStart w:id="145" w:name="_Toc131411209"/>
      <w:r>
        <w:rPr>
          <w:rStyle w:val="CharSectno"/>
        </w:rPr>
        <w:t>39</w:t>
      </w:r>
      <w:r>
        <w:rPr>
          <w:snapToGrid w:val="0"/>
        </w:rPr>
        <w:t>.</w:t>
      </w:r>
      <w:r>
        <w:rPr>
          <w:snapToGrid w:val="0"/>
        </w:rPr>
        <w:tab/>
        <w:t>Where pipeline crosses agricultural land</w:t>
      </w:r>
      <w:bookmarkEnd w:id="143"/>
      <w:bookmarkEnd w:id="144"/>
      <w:bookmarkEnd w:id="145"/>
      <w:r>
        <w:rPr>
          <w:snapToGrid w:val="0"/>
        </w:rPr>
        <w:t xml:space="preserve"> </w:t>
      </w:r>
    </w:p>
    <w:p>
      <w:pPr>
        <w:pStyle w:val="Subsection"/>
        <w:rPr>
          <w:snapToGrid w:val="0"/>
        </w:rPr>
      </w:pPr>
      <w:r>
        <w:rPr>
          <w:snapToGrid w:val="0"/>
        </w:rPr>
        <w:tab/>
        <w:t>(1)</w:t>
      </w:r>
      <w:r>
        <w:rPr>
          <w:snapToGrid w:val="0"/>
        </w:rPr>
        <w:tab/>
        <w:t>Where a pipeline enters or crosses agricultural land the licensee shall, at his expense, forthwith after the completion of the construction of that part of the pipeline that so enters or crosses, restore the land to enable it to be used as far as practicable for the purposes for which it was used immediately before that construction.</w:t>
      </w:r>
    </w:p>
    <w:p>
      <w:pPr>
        <w:pStyle w:val="Subsection"/>
        <w:rPr>
          <w:snapToGrid w:val="0"/>
        </w:rPr>
      </w:pPr>
      <w:r>
        <w:rPr>
          <w:snapToGrid w:val="0"/>
        </w:rPr>
        <w:tab/>
        <w:t>(2)</w:t>
      </w:r>
      <w:r>
        <w:rPr>
          <w:snapToGrid w:val="0"/>
        </w:rPr>
        <w:tab/>
        <w:t>Where the licensee fails to restore the land, as required by subsection (1), a person entitled to an interest in the land may restore the land and recover from the licensee in any court of competent jurisdiction the expenses reasonably incurred in carrying out that restoration.</w:t>
      </w:r>
    </w:p>
    <w:p>
      <w:pPr>
        <w:pStyle w:val="Subsection"/>
        <w:rPr>
          <w:snapToGrid w:val="0"/>
        </w:rPr>
      </w:pPr>
      <w:r>
        <w:rPr>
          <w:snapToGrid w:val="0"/>
        </w:rPr>
        <w:tab/>
        <w:t>(3)</w:t>
      </w:r>
      <w:r>
        <w:rPr>
          <w:snapToGrid w:val="0"/>
        </w:rPr>
        <w:tab/>
        <w:t>Any expenses so recovered do not affect any right to compensation that such person as is referred to in subsection (2) or any other person may have under this Act, in respect of that land.</w:t>
      </w:r>
    </w:p>
    <w:p>
      <w:pPr>
        <w:pStyle w:val="Subsection"/>
        <w:rPr>
          <w:snapToGrid w:val="0"/>
        </w:rPr>
      </w:pPr>
      <w:r>
        <w:rPr>
          <w:snapToGrid w:val="0"/>
        </w:rPr>
        <w:tab/>
        <w:t>(4)</w:t>
      </w:r>
      <w:r>
        <w:rPr>
          <w:snapToGrid w:val="0"/>
        </w:rPr>
        <w:tab/>
        <w:t>The Minister may, at any time on the request of a person entitled to an interest in the land, include among the conditions of the licence such conditions as he considers necessary to ensure that the land is maintained in a suitable condition and that noxious weeds and vermin are controlled.</w:t>
      </w:r>
    </w:p>
    <w:p>
      <w:pPr>
        <w:pStyle w:val="Heading5"/>
        <w:rPr>
          <w:snapToGrid w:val="0"/>
        </w:rPr>
      </w:pPr>
      <w:bookmarkStart w:id="146" w:name="_Toc464640097"/>
      <w:bookmarkStart w:id="147" w:name="_Toc483119641"/>
      <w:bookmarkStart w:id="148" w:name="_Toc131411210"/>
      <w:r>
        <w:rPr>
          <w:rStyle w:val="CharSectno"/>
        </w:rPr>
        <w:t>40</w:t>
      </w:r>
      <w:r>
        <w:rPr>
          <w:snapToGrid w:val="0"/>
        </w:rPr>
        <w:t>.</w:t>
      </w:r>
      <w:r>
        <w:rPr>
          <w:snapToGrid w:val="0"/>
        </w:rPr>
        <w:tab/>
        <w:t>Where route of pipeline crosses any water</w:t>
      </w:r>
      <w:bookmarkEnd w:id="146"/>
      <w:bookmarkEnd w:id="147"/>
      <w:bookmarkEnd w:id="148"/>
      <w:r>
        <w:rPr>
          <w:snapToGrid w:val="0"/>
        </w:rPr>
        <w:t xml:space="preserve"> </w:t>
      </w:r>
    </w:p>
    <w:p>
      <w:pPr>
        <w:pStyle w:val="Subsection"/>
        <w:rPr>
          <w:snapToGrid w:val="0"/>
        </w:rPr>
      </w:pPr>
      <w:r>
        <w:rPr>
          <w:snapToGrid w:val="0"/>
        </w:rPr>
        <w:tab/>
      </w:r>
      <w:r>
        <w:rPr>
          <w:snapToGrid w:val="0"/>
        </w:rPr>
        <w:tab/>
        <w:t>Where the route of a pipeline is such that the pipeline passes over or under any waters, the pipeline shall be constructed over or under those waters in such a manner — </w:t>
      </w:r>
    </w:p>
    <w:p>
      <w:pPr>
        <w:pStyle w:val="Indenta"/>
        <w:rPr>
          <w:snapToGrid w:val="0"/>
        </w:rPr>
      </w:pPr>
      <w:r>
        <w:rPr>
          <w:snapToGrid w:val="0"/>
        </w:rPr>
        <w:tab/>
        <w:t>(a)</w:t>
      </w:r>
      <w:r>
        <w:rPr>
          <w:snapToGrid w:val="0"/>
        </w:rPr>
        <w:tab/>
        <w:t>that the construction will not affect or impede anything or anyone reasonably using those waters;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all reasonable steps are taken to avoid pollution of those waters.</w:t>
      </w:r>
    </w:p>
    <w:p>
      <w:pPr>
        <w:pStyle w:val="Penstart"/>
        <w:rPr>
          <w:snapToGrid w:val="0"/>
        </w:rPr>
      </w:pPr>
      <w:r>
        <w:rPr>
          <w:snapToGrid w:val="0"/>
        </w:rPr>
        <w:tab/>
        <w:t>Penalty: $10 000.</w:t>
      </w:r>
    </w:p>
    <w:p>
      <w:pPr>
        <w:pStyle w:val="Footnotesection"/>
      </w:pPr>
      <w:r>
        <w:tab/>
        <w:t xml:space="preserve">[Section 40 amended by No. 12 of 1990 s.136.] </w:t>
      </w:r>
    </w:p>
    <w:p>
      <w:pPr>
        <w:pStyle w:val="Heading5"/>
        <w:spacing w:before="120"/>
        <w:rPr>
          <w:snapToGrid w:val="0"/>
        </w:rPr>
      </w:pPr>
      <w:bookmarkStart w:id="149" w:name="_Toc464640098"/>
      <w:bookmarkStart w:id="150" w:name="_Toc483119642"/>
      <w:bookmarkStart w:id="151" w:name="_Toc131411211"/>
      <w:r>
        <w:rPr>
          <w:rStyle w:val="CharSectno"/>
        </w:rPr>
        <w:t>41</w:t>
      </w:r>
      <w:r>
        <w:rPr>
          <w:snapToGrid w:val="0"/>
        </w:rPr>
        <w:t>.</w:t>
      </w:r>
      <w:r>
        <w:rPr>
          <w:snapToGrid w:val="0"/>
        </w:rPr>
        <w:tab/>
        <w:t>Directions</w:t>
      </w:r>
      <w:bookmarkEnd w:id="149"/>
      <w:bookmarkEnd w:id="150"/>
      <w:bookmarkEnd w:id="151"/>
      <w:r>
        <w:rPr>
          <w:snapToGrid w:val="0"/>
        </w:rPr>
        <w:t xml:space="preserve"> </w:t>
      </w:r>
    </w:p>
    <w:p>
      <w:pPr>
        <w:pStyle w:val="Subsection"/>
        <w:rPr>
          <w:snapToGrid w:val="0"/>
        </w:rPr>
      </w:pPr>
      <w:r>
        <w:rPr>
          <w:snapToGrid w:val="0"/>
        </w:rPr>
        <w:tab/>
        <w:t>(1)</w:t>
      </w:r>
      <w:r>
        <w:rPr>
          <w:snapToGrid w:val="0"/>
        </w:rPr>
        <w:tab/>
        <w:t>The Minister may, by instrument in writing served on a licensee, give to the licensee direction as to any matter with respect to which regulations may be made under this Act.</w:t>
      </w:r>
    </w:p>
    <w:p>
      <w:pPr>
        <w:pStyle w:val="Subsection"/>
        <w:rPr>
          <w:snapToGrid w:val="0"/>
        </w:rPr>
      </w:pPr>
      <w:r>
        <w:rPr>
          <w:snapToGrid w:val="0"/>
        </w:rPr>
        <w:tab/>
        <w:t>(2)</w:t>
      </w:r>
      <w:r>
        <w:rPr>
          <w:snapToGrid w:val="0"/>
        </w:rPr>
        <w:tab/>
        <w:t>A direction given under this section to a licensee applies to the licensee and may also be expressed to apply to — </w:t>
      </w:r>
    </w:p>
    <w:p>
      <w:pPr>
        <w:pStyle w:val="Indenta"/>
        <w:rPr>
          <w:snapToGrid w:val="0"/>
        </w:rPr>
      </w:pPr>
      <w:r>
        <w:rPr>
          <w:snapToGrid w:val="0"/>
        </w:rPr>
        <w:tab/>
        <w:t>(a)</w:t>
      </w:r>
      <w:r>
        <w:rPr>
          <w:snapToGrid w:val="0"/>
        </w:rPr>
        <w:tab/>
        <w:t>a class of persons specified in the direction, being a class constituted by or included in one or both of the following classes of persons — </w:t>
      </w:r>
    </w:p>
    <w:p>
      <w:pPr>
        <w:pStyle w:val="Indenti"/>
        <w:rPr>
          <w:snapToGrid w:val="0"/>
        </w:rPr>
      </w:pPr>
      <w:r>
        <w:rPr>
          <w:snapToGrid w:val="0"/>
        </w:rPr>
        <w:tab/>
        <w:t>(i)</w:t>
      </w:r>
      <w:r>
        <w:rPr>
          <w:snapToGrid w:val="0"/>
        </w:rPr>
        <w:tab/>
        <w:t>servants or agents of, or persons acting on behalf of, the licensee;</w:t>
      </w:r>
    </w:p>
    <w:p>
      <w:pPr>
        <w:pStyle w:val="Indenti"/>
        <w:rPr>
          <w:snapToGrid w:val="0"/>
        </w:rPr>
      </w:pPr>
      <w:r>
        <w:rPr>
          <w:snapToGrid w:val="0"/>
        </w:rPr>
        <w:tab/>
        <w:t>(ii)</w:t>
      </w:r>
      <w:r>
        <w:rPr>
          <w:snapToGrid w:val="0"/>
        </w:rPr>
        <w:tab/>
        <w:t>persons performing work or services, whether directly or indirectly, for the licensee;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the construction, operation or maintenance of a pipeline, or is in, on, above, below or in the vicinity of a vessel, aircraft, structure or installation, or equipment or other property, that is in the State for a reason of that kind,</w:t>
      </w:r>
    </w:p>
    <w:p>
      <w:pPr>
        <w:pStyle w:val="Subsection"/>
        <w:spacing w:before="8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spacing w:before="80"/>
        <w:rPr>
          <w:snapToGrid w:val="0"/>
        </w:rPr>
      </w:pPr>
      <w:r>
        <w:rPr>
          <w:snapToGrid w:val="0"/>
        </w:rPr>
        <w:tab/>
        <w:t>(3)</w:t>
      </w:r>
      <w:r>
        <w:rPr>
          <w:snapToGrid w:val="0"/>
        </w:rPr>
        <w:tab/>
        <w:t>Where a direction under this section applies to a licensee and to a person referred in subsection (2)(a), the licensee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spacing w:before="80"/>
        <w:rPr>
          <w:snapToGrid w:val="0"/>
        </w:rPr>
      </w:pPr>
      <w:r>
        <w:rPr>
          <w:snapToGrid w:val="0"/>
        </w:rPr>
        <w:tab/>
        <w:t>(4)</w:t>
      </w:r>
      <w:r>
        <w:rPr>
          <w:snapToGrid w:val="0"/>
        </w:rPr>
        <w:tab/>
        <w:t>Where a direction under this section applies to a licensee and to a person referred to in subsection (2)(b), the licensee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spacing w:before="80"/>
        <w:rPr>
          <w:snapToGrid w:val="0"/>
        </w:rPr>
      </w:pPr>
      <w:r>
        <w:rPr>
          <w:snapToGrid w:val="0"/>
        </w:rPr>
        <w:tab/>
        <w:t>(5)</w:t>
      </w:r>
      <w:r>
        <w:rPr>
          <w:snapToGrid w:val="0"/>
        </w:rPr>
        <w:tab/>
        <w:t>Where a direction under this section applies to a licensee and to a person referred to in subsection (2)(b), the Minister may, by notice in writing given to the licensee, require the licensee to cause to be displayed at such places in the State, and in such manner, as are specified in the notice, copies of the instrument by which the direction was given, and the licensee shall comply with that requirement.</w:t>
      </w:r>
    </w:p>
    <w:p>
      <w:pPr>
        <w:pStyle w:val="Penstart"/>
        <w:rPr>
          <w:snapToGrid w:val="0"/>
        </w:rPr>
      </w:pPr>
      <w:r>
        <w:rPr>
          <w:snapToGrid w:val="0"/>
        </w:rPr>
        <w:tab/>
        <w:t>Penalty: $5 000.</w:t>
      </w:r>
    </w:p>
    <w:p>
      <w:pPr>
        <w:pStyle w:val="Subsection"/>
        <w:rPr>
          <w:snapToGrid w:val="0"/>
        </w:rPr>
      </w:pPr>
      <w:r>
        <w:rPr>
          <w:snapToGrid w:val="0"/>
        </w:rPr>
        <w:tab/>
        <w:t>(6)</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(7)</w:t>
      </w:r>
      <w:r>
        <w:rPr>
          <w:snapToGrid w:val="0"/>
        </w:rPr>
        <w:tab/>
        <w:t>Section 67(1a) and (1b) applies in relation to directions made under this section in like manner as that section applies to the regulations.</w:t>
      </w:r>
    </w:p>
    <w:p>
      <w:pPr>
        <w:pStyle w:val="Subsection"/>
        <w:rPr>
          <w:snapToGrid w:val="0"/>
        </w:rPr>
      </w:pPr>
      <w:r>
        <w:rPr>
          <w:snapToGrid w:val="0"/>
        </w:rPr>
        <w:tab/>
        <w:t>(8)</w:t>
      </w:r>
      <w:r>
        <w:rPr>
          <w:snapToGrid w:val="0"/>
        </w:rPr>
        <w:tab/>
        <w:t>A direction under this section has effect and shall be complied with notwithstanding anything in the regulations.</w:t>
      </w:r>
    </w:p>
    <w:p>
      <w:pPr>
        <w:pStyle w:val="Subsection"/>
        <w:rPr>
          <w:snapToGrid w:val="0"/>
        </w:rPr>
      </w:pPr>
      <w:r>
        <w:rPr>
          <w:snapToGrid w:val="0"/>
        </w:rPr>
        <w:tab/>
        <w:t>(9)</w:t>
      </w:r>
      <w:r>
        <w:rPr>
          <w:snapToGrid w:val="0"/>
        </w:rPr>
        <w:tab/>
        <w:t>A person to whom a direction is given, or to whom a direction is expressed to apply,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direction given under this section applies to a licensee and another person and that other person is prosecuted for an offence against subsection (9) in relation to that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 xml:space="preserve">[Section 41 amended by No. 12 of 1990 s.137; No. 28 of 1994 s.72.] </w:t>
      </w:r>
    </w:p>
    <w:p>
      <w:pPr>
        <w:pStyle w:val="Heading5"/>
        <w:rPr>
          <w:snapToGrid w:val="0"/>
        </w:rPr>
      </w:pPr>
      <w:bookmarkStart w:id="152" w:name="_Toc464640099"/>
      <w:bookmarkStart w:id="153" w:name="_Toc483119643"/>
      <w:bookmarkStart w:id="154" w:name="_Toc131411212"/>
      <w:r>
        <w:rPr>
          <w:rStyle w:val="CharSectno"/>
        </w:rPr>
        <w:t>42</w:t>
      </w:r>
      <w:r>
        <w:rPr>
          <w:snapToGrid w:val="0"/>
        </w:rPr>
        <w:t>.</w:t>
      </w:r>
      <w:r>
        <w:rPr>
          <w:snapToGrid w:val="0"/>
        </w:rPr>
        <w:tab/>
        <w:t>Compliance with directions</w:t>
      </w:r>
      <w:bookmarkEnd w:id="152"/>
      <w:bookmarkEnd w:id="153"/>
      <w:bookmarkEnd w:id="154"/>
      <w:r>
        <w:rPr>
          <w:snapToGrid w:val="0"/>
        </w:rPr>
        <w:t xml:space="preserve"> </w:t>
      </w:r>
    </w:p>
    <w:p>
      <w:pPr>
        <w:pStyle w:val="Subsection"/>
        <w:rPr>
          <w:snapToGrid w:val="0"/>
        </w:rPr>
      </w:pPr>
      <w:r>
        <w:rPr>
          <w:snapToGrid w:val="0"/>
        </w:rPr>
        <w:tab/>
        <w:t>(1)</w:t>
      </w:r>
      <w:r>
        <w:rPr>
          <w:snapToGrid w:val="0"/>
        </w:rPr>
        <w:tab/>
        <w:t>Where a person does not comply with a direction given or applicable to the person under this Act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direction given under section 41 applies to a licensee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(4)</w:t>
      </w:r>
      <w:r>
        <w:rPr>
          <w:snapToGrid w:val="0"/>
        </w:rPr>
        <w:tab/>
        <w:t>It is a defence if a person charged with failing to comply with a direction given or applicable to the person under this Act or under the regulations, or a defendant in an action under subsection (2), proves that that person took all reasonable steps to comply with the direction.</w:t>
      </w:r>
    </w:p>
    <w:p>
      <w:pPr>
        <w:pStyle w:val="Footnotesection"/>
      </w:pPr>
      <w:r>
        <w:tab/>
        <w:t xml:space="preserve">[Section 42 inserted by No. 28 of 1994 s.73.] </w:t>
      </w:r>
    </w:p>
    <w:p>
      <w:pPr>
        <w:pStyle w:val="Heading2"/>
      </w:pPr>
      <w:bookmarkStart w:id="155" w:name="_Toc72913665"/>
      <w:bookmarkStart w:id="156" w:name="_Toc78089519"/>
      <w:bookmarkStart w:id="157" w:name="_Toc91305289"/>
      <w:bookmarkStart w:id="158" w:name="_Toc92690723"/>
      <w:bookmarkStart w:id="159" w:name="_Toc113771279"/>
      <w:bookmarkStart w:id="160" w:name="_Toc131411130"/>
      <w:bookmarkStart w:id="161" w:name="_Toc131411213"/>
      <w:r>
        <w:rPr>
          <w:rStyle w:val="CharPartNo"/>
        </w:rPr>
        <w:t>Part IV</w:t>
      </w:r>
      <w:r>
        <w:rPr>
          <w:rStyle w:val="CharDivNo"/>
        </w:rPr>
        <w:t> </w:t>
      </w:r>
      <w:r>
        <w:t>—</w:t>
      </w:r>
      <w:r>
        <w:rPr>
          <w:rStyle w:val="CharDivText"/>
        </w:rPr>
        <w:t> </w:t>
      </w:r>
      <w:r>
        <w:rPr>
          <w:rStyle w:val="CharPartText"/>
        </w:rPr>
        <w:t>Registration of licences and related instruments</w:t>
      </w:r>
      <w:bookmarkEnd w:id="155"/>
      <w:bookmarkEnd w:id="156"/>
      <w:bookmarkEnd w:id="157"/>
      <w:bookmarkEnd w:id="158"/>
      <w:bookmarkEnd w:id="159"/>
      <w:bookmarkEnd w:id="160"/>
      <w:bookmarkEnd w:id="161"/>
      <w:r>
        <w:rPr>
          <w:rStyle w:val="CharPartText"/>
        </w:rPr>
        <w:t xml:space="preserve"> </w:t>
      </w:r>
    </w:p>
    <w:p>
      <w:pPr>
        <w:pStyle w:val="Heading5"/>
        <w:rPr>
          <w:snapToGrid w:val="0"/>
        </w:rPr>
      </w:pPr>
      <w:bookmarkStart w:id="162" w:name="_Toc464640100"/>
      <w:bookmarkStart w:id="163" w:name="_Toc483119644"/>
      <w:bookmarkStart w:id="164" w:name="_Toc131411214"/>
      <w:r>
        <w:rPr>
          <w:rStyle w:val="CharSectno"/>
        </w:rPr>
        <w:t>43</w:t>
      </w:r>
      <w:r>
        <w:rPr>
          <w:snapToGrid w:val="0"/>
        </w:rPr>
        <w:t>.</w:t>
      </w:r>
      <w:r>
        <w:rPr>
          <w:snapToGrid w:val="0"/>
        </w:rPr>
        <w:tab/>
        <w:t>Register of licences to be kept</w:t>
      </w:r>
      <w:bookmarkEnd w:id="162"/>
      <w:bookmarkEnd w:id="163"/>
      <w:bookmarkEnd w:id="164"/>
      <w:r>
        <w:rPr>
          <w:snapToGrid w:val="0"/>
        </w:rPr>
        <w:t xml:space="preserve"> </w:t>
      </w:r>
    </w:p>
    <w:p>
      <w:pPr>
        <w:pStyle w:val="Subsection"/>
        <w:rPr>
          <w:snapToGrid w:val="0"/>
        </w:rPr>
      </w:pPr>
      <w:r>
        <w:rPr>
          <w:snapToGrid w:val="0"/>
        </w:rPr>
        <w:tab/>
        <w:t>(1)</w:t>
      </w:r>
      <w:r>
        <w:rPr>
          <w:snapToGrid w:val="0"/>
        </w:rPr>
        <w:tab/>
        <w:t>For the purposes of this Part, the Minister shall keep a register of licences.</w:t>
      </w:r>
    </w:p>
    <w:p>
      <w:pPr>
        <w:pStyle w:val="Subsection"/>
        <w:rPr>
          <w:snapToGrid w:val="0"/>
        </w:rPr>
      </w:pPr>
      <w:r>
        <w:rPr>
          <w:snapToGrid w:val="0"/>
        </w:rPr>
        <w:tab/>
        <w:t>(2)</w:t>
      </w:r>
      <w:r>
        <w:rPr>
          <w:snapToGrid w:val="0"/>
        </w:rPr>
        <w:tab/>
        <w:t>The Minister shall enter or cause to be entered in the register a memorial in respect of each licence — </w:t>
      </w:r>
    </w:p>
    <w:p>
      <w:pPr>
        <w:pStyle w:val="Indenta"/>
        <w:rPr>
          <w:snapToGrid w:val="0"/>
        </w:rPr>
      </w:pPr>
      <w:r>
        <w:rPr>
          <w:snapToGrid w:val="0"/>
        </w:rPr>
        <w:tab/>
        <w:t>(a)</w:t>
      </w:r>
      <w:r>
        <w:rPr>
          <w:snapToGrid w:val="0"/>
        </w:rPr>
        <w:tab/>
        <w:t>specifying the name of the holder of the licence;</w:t>
      </w:r>
    </w:p>
    <w:p>
      <w:pPr>
        <w:pStyle w:val="Indenta"/>
        <w:rPr>
          <w:snapToGrid w:val="0"/>
        </w:rPr>
      </w:pPr>
      <w:r>
        <w:rPr>
          <w:snapToGrid w:val="0"/>
        </w:rPr>
        <w:tab/>
        <w:t>(b)</w:t>
      </w:r>
      <w:r>
        <w:rPr>
          <w:snapToGrid w:val="0"/>
        </w:rPr>
        <w:tab/>
        <w:t>setting out an accurate description (including a map) of the licence area, the route of the pipeline authorised by the licence and the situation of any fittings, pumps, tanks, storage tanks, appurtenances and appliances and facilities referred to in the definition of “pipeline” in section 4(1) used or to be used in connection with the pipeline;</w:t>
      </w:r>
    </w:p>
    <w:p>
      <w:pPr>
        <w:pStyle w:val="Indenta"/>
        <w:rPr>
          <w:snapToGrid w:val="0"/>
        </w:rPr>
      </w:pPr>
      <w:r>
        <w:rPr>
          <w:snapToGrid w:val="0"/>
        </w:rPr>
        <w:tab/>
        <w:t>(c)</w:t>
      </w:r>
      <w:r>
        <w:rPr>
          <w:snapToGrid w:val="0"/>
        </w:rPr>
        <w:tab/>
        <w:t>specifying the term of the licence;</w:t>
      </w:r>
    </w:p>
    <w:p>
      <w:pPr>
        <w:pStyle w:val="Indenta"/>
        <w:rPr>
          <w:snapToGrid w:val="0"/>
        </w:rPr>
      </w:pPr>
      <w:r>
        <w:rPr>
          <w:snapToGrid w:val="0"/>
        </w:rPr>
        <w:tab/>
        <w:t>(d)</w:t>
      </w:r>
      <w:r>
        <w:rPr>
          <w:snapToGrid w:val="0"/>
        </w:rPr>
        <w:tab/>
        <w:t>setting out such other matters as are required by this Part to be entered in the register; and</w:t>
      </w:r>
    </w:p>
    <w:p>
      <w:pPr>
        <w:pStyle w:val="Indenta"/>
        <w:rPr>
          <w:snapToGrid w:val="0"/>
        </w:rPr>
      </w:pPr>
      <w:r>
        <w:rPr>
          <w:snapToGrid w:val="0"/>
        </w:rPr>
        <w:tab/>
        <w:t>(e)</w:t>
      </w:r>
      <w:r>
        <w:rPr>
          <w:snapToGrid w:val="0"/>
        </w:rPr>
        <w:tab/>
        <w:t>setting out such further matters relating to the licensee or to the terms and conditions of the licence as the Minister thinks proper and expedient in the public interest.</w:t>
      </w:r>
    </w:p>
    <w:p>
      <w:pPr>
        <w:pStyle w:val="Subsection"/>
        <w:rPr>
          <w:snapToGrid w:val="0"/>
        </w:rPr>
      </w:pPr>
      <w:r>
        <w:rPr>
          <w:snapToGrid w:val="0"/>
        </w:rPr>
        <w:tab/>
        <w:t>(3)</w:t>
      </w:r>
      <w:r>
        <w:rPr>
          <w:snapToGrid w:val="0"/>
        </w:rPr>
        <w:tab/>
        <w:t>The Minister shall cause to be entered in the register a memorial — </w:t>
      </w:r>
    </w:p>
    <w:p>
      <w:pPr>
        <w:pStyle w:val="Indenta"/>
        <w:rPr>
          <w:snapToGrid w:val="0"/>
        </w:rPr>
      </w:pPr>
      <w:r>
        <w:rPr>
          <w:snapToGrid w:val="0"/>
        </w:rPr>
        <w:tab/>
        <w:t>(a)</w:t>
      </w:r>
      <w:r>
        <w:rPr>
          <w:snapToGrid w:val="0"/>
        </w:rPr>
        <w:tab/>
        <w:t>of any instrument varying, cancelling, surrendering or otherwise affecting a licence;</w:t>
      </w:r>
    </w:p>
    <w:p>
      <w:pPr>
        <w:pStyle w:val="Indenta"/>
        <w:rPr>
          <w:snapToGrid w:val="0"/>
        </w:rPr>
      </w:pPr>
      <w:r>
        <w:rPr>
          <w:snapToGrid w:val="0"/>
        </w:rPr>
        <w:tab/>
        <w:t>(b)</w:t>
      </w:r>
      <w:r>
        <w:rPr>
          <w:snapToGrid w:val="0"/>
        </w:rPr>
        <w:tab/>
        <w:t>of any instrument varying or revoking an instrument referred to in paragraph (a); and</w:t>
      </w:r>
    </w:p>
    <w:p>
      <w:pPr>
        <w:pStyle w:val="Indenta"/>
        <w:rPr>
          <w:snapToGrid w:val="0"/>
        </w:rPr>
      </w:pPr>
      <w:r>
        <w:rPr>
          <w:snapToGrid w:val="0"/>
        </w:rPr>
        <w:tab/>
        <w:t>(c)</w:t>
      </w:r>
      <w:r>
        <w:rPr>
          <w:snapToGrid w:val="0"/>
        </w:rPr>
        <w:tab/>
        <w:t>of the expiration of a licence.</w:t>
      </w:r>
    </w:p>
    <w:p>
      <w:pPr>
        <w:pStyle w:val="Subsection"/>
        <w:rPr>
          <w:snapToGrid w:val="0"/>
        </w:rPr>
      </w:pPr>
      <w:r>
        <w:rPr>
          <w:snapToGrid w:val="0"/>
        </w:rPr>
        <w:tab/>
        <w:t>(4)</w:t>
      </w:r>
      <w:r>
        <w:rPr>
          <w:snapToGrid w:val="0"/>
        </w:rPr>
        <w:tab/>
        <w:t>It is a sufficient compliance with the requirements of subsection (2) or (3) if the Minister causes a copy of the licence or instrument to be entered in the register.</w:t>
      </w:r>
    </w:p>
    <w:p>
      <w:pPr>
        <w:pStyle w:val="Ednotesubsection"/>
      </w:pPr>
      <w:r>
        <w:tab/>
        <w:t>[(5)</w:t>
      </w:r>
      <w:r>
        <w:tab/>
        <w:t>repealed]</w:t>
      </w:r>
    </w:p>
    <w:p>
      <w:pPr>
        <w:pStyle w:val="Subsection"/>
        <w:rPr>
          <w:snapToGrid w:val="0"/>
        </w:rPr>
      </w:pPr>
      <w:r>
        <w:rPr>
          <w:snapToGrid w:val="0"/>
        </w:rPr>
        <w:tab/>
        <w:t>(6)</w:t>
      </w:r>
      <w:r>
        <w:rPr>
          <w:snapToGrid w:val="0"/>
        </w:rPr>
        <w:tab/>
        <w:t>The Minister shall endorse on the memorial or copy of the licence or instrument a memorandum of the date upon which the memorial or copy was entered in the register.</w:t>
      </w:r>
    </w:p>
    <w:p>
      <w:pPr>
        <w:pStyle w:val="Footnotesection"/>
      </w:pPr>
      <w:r>
        <w:tab/>
        <w:t xml:space="preserve">[Section 43 amended by No. 12 of 1990 s.138.] </w:t>
      </w:r>
    </w:p>
    <w:p>
      <w:pPr>
        <w:pStyle w:val="Heading5"/>
        <w:rPr>
          <w:snapToGrid w:val="0"/>
        </w:rPr>
      </w:pPr>
      <w:bookmarkStart w:id="165" w:name="_Toc464640101"/>
      <w:bookmarkStart w:id="166" w:name="_Toc483119645"/>
      <w:bookmarkStart w:id="167" w:name="_Toc131411215"/>
      <w:r>
        <w:rPr>
          <w:rStyle w:val="CharSectno"/>
        </w:rPr>
        <w:t>44</w:t>
      </w:r>
      <w:r>
        <w:rPr>
          <w:snapToGrid w:val="0"/>
        </w:rPr>
        <w:t>.</w:t>
      </w:r>
      <w:r>
        <w:rPr>
          <w:snapToGrid w:val="0"/>
        </w:rPr>
        <w:tab/>
        <w:t>Approval and registration of transfers</w:t>
      </w:r>
      <w:bookmarkEnd w:id="165"/>
      <w:bookmarkEnd w:id="166"/>
      <w:bookmarkEnd w:id="167"/>
      <w:r>
        <w:rPr>
          <w:snapToGrid w:val="0"/>
        </w:rPr>
        <w:t xml:space="preserve"> </w:t>
      </w:r>
    </w:p>
    <w:p>
      <w:pPr>
        <w:pStyle w:val="Subsection"/>
        <w:rPr>
          <w:snapToGrid w:val="0"/>
        </w:rPr>
      </w:pPr>
      <w:r>
        <w:rPr>
          <w:snapToGrid w:val="0"/>
        </w:rPr>
        <w:tab/>
        <w:t>(1)</w:t>
      </w:r>
      <w:r>
        <w:rPr>
          <w:snapToGrid w:val="0"/>
        </w:rPr>
        <w:tab/>
        <w:t>A transfer of a licence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licence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licence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licence, an instrument setting out — </w:t>
      </w:r>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licence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licence and determine whether to approve the transfer.</w:t>
      </w:r>
    </w:p>
    <w:p>
      <w:pPr>
        <w:pStyle w:val="Subsection"/>
        <w:rPr>
          <w:snapToGrid w:val="0"/>
        </w:rPr>
      </w:pPr>
      <w:r>
        <w:rPr>
          <w:snapToGrid w:val="0"/>
        </w:rPr>
        <w:tab/>
        <w:t>(7)</w:t>
      </w:r>
      <w:r>
        <w:rPr>
          <w:snapToGrid w:val="0"/>
        </w:rPr>
        <w:tab/>
        <w:t>Where an application for approval of the transfer of a licence is made in accordance with this section, the Minister shall, by notice in writing served on the person who made the application, inform the person of the decision of the Minister.</w:t>
      </w:r>
    </w:p>
    <w:p>
      <w:pPr>
        <w:pStyle w:val="Ednotesubsection"/>
      </w:pPr>
      <w:r>
        <w:tab/>
        <w:t>[(8)</w:t>
      </w:r>
      <w:r>
        <w:tab/>
        <w:t>repealed]</w:t>
      </w:r>
    </w:p>
    <w:p>
      <w:pPr>
        <w:pStyle w:val="Subsection"/>
        <w:rPr>
          <w:snapToGrid w:val="0"/>
        </w:rPr>
      </w:pPr>
      <w:r>
        <w:rPr>
          <w:snapToGrid w:val="0"/>
        </w:rPr>
        <w:tab/>
        <w:t>(9)</w:t>
      </w:r>
      <w:r>
        <w:rPr>
          <w:snapToGrid w:val="0"/>
        </w:rPr>
        <w:tab/>
        <w:t>Where the Minister approves the transfer of a licence, the Minister shall forthwith endorse on the instrument of transfer and on one copy of the instrument a memorandum of approval and shall, on payment of the prescribed fee,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licence and of the name of the transferee or each transferee in accordance with subsection (9) —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licence.</w:t>
      </w:r>
    </w:p>
    <w:p>
      <w:pPr>
        <w:pStyle w:val="Subsection"/>
        <w:spacing w:before="18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80"/>
        <w:rPr>
          <w:snapToGrid w:val="0"/>
        </w:rPr>
      </w:pPr>
      <w:r>
        <w:rPr>
          <w:snapToGrid w:val="0"/>
        </w:rPr>
        <w:tab/>
        <w:t>(12)</w:t>
      </w:r>
      <w:r>
        <w:rPr>
          <w:snapToGrid w:val="0"/>
        </w:rPr>
        <w:tab/>
        <w:t>Where a transfer is registered — </w:t>
      </w:r>
    </w:p>
    <w:p>
      <w:pPr>
        <w:pStyle w:val="Indenta"/>
        <w:spacing w:before="12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12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80"/>
        <w:rPr>
          <w:snapToGrid w:val="0"/>
        </w:rPr>
      </w:pPr>
      <w:r>
        <w:rPr>
          <w:snapToGrid w:val="0"/>
        </w:rPr>
        <w:tab/>
        <w:t>(13)</w:t>
      </w:r>
      <w:r>
        <w:rPr>
          <w:snapToGrid w:val="0"/>
        </w:rPr>
        <w:tab/>
        <w:t>The mere execution of an instrument of transfer of a licence creates no interest in the licence.</w:t>
      </w:r>
    </w:p>
    <w:p>
      <w:pPr>
        <w:pStyle w:val="Footnotesection"/>
      </w:pPr>
      <w:r>
        <w:tab/>
        <w:t>[Section 44 inserted by No. 12 of 1990</w:t>
      </w:r>
      <w:r>
        <w:rPr>
          <w:vertAlign w:val="superscript"/>
        </w:rPr>
        <w:t xml:space="preserve"> 3</w:t>
      </w:r>
      <w:r>
        <w:t xml:space="preserve"> s.139; amended by No. 28 of 1994 s.74.] </w:t>
      </w:r>
    </w:p>
    <w:p>
      <w:pPr>
        <w:pStyle w:val="Heading5"/>
        <w:spacing w:before="260"/>
        <w:rPr>
          <w:snapToGrid w:val="0"/>
        </w:rPr>
      </w:pPr>
      <w:bookmarkStart w:id="168" w:name="_Toc464640102"/>
      <w:bookmarkStart w:id="169" w:name="_Toc483119646"/>
      <w:bookmarkStart w:id="170" w:name="_Toc131411216"/>
      <w:r>
        <w:rPr>
          <w:rStyle w:val="CharSectno"/>
        </w:rPr>
        <w:t>45</w:t>
      </w:r>
      <w:r>
        <w:rPr>
          <w:snapToGrid w:val="0"/>
        </w:rPr>
        <w:t>.</w:t>
      </w:r>
      <w:r>
        <w:rPr>
          <w:snapToGrid w:val="0"/>
        </w:rPr>
        <w:tab/>
        <w:t>Entries in register on devolution of rights of registered holder</w:t>
      </w:r>
      <w:bookmarkEnd w:id="168"/>
      <w:bookmarkEnd w:id="169"/>
      <w:bookmarkEnd w:id="170"/>
      <w:r>
        <w:rPr>
          <w:snapToGrid w:val="0"/>
        </w:rPr>
        <w:t xml:space="preserve"> </w:t>
      </w:r>
    </w:p>
    <w:p>
      <w:pPr>
        <w:pStyle w:val="Subsection"/>
        <w:spacing w:before="180"/>
        <w:rPr>
          <w:snapToGrid w:val="0"/>
        </w:rPr>
      </w:pPr>
      <w:r>
        <w:rPr>
          <w:snapToGrid w:val="0"/>
        </w:rPr>
        <w:tab/>
        <w:t>(1)</w:t>
      </w:r>
      <w:r>
        <w:rPr>
          <w:snapToGrid w:val="0"/>
        </w:rPr>
        <w:tab/>
        <w:t>A person upon whom the rights of a registered holder of a licence have devolved by operation of law may apply in writing to the Minister to have his name entered in the register as the holder of the licence.</w:t>
      </w:r>
    </w:p>
    <w:p>
      <w:pPr>
        <w:pStyle w:val="Subsection"/>
        <w:spacing w:before="180"/>
        <w:rPr>
          <w:snapToGrid w:val="0"/>
        </w:rPr>
      </w:pPr>
      <w:r>
        <w:rPr>
          <w:snapToGrid w:val="0"/>
        </w:rPr>
        <w:tab/>
        <w:t>(2)</w:t>
      </w:r>
      <w:r>
        <w:rPr>
          <w:snapToGrid w:val="0"/>
        </w:rPr>
        <w:tab/>
        <w:t>Where the Minister is satisfied that the interests of the holder have devolved upon the applicant by operation of law, the Minister may, on payment of the prescribed fee, cause the name of the applicant to be entered in the register as the holder of the licence.</w:t>
      </w:r>
    </w:p>
    <w:p>
      <w:pPr>
        <w:pStyle w:val="Subsection"/>
        <w:spacing w:before="180"/>
        <w:rPr>
          <w:snapToGrid w:val="0"/>
        </w:rPr>
      </w:pPr>
      <w:r>
        <w:rPr>
          <w:snapToGrid w:val="0"/>
        </w:rPr>
        <w:tab/>
        <w:t>(3)</w:t>
      </w:r>
      <w:r>
        <w:rPr>
          <w:snapToGrid w:val="0"/>
        </w:rPr>
        <w:tab/>
        <w:t>Where a company that is the registered holder of a particular licence has changed its name, it may apply in writing to the Minister to have its new name substituted for its previous name in the register in relation to that licence and, if — </w:t>
      </w:r>
    </w:p>
    <w:p>
      <w:pPr>
        <w:pStyle w:val="Indenta"/>
        <w:rPr>
          <w:snapToGrid w:val="0"/>
        </w:rPr>
      </w:pPr>
      <w:r>
        <w:rPr>
          <w:snapToGrid w:val="0"/>
        </w:rPr>
        <w:tab/>
        <w:t>(a)</w:t>
      </w:r>
      <w:r>
        <w:rPr>
          <w:snapToGrid w:val="0"/>
        </w:rPr>
        <w:tab/>
        <w:t>the Minister is satisfied that the company has so changed its name; and</w:t>
      </w:r>
    </w:p>
    <w:p>
      <w:pPr>
        <w:pStyle w:val="Indenta"/>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 xml:space="preserve">[Section 45 amended by No. 10 of 1983 s.6; No. 12 of 1990 s.140.] </w:t>
      </w:r>
    </w:p>
    <w:p>
      <w:pPr>
        <w:pStyle w:val="Ednotesection"/>
      </w:pPr>
      <w:r>
        <w:t>[</w:t>
      </w:r>
      <w:r>
        <w:rPr>
          <w:b/>
        </w:rPr>
        <w:t>46.</w:t>
      </w:r>
      <w:r>
        <w:tab/>
        <w:t xml:space="preserve">Repealed by No. 12 of 1990 s.141.] </w:t>
      </w:r>
    </w:p>
    <w:p>
      <w:pPr>
        <w:pStyle w:val="Heading5"/>
        <w:rPr>
          <w:snapToGrid w:val="0"/>
        </w:rPr>
      </w:pPr>
      <w:bookmarkStart w:id="171" w:name="_Toc464640103"/>
      <w:bookmarkStart w:id="172" w:name="_Toc483119647"/>
      <w:bookmarkStart w:id="173" w:name="_Toc131411217"/>
      <w:r>
        <w:rPr>
          <w:rStyle w:val="CharSectno"/>
        </w:rPr>
        <w:t>47</w:t>
      </w:r>
      <w:r>
        <w:rPr>
          <w:snapToGrid w:val="0"/>
        </w:rPr>
        <w:t>.</w:t>
      </w:r>
      <w:r>
        <w:rPr>
          <w:snapToGrid w:val="0"/>
        </w:rPr>
        <w:tab/>
        <w:t>Approval of dealings creating etc. interests etc. in existing licences</w:t>
      </w:r>
      <w:bookmarkEnd w:id="171"/>
      <w:bookmarkEnd w:id="172"/>
      <w:bookmarkEnd w:id="173"/>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licence;</w:t>
      </w:r>
    </w:p>
    <w:p>
      <w:pPr>
        <w:pStyle w:val="Indenta"/>
        <w:rPr>
          <w:snapToGrid w:val="0"/>
        </w:rPr>
      </w:pPr>
      <w:r>
        <w:rPr>
          <w:snapToGrid w:val="0"/>
        </w:rPr>
        <w:tab/>
        <w:t>(b)</w:t>
      </w:r>
      <w:r>
        <w:rPr>
          <w:snapToGrid w:val="0"/>
        </w:rPr>
        <w:tab/>
        <w:t>the creation or assignment of a right (conditional or otherwise) to the assignment of an interest in an existing licence;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licence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44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licence until — </w:t>
      </w:r>
    </w:p>
    <w:p>
      <w:pPr>
        <w:pStyle w:val="Indenta"/>
        <w:rPr>
          <w:snapToGrid w:val="0"/>
        </w:rPr>
      </w:pPr>
      <w:r>
        <w:rPr>
          <w:snapToGrid w:val="0"/>
        </w:rPr>
        <w:tab/>
        <w:t>(a)</w:t>
      </w:r>
      <w:r>
        <w:rPr>
          <w:snapToGrid w:val="0"/>
        </w:rPr>
        <w:tab/>
        <w:t>the dealing, in so far as it relates to that licence,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 </w:t>
      </w:r>
    </w:p>
    <w:p>
      <w:pPr>
        <w:pStyle w:val="Indenta"/>
        <w:rPr>
          <w:snapToGrid w:val="0"/>
        </w:rPr>
      </w:pPr>
      <w:r>
        <w:rPr>
          <w:snapToGrid w:val="0"/>
        </w:rPr>
        <w:tab/>
        <w:t>(a)</w:t>
      </w:r>
      <w:r>
        <w:rPr>
          <w:snapToGrid w:val="0"/>
        </w:rPr>
        <w:tab/>
        <w:t>in a case where the dealing relates to only one licence,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licence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licence was, immediately before the licence came into existence, a dealing referred to in section 47A(1),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47A(1);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licence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paragraph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licence.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prescribed fee, make an entry of the approval of the dealing in the register on the memorial relating to, or on the copy of, the licence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 </w:t>
      </w:r>
    </w:p>
    <w:p>
      <w:pPr>
        <w:pStyle w:val="Indenta"/>
        <w:rPr>
          <w:snapToGrid w:val="0"/>
        </w:rPr>
      </w:pPr>
      <w:r>
        <w:rPr>
          <w:snapToGrid w:val="0"/>
        </w:rPr>
        <w:tab/>
        <w:t>(a)</w:t>
      </w:r>
      <w:r>
        <w:rPr>
          <w:snapToGrid w:val="0"/>
        </w:rPr>
        <w:tab/>
        <w:t xml:space="preserve">if the dealing was approved before the commencement of section 141 of the </w:t>
      </w:r>
      <w:r>
        <w:rPr>
          <w:i/>
          <w:snapToGrid w:val="0"/>
        </w:rPr>
        <w:t xml:space="preserve">Acts Amendment (Petroleum) Act 1990 </w:t>
      </w:r>
      <w:r>
        <w:rPr>
          <w:snapToGrid w:val="0"/>
          <w:vertAlign w:val="superscript"/>
        </w:rPr>
        <w:t>1</w:t>
      </w:r>
      <w:r>
        <w:rPr>
          <w:snapToGrid w:val="0"/>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Part;</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Part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b/>
          <w:snapToGrid w:val="0"/>
        </w:rPr>
        <w:t>“</w:t>
      </w:r>
      <w:r>
        <w:rPr>
          <w:rStyle w:val="CharDefText"/>
        </w:rPr>
        <w:t>charge</w:t>
      </w:r>
      <w:r>
        <w:rPr>
          <w:b/>
          <w:snapToGrid w:val="0"/>
        </w:rPr>
        <w:t>”</w:t>
      </w:r>
      <w:r>
        <w:rPr>
          <w:snapToGrid w:val="0"/>
        </w:rPr>
        <w:t xml:space="preserve"> and </w:t>
      </w:r>
      <w:r>
        <w:rPr>
          <w:b/>
          <w:snapToGrid w:val="0"/>
        </w:rPr>
        <w:t>“</w:t>
      </w:r>
      <w:r>
        <w:rPr>
          <w:rStyle w:val="CharDefText"/>
        </w:rPr>
        <w:t>debenture</w:t>
      </w:r>
      <w:r>
        <w:rPr>
          <w:b/>
          <w:snapToGrid w:val="0"/>
        </w:rPr>
        <w:t>”</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pPr>
      <w:r>
        <w:tab/>
        <w:t>[Section 47 inserted by No. 12 of 1990</w:t>
      </w:r>
      <w:r>
        <w:rPr>
          <w:vertAlign w:val="superscript"/>
        </w:rPr>
        <w:t xml:space="preserve"> 6</w:t>
      </w:r>
      <w:r>
        <w:t xml:space="preserve"> s.141; amended by No. 20 of 2002 s. 36.] </w:t>
      </w:r>
    </w:p>
    <w:p>
      <w:pPr>
        <w:pStyle w:val="Heading5"/>
        <w:rPr>
          <w:snapToGrid w:val="0"/>
        </w:rPr>
      </w:pPr>
      <w:bookmarkStart w:id="174" w:name="_Toc464640104"/>
      <w:bookmarkStart w:id="175" w:name="_Toc483119648"/>
      <w:bookmarkStart w:id="176" w:name="_Toc131411218"/>
      <w:r>
        <w:rPr>
          <w:rStyle w:val="CharSectno"/>
        </w:rPr>
        <w:t>47A</w:t>
      </w:r>
      <w:r>
        <w:rPr>
          <w:snapToGrid w:val="0"/>
        </w:rPr>
        <w:t>.</w:t>
      </w:r>
      <w:r>
        <w:rPr>
          <w:snapToGrid w:val="0"/>
        </w:rPr>
        <w:tab/>
        <w:t>Approval of dealings in future interests etc.</w:t>
      </w:r>
      <w:bookmarkEnd w:id="174"/>
      <w:bookmarkEnd w:id="175"/>
      <w:bookmarkEnd w:id="176"/>
      <w:r>
        <w:rPr>
          <w:snapToGrid w:val="0"/>
        </w:rPr>
        <w:t xml:space="preserve"> </w:t>
      </w:r>
    </w:p>
    <w:p>
      <w:pPr>
        <w:pStyle w:val="Subsection"/>
        <w:rPr>
          <w:snapToGrid w:val="0"/>
        </w:rPr>
      </w:pPr>
      <w:r>
        <w:rPr>
          <w:snapToGrid w:val="0"/>
        </w:rPr>
        <w:tab/>
        <w:t>(1)</w:t>
      </w:r>
      <w:r>
        <w:rPr>
          <w:snapToGrid w:val="0"/>
        </w:rPr>
        <w:tab/>
        <w:t>Where 2 or more persons enter into a dealing relating to a licence that may come into existence in the future and that dealing would, if the licence came into existence, become a dealing to which section 47 applies, a person who is a party to the dealing may, during the prescribed period in relation to the licence, lodge with the Minister — </w:t>
      </w:r>
    </w:p>
    <w:p>
      <w:pPr>
        <w:pStyle w:val="Indenta"/>
        <w:rPr>
          <w:snapToGrid w:val="0"/>
        </w:rPr>
      </w:pPr>
      <w:r>
        <w:rPr>
          <w:snapToGrid w:val="0"/>
        </w:rPr>
        <w:tab/>
        <w:t>(a)</w:t>
      </w:r>
      <w:r>
        <w:rPr>
          <w:snapToGrid w:val="0"/>
        </w:rPr>
        <w:tab/>
        <w:t>in a case where the dealing relates to only one licence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licence that may come into existence in the future and to which the dealing relates.</w:t>
      </w:r>
    </w:p>
    <w:p>
      <w:pPr>
        <w:pStyle w:val="Subsection"/>
        <w:rPr>
          <w:snapToGrid w:val="0"/>
        </w:rPr>
      </w:pPr>
      <w:r>
        <w:rPr>
          <w:snapToGrid w:val="0"/>
        </w:rPr>
        <w:tab/>
        <w:t>(2)</w:t>
      </w:r>
      <w:r>
        <w:rPr>
          <w:snapToGrid w:val="0"/>
        </w:rPr>
        <w:tab/>
        <w:t>Section 47(4), (7) and (8) applies to a provisional application lodged under subsection (1) as if that provisional application were an application lodged under section 47(3).</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licence to which a dealing referred to in subsection (1) relates comes into existence; and</w:t>
      </w:r>
    </w:p>
    <w:p>
      <w:pPr>
        <w:pStyle w:val="Indenta"/>
        <w:rPr>
          <w:snapToGrid w:val="0"/>
        </w:rPr>
      </w:pPr>
      <w:r>
        <w:rPr>
          <w:snapToGrid w:val="0"/>
        </w:rPr>
        <w:tab/>
        <w:t>(b)</w:t>
      </w:r>
      <w:r>
        <w:rPr>
          <w:snapToGrid w:val="0"/>
        </w:rPr>
        <w:tab/>
        <w:t>upon that licence coming into existence, the dealing becomes a dealing to which section 47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47(3) on the day on which that licence came into existence.</w:t>
      </w:r>
    </w:p>
    <w:p>
      <w:pPr>
        <w:pStyle w:val="Subsection"/>
        <w:rPr>
          <w:snapToGrid w:val="0"/>
        </w:rPr>
      </w:pPr>
      <w:r>
        <w:rPr>
          <w:snapToGrid w:val="0"/>
        </w:rPr>
        <w:tab/>
        <w:t>(4)</w:t>
      </w:r>
      <w:r>
        <w:rPr>
          <w:snapToGrid w:val="0"/>
        </w:rPr>
        <w:tab/>
        <w:t>A reference in subsection (1) to the prescribed period, in relation to a licence, is a reference to the period — </w:t>
      </w:r>
    </w:p>
    <w:p>
      <w:pPr>
        <w:pStyle w:val="Indenta"/>
        <w:rPr>
          <w:snapToGrid w:val="0"/>
        </w:rPr>
      </w:pPr>
      <w:r>
        <w:rPr>
          <w:snapToGrid w:val="0"/>
        </w:rPr>
        <w:tab/>
        <w:t>(a)</w:t>
      </w:r>
      <w:r>
        <w:rPr>
          <w:snapToGrid w:val="0"/>
        </w:rPr>
        <w:tab/>
        <w:t>commencing on the day of service of an instrument informing the applicant for the licence that the Minister is prepared to grant the licence; and</w:t>
      </w:r>
    </w:p>
    <w:p>
      <w:pPr>
        <w:pStyle w:val="Indenta"/>
        <w:rPr>
          <w:snapToGrid w:val="0"/>
        </w:rPr>
      </w:pPr>
      <w:r>
        <w:rPr>
          <w:snapToGrid w:val="0"/>
        </w:rPr>
        <w:tab/>
        <w:t>(b)</w:t>
      </w:r>
      <w:r>
        <w:rPr>
          <w:snapToGrid w:val="0"/>
        </w:rPr>
        <w:tab/>
        <w:t>ending on the day on which the licence comes into existence.</w:t>
      </w:r>
    </w:p>
    <w:p>
      <w:pPr>
        <w:pStyle w:val="Footnotesection"/>
      </w:pPr>
      <w:r>
        <w:tab/>
        <w:t>[Section 47A inserted by No. 12 of 1990</w:t>
      </w:r>
      <w:r>
        <w:rPr>
          <w:vertAlign w:val="superscript"/>
        </w:rPr>
        <w:t xml:space="preserve"> 6</w:t>
      </w:r>
      <w:r>
        <w:t xml:space="preserve"> s.141.] </w:t>
      </w:r>
    </w:p>
    <w:p>
      <w:pPr>
        <w:pStyle w:val="Heading5"/>
        <w:rPr>
          <w:snapToGrid w:val="0"/>
        </w:rPr>
      </w:pPr>
      <w:bookmarkStart w:id="177" w:name="_Toc464640105"/>
      <w:bookmarkStart w:id="178" w:name="_Toc483119649"/>
      <w:bookmarkStart w:id="179" w:name="_Toc131411219"/>
      <w:r>
        <w:rPr>
          <w:rStyle w:val="CharSectno"/>
        </w:rPr>
        <w:t>48</w:t>
      </w:r>
      <w:r>
        <w:rPr>
          <w:snapToGrid w:val="0"/>
        </w:rPr>
        <w:t>.</w:t>
      </w:r>
      <w:r>
        <w:rPr>
          <w:snapToGrid w:val="0"/>
        </w:rPr>
        <w:tab/>
        <w:t>True consideration to be shown</w:t>
      </w:r>
      <w:bookmarkEnd w:id="177"/>
      <w:bookmarkEnd w:id="178"/>
      <w:bookmarkEnd w:id="179"/>
      <w:r>
        <w:rPr>
          <w:snapToGrid w:val="0"/>
        </w:rPr>
        <w:t xml:space="preserve"> </w:t>
      </w:r>
    </w:p>
    <w:p>
      <w:pPr>
        <w:pStyle w:val="Subsection"/>
        <w:rPr>
          <w:snapToGrid w:val="0"/>
        </w:rPr>
      </w:pPr>
      <w:r>
        <w:rPr>
          <w:snapToGrid w:val="0"/>
        </w:rPr>
        <w:tab/>
      </w:r>
      <w:r>
        <w:rPr>
          <w:snapToGrid w:val="0"/>
        </w:rPr>
        <w:tab/>
        <w:t>A person who is a party to a transfer referred to in section 44, a dealing to which section 47 applies or a dealing referred to in section 47A(1) shall not lodge with the Minister —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47(4)(b),</w:t>
      </w:r>
    </w:p>
    <w:p>
      <w:pPr>
        <w:pStyle w:val="Subsection"/>
        <w:rPr>
          <w:snapToGrid w:val="0"/>
          <w:spacing w:val="-4"/>
        </w:rPr>
      </w:pPr>
      <w:r>
        <w:rPr>
          <w:snapToGrid w:val="0"/>
          <w:spacing w:val="-4"/>
        </w:rPr>
        <w:tab/>
      </w:r>
      <w:r>
        <w:rPr>
          <w:snapToGrid w:val="0"/>
          <w:spacing w:val="-4"/>
        </w:rPr>
        <w:tab/>
        <w:t>that contains a statement relating to the consideration for the transfer or dealing, or to any other fact or circumstance affecting the amount of the fee payable in respect of the transfer or dealing under this Act, being a statement that is, to the knowledge of the person, false or misleading in a material particular.</w:t>
      </w:r>
    </w:p>
    <w:p>
      <w:pPr>
        <w:pStyle w:val="Penstart"/>
        <w:rPr>
          <w:snapToGrid w:val="0"/>
        </w:rPr>
      </w:pPr>
      <w:r>
        <w:rPr>
          <w:snapToGrid w:val="0"/>
        </w:rPr>
        <w:tab/>
        <w:t>Penalty: $10 000.</w:t>
      </w:r>
    </w:p>
    <w:p>
      <w:pPr>
        <w:pStyle w:val="Footnotesection"/>
      </w:pPr>
      <w:r>
        <w:tab/>
        <w:t xml:space="preserve">[Section 48 inserted by No. 12 of 1990 s.142.] </w:t>
      </w:r>
    </w:p>
    <w:p>
      <w:pPr>
        <w:pStyle w:val="Heading5"/>
        <w:keepNext w:val="0"/>
        <w:keepLines w:val="0"/>
        <w:rPr>
          <w:snapToGrid w:val="0"/>
        </w:rPr>
      </w:pPr>
      <w:bookmarkStart w:id="180" w:name="_Toc464640106"/>
      <w:bookmarkStart w:id="181" w:name="_Toc483119650"/>
      <w:bookmarkStart w:id="182" w:name="_Toc131411220"/>
      <w:r>
        <w:rPr>
          <w:rStyle w:val="CharSectno"/>
        </w:rPr>
        <w:t>49</w:t>
      </w:r>
      <w:r>
        <w:rPr>
          <w:snapToGrid w:val="0"/>
        </w:rPr>
        <w:t>.</w:t>
      </w:r>
      <w:r>
        <w:rPr>
          <w:snapToGrid w:val="0"/>
        </w:rPr>
        <w:tab/>
        <w:t>Minister not concerned with certain matters</w:t>
      </w:r>
      <w:bookmarkEnd w:id="180"/>
      <w:bookmarkEnd w:id="181"/>
      <w:bookmarkEnd w:id="182"/>
      <w:r>
        <w:rPr>
          <w:snapToGrid w:val="0"/>
        </w:rPr>
        <w:t xml:space="preserve"> </w:t>
      </w:r>
    </w:p>
    <w:p>
      <w:pPr>
        <w:pStyle w:val="Subsection"/>
        <w:rPr>
          <w:snapToGrid w:val="0"/>
        </w:rPr>
      </w:pPr>
      <w:r>
        <w:rPr>
          <w:snapToGrid w:val="0"/>
        </w:rPr>
        <w:tab/>
      </w:r>
      <w:r>
        <w:rPr>
          <w:snapToGrid w:val="0"/>
        </w:rPr>
        <w:tab/>
        <w:t>Neither the Minister nor a person acting under the direction or authority of the Minister is concerned with the effect in law of any instrument lodged with the Minister in pursuance of this Part, nor does the approval of a transfer or dealing give to the transfer or dealing any force, effect or validity that the transfer or dealing would not have had if this Part had not been enacted.</w:t>
      </w:r>
    </w:p>
    <w:p>
      <w:pPr>
        <w:pStyle w:val="Footnotesection"/>
        <w:keepLines w:val="0"/>
      </w:pPr>
      <w:r>
        <w:tab/>
        <w:t xml:space="preserve">[Section 49 amended by No. 12 of 1990 s.143.] </w:t>
      </w:r>
    </w:p>
    <w:p>
      <w:pPr>
        <w:pStyle w:val="Heading5"/>
        <w:rPr>
          <w:snapToGrid w:val="0"/>
        </w:rPr>
      </w:pPr>
      <w:bookmarkStart w:id="183" w:name="_Toc464640107"/>
      <w:bookmarkStart w:id="184" w:name="_Toc483119651"/>
      <w:bookmarkStart w:id="185" w:name="_Toc131411221"/>
      <w:r>
        <w:rPr>
          <w:rStyle w:val="CharSectno"/>
        </w:rPr>
        <w:t>50</w:t>
      </w:r>
      <w:r>
        <w:rPr>
          <w:snapToGrid w:val="0"/>
        </w:rPr>
        <w:t>.</w:t>
      </w:r>
      <w:r>
        <w:rPr>
          <w:snapToGrid w:val="0"/>
        </w:rPr>
        <w:tab/>
        <w:t>Power of Minister to require information as to proposed dealings</w:t>
      </w:r>
      <w:bookmarkEnd w:id="183"/>
      <w:bookmarkEnd w:id="184"/>
      <w:bookmarkEnd w:id="185"/>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Part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47 to furnish to the Minister a statement in writing setting out such information concerning alterations in the interests or rights existing in relation to the licence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45(1) or (3) or 53A(2)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is so required to furnish information shall not furnish information that is false or misleading in a material particular.</w:t>
      </w:r>
    </w:p>
    <w:p>
      <w:pPr>
        <w:pStyle w:val="Penstart"/>
        <w:rPr>
          <w:snapToGrid w:val="0"/>
        </w:rPr>
      </w:pPr>
      <w:r>
        <w:rPr>
          <w:snapToGrid w:val="0"/>
        </w:rPr>
        <w:tab/>
        <w:t>Penalty: $5 000.</w:t>
      </w:r>
    </w:p>
    <w:p>
      <w:pPr>
        <w:pStyle w:val="Footnotesection"/>
      </w:pPr>
      <w:r>
        <w:tab/>
        <w:t xml:space="preserve">[Section 50 amended by No. 12 of 1990 s.144.] </w:t>
      </w:r>
    </w:p>
    <w:p>
      <w:pPr>
        <w:pStyle w:val="Heading5"/>
        <w:rPr>
          <w:snapToGrid w:val="0"/>
        </w:rPr>
      </w:pPr>
      <w:bookmarkStart w:id="186" w:name="_Toc464640108"/>
      <w:bookmarkStart w:id="187" w:name="_Toc483119652"/>
      <w:bookmarkStart w:id="188" w:name="_Toc131411222"/>
      <w:r>
        <w:rPr>
          <w:rStyle w:val="CharSectno"/>
        </w:rPr>
        <w:t>51</w:t>
      </w:r>
      <w:r>
        <w:rPr>
          <w:snapToGrid w:val="0"/>
        </w:rPr>
        <w:t>.</w:t>
      </w:r>
      <w:r>
        <w:rPr>
          <w:snapToGrid w:val="0"/>
        </w:rPr>
        <w:tab/>
        <w:t>Production and inspection of books, records and documents</w:t>
      </w:r>
      <w:bookmarkEnd w:id="186"/>
      <w:bookmarkEnd w:id="187"/>
      <w:bookmarkEnd w:id="188"/>
      <w:r>
        <w:rPr>
          <w:snapToGrid w:val="0"/>
        </w:rPr>
        <w:t xml:space="preserve"> </w:t>
      </w:r>
    </w:p>
    <w:p>
      <w:pPr>
        <w:pStyle w:val="Subsection"/>
        <w:rPr>
          <w:snapToGrid w:val="0"/>
        </w:rPr>
      </w:pPr>
      <w:r>
        <w:rPr>
          <w:snapToGrid w:val="0"/>
        </w:rPr>
        <w:tab/>
        <w:t>(1)</w:t>
      </w:r>
      <w:r>
        <w:rPr>
          <w:snapToGrid w:val="0"/>
        </w:rPr>
        <w:tab/>
        <w:t>The Minister may require any person to produce to him or make available for inspection by him or any person specified by him any books, records, documents, maps or plans in the possession or under the control of the first</w:t>
      </w:r>
      <w:r>
        <w:rPr>
          <w:snapToGrid w:val="0"/>
        </w:rPr>
        <w:noBreakHyphen/>
        <w:t>mentioned person and relating to a transfer or dealing in relation to which approval is sought under this Part.</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45(1) or (3) or 53A(2).</w:t>
      </w:r>
    </w:p>
    <w:p>
      <w:pPr>
        <w:pStyle w:val="Subsection"/>
        <w:rPr>
          <w:snapToGrid w:val="0"/>
        </w:rPr>
      </w:pPr>
      <w:r>
        <w:rPr>
          <w:snapToGrid w:val="0"/>
        </w:rPr>
        <w:tab/>
        <w:t>(2)</w:t>
      </w:r>
      <w:r>
        <w:rPr>
          <w:snapToGrid w:val="0"/>
        </w:rPr>
        <w:tab/>
        <w:t>A person shall not fail or refuse to comply with any requirement given to him under subsection (1) or (1a).</w:t>
      </w:r>
    </w:p>
    <w:p>
      <w:pPr>
        <w:pStyle w:val="Penstart"/>
        <w:rPr>
          <w:snapToGrid w:val="0"/>
        </w:rPr>
      </w:pPr>
      <w:r>
        <w:rPr>
          <w:snapToGrid w:val="0"/>
        </w:rPr>
        <w:tab/>
        <w:t>Penalty: $5 000.</w:t>
      </w:r>
    </w:p>
    <w:p>
      <w:pPr>
        <w:pStyle w:val="Footnotesection"/>
      </w:pPr>
      <w:r>
        <w:tab/>
        <w:t xml:space="preserve">[Section 51 amended by No. 12 of 1990 s.145.] </w:t>
      </w:r>
    </w:p>
    <w:p>
      <w:pPr>
        <w:pStyle w:val="Heading5"/>
        <w:rPr>
          <w:snapToGrid w:val="0"/>
        </w:rPr>
      </w:pPr>
      <w:bookmarkStart w:id="189" w:name="_Toc464640109"/>
      <w:bookmarkStart w:id="190" w:name="_Toc483119653"/>
      <w:bookmarkStart w:id="191" w:name="_Toc131411223"/>
      <w:r>
        <w:rPr>
          <w:rStyle w:val="CharSectno"/>
        </w:rPr>
        <w:t>52</w:t>
      </w:r>
      <w:r>
        <w:rPr>
          <w:snapToGrid w:val="0"/>
        </w:rPr>
        <w:t>.</w:t>
      </w:r>
      <w:r>
        <w:rPr>
          <w:snapToGrid w:val="0"/>
        </w:rPr>
        <w:tab/>
        <w:t>Inspection of register and documents</w:t>
      </w:r>
      <w:bookmarkEnd w:id="189"/>
      <w:bookmarkEnd w:id="190"/>
      <w:bookmarkEnd w:id="191"/>
      <w:r>
        <w:rPr>
          <w:snapToGrid w:val="0"/>
        </w:rPr>
        <w:t xml:space="preserve"> </w:t>
      </w:r>
    </w:p>
    <w:p>
      <w:pPr>
        <w:pStyle w:val="Subsection"/>
        <w:rPr>
          <w:snapToGrid w:val="0"/>
        </w:rPr>
      </w:pPr>
      <w:r>
        <w:rPr>
          <w:snapToGrid w:val="0"/>
        </w:rPr>
        <w:tab/>
        <w:t>(1)</w:t>
      </w:r>
      <w:r>
        <w:rPr>
          <w:snapToGrid w:val="0"/>
        </w:rPr>
        <w:tab/>
        <w:t>The register and all instruments or copies of instruments subject to inspection under this Part shall at all convenient times be open for inspection by any person upon payment of the prescribed fee.</w:t>
      </w:r>
    </w:p>
    <w:p>
      <w:pPr>
        <w:pStyle w:val="Ednotesubsection"/>
      </w:pPr>
      <w:r>
        <w:tab/>
        <w:t>[(2)</w:t>
      </w:r>
      <w:r>
        <w:tab/>
        <w:t>repealed]</w:t>
      </w:r>
    </w:p>
    <w:p>
      <w:pPr>
        <w:pStyle w:val="Footnotesection"/>
      </w:pPr>
      <w:r>
        <w:tab/>
        <w:t xml:space="preserve">[Section 52 amended by No. 12 of 1990 s.146.] </w:t>
      </w:r>
    </w:p>
    <w:p>
      <w:pPr>
        <w:pStyle w:val="Heading5"/>
        <w:rPr>
          <w:snapToGrid w:val="0"/>
        </w:rPr>
      </w:pPr>
      <w:bookmarkStart w:id="192" w:name="_Toc464640110"/>
      <w:bookmarkStart w:id="193" w:name="_Toc483119654"/>
      <w:bookmarkStart w:id="194" w:name="_Toc131411224"/>
      <w:r>
        <w:rPr>
          <w:rStyle w:val="CharSectno"/>
        </w:rPr>
        <w:t>53</w:t>
      </w:r>
      <w:r>
        <w:rPr>
          <w:snapToGrid w:val="0"/>
        </w:rPr>
        <w:t>.</w:t>
      </w:r>
      <w:r>
        <w:rPr>
          <w:snapToGrid w:val="0"/>
        </w:rPr>
        <w:tab/>
        <w:t>Evidentiary provisions</w:t>
      </w:r>
      <w:bookmarkEnd w:id="192"/>
      <w:bookmarkEnd w:id="193"/>
      <w:bookmarkEnd w:id="194"/>
      <w:r>
        <w:rPr>
          <w:snapToGrid w:val="0"/>
        </w:rPr>
        <w:t xml:space="preserve"> </w:t>
      </w:r>
    </w:p>
    <w:p>
      <w:pPr>
        <w:pStyle w:val="Subsection"/>
        <w:rPr>
          <w:snapToGrid w:val="0"/>
        </w:rPr>
      </w:pPr>
      <w:r>
        <w:rPr>
          <w:snapToGrid w:val="0"/>
        </w:rPr>
        <w:tab/>
        <w:t>(1)</w:t>
      </w:r>
      <w:r>
        <w:rPr>
          <w:snapToGrid w:val="0"/>
        </w:rPr>
        <w:tab/>
        <w:t>The register shall be received by all courts and tribunals as evidence of all matters required or authorised by this Part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Part certified by writing under his hand, and a copy or extract so certified is admissible in writing in all courts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Part to be made or done has or has not, as the case may be, been made or done and such a certificate is evidence in all courts and proceedings of the statements contained in the certificate.</w:t>
      </w:r>
    </w:p>
    <w:p>
      <w:pPr>
        <w:pStyle w:val="Heading5"/>
        <w:rPr>
          <w:snapToGrid w:val="0"/>
        </w:rPr>
      </w:pPr>
      <w:bookmarkStart w:id="195" w:name="_Toc464640111"/>
      <w:bookmarkStart w:id="196" w:name="_Toc483119655"/>
      <w:bookmarkStart w:id="197" w:name="_Toc131411225"/>
      <w:r>
        <w:rPr>
          <w:rStyle w:val="CharSectno"/>
        </w:rPr>
        <w:t>53A</w:t>
      </w:r>
      <w:r>
        <w:rPr>
          <w:snapToGrid w:val="0"/>
        </w:rPr>
        <w:t>.</w:t>
      </w:r>
      <w:r>
        <w:rPr>
          <w:snapToGrid w:val="0"/>
        </w:rPr>
        <w:tab/>
        <w:t>Minister may make corrections to register</w:t>
      </w:r>
      <w:bookmarkEnd w:id="195"/>
      <w:bookmarkEnd w:id="196"/>
      <w:bookmarkEnd w:id="197"/>
      <w:r>
        <w:rPr>
          <w:snapToGrid w:val="0"/>
        </w:rPr>
        <w:t xml:space="preserve"> </w:t>
      </w:r>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licence.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53A inserted by No. 12 of 1990 s.147.] </w:t>
      </w:r>
    </w:p>
    <w:p>
      <w:pPr>
        <w:pStyle w:val="Heading5"/>
        <w:rPr>
          <w:snapToGrid w:val="0"/>
        </w:rPr>
      </w:pPr>
      <w:bookmarkStart w:id="198" w:name="_Toc464640112"/>
      <w:bookmarkStart w:id="199" w:name="_Toc483119656"/>
      <w:bookmarkStart w:id="200" w:name="_Toc131411226"/>
      <w:r>
        <w:rPr>
          <w:rStyle w:val="CharSectno"/>
        </w:rPr>
        <w:t>54</w:t>
      </w:r>
      <w:r>
        <w:rPr>
          <w:snapToGrid w:val="0"/>
        </w:rPr>
        <w:t>.</w:t>
      </w:r>
      <w:r>
        <w:rPr>
          <w:snapToGrid w:val="0"/>
        </w:rPr>
        <w:tab/>
        <w:t>Appeals</w:t>
      </w:r>
      <w:bookmarkEnd w:id="198"/>
      <w:bookmarkEnd w:id="199"/>
      <w:bookmarkEnd w:id="200"/>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who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54 amended by No. 55 of 2004 s. 921.]</w:t>
      </w:r>
    </w:p>
    <w:p>
      <w:pPr>
        <w:pStyle w:val="Heading5"/>
        <w:rPr>
          <w:snapToGrid w:val="0"/>
        </w:rPr>
      </w:pPr>
      <w:bookmarkStart w:id="201" w:name="_Toc464640113"/>
      <w:bookmarkStart w:id="202" w:name="_Toc483119657"/>
      <w:bookmarkStart w:id="203" w:name="_Toc131411227"/>
      <w:r>
        <w:rPr>
          <w:rStyle w:val="CharSectno"/>
        </w:rPr>
        <w:t>55</w:t>
      </w:r>
      <w:r>
        <w:rPr>
          <w:snapToGrid w:val="0"/>
        </w:rPr>
        <w:t>.</w:t>
      </w:r>
      <w:r>
        <w:rPr>
          <w:snapToGrid w:val="0"/>
        </w:rPr>
        <w:tab/>
        <w:t>Minister not liable to certain actions</w:t>
      </w:r>
      <w:bookmarkEnd w:id="201"/>
      <w:bookmarkEnd w:id="202"/>
      <w:bookmarkEnd w:id="203"/>
      <w:r>
        <w:rPr>
          <w:snapToGrid w:val="0"/>
        </w:rPr>
        <w:t xml:space="preserve"> </w:t>
      </w:r>
    </w:p>
    <w:p>
      <w:pPr>
        <w:pStyle w:val="Subsection"/>
        <w:rPr>
          <w:snapToGrid w:val="0"/>
        </w:rPr>
      </w:pPr>
      <w:r>
        <w:rPr>
          <w:snapToGrid w:val="0"/>
        </w:rPr>
        <w:tab/>
      </w:r>
      <w:r>
        <w:rPr>
          <w:snapToGrid w:val="0"/>
        </w:rPr>
        <w:tab/>
        <w:t>Subject to section 54, neither the Minister nor a person acting under the direction or authority of the Minister is liable to an action, suit or proceeding for or in respect of an act or matter in good faith done or omitted to be done in exercise or purported exercise of any power or authority conferred by this Part.</w:t>
      </w:r>
    </w:p>
    <w:p>
      <w:pPr>
        <w:pStyle w:val="Footnotesection"/>
      </w:pPr>
      <w:r>
        <w:tab/>
        <w:t>[Section 55 amended by No. 12 of 1990</w:t>
      </w:r>
      <w:r>
        <w:rPr>
          <w:vertAlign w:val="superscript"/>
        </w:rPr>
        <w:t xml:space="preserve"> 7</w:t>
      </w:r>
      <w:r>
        <w:t xml:space="preserve"> s.148.] </w:t>
      </w:r>
    </w:p>
    <w:p>
      <w:pPr>
        <w:pStyle w:val="Heading5"/>
        <w:rPr>
          <w:snapToGrid w:val="0"/>
        </w:rPr>
      </w:pPr>
      <w:bookmarkStart w:id="204" w:name="_Toc464640114"/>
      <w:bookmarkStart w:id="205" w:name="_Toc483119658"/>
      <w:bookmarkStart w:id="206" w:name="_Toc131411228"/>
      <w:r>
        <w:rPr>
          <w:rStyle w:val="CharSectno"/>
        </w:rPr>
        <w:t>56</w:t>
      </w:r>
      <w:r>
        <w:rPr>
          <w:snapToGrid w:val="0"/>
        </w:rPr>
        <w:t>.</w:t>
      </w:r>
      <w:r>
        <w:rPr>
          <w:snapToGrid w:val="0"/>
        </w:rPr>
        <w:tab/>
        <w:t>Offences</w:t>
      </w:r>
      <w:bookmarkEnd w:id="204"/>
      <w:bookmarkEnd w:id="205"/>
      <w:bookmarkEnd w:id="206"/>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Part,</w:t>
      </w:r>
    </w:p>
    <w:p>
      <w:pPr>
        <w:pStyle w:val="Subsection"/>
        <w:rPr>
          <w:snapToGrid w:val="0"/>
        </w:rPr>
      </w:pPr>
      <w:r>
        <w:rPr>
          <w:snapToGrid w:val="0"/>
        </w:rPr>
        <w:tab/>
      </w:r>
      <w:r>
        <w:rPr>
          <w:snapToGrid w:val="0"/>
        </w:rPr>
        <w:tab/>
        <w:t>commits an offence and is liable to a penalty of $5 000.</w:t>
      </w:r>
    </w:p>
    <w:p>
      <w:pPr>
        <w:pStyle w:val="Footnotesection"/>
      </w:pPr>
      <w:r>
        <w:tab/>
        <w:t xml:space="preserve">[Section 56 amended by No. 12 of 1990 s.149.] </w:t>
      </w:r>
    </w:p>
    <w:p>
      <w:pPr>
        <w:pStyle w:val="Heading2"/>
      </w:pPr>
      <w:bookmarkStart w:id="207" w:name="_Toc72913681"/>
      <w:bookmarkStart w:id="208" w:name="_Toc78089535"/>
      <w:bookmarkStart w:id="209" w:name="_Toc91305305"/>
      <w:bookmarkStart w:id="210" w:name="_Toc92690739"/>
      <w:bookmarkStart w:id="211" w:name="_Toc113771295"/>
      <w:bookmarkStart w:id="212" w:name="_Toc131411146"/>
      <w:bookmarkStart w:id="213" w:name="_Toc131411229"/>
      <w:r>
        <w:rPr>
          <w:rStyle w:val="CharPartNo"/>
        </w:rPr>
        <w:t>Part V</w:t>
      </w:r>
      <w:r>
        <w:rPr>
          <w:rStyle w:val="CharDivNo"/>
        </w:rPr>
        <w:t> </w:t>
      </w:r>
      <w:r>
        <w:t>—</w:t>
      </w:r>
      <w:r>
        <w:rPr>
          <w:rStyle w:val="CharDivText"/>
        </w:rPr>
        <w:t> </w:t>
      </w:r>
      <w:r>
        <w:rPr>
          <w:rStyle w:val="CharPartText"/>
        </w:rPr>
        <w:t>Miscellaneous</w:t>
      </w:r>
      <w:bookmarkEnd w:id="207"/>
      <w:bookmarkEnd w:id="208"/>
      <w:bookmarkEnd w:id="209"/>
      <w:bookmarkEnd w:id="210"/>
      <w:bookmarkEnd w:id="211"/>
      <w:bookmarkEnd w:id="212"/>
      <w:bookmarkEnd w:id="213"/>
      <w:r>
        <w:rPr>
          <w:rStyle w:val="CharPartText"/>
        </w:rPr>
        <w:t xml:space="preserve"> </w:t>
      </w:r>
    </w:p>
    <w:p>
      <w:pPr>
        <w:pStyle w:val="Heading5"/>
        <w:rPr>
          <w:snapToGrid w:val="0"/>
        </w:rPr>
      </w:pPr>
      <w:bookmarkStart w:id="214" w:name="_Toc464640115"/>
      <w:bookmarkStart w:id="215" w:name="_Toc483119659"/>
      <w:bookmarkStart w:id="216" w:name="_Toc131411230"/>
      <w:r>
        <w:rPr>
          <w:rStyle w:val="CharSectno"/>
        </w:rPr>
        <w:t>57</w:t>
      </w:r>
      <w:r>
        <w:rPr>
          <w:snapToGrid w:val="0"/>
        </w:rPr>
        <w:t>.</w:t>
      </w:r>
      <w:r>
        <w:rPr>
          <w:snapToGrid w:val="0"/>
        </w:rPr>
        <w:tab/>
        <w:t>Pipelines to remain property of owner</w:t>
      </w:r>
      <w:bookmarkEnd w:id="214"/>
      <w:bookmarkEnd w:id="215"/>
      <w:bookmarkEnd w:id="216"/>
      <w:r>
        <w:rPr>
          <w:snapToGrid w:val="0"/>
        </w:rPr>
        <w:t xml:space="preserve"> </w:t>
      </w:r>
    </w:p>
    <w:p>
      <w:pPr>
        <w:pStyle w:val="Subsection"/>
        <w:rPr>
          <w:snapToGrid w:val="0"/>
        </w:rPr>
      </w:pPr>
      <w:r>
        <w:rPr>
          <w:snapToGrid w:val="0"/>
        </w:rPr>
        <w:tab/>
        <w:t>(1)</w:t>
      </w:r>
      <w:r>
        <w:rPr>
          <w:snapToGrid w:val="0"/>
        </w:rPr>
        <w:tab/>
        <w:t>Notwithstanding any Act or rule of law to the contrary, any pipeline constructed under the authority of this Act shall remain the property of the licensee whether or not the pipeline is affixed to any land and whether or not the licence granted in respect of the pipeline has been wholly or partly cancelled.</w:t>
      </w:r>
    </w:p>
    <w:p>
      <w:pPr>
        <w:pStyle w:val="Subsection"/>
        <w:rPr>
          <w:snapToGrid w:val="0"/>
        </w:rPr>
      </w:pPr>
      <w:r>
        <w:rPr>
          <w:snapToGrid w:val="0"/>
        </w:rPr>
        <w:tab/>
        <w:t>(2)</w:t>
      </w:r>
      <w:r>
        <w:rPr>
          <w:snapToGrid w:val="0"/>
        </w:rPr>
        <w:tab/>
        <w:t>The licensee, in maintaining or operating any pipeline in respect of which a licence is issued under this Act, shall do as little damage as is possible and shall make full compensation to the owner of, and any party having an interest in, land for any damage sustained by them in consequence of the exercise of any power by the licensee in maintaining or operating the pipeline, and the compensation shall in default of agreement between the licensee, the owner or other party, be determined by a court of competent jurisdiction.</w:t>
      </w:r>
    </w:p>
    <w:p>
      <w:pPr>
        <w:pStyle w:val="Heading5"/>
        <w:rPr>
          <w:snapToGrid w:val="0"/>
        </w:rPr>
      </w:pPr>
      <w:bookmarkStart w:id="217" w:name="_Toc464640116"/>
      <w:bookmarkStart w:id="218" w:name="_Toc483119660"/>
      <w:bookmarkStart w:id="219" w:name="_Toc131411231"/>
      <w:r>
        <w:rPr>
          <w:rStyle w:val="CharSectno"/>
        </w:rPr>
        <w:t>58</w:t>
      </w:r>
      <w:r>
        <w:rPr>
          <w:snapToGrid w:val="0"/>
        </w:rPr>
        <w:t>.</w:t>
      </w:r>
      <w:r>
        <w:rPr>
          <w:snapToGrid w:val="0"/>
        </w:rPr>
        <w:tab/>
        <w:t>Notices of grants etc. of licences to be published</w:t>
      </w:r>
      <w:bookmarkEnd w:id="217"/>
      <w:bookmarkEnd w:id="218"/>
      <w:bookmarkEnd w:id="219"/>
      <w:r>
        <w:rPr>
          <w:snapToGrid w:val="0"/>
        </w:rPr>
        <w:t xml:space="preserve"> </w:t>
      </w:r>
    </w:p>
    <w:p>
      <w:pPr>
        <w:pStyle w:val="Subsection"/>
        <w:rPr>
          <w:snapToGrid w:val="0"/>
        </w:rPr>
      </w:pPr>
      <w:r>
        <w:rPr>
          <w:snapToGrid w:val="0"/>
        </w:rPr>
        <w:tab/>
      </w:r>
      <w:r>
        <w:rPr>
          <w:snapToGrid w:val="0"/>
        </w:rPr>
        <w:tab/>
        <w:t xml:space="preserve">The Minister shall cause to be published in the </w:t>
      </w:r>
      <w:r>
        <w:rPr>
          <w:i/>
          <w:snapToGrid w:val="0"/>
        </w:rPr>
        <w:t>Government Gazette</w:t>
      </w:r>
      <w:r>
        <w:rPr>
          <w:snapToGrid w:val="0"/>
        </w:rPr>
        <w:t xml:space="preserve"> such particulars as he thinks fit of the grant, grant of the renewal, variation, surrender or expiration of a licence.</w:t>
      </w:r>
    </w:p>
    <w:p>
      <w:pPr>
        <w:pStyle w:val="Heading5"/>
        <w:rPr>
          <w:snapToGrid w:val="0"/>
        </w:rPr>
      </w:pPr>
      <w:bookmarkStart w:id="220" w:name="_Toc464640117"/>
      <w:bookmarkStart w:id="221" w:name="_Toc483119661"/>
      <w:bookmarkStart w:id="222" w:name="_Toc131411232"/>
      <w:r>
        <w:rPr>
          <w:rStyle w:val="CharSectno"/>
        </w:rPr>
        <w:t>59</w:t>
      </w:r>
      <w:r>
        <w:rPr>
          <w:snapToGrid w:val="0"/>
        </w:rPr>
        <w:t>.</w:t>
      </w:r>
      <w:r>
        <w:rPr>
          <w:snapToGrid w:val="0"/>
        </w:rPr>
        <w:tab/>
        <w:t>Judicial notice</w:t>
      </w:r>
      <w:bookmarkEnd w:id="220"/>
      <w:bookmarkEnd w:id="221"/>
      <w:bookmarkEnd w:id="222"/>
      <w:r>
        <w:rPr>
          <w:snapToGrid w:val="0"/>
        </w:rPr>
        <w:t xml:space="preserve"> </w:t>
      </w:r>
    </w:p>
    <w:p>
      <w:pPr>
        <w:pStyle w:val="Subsection"/>
        <w:rPr>
          <w:snapToGrid w:val="0"/>
        </w:rPr>
      </w:pPr>
      <w:r>
        <w:rPr>
          <w:snapToGrid w:val="0"/>
        </w:rPr>
        <w:tab/>
        <w:t>(1)</w:t>
      </w:r>
      <w:r>
        <w:rPr>
          <w:snapToGrid w:val="0"/>
        </w:rPr>
        <w:tab/>
        <w:t>All courts, tribunals and persons acting judicially shall take judicial notice of the signature of a person — </w:t>
      </w:r>
    </w:p>
    <w:p>
      <w:pPr>
        <w:pStyle w:val="Indenta"/>
        <w:rPr>
          <w:snapToGrid w:val="0"/>
        </w:rPr>
      </w:pPr>
      <w:r>
        <w:rPr>
          <w:snapToGrid w:val="0"/>
        </w:rPr>
        <w:tab/>
        <w:t>(a)</w:t>
      </w:r>
      <w:r>
        <w:rPr>
          <w:snapToGrid w:val="0"/>
        </w:rPr>
        <w:tab/>
        <w:t>who is, or has been, the Minister or a delegate of the Minister; or</w:t>
      </w:r>
    </w:p>
    <w:p>
      <w:pPr>
        <w:pStyle w:val="Indenta"/>
        <w:rPr>
          <w:snapToGrid w:val="0"/>
        </w:rPr>
      </w:pPr>
      <w:r>
        <w:rPr>
          <w:snapToGrid w:val="0"/>
        </w:rPr>
        <w:tab/>
        <w:t>(b)</w:t>
      </w:r>
      <w:r>
        <w:rPr>
          <w:snapToGrid w:val="0"/>
        </w:rPr>
        <w:tab/>
        <w:t>who has been the Under Secretary or the Principal Registrar</w:t>
      </w:r>
      <w:r>
        <w:rPr>
          <w:snapToGrid w:val="0"/>
          <w:vertAlign w:val="superscript"/>
        </w:rPr>
        <w:t xml:space="preserve"> 8</w:t>
      </w:r>
      <w:r>
        <w:rPr>
          <w:snapToGrid w:val="0"/>
        </w:rPr>
        <w:t>,</w:t>
      </w:r>
    </w:p>
    <w:p>
      <w:pPr>
        <w:pStyle w:val="Subsection"/>
        <w:rPr>
          <w:snapToGrid w:val="0"/>
        </w:rPr>
      </w:pPr>
      <w:r>
        <w:rPr>
          <w:snapToGrid w:val="0"/>
        </w:rPr>
        <w:tab/>
      </w:r>
      <w:r>
        <w:rPr>
          <w:snapToGrid w:val="0"/>
        </w:rPr>
        <w:tab/>
        <w:t>and of the fact that that person is, or has been, the Minister, a delegate of the Minister, the Under Secretary or the Principal Registrar</w:t>
      </w:r>
      <w:r>
        <w:rPr>
          <w:snapToGrid w:val="0"/>
          <w:vertAlign w:val="superscript"/>
        </w:rPr>
        <w:t xml:space="preserve"> 8</w:t>
      </w:r>
      <w:r>
        <w:rPr>
          <w:snapToGrid w:val="0"/>
        </w:rPr>
        <w:t>, as the case requires.</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Principal Registrar</w:t>
      </w:r>
      <w:r>
        <w:rPr>
          <w:b/>
        </w:rPr>
        <w:t>”</w:t>
      </w:r>
      <w:r>
        <w:t xml:space="preserve"> </w:t>
      </w:r>
      <w:r>
        <w:rPr>
          <w:vertAlign w:val="superscript"/>
        </w:rPr>
        <w:t>8</w:t>
      </w:r>
      <w:r>
        <w:t xml:space="preserve"> and </w:t>
      </w:r>
      <w:r>
        <w:rPr>
          <w:b/>
        </w:rPr>
        <w:t>“</w:t>
      </w:r>
      <w:r>
        <w:rPr>
          <w:rStyle w:val="CharDefText"/>
        </w:rPr>
        <w:t>Under Secretary</w:t>
      </w:r>
      <w:r>
        <w:rPr>
          <w:b/>
        </w:rPr>
        <w:t>”</w:t>
      </w:r>
      <w:r>
        <w:t xml:space="preserve"> have the same respective meanings as they had before the commencement of section 150 of the </w:t>
      </w:r>
      <w:r>
        <w:rPr>
          <w:i/>
        </w:rPr>
        <w:t xml:space="preserve">Acts Amendment (Petroleum) Act 1990 </w:t>
      </w:r>
      <w:r>
        <w:rPr>
          <w:vertAlign w:val="superscript"/>
        </w:rPr>
        <w:t>1</w:t>
      </w:r>
      <w:r>
        <w:t>.</w:t>
      </w:r>
    </w:p>
    <w:p>
      <w:pPr>
        <w:pStyle w:val="Footnotesection"/>
      </w:pPr>
      <w:r>
        <w:tab/>
        <w:t xml:space="preserve">[Section 59 inserted by No. 12 of 1990 s.150; amended by No. 28 of 1994 s.75.] </w:t>
      </w:r>
    </w:p>
    <w:p>
      <w:pPr>
        <w:pStyle w:val="Heading5"/>
        <w:rPr>
          <w:snapToGrid w:val="0"/>
        </w:rPr>
      </w:pPr>
      <w:bookmarkStart w:id="223" w:name="_Toc464640118"/>
      <w:bookmarkStart w:id="224" w:name="_Toc483119662"/>
      <w:bookmarkStart w:id="225" w:name="_Toc131411233"/>
      <w:r>
        <w:rPr>
          <w:rStyle w:val="CharSectno"/>
        </w:rPr>
        <w:t>60</w:t>
      </w:r>
      <w:r>
        <w:rPr>
          <w:snapToGrid w:val="0"/>
        </w:rPr>
        <w:t>.</w:t>
      </w:r>
      <w:r>
        <w:rPr>
          <w:snapToGrid w:val="0"/>
        </w:rPr>
        <w:tab/>
        <w:t>Address for service</w:t>
      </w:r>
      <w:bookmarkEnd w:id="223"/>
      <w:bookmarkEnd w:id="224"/>
      <w:bookmarkEnd w:id="225"/>
      <w:r>
        <w:rPr>
          <w:snapToGrid w:val="0"/>
        </w:rPr>
        <w:t xml:space="preserve"> </w:t>
      </w:r>
    </w:p>
    <w:p>
      <w:pPr>
        <w:pStyle w:val="Subsection"/>
        <w:rPr>
          <w:snapToGrid w:val="0"/>
        </w:rPr>
      </w:pPr>
      <w:r>
        <w:rPr>
          <w:snapToGrid w:val="0"/>
        </w:rPr>
        <w:tab/>
      </w:r>
      <w:r>
        <w:rPr>
          <w:snapToGrid w:val="0"/>
        </w:rPr>
        <w:tab/>
        <w:t>Every licensee shall forward to the Minister an address for service of any notice, order or direction under this Act.</w:t>
      </w:r>
    </w:p>
    <w:p>
      <w:pPr>
        <w:pStyle w:val="Heading5"/>
        <w:rPr>
          <w:snapToGrid w:val="0"/>
        </w:rPr>
      </w:pPr>
      <w:bookmarkStart w:id="226" w:name="_Toc464640119"/>
      <w:bookmarkStart w:id="227" w:name="_Toc483119663"/>
      <w:bookmarkStart w:id="228" w:name="_Toc131411234"/>
      <w:r>
        <w:rPr>
          <w:rStyle w:val="CharSectno"/>
        </w:rPr>
        <w:t>60A</w:t>
      </w:r>
      <w:r>
        <w:rPr>
          <w:snapToGrid w:val="0"/>
        </w:rPr>
        <w:t>.</w:t>
      </w:r>
      <w:r>
        <w:rPr>
          <w:snapToGrid w:val="0"/>
        </w:rPr>
        <w:tab/>
        <w:t>Service of documents on 2 or more licensees</w:t>
      </w:r>
      <w:bookmarkEnd w:id="226"/>
      <w:bookmarkEnd w:id="227"/>
      <w:bookmarkEnd w:id="228"/>
      <w:r>
        <w:rPr>
          <w:snapToGrid w:val="0"/>
        </w:rPr>
        <w:t xml:space="preserve"> </w:t>
      </w:r>
    </w:p>
    <w:p>
      <w:pPr>
        <w:pStyle w:val="Subsection"/>
        <w:rPr>
          <w:snapToGrid w:val="0"/>
        </w:rPr>
      </w:pPr>
      <w:r>
        <w:rPr>
          <w:snapToGrid w:val="0"/>
        </w:rPr>
        <w:tab/>
        <w:t>(1)</w:t>
      </w:r>
      <w:r>
        <w:rPr>
          <w:snapToGrid w:val="0"/>
        </w:rPr>
        <w:tab/>
        <w:t>Where there are 2 or more registered holders of a licence, those registered holders shall, by notice in writing signed by each of them and served on the Minister, nominate one of the registered holders as being the person on whom documents relating to the licence that are required or permitted by this Act to be served may be served.</w:t>
      </w:r>
    </w:p>
    <w:p>
      <w:pPr>
        <w:pStyle w:val="Subsection"/>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licence is required or permitted by this Act to be served on the registered holder;</w:t>
      </w:r>
    </w:p>
    <w:p>
      <w:pPr>
        <w:pStyle w:val="Indenta"/>
        <w:rPr>
          <w:snapToGrid w:val="0"/>
        </w:rPr>
      </w:pPr>
      <w:r>
        <w:rPr>
          <w:snapToGrid w:val="0"/>
        </w:rPr>
        <w:tab/>
        <w:t>(b)</w:t>
      </w:r>
      <w:r>
        <w:rPr>
          <w:snapToGrid w:val="0"/>
        </w:rPr>
        <w:tab/>
        <w:t>there are 2 or more registered holders of the licence; and</w:t>
      </w:r>
    </w:p>
    <w:p>
      <w:pPr>
        <w:pStyle w:val="Indenta"/>
        <w:rPr>
          <w:snapToGrid w:val="0"/>
        </w:rPr>
      </w:pPr>
      <w:r>
        <w:rPr>
          <w:snapToGrid w:val="0"/>
        </w:rPr>
        <w:tab/>
        <w:t>(c)</w:t>
      </w:r>
      <w:r>
        <w:rPr>
          <w:snapToGrid w:val="0"/>
        </w:rPr>
        <w:tab/>
        <w:t>the document is served on a person in respect of whom a nomination under subsection (1) is in force in relation to the licence,</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one of the registered holders of the licence,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licence shall forthwith make a fresh nomination under subsection (1) in relation to the licence.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the person so nominated ceases to be one of the registered holders of the licence,</w:t>
      </w:r>
    </w:p>
    <w:p>
      <w:pPr>
        <w:pStyle w:val="Subsection"/>
        <w:rPr>
          <w:snapToGrid w:val="0"/>
        </w:rPr>
      </w:pPr>
      <w:r>
        <w:rPr>
          <w:snapToGrid w:val="0"/>
        </w:rPr>
        <w:tab/>
      </w:r>
      <w:r>
        <w:rPr>
          <w:snapToGrid w:val="0"/>
        </w:rPr>
        <w:tab/>
        <w:t>that nomination ceases to be in force and, if 2 or more registered holders of the licence remain, those holders shall forthwith make a fresh nomination under subsection (1) in relation to the licence.</w:t>
      </w:r>
    </w:p>
    <w:p>
      <w:pPr>
        <w:pStyle w:val="Footnotesection"/>
      </w:pPr>
      <w:r>
        <w:tab/>
        <w:t xml:space="preserve">[Section 60A inserted by No. 12 of 1990 s.151.] </w:t>
      </w:r>
    </w:p>
    <w:p>
      <w:pPr>
        <w:pStyle w:val="Heading5"/>
        <w:rPr>
          <w:snapToGrid w:val="0"/>
        </w:rPr>
      </w:pPr>
      <w:bookmarkStart w:id="229" w:name="_Toc464640120"/>
      <w:bookmarkStart w:id="230" w:name="_Toc483119664"/>
      <w:bookmarkStart w:id="231" w:name="_Toc131411235"/>
      <w:r>
        <w:rPr>
          <w:rStyle w:val="CharSectno"/>
        </w:rPr>
        <w:t>61</w:t>
      </w:r>
      <w:r>
        <w:rPr>
          <w:snapToGrid w:val="0"/>
        </w:rPr>
        <w:t>.</w:t>
      </w:r>
      <w:r>
        <w:rPr>
          <w:snapToGrid w:val="0"/>
        </w:rPr>
        <w:tab/>
        <w:t>Power of Minister to delegate powers and functions</w:t>
      </w:r>
      <w:bookmarkEnd w:id="229"/>
      <w:bookmarkEnd w:id="230"/>
      <w:bookmarkEnd w:id="231"/>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delegate to any officer of the Department of Mines</w:t>
      </w:r>
      <w:r>
        <w:rPr>
          <w:snapToGrid w:val="0"/>
          <w:vertAlign w:val="superscript"/>
        </w:rPr>
        <w:t xml:space="preserve"> 9</w:t>
      </w:r>
      <w:r>
        <w:rPr>
          <w:snapToGrid w:val="0"/>
        </w:rPr>
        <w:t xml:space="preserve"> at Perth in the State all or any of his powers and functions under this Act or the regulations, other than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In subsection (1)(a) — </w:t>
      </w:r>
    </w:p>
    <w:p>
      <w:pPr>
        <w:pStyle w:val="Defstart"/>
      </w:pPr>
      <w:r>
        <w:rPr>
          <w:b/>
        </w:rPr>
        <w:tab/>
        <w:t>“</w:t>
      </w:r>
      <w:r>
        <w:rPr>
          <w:rStyle w:val="CharDefText"/>
        </w:rPr>
        <w:t>the Department of Mines</w:t>
      </w:r>
      <w:r>
        <w:rPr>
          <w:b/>
        </w:rPr>
        <w:t>”</w:t>
      </w:r>
      <w:r>
        <w:t xml:space="preserve"> </w:t>
      </w:r>
      <w:r>
        <w:rPr>
          <w:vertAlign w:val="superscript"/>
        </w:rPr>
        <w:t>9</w:t>
      </w:r>
      <w:r>
        <w:t xml:space="preserve"> means the department principally assisting the Minister in the administration of this Act.</w:t>
      </w:r>
    </w:p>
    <w:p>
      <w:pPr>
        <w:pStyle w:val="Footnotesection"/>
      </w:pPr>
      <w:r>
        <w:tab/>
        <w:t xml:space="preserve">[Section 61 amended by No. 12 of 1990 s.152.] </w:t>
      </w:r>
    </w:p>
    <w:p>
      <w:pPr>
        <w:pStyle w:val="Heading5"/>
        <w:rPr>
          <w:snapToGrid w:val="0"/>
        </w:rPr>
      </w:pPr>
      <w:bookmarkStart w:id="232" w:name="_Toc464640121"/>
      <w:bookmarkStart w:id="233" w:name="_Toc483119665"/>
      <w:bookmarkStart w:id="234" w:name="_Toc131411236"/>
      <w:r>
        <w:rPr>
          <w:rStyle w:val="CharSectno"/>
        </w:rPr>
        <w:t>62</w:t>
      </w:r>
      <w:r>
        <w:rPr>
          <w:snapToGrid w:val="0"/>
        </w:rPr>
        <w:t>.</w:t>
      </w:r>
      <w:r>
        <w:rPr>
          <w:snapToGrid w:val="0"/>
        </w:rPr>
        <w:tab/>
        <w:t>Inspectors</w:t>
      </w:r>
      <w:bookmarkEnd w:id="232"/>
      <w:bookmarkEnd w:id="233"/>
      <w:bookmarkEnd w:id="234"/>
      <w:r>
        <w:rPr>
          <w:snapToGrid w:val="0"/>
        </w:rPr>
        <w:t xml:space="preserve"> </w:t>
      </w:r>
    </w:p>
    <w:p>
      <w:pPr>
        <w:pStyle w:val="Subsection"/>
        <w:rPr>
          <w:snapToGrid w:val="0"/>
        </w:rPr>
      </w:pPr>
      <w:r>
        <w:rPr>
          <w:snapToGrid w:val="0"/>
        </w:rPr>
        <w:tab/>
        <w:t>(1)</w:t>
      </w:r>
      <w:r>
        <w:rPr>
          <w:snapToGrid w:val="0"/>
        </w:rPr>
        <w:tab/>
        <w:t>The Minister may, by instrument in writing, appoint a person to be an inspector for the purposes of this Act and the regulations.</w:t>
      </w:r>
    </w:p>
    <w:p>
      <w:pPr>
        <w:pStyle w:val="Subsection"/>
        <w:rPr>
          <w:snapToGrid w:val="0"/>
        </w:rPr>
      </w:pPr>
      <w:r>
        <w:rPr>
          <w:snapToGrid w:val="0"/>
        </w:rPr>
        <w:tab/>
        <w:t>(2)</w:t>
      </w:r>
      <w:r>
        <w:rPr>
          <w:snapToGrid w:val="0"/>
        </w:rPr>
        <w:tab/>
        <w:t>The Minister may furnish to an inspector a certificate stating that he is an inspector for the purposes of this Act and the regulations.</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 xml:space="preserve">[Section 62 amended by No. 12 of 1990 s.153.] </w:t>
      </w:r>
    </w:p>
    <w:p>
      <w:pPr>
        <w:pStyle w:val="Heading5"/>
        <w:rPr>
          <w:snapToGrid w:val="0"/>
        </w:rPr>
      </w:pPr>
      <w:bookmarkStart w:id="235" w:name="_Toc464640122"/>
      <w:bookmarkStart w:id="236" w:name="_Toc483119666"/>
      <w:bookmarkStart w:id="237" w:name="_Toc131411237"/>
      <w:r>
        <w:rPr>
          <w:rStyle w:val="CharSectno"/>
        </w:rPr>
        <w:t>63</w:t>
      </w:r>
      <w:r>
        <w:rPr>
          <w:snapToGrid w:val="0"/>
        </w:rPr>
        <w:t>.</w:t>
      </w:r>
      <w:r>
        <w:rPr>
          <w:snapToGrid w:val="0"/>
        </w:rPr>
        <w:tab/>
        <w:t>Powers of inspectors</w:t>
      </w:r>
      <w:bookmarkEnd w:id="235"/>
      <w:bookmarkEnd w:id="236"/>
      <w:bookmarkEnd w:id="237"/>
      <w:r>
        <w:rPr>
          <w:snapToGrid w:val="0"/>
        </w:rPr>
        <w:t xml:space="preserve"> </w:t>
      </w:r>
    </w:p>
    <w:p>
      <w:pPr>
        <w:pStyle w:val="Subsection"/>
        <w:rPr>
          <w:snapToGrid w:val="0"/>
        </w:rPr>
      </w:pPr>
      <w:r>
        <w:rPr>
          <w:snapToGrid w:val="0"/>
        </w:rPr>
        <w:tab/>
        <w:t>(1)</w:t>
      </w:r>
      <w:r>
        <w:rPr>
          <w:snapToGrid w:val="0"/>
        </w:rPr>
        <w:tab/>
        <w:t>For the purposes of this Act and the regulations, an inspector, at all reasonable times and on production of the certificate furnished to him under section 62 — </w:t>
      </w:r>
    </w:p>
    <w:p>
      <w:pPr>
        <w:pStyle w:val="Indenta"/>
        <w:rPr>
          <w:snapToGrid w:val="0"/>
        </w:rPr>
      </w:pPr>
      <w:r>
        <w:rPr>
          <w:snapToGrid w:val="0"/>
        </w:rPr>
        <w:tab/>
        <w:t>(a)</w:t>
      </w:r>
      <w:r>
        <w:rPr>
          <w:snapToGrid w:val="0"/>
        </w:rPr>
        <w:tab/>
        <w:t>may enter any licence area;</w:t>
      </w:r>
    </w:p>
    <w:p>
      <w:pPr>
        <w:pStyle w:val="Indenta"/>
        <w:rPr>
          <w:snapToGrid w:val="0"/>
        </w:rPr>
      </w:pPr>
      <w:r>
        <w:rPr>
          <w:snapToGrid w:val="0"/>
        </w:rPr>
        <w:tab/>
        <w:t>(b)</w:t>
      </w:r>
      <w:r>
        <w:rPr>
          <w:snapToGrid w:val="0"/>
        </w:rPr>
        <w:tab/>
        <w:t>may inspect and test any pipeline;</w:t>
      </w:r>
    </w:p>
    <w:p>
      <w:pPr>
        <w:pStyle w:val="Indenta"/>
        <w:rPr>
          <w:snapToGrid w:val="0"/>
        </w:rPr>
      </w:pPr>
      <w:r>
        <w:rPr>
          <w:snapToGrid w:val="0"/>
        </w:rPr>
        <w:tab/>
        <w:t>(c)</w:t>
      </w:r>
      <w:r>
        <w:rPr>
          <w:snapToGrid w:val="0"/>
        </w:rPr>
        <w:tab/>
        <w:t>may take samples of any substance being conveyed by a pipeline; and</w:t>
      </w:r>
    </w:p>
    <w:p>
      <w:pPr>
        <w:pStyle w:val="Indenta"/>
        <w:rPr>
          <w:snapToGrid w:val="0"/>
        </w:rPr>
      </w:pPr>
      <w:r>
        <w:rPr>
          <w:snapToGrid w:val="0"/>
        </w:rPr>
        <w:tab/>
        <w:t>(d)</w:t>
      </w:r>
      <w:r>
        <w:rPr>
          <w:snapToGrid w:val="0"/>
        </w:rPr>
        <w:tab/>
        <w:t>may require a licensee, or any other person who has the custody of any books, records, documents, maps or plans relating to a pipeline or proposed pipeline to produce to him those books, records, documents, maps or plans and may inspect, take extracts from and make copies of any of those books, records, documents, maps or plans.</w:t>
      </w:r>
    </w:p>
    <w:p>
      <w:pPr>
        <w:pStyle w:val="Subsection"/>
        <w:rPr>
          <w:snapToGrid w:val="0"/>
        </w:rPr>
      </w:pPr>
      <w:r>
        <w:rPr>
          <w:snapToGrid w:val="0"/>
        </w:rPr>
        <w:tab/>
        <w:t>(2)</w:t>
      </w:r>
      <w:r>
        <w:rPr>
          <w:snapToGrid w:val="0"/>
        </w:rPr>
        <w:tab/>
        <w:t>A person who is the occupier or person in charge of any building, structure or place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 xml:space="preserve">[Section 63 amended by No. 12 of 1990 s.154.] </w:t>
      </w:r>
    </w:p>
    <w:p>
      <w:pPr>
        <w:pStyle w:val="Heading5"/>
        <w:rPr>
          <w:snapToGrid w:val="0"/>
        </w:rPr>
      </w:pPr>
      <w:bookmarkStart w:id="238" w:name="_Toc464640123"/>
      <w:bookmarkStart w:id="239" w:name="_Toc483119667"/>
      <w:bookmarkStart w:id="240" w:name="_Toc131411238"/>
      <w:r>
        <w:rPr>
          <w:rStyle w:val="CharSectno"/>
        </w:rPr>
        <w:t>64</w:t>
      </w:r>
      <w:r>
        <w:rPr>
          <w:snapToGrid w:val="0"/>
        </w:rPr>
        <w:t>.</w:t>
      </w:r>
      <w:r>
        <w:rPr>
          <w:snapToGrid w:val="0"/>
        </w:rPr>
        <w:tab/>
        <w:t>Theft of petroleum from pipeline</w:t>
      </w:r>
      <w:bookmarkEnd w:id="238"/>
      <w:bookmarkEnd w:id="239"/>
      <w:bookmarkEnd w:id="240"/>
      <w:r>
        <w:rPr>
          <w:snapToGrid w:val="0"/>
        </w:rPr>
        <w:t xml:space="preserve"> </w:t>
      </w:r>
    </w:p>
    <w:p>
      <w:pPr>
        <w:pStyle w:val="Subsection"/>
        <w:rPr>
          <w:snapToGrid w:val="0"/>
        </w:rPr>
      </w:pPr>
      <w:r>
        <w:rPr>
          <w:snapToGrid w:val="0"/>
        </w:rPr>
        <w:tab/>
      </w:r>
      <w:r>
        <w:rPr>
          <w:snapToGrid w:val="0"/>
        </w:rPr>
        <w:tab/>
        <w:t>A person who maliciously or fraudulently — </w:t>
      </w:r>
    </w:p>
    <w:p>
      <w:pPr>
        <w:pStyle w:val="Indenta"/>
        <w:rPr>
          <w:snapToGrid w:val="0"/>
        </w:rPr>
      </w:pPr>
      <w:r>
        <w:rPr>
          <w:snapToGrid w:val="0"/>
        </w:rPr>
        <w:tab/>
        <w:t>(a)</w:t>
      </w:r>
      <w:r>
        <w:rPr>
          <w:snapToGrid w:val="0"/>
        </w:rPr>
        <w:tab/>
        <w:t>abstracts;</w:t>
      </w:r>
    </w:p>
    <w:p>
      <w:pPr>
        <w:pStyle w:val="Indenta"/>
        <w:rPr>
          <w:snapToGrid w:val="0"/>
        </w:rPr>
      </w:pPr>
      <w:r>
        <w:rPr>
          <w:snapToGrid w:val="0"/>
        </w:rPr>
        <w:tab/>
        <w:t>(b)</w:t>
      </w:r>
      <w:r>
        <w:rPr>
          <w:snapToGrid w:val="0"/>
        </w:rPr>
        <w:tab/>
        <w:t>causes to be wasted or diverted; or</w:t>
      </w:r>
    </w:p>
    <w:p>
      <w:pPr>
        <w:pStyle w:val="Indenta"/>
        <w:rPr>
          <w:snapToGrid w:val="0"/>
        </w:rPr>
      </w:pPr>
      <w:r>
        <w:rPr>
          <w:snapToGrid w:val="0"/>
        </w:rPr>
        <w:tab/>
        <w:t>(c)</w:t>
      </w:r>
      <w:r>
        <w:rPr>
          <w:snapToGrid w:val="0"/>
        </w:rPr>
        <w:tab/>
        <w:t>consumes or uses,</w:t>
      </w:r>
    </w:p>
    <w:p>
      <w:pPr>
        <w:pStyle w:val="Subsection"/>
        <w:rPr>
          <w:snapToGrid w:val="0"/>
        </w:rPr>
      </w:pPr>
      <w:r>
        <w:rPr>
          <w:snapToGrid w:val="0"/>
        </w:rPr>
        <w:tab/>
      </w:r>
      <w:r>
        <w:rPr>
          <w:snapToGrid w:val="0"/>
        </w:rPr>
        <w:tab/>
        <w:t>any petroleum being conveyed by means of a pipeline, is guilty of stealing and punishable accordingly.</w:t>
      </w:r>
    </w:p>
    <w:p>
      <w:pPr>
        <w:pStyle w:val="Heading5"/>
        <w:rPr>
          <w:snapToGrid w:val="0"/>
        </w:rPr>
      </w:pPr>
      <w:bookmarkStart w:id="241" w:name="_Toc464640124"/>
      <w:bookmarkStart w:id="242" w:name="_Toc483119668"/>
      <w:bookmarkStart w:id="243" w:name="_Toc131411239"/>
      <w:r>
        <w:rPr>
          <w:rStyle w:val="CharSectno"/>
        </w:rPr>
        <w:t>65</w:t>
      </w:r>
      <w:r>
        <w:rPr>
          <w:snapToGrid w:val="0"/>
        </w:rPr>
        <w:t>.</w:t>
      </w:r>
      <w:r>
        <w:rPr>
          <w:snapToGrid w:val="0"/>
        </w:rPr>
        <w:tab/>
        <w:t>Damaging etc. pipelines</w:t>
      </w:r>
      <w:bookmarkEnd w:id="241"/>
      <w:bookmarkEnd w:id="242"/>
      <w:bookmarkEnd w:id="243"/>
      <w:r>
        <w:rPr>
          <w:snapToGrid w:val="0"/>
        </w:rPr>
        <w:t xml:space="preserve"> </w:t>
      </w:r>
    </w:p>
    <w:p>
      <w:pPr>
        <w:pStyle w:val="Subsection"/>
        <w:keepNext/>
        <w:rPr>
          <w:snapToGrid w:val="0"/>
        </w:rPr>
      </w:pPr>
      <w:r>
        <w:rPr>
          <w:snapToGrid w:val="0"/>
        </w:rPr>
        <w:tab/>
      </w:r>
      <w:r>
        <w:rPr>
          <w:snapToGrid w:val="0"/>
        </w:rPr>
        <w:tab/>
        <w:t>A person who unlawfully damages a pipeline or interferes with the operation of a pipeline is guilty of an offence and is liable to a penalty of $50 000 or imprisonment for 5 years, or both.</w:t>
      </w:r>
    </w:p>
    <w:p>
      <w:pPr>
        <w:pStyle w:val="Footnotesection"/>
      </w:pPr>
      <w:r>
        <w:tab/>
        <w:t xml:space="preserve">[Section 65 amended by No. 12 of 1990 s.155.] </w:t>
      </w:r>
    </w:p>
    <w:p>
      <w:pPr>
        <w:pStyle w:val="Heading5"/>
        <w:rPr>
          <w:snapToGrid w:val="0"/>
        </w:rPr>
      </w:pPr>
      <w:bookmarkStart w:id="244" w:name="_Toc464640125"/>
      <w:bookmarkStart w:id="245" w:name="_Toc483119669"/>
      <w:bookmarkStart w:id="246" w:name="_Toc131411240"/>
      <w:r>
        <w:rPr>
          <w:rStyle w:val="CharSectno"/>
        </w:rPr>
        <w:t>66</w:t>
      </w:r>
      <w:r>
        <w:rPr>
          <w:snapToGrid w:val="0"/>
        </w:rPr>
        <w:t>.</w:t>
      </w:r>
      <w:r>
        <w:rPr>
          <w:snapToGrid w:val="0"/>
        </w:rPr>
        <w:tab/>
        <w:t>Continuing offences</w:t>
      </w:r>
      <w:bookmarkEnd w:id="244"/>
      <w:bookmarkEnd w:id="245"/>
      <w:bookmarkEnd w:id="246"/>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or the regulations,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provision of this Act or the regulations, the offence, for the purposes of subsection (3), shall be deemed to continue so long as that failure continues, notwithstanding that any period within which the act was required to be done has elapsed.</w:t>
      </w:r>
    </w:p>
    <w:p>
      <w:pPr>
        <w:pStyle w:val="Subsection"/>
        <w:rPr>
          <w:snapToGrid w:val="0"/>
        </w:rPr>
      </w:pPr>
      <w:r>
        <w:rPr>
          <w:snapToGrid w:val="0"/>
        </w:rPr>
        <w:tab/>
        <w:t>(3)</w:t>
      </w:r>
      <w:r>
        <w:rPr>
          <w:snapToGrid w:val="0"/>
        </w:rPr>
        <w:tab/>
        <w:t>Where, under either subsection (1) or (2), an offence is deemed to continue, the person who committed the offence commits an additional offence against this Act on each day during which the offence is deemed to continue and is liable, upon conviction for such an additional offence, to a fine not exceeding $10 000.</w:t>
      </w:r>
    </w:p>
    <w:p>
      <w:pPr>
        <w:pStyle w:val="Footnotesection"/>
      </w:pPr>
      <w:r>
        <w:tab/>
        <w:t xml:space="preserve">[Section 66 amended by No. 12 of 1990 s.156.] </w:t>
      </w:r>
    </w:p>
    <w:p>
      <w:pPr>
        <w:pStyle w:val="Heading5"/>
        <w:rPr>
          <w:snapToGrid w:val="0"/>
        </w:rPr>
      </w:pPr>
      <w:bookmarkStart w:id="247" w:name="_Toc464640126"/>
      <w:bookmarkStart w:id="248" w:name="_Toc483119670"/>
      <w:bookmarkStart w:id="249" w:name="_Toc131411241"/>
      <w:r>
        <w:rPr>
          <w:rStyle w:val="CharSectno"/>
        </w:rPr>
        <w:t>66A</w:t>
      </w:r>
      <w:r>
        <w:rPr>
          <w:snapToGrid w:val="0"/>
        </w:rPr>
        <w:t>.</w:t>
      </w:r>
      <w:r>
        <w:rPr>
          <w:snapToGrid w:val="0"/>
        </w:rPr>
        <w:tab/>
        <w:t>Persons concerned in commission of offences</w:t>
      </w:r>
      <w:bookmarkEnd w:id="247"/>
      <w:bookmarkEnd w:id="248"/>
      <w:bookmarkEnd w:id="249"/>
      <w:r>
        <w:rPr>
          <w:snapToGrid w:val="0"/>
        </w:rPr>
        <w:t xml:space="preserve"> </w:t>
      </w:r>
    </w:p>
    <w:p>
      <w:pPr>
        <w:pStyle w:val="Subsection"/>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under this Act or the regulations shall be deemed to have committed that offence and shall be punishable accordingly.</w:t>
      </w:r>
    </w:p>
    <w:p>
      <w:pPr>
        <w:pStyle w:val="Footnotesection"/>
      </w:pPr>
      <w:r>
        <w:tab/>
        <w:t xml:space="preserve">[Section 66A inserted by No. 12 of 1990 s.157.] </w:t>
      </w:r>
    </w:p>
    <w:p>
      <w:pPr>
        <w:pStyle w:val="Heading5"/>
      </w:pPr>
      <w:bookmarkStart w:id="250" w:name="_Toc131411242"/>
      <w:bookmarkStart w:id="251" w:name="_Toc464640128"/>
      <w:bookmarkStart w:id="252" w:name="_Toc483119672"/>
      <w:r>
        <w:rPr>
          <w:rStyle w:val="CharSectno"/>
        </w:rPr>
        <w:t>66B</w:t>
      </w:r>
      <w:r>
        <w:t>.</w:t>
      </w:r>
      <w:r>
        <w:tab/>
        <w:t>Crimes and other offences</w:t>
      </w:r>
      <w:bookmarkEnd w:id="250"/>
    </w:p>
    <w:p>
      <w:pPr>
        <w:pStyle w:val="Subsection"/>
      </w:pPr>
      <w:r>
        <w:tab/>
        <w:t>(1)</w:t>
      </w:r>
      <w:r>
        <w:tab/>
        <w:t>If the penalty provided for an offence under this Act is or includes imprisonment, the offence is a crime.</w:t>
      </w:r>
    </w:p>
    <w:p>
      <w:pPr>
        <w:pStyle w:val="Subsection"/>
      </w:pPr>
      <w:r>
        <w:tab/>
        <w:t>(2)</w:t>
      </w:r>
      <w:r>
        <w:tab/>
        <w:t>Summary conviction penalty: for an offence referred to in subsection (1) —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66B inserted by No. 4 of 2004 s. 58.]</w:t>
      </w:r>
    </w:p>
    <w:p>
      <w:pPr>
        <w:pStyle w:val="Heading5"/>
        <w:rPr>
          <w:snapToGrid w:val="0"/>
        </w:rPr>
      </w:pPr>
      <w:bookmarkStart w:id="253" w:name="_Toc131411243"/>
      <w:r>
        <w:rPr>
          <w:rStyle w:val="CharSectno"/>
        </w:rPr>
        <w:t>66C</w:t>
      </w:r>
      <w:r>
        <w:rPr>
          <w:snapToGrid w:val="0"/>
        </w:rPr>
        <w:t>.</w:t>
      </w:r>
      <w:r>
        <w:rPr>
          <w:snapToGrid w:val="0"/>
        </w:rPr>
        <w:tab/>
        <w:t>Orders for forfeiture in respect of certain offences</w:t>
      </w:r>
      <w:bookmarkEnd w:id="251"/>
      <w:bookmarkEnd w:id="252"/>
      <w:bookmarkEnd w:id="253"/>
      <w:r>
        <w:rPr>
          <w:snapToGrid w:val="0"/>
        </w:rPr>
        <w:t xml:space="preserve"> </w:t>
      </w:r>
    </w:p>
    <w:p>
      <w:pPr>
        <w:pStyle w:val="Subsection"/>
        <w:keepNext/>
        <w:rPr>
          <w:snapToGrid w:val="0"/>
        </w:rPr>
      </w:pPr>
      <w:r>
        <w:rPr>
          <w:snapToGrid w:val="0"/>
        </w:rPr>
        <w:tab/>
        <w:t>(1)</w:t>
      </w:r>
      <w:r>
        <w:rPr>
          <w:snapToGrid w:val="0"/>
        </w:rPr>
        <w:tab/>
        <w:t>Where a person is convicted by the Supreme Court of an offence against section 6 the Court may, in addition to imposing a penalty, make one or more of the following orders — </w:t>
      </w:r>
    </w:p>
    <w:p>
      <w:pPr>
        <w:pStyle w:val="Indenta"/>
        <w:keepNext/>
        <w:rPr>
          <w:snapToGrid w:val="0"/>
        </w:rPr>
      </w:pPr>
      <w:r>
        <w:rPr>
          <w:snapToGrid w:val="0"/>
        </w:rPr>
        <w:tab/>
        <w:t>(a)</w:t>
      </w:r>
      <w:r>
        <w:rPr>
          <w:snapToGrid w:val="0"/>
        </w:rPr>
        <w:tab/>
        <w:t>an order for the forfeiture of specified equipment used in the commission of the offence; and</w:t>
      </w:r>
    </w:p>
    <w:p>
      <w:pPr>
        <w:pStyle w:val="Indenta"/>
        <w:keepNext/>
        <w:rPr>
          <w:snapToGrid w:val="0"/>
        </w:rPr>
      </w:pPr>
      <w:r>
        <w:rPr>
          <w:snapToGrid w:val="0"/>
        </w:rPr>
        <w:tab/>
        <w:t>(b)</w:t>
      </w:r>
      <w:r>
        <w:rPr>
          <w:snapToGrid w:val="0"/>
        </w:rPr>
        <w:tab/>
        <w:t>an order — </w:t>
      </w:r>
    </w:p>
    <w:p>
      <w:pPr>
        <w:pStyle w:val="Indenti"/>
        <w:rPr>
          <w:snapToGrid w:val="0"/>
        </w:rPr>
      </w:pPr>
      <w:r>
        <w:rPr>
          <w:snapToGrid w:val="0"/>
        </w:rPr>
        <w:tab/>
        <w:t>(i)</w:t>
      </w:r>
      <w:r>
        <w:rPr>
          <w:snapToGrid w:val="0"/>
        </w:rPr>
        <w:tab/>
        <w:t>for the forfeiture of specified petroleum conveyed through a pipeline in the course of the commission of the offence;</w:t>
      </w:r>
    </w:p>
    <w:p>
      <w:pPr>
        <w:pStyle w:val="Indenti"/>
        <w:rPr>
          <w:snapToGrid w:val="0"/>
        </w:rPr>
      </w:pPr>
      <w:r>
        <w:rPr>
          <w:snapToGrid w:val="0"/>
        </w:rPr>
        <w:tab/>
        <w:t>(ii)</w:t>
      </w:r>
      <w:r>
        <w:rPr>
          <w:snapToGrid w:val="0"/>
        </w:rPr>
        <w:tab/>
        <w:t>for the payment by that person to the State of an amount equal to the proceeds of the sale of specified petroleum so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(1)(b)(i) cannot, for any reason, be enforced, the Court may, upon the application of the person by whom the proceedings were brought, set aside the order and make either of the orders referred to in subsection (1)(b)(ii)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 xml:space="preserve">[Section 66C inserted by No. 12 of 1990 s.157.] </w:t>
      </w:r>
    </w:p>
    <w:p>
      <w:pPr>
        <w:pStyle w:val="Heading5"/>
        <w:rPr>
          <w:snapToGrid w:val="0"/>
        </w:rPr>
      </w:pPr>
      <w:bookmarkStart w:id="254" w:name="_Toc464640129"/>
      <w:bookmarkStart w:id="255" w:name="_Toc483119673"/>
      <w:bookmarkStart w:id="256" w:name="_Toc131411244"/>
      <w:r>
        <w:rPr>
          <w:rStyle w:val="CharSectno"/>
        </w:rPr>
        <w:t>66D</w:t>
      </w:r>
      <w:r>
        <w:rPr>
          <w:snapToGrid w:val="0"/>
        </w:rPr>
        <w:t>.</w:t>
      </w:r>
      <w:r>
        <w:rPr>
          <w:snapToGrid w:val="0"/>
        </w:rPr>
        <w:tab/>
        <w:t>Disposal of forfeited goods</w:t>
      </w:r>
      <w:bookmarkEnd w:id="254"/>
      <w:bookmarkEnd w:id="255"/>
      <w:bookmarkEnd w:id="256"/>
      <w:r>
        <w:rPr>
          <w:snapToGrid w:val="0"/>
        </w:rPr>
        <w:t xml:space="preserve"> </w:t>
      </w:r>
    </w:p>
    <w:p>
      <w:pPr>
        <w:pStyle w:val="Subsection"/>
        <w:rPr>
          <w:snapToGrid w:val="0"/>
        </w:rPr>
      </w:pPr>
      <w:r>
        <w:rPr>
          <w:snapToGrid w:val="0"/>
        </w:rPr>
        <w:tab/>
      </w:r>
      <w:r>
        <w:rPr>
          <w:snapToGrid w:val="0"/>
        </w:rPr>
        <w:tab/>
        <w:t>Goods in respect of which an order is made under section 66C shall be dealt with as the Attorney General directs and, pending his direction, may be detained in such custody as the Supreme Court directs.</w:t>
      </w:r>
    </w:p>
    <w:p>
      <w:pPr>
        <w:pStyle w:val="Footnotesection"/>
      </w:pPr>
      <w:r>
        <w:tab/>
        <w:t xml:space="preserve">[Section 66D inserted by No. 12 of 1990 s.157.] </w:t>
      </w:r>
    </w:p>
    <w:p>
      <w:pPr>
        <w:pStyle w:val="Heading5"/>
        <w:rPr>
          <w:snapToGrid w:val="0"/>
        </w:rPr>
      </w:pPr>
      <w:bookmarkStart w:id="257" w:name="_Toc464640130"/>
      <w:bookmarkStart w:id="258" w:name="_Toc483119674"/>
      <w:bookmarkStart w:id="259" w:name="_Toc131411245"/>
      <w:r>
        <w:rPr>
          <w:rStyle w:val="CharSectno"/>
        </w:rPr>
        <w:t>67</w:t>
      </w:r>
      <w:r>
        <w:rPr>
          <w:snapToGrid w:val="0"/>
        </w:rPr>
        <w:t>.</w:t>
      </w:r>
      <w:r>
        <w:rPr>
          <w:snapToGrid w:val="0"/>
        </w:rPr>
        <w:tab/>
        <w:t>Regulations</w:t>
      </w:r>
      <w:bookmarkEnd w:id="257"/>
      <w:bookmarkEnd w:id="258"/>
      <w:bookmarkEnd w:id="259"/>
      <w:r>
        <w:rPr>
          <w:snapToGrid w:val="0"/>
        </w:rPr>
        <w:t xml:space="preserve"> </w:t>
      </w:r>
    </w:p>
    <w:p>
      <w:pPr>
        <w:pStyle w:val="Subsection"/>
        <w:ind w:left="890" w:hanging="890"/>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the construction, maintenance and operation of pipelines and the safety measures to be taken in respect thereof;</w:t>
      </w:r>
    </w:p>
    <w:p>
      <w:pPr>
        <w:pStyle w:val="Indenta"/>
        <w:rPr>
          <w:snapToGrid w:val="0"/>
        </w:rPr>
      </w:pPr>
      <w:r>
        <w:rPr>
          <w:snapToGrid w:val="0"/>
        </w:rPr>
        <w:tab/>
        <w:t>(b)</w:t>
      </w:r>
      <w:r>
        <w:rPr>
          <w:snapToGrid w:val="0"/>
        </w:rPr>
        <w:tab/>
        <w:t>the inspection of pipelines and the cost of any such inspection;</w:t>
      </w:r>
    </w:p>
    <w:p>
      <w:pPr>
        <w:pStyle w:val="Indenta"/>
        <w:rPr>
          <w:snapToGrid w:val="0"/>
        </w:rPr>
      </w:pPr>
      <w:r>
        <w:rPr>
          <w:snapToGrid w:val="0"/>
        </w:rPr>
        <w:tab/>
        <w:t>(c)</w:t>
      </w:r>
      <w:r>
        <w:rPr>
          <w:snapToGrid w:val="0"/>
        </w:rPr>
        <w:tab/>
        <w:t>the keeping of registers under this Act;</w:t>
      </w:r>
    </w:p>
    <w:p>
      <w:pPr>
        <w:pStyle w:val="Indenta"/>
        <w:rPr>
          <w:snapToGrid w:val="0"/>
        </w:rPr>
      </w:pPr>
      <w:r>
        <w:rPr>
          <w:snapToGrid w:val="0"/>
        </w:rPr>
        <w:tab/>
        <w:t>(d)</w:t>
      </w:r>
      <w:r>
        <w:rPr>
          <w:snapToGrid w:val="0"/>
        </w:rPr>
        <w:tab/>
        <w:t>the escape of substances from a pipeline;</w:t>
      </w:r>
    </w:p>
    <w:p>
      <w:pPr>
        <w:pStyle w:val="Indenta"/>
        <w:rPr>
          <w:snapToGrid w:val="0"/>
        </w:rPr>
      </w:pPr>
      <w:r>
        <w:rPr>
          <w:snapToGrid w:val="0"/>
        </w:rPr>
        <w:tab/>
        <w:t>(e)</w:t>
      </w:r>
      <w:r>
        <w:rPr>
          <w:snapToGrid w:val="0"/>
        </w:rPr>
        <w:tab/>
        <w:t>providing for the marking of the location of pipelines;</w:t>
      </w:r>
    </w:p>
    <w:p>
      <w:pPr>
        <w:pStyle w:val="Indenta"/>
        <w:rPr>
          <w:snapToGrid w:val="0"/>
        </w:rPr>
      </w:pPr>
      <w:r>
        <w:rPr>
          <w:snapToGrid w:val="0"/>
        </w:rPr>
        <w:tab/>
        <w:t>(f)</w:t>
      </w:r>
      <w:r>
        <w:rPr>
          <w:snapToGrid w:val="0"/>
        </w:rPr>
        <w:tab/>
        <w:t>the prevention of damage to any land used for the construction or operation of pipelines;</w:t>
      </w:r>
    </w:p>
    <w:p>
      <w:pPr>
        <w:pStyle w:val="Indenta"/>
        <w:rPr>
          <w:snapToGrid w:val="0"/>
        </w:rPr>
      </w:pPr>
      <w:r>
        <w:rPr>
          <w:snapToGrid w:val="0"/>
        </w:rPr>
        <w:tab/>
        <w:t>(g)</w:t>
      </w:r>
      <w:r>
        <w:rPr>
          <w:snapToGrid w:val="0"/>
        </w:rPr>
        <w:tab/>
        <w:t>all matters that by this Act are required or permitted to be prescribed or are necessary or convenient to be prescribed for carrying out or giving effect to this Act and for the due administration thereof.</w:t>
      </w:r>
    </w:p>
    <w:p>
      <w:pPr>
        <w:pStyle w:val="Subsection"/>
        <w:rPr>
          <w:snapToGrid w:val="0"/>
        </w:rPr>
      </w:pPr>
      <w:r>
        <w:rPr>
          <w:snapToGrid w:val="0"/>
        </w:rPr>
        <w:tab/>
        <w:t>(1a)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 </w:t>
      </w:r>
    </w:p>
    <w:p>
      <w:pPr>
        <w:pStyle w:val="Subsection"/>
        <w:rPr>
          <w:snapToGrid w:val="0"/>
        </w:rPr>
      </w:pPr>
      <w:r>
        <w:rPr>
          <w:snapToGrid w:val="0"/>
        </w:rPr>
        <w:tab/>
        <w:t>(1b)</w:t>
      </w:r>
      <w:r>
        <w:rPr>
          <w:snapToGrid w:val="0"/>
        </w:rPr>
        <w:tab/>
        <w:t>The regulations may prohibit the doing of an act or thing either unconditionally or subject to conditions, including conditions requiring the grant, as prescribed by the regulations, of the consent or approval of a person specified in the regulations.</w:t>
      </w:r>
    </w:p>
    <w:p>
      <w:pPr>
        <w:pStyle w:val="Subsection"/>
        <w:ind w:left="890" w:hanging="890"/>
        <w:rPr>
          <w:snapToGrid w:val="0"/>
        </w:rPr>
      </w:pPr>
      <w:r>
        <w:rPr>
          <w:snapToGrid w:val="0"/>
        </w:rPr>
        <w:tab/>
        <w:t>(2)</w:t>
      </w:r>
      <w:r>
        <w:rPr>
          <w:snapToGrid w:val="0"/>
        </w:rPr>
        <w:tab/>
        <w:t>The regulations may provide, in respect of an offence against the regulations,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Footnotesection"/>
      </w:pPr>
      <w:r>
        <w:tab/>
        <w:t xml:space="preserve">[Section 67 amended by No. 12 of 1990 s.158; No. 28 of 1994 s.76.]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60" w:name="_Toc72913698"/>
      <w:bookmarkStart w:id="261" w:name="_Toc78089552"/>
      <w:bookmarkStart w:id="262" w:name="_Toc91305322"/>
      <w:bookmarkStart w:id="263" w:name="_Toc92690756"/>
      <w:bookmarkStart w:id="264" w:name="_Toc113771312"/>
      <w:bookmarkStart w:id="265" w:name="_Toc131411163"/>
      <w:bookmarkStart w:id="266" w:name="_Toc131411246"/>
      <w:r>
        <w:t>Notes</w:t>
      </w:r>
      <w:bookmarkEnd w:id="260"/>
      <w:bookmarkEnd w:id="261"/>
      <w:bookmarkEnd w:id="262"/>
      <w:bookmarkEnd w:id="263"/>
      <w:bookmarkEnd w:id="264"/>
      <w:bookmarkEnd w:id="265"/>
      <w:bookmarkEnd w:id="266"/>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Pipelines Act 1969</w:t>
      </w:r>
      <w:r>
        <w:rPr>
          <w:snapToGrid w:val="0"/>
        </w:rPr>
        <w:t xml:space="preserve"> and includes the amendments made by the other written laws referred to in the following table</w:t>
      </w:r>
      <w:r>
        <w:rPr>
          <w:snapToGrid w:val="0"/>
          <w:vertAlign w:val="superscript"/>
        </w:rPr>
        <w:t>1a</w:t>
      </w:r>
      <w:r>
        <w:rPr>
          <w:snapToGrid w:val="0"/>
        </w:rPr>
        <w:t>.</w:t>
      </w:r>
    </w:p>
    <w:p>
      <w:pPr>
        <w:pStyle w:val="nHeading3"/>
        <w:rPr>
          <w:snapToGrid w:val="0"/>
        </w:rPr>
      </w:pPr>
      <w:bookmarkStart w:id="267" w:name="_Toc131411247"/>
      <w:r>
        <w:rPr>
          <w:snapToGrid w:val="0"/>
        </w:rPr>
        <w:t>Compilation table</w:t>
      </w:r>
      <w:bookmarkEnd w:id="26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Petroleum Pipelines Act 1969</w:t>
            </w:r>
          </w:p>
        </w:tc>
        <w:tc>
          <w:tcPr>
            <w:tcW w:w="1134" w:type="dxa"/>
          </w:tcPr>
          <w:p>
            <w:pPr>
              <w:pStyle w:val="nTable"/>
              <w:spacing w:after="40"/>
              <w:rPr>
                <w:sz w:val="19"/>
              </w:rPr>
            </w:pPr>
            <w:r>
              <w:rPr>
                <w:sz w:val="19"/>
              </w:rPr>
              <w:t>112 of 1969</w:t>
            </w:r>
          </w:p>
        </w:tc>
        <w:tc>
          <w:tcPr>
            <w:tcW w:w="1134" w:type="dxa"/>
          </w:tcPr>
          <w:p>
            <w:pPr>
              <w:pStyle w:val="nTable"/>
              <w:spacing w:after="40"/>
              <w:rPr>
                <w:sz w:val="19"/>
              </w:rPr>
            </w:pPr>
            <w:r>
              <w:rPr>
                <w:sz w:val="19"/>
              </w:rPr>
              <w:t>28 Nov 1969</w:t>
            </w:r>
          </w:p>
        </w:tc>
        <w:tc>
          <w:tcPr>
            <w:tcW w:w="2551" w:type="dxa"/>
          </w:tcPr>
          <w:p>
            <w:pPr>
              <w:pStyle w:val="nTable"/>
              <w:spacing w:after="40"/>
              <w:rPr>
                <w:sz w:val="19"/>
              </w:rPr>
            </w:pPr>
            <w:r>
              <w:rPr>
                <w:sz w:val="19"/>
              </w:rPr>
              <w:t xml:space="preserve">Proclaimed 12 Dec 1969 (see section 2 and </w:t>
            </w:r>
            <w:r>
              <w:rPr>
                <w:i/>
                <w:sz w:val="19"/>
              </w:rPr>
              <w:t>Gazette</w:t>
            </w:r>
            <w:r>
              <w:rPr>
                <w:sz w:val="19"/>
              </w:rPr>
              <w:t xml:space="preserve"> 12 Dec 1969 p.4002)</w:t>
            </w:r>
          </w:p>
        </w:tc>
      </w:tr>
      <w:tr>
        <w:trPr>
          <w:cantSplit/>
        </w:trPr>
        <w:tc>
          <w:tcPr>
            <w:tcW w:w="2268" w:type="dxa"/>
          </w:tcPr>
          <w:p>
            <w:pPr>
              <w:pStyle w:val="nTable"/>
              <w:spacing w:after="40"/>
              <w:ind w:right="113"/>
              <w:rPr>
                <w:sz w:val="19"/>
              </w:rPr>
            </w:pPr>
            <w:r>
              <w:rPr>
                <w:i/>
                <w:sz w:val="19"/>
              </w:rPr>
              <w:t>Petroleum Pipelines Act Amendment Act 1970</w:t>
            </w:r>
          </w:p>
        </w:tc>
        <w:tc>
          <w:tcPr>
            <w:tcW w:w="1134" w:type="dxa"/>
          </w:tcPr>
          <w:p>
            <w:pPr>
              <w:pStyle w:val="nTable"/>
              <w:spacing w:after="40"/>
              <w:rPr>
                <w:sz w:val="19"/>
              </w:rPr>
            </w:pPr>
            <w:r>
              <w:rPr>
                <w:sz w:val="19"/>
              </w:rPr>
              <w:t>42 of 1970</w:t>
            </w:r>
          </w:p>
        </w:tc>
        <w:tc>
          <w:tcPr>
            <w:tcW w:w="1134" w:type="dxa"/>
          </w:tcPr>
          <w:p>
            <w:pPr>
              <w:pStyle w:val="nTable"/>
              <w:spacing w:after="40"/>
              <w:rPr>
                <w:sz w:val="19"/>
              </w:rPr>
            </w:pPr>
            <w:r>
              <w:rPr>
                <w:sz w:val="19"/>
              </w:rPr>
              <w:t>23 Sep 1970</w:t>
            </w:r>
          </w:p>
        </w:tc>
        <w:tc>
          <w:tcPr>
            <w:tcW w:w="2551" w:type="dxa"/>
          </w:tcPr>
          <w:p>
            <w:pPr>
              <w:pStyle w:val="nTable"/>
              <w:spacing w:after="40"/>
              <w:rPr>
                <w:sz w:val="19"/>
              </w:rPr>
            </w:pPr>
            <w:r>
              <w:rPr>
                <w:sz w:val="19"/>
              </w:rPr>
              <w:t>23 Sep 1970</w:t>
            </w:r>
          </w:p>
        </w:tc>
      </w:tr>
      <w:tr>
        <w:trPr>
          <w:cantSplit/>
        </w:trPr>
        <w:tc>
          <w:tcPr>
            <w:tcW w:w="2268" w:type="dxa"/>
          </w:tcPr>
          <w:p>
            <w:pPr>
              <w:pStyle w:val="nTable"/>
              <w:spacing w:after="40"/>
              <w:ind w:right="113"/>
              <w:rPr>
                <w:sz w:val="19"/>
              </w:rPr>
            </w:pPr>
            <w:r>
              <w:rPr>
                <w:i/>
                <w:sz w:val="19"/>
              </w:rPr>
              <w:t>Metric Conversion Act 1972</w:t>
            </w:r>
          </w:p>
          <w:p>
            <w:pPr>
              <w:pStyle w:val="nTable"/>
              <w:spacing w:after="40"/>
              <w:ind w:right="113"/>
              <w:rPr>
                <w:sz w:val="19"/>
              </w:rPr>
            </w:pPr>
            <w:r>
              <w:rPr>
                <w:sz w:val="19"/>
              </w:rPr>
              <w:t xml:space="preserve">(The Fourth Schedule was inserted by the </w:t>
            </w:r>
            <w:r>
              <w:rPr>
                <w:i/>
                <w:sz w:val="19"/>
              </w:rPr>
              <w:t>Metric Conversion Act Amendment Act 1975</w:t>
            </w:r>
            <w:r>
              <w:rPr>
                <w:sz w:val="19"/>
              </w:rPr>
              <w:t xml:space="preserve"> </w:t>
            </w:r>
            <w:r>
              <w:rPr>
                <w:sz w:val="19"/>
              </w:rPr>
              <w:br/>
              <w:t>(No. 42 of 1975))</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 xml:space="preserve">The relevant amendments, as set out in the Fourth Schedule, took effect on 19 Dec 1975 (see section 4(2) and </w:t>
            </w:r>
            <w:r>
              <w:rPr>
                <w:i/>
                <w:sz w:val="19"/>
              </w:rPr>
              <w:t>Gazette</w:t>
            </w:r>
            <w:r>
              <w:rPr>
                <w:sz w:val="19"/>
              </w:rPr>
              <w:t xml:space="preserve"> 19 Dec 1975 p.4577)</w:t>
            </w:r>
          </w:p>
        </w:tc>
      </w:tr>
      <w:tr>
        <w:trPr>
          <w:cantSplit/>
        </w:trPr>
        <w:tc>
          <w:tcPr>
            <w:tcW w:w="2268" w:type="dxa"/>
          </w:tcPr>
          <w:p>
            <w:pPr>
              <w:pStyle w:val="nTable"/>
              <w:spacing w:after="40"/>
              <w:ind w:right="113"/>
              <w:rPr>
                <w:sz w:val="19"/>
              </w:rPr>
            </w:pPr>
            <w:r>
              <w:rPr>
                <w:i/>
                <w:sz w:val="19"/>
              </w:rPr>
              <w:t>Petroleum Pipelines Amendment Act 1983</w:t>
            </w:r>
          </w:p>
        </w:tc>
        <w:tc>
          <w:tcPr>
            <w:tcW w:w="1134" w:type="dxa"/>
          </w:tcPr>
          <w:p>
            <w:pPr>
              <w:pStyle w:val="nTable"/>
              <w:spacing w:after="40"/>
              <w:rPr>
                <w:sz w:val="19"/>
              </w:rPr>
            </w:pPr>
            <w:r>
              <w:rPr>
                <w:sz w:val="19"/>
              </w:rPr>
              <w:t>10 of 1983</w:t>
            </w:r>
          </w:p>
        </w:tc>
        <w:tc>
          <w:tcPr>
            <w:tcW w:w="1134" w:type="dxa"/>
          </w:tcPr>
          <w:p>
            <w:pPr>
              <w:pStyle w:val="nTable"/>
              <w:spacing w:after="40"/>
              <w:rPr>
                <w:sz w:val="19"/>
              </w:rPr>
            </w:pPr>
            <w:r>
              <w:rPr>
                <w:sz w:val="19"/>
              </w:rPr>
              <w:t>7 Oct 1983</w:t>
            </w:r>
          </w:p>
        </w:tc>
        <w:tc>
          <w:tcPr>
            <w:tcW w:w="2551" w:type="dxa"/>
          </w:tcPr>
          <w:p>
            <w:pPr>
              <w:pStyle w:val="nTable"/>
              <w:spacing w:after="40"/>
              <w:rPr>
                <w:sz w:val="19"/>
              </w:rPr>
            </w:pPr>
            <w:r>
              <w:rPr>
                <w:sz w:val="19"/>
              </w:rPr>
              <w:t xml:space="preserve">Proclaimed 11 November 1983 (see section 2 and </w:t>
            </w:r>
            <w:r>
              <w:rPr>
                <w:i/>
                <w:sz w:val="19"/>
              </w:rPr>
              <w:t>Gazette</w:t>
            </w:r>
            <w:r>
              <w:rPr>
                <w:sz w:val="19"/>
              </w:rPr>
              <w:t xml:space="preserve"> 11 November 1983 p.4503)</w:t>
            </w:r>
          </w:p>
        </w:tc>
      </w:tr>
      <w:tr>
        <w:trPr>
          <w:cantSplit/>
        </w:trPr>
        <w:tc>
          <w:tcPr>
            <w:tcW w:w="2268" w:type="dxa"/>
          </w:tcPr>
          <w:p>
            <w:pPr>
              <w:pStyle w:val="nTable"/>
              <w:spacing w:after="40"/>
              <w:ind w:right="113"/>
              <w:rPr>
                <w:iCs/>
                <w:sz w:val="19"/>
                <w:vertAlign w:val="superscript"/>
              </w:rPr>
            </w:pPr>
            <w:r>
              <w:rPr>
                <w:i/>
                <w:sz w:val="19"/>
              </w:rPr>
              <w:t>Acts Amendment (Petroleum) Act 1990</w:t>
            </w:r>
            <w:r>
              <w:rPr>
                <w:iCs/>
                <w:sz w:val="19"/>
              </w:rPr>
              <w:t xml:space="preserve"> </w:t>
            </w:r>
            <w:r>
              <w:rPr>
                <w:iCs/>
                <w:sz w:val="19"/>
                <w:vertAlign w:val="superscript"/>
              </w:rPr>
              <w:t>2, 3, 6, 7</w:t>
            </w:r>
          </w:p>
        </w:tc>
        <w:tc>
          <w:tcPr>
            <w:tcW w:w="1134" w:type="dxa"/>
          </w:tcPr>
          <w:p>
            <w:pPr>
              <w:pStyle w:val="nTable"/>
              <w:spacing w:after="40"/>
              <w:rPr>
                <w:sz w:val="19"/>
              </w:rPr>
            </w:pPr>
            <w:r>
              <w:rPr>
                <w:sz w:val="19"/>
              </w:rPr>
              <w:t>12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Proclaimed 1 Oct 1990 </w:t>
            </w:r>
          </w:p>
          <w:p>
            <w:pPr>
              <w:pStyle w:val="nTable"/>
              <w:spacing w:after="40"/>
              <w:rPr>
                <w:sz w:val="19"/>
              </w:rPr>
            </w:pPr>
            <w:r>
              <w:rPr>
                <w:sz w:val="19"/>
              </w:rPr>
              <w:t xml:space="preserve">(see section 2(1) and </w:t>
            </w:r>
            <w:r>
              <w:rPr>
                <w:i/>
                <w:sz w:val="19"/>
              </w:rPr>
              <w:t>Gazette</w:t>
            </w:r>
            <w:r>
              <w:rPr>
                <w:sz w:val="19"/>
              </w:rPr>
              <w:t xml:space="preserve"> 28 September 1990 p.5099); </w:t>
            </w:r>
          </w:p>
          <w:p>
            <w:pPr>
              <w:pStyle w:val="nTable"/>
              <w:spacing w:after="40"/>
              <w:rPr>
                <w:sz w:val="19"/>
              </w:rPr>
            </w:pPr>
            <w:r>
              <w:rPr>
                <w:sz w:val="19"/>
              </w:rPr>
              <w:t>section 132: deemed to operate from 12 Dec 1969 (see section 2(2))</w:t>
            </w:r>
          </w:p>
        </w:tc>
      </w:tr>
      <w:tr>
        <w:trPr>
          <w:cantSplit/>
        </w:trPr>
        <w:tc>
          <w:tcPr>
            <w:tcW w:w="2268" w:type="dxa"/>
          </w:tcPr>
          <w:p>
            <w:pPr>
              <w:pStyle w:val="nTable"/>
              <w:keepNext/>
              <w:spacing w:after="40"/>
              <w:ind w:right="113"/>
              <w:rPr>
                <w:sz w:val="19"/>
                <w:vertAlign w:val="superscript"/>
              </w:rPr>
            </w:pPr>
            <w:r>
              <w:rPr>
                <w:i/>
                <w:sz w:val="19"/>
              </w:rPr>
              <w:t>Land (Titles and Traditional Usage) Act 1993</w:t>
            </w:r>
            <w:r>
              <w:rPr>
                <w:sz w:val="19"/>
              </w:rPr>
              <w:t>, section 45</w:t>
            </w:r>
            <w:r>
              <w:rPr>
                <w:sz w:val="19"/>
                <w:vertAlign w:val="superscript"/>
              </w:rPr>
              <w:t> 10</w:t>
            </w:r>
          </w:p>
        </w:tc>
        <w:tc>
          <w:tcPr>
            <w:tcW w:w="1134" w:type="dxa"/>
          </w:tcPr>
          <w:p>
            <w:pPr>
              <w:pStyle w:val="nTable"/>
              <w:keepNext/>
              <w:spacing w:after="40"/>
              <w:rPr>
                <w:sz w:val="19"/>
              </w:rPr>
            </w:pPr>
            <w:r>
              <w:rPr>
                <w:sz w:val="19"/>
              </w:rPr>
              <w:t>21 of 1993</w:t>
            </w:r>
          </w:p>
        </w:tc>
        <w:tc>
          <w:tcPr>
            <w:tcW w:w="1134" w:type="dxa"/>
          </w:tcPr>
          <w:p>
            <w:pPr>
              <w:pStyle w:val="nTable"/>
              <w:keepNext/>
              <w:spacing w:after="40"/>
              <w:rPr>
                <w:sz w:val="19"/>
              </w:rPr>
            </w:pPr>
            <w:r>
              <w:rPr>
                <w:sz w:val="19"/>
              </w:rPr>
              <w:t>2 Dec 1993</w:t>
            </w:r>
          </w:p>
        </w:tc>
        <w:tc>
          <w:tcPr>
            <w:tcW w:w="2551" w:type="dxa"/>
          </w:tcPr>
          <w:p>
            <w:pPr>
              <w:pStyle w:val="nTable"/>
              <w:keepNext/>
              <w:spacing w:after="40"/>
              <w:rPr>
                <w:sz w:val="19"/>
              </w:rPr>
            </w:pPr>
            <w:r>
              <w:rPr>
                <w:sz w:val="19"/>
              </w:rPr>
              <w:t>2 December 1993</w:t>
            </w:r>
          </w:p>
        </w:tc>
      </w:tr>
      <w:tr>
        <w:trPr>
          <w:cantSplit/>
        </w:trPr>
        <w:tc>
          <w:tcPr>
            <w:tcW w:w="2268" w:type="dxa"/>
          </w:tcPr>
          <w:p>
            <w:pPr>
              <w:pStyle w:val="nTable"/>
              <w:spacing w:after="40"/>
              <w:ind w:right="113"/>
              <w:rPr>
                <w:sz w:val="19"/>
              </w:rPr>
            </w:pPr>
            <w:r>
              <w:rPr>
                <w:i/>
                <w:sz w:val="19"/>
              </w:rPr>
              <w:t>Acts Amendment (Petroleum) Act 1994</w:t>
            </w:r>
            <w:r>
              <w:rPr>
                <w:sz w:val="19"/>
              </w:rPr>
              <w:t>, Part 4</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Proclaimed 22 Jul 1994 </w:t>
            </w:r>
            <w:r>
              <w:rPr>
                <w:sz w:val="19"/>
              </w:rPr>
              <w:br/>
              <w:t xml:space="preserve">(see section 2 and </w:t>
            </w:r>
            <w:r>
              <w:rPr>
                <w:i/>
                <w:sz w:val="19"/>
              </w:rPr>
              <w:t>Gazette</w:t>
            </w:r>
            <w:r>
              <w:rPr>
                <w:sz w:val="19"/>
              </w:rPr>
              <w:t xml:space="preserve"> 22 Jul 1994 p.3728)</w:t>
            </w:r>
          </w:p>
        </w:tc>
      </w:tr>
      <w:tr>
        <w:trPr>
          <w:cantSplit/>
        </w:trPr>
        <w:tc>
          <w:tcPr>
            <w:tcW w:w="2268" w:type="dxa"/>
          </w:tcPr>
          <w:p>
            <w:pPr>
              <w:pStyle w:val="nTable"/>
              <w:spacing w:after="40"/>
              <w:ind w:right="113"/>
              <w:rPr>
                <w:sz w:val="19"/>
              </w:rPr>
            </w:pPr>
            <w:r>
              <w:rPr>
                <w:i/>
                <w:sz w:val="19"/>
              </w:rPr>
              <w:t>Statutes (Repeals and Minor Amendments) Act 1994</w:t>
            </w:r>
            <w:r>
              <w:rPr>
                <w:sz w:val="19"/>
              </w:rPr>
              <w:t>,  section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w:t>
            </w:r>
          </w:p>
        </w:tc>
      </w:tr>
      <w:tr>
        <w:trPr>
          <w:cantSplit/>
        </w:trPr>
        <w:tc>
          <w:tcPr>
            <w:tcW w:w="2268" w:type="dxa"/>
          </w:tcPr>
          <w:p>
            <w:pPr>
              <w:pStyle w:val="nTable"/>
              <w:spacing w:after="40"/>
              <w:ind w:right="113"/>
              <w:rPr>
                <w:sz w:val="19"/>
              </w:rPr>
            </w:pPr>
            <w:r>
              <w:rPr>
                <w:i/>
                <w:sz w:val="19"/>
              </w:rPr>
              <w:t>Acts Amendment and Repeal (Native Title) Act 1995</w:t>
            </w:r>
            <w:r>
              <w:rPr>
                <w:sz w:val="19"/>
              </w:rPr>
              <w:t>, Part 9</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Proclaimed 9 Dec 1995 (see section 2 and </w:t>
            </w:r>
            <w:r>
              <w:rPr>
                <w:i/>
                <w:sz w:val="19"/>
              </w:rPr>
              <w:t>Gazette</w:t>
            </w:r>
            <w:r>
              <w:rPr>
                <w:sz w:val="19"/>
              </w:rPr>
              <w:t xml:space="preserve"> 8 Dec 1995 p.5935)</w:t>
            </w:r>
          </w:p>
        </w:tc>
      </w:tr>
      <w:tr>
        <w:trPr>
          <w:cantSplit/>
        </w:trPr>
        <w:tc>
          <w:tcPr>
            <w:tcW w:w="2268" w:type="dxa"/>
          </w:tcPr>
          <w:p>
            <w:pPr>
              <w:pStyle w:val="nTable"/>
              <w:spacing w:after="40"/>
              <w:ind w:right="113"/>
              <w:rPr>
                <w:sz w:val="19"/>
              </w:rPr>
            </w:pPr>
            <w:r>
              <w:rPr>
                <w:i/>
                <w:sz w:val="19"/>
              </w:rPr>
              <w:t>Local Government (Consequential Amendments) Act 1996</w:t>
            </w:r>
            <w:r>
              <w:rPr>
                <w:sz w:val="19"/>
              </w:rPr>
              <w:t>, section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section 2)</w:t>
            </w:r>
          </w:p>
        </w:tc>
      </w:tr>
      <w:tr>
        <w:trPr>
          <w:cantSplit/>
        </w:trPr>
        <w:tc>
          <w:tcPr>
            <w:tcW w:w="2268" w:type="dxa"/>
          </w:tcPr>
          <w:p>
            <w:pPr>
              <w:pStyle w:val="nTable"/>
              <w:spacing w:after="40"/>
              <w:ind w:right="113"/>
              <w:rPr>
                <w:sz w:val="19"/>
              </w:rPr>
            </w:pPr>
            <w:r>
              <w:rPr>
                <w:i/>
                <w:sz w:val="19"/>
              </w:rPr>
              <w:t>Acts Amendment (Land Administration) Act 1997</w:t>
            </w:r>
            <w:r>
              <w:rPr>
                <w:sz w:val="19"/>
              </w:rPr>
              <w:t>, Part 50 and sections 141 and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section 2 and </w:t>
            </w:r>
            <w:r>
              <w:rPr>
                <w:i/>
                <w:sz w:val="19"/>
              </w:rPr>
              <w:t>Gazette</w:t>
            </w:r>
            <w:r>
              <w:rPr>
                <w:sz w:val="19"/>
              </w:rPr>
              <w:t xml:space="preserve"> 27 Mar 1998 p.1765)</w:t>
            </w:r>
          </w:p>
        </w:tc>
      </w:tr>
      <w:tr>
        <w:trPr>
          <w:cantSplit/>
        </w:trPr>
        <w:tc>
          <w:tcPr>
            <w:tcW w:w="2268" w:type="dxa"/>
          </w:tcPr>
          <w:p>
            <w:pPr>
              <w:pStyle w:val="nTable"/>
              <w:spacing w:after="40"/>
              <w:ind w:right="113"/>
              <w:rPr>
                <w:sz w:val="19"/>
              </w:rPr>
            </w:pPr>
            <w:r>
              <w:rPr>
                <w:i/>
                <w:sz w:val="19"/>
              </w:rPr>
              <w:t>Gas Pipelines Access (Western Australia) Act 1998</w:t>
            </w:r>
            <w:r>
              <w:rPr>
                <w:sz w:val="19"/>
              </w:rPr>
              <w:t>, section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Proclaimed 9 Feb 1999 (see section 2 and </w:t>
            </w:r>
            <w:r>
              <w:rPr>
                <w:i/>
                <w:sz w:val="19"/>
              </w:rPr>
              <w:t>Gazette</w:t>
            </w:r>
            <w:r>
              <w:rPr>
                <w:sz w:val="19"/>
              </w:rPr>
              <w:t xml:space="preserve"> 8 Feb 1999 p.441)</w:t>
            </w:r>
          </w:p>
        </w:tc>
      </w:tr>
      <w:tr>
        <w:trPr>
          <w:cantSplit/>
        </w:trPr>
        <w:tc>
          <w:tcPr>
            <w:tcW w:w="2268" w:type="dxa"/>
          </w:tcPr>
          <w:p>
            <w:pPr>
              <w:pStyle w:val="nTable"/>
              <w:spacing w:after="40"/>
              <w:ind w:right="113"/>
              <w:rPr>
                <w:sz w:val="19"/>
              </w:rPr>
            </w:pPr>
            <w:r>
              <w:rPr>
                <w:i/>
                <w:sz w:val="19"/>
              </w:rPr>
              <w:t>Energy Coordination Amendment Act 1999</w:t>
            </w:r>
            <w:r>
              <w:rPr>
                <w:sz w:val="19"/>
              </w:rPr>
              <w:t>, section 10(5)</w:t>
            </w:r>
          </w:p>
        </w:tc>
        <w:tc>
          <w:tcPr>
            <w:tcW w:w="1134" w:type="dxa"/>
          </w:tcPr>
          <w:p>
            <w:pPr>
              <w:pStyle w:val="nTable"/>
              <w:spacing w:after="40"/>
              <w:rPr>
                <w:sz w:val="19"/>
              </w:rPr>
            </w:pPr>
            <w:r>
              <w:rPr>
                <w:sz w:val="19"/>
              </w:rPr>
              <w:t>20 of 1999</w:t>
            </w:r>
          </w:p>
        </w:tc>
        <w:tc>
          <w:tcPr>
            <w:tcW w:w="1134" w:type="dxa"/>
          </w:tcPr>
          <w:p>
            <w:pPr>
              <w:pStyle w:val="nTable"/>
              <w:spacing w:after="40"/>
              <w:rPr>
                <w:sz w:val="19"/>
              </w:rPr>
            </w:pPr>
            <w:r>
              <w:rPr>
                <w:sz w:val="19"/>
              </w:rPr>
              <w:t>24 Jun 1999</w:t>
            </w:r>
          </w:p>
        </w:tc>
        <w:tc>
          <w:tcPr>
            <w:tcW w:w="2551" w:type="dxa"/>
          </w:tcPr>
          <w:p>
            <w:pPr>
              <w:pStyle w:val="nTable"/>
              <w:spacing w:after="40"/>
              <w:rPr>
                <w:sz w:val="19"/>
              </w:rPr>
            </w:pPr>
            <w:r>
              <w:rPr>
                <w:sz w:val="19"/>
              </w:rPr>
              <w:t xml:space="preserve">Proclaimed 16 Oct 1999 (see section 2 and </w:t>
            </w:r>
            <w:r>
              <w:rPr>
                <w:i/>
                <w:sz w:val="19"/>
              </w:rPr>
              <w:t>Gazette</w:t>
            </w:r>
            <w:r>
              <w:rPr>
                <w:sz w:val="19"/>
              </w:rPr>
              <w:t xml:space="preserve"> 15 Oct 1999 p.4865)</w:t>
            </w:r>
          </w:p>
        </w:tc>
      </w:tr>
      <w:tr>
        <w:trPr>
          <w:cantSplit/>
        </w:trPr>
        <w:tc>
          <w:tcPr>
            <w:tcW w:w="2268" w:type="dxa"/>
          </w:tcPr>
          <w:p>
            <w:pPr>
              <w:pStyle w:val="nTable"/>
              <w:spacing w:after="40"/>
              <w:ind w:right="113"/>
              <w:rPr>
                <w:sz w:val="19"/>
              </w:rPr>
            </w:pPr>
            <w:r>
              <w:rPr>
                <w:i/>
                <w:sz w:val="19"/>
              </w:rPr>
              <w:t>Statutes (Repeals and Minor Amendments) Act 2000</w:t>
            </w:r>
            <w:r>
              <w:rPr>
                <w:sz w:val="19"/>
              </w:rPr>
              <w:t>, section 30</w:t>
            </w:r>
          </w:p>
        </w:tc>
        <w:tc>
          <w:tcPr>
            <w:tcW w:w="1134" w:type="dxa"/>
          </w:tcPr>
          <w:p>
            <w:pPr>
              <w:pStyle w:val="nTable"/>
              <w:spacing w:after="40"/>
              <w:rPr>
                <w:sz w:val="19"/>
              </w:rPr>
            </w:pPr>
            <w:r>
              <w:rPr>
                <w:sz w:val="19"/>
              </w:rPr>
              <w:t>24 of 2000 (This amendment did not come into operation because of an error in the reference to the provision to be amended)</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section 2)</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16</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99</w:t>
            </w:r>
            <w:r>
              <w:rPr>
                <w:rFonts w:ascii="Times" w:hAnsi="Times"/>
                <w:sz w:val="19"/>
                <w:vertAlign w:val="superscript"/>
              </w:rPr>
              <w:t> 14</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Borders>
              <w:bottom w:val="single" w:sz="8" w:space="0" w:color="auto"/>
            </w:tcBorders>
          </w:tcPr>
          <w:p>
            <w:pPr>
              <w:pStyle w:val="nTable"/>
              <w:spacing w:after="40"/>
              <w:ind w:right="113"/>
              <w:rPr>
                <w:rFonts w:ascii="Times" w:hAnsi="Times"/>
                <w:i/>
                <w:iCs/>
                <w:sz w:val="19"/>
              </w:rPr>
            </w:pPr>
            <w:r>
              <w:rPr>
                <w:rFonts w:ascii="Times" w:hAnsi="Times"/>
                <w:i/>
                <w:iCs/>
                <w:snapToGrid w:val="0"/>
                <w:sz w:val="19"/>
                <w:lang w:val="en-US"/>
              </w:rPr>
              <w:t>Planning and Development (Consequential and Transitional Provisions) Act 2005</w:t>
            </w:r>
            <w:r>
              <w:rPr>
                <w:rFonts w:ascii="Times" w:hAnsi="Times"/>
                <w:sz w:val="19"/>
              </w:rPr>
              <w:t xml:space="preserve"> s. 15</w:t>
            </w:r>
          </w:p>
        </w:tc>
        <w:tc>
          <w:tcPr>
            <w:tcW w:w="1134" w:type="dxa"/>
            <w:tcBorders>
              <w:bottom w:val="single" w:sz="8" w:space="0" w:color="auto"/>
            </w:tcBorders>
          </w:tcPr>
          <w:p>
            <w:pPr>
              <w:pStyle w:val="nTable"/>
              <w:spacing w:after="40"/>
              <w:rPr>
                <w:rFonts w:ascii="Times" w:hAnsi="Times"/>
                <w:sz w:val="19"/>
              </w:rPr>
            </w:pPr>
            <w:r>
              <w:rPr>
                <w:rFonts w:ascii="Times" w:hAnsi="Times"/>
                <w:snapToGrid w:val="0"/>
                <w:sz w:val="19"/>
                <w:lang w:val="en-US"/>
              </w:rPr>
              <w:t>38 of 2005</w:t>
            </w:r>
          </w:p>
        </w:tc>
        <w:tc>
          <w:tcPr>
            <w:tcW w:w="1134" w:type="dxa"/>
            <w:tcBorders>
              <w:bottom w:val="single" w:sz="8" w:space="0" w:color="auto"/>
            </w:tcBorders>
          </w:tcPr>
          <w:p>
            <w:pPr>
              <w:pStyle w:val="nTable"/>
              <w:spacing w:after="40"/>
              <w:rPr>
                <w:rFonts w:ascii="Times" w:hAnsi="Times"/>
                <w:sz w:val="19"/>
              </w:rPr>
            </w:pPr>
            <w:r>
              <w:rPr>
                <w:rFonts w:ascii="Times" w:hAnsi="Times"/>
                <w:sz w:val="19"/>
              </w:rPr>
              <w:t>12 Dec 2005</w:t>
            </w:r>
          </w:p>
        </w:tc>
        <w:tc>
          <w:tcPr>
            <w:tcW w:w="2551" w:type="dxa"/>
            <w:tcBorders>
              <w:bottom w:val="single" w:sz="8" w:space="0" w:color="auto"/>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8" w:name="_Toc7405065"/>
      <w:bookmarkStart w:id="269" w:name="_Toc131411248"/>
      <w:r>
        <w:t>Provisions that have not come into operation</w:t>
      </w:r>
      <w:bookmarkEnd w:id="268"/>
      <w:bookmarkEnd w:id="269"/>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3"/>
      </w:tblGrid>
      <w:tr>
        <w:trPr>
          <w:tblHeader/>
        </w:trPr>
        <w:tc>
          <w:tcPr>
            <w:tcW w:w="2273" w:type="dxa"/>
            <w:tcBorders>
              <w:top w:val="single" w:sz="4" w:space="0" w:color="auto"/>
            </w:tcBorders>
          </w:tcPr>
          <w:p>
            <w:pPr>
              <w:pStyle w:val="nTable"/>
              <w:rPr>
                <w:b/>
                <w:sz w:val="19"/>
              </w:rPr>
            </w:pPr>
            <w:r>
              <w:rPr>
                <w:b/>
                <w:sz w:val="19"/>
              </w:rPr>
              <w:t>Short title</w:t>
            </w:r>
          </w:p>
        </w:tc>
        <w:tc>
          <w:tcPr>
            <w:tcW w:w="1135" w:type="dxa"/>
            <w:tcBorders>
              <w:top w:val="single" w:sz="4" w:space="0" w:color="auto"/>
            </w:tcBorders>
          </w:tcPr>
          <w:p>
            <w:pPr>
              <w:pStyle w:val="nTable"/>
              <w:rPr>
                <w:b/>
                <w:sz w:val="19"/>
              </w:rPr>
            </w:pPr>
            <w:r>
              <w:rPr>
                <w:b/>
                <w:sz w:val="19"/>
              </w:rPr>
              <w:t>Number and Year</w:t>
            </w:r>
          </w:p>
        </w:tc>
        <w:tc>
          <w:tcPr>
            <w:tcW w:w="1135" w:type="dxa"/>
            <w:tcBorders>
              <w:top w:val="single" w:sz="4" w:space="0" w:color="auto"/>
            </w:tcBorders>
          </w:tcPr>
          <w:p>
            <w:pPr>
              <w:pStyle w:val="nTable"/>
              <w:rPr>
                <w:b/>
                <w:sz w:val="19"/>
              </w:rPr>
            </w:pPr>
            <w:r>
              <w:rPr>
                <w:b/>
                <w:sz w:val="19"/>
              </w:rPr>
              <w:t>Assent</w:t>
            </w:r>
          </w:p>
        </w:tc>
        <w:tc>
          <w:tcPr>
            <w:tcW w:w="2553" w:type="dxa"/>
            <w:tcBorders>
              <w:top w:val="single" w:sz="4" w:space="0" w:color="auto"/>
            </w:tcBorders>
          </w:tcPr>
          <w:p>
            <w:pPr>
              <w:pStyle w:val="nTable"/>
              <w:rPr>
                <w:b/>
                <w:sz w:val="19"/>
              </w:rPr>
            </w:pPr>
            <w:r>
              <w:rPr>
                <w:b/>
                <w:sz w:val="19"/>
              </w:rPr>
              <w:t>Commencement</w:t>
            </w:r>
          </w:p>
        </w:tc>
      </w:tr>
      <w:tr>
        <w:tc>
          <w:tcPr>
            <w:tcW w:w="2273" w:type="dxa"/>
            <w:tcBorders>
              <w:top w:val="single" w:sz="4" w:space="0" w:color="auto"/>
            </w:tcBorders>
          </w:tcPr>
          <w:p>
            <w:pPr>
              <w:pStyle w:val="nTable"/>
              <w:spacing w:before="100"/>
              <w:rPr>
                <w:i/>
                <w:sz w:val="19"/>
                <w:vertAlign w:val="superscript"/>
              </w:rPr>
            </w:pPr>
            <w:r>
              <w:rPr>
                <w:i/>
                <w:sz w:val="19"/>
              </w:rPr>
              <w:t>Petroleum Safety Act </w:t>
            </w:r>
            <w:r>
              <w:rPr>
                <w:sz w:val="19"/>
              </w:rPr>
              <w:t>1999 s. 92 </w:t>
            </w:r>
            <w:r>
              <w:rPr>
                <w:sz w:val="19"/>
                <w:vertAlign w:val="superscript"/>
              </w:rPr>
              <w:t>11</w:t>
            </w:r>
          </w:p>
        </w:tc>
        <w:tc>
          <w:tcPr>
            <w:tcW w:w="1135" w:type="dxa"/>
            <w:tcBorders>
              <w:top w:val="single" w:sz="4" w:space="0" w:color="auto"/>
            </w:tcBorders>
          </w:tcPr>
          <w:p>
            <w:pPr>
              <w:pStyle w:val="nTable"/>
              <w:spacing w:before="100"/>
              <w:rPr>
                <w:sz w:val="19"/>
              </w:rPr>
            </w:pPr>
            <w:r>
              <w:rPr>
                <w:sz w:val="19"/>
              </w:rPr>
              <w:t>19 of 1999</w:t>
            </w:r>
          </w:p>
        </w:tc>
        <w:tc>
          <w:tcPr>
            <w:tcW w:w="1135" w:type="dxa"/>
            <w:tcBorders>
              <w:top w:val="single" w:sz="4" w:space="0" w:color="auto"/>
            </w:tcBorders>
          </w:tcPr>
          <w:p>
            <w:pPr>
              <w:pStyle w:val="nTable"/>
              <w:spacing w:before="100"/>
              <w:rPr>
                <w:sz w:val="19"/>
              </w:rPr>
            </w:pPr>
            <w:r>
              <w:rPr>
                <w:sz w:val="19"/>
              </w:rPr>
              <w:t>21 Jun 1999</w:t>
            </w:r>
          </w:p>
        </w:tc>
        <w:tc>
          <w:tcPr>
            <w:tcW w:w="2553" w:type="dxa"/>
            <w:tcBorders>
              <w:top w:val="single" w:sz="4" w:space="0" w:color="auto"/>
            </w:tcBorders>
          </w:tcPr>
          <w:p>
            <w:pPr>
              <w:pStyle w:val="nTable"/>
              <w:spacing w:before="100"/>
              <w:rPr>
                <w:sz w:val="19"/>
              </w:rPr>
            </w:pPr>
            <w:r>
              <w:rPr>
                <w:sz w:val="19"/>
              </w:rPr>
              <w:t>To be proclaimed</w:t>
            </w:r>
          </w:p>
        </w:tc>
      </w:tr>
      <w:tr>
        <w:tc>
          <w:tcPr>
            <w:tcW w:w="2273" w:type="dxa"/>
          </w:tcPr>
          <w:p>
            <w:pPr>
              <w:pStyle w:val="nTable"/>
              <w:spacing w:before="100"/>
              <w:rPr>
                <w:i/>
                <w:sz w:val="19"/>
                <w:vertAlign w:val="superscript"/>
              </w:rPr>
            </w:pPr>
            <w:r>
              <w:rPr>
                <w:i/>
                <w:snapToGrid w:val="0"/>
              </w:rPr>
              <w:t xml:space="preserve">Native Title (State Provisions) Act </w:t>
            </w:r>
            <w:r>
              <w:rPr>
                <w:snapToGrid w:val="0"/>
              </w:rPr>
              <w:t xml:space="preserve">1999 s. 7.3 </w:t>
            </w:r>
            <w:r>
              <w:rPr>
                <w:snapToGrid w:val="0"/>
                <w:vertAlign w:val="superscript"/>
              </w:rPr>
              <w:t>12</w:t>
            </w:r>
          </w:p>
        </w:tc>
        <w:tc>
          <w:tcPr>
            <w:tcW w:w="1135" w:type="dxa"/>
          </w:tcPr>
          <w:p>
            <w:pPr>
              <w:pStyle w:val="nTable"/>
              <w:spacing w:before="100"/>
              <w:rPr>
                <w:sz w:val="19"/>
              </w:rPr>
            </w:pPr>
            <w:r>
              <w:rPr>
                <w:sz w:val="19"/>
              </w:rPr>
              <w:t>60 of 1999</w:t>
            </w:r>
          </w:p>
        </w:tc>
        <w:tc>
          <w:tcPr>
            <w:tcW w:w="1135" w:type="dxa"/>
          </w:tcPr>
          <w:p>
            <w:pPr>
              <w:pStyle w:val="nTable"/>
              <w:spacing w:before="100"/>
              <w:rPr>
                <w:sz w:val="19"/>
              </w:rPr>
            </w:pPr>
            <w:r>
              <w:rPr>
                <w:sz w:val="19"/>
              </w:rPr>
              <w:t>10 Jan 2000</w:t>
            </w:r>
          </w:p>
        </w:tc>
        <w:tc>
          <w:tcPr>
            <w:tcW w:w="2553" w:type="dxa"/>
          </w:tcPr>
          <w:p>
            <w:pPr>
              <w:pStyle w:val="nTable"/>
              <w:spacing w:before="100"/>
              <w:rPr>
                <w:sz w:val="19"/>
              </w:rPr>
            </w:pPr>
            <w:r>
              <w:rPr>
                <w:sz w:val="19"/>
              </w:rPr>
              <w:t>s. 7.3 operative on earliest of commencement of Part 2 (except s. 2.2), Part 3 (except s. 3.1) and Part 4</w:t>
            </w:r>
          </w:p>
        </w:tc>
      </w:tr>
      <w:tr>
        <w:tc>
          <w:tcPr>
            <w:tcW w:w="2273" w:type="dxa"/>
          </w:tcPr>
          <w:p>
            <w:pPr>
              <w:pStyle w:val="nTable"/>
              <w:spacing w:before="100"/>
              <w:rPr>
                <w:iCs/>
                <w:sz w:val="19"/>
                <w:vertAlign w:val="superscript"/>
              </w:rPr>
            </w:pPr>
            <w:r>
              <w:rPr>
                <w:i/>
                <w:snapToGrid w:val="0"/>
              </w:rPr>
              <w:t>Dangerous</w:t>
            </w:r>
            <w:r>
              <w:rPr>
                <w:i/>
                <w:sz w:val="19"/>
              </w:rPr>
              <w:t xml:space="preserve"> Goods Safety Act 2004</w:t>
            </w:r>
            <w:r>
              <w:rPr>
                <w:iCs/>
                <w:sz w:val="19"/>
              </w:rPr>
              <w:t xml:space="preserve"> s. 70 </w:t>
            </w:r>
            <w:r>
              <w:rPr>
                <w:iCs/>
                <w:sz w:val="19"/>
                <w:vertAlign w:val="superscript"/>
              </w:rPr>
              <w:t>13</w:t>
            </w:r>
          </w:p>
        </w:tc>
        <w:tc>
          <w:tcPr>
            <w:tcW w:w="1135" w:type="dxa"/>
          </w:tcPr>
          <w:p>
            <w:pPr>
              <w:pStyle w:val="nTable"/>
              <w:spacing w:before="100"/>
            </w:pPr>
            <w:r>
              <w:t>7 of 2004</w:t>
            </w:r>
          </w:p>
        </w:tc>
        <w:tc>
          <w:tcPr>
            <w:tcW w:w="1135" w:type="dxa"/>
          </w:tcPr>
          <w:p>
            <w:pPr>
              <w:pStyle w:val="nTable"/>
              <w:spacing w:before="100"/>
            </w:pPr>
            <w:r>
              <w:rPr>
                <w:sz w:val="19"/>
              </w:rPr>
              <w:t>10</w:t>
            </w:r>
            <w:r>
              <w:t> Jun 2004</w:t>
            </w:r>
          </w:p>
        </w:tc>
        <w:tc>
          <w:tcPr>
            <w:tcW w:w="2553" w:type="dxa"/>
          </w:tcPr>
          <w:p>
            <w:pPr>
              <w:pStyle w:val="nTable"/>
              <w:spacing w:before="100"/>
            </w:pPr>
            <w:r>
              <w:t>To be proclaimed (see s. 2)</w:t>
            </w:r>
          </w:p>
        </w:tc>
      </w:tr>
      <w:tr>
        <w:tc>
          <w:tcPr>
            <w:tcW w:w="2273" w:type="dxa"/>
            <w:tcBorders>
              <w:bottom w:val="single" w:sz="4" w:space="0" w:color="auto"/>
            </w:tcBorders>
          </w:tcPr>
          <w:p>
            <w:pPr>
              <w:pStyle w:val="nTable"/>
              <w:spacing w:before="100"/>
              <w:rPr>
                <w:iCs/>
                <w:snapToGrid w:val="0"/>
              </w:rPr>
            </w:pPr>
            <w:r>
              <w:rPr>
                <w:i/>
                <w:snapToGrid w:val="0"/>
              </w:rPr>
              <w:t>Petroleum Legislation Amendment and Repeal Act 2005</w:t>
            </w:r>
            <w:r>
              <w:rPr>
                <w:iCs/>
                <w:snapToGrid w:val="0"/>
              </w:rPr>
              <w:t xml:space="preserve"> Pt. 3</w:t>
            </w:r>
            <w:r>
              <w:rPr>
                <w:iCs/>
                <w:snapToGrid w:val="0"/>
                <w:vertAlign w:val="superscript"/>
              </w:rPr>
              <w:t> 15</w:t>
            </w:r>
          </w:p>
        </w:tc>
        <w:tc>
          <w:tcPr>
            <w:tcW w:w="1135" w:type="dxa"/>
            <w:tcBorders>
              <w:bottom w:val="single" w:sz="4" w:space="0" w:color="auto"/>
            </w:tcBorders>
          </w:tcPr>
          <w:p>
            <w:pPr>
              <w:pStyle w:val="nTable"/>
              <w:spacing w:before="100"/>
            </w:pPr>
            <w:r>
              <w:t>13 of 2005</w:t>
            </w:r>
          </w:p>
        </w:tc>
        <w:tc>
          <w:tcPr>
            <w:tcW w:w="1135" w:type="dxa"/>
            <w:tcBorders>
              <w:bottom w:val="single" w:sz="4" w:space="0" w:color="auto"/>
            </w:tcBorders>
          </w:tcPr>
          <w:p>
            <w:pPr>
              <w:pStyle w:val="nTable"/>
              <w:spacing w:before="100"/>
              <w:rPr>
                <w:sz w:val="19"/>
              </w:rPr>
            </w:pPr>
            <w:r>
              <w:rPr>
                <w:sz w:val="19"/>
              </w:rPr>
              <w:t>1 Sep 2005</w:t>
            </w:r>
          </w:p>
        </w:tc>
        <w:tc>
          <w:tcPr>
            <w:tcW w:w="2553" w:type="dxa"/>
            <w:tcBorders>
              <w:bottom w:val="single" w:sz="4" w:space="0" w:color="auto"/>
            </w:tcBorders>
          </w:tcPr>
          <w:p>
            <w:pPr>
              <w:pStyle w:val="nTable"/>
              <w:spacing w:before="100"/>
            </w:pPr>
            <w:r>
              <w:t>To be proclaimed (see s. 2)</w:t>
            </w:r>
          </w:p>
        </w:tc>
      </w:tr>
    </w:tbl>
    <w:p>
      <w:pPr>
        <w:pStyle w:val="nSubsection"/>
        <w:rPr>
          <w:snapToGrid w:val="0"/>
        </w:rPr>
      </w:pPr>
      <w:r>
        <w:rPr>
          <w:snapToGrid w:val="0"/>
        </w:rPr>
        <w:t>NB.</w:t>
      </w:r>
      <w:r>
        <w:rPr>
          <w:snapToGrid w:val="0"/>
        </w:rPr>
        <w:tab/>
        <w:t xml:space="preserve">The </w:t>
      </w:r>
      <w:r>
        <w:rPr>
          <w:i/>
          <w:snapToGrid w:val="0"/>
        </w:rPr>
        <w:t>Petroleum Pipelines Act 1969</w:t>
      </w:r>
      <w:r>
        <w:rPr>
          <w:snapToGrid w:val="0"/>
        </w:rPr>
        <w:t xml:space="preserve"> is affected by the </w:t>
      </w:r>
      <w:r>
        <w:rPr>
          <w:i/>
          <w:snapToGrid w:val="0"/>
        </w:rPr>
        <w:t>Dampier to Bunbury Pipeline Act 1997</w:t>
      </w:r>
      <w:r>
        <w:rPr>
          <w:snapToGrid w:val="0"/>
        </w:rPr>
        <w:t xml:space="preserve"> (No. 53 of 1997), Division 8 of Schedule 4 which reads as follows —</w:t>
      </w:r>
    </w:p>
    <w:p>
      <w:pPr>
        <w:pStyle w:val="MiscOpen"/>
        <w:rPr>
          <w:snapToGrid w:val="0"/>
        </w:rPr>
      </w:pPr>
      <w:r>
        <w:rPr>
          <w:snapToGrid w:val="0"/>
        </w:rPr>
        <w:t>“</w:t>
      </w:r>
    </w:p>
    <w:p>
      <w:pPr>
        <w:pStyle w:val="nzHeading5"/>
        <w:rPr>
          <w:snapToGrid w:val="0"/>
        </w:rPr>
      </w:pPr>
      <w:r>
        <w:rPr>
          <w:snapToGrid w:val="0"/>
        </w:rPr>
        <w:t>38.</w:t>
      </w:r>
      <w:r>
        <w:rPr>
          <w:snapToGrid w:val="0"/>
        </w:rPr>
        <w:tab/>
        <w:t>Act applies to DBNGP</w:t>
      </w:r>
    </w:p>
    <w:p>
      <w:pPr>
        <w:pStyle w:val="nzSubsection"/>
        <w:rPr>
          <w:snapToGrid w:val="0"/>
        </w:rPr>
      </w:pPr>
      <w:r>
        <w:rPr>
          <w:snapToGrid w:val="0"/>
        </w:rPr>
        <w:tab/>
        <w:t>(1)</w:t>
      </w:r>
      <w:r>
        <w:rPr>
          <w:snapToGrid w:val="0"/>
        </w:rPr>
        <w:tab/>
        <w:t>Any pipeline in the privatised DBNGP system is a pipeline for the purposes of the principal Act despite the exceptions to the definition of “pipeline” in that Act.</w:t>
      </w:r>
    </w:p>
    <w:p>
      <w:pPr>
        <w:pStyle w:val="nzSubsection"/>
        <w:keepNext/>
        <w:rPr>
          <w:snapToGrid w:val="0"/>
        </w:rPr>
      </w:pPr>
      <w:r>
        <w:rPr>
          <w:snapToGrid w:val="0"/>
        </w:rPr>
        <w:tab/>
        <w:t>(2)</w:t>
      </w:r>
      <w:r>
        <w:rPr>
          <w:snapToGrid w:val="0"/>
        </w:rPr>
        <w:tab/>
        <w:t xml:space="preserve">At the pipeline transfer time — </w:t>
      </w:r>
    </w:p>
    <w:p>
      <w:pPr>
        <w:pStyle w:val="nzIndenta"/>
        <w:rPr>
          <w:snapToGrid w:val="0"/>
        </w:rPr>
      </w:pPr>
      <w:r>
        <w:rPr>
          <w:snapToGrid w:val="0"/>
        </w:rPr>
        <w:tab/>
        <w:t>(a)</w:t>
      </w:r>
      <w:r>
        <w:rPr>
          <w:snapToGrid w:val="0"/>
        </w:rPr>
        <w:tab/>
        <w: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t>
      </w:r>
    </w:p>
    <w:p>
      <w:pPr>
        <w:pStyle w:val="nz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nz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nzHeading5"/>
        <w:rPr>
          <w:snapToGrid w:val="0"/>
        </w:rPr>
      </w:pPr>
      <w:r>
        <w:rPr>
          <w:snapToGrid w:val="0"/>
        </w:rPr>
        <w:t>39.</w:t>
      </w:r>
      <w:r>
        <w:rPr>
          <w:snapToGrid w:val="0"/>
        </w:rPr>
        <w:tab/>
        <w:t>Section 7 (power of Minister to authorise entry)</w:t>
      </w:r>
    </w:p>
    <w:p>
      <w:pPr>
        <w:pStyle w:val="nz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nzHeading5"/>
        <w:rPr>
          <w:snapToGrid w:val="0"/>
        </w:rPr>
      </w:pPr>
      <w:r>
        <w:rPr>
          <w:snapToGrid w:val="0"/>
        </w:rPr>
        <w:t>40.</w:t>
      </w:r>
      <w:r>
        <w:rPr>
          <w:snapToGrid w:val="0"/>
        </w:rPr>
        <w:tab/>
        <w:t>Section 8 (application for licence)</w:t>
      </w:r>
    </w:p>
    <w:p>
      <w:pPr>
        <w:pStyle w:val="nz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nzHeading5"/>
        <w:rPr>
          <w:snapToGrid w:val="0"/>
        </w:rPr>
      </w:pPr>
      <w:r>
        <w:rPr>
          <w:snapToGrid w:val="0"/>
        </w:rPr>
        <w:t>41.</w:t>
      </w:r>
      <w:r>
        <w:rPr>
          <w:snapToGrid w:val="0"/>
        </w:rPr>
        <w:tab/>
        <w:t>Section 12 (conditions of licence)</w:t>
      </w:r>
    </w:p>
    <w:p>
      <w:pPr>
        <w:pStyle w:val="nzSubsection"/>
        <w:rPr>
          <w:snapToGrid w:val="0"/>
        </w:rPr>
      </w:pPr>
      <w:r>
        <w:rPr>
          <w:snapToGrid w:val="0"/>
        </w:rPr>
        <w:tab/>
      </w:r>
      <w:r>
        <w:rPr>
          <w:snapToGrid w:val="0"/>
        </w:rPr>
        <w:tab/>
        <w:t xml:space="preserve">For the purposes of section 12(3) of the principal Act — </w:t>
      </w:r>
    </w:p>
    <w:p>
      <w:pPr>
        <w:pStyle w:val="nzIndenta"/>
        <w:rPr>
          <w:snapToGrid w:val="0"/>
        </w:rPr>
      </w:pPr>
      <w:r>
        <w:rPr>
          <w:snapToGrid w:val="0"/>
        </w:rPr>
        <w:tab/>
        <w:t>(a)</w:t>
      </w:r>
      <w:r>
        <w:rPr>
          <w:snapToGrid w:val="0"/>
        </w:rPr>
        <w:tab/>
        <w:t>rights conferred under section 34 of this Act in respect of land are capable of being a sufficient authority over the land; and</w:t>
      </w:r>
    </w:p>
    <w:p>
      <w:pPr>
        <w:pStyle w:val="nz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nzHeading5"/>
        <w:rPr>
          <w:snapToGrid w:val="0"/>
        </w:rPr>
      </w:pPr>
      <w:r>
        <w:rPr>
          <w:snapToGrid w:val="0"/>
        </w:rPr>
        <w:t>42.</w:t>
      </w:r>
      <w:r>
        <w:rPr>
          <w:snapToGrid w:val="0"/>
        </w:rPr>
        <w:tab/>
        <w:t>Section 21 (access provisions)</w:t>
      </w:r>
    </w:p>
    <w:p>
      <w:pPr>
        <w:pStyle w:val="nzSubsection"/>
        <w:rPr>
          <w:snapToGrid w:val="0"/>
        </w:rPr>
      </w:pPr>
      <w:r>
        <w:rPr>
          <w:snapToGrid w:val="0"/>
        </w:rPr>
        <w:tab/>
      </w:r>
      <w:r>
        <w:rPr>
          <w:snapToGrid w:val="0"/>
        </w:rPr>
        <w:tab/>
        <w:t>Section 21 of the principal Act does not apply to the privatised DBNGP system.</w:t>
      </w:r>
    </w:p>
    <w:p>
      <w:pPr>
        <w:pStyle w:val="nzHeading5"/>
        <w:rPr>
          <w:snapToGrid w:val="0"/>
        </w:rPr>
      </w:pPr>
      <w:r>
        <w:rPr>
          <w:snapToGrid w:val="0"/>
        </w:rPr>
        <w:t>43.</w:t>
      </w:r>
      <w:r>
        <w:rPr>
          <w:snapToGrid w:val="0"/>
        </w:rPr>
        <w:tab/>
        <w:t>Section 27 (removal of property)</w:t>
      </w:r>
    </w:p>
    <w:p>
      <w:pPr>
        <w:pStyle w:val="nzSubsection"/>
        <w:rPr>
          <w:snapToGrid w:val="0"/>
        </w:rPr>
      </w:pPr>
      <w:r>
        <w:rPr>
          <w:snapToGrid w:val="0"/>
        </w:rPr>
        <w:tab/>
        <w:t>(1)</w:t>
      </w:r>
      <w:r>
        <w:rPr>
          <w:snapToGrid w:val="0"/>
        </w:rPr>
        <w:tab/>
        <w:t xml:space="preserve">For the purpose of enabling a direction to be given in an instrument under section 27 of the principal Act to a licence holder, property of the licence holder or a nominee of the licence holder approved under section 34(3) of this Act that — </w:t>
      </w:r>
    </w:p>
    <w:p>
      <w:pPr>
        <w:pStyle w:val="nz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nzIndenta"/>
        <w:rPr>
          <w:snapToGrid w:val="0"/>
        </w:rPr>
      </w:pPr>
      <w:r>
        <w:rPr>
          <w:snapToGrid w:val="0"/>
        </w:rPr>
        <w:tab/>
        <w:t>(b)</w:t>
      </w:r>
      <w:r>
        <w:rPr>
          <w:snapToGrid w:val="0"/>
        </w:rPr>
        <w:tab/>
        <w:t>is in the DBNGP corridor as defined in section 27 of this Act,</w:t>
      </w:r>
    </w:p>
    <w:p>
      <w:pPr>
        <w:pStyle w:val="nz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nzSubsection"/>
        <w:rPr>
          <w:snapToGrid w:val="0"/>
        </w:rPr>
      </w:pPr>
      <w:r>
        <w:rPr>
          <w:snapToGrid w:val="0"/>
        </w:rPr>
        <w:tab/>
        <w:t>(2)</w:t>
      </w:r>
      <w:r>
        <w:rPr>
          <w:snapToGrid w:val="0"/>
        </w:rPr>
        <w:tab/>
        <w:t xml:space="preserve">In this clause — </w:t>
      </w:r>
    </w:p>
    <w:p>
      <w:pPr>
        <w:pStyle w:val="nzDefstart"/>
      </w:pPr>
      <w:r>
        <w:tab/>
      </w:r>
      <w:r>
        <w:rPr>
          <w:b/>
        </w:rPr>
        <w:t>“</w:t>
      </w:r>
      <w:r>
        <w:rPr>
          <w:rStyle w:val="CharDefText"/>
        </w:rPr>
        <w:t>licence holder</w:t>
      </w:r>
      <w:r>
        <w:rPr>
          <w:b/>
        </w:rPr>
        <w:t>”</w:t>
      </w:r>
      <w:r>
        <w:t xml:space="preserve"> means a person who is or was the holder of a licence under the principal Act;</w:t>
      </w:r>
    </w:p>
    <w:p>
      <w:pPr>
        <w:pStyle w:val="nzDefstart"/>
      </w:pPr>
      <w:r>
        <w:tab/>
      </w:r>
      <w:r>
        <w:rPr>
          <w:b/>
        </w:rPr>
        <w:t>“</w:t>
      </w:r>
      <w:r>
        <w:rPr>
          <w:rStyle w:val="CharDefText"/>
        </w:rPr>
        <w:t>property holder</w:t>
      </w:r>
      <w:r>
        <w:rPr>
          <w:b/>
        </w:rPr>
        <w:t>”</w:t>
      </w:r>
      <w:r>
        <w:t xml:space="preserve"> means the licence holder or a nominee of the licence holder approved under section 34(3) of this Act.</w:t>
      </w:r>
    </w:p>
    <w:p>
      <w:pPr>
        <w:pStyle w:val="nzHeading5"/>
        <w:rPr>
          <w:snapToGrid w:val="0"/>
        </w:rPr>
      </w:pPr>
      <w:r>
        <w:rPr>
          <w:snapToGrid w:val="0"/>
        </w:rPr>
        <w:t>44.</w:t>
      </w:r>
      <w:r>
        <w:rPr>
          <w:snapToGrid w:val="0"/>
        </w:rPr>
        <w:tab/>
        <w:t>Section 34 (pipeline standards, specifications, and conditions)</w:t>
      </w:r>
    </w:p>
    <w:p>
      <w:pPr>
        <w:pStyle w:val="nzSubsection"/>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nzSubsection"/>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MiscClose"/>
        <w:rPr>
          <w:snapToGrid w:val="0"/>
        </w:rPr>
      </w:pPr>
      <w:r>
        <w:rPr>
          <w:snapToGrid w:val="0"/>
        </w:rPr>
        <w:t>”.</w:t>
      </w:r>
    </w:p>
    <w:p>
      <w:pPr>
        <w:pStyle w:val="nSubsection"/>
        <w:keepNext/>
        <w:rPr>
          <w:snapToGrid w:val="0"/>
        </w:rPr>
      </w:pPr>
      <w:r>
        <w:rPr>
          <w:snapToGrid w:val="0"/>
          <w:vertAlign w:val="superscript"/>
        </w:rPr>
        <w:t>2</w:t>
      </w:r>
      <w:r>
        <w:rPr>
          <w:snapToGrid w:val="0"/>
        </w:rPr>
        <w:tab/>
        <w:t xml:space="preserve">Section 122(2) of the </w:t>
      </w:r>
      <w:r>
        <w:rPr>
          <w:i/>
          <w:snapToGrid w:val="0"/>
        </w:rPr>
        <w:t>Acts Amendment (Petroleum) Act 1990</w:t>
      </w:r>
      <w:r>
        <w:rPr>
          <w:snapToGrid w:val="0"/>
        </w:rPr>
        <w:t xml:space="preserve"> (No. 12 of 1990) reads as follows — </w:t>
      </w:r>
    </w:p>
    <w:p>
      <w:pPr>
        <w:pStyle w:val="MiscOpen"/>
        <w:rPr>
          <w:snapToGrid w:val="0"/>
        </w:rPr>
      </w:pPr>
      <w:r>
        <w:rPr>
          <w:snapToGrid w:val="0"/>
        </w:rPr>
        <w:t>“</w:t>
      </w:r>
    </w:p>
    <w:p>
      <w:pPr>
        <w:pStyle w:val="nzSubsection"/>
        <w:keepNext/>
        <w:rPr>
          <w:snapToGrid w:val="0"/>
        </w:rPr>
      </w:pPr>
      <w:r>
        <w:rPr>
          <w:snapToGrid w:val="0"/>
        </w:rPr>
        <w:tab/>
        <w:t>(2)</w:t>
      </w:r>
      <w:r>
        <w:rPr>
          <w:snapToGrid w:val="0"/>
        </w:rPr>
        <w:tab/>
        <w:t>A declaration made under — </w:t>
      </w:r>
    </w:p>
    <w:p>
      <w:pPr>
        <w:pStyle w:val="nzIndenta"/>
        <w:rPr>
          <w:snapToGrid w:val="0"/>
        </w:rPr>
      </w:pPr>
      <w:r>
        <w:rPr>
          <w:snapToGrid w:val="0"/>
        </w:rPr>
        <w:tab/>
        <w:t>(a)</w:t>
      </w:r>
      <w:r>
        <w:rPr>
          <w:snapToGrid w:val="0"/>
        </w:rPr>
        <w:tab/>
        <w:t>section 5(1)(a) of the principal Act before its repeal and substitution by this section and in force immediately before the commencement of this section shall on that commencement be deemed to have been made under section 5(1)(a)(iii); or</w:t>
      </w:r>
    </w:p>
    <w:p>
      <w:pPr>
        <w:pStyle w:val="nzIndenta"/>
        <w:rPr>
          <w:snapToGrid w:val="0"/>
        </w:rPr>
      </w:pPr>
      <w:r>
        <w:rPr>
          <w:snapToGrid w:val="0"/>
        </w:rPr>
        <w:tab/>
        <w:t>(b)</w:t>
      </w:r>
      <w:r>
        <w:rPr>
          <w:snapToGrid w:val="0"/>
        </w:rPr>
        <w:tab/>
        <w:t>section 5(1)(b) of the principal Act before its repeal and substitution by this section and in force immediately before the commencement of this section shall on that commencement be deemed to have been made under section 5(1)(a)(ii),</w:t>
      </w:r>
    </w:p>
    <w:p>
      <w:pPr>
        <w:pStyle w:val="nzSubsection"/>
        <w:rPr>
          <w:snapToGrid w:val="0"/>
        </w:rPr>
      </w:pPr>
      <w:r>
        <w:rPr>
          <w:snapToGrid w:val="0"/>
        </w:rPr>
        <w:tab/>
      </w:r>
      <w:r>
        <w:rPr>
          <w:snapToGrid w:val="0"/>
        </w:rPr>
        <w:tab/>
        <w:t>of the principal Act as substituted by this section.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Section 139(2), (3) and (4) of the </w:t>
      </w:r>
      <w:r>
        <w:rPr>
          <w:i/>
          <w:snapToGrid w:val="0"/>
        </w:rPr>
        <w:t>Acts Amendment (Petroleum) Act 1990</w:t>
      </w:r>
      <w:r>
        <w:rPr>
          <w:snapToGrid w:val="0"/>
        </w:rPr>
        <w:t xml:space="preserve"> (No. 12 of 1990)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Section 44 of the principal Act as amended by this Act applies in relation to applications for approval of transfers of licences lodged after the commencement of this section.</w:t>
      </w:r>
    </w:p>
    <w:p>
      <w:pPr>
        <w:pStyle w:val="nzSubsection"/>
        <w:rPr>
          <w:snapToGrid w:val="0"/>
        </w:rPr>
      </w:pPr>
      <w:r>
        <w:rPr>
          <w:snapToGrid w:val="0"/>
        </w:rPr>
        <w:tab/>
        <w:t>(3)</w:t>
      </w:r>
      <w:r>
        <w:rPr>
          <w:snapToGrid w:val="0"/>
        </w:rPr>
        <w:tab/>
        <w:t>Notwithstanding the repeal of section 44 of the principal Act effected by subsection (1), that section continues to apply in relation to applications for approval of transfers of licences lodged before the commencement of this section.</w:t>
      </w:r>
    </w:p>
    <w:p>
      <w:pPr>
        <w:pStyle w:val="nzSubsection"/>
        <w:rPr>
          <w:snapToGrid w:val="0"/>
        </w:rPr>
      </w:pPr>
      <w:r>
        <w:rPr>
          <w:snapToGrid w:val="0"/>
        </w:rPr>
        <w:tab/>
        <w:t>(4)</w:t>
      </w:r>
      <w:r>
        <w:rPr>
          <w:snapToGrid w:val="0"/>
        </w:rPr>
        <w:tab/>
        <w:t>A transfer approved and registered under section 44 of the principal Act shall be deemed to have been approved and registered under section 44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Footnote no longer applicable.</w:t>
      </w:r>
    </w:p>
    <w:p>
      <w:pPr>
        <w:pStyle w:val="nSubsection"/>
        <w:rPr>
          <w:snapToGrid w:val="0"/>
        </w:rPr>
      </w:pPr>
      <w:r>
        <w:rPr>
          <w:snapToGrid w:val="0"/>
          <w:vertAlign w:val="superscript"/>
        </w:rPr>
        <w:t>6</w:t>
      </w:r>
      <w:r>
        <w:rPr>
          <w:snapToGrid w:val="0"/>
        </w:rPr>
        <w:tab/>
        <w:t xml:space="preserve">Section 141(2), (3), (4), (5), (6) and (7) of the </w:t>
      </w:r>
      <w:r>
        <w:rPr>
          <w:i/>
          <w:snapToGrid w:val="0"/>
        </w:rPr>
        <w:t>Acts Amendment (Petroleum) Act 1990</w:t>
      </w:r>
      <w:r>
        <w:rPr>
          <w:snapToGrid w:val="0"/>
        </w:rPr>
        <w:t xml:space="preserve"> (No. 12 of 1990)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Subject to this section, sections 47 and 47A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47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47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licence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licence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subsection 47A(1) of the principal Act as amended by this Act; and</w:t>
      </w:r>
    </w:p>
    <w:p>
      <w:pPr>
        <w:pStyle w:val="nzIndenta"/>
        <w:keepNext/>
        <w:rPr>
          <w:snapToGrid w:val="0"/>
        </w:rPr>
      </w:pPr>
      <w:r>
        <w:rPr>
          <w:snapToGrid w:val="0"/>
        </w:rPr>
        <w:tab/>
        <w:t>(c)</w:t>
      </w:r>
      <w:r>
        <w:rPr>
          <w:snapToGrid w:val="0"/>
        </w:rPr>
        <w:tab/>
        <w:t>that licence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licence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licence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47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47(4)(b)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47(4)(b) in relation to the application;</w:t>
      </w:r>
    </w:p>
    <w:p>
      <w:pPr>
        <w:pStyle w:val="nzIndenta"/>
        <w:rPr>
          <w:snapToGrid w:val="0"/>
        </w:rPr>
      </w:pPr>
      <w:r>
        <w:rPr>
          <w:snapToGrid w:val="0"/>
        </w:rPr>
        <w:tab/>
        <w:t>(b)</w:t>
      </w:r>
      <w:r>
        <w:rPr>
          <w:snapToGrid w:val="0"/>
        </w:rPr>
        <w:tab/>
        <w:t>the applicant may lodge an instrument for the purpose of section 47(4)(b);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47(13) of the principal Act, as amended by this Act, to have accompanied the application when the application was lodged.</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Section 148(2) of the </w:t>
      </w:r>
      <w:r>
        <w:rPr>
          <w:i/>
          <w:snapToGrid w:val="0"/>
        </w:rPr>
        <w:t>Acts Amendment (Petroleum) Act 1990</w:t>
      </w:r>
      <w:r>
        <w:rPr>
          <w:snapToGrid w:val="0"/>
        </w:rPr>
        <w:t xml:space="preserve"> (No. 12 of 1990)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Notwithstanding the amendment of section 55 of the principal Act by this section, neither a person who was the Principal Registrar within the meaning of the principal Act before the commencement of this section nor a person who acted under the direction or authority of that Principal Registrar before that commencement is liable to an action, suit or proceeding for or in respect of an act or matter in good faith done or omitted to be done in exercise or purported exercise of any power or authority conferred by Part IV of the principal Act.</w:t>
      </w:r>
    </w:p>
    <w:p>
      <w:pPr>
        <w:pStyle w:val="MiscClose"/>
        <w:rPr>
          <w:snapToGrid w:val="0"/>
        </w:rPr>
      </w:pPr>
      <w:r>
        <w:rPr>
          <w:snapToGrid w:val="0"/>
        </w:rPr>
        <w:t>”.</w:t>
      </w:r>
    </w:p>
    <w:p>
      <w:pPr>
        <w:pStyle w:val="nSubsection"/>
      </w:pPr>
      <w:r>
        <w:rPr>
          <w:vertAlign w:val="superscript"/>
        </w:rPr>
        <w:t>8</w:t>
      </w:r>
      <w:r>
        <w:tab/>
        <w:t>Now known as Director, Mining Registration Division.</w:t>
      </w:r>
    </w:p>
    <w:p>
      <w:pPr>
        <w:pStyle w:val="nSubsection"/>
      </w:pPr>
      <w:r>
        <w:rPr>
          <w:vertAlign w:val="superscript"/>
        </w:rPr>
        <w:t>9</w:t>
      </w:r>
      <w:r>
        <w:tab/>
        <w:t>Now known as Department of Minerals and Energy.</w:t>
      </w:r>
    </w:p>
    <w:p>
      <w:pPr>
        <w:pStyle w:val="nSubsection"/>
        <w:keepNext/>
      </w:pPr>
      <w:r>
        <w:rPr>
          <w:vertAlign w:val="superscript"/>
        </w:rPr>
        <w:t>10</w:t>
      </w:r>
      <w:r>
        <w:tab/>
        <w:t xml:space="preserve">Clause 3(2) of Part 5 of Schedule 1 of the </w:t>
      </w:r>
      <w:r>
        <w:rPr>
          <w:i/>
        </w:rPr>
        <w:t xml:space="preserve">Land (Titles and Traditional Usage) Act 1993 </w:t>
      </w:r>
      <w:r>
        <w:t>(No. 21 of 1993) reads as follows —</w:t>
      </w:r>
    </w:p>
    <w:p>
      <w:pPr>
        <w:pStyle w:val="MiscOpen"/>
      </w:pPr>
      <w:r>
        <w:t>“</w:t>
      </w:r>
    </w:p>
    <w:p>
      <w:pPr>
        <w:pStyle w:val="nzSubsection"/>
      </w:pPr>
      <w:r>
        <w:tab/>
        <w:t>(2)</w:t>
      </w:r>
      <w:r>
        <w:tab/>
        <w:t>Part IIA inserted by subsection (1) does not apply to an application for a licence made before the commencement of this section.</w:t>
      </w:r>
    </w:p>
    <w:p>
      <w:pPr>
        <w:pStyle w:val="nSubsection"/>
        <w:jc w:val="right"/>
        <w:rPr>
          <w:snapToGrid w:val="0"/>
          <w:vertAlign w:val="superscript"/>
        </w:rPr>
      </w:pPr>
      <w:r>
        <w:t>”.</w:t>
      </w:r>
    </w:p>
    <w:p>
      <w:pPr>
        <w:pStyle w:val="nSubsection"/>
        <w:rPr>
          <w:snapToGrid w:val="0"/>
        </w:rPr>
      </w:pPr>
      <w:r>
        <w:rPr>
          <w:snapToGrid w:val="0"/>
          <w:vertAlign w:val="superscript"/>
        </w:rPr>
        <w:t>11</w:t>
      </w:r>
      <w:r>
        <w:rPr>
          <w:snapToGrid w:val="0"/>
        </w:rPr>
        <w:tab/>
        <w:t xml:space="preserve">On the date as at which this compilation was prepared, the </w:t>
      </w:r>
      <w:r>
        <w:rPr>
          <w:i/>
        </w:rPr>
        <w:t>Petroleum Safety Act 1999</w:t>
      </w:r>
      <w:r>
        <w:t xml:space="preserve"> s. 92, which gives effect to Sch. 2, </w:t>
      </w:r>
      <w:r>
        <w:rPr>
          <w:snapToGrid w:val="0"/>
        </w:rPr>
        <w:t>had not come into operation.  It reads as follows:</w:t>
      </w:r>
    </w:p>
    <w:p>
      <w:pPr>
        <w:pStyle w:val="MiscOpen"/>
        <w:rPr>
          <w:snapToGrid w:val="0"/>
        </w:rPr>
      </w:pPr>
      <w:r>
        <w:rPr>
          <w:snapToGrid w:val="0"/>
        </w:rPr>
        <w:t>“</w:t>
      </w:r>
    </w:p>
    <w:p>
      <w:pPr>
        <w:pStyle w:val="nzHeading5"/>
        <w:spacing w:before="0"/>
        <w:ind w:right="578"/>
        <w:rPr>
          <w:snapToGrid w:val="0"/>
        </w:rPr>
      </w:pPr>
      <w:r>
        <w:rPr>
          <w:snapToGrid w:val="0"/>
        </w:rPr>
        <w:t>92.</w:t>
      </w:r>
      <w:r>
        <w:rPr>
          <w:snapToGrid w:val="0"/>
        </w:rPr>
        <w:tab/>
        <w:t>Consequential amendments</w:t>
      </w:r>
    </w:p>
    <w:p>
      <w:pPr>
        <w:pStyle w:val="nzSubsection"/>
        <w:rPr>
          <w:snapToGrid w:val="0"/>
        </w:rPr>
      </w:pPr>
      <w:r>
        <w:rPr>
          <w:snapToGrid w:val="0"/>
        </w:rPr>
        <w:tab/>
      </w:r>
      <w:r>
        <w:rPr>
          <w:snapToGrid w:val="0"/>
        </w:rPr>
        <w:tab/>
        <w:t>The Acts referred to in the first column of Schedule 2 are amended as set out in the second column of that Schedule.</w:t>
      </w:r>
    </w:p>
    <w:p>
      <w:pPr>
        <w:pStyle w:val="MiscClose"/>
        <w:rPr>
          <w:snapToGrid w:val="0"/>
        </w:rPr>
      </w:pPr>
      <w:r>
        <w:rPr>
          <w:snapToGrid w:val="0"/>
        </w:rPr>
        <w:t>”.</w:t>
      </w:r>
    </w:p>
    <w:p>
      <w:pPr>
        <w:pStyle w:val="nSubsection"/>
        <w:rPr>
          <w:snapToGrid w:val="0"/>
        </w:rPr>
      </w:pPr>
      <w:r>
        <w:rPr>
          <w:snapToGrid w:val="0"/>
        </w:rPr>
        <w:tab/>
        <w:t>Schedule 2 reads as follows:</w:t>
      </w:r>
    </w:p>
    <w:p>
      <w:pPr>
        <w:pStyle w:val="MiscOpen"/>
        <w:spacing w:before="80"/>
        <w:rPr>
          <w:snapToGrid w:val="0"/>
        </w:rPr>
      </w:pPr>
      <w:r>
        <w:rPr>
          <w:snapToGrid w:val="0"/>
        </w:rPr>
        <w:t xml:space="preserve"> “</w:t>
      </w:r>
    </w:p>
    <w:p>
      <w:pPr>
        <w:pStyle w:val="nzHeading2"/>
      </w:pPr>
      <w:r>
        <w:t>SCHEDULE 2 — CONSEQUENTIAL AMENDMENTS</w:t>
      </w:r>
    </w:p>
    <w:p>
      <w:pPr>
        <w:pStyle w:val="nzMiscellaneousBody"/>
        <w:jc w:val="right"/>
      </w:pPr>
      <w:r>
        <w:t>[Section 92]</w:t>
      </w:r>
    </w:p>
    <w:p>
      <w:pPr>
        <w:pStyle w:val="nzMiscellaneousBody"/>
        <w:tabs>
          <w:tab w:val="left" w:pos="2552"/>
        </w:tabs>
        <w:rPr>
          <w:b/>
        </w:rPr>
      </w:pPr>
      <w:r>
        <w:rPr>
          <w:b/>
        </w:rPr>
        <w:t>Short title of Act</w:t>
      </w:r>
      <w:r>
        <w:rPr>
          <w:b/>
        </w:rPr>
        <w:tab/>
        <w:t>Amendment</w:t>
      </w:r>
    </w:p>
    <w:p>
      <w:pPr>
        <w:pStyle w:val="nzMiscellaneousBody"/>
        <w:tabs>
          <w:tab w:val="left" w:pos="2552"/>
        </w:tabs>
        <w:rPr>
          <w:snapToGrid w:val="0"/>
        </w:rPr>
      </w:pPr>
      <w:r>
        <w:rPr>
          <w:i/>
          <w:snapToGrid w:val="0"/>
        </w:rPr>
        <w:t xml:space="preserve">Petroleum Pipelines </w:t>
      </w:r>
      <w:r>
        <w:rPr>
          <w:i/>
          <w:snapToGrid w:val="0"/>
        </w:rPr>
        <w:tab/>
      </w:r>
      <w:r>
        <w:rPr>
          <w:snapToGrid w:val="0"/>
        </w:rPr>
        <w:t xml:space="preserve">Section 36A is amended by deleting “and shall </w:t>
      </w:r>
    </w:p>
    <w:p>
      <w:pPr>
        <w:pStyle w:val="nzMiscellaneousBody"/>
        <w:tabs>
          <w:tab w:val="left" w:pos="2552"/>
        </w:tabs>
        <w:spacing w:before="0"/>
        <w:ind w:left="2552" w:hanging="1985"/>
        <w:rPr>
          <w:snapToGrid w:val="0"/>
          <w:spacing w:val="-4"/>
        </w:rPr>
      </w:pPr>
      <w:r>
        <w:rPr>
          <w:i/>
          <w:snapToGrid w:val="0"/>
          <w:spacing w:val="-4"/>
        </w:rPr>
        <w:t>Act 1969</w:t>
      </w:r>
      <w:r>
        <w:rPr>
          <w:i/>
          <w:snapToGrid w:val="0"/>
          <w:spacing w:val="-4"/>
        </w:rPr>
        <w:tab/>
      </w:r>
      <w:r>
        <w:rPr>
          <w:snapToGrid w:val="0"/>
          <w:spacing w:val="-4"/>
        </w:rPr>
        <w:t>secure the safety, health and welfare of persons engaged in operations in connection with the pipeline”.</w:t>
      </w:r>
    </w:p>
    <w:p>
      <w:pPr>
        <w:pStyle w:val="nzMiscellaneousBody"/>
        <w:tabs>
          <w:tab w:val="left" w:pos="2552"/>
        </w:tabs>
        <w:spacing w:before="120"/>
        <w:ind w:left="2552" w:hanging="1985"/>
        <w:rPr>
          <w:snapToGrid w:val="0"/>
          <w:spacing w:val="-4"/>
        </w:rPr>
      </w:pPr>
      <w:r>
        <w:rPr>
          <w:snapToGrid w:val="0"/>
          <w:spacing w:val="-4"/>
        </w:rPr>
        <w:tab/>
        <w:t>Section 67(1)(a) is amended by deleting “and the safety measures to be taken in respect thereof”.</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Native Title (State Provisions) Act 1999</w:t>
      </w:r>
      <w:r>
        <w:rPr>
          <w:snapToGrid w:val="0"/>
        </w:rPr>
        <w:t xml:space="preserve"> </w:t>
      </w:r>
      <w:r>
        <w:t>s. 7.3, which gives effect to Sch. 2 Div. 8,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270" w:name="_Toc437082030"/>
      <w:bookmarkStart w:id="271" w:name="_Toc469927428"/>
      <w:r>
        <w:rPr>
          <w:rStyle w:val="CharSectno"/>
        </w:rPr>
        <w:t>7.</w:t>
      </w:r>
      <w:bookmarkStart w:id="272" w:name="_Hlt463862630"/>
      <w:bookmarkEnd w:id="272"/>
      <w:r>
        <w:rPr>
          <w:rStyle w:val="CharSectno"/>
        </w:rPr>
        <w:t>3</w:t>
      </w:r>
      <w:r>
        <w:rPr>
          <w:snapToGrid w:val="0"/>
        </w:rPr>
        <w:t>.</w:t>
      </w:r>
      <w:r>
        <w:rPr>
          <w:snapToGrid w:val="0"/>
        </w:rPr>
        <w:tab/>
        <w:t>Consequential amendments</w:t>
      </w:r>
      <w:bookmarkEnd w:id="270"/>
      <w:bookmarkEnd w:id="271"/>
      <w:r>
        <w:rPr>
          <w:snapToGrid w:val="0"/>
        </w:rPr>
        <w:t xml:space="preserve"> </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Subsection"/>
        <w:rPr>
          <w:snapToGrid w:val="0"/>
        </w:rPr>
      </w:pPr>
      <w:r>
        <w:rPr>
          <w:snapToGrid w:val="0"/>
        </w:rPr>
        <w:tab/>
        <w:t>Schedule 2 Division 8 reads as follows:</w:t>
      </w:r>
    </w:p>
    <w:p>
      <w:pPr>
        <w:pStyle w:val="MiscOpen"/>
        <w:spacing w:before="80"/>
        <w:rPr>
          <w:snapToGrid w:val="0"/>
        </w:rPr>
      </w:pPr>
      <w:r>
        <w:rPr>
          <w:snapToGrid w:val="0"/>
        </w:rPr>
        <w:t xml:space="preserve"> “</w:t>
      </w:r>
    </w:p>
    <w:p>
      <w:pPr>
        <w:pStyle w:val="nzHeading2"/>
      </w:pPr>
      <w:r>
        <w:t>SCHEDULE 2 — CONSEQUENTIAL AMENDMENTS</w:t>
      </w:r>
    </w:p>
    <w:p>
      <w:pPr>
        <w:pStyle w:val="nzMiscellaneousBody"/>
        <w:jc w:val="right"/>
      </w:pPr>
      <w:r>
        <w:t>[s. 7.3]</w:t>
      </w:r>
    </w:p>
    <w:p>
      <w:pPr>
        <w:pStyle w:val="nzHeading3"/>
        <w:spacing w:before="0"/>
        <w:ind w:right="578"/>
        <w:rPr>
          <w:snapToGrid w:val="0"/>
        </w:rPr>
      </w:pPr>
      <w:r>
        <w:rPr>
          <w:snapToGrid w:val="0"/>
        </w:rPr>
        <w:t>Division 8 — </w:t>
      </w:r>
      <w:r>
        <w:rPr>
          <w:i/>
          <w:snapToGrid w:val="0"/>
        </w:rPr>
        <w:t>Petroleum Pipelines Act 1969</w:t>
      </w:r>
      <w:r>
        <w:rPr>
          <w:snapToGrid w:val="0"/>
        </w:rPr>
        <w:t xml:space="preserve"> </w:t>
      </w:r>
    </w:p>
    <w:p>
      <w:pPr>
        <w:pStyle w:val="nzHeading5"/>
        <w:spacing w:before="120"/>
        <w:ind w:right="578"/>
        <w:rPr>
          <w:snapToGrid w:val="0"/>
        </w:rPr>
      </w:pPr>
      <w:r>
        <w:rPr>
          <w:snapToGrid w:val="0"/>
        </w:rPr>
        <w:t>58.</w:t>
      </w:r>
      <w:r>
        <w:rPr>
          <w:snapToGrid w:val="0"/>
        </w:rPr>
        <w:tab/>
        <w:t xml:space="preserve">The Act amended </w:t>
      </w:r>
    </w:p>
    <w:p>
      <w:pPr>
        <w:pStyle w:val="nzSubsection"/>
        <w:ind w:right="577"/>
        <w:rPr>
          <w:snapToGrid w:val="0"/>
        </w:rPr>
      </w:pPr>
      <w:r>
        <w:rPr>
          <w:snapToGrid w:val="0"/>
        </w:rPr>
        <w:tab/>
      </w:r>
      <w:r>
        <w:rPr>
          <w:snapToGrid w:val="0"/>
        </w:rPr>
        <w:tab/>
        <w:t xml:space="preserve">The amendments in this Division are to the </w:t>
      </w:r>
      <w:r>
        <w:rPr>
          <w:i/>
          <w:snapToGrid w:val="0"/>
        </w:rPr>
        <w:t>Petroleum Pipelines Act 1969</w:t>
      </w:r>
      <w:r>
        <w:rPr>
          <w:snapToGrid w:val="0"/>
        </w:rPr>
        <w:t>.</w:t>
      </w:r>
    </w:p>
    <w:p>
      <w:pPr>
        <w:pStyle w:val="nzHeading5"/>
        <w:spacing w:before="120"/>
        <w:ind w:right="578"/>
        <w:rPr>
          <w:snapToGrid w:val="0"/>
        </w:rPr>
      </w:pPr>
      <w:r>
        <w:rPr>
          <w:snapToGrid w:val="0"/>
        </w:rPr>
        <w:t>59.</w:t>
      </w:r>
      <w:r>
        <w:rPr>
          <w:snapToGrid w:val="0"/>
        </w:rPr>
        <w:tab/>
        <w:t xml:space="preserve">Section 10A inserted </w:t>
      </w:r>
    </w:p>
    <w:p>
      <w:pPr>
        <w:pStyle w:val="nzSubsection"/>
        <w:ind w:right="577"/>
        <w:rPr>
          <w:snapToGrid w:val="0"/>
        </w:rPr>
      </w:pPr>
      <w:r>
        <w:rPr>
          <w:snapToGrid w:val="0"/>
        </w:rPr>
        <w:tab/>
      </w:r>
      <w:r>
        <w:rPr>
          <w:snapToGrid w:val="0"/>
        </w:rPr>
        <w:tab/>
        <w:t xml:space="preserve">After section 10 the following section is inserted — </w:t>
      </w:r>
    </w:p>
    <w:p>
      <w:pPr>
        <w:pStyle w:val="nzSubsection"/>
        <w:ind w:right="577"/>
        <w:rPr>
          <w:snapToGrid w:val="0"/>
        </w:rPr>
      </w:pPr>
      <w:r>
        <w:rPr>
          <w:snapToGrid w:val="0"/>
        </w:rPr>
        <w:t>“</w:t>
      </w:r>
    </w:p>
    <w:p>
      <w:pPr>
        <w:pStyle w:val="nzMiscellaneousBody"/>
        <w:tabs>
          <w:tab w:val="left" w:pos="1843"/>
        </w:tabs>
        <w:spacing w:before="0"/>
        <w:ind w:left="992" w:right="578"/>
        <w:rPr>
          <w:b/>
          <w:snapToGrid w:val="0"/>
        </w:rPr>
      </w:pPr>
      <w:r>
        <w:rPr>
          <w:b/>
          <w:snapToGrid w:val="0"/>
        </w:rPr>
        <w:t>10A.</w:t>
      </w:r>
      <w:r>
        <w:rPr>
          <w:b/>
          <w:snapToGrid w:val="0"/>
        </w:rPr>
        <w:tab/>
        <w:t>Licence not to affect native title</w:t>
      </w:r>
    </w:p>
    <w:p>
      <w:pPr>
        <w:pStyle w:val="nzMiscellaneousBody"/>
        <w:tabs>
          <w:tab w:val="left" w:pos="1276"/>
          <w:tab w:val="left" w:pos="1843"/>
        </w:tabs>
        <w:ind w:left="1843" w:right="577" w:hanging="1276"/>
        <w:rPr>
          <w:snapToGrid w:val="0"/>
        </w:rPr>
      </w:pPr>
      <w:r>
        <w:rPr>
          <w:snapToGrid w:val="0"/>
        </w:rPr>
        <w:tab/>
        <w:t>(1)</w:t>
      </w:r>
      <w:r>
        <w:rPr>
          <w:snapToGrid w:val="0"/>
        </w:rPr>
        <w:tab/>
        <w:t>A licence is not to be taken to authorise the licensee or any other person to do any act that affects native title.</w:t>
      </w:r>
    </w:p>
    <w:p>
      <w:pPr>
        <w:pStyle w:val="nzMiscellaneousBody"/>
        <w:tabs>
          <w:tab w:val="left" w:pos="1276"/>
        </w:tabs>
        <w:ind w:left="1843" w:right="577" w:hanging="1276"/>
        <w:rPr>
          <w:snapToGrid w:val="0"/>
        </w:rPr>
      </w:pPr>
      <w:r>
        <w:rPr>
          <w:snapToGrid w:val="0"/>
        </w:rPr>
        <w:tab/>
        <w:t>(2)</w:t>
      </w:r>
      <w:r>
        <w:rPr>
          <w:snapToGrid w:val="0"/>
        </w:rPr>
        <w:tab/>
        <w:t xml:space="preserve">In subsection (1) — </w:t>
      </w:r>
    </w:p>
    <w:p>
      <w:pPr>
        <w:pStyle w:val="nzMiscellaneousBody"/>
        <w:tabs>
          <w:tab w:val="left" w:pos="1843"/>
        </w:tabs>
        <w:ind w:left="2268" w:right="577" w:hanging="1701"/>
        <w:rPr>
          <w:snapToGrid w:val="0"/>
        </w:rPr>
      </w:pPr>
      <w:r>
        <w:rPr>
          <w:snapToGrid w:val="0"/>
        </w:rPr>
        <w:tab/>
      </w:r>
      <w:r>
        <w:rPr>
          <w:b/>
          <w:snapToGrid w:val="0"/>
        </w:rPr>
        <w:t>“affects”</w:t>
      </w:r>
      <w:r>
        <w:rPr>
          <w:snapToGrid w:val="0"/>
        </w:rPr>
        <w:t xml:space="preserve"> and </w:t>
      </w:r>
      <w:r>
        <w:rPr>
          <w:b/>
          <w:snapToGrid w:val="0"/>
        </w:rPr>
        <w:t>“native title”</w:t>
      </w:r>
      <w:r>
        <w:rPr>
          <w:snapToGrid w:val="0"/>
        </w:rPr>
        <w:t xml:space="preserve"> have the meanings given to them respectively by sections 227 and 223 of the </w:t>
      </w:r>
      <w:r>
        <w:rPr>
          <w:i/>
          <w:snapToGrid w:val="0"/>
        </w:rPr>
        <w:t>Native Title Act 1993</w:t>
      </w:r>
      <w:r>
        <w:rPr>
          <w:snapToGrid w:val="0"/>
        </w:rPr>
        <w:t xml:space="preserve"> of the Commonwealth.</w:t>
      </w:r>
    </w:p>
    <w:p>
      <w:pPr>
        <w:pStyle w:val="MiscOpen"/>
        <w:spacing w:before="0"/>
        <w:ind w:right="578"/>
        <w:jc w:val="right"/>
        <w:rPr>
          <w:snapToGrid w:val="0"/>
        </w:rPr>
      </w:pPr>
      <w:r>
        <w:rPr>
          <w:snapToGrid w:val="0"/>
        </w:rPr>
        <w:t>”.</w:t>
      </w:r>
    </w:p>
    <w:p>
      <w:pPr>
        <w:pStyle w:val="nzHeading5"/>
        <w:spacing w:before="120"/>
        <w:ind w:right="578"/>
        <w:rPr>
          <w:snapToGrid w:val="0"/>
        </w:rPr>
      </w:pPr>
      <w:r>
        <w:rPr>
          <w:snapToGrid w:val="0"/>
        </w:rPr>
        <w:t>60.</w:t>
      </w:r>
      <w:r>
        <w:rPr>
          <w:snapToGrid w:val="0"/>
        </w:rPr>
        <w:tab/>
        <w:t xml:space="preserve">Section 19 amended </w:t>
      </w:r>
    </w:p>
    <w:p>
      <w:pPr>
        <w:pStyle w:val="nzSubsection"/>
        <w:keepNext/>
        <w:ind w:right="577"/>
        <w:rPr>
          <w:snapToGrid w:val="0"/>
        </w:rPr>
      </w:pPr>
      <w:r>
        <w:rPr>
          <w:snapToGrid w:val="0"/>
        </w:rPr>
        <w:tab/>
      </w:r>
      <w:r>
        <w:rPr>
          <w:snapToGrid w:val="0"/>
        </w:rPr>
        <w:tab/>
        <w:t xml:space="preserve">After section 19(1) the following subsection is inserted — </w:t>
      </w:r>
    </w:p>
    <w:p>
      <w:pPr>
        <w:pStyle w:val="nzSubsection"/>
        <w:keepNext/>
        <w:ind w:right="577"/>
        <w:rPr>
          <w:snapToGrid w:val="0"/>
        </w:rPr>
      </w:pPr>
      <w:r>
        <w:rPr>
          <w:snapToGrid w:val="0"/>
        </w:rPr>
        <w:t>“</w:t>
      </w:r>
    </w:p>
    <w:p>
      <w:pPr>
        <w:pStyle w:val="nzMiscellaneousBody"/>
        <w:tabs>
          <w:tab w:val="left" w:pos="1276"/>
          <w:tab w:val="left" w:pos="1843"/>
        </w:tabs>
        <w:spacing w:before="0"/>
        <w:ind w:left="1843" w:right="578" w:hanging="1276"/>
        <w:rPr>
          <w:snapToGrid w:val="0"/>
        </w:rPr>
      </w:pPr>
      <w:r>
        <w:rPr>
          <w:snapToGrid w:val="0"/>
        </w:rPr>
        <w:tab/>
        <w:t>(1a)</w:t>
      </w:r>
      <w:r>
        <w:rPr>
          <w:snapToGrid w:val="0"/>
        </w:rPr>
        <w:tab/>
        <w:t xml:space="preserve">Where the taking of land or an easement in land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MiscOpen"/>
        <w:keepNext w:val="0"/>
        <w:keepLines w:val="0"/>
        <w:spacing w:before="0"/>
        <w:ind w:right="578"/>
        <w:jc w:val="right"/>
        <w:rPr>
          <w:snapToGrid w:val="0"/>
        </w:rPr>
      </w:pPr>
      <w:r>
        <w:rPr>
          <w:snapToGrid w:val="0"/>
        </w:rPr>
        <w:t>”.</w:t>
      </w:r>
    </w:p>
    <w:p>
      <w:pPr>
        <w:pStyle w:val="MiscClose"/>
        <w:keepLines w:val="0"/>
        <w:rPr>
          <w:snapToGrid w:val="0"/>
        </w:rPr>
      </w:pPr>
      <w:r>
        <w:rPr>
          <w:snapToGrid w:val="0"/>
        </w:rPr>
        <w:t>”.</w:t>
      </w:r>
    </w:p>
    <w:p>
      <w:pPr>
        <w:pStyle w:val="nSubsection"/>
        <w:rPr>
          <w:snapToGrid w:val="0"/>
        </w:rPr>
      </w:pPr>
      <w:r>
        <w:rPr>
          <w:snapToGrid w:val="0"/>
          <w:vertAlign w:val="superscript"/>
        </w:rPr>
        <w:t>13</w:t>
      </w:r>
      <w:r>
        <w:rPr>
          <w:snapToGrid w:val="0"/>
        </w:rPr>
        <w:tab/>
        <w:t xml:space="preserve">On the date as at which this compilation was prepared, the </w:t>
      </w:r>
      <w:r>
        <w:rPr>
          <w:i/>
          <w:iCs/>
          <w:snapToGrid w:val="0"/>
        </w:rPr>
        <w:t>Dangerous Goods Safety Act 2004</w:t>
      </w:r>
      <w:r>
        <w:rPr>
          <w:snapToGrid w:val="0"/>
        </w:rPr>
        <w:t xml:space="preserve"> s. 70, which gives effect to Sch. 2 it. 3(3), had not come into operation.  It reads as follows:</w:t>
      </w:r>
    </w:p>
    <w:p>
      <w:pPr>
        <w:pStyle w:val="MiscOpen"/>
        <w:rPr>
          <w:snapToGrid w:val="0"/>
        </w:rPr>
      </w:pPr>
      <w:r>
        <w:rPr>
          <w:snapToGrid w:val="0"/>
        </w:rPr>
        <w:t>“</w:t>
      </w:r>
    </w:p>
    <w:p>
      <w:pPr>
        <w:pStyle w:val="nzHeading5"/>
      </w:pPr>
      <w:bookmarkStart w:id="273" w:name="_Toc73938000"/>
      <w:r>
        <w:rPr>
          <w:rStyle w:val="CharSectno"/>
        </w:rPr>
        <w:t>70</w:t>
      </w:r>
      <w:r>
        <w:t>.</w:t>
      </w:r>
      <w:r>
        <w:tab/>
        <w:t>Repeals and consequential amendments (Sch. 2)</w:t>
      </w:r>
      <w:bookmarkEnd w:id="273"/>
    </w:p>
    <w:p>
      <w:pPr>
        <w:pStyle w:val="nzSubsection"/>
      </w:pPr>
      <w:r>
        <w:tab/>
      </w:r>
      <w:r>
        <w:tab/>
        <w:t>Schedule 2 has effect.</w:t>
      </w:r>
    </w:p>
    <w:p>
      <w:pPr>
        <w:pStyle w:val="MiscClose"/>
      </w:pPr>
      <w:r>
        <w:t>”.</w:t>
      </w:r>
    </w:p>
    <w:p>
      <w:pPr>
        <w:pStyle w:val="nSubsection"/>
        <w:rPr>
          <w:snapToGrid w:val="0"/>
        </w:rPr>
      </w:pPr>
      <w:r>
        <w:rPr>
          <w:snapToGrid w:val="0"/>
        </w:rPr>
        <w:tab/>
        <w:t>Schedule 2 reads as follows:</w:t>
      </w:r>
    </w:p>
    <w:p>
      <w:pPr>
        <w:pStyle w:val="MiscOpen"/>
        <w:rPr>
          <w:snapToGrid w:val="0"/>
        </w:rPr>
      </w:pPr>
      <w:r>
        <w:rPr>
          <w:snapToGrid w:val="0"/>
        </w:rPr>
        <w:t>“</w:t>
      </w:r>
    </w:p>
    <w:p>
      <w:pPr>
        <w:pStyle w:val="nzMiscellaneousHeading"/>
        <w:rPr>
          <w:b/>
          <w:bCs/>
          <w:sz w:val="28"/>
        </w:rPr>
      </w:pPr>
      <w:bookmarkStart w:id="274" w:name="_Toc26064296"/>
      <w:bookmarkStart w:id="275" w:name="_Toc26091725"/>
      <w:bookmarkStart w:id="276" w:name="_Toc26176659"/>
      <w:bookmarkStart w:id="277" w:name="_Toc43651692"/>
      <w:bookmarkStart w:id="278" w:name="_Toc73938012"/>
      <w:r>
        <w:rPr>
          <w:rStyle w:val="CharSchNo"/>
          <w:b/>
          <w:bCs/>
          <w:sz w:val="28"/>
        </w:rPr>
        <w:t>Schedule 2</w:t>
      </w:r>
      <w:r>
        <w:rPr>
          <w:b/>
          <w:bCs/>
          <w:sz w:val="28"/>
        </w:rPr>
        <w:t xml:space="preserve"> — </w:t>
      </w:r>
      <w:r>
        <w:rPr>
          <w:rStyle w:val="CharSchText"/>
          <w:b/>
          <w:bCs/>
          <w:sz w:val="28"/>
        </w:rPr>
        <w:t>Repeals and consequential amendments</w:t>
      </w:r>
      <w:bookmarkEnd w:id="274"/>
      <w:bookmarkEnd w:id="275"/>
      <w:bookmarkEnd w:id="276"/>
      <w:bookmarkEnd w:id="277"/>
      <w:bookmarkEnd w:id="278"/>
    </w:p>
    <w:p>
      <w:pPr>
        <w:pStyle w:val="nzHeading5"/>
      </w:pPr>
      <w:bookmarkStart w:id="279" w:name="_Toc73938017"/>
      <w:r>
        <w:t>3.</w:t>
      </w:r>
      <w:r>
        <w:tab/>
        <w:t>Consequential amendments</w:t>
      </w:r>
      <w:bookmarkEnd w:id="279"/>
    </w:p>
    <w:p>
      <w:pPr>
        <w:pStyle w:val="nzSubsection"/>
        <w:rPr>
          <w:rStyle w:val="CharDivText"/>
        </w:rPr>
      </w:pPr>
      <w:r>
        <w:tab/>
        <w:t>(3)</w:t>
      </w:r>
      <w:r>
        <w:tab/>
        <w:t xml:space="preserve">The </w:t>
      </w:r>
      <w:r>
        <w:rPr>
          <w:i/>
        </w:rPr>
        <w:t>Petroleum Pipelines Act 1969</w:t>
      </w:r>
      <w:r>
        <w:t xml:space="preserve"> is amended in section 32 by deleting “</w:t>
      </w:r>
      <w:r>
        <w:rPr>
          <w:rStyle w:val="CharDivText"/>
          <w:i/>
        </w:rPr>
        <w:t>Explosives and Dangerous Goods Act 1961</w:t>
      </w:r>
      <w:r>
        <w:rPr>
          <w:rStyle w:val="CharDivText"/>
        </w:rPr>
        <w:t xml:space="preserve">” and inserting instead — </w:t>
      </w:r>
    </w:p>
    <w:p>
      <w:pPr>
        <w:pStyle w:val="nzSubsection"/>
        <w:rPr>
          <w:rStyle w:val="CharDivText"/>
        </w:rPr>
      </w:pPr>
      <w:r>
        <w:rPr>
          <w:rStyle w:val="CharDivText"/>
        </w:rPr>
        <w:tab/>
      </w:r>
      <w:r>
        <w:rPr>
          <w:rStyle w:val="CharDivText"/>
        </w:rPr>
        <w:tab/>
        <w:t xml:space="preserve">“    </w:t>
      </w:r>
      <w:r>
        <w:rPr>
          <w:rStyle w:val="CharDivText"/>
          <w:i/>
        </w:rPr>
        <w:t>Dangerous Goods Safety Act 2004</w:t>
      </w:r>
      <w:r>
        <w:rPr>
          <w:rStyle w:val="CharDivText"/>
        </w:rPr>
        <w:t xml:space="preserve">    ”.</w:t>
      </w:r>
    </w:p>
    <w:p>
      <w:pPr>
        <w:pStyle w:val="MiscClose"/>
      </w:pPr>
      <w:r>
        <w:t>”.</w:t>
      </w:r>
    </w:p>
    <w:p>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15</w:t>
      </w:r>
      <w:r>
        <w:rPr>
          <w:snapToGrid w:val="0"/>
        </w:rPr>
        <w:tab/>
        <w:t xml:space="preserve">On the date as at which this compilation was prepared, the </w:t>
      </w:r>
      <w:r>
        <w:rPr>
          <w:i/>
          <w:snapToGrid w:val="0"/>
        </w:rPr>
        <w:t>Petroleum Legislation Amendment and Repeal Act 2005</w:t>
      </w:r>
      <w:r>
        <w:rPr>
          <w:iCs/>
          <w:snapToGrid w:val="0"/>
        </w:rPr>
        <w:t xml:space="preserve"> Pt. 3</w:t>
      </w:r>
      <w:r>
        <w:rPr>
          <w:snapToGrid w:val="0"/>
        </w:rPr>
        <w:t xml:space="preserve"> had not come into operation.  It reads as follows:</w:t>
      </w:r>
    </w:p>
    <w:p>
      <w:pPr>
        <w:pStyle w:val="MiscOpen"/>
        <w:rPr>
          <w:snapToGrid w:val="0"/>
        </w:rPr>
      </w:pPr>
      <w:r>
        <w:rPr>
          <w:snapToGrid w:val="0"/>
        </w:rPr>
        <w:t>“</w:t>
      </w:r>
    </w:p>
    <w:p>
      <w:pPr>
        <w:pStyle w:val="nzHeading2"/>
      </w:pPr>
      <w:bookmarkStart w:id="280" w:name="_Toc69810063"/>
      <w:bookmarkStart w:id="281" w:name="_Toc69811864"/>
      <w:bookmarkStart w:id="282" w:name="_Toc69811894"/>
      <w:bookmarkStart w:id="283" w:name="_Toc69876915"/>
      <w:bookmarkStart w:id="284" w:name="_Toc70245162"/>
      <w:bookmarkStart w:id="285" w:name="_Toc70403047"/>
      <w:bookmarkStart w:id="286" w:name="_Toc70403734"/>
      <w:bookmarkStart w:id="287" w:name="_Toc72747404"/>
      <w:bookmarkStart w:id="288" w:name="_Toc72748487"/>
      <w:bookmarkStart w:id="289" w:name="_Toc72749188"/>
      <w:bookmarkStart w:id="290" w:name="_Toc72749323"/>
      <w:bookmarkStart w:id="291" w:name="_Toc72815927"/>
      <w:bookmarkStart w:id="292" w:name="_Toc74476225"/>
      <w:bookmarkStart w:id="293" w:name="_Toc74643267"/>
      <w:bookmarkStart w:id="294" w:name="_Toc74643566"/>
      <w:bookmarkStart w:id="295" w:name="_Toc77156650"/>
      <w:bookmarkStart w:id="296" w:name="_Toc77398986"/>
      <w:bookmarkStart w:id="297" w:name="_Toc77415972"/>
      <w:bookmarkStart w:id="298" w:name="_Toc77495602"/>
      <w:bookmarkStart w:id="299" w:name="_Toc77502792"/>
      <w:bookmarkStart w:id="300" w:name="_Toc77587993"/>
      <w:bookmarkStart w:id="301" w:name="_Toc77654880"/>
      <w:bookmarkStart w:id="302" w:name="_Toc77675596"/>
      <w:bookmarkStart w:id="303" w:name="_Toc77744366"/>
      <w:bookmarkStart w:id="304" w:name="_Toc77744458"/>
      <w:bookmarkStart w:id="305" w:name="_Toc77744554"/>
      <w:bookmarkStart w:id="306" w:name="_Toc77745029"/>
      <w:bookmarkStart w:id="307" w:name="_Toc77746309"/>
      <w:bookmarkStart w:id="308" w:name="_Toc79481177"/>
      <w:bookmarkStart w:id="309" w:name="_Toc79481217"/>
      <w:bookmarkStart w:id="310" w:name="_Toc79490098"/>
      <w:bookmarkStart w:id="311" w:name="_Toc79490984"/>
      <w:bookmarkStart w:id="312" w:name="_Toc79567384"/>
      <w:bookmarkStart w:id="313" w:name="_Toc79573284"/>
      <w:bookmarkStart w:id="314" w:name="_Toc79833475"/>
      <w:bookmarkStart w:id="315" w:name="_Toc79913141"/>
      <w:bookmarkStart w:id="316" w:name="_Toc79978504"/>
      <w:bookmarkStart w:id="317" w:name="_Toc80004570"/>
      <w:bookmarkStart w:id="318" w:name="_Toc80006763"/>
      <w:bookmarkStart w:id="319" w:name="_Toc80428022"/>
      <w:bookmarkStart w:id="320" w:name="_Toc80602177"/>
      <w:bookmarkStart w:id="321" w:name="_Toc80612457"/>
      <w:bookmarkStart w:id="322" w:name="_Toc80612570"/>
      <w:bookmarkStart w:id="323" w:name="_Toc80785427"/>
      <w:bookmarkStart w:id="324" w:name="_Toc82331209"/>
      <w:bookmarkStart w:id="325" w:name="_Toc82340039"/>
      <w:bookmarkStart w:id="326" w:name="_Toc82430101"/>
      <w:bookmarkStart w:id="327" w:name="_Toc82503956"/>
      <w:bookmarkStart w:id="328" w:name="_Toc82504927"/>
      <w:bookmarkStart w:id="329" w:name="_Toc82514537"/>
      <w:bookmarkStart w:id="330" w:name="_Toc82589620"/>
      <w:bookmarkStart w:id="331" w:name="_Toc82595082"/>
      <w:bookmarkStart w:id="332" w:name="_Toc83550613"/>
      <w:bookmarkStart w:id="333" w:name="_Toc83615654"/>
      <w:bookmarkStart w:id="334" w:name="_Toc83616489"/>
      <w:bookmarkStart w:id="335" w:name="_Toc85336069"/>
      <w:bookmarkStart w:id="336" w:name="_Toc85536031"/>
      <w:bookmarkStart w:id="337" w:name="_Toc96232022"/>
      <w:bookmarkStart w:id="338" w:name="_Toc96248873"/>
      <w:bookmarkStart w:id="339" w:name="_Toc96336111"/>
      <w:bookmarkStart w:id="340" w:name="_Toc96416763"/>
      <w:bookmarkStart w:id="341" w:name="_Toc96501609"/>
      <w:bookmarkStart w:id="342" w:name="_Toc96501826"/>
      <w:bookmarkStart w:id="343" w:name="_Toc96501964"/>
      <w:bookmarkStart w:id="344" w:name="_Toc96502730"/>
      <w:bookmarkStart w:id="345" w:name="_Toc97028550"/>
      <w:bookmarkStart w:id="346" w:name="_Toc97434556"/>
      <w:bookmarkStart w:id="347" w:name="_Toc97440920"/>
      <w:bookmarkStart w:id="348" w:name="_Toc97442232"/>
      <w:bookmarkStart w:id="349" w:name="_Toc98136722"/>
      <w:bookmarkStart w:id="350" w:name="_Toc98147475"/>
      <w:bookmarkStart w:id="351" w:name="_Toc98149364"/>
      <w:bookmarkStart w:id="352" w:name="_Toc98212828"/>
      <w:bookmarkStart w:id="353" w:name="_Toc98666982"/>
      <w:bookmarkStart w:id="354" w:name="_Toc98667851"/>
      <w:bookmarkStart w:id="355" w:name="_Toc99354502"/>
      <w:bookmarkStart w:id="356" w:name="_Toc99356764"/>
      <w:bookmarkStart w:id="357" w:name="_Toc99357104"/>
      <w:bookmarkStart w:id="358" w:name="_Toc99411200"/>
      <w:bookmarkStart w:id="359" w:name="_Toc99417477"/>
      <w:bookmarkStart w:id="360" w:name="_Toc99447858"/>
      <w:bookmarkStart w:id="361" w:name="_Toc99769603"/>
      <w:bookmarkStart w:id="362" w:name="_Toc112746347"/>
      <w:bookmarkStart w:id="363" w:name="_Toc112746472"/>
      <w:r>
        <w:rPr>
          <w:rStyle w:val="CharPartNo"/>
        </w:rPr>
        <w:t>Part 3</w:t>
      </w:r>
      <w:r>
        <w:rPr>
          <w:rStyle w:val="CharDivNo"/>
        </w:rPr>
        <w:t> </w:t>
      </w:r>
      <w:r>
        <w:t>—</w:t>
      </w:r>
      <w:r>
        <w:rPr>
          <w:rStyle w:val="CharDivText"/>
        </w:rPr>
        <w:t> </w:t>
      </w:r>
      <w:r>
        <w:rPr>
          <w:rStyle w:val="CharPartText"/>
          <w:i/>
          <w:iCs/>
        </w:rPr>
        <w:t>Petroleum Pipelines Act 1969</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nzHeading5"/>
        <w:rPr>
          <w:snapToGrid w:val="0"/>
        </w:rPr>
      </w:pPr>
      <w:bookmarkStart w:id="364" w:name="_Toc80428023"/>
      <w:bookmarkStart w:id="365" w:name="_Toc99357105"/>
      <w:bookmarkStart w:id="366" w:name="_Toc99769604"/>
      <w:bookmarkStart w:id="367" w:name="_Toc112746473"/>
      <w:r>
        <w:rPr>
          <w:rStyle w:val="CharSectno"/>
        </w:rPr>
        <w:t>18</w:t>
      </w:r>
      <w:r>
        <w:rPr>
          <w:snapToGrid w:val="0"/>
        </w:rPr>
        <w:t>.</w:t>
      </w:r>
      <w:r>
        <w:rPr>
          <w:snapToGrid w:val="0"/>
        </w:rPr>
        <w:tab/>
        <w:t>The Act amended</w:t>
      </w:r>
      <w:bookmarkEnd w:id="364"/>
      <w:bookmarkEnd w:id="365"/>
      <w:bookmarkEnd w:id="366"/>
      <w:bookmarkEnd w:id="367"/>
    </w:p>
    <w:p>
      <w:pPr>
        <w:pStyle w:val="nzSubsection"/>
      </w:pPr>
      <w:r>
        <w:tab/>
      </w:r>
      <w:r>
        <w:tab/>
        <w:t xml:space="preserve">The amendments in this Part are to the </w:t>
      </w:r>
      <w:r>
        <w:rPr>
          <w:i/>
        </w:rPr>
        <w:t>Petroleum Pipelines Act 1969</w:t>
      </w:r>
      <w:r>
        <w:t>.</w:t>
      </w:r>
    </w:p>
    <w:p>
      <w:pPr>
        <w:pStyle w:val="nzHeading5"/>
      </w:pPr>
      <w:bookmarkStart w:id="368" w:name="_Toc80428024"/>
      <w:bookmarkStart w:id="369" w:name="_Toc99357106"/>
      <w:bookmarkStart w:id="370" w:name="_Toc99769605"/>
      <w:bookmarkStart w:id="371" w:name="_Toc112746474"/>
      <w:r>
        <w:rPr>
          <w:rStyle w:val="CharSectno"/>
        </w:rPr>
        <w:t>19</w:t>
      </w:r>
      <w:r>
        <w:t>.</w:t>
      </w:r>
      <w:r>
        <w:tab/>
        <w:t>Section 4 amended</w:t>
      </w:r>
      <w:bookmarkEnd w:id="368"/>
      <w:bookmarkEnd w:id="369"/>
      <w:bookmarkEnd w:id="370"/>
      <w:bookmarkEnd w:id="371"/>
    </w:p>
    <w:p>
      <w:pPr>
        <w:pStyle w:val="nzSubsection"/>
      </w:pPr>
      <w:r>
        <w:tab/>
      </w:r>
      <w:r>
        <w:tab/>
        <w:t xml:space="preserve">Section 4(1) is amended by inserting in the appropriate alphabetical positions the following definitions — </w:t>
      </w:r>
    </w:p>
    <w:p>
      <w:pPr>
        <w:pStyle w:val="MiscOpen"/>
        <w:ind w:left="880"/>
      </w:pPr>
      <w:r>
        <w:t xml:space="preserve">“    </w:t>
      </w:r>
    </w:p>
    <w:p>
      <w:pPr>
        <w:pStyle w:val="nzDefstart"/>
      </w:pPr>
      <w:r>
        <w:rPr>
          <w:b/>
        </w:rPr>
        <w:tab/>
        <w:t>“</w:t>
      </w:r>
      <w:r>
        <w:rPr>
          <w:rStyle w:val="CharDefText"/>
        </w:rPr>
        <w:t>listed OSH law</w:t>
      </w:r>
      <w:r>
        <w:rPr>
          <w:b/>
        </w:rPr>
        <w:t>”</w:t>
      </w:r>
      <w:r>
        <w:t xml:space="preserve"> means — </w:t>
      </w:r>
    </w:p>
    <w:p>
      <w:pPr>
        <w:pStyle w:val="nzDefpara"/>
        <w:rPr>
          <w:snapToGrid/>
        </w:rPr>
      </w:pPr>
      <w:r>
        <w:rPr>
          <w:snapToGrid/>
        </w:rPr>
        <w:tab/>
        <w:t>(a)</w:t>
      </w:r>
      <w:r>
        <w:rPr>
          <w:snapToGrid/>
        </w:rPr>
        <w:tab/>
        <w:t>section 65;</w:t>
      </w:r>
    </w:p>
    <w:p>
      <w:pPr>
        <w:pStyle w:val="nzDefpara"/>
        <w:rPr>
          <w:snapToGrid/>
        </w:rPr>
      </w:pPr>
      <w:r>
        <w:rPr>
          <w:snapToGrid/>
        </w:rPr>
        <w:tab/>
        <w:t>(b)</w:t>
      </w:r>
      <w:r>
        <w:rPr>
          <w:snapToGrid/>
        </w:rPr>
        <w:tab/>
        <w:t>Schedule 1;</w:t>
      </w:r>
    </w:p>
    <w:p>
      <w:pPr>
        <w:pStyle w:val="nzDefpara"/>
        <w:rPr>
          <w:snapToGrid/>
        </w:rPr>
      </w:pPr>
      <w:r>
        <w:rPr>
          <w:snapToGrid/>
        </w:rPr>
        <w:tab/>
        <w:t>(c)</w:t>
      </w:r>
      <w:r>
        <w:rPr>
          <w:snapToGrid/>
        </w:rPr>
        <w:tab/>
        <w:t>a regulation made for the purposes of Schedule 1;</w:t>
      </w:r>
    </w:p>
    <w:p>
      <w:pPr>
        <w:pStyle w:val="nzDefpara"/>
        <w:rPr>
          <w:snapToGrid/>
        </w:rPr>
      </w:pPr>
      <w:r>
        <w:rPr>
          <w:snapToGrid/>
        </w:rPr>
        <w:tab/>
        <w:t>(d)</w:t>
      </w:r>
      <w:r>
        <w:rPr>
          <w:snapToGrid/>
        </w:rPr>
        <w:tab/>
        <w:t>a regulation made for the purposes of section 56B; or</w:t>
      </w:r>
    </w:p>
    <w:p>
      <w:pPr>
        <w:pStyle w:val="nzDefpara"/>
        <w:rPr>
          <w:snapToGrid/>
        </w:rPr>
      </w:pPr>
      <w:r>
        <w:rPr>
          <w:snapToGrid/>
        </w:rPr>
        <w:tab/>
        <w:t>(e)</w:t>
      </w:r>
      <w:r>
        <w:rPr>
          <w:snapToGrid/>
        </w:rPr>
        <w:tab/>
        <w:t>any other written law relating to occupational safety and health matters that is prescribed for the purposes of this paragraph;</w:t>
      </w:r>
    </w:p>
    <w:p>
      <w:pPr>
        <w:pStyle w:val="nzDefstart"/>
      </w:pPr>
      <w:r>
        <w:rPr>
          <w:b/>
        </w:rPr>
        <w:tab/>
        <w:t>“</w:t>
      </w:r>
      <w:r>
        <w:rPr>
          <w:rStyle w:val="CharDefText"/>
        </w:rPr>
        <w:t>other protected person</w:t>
      </w:r>
      <w:r>
        <w:rPr>
          <w:b/>
        </w:rPr>
        <w:t>”</w:t>
      </w:r>
      <w:r>
        <w:t xml:space="preserve"> means a person who is at or near a place where a pipeline operation is being carried on at the invitation of, or with the express or implied consent of — </w:t>
      </w:r>
    </w:p>
    <w:p>
      <w:pPr>
        <w:pStyle w:val="nzDefpara"/>
      </w:pPr>
      <w:r>
        <w:tab/>
        <w:t>(a)</w:t>
      </w:r>
      <w:r>
        <w:tab/>
        <w:t xml:space="preserve">the licensee for the pipeline operation; or </w:t>
      </w:r>
    </w:p>
    <w:p>
      <w:pPr>
        <w:pStyle w:val="nzDefpara"/>
      </w:pPr>
      <w:r>
        <w:tab/>
        <w:t>(b)</w:t>
      </w:r>
      <w:r>
        <w:tab/>
        <w:t>a person in control of a part of the pipeline operation;</w:t>
      </w:r>
    </w:p>
    <w:p>
      <w:pPr>
        <w:pStyle w:val="nzDefstart"/>
      </w:pPr>
      <w:r>
        <w:tab/>
      </w:r>
      <w:r>
        <w:rPr>
          <w:b/>
          <w:bCs/>
        </w:rPr>
        <w:t>“</w:t>
      </w:r>
      <w:r>
        <w:rPr>
          <w:rStyle w:val="CharDefText"/>
        </w:rPr>
        <w:t>pipeline operation</w:t>
      </w:r>
      <w:r>
        <w:rPr>
          <w:b/>
          <w:bCs/>
        </w:rPr>
        <w:t>”</w:t>
      </w:r>
      <w:r>
        <w:t xml:space="preserve"> means an operation — </w:t>
      </w:r>
    </w:p>
    <w:p>
      <w:pPr>
        <w:pStyle w:val="nzDefpara"/>
      </w:pPr>
      <w:r>
        <w:tab/>
        <w:t>(a)</w:t>
      </w:r>
      <w:r>
        <w:tab/>
        <w:t>in connection with the construction, operation, inspection (by a person other than an inspector), maintenance or repair of a pipeline; and</w:t>
      </w:r>
    </w:p>
    <w:p>
      <w:pPr>
        <w:pStyle w:val="nzDefpara"/>
      </w:pPr>
      <w:r>
        <w:tab/>
        <w:t>(b)</w:t>
      </w:r>
      <w:r>
        <w:tab/>
        <w:t>carried out on land that is specified in any licence as licence area;</w:t>
      </w:r>
    </w:p>
    <w:p>
      <w:pPr>
        <w:pStyle w:val="MiscClose"/>
        <w:ind w:right="577"/>
      </w:pPr>
      <w:r>
        <w:t xml:space="preserve">    ”.</w:t>
      </w:r>
    </w:p>
    <w:p>
      <w:pPr>
        <w:pStyle w:val="nzHeading5"/>
      </w:pPr>
      <w:bookmarkStart w:id="372" w:name="_Toc80428025"/>
      <w:bookmarkStart w:id="373" w:name="_Toc99357107"/>
      <w:bookmarkStart w:id="374" w:name="_Toc99769606"/>
      <w:bookmarkStart w:id="375" w:name="_Toc112746475"/>
      <w:r>
        <w:rPr>
          <w:rStyle w:val="CharSectno"/>
        </w:rPr>
        <w:t>20</w:t>
      </w:r>
      <w:r>
        <w:t>.</w:t>
      </w:r>
      <w:r>
        <w:tab/>
        <w:t>Section 5AA inserted</w:t>
      </w:r>
      <w:bookmarkEnd w:id="372"/>
      <w:bookmarkEnd w:id="373"/>
      <w:bookmarkEnd w:id="374"/>
      <w:bookmarkEnd w:id="375"/>
    </w:p>
    <w:p>
      <w:pPr>
        <w:pStyle w:val="nzSubsection"/>
      </w:pPr>
      <w:r>
        <w:tab/>
      </w:r>
      <w:r>
        <w:tab/>
        <w:t xml:space="preserve">After section 5 the following section is inserted in Part 1 — </w:t>
      </w:r>
    </w:p>
    <w:p>
      <w:pPr>
        <w:pStyle w:val="MiscOpen"/>
      </w:pPr>
      <w:r>
        <w:t xml:space="preserve">“    </w:t>
      </w:r>
    </w:p>
    <w:p>
      <w:pPr>
        <w:pStyle w:val="nzHeading5"/>
      </w:pPr>
      <w:r>
        <w:t>5AA.</w:t>
      </w:r>
      <w:r>
        <w:tab/>
        <w:t>Disapplication of State occupational safety and health laws</w:t>
      </w:r>
    </w:p>
    <w:p>
      <w:pPr>
        <w:pStyle w:val="nzSubsection"/>
      </w:pPr>
      <w:r>
        <w:tab/>
        <w:t>(1)</w:t>
      </w:r>
      <w:r>
        <w:tab/>
        <w:t xml:space="preserve">The prescribed occupational safety and health laws do not apply in relation to — </w:t>
      </w:r>
    </w:p>
    <w:p>
      <w:pPr>
        <w:pStyle w:val="nzIndenta"/>
      </w:pPr>
      <w:r>
        <w:tab/>
        <w:t>(a)</w:t>
      </w:r>
      <w:r>
        <w:tab/>
        <w:t>a pipeline operation; or</w:t>
      </w:r>
    </w:p>
    <w:p>
      <w:pPr>
        <w:pStyle w:val="nzIndenta"/>
      </w:pPr>
      <w:r>
        <w:tab/>
        <w:t>(b)</w:t>
      </w:r>
      <w:r>
        <w:tab/>
        <w:t>a person engaged in a pipeline operation or any other protected person.</w:t>
      </w:r>
    </w:p>
    <w:p>
      <w:pPr>
        <w:pStyle w:val="nzSubsection"/>
      </w:pPr>
      <w:r>
        <w:tab/>
        <w:t>(2)</w:t>
      </w:r>
      <w:r>
        <w:tab/>
        <w:t xml:space="preserve">In this section — </w:t>
      </w:r>
    </w:p>
    <w:p>
      <w:pPr>
        <w:pStyle w:val="nzDefstart"/>
      </w:pPr>
      <w:r>
        <w:rPr>
          <w:b/>
        </w:rPr>
        <w:tab/>
        <w:t>“</w:t>
      </w:r>
      <w:r>
        <w:rPr>
          <w:rStyle w:val="CharDefText"/>
        </w:rPr>
        <w:t>prescribed occupational safety and health laws</w:t>
      </w:r>
      <w:r>
        <w:rPr>
          <w:b/>
        </w:rPr>
        <w:t>”</w:t>
      </w:r>
      <w:r>
        <w:t xml:space="preserve"> means any laws of the State relating to occupational safety and health (whether or not they also relate to other matters) that are prescribed by the regulations for the purposes of this section.</w:t>
      </w:r>
    </w:p>
    <w:p>
      <w:pPr>
        <w:pStyle w:val="MiscClose"/>
        <w:ind w:right="577"/>
      </w:pPr>
      <w:r>
        <w:t xml:space="preserve">    ”.</w:t>
      </w:r>
    </w:p>
    <w:p>
      <w:pPr>
        <w:pStyle w:val="nzHeading5"/>
      </w:pPr>
      <w:bookmarkStart w:id="376" w:name="_Toc80428026"/>
      <w:bookmarkStart w:id="377" w:name="_Toc99357108"/>
      <w:bookmarkStart w:id="378" w:name="_Toc99769607"/>
      <w:bookmarkStart w:id="379" w:name="_Toc112746476"/>
      <w:r>
        <w:rPr>
          <w:rStyle w:val="CharSectno"/>
        </w:rPr>
        <w:t>21</w:t>
      </w:r>
      <w:r>
        <w:t>.</w:t>
      </w:r>
      <w:r>
        <w:tab/>
        <w:t>Section 36A amended</w:t>
      </w:r>
      <w:bookmarkEnd w:id="376"/>
      <w:bookmarkEnd w:id="377"/>
      <w:bookmarkEnd w:id="378"/>
      <w:bookmarkEnd w:id="379"/>
    </w:p>
    <w:p>
      <w:pPr>
        <w:pStyle w:val="nzSubsection"/>
      </w:pPr>
      <w:r>
        <w:tab/>
      </w:r>
      <w:r>
        <w:tab/>
        <w:t>Section 36A is amended by deleting “and shall secure the safety, health and welfare of persons engaged in operations in connection with the pipeline”.</w:t>
      </w:r>
    </w:p>
    <w:p>
      <w:pPr>
        <w:pStyle w:val="nzHeading5"/>
      </w:pPr>
      <w:bookmarkStart w:id="380" w:name="_Toc80428027"/>
      <w:bookmarkStart w:id="381" w:name="_Toc99357109"/>
      <w:bookmarkStart w:id="382" w:name="_Toc99769608"/>
      <w:bookmarkStart w:id="383" w:name="_Toc112746477"/>
      <w:r>
        <w:rPr>
          <w:rStyle w:val="CharSectno"/>
        </w:rPr>
        <w:t>22</w:t>
      </w:r>
      <w:r>
        <w:t>.</w:t>
      </w:r>
      <w:r>
        <w:tab/>
        <w:t>Section 55 repealed</w:t>
      </w:r>
      <w:bookmarkEnd w:id="380"/>
      <w:bookmarkEnd w:id="381"/>
      <w:bookmarkEnd w:id="382"/>
      <w:bookmarkEnd w:id="383"/>
    </w:p>
    <w:p>
      <w:pPr>
        <w:pStyle w:val="nzSubsection"/>
      </w:pPr>
      <w:r>
        <w:tab/>
      </w:r>
      <w:r>
        <w:tab/>
        <w:t>Section 55 is repealed.</w:t>
      </w:r>
    </w:p>
    <w:p>
      <w:pPr>
        <w:pStyle w:val="nzHeading5"/>
      </w:pPr>
      <w:bookmarkStart w:id="384" w:name="_Toc80428028"/>
      <w:bookmarkStart w:id="385" w:name="_Toc99357110"/>
      <w:bookmarkStart w:id="386" w:name="_Toc99769609"/>
      <w:bookmarkStart w:id="387" w:name="_Toc112746478"/>
      <w:r>
        <w:rPr>
          <w:rStyle w:val="CharSectno"/>
        </w:rPr>
        <w:t>23</w:t>
      </w:r>
      <w:r>
        <w:t>.</w:t>
      </w:r>
      <w:r>
        <w:tab/>
        <w:t>Part IVA inserted</w:t>
      </w:r>
      <w:bookmarkEnd w:id="384"/>
      <w:bookmarkEnd w:id="385"/>
      <w:bookmarkEnd w:id="386"/>
      <w:bookmarkEnd w:id="387"/>
    </w:p>
    <w:p>
      <w:pPr>
        <w:pStyle w:val="nzSubsection"/>
      </w:pPr>
      <w:r>
        <w:tab/>
      </w:r>
      <w:r>
        <w:tab/>
        <w:t xml:space="preserve">After section 56 the following Part is inserted — </w:t>
      </w:r>
    </w:p>
    <w:p>
      <w:pPr>
        <w:pStyle w:val="MiscOpen"/>
      </w:pPr>
      <w:r>
        <w:t xml:space="preserve">“    </w:t>
      </w:r>
    </w:p>
    <w:p>
      <w:pPr>
        <w:pStyle w:val="nzHeading2"/>
      </w:pPr>
      <w:bookmarkStart w:id="388" w:name="_Toc112746354"/>
      <w:bookmarkStart w:id="389" w:name="_Toc112746479"/>
      <w:r>
        <w:t>Part IVA</w:t>
      </w:r>
      <w:r>
        <w:rPr>
          <w:b w:val="0"/>
        </w:rPr>
        <w:t> </w:t>
      </w:r>
      <w:r>
        <w:t>—</w:t>
      </w:r>
      <w:r>
        <w:rPr>
          <w:b w:val="0"/>
        </w:rPr>
        <w:t> </w:t>
      </w:r>
      <w:r>
        <w:t>Occupational safety and health</w:t>
      </w:r>
      <w:bookmarkEnd w:id="388"/>
      <w:bookmarkEnd w:id="389"/>
      <w:r>
        <w:t xml:space="preserve"> </w:t>
      </w:r>
    </w:p>
    <w:p>
      <w:pPr>
        <w:pStyle w:val="nzHeading5"/>
      </w:pPr>
      <w:r>
        <w:t>56A.</w:t>
      </w:r>
      <w:r>
        <w:tab/>
        <w:t>Occupational safety and health</w:t>
      </w:r>
    </w:p>
    <w:p>
      <w:pPr>
        <w:pStyle w:val="nzSubsection"/>
      </w:pPr>
      <w:r>
        <w:tab/>
      </w:r>
      <w:r>
        <w:tab/>
        <w:t>Schedule 1 has effect.</w:t>
      </w:r>
    </w:p>
    <w:p>
      <w:pPr>
        <w:pStyle w:val="nzHeading5"/>
      </w:pPr>
      <w:r>
        <w:t>56B.</w:t>
      </w:r>
      <w:r>
        <w:tab/>
        <w:t>Regulations relating to occupational safety and health</w:t>
      </w:r>
    </w:p>
    <w:p>
      <w:pPr>
        <w:pStyle w:val="nzSubsection"/>
      </w:pPr>
      <w:r>
        <w:tab/>
        <w:t>(1)</w:t>
      </w:r>
      <w:r>
        <w:tab/>
        <w:t xml:space="preserve">The regulations may make provision in relation to — </w:t>
      </w:r>
    </w:p>
    <w:p>
      <w:pPr>
        <w:pStyle w:val="nzIndenta"/>
      </w:pPr>
      <w:r>
        <w:tab/>
        <w:t>(a)</w:t>
      </w:r>
      <w:r>
        <w:tab/>
        <w:t xml:space="preserve">the occupational safety and health of a person engaged in a pipeline operation; or </w:t>
      </w:r>
    </w:p>
    <w:p>
      <w:pPr>
        <w:pStyle w:val="nzIndenta"/>
      </w:pPr>
      <w:r>
        <w:tab/>
        <w:t>(b)</w:t>
      </w:r>
      <w:r>
        <w:tab/>
        <w:t>the safety and health of any other protected person.</w:t>
      </w:r>
    </w:p>
    <w:p>
      <w:pPr>
        <w:pStyle w:val="nzSubsection"/>
      </w:pPr>
      <w:r>
        <w:tab/>
        <w:t>(2)</w:t>
      </w:r>
      <w:r>
        <w:tab/>
        <w:t xml:space="preserve">Without limiting subsection (1), regulations for the purpose of that subsection may — </w:t>
      </w:r>
    </w:p>
    <w:p>
      <w:pPr>
        <w:pStyle w:val="nzIndenta"/>
      </w:pPr>
      <w:r>
        <w:tab/>
        <w:t>(a)</w:t>
      </w:r>
      <w:r>
        <w:tab/>
        <w:t xml:space="preserve">require a person who is carrying on a pipeline operation to establish and maintain a system of management to secure — </w:t>
      </w:r>
    </w:p>
    <w:p>
      <w:pPr>
        <w:pStyle w:val="nzIndenti"/>
      </w:pPr>
      <w:r>
        <w:tab/>
        <w:t>(i)</w:t>
      </w:r>
      <w:r>
        <w:tab/>
        <w:t xml:space="preserve">the occupational safety and health of a person engaged in a pipeline operation; or </w:t>
      </w:r>
    </w:p>
    <w:p>
      <w:pPr>
        <w:pStyle w:val="nzIndenti"/>
      </w:pPr>
      <w:r>
        <w:tab/>
        <w:t>(ii)</w:t>
      </w:r>
      <w:r>
        <w:tab/>
        <w:t>the safety and health of any other protected person;</w:t>
      </w:r>
    </w:p>
    <w:p>
      <w:pPr>
        <w:pStyle w:val="nzIndenta"/>
      </w:pPr>
      <w:r>
        <w:tab/>
      </w:r>
      <w:r>
        <w:tab/>
        <w:t>and</w:t>
      </w:r>
    </w:p>
    <w:p>
      <w:pPr>
        <w:pStyle w:val="nzIndenta"/>
      </w:pPr>
      <w:r>
        <w:tab/>
        <w:t>(b)</w:t>
      </w:r>
      <w:r>
        <w:tab/>
        <w:t>specify requirements with which the system must comply.</w:t>
      </w:r>
    </w:p>
    <w:p>
      <w:pPr>
        <w:pStyle w:val="nzHeading5"/>
      </w:pPr>
      <w:r>
        <w:t>56C.</w:t>
      </w:r>
      <w:r>
        <w:tab/>
        <w:t>Minister’s occupational safety and health functions</w:t>
      </w:r>
    </w:p>
    <w:p>
      <w:pPr>
        <w:pStyle w:val="nzSubsection"/>
      </w:pPr>
      <w:r>
        <w:tab/>
        <w:t>(1)</w:t>
      </w:r>
      <w:r>
        <w:tab/>
        <w:t xml:space="preserve">The Minister has the following functions — </w:t>
      </w:r>
    </w:p>
    <w:p>
      <w:pPr>
        <w:pStyle w:val="nzIndenta"/>
      </w:pPr>
      <w:r>
        <w:tab/>
        <w:t>(a)</w:t>
      </w:r>
      <w:r>
        <w:tab/>
        <w:t>to promote the occupational safety and health of persons engaged in pipeline operations;</w:t>
      </w:r>
    </w:p>
    <w:p>
      <w:pPr>
        <w:pStyle w:val="nzIndenta"/>
      </w:pPr>
      <w:r>
        <w:tab/>
        <w:t>(b)</w:t>
      </w:r>
      <w:r>
        <w:tab/>
        <w:t>to develop and implement effective monitoring and enforcement strategies to secure compliance by persons with their occupational safety and health obligations under this Act;</w:t>
      </w:r>
    </w:p>
    <w:p>
      <w:pPr>
        <w:pStyle w:val="nzIndenta"/>
      </w:pPr>
      <w:r>
        <w:tab/>
        <w:t>(c)</w:t>
      </w:r>
      <w:r>
        <w:tab/>
        <w:t>to investigate accidents, occurrences and circumstances that affect, or have the potential to affect, the occupational safety and health of persons engaged in pipeline operations;</w:t>
      </w:r>
    </w:p>
    <w:p>
      <w:pPr>
        <w:pStyle w:val="nzIndenta"/>
      </w:pPr>
      <w:r>
        <w:tab/>
        <w:t>(d)</w:t>
      </w:r>
      <w:r>
        <w:tab/>
        <w:t>to advise persons, either on the Minister’s own initiative or on request, on occupational safety and health matters relating to pipeline operations.</w:t>
      </w:r>
    </w:p>
    <w:p>
      <w:pPr>
        <w:pStyle w:val="nzSubsection"/>
      </w:pPr>
      <w:r>
        <w:tab/>
        <w:t>(2)</w:t>
      </w:r>
      <w:r>
        <w:tab/>
        <w:t>The Minister has power to do all things necessary or convenient to be done for or in connection with the performance of the Minister’s functions.</w:t>
      </w:r>
    </w:p>
    <w:p>
      <w:pPr>
        <w:pStyle w:val="MiscClose"/>
        <w:ind w:right="577"/>
      </w:pPr>
      <w:r>
        <w:t xml:space="preserve">    ”.</w:t>
      </w:r>
    </w:p>
    <w:p>
      <w:pPr>
        <w:pStyle w:val="nzHeading5"/>
      </w:pPr>
      <w:bookmarkStart w:id="390" w:name="_Toc80428029"/>
      <w:bookmarkStart w:id="391" w:name="_Toc99357111"/>
      <w:bookmarkStart w:id="392" w:name="_Toc99769610"/>
      <w:bookmarkStart w:id="393" w:name="_Toc112746480"/>
      <w:r>
        <w:rPr>
          <w:rStyle w:val="CharSectno"/>
        </w:rPr>
        <w:t>24</w:t>
      </w:r>
      <w:r>
        <w:t>.</w:t>
      </w:r>
      <w:r>
        <w:tab/>
        <w:t>Section 61 amended</w:t>
      </w:r>
      <w:bookmarkEnd w:id="390"/>
      <w:bookmarkEnd w:id="391"/>
      <w:bookmarkEnd w:id="392"/>
      <w:bookmarkEnd w:id="393"/>
    </w:p>
    <w:p>
      <w:pPr>
        <w:pStyle w:val="nzSubsection"/>
      </w:pPr>
      <w:r>
        <w:tab/>
        <w:t>(1)</w:t>
      </w:r>
      <w:r>
        <w:tab/>
        <w:t>Section 61(1)(a) is amended by deleting “</w:t>
      </w:r>
      <w:r>
        <w:rPr>
          <w:snapToGrid w:val="0"/>
        </w:rPr>
        <w:t>Department of Mines at Perth in the State</w:t>
      </w:r>
      <w:r>
        <w:t xml:space="preserve">” and inserting instead — </w:t>
      </w:r>
    </w:p>
    <w:p>
      <w:pPr>
        <w:pStyle w:val="MiscOpen"/>
        <w:ind w:left="1620"/>
      </w:pPr>
      <w:r>
        <w:t xml:space="preserve">“    </w:t>
      </w:r>
    </w:p>
    <w:p>
      <w:pPr>
        <w:pStyle w:val="nzIndenta"/>
      </w:pPr>
      <w:r>
        <w:tab/>
      </w:r>
      <w:r>
        <w:tab/>
        <w:t>department of the Public Service principally assisting in the administration of this Act</w:t>
      </w:r>
    </w:p>
    <w:p>
      <w:pPr>
        <w:pStyle w:val="MiscClose"/>
        <w:ind w:right="577"/>
      </w:pPr>
      <w:r>
        <w:t xml:space="preserve">    ”.</w:t>
      </w:r>
    </w:p>
    <w:p>
      <w:pPr>
        <w:pStyle w:val="nzSubsection"/>
      </w:pPr>
      <w:r>
        <w:tab/>
        <w:t>(2)</w:t>
      </w:r>
      <w:r>
        <w:tab/>
        <w:t>Section 61(4) is repealed.</w:t>
      </w:r>
    </w:p>
    <w:p>
      <w:pPr>
        <w:pStyle w:val="nzHeading5"/>
      </w:pPr>
      <w:bookmarkStart w:id="394" w:name="_Toc80428030"/>
      <w:bookmarkStart w:id="395" w:name="_Toc99357112"/>
      <w:bookmarkStart w:id="396" w:name="_Toc99769611"/>
      <w:bookmarkStart w:id="397" w:name="_Toc112746481"/>
      <w:r>
        <w:rPr>
          <w:rStyle w:val="CharSectno"/>
        </w:rPr>
        <w:t>25</w:t>
      </w:r>
      <w:r>
        <w:t>.</w:t>
      </w:r>
      <w:r>
        <w:tab/>
        <w:t>Section 62 amended</w:t>
      </w:r>
      <w:bookmarkEnd w:id="394"/>
      <w:bookmarkEnd w:id="395"/>
      <w:bookmarkEnd w:id="396"/>
      <w:bookmarkEnd w:id="397"/>
    </w:p>
    <w:p>
      <w:pPr>
        <w:pStyle w:val="nzSubsection"/>
      </w:pPr>
      <w:r>
        <w:tab/>
        <w:t>(1)</w:t>
      </w:r>
      <w:r>
        <w:tab/>
        <w:t xml:space="preserve">Section 62(1) is amended by deleting “the purposes of this Act and the regulations.” and inserting instead — </w:t>
      </w:r>
    </w:p>
    <w:p>
      <w:pPr>
        <w:pStyle w:val="MiscOpen"/>
        <w:ind w:left="880"/>
      </w:pPr>
      <w:r>
        <w:t xml:space="preserve">“    </w:t>
      </w:r>
    </w:p>
    <w:p>
      <w:pPr>
        <w:pStyle w:val="nzSubsection"/>
      </w:pPr>
      <w:r>
        <w:tab/>
      </w:r>
      <w:r>
        <w:tab/>
        <w:t>such or all of the purposes of this Act as are specified in the instrument of appointment.</w:t>
      </w:r>
    </w:p>
    <w:p>
      <w:pPr>
        <w:pStyle w:val="MiscClose"/>
        <w:ind w:right="577"/>
      </w:pPr>
      <w:r>
        <w:t xml:space="preserve">    ”.</w:t>
      </w:r>
    </w:p>
    <w:p>
      <w:pPr>
        <w:pStyle w:val="nzSubsection"/>
      </w:pPr>
      <w:r>
        <w:tab/>
        <w:t>(2)</w:t>
      </w:r>
      <w:r>
        <w:tab/>
        <w:t xml:space="preserve">Section 62(2) is amended by deleting “he is an inspector for the purposes of this Act and the regulations.” and inserting instead — </w:t>
      </w:r>
    </w:p>
    <w:p>
      <w:pPr>
        <w:pStyle w:val="MiscOpen"/>
        <w:ind w:left="880"/>
      </w:pPr>
      <w:r>
        <w:t xml:space="preserve">“    </w:t>
      </w:r>
    </w:p>
    <w:p>
      <w:pPr>
        <w:pStyle w:val="nzSubsection"/>
      </w:pPr>
      <w:r>
        <w:tab/>
      </w:r>
      <w:r>
        <w:tab/>
        <w:t>the person is an inspector for the purposes specified in the certificate.</w:t>
      </w:r>
    </w:p>
    <w:p>
      <w:pPr>
        <w:pStyle w:val="MiscClose"/>
        <w:ind w:right="577"/>
      </w:pPr>
      <w:r>
        <w:t xml:space="preserve">    ”.</w:t>
      </w:r>
    </w:p>
    <w:p>
      <w:pPr>
        <w:pStyle w:val="nzHeading5"/>
      </w:pPr>
      <w:bookmarkStart w:id="398" w:name="_Toc80428031"/>
      <w:bookmarkStart w:id="399" w:name="_Toc99357113"/>
      <w:bookmarkStart w:id="400" w:name="_Toc99769612"/>
      <w:bookmarkStart w:id="401" w:name="_Toc112746482"/>
      <w:r>
        <w:rPr>
          <w:rStyle w:val="CharSectno"/>
        </w:rPr>
        <w:t>26</w:t>
      </w:r>
      <w:r>
        <w:t>.</w:t>
      </w:r>
      <w:r>
        <w:tab/>
        <w:t>Section 63 amended</w:t>
      </w:r>
      <w:bookmarkEnd w:id="398"/>
      <w:bookmarkEnd w:id="399"/>
      <w:bookmarkEnd w:id="400"/>
      <w:bookmarkEnd w:id="401"/>
    </w:p>
    <w:p>
      <w:pPr>
        <w:pStyle w:val="nzSubsection"/>
      </w:pPr>
      <w:r>
        <w:tab/>
      </w:r>
      <w:r>
        <w:tab/>
        <w:t xml:space="preserve">Section 63(1) is amended by deleting “and the regulations,” and inserting instead — </w:t>
      </w:r>
    </w:p>
    <w:p>
      <w:pPr>
        <w:pStyle w:val="MiscOpen"/>
        <w:ind w:left="880"/>
      </w:pPr>
      <w:r>
        <w:t xml:space="preserve">“    </w:t>
      </w:r>
    </w:p>
    <w:p>
      <w:pPr>
        <w:pStyle w:val="nzSubsection"/>
      </w:pPr>
      <w:r>
        <w:tab/>
      </w:r>
      <w:r>
        <w:tab/>
        <w:t>, but without affecting the powers of an inspector under Schedule 1,</w:t>
      </w:r>
    </w:p>
    <w:p>
      <w:pPr>
        <w:pStyle w:val="MiscClose"/>
        <w:ind w:right="577"/>
      </w:pPr>
      <w:r>
        <w:t xml:space="preserve">    ”.</w:t>
      </w:r>
    </w:p>
    <w:p>
      <w:pPr>
        <w:pStyle w:val="nzHeading5"/>
      </w:pPr>
      <w:bookmarkStart w:id="402" w:name="_Toc80428032"/>
      <w:bookmarkStart w:id="403" w:name="_Toc99357114"/>
      <w:bookmarkStart w:id="404" w:name="_Toc99769613"/>
      <w:bookmarkStart w:id="405" w:name="_Toc112746483"/>
      <w:r>
        <w:rPr>
          <w:rStyle w:val="CharSectno"/>
        </w:rPr>
        <w:t>27</w:t>
      </w:r>
      <w:r>
        <w:t>.</w:t>
      </w:r>
      <w:r>
        <w:tab/>
        <w:t>Section 63A inserted</w:t>
      </w:r>
      <w:bookmarkEnd w:id="402"/>
      <w:bookmarkEnd w:id="403"/>
      <w:bookmarkEnd w:id="404"/>
      <w:bookmarkEnd w:id="405"/>
    </w:p>
    <w:p>
      <w:pPr>
        <w:pStyle w:val="nzSubsection"/>
      </w:pPr>
      <w:r>
        <w:tab/>
      </w:r>
      <w:r>
        <w:tab/>
        <w:t xml:space="preserve">After section 63 the following section is inserted — </w:t>
      </w:r>
    </w:p>
    <w:p>
      <w:pPr>
        <w:pStyle w:val="MiscOpen"/>
      </w:pPr>
      <w:bookmarkStart w:id="406" w:name="_Toc48027065"/>
      <w:r>
        <w:t xml:space="preserve">“    </w:t>
      </w:r>
    </w:p>
    <w:p>
      <w:pPr>
        <w:pStyle w:val="nzHeading5"/>
      </w:pPr>
      <w:r>
        <w:t>63A.</w:t>
      </w:r>
      <w:r>
        <w:tab/>
        <w:t>Protection from liability for wrongdoing</w:t>
      </w:r>
      <w:bookmarkEnd w:id="406"/>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rPr>
          <w:b/>
          <w:i/>
        </w:rPr>
      </w:pPr>
      <w:r>
        <w:tab/>
        <w:t>(4)</w:t>
      </w:r>
      <w:r>
        <w:tab/>
        <w:t>In this section a reference to the doing of anything includes a reference to the omission to do anything.</w:t>
      </w:r>
    </w:p>
    <w:p>
      <w:pPr>
        <w:pStyle w:val="MiscClose"/>
        <w:ind w:right="577"/>
      </w:pPr>
      <w:r>
        <w:t xml:space="preserve">    ”.</w:t>
      </w:r>
    </w:p>
    <w:p>
      <w:pPr>
        <w:pStyle w:val="nzHeading5"/>
      </w:pPr>
      <w:bookmarkStart w:id="407" w:name="_Toc99357115"/>
      <w:bookmarkStart w:id="408" w:name="_Toc99769614"/>
      <w:bookmarkStart w:id="409" w:name="_Toc112746484"/>
      <w:r>
        <w:rPr>
          <w:rStyle w:val="CharSectno"/>
        </w:rPr>
        <w:t>28</w:t>
      </w:r>
      <w:r>
        <w:t>.</w:t>
      </w:r>
      <w:r>
        <w:tab/>
        <w:t>Section 65 replaced</w:t>
      </w:r>
      <w:bookmarkEnd w:id="407"/>
      <w:bookmarkEnd w:id="408"/>
      <w:bookmarkEnd w:id="409"/>
    </w:p>
    <w:p>
      <w:pPr>
        <w:pStyle w:val="nzSubsection"/>
      </w:pPr>
      <w:r>
        <w:tab/>
      </w:r>
      <w:r>
        <w:tab/>
        <w:t xml:space="preserve">Section 65 is repealed and the following section is inserted instead — </w:t>
      </w:r>
    </w:p>
    <w:p>
      <w:pPr>
        <w:pStyle w:val="MiscOpen"/>
      </w:pPr>
      <w:r>
        <w:t xml:space="preserve">“    </w:t>
      </w:r>
    </w:p>
    <w:p>
      <w:pPr>
        <w:pStyle w:val="nzHeading5"/>
      </w:pPr>
      <w:r>
        <w:t>65.</w:t>
      </w:r>
      <w:r>
        <w:tab/>
        <w:t>Interfering with pipeline operation</w:t>
      </w:r>
    </w:p>
    <w:p>
      <w:pPr>
        <w:pStyle w:val="nzSubsection"/>
      </w:pPr>
      <w:r>
        <w:tab/>
      </w:r>
      <w:r>
        <w:tab/>
        <w:t xml:space="preserve">A person must not intentionally or recklessly — </w:t>
      </w:r>
    </w:p>
    <w:p>
      <w:pPr>
        <w:pStyle w:val="nzIndenta"/>
      </w:pPr>
      <w:r>
        <w:tab/>
        <w:t>(a)</w:t>
      </w:r>
      <w:r>
        <w:tab/>
        <w:t>cause damage to, or interfere with, any pipeline; or</w:t>
      </w:r>
    </w:p>
    <w:p>
      <w:pPr>
        <w:pStyle w:val="nzIndenta"/>
      </w:pPr>
      <w:r>
        <w:tab/>
        <w:t>(b)</w:t>
      </w:r>
      <w:r>
        <w:tab/>
        <w:t>interfere with any pipeline operation.</w:t>
      </w:r>
    </w:p>
    <w:p>
      <w:pPr>
        <w:pStyle w:val="nzPenstart"/>
      </w:pPr>
      <w:r>
        <w:tab/>
        <w:t>Penalty:</w:t>
      </w:r>
      <w:r>
        <w:tab/>
        <w:t>imprisonment for 10 years.</w:t>
      </w:r>
    </w:p>
    <w:p>
      <w:pPr>
        <w:pStyle w:val="MiscClose"/>
        <w:ind w:right="577"/>
      </w:pPr>
      <w:r>
        <w:t xml:space="preserve">    ”.</w:t>
      </w:r>
    </w:p>
    <w:p>
      <w:pPr>
        <w:pStyle w:val="nzHeading5"/>
      </w:pPr>
      <w:bookmarkStart w:id="410" w:name="_Toc80428033"/>
      <w:bookmarkStart w:id="411" w:name="_Toc99357116"/>
      <w:bookmarkStart w:id="412" w:name="_Toc99769615"/>
      <w:bookmarkStart w:id="413" w:name="_Toc112746485"/>
      <w:r>
        <w:rPr>
          <w:rStyle w:val="CharSectno"/>
        </w:rPr>
        <w:t>29</w:t>
      </w:r>
      <w:r>
        <w:t>.</w:t>
      </w:r>
      <w:r>
        <w:tab/>
        <w:t>Sections 66BA and 66BB inserted and transitional provision</w:t>
      </w:r>
      <w:bookmarkEnd w:id="410"/>
      <w:bookmarkEnd w:id="411"/>
      <w:bookmarkEnd w:id="412"/>
      <w:bookmarkEnd w:id="413"/>
    </w:p>
    <w:p>
      <w:pPr>
        <w:pStyle w:val="nzSubsection"/>
      </w:pPr>
      <w:r>
        <w:tab/>
        <w:t>(1)</w:t>
      </w:r>
      <w:r>
        <w:tab/>
        <w:t xml:space="preserve">After section 66B the following sections are inserted — </w:t>
      </w:r>
    </w:p>
    <w:p>
      <w:pPr>
        <w:pStyle w:val="MiscOpen"/>
      </w:pPr>
      <w:r>
        <w:t xml:space="preserve">“    </w:t>
      </w:r>
    </w:p>
    <w:p>
      <w:pPr>
        <w:pStyle w:val="nzHeading5"/>
      </w:pPr>
      <w:r>
        <w:t>66BA.</w:t>
      </w:r>
      <w:r>
        <w:tab/>
        <w:t>Time for bringing proceedings for offences against this Act (including the regulations)</w:t>
      </w:r>
    </w:p>
    <w:p>
      <w:pPr>
        <w:pStyle w:val="nzSubsection"/>
      </w:pPr>
      <w:r>
        <w:tab/>
      </w:r>
      <w:r>
        <w:tab/>
        <w:t>A proceeding for an offence against this Act may be brought at any time.</w:t>
      </w:r>
    </w:p>
    <w:p>
      <w:pPr>
        <w:pStyle w:val="nzHeading5"/>
      </w:pPr>
      <w:r>
        <w:t>66BB.</w:t>
      </w:r>
      <w:r>
        <w:tab/>
        <w:t>Evidentiary matters</w:t>
      </w:r>
    </w:p>
    <w:p>
      <w:pPr>
        <w:pStyle w:val="nzSubsection"/>
      </w:pPr>
      <w:r>
        <w:tab/>
        <w:t>(1)</w:t>
      </w:r>
      <w:r>
        <w:tab/>
        <w:t xml:space="preserve">In a proceeding for an offence against this Act an averment in the complaint that at a particular time — </w:t>
      </w:r>
    </w:p>
    <w:p>
      <w:pPr>
        <w:pStyle w:val="nzIndenta"/>
      </w:pPr>
      <w:r>
        <w:tab/>
        <w:t>(a)</w:t>
      </w:r>
      <w:r>
        <w:tab/>
        <w:t>a particular operation was a pipeline operation;</w:t>
      </w:r>
    </w:p>
    <w:p>
      <w:pPr>
        <w:pStyle w:val="nzIndenta"/>
      </w:pPr>
      <w:r>
        <w:tab/>
        <w:t>(b)</w:t>
      </w:r>
      <w:r>
        <w:tab/>
        <w:t>a particular person was the licensee for a pipeline operation;</w:t>
      </w:r>
    </w:p>
    <w:p>
      <w:pPr>
        <w:pStyle w:val="nzIndenta"/>
      </w:pPr>
      <w:r>
        <w:tab/>
        <w:t>(c)</w:t>
      </w:r>
      <w:r>
        <w:tab/>
        <w:t>a particular person was in control of a particular part of a pipeline operation;</w:t>
      </w:r>
    </w:p>
    <w:p>
      <w:pPr>
        <w:pStyle w:val="nzIndenta"/>
      </w:pPr>
      <w:r>
        <w:tab/>
        <w:t>(d)</w:t>
      </w:r>
      <w:r>
        <w:tab/>
        <w:t>a particular person was an employer who carried on a pipeline operation;</w:t>
      </w:r>
    </w:p>
    <w:p>
      <w:pPr>
        <w:pStyle w:val="nzIndenta"/>
      </w:pPr>
      <w:r>
        <w:tab/>
        <w:t>(e)</w:t>
      </w:r>
      <w:r>
        <w:tab/>
        <w:t>a particular person was an employer of a particular person or particular persons engaged in a pipeline operation;</w:t>
      </w:r>
    </w:p>
    <w:p>
      <w:pPr>
        <w:pStyle w:val="nzIndenta"/>
      </w:pPr>
      <w:r>
        <w:tab/>
        <w:t>(f)</w:t>
      </w:r>
      <w:r>
        <w:tab/>
        <w:t>a particular person was an employee or inspector,</w:t>
      </w:r>
    </w:p>
    <w:p>
      <w:pPr>
        <w:pStyle w:val="nzSubsection"/>
      </w:pPr>
      <w:r>
        <w:tab/>
      </w:r>
      <w:r>
        <w:tab/>
        <w:t>is to be taken to have been proved in the absence of evidence to the contrary.</w:t>
      </w:r>
    </w:p>
    <w:p>
      <w:pPr>
        <w:pStyle w:val="nzSubsection"/>
      </w:pPr>
      <w:r>
        <w:tab/>
        <w:t>(2)</w:t>
      </w:r>
      <w:r>
        <w:tab/>
        <w:t xml:space="preserve">In a proceeding for an offence against this Act, proof is not required as to any of the following matters, unless evidence is given to the contrary — </w:t>
      </w:r>
    </w:p>
    <w:p>
      <w:pPr>
        <w:pStyle w:val="nzIndenta"/>
      </w:pPr>
      <w:r>
        <w:tab/>
        <w:t>(a)</w:t>
      </w:r>
      <w:r>
        <w:tab/>
        <w:t>a delegation under section 61 by the Minister of a power or function;</w:t>
      </w:r>
    </w:p>
    <w:p>
      <w:pPr>
        <w:pStyle w:val="nzIndenta"/>
      </w:pPr>
      <w:r>
        <w:tab/>
        <w:t>(b)</w:t>
      </w:r>
      <w:r>
        <w:tab/>
        <w:t>the authority of any person to institute a proceeding for an offence against this Act other than an offence against a listed OSH law;</w:t>
      </w:r>
    </w:p>
    <w:p>
      <w:pPr>
        <w:pStyle w:val="nzIndenta"/>
      </w:pPr>
      <w:r>
        <w:tab/>
        <w:t>(c)</w:t>
      </w:r>
      <w:r>
        <w:tab/>
        <w:t>the authority of an inspector to institute a proceeding for an offence against a listed OSH law.</w:t>
      </w:r>
    </w:p>
    <w:p>
      <w:pPr>
        <w:pStyle w:val="nzSubsection"/>
      </w:pPr>
      <w:r>
        <w:tab/>
        <w:t>(3)</w:t>
      </w:r>
      <w:r>
        <w:tab/>
        <w:t xml:space="preserve">In a proceeding for an offence against this Act, production of a copy of — </w:t>
      </w:r>
    </w:p>
    <w:p>
      <w:pPr>
        <w:pStyle w:val="nzIndenta"/>
      </w:pPr>
      <w:r>
        <w:tab/>
        <w:t>(a)</w:t>
      </w:r>
      <w:r>
        <w:tab/>
        <w:t>a code of practice;</w:t>
      </w:r>
    </w:p>
    <w:p>
      <w:pPr>
        <w:pStyle w:val="nzIndenta"/>
      </w:pPr>
      <w:r>
        <w:tab/>
        <w:t>(b)</w:t>
      </w:r>
      <w:r>
        <w:tab/>
        <w:t>an Australian Standard; or</w:t>
      </w:r>
    </w:p>
    <w:p>
      <w:pPr>
        <w:pStyle w:val="nzIndenta"/>
      </w:pPr>
      <w:r>
        <w:tab/>
        <w:t>(c)</w:t>
      </w:r>
      <w:r>
        <w:tab/>
        <w:t>an Australian/New Zealand Standard,</w:t>
      </w:r>
    </w:p>
    <w:p>
      <w:pPr>
        <w:pStyle w:val="nz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nzSubsection"/>
      </w:pPr>
      <w:r>
        <w:tab/>
        <w:t>(4)</w:t>
      </w:r>
      <w:r>
        <w:tab/>
        <w:t xml:space="preserve">In subsection (3) — </w:t>
      </w:r>
    </w:p>
    <w:p>
      <w:pPr>
        <w:pStyle w:val="nzDefstart"/>
      </w:pPr>
      <w:r>
        <w:rPr>
          <w:b/>
        </w:rPr>
        <w:tab/>
        <w:t>“</w:t>
      </w:r>
      <w:r>
        <w:rPr>
          <w:rStyle w:val="CharDefText"/>
        </w:rPr>
        <w:t>Australian Standard</w:t>
      </w:r>
      <w:r>
        <w:rPr>
          <w:b/>
        </w:rPr>
        <w:t>”</w:t>
      </w:r>
      <w:r>
        <w:t xml:space="preserve"> means a document having that title published by Standards Australia;</w:t>
      </w:r>
    </w:p>
    <w:p>
      <w:pPr>
        <w:pStyle w:val="nzDefstart"/>
      </w:pPr>
      <w:r>
        <w:rPr>
          <w:b/>
        </w:rPr>
        <w:tab/>
        <w:t>“</w:t>
      </w:r>
      <w:r>
        <w:rPr>
          <w:rStyle w:val="CharDefText"/>
        </w:rPr>
        <w:t>Australian/New Zealand Standard</w:t>
      </w:r>
      <w:r>
        <w:rPr>
          <w:b/>
        </w:rPr>
        <w:t>”</w:t>
      </w:r>
      <w:r>
        <w:t xml:space="preserve"> means a document having that title jointly published by Standards Australia and the Standards Council of New Zealand;</w:t>
      </w:r>
    </w:p>
    <w:p>
      <w:pPr>
        <w:pStyle w:val="nzDefstart"/>
      </w:pPr>
      <w:r>
        <w:rPr>
          <w:b/>
        </w:rPr>
        <w:tab/>
        <w:t>“</w:t>
      </w:r>
      <w:r>
        <w:rPr>
          <w:rStyle w:val="CharDefText"/>
        </w:rPr>
        <w:t>CEO</w:t>
      </w:r>
      <w:r>
        <w:rPr>
          <w:b/>
        </w:rPr>
        <w:t>”</w:t>
      </w:r>
      <w:r>
        <w:t xml:space="preserve"> means the chief executive officer of the department of the Public Service principally assisting in the administration of this Act.</w:t>
      </w:r>
    </w:p>
    <w:p>
      <w:pPr>
        <w:pStyle w:val="MiscClose"/>
        <w:ind w:right="577"/>
      </w:pPr>
      <w:r>
        <w:t xml:space="preserve">    ”.</w:t>
      </w:r>
    </w:p>
    <w:p>
      <w:pPr>
        <w:pStyle w:val="nzSubsection"/>
      </w:pPr>
      <w:r>
        <w:tab/>
        <w:t>(2)</w:t>
      </w:r>
      <w:r>
        <w:tab/>
        <w:t xml:space="preserve">Section 51 of the </w:t>
      </w:r>
      <w:r>
        <w:rPr>
          <w:i/>
        </w:rPr>
        <w:t>Justices Act 1902</w:t>
      </w:r>
      <w:r>
        <w:t xml:space="preserve"> as in force immediately before the commencement of subsection (1) applies to an offence against the </w:t>
      </w:r>
      <w:r>
        <w:rPr>
          <w:i/>
        </w:rPr>
        <w:t>Petroleum Pipelines Act 1969</w:t>
      </w:r>
      <w:r>
        <w:t xml:space="preserve"> committed before that commencement as if subsection (1) had not been enacted.</w:t>
      </w:r>
    </w:p>
    <w:p>
      <w:pPr>
        <w:pStyle w:val="nzHeading5"/>
      </w:pPr>
      <w:bookmarkStart w:id="414" w:name="_Toc80428034"/>
      <w:bookmarkStart w:id="415" w:name="_Toc99357117"/>
      <w:bookmarkStart w:id="416" w:name="_Toc99769616"/>
      <w:bookmarkStart w:id="417" w:name="_Toc112746486"/>
      <w:r>
        <w:rPr>
          <w:rStyle w:val="CharSectno"/>
        </w:rPr>
        <w:t>30</w:t>
      </w:r>
      <w:r>
        <w:t>.</w:t>
      </w:r>
      <w:r>
        <w:tab/>
        <w:t>Section 67 amended</w:t>
      </w:r>
      <w:bookmarkEnd w:id="414"/>
      <w:bookmarkEnd w:id="415"/>
      <w:bookmarkEnd w:id="416"/>
      <w:bookmarkEnd w:id="417"/>
    </w:p>
    <w:p>
      <w:pPr>
        <w:pStyle w:val="nzSubsection"/>
      </w:pPr>
      <w:r>
        <w:tab/>
        <w:t>(1)</w:t>
      </w:r>
      <w:r>
        <w:tab/>
        <w:t xml:space="preserve">After section 67(1)(f) the following paragraphs are inserted — </w:t>
      </w:r>
    </w:p>
    <w:p>
      <w:pPr>
        <w:pStyle w:val="MiscOpen"/>
        <w:ind w:left="1340"/>
      </w:pPr>
      <w:r>
        <w:t xml:space="preserve">“    </w:t>
      </w:r>
    </w:p>
    <w:p>
      <w:pPr>
        <w:pStyle w:val="nzIndenta"/>
      </w:pPr>
      <w:r>
        <w:tab/>
        <w:t>(fa)</w:t>
      </w:r>
      <w:r>
        <w:tab/>
        <w:t>fees in relation to pipeline safety audits or other services provided by the Minister;</w:t>
      </w:r>
    </w:p>
    <w:p>
      <w:pPr>
        <w:pStyle w:val="nzIndenta"/>
      </w:pPr>
      <w:r>
        <w:tab/>
        <w:t>(fb)</w:t>
      </w:r>
      <w:r>
        <w:tab/>
        <w:t xml:space="preserve">any transitional matter arising out of the amendments made to this Act by the </w:t>
      </w:r>
      <w:r>
        <w:rPr>
          <w:i/>
          <w:iCs/>
        </w:rPr>
        <w:t>Petroleum Legislation Amendment and Repeal Act 2005</w:t>
      </w:r>
      <w:r>
        <w:t>;</w:t>
      </w:r>
    </w:p>
    <w:p>
      <w:pPr>
        <w:pStyle w:val="MiscClose"/>
        <w:ind w:right="577"/>
      </w:pPr>
      <w:r>
        <w:t xml:space="preserve">    ”.</w:t>
      </w:r>
    </w:p>
    <w:p>
      <w:pPr>
        <w:pStyle w:val="nzSubsection"/>
      </w:pPr>
      <w:r>
        <w:tab/>
        <w:t>(2)</w:t>
      </w:r>
      <w:r>
        <w:tab/>
        <w:t xml:space="preserve">After section 67(1b) the following subsection is inserted — </w:t>
      </w:r>
    </w:p>
    <w:p>
      <w:pPr>
        <w:pStyle w:val="MiscOpen"/>
        <w:ind w:left="600"/>
      </w:pPr>
      <w:r>
        <w:t xml:space="preserve">“    </w:t>
      </w:r>
    </w:p>
    <w:p>
      <w:pPr>
        <w:pStyle w:val="nzSubsection"/>
      </w:pPr>
      <w:r>
        <w:tab/>
        <w:t>(1c)</w:t>
      </w:r>
      <w:r>
        <w:tab/>
        <w:t xml:space="preserve">The regulations under this section may adopt or apply, with or without modification, any regulation made under the </w:t>
      </w:r>
      <w:r>
        <w:rPr>
          <w:i/>
        </w:rPr>
        <w:t>Petroleum Act 1967</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MiscClose"/>
        <w:ind w:right="577"/>
        <w:rPr>
          <w:b/>
          <w:i/>
        </w:rPr>
      </w:pPr>
      <w:r>
        <w:t xml:space="preserve">    ”.</w:t>
      </w:r>
    </w:p>
    <w:p>
      <w:pPr>
        <w:pStyle w:val="nzHeading5"/>
      </w:pPr>
      <w:bookmarkStart w:id="418" w:name="_Toc80428035"/>
      <w:bookmarkStart w:id="419" w:name="_Toc99357118"/>
      <w:bookmarkStart w:id="420" w:name="_Toc99769617"/>
      <w:bookmarkStart w:id="421" w:name="_Toc112746487"/>
      <w:r>
        <w:rPr>
          <w:rStyle w:val="CharSectno"/>
        </w:rPr>
        <w:t>31</w:t>
      </w:r>
      <w:r>
        <w:t>.</w:t>
      </w:r>
      <w:r>
        <w:tab/>
        <w:t>Various sections amended to delete “or the regulations” (</w:t>
      </w:r>
      <w:r>
        <w:rPr>
          <w:i/>
          <w:iCs/>
        </w:rPr>
        <w:t>Interpretation Act 1984</w:t>
      </w:r>
      <w:r>
        <w:t xml:space="preserve"> s. 46)</w:t>
      </w:r>
      <w:bookmarkEnd w:id="418"/>
      <w:bookmarkEnd w:id="419"/>
      <w:bookmarkEnd w:id="420"/>
      <w:bookmarkEnd w:id="421"/>
    </w:p>
    <w:p>
      <w:pPr>
        <w:pStyle w:val="nzSubsection"/>
      </w:pPr>
      <w:r>
        <w:tab/>
      </w:r>
      <w:r>
        <w:tab/>
        <w:t>The provisions set out in the Table to this section are amended by deleting “or the regulations” in each case.</w:t>
      </w:r>
    </w:p>
    <w:p>
      <w:pPr>
        <w:pStyle w:val="nzMiscellaneousHeading"/>
      </w:pPr>
      <w:r>
        <w:rPr>
          <w:b/>
        </w:rPr>
        <w:t>Table</w:t>
      </w:r>
    </w:p>
    <w:tbl>
      <w:tblPr>
        <w:tblW w:w="0" w:type="auto"/>
        <w:tblInd w:w="1951" w:type="dxa"/>
        <w:tblLayout w:type="fixed"/>
        <w:tblLook w:val="0000" w:firstRow="0" w:lastRow="0" w:firstColumn="0" w:lastColumn="0" w:noHBand="0" w:noVBand="0"/>
      </w:tblPr>
      <w:tblGrid>
        <w:gridCol w:w="1700"/>
        <w:gridCol w:w="2411"/>
      </w:tblGrid>
      <w:tr>
        <w:tc>
          <w:tcPr>
            <w:tcW w:w="1700" w:type="dxa"/>
          </w:tcPr>
          <w:p>
            <w:pPr>
              <w:pStyle w:val="nzTable"/>
            </w:pPr>
            <w:r>
              <w:t>s. 6(3)(b)</w:t>
            </w:r>
          </w:p>
        </w:tc>
        <w:tc>
          <w:tcPr>
            <w:tcW w:w="2411" w:type="dxa"/>
          </w:tcPr>
          <w:p>
            <w:pPr>
              <w:pStyle w:val="nzTable"/>
            </w:pPr>
            <w:r>
              <w:t>s. 61</w:t>
            </w:r>
          </w:p>
        </w:tc>
      </w:tr>
      <w:tr>
        <w:tc>
          <w:tcPr>
            <w:tcW w:w="1700" w:type="dxa"/>
          </w:tcPr>
          <w:p>
            <w:pPr>
              <w:pStyle w:val="nzTable"/>
            </w:pPr>
            <w:r>
              <w:t>s. 22(1)(f)</w:t>
            </w:r>
          </w:p>
        </w:tc>
        <w:tc>
          <w:tcPr>
            <w:tcW w:w="2411" w:type="dxa"/>
          </w:tcPr>
          <w:p>
            <w:pPr>
              <w:pStyle w:val="nzTable"/>
            </w:pPr>
            <w:r>
              <w:t>s. 66(1) and (2)</w:t>
            </w:r>
          </w:p>
        </w:tc>
      </w:tr>
      <w:tr>
        <w:tc>
          <w:tcPr>
            <w:tcW w:w="1700" w:type="dxa"/>
          </w:tcPr>
          <w:p>
            <w:pPr>
              <w:pStyle w:val="nzTable"/>
            </w:pPr>
            <w:r>
              <w:t>s. 42(1)</w:t>
            </w:r>
          </w:p>
        </w:tc>
        <w:tc>
          <w:tcPr>
            <w:tcW w:w="2411" w:type="dxa"/>
          </w:tcPr>
          <w:p>
            <w:pPr>
              <w:pStyle w:val="nzTable"/>
            </w:pPr>
            <w:r>
              <w:t>s. 66A</w:t>
            </w:r>
          </w:p>
        </w:tc>
      </w:tr>
    </w:tbl>
    <w:p>
      <w:pPr>
        <w:pStyle w:val="nzHeading5"/>
      </w:pPr>
      <w:bookmarkStart w:id="422" w:name="_Toc80428036"/>
      <w:bookmarkStart w:id="423" w:name="_Toc99357119"/>
      <w:bookmarkStart w:id="424" w:name="_Toc99769618"/>
      <w:bookmarkStart w:id="425" w:name="_Toc112746488"/>
      <w:r>
        <w:rPr>
          <w:rStyle w:val="CharSectno"/>
        </w:rPr>
        <w:t>32</w:t>
      </w:r>
      <w:r>
        <w:t>.</w:t>
      </w:r>
      <w:r>
        <w:tab/>
        <w:t>Schedule 1 inserted</w:t>
      </w:r>
      <w:bookmarkEnd w:id="422"/>
      <w:bookmarkEnd w:id="423"/>
      <w:bookmarkEnd w:id="424"/>
      <w:bookmarkEnd w:id="425"/>
    </w:p>
    <w:p>
      <w:pPr>
        <w:pStyle w:val="nzSubsection"/>
      </w:pPr>
      <w:r>
        <w:tab/>
      </w:r>
      <w:r>
        <w:tab/>
        <w:t xml:space="preserve">After section 67 the following Schedule is inserted — </w:t>
      </w:r>
    </w:p>
    <w:p>
      <w:pPr>
        <w:pStyle w:val="MiscOpen"/>
      </w:pPr>
      <w:r>
        <w:t xml:space="preserve">“    </w:t>
      </w:r>
    </w:p>
    <w:p>
      <w:pPr>
        <w:pStyle w:val="nzHeading2"/>
      </w:pPr>
      <w:bookmarkStart w:id="426" w:name="_Toc112746364"/>
      <w:bookmarkStart w:id="427" w:name="_Toc112746489"/>
      <w:r>
        <w:t>Schedule 1 — Occupational safety and health</w:t>
      </w:r>
      <w:bookmarkEnd w:id="426"/>
      <w:bookmarkEnd w:id="427"/>
    </w:p>
    <w:p>
      <w:pPr>
        <w:pStyle w:val="nzMiscellaneousBody"/>
        <w:jc w:val="right"/>
      </w:pPr>
      <w:r>
        <w:t>[s. 56A]</w:t>
      </w:r>
    </w:p>
    <w:p>
      <w:pPr>
        <w:pStyle w:val="nzHeading3"/>
      </w:pPr>
      <w:bookmarkStart w:id="428" w:name="_Toc112746365"/>
      <w:bookmarkStart w:id="429" w:name="_Toc112746490"/>
      <w:r>
        <w:t>Division 1</w:t>
      </w:r>
      <w:r>
        <w:rPr>
          <w:b w:val="0"/>
        </w:rPr>
        <w:t> — </w:t>
      </w:r>
      <w:r>
        <w:t>Introduction</w:t>
      </w:r>
      <w:bookmarkEnd w:id="428"/>
      <w:bookmarkEnd w:id="429"/>
    </w:p>
    <w:p>
      <w:pPr>
        <w:pStyle w:val="nzHeading5"/>
      </w:pPr>
      <w:r>
        <w:t>1.</w:t>
      </w:r>
      <w:r>
        <w:rPr>
          <w:b w:val="0"/>
        </w:rPr>
        <w:tab/>
      </w:r>
      <w:r>
        <w:t>Objects</w:t>
      </w:r>
    </w:p>
    <w:p>
      <w:pPr>
        <w:pStyle w:val="nzSubsection"/>
      </w:pPr>
      <w:r>
        <w:tab/>
      </w:r>
      <w:r>
        <w:tab/>
        <w:t xml:space="preserve">The objects of this Schedule are, in relation to pipeline operations — </w:t>
      </w:r>
    </w:p>
    <w:p>
      <w:pPr>
        <w:pStyle w:val="nzIndenta"/>
      </w:pPr>
      <w:r>
        <w:tab/>
        <w:t>(a)</w:t>
      </w:r>
      <w:r>
        <w:tab/>
        <w:t xml:space="preserve">to secure the occupational safety and health of persons engaged in those operations; </w:t>
      </w:r>
    </w:p>
    <w:p>
      <w:pPr>
        <w:pStyle w:val="nzIndenta"/>
      </w:pPr>
      <w:r>
        <w:tab/>
        <w:t>(b)</w:t>
      </w:r>
      <w:r>
        <w:tab/>
        <w:t xml:space="preserve">to protect persons in the vicinity of those operations at the invitation of, or with the express or implied consent of, the licensees for, or persons in control of a part of, those operations from risks to safety and health arising out of those operations; </w:t>
      </w:r>
    </w:p>
    <w:p>
      <w:pPr>
        <w:pStyle w:val="nzIndenta"/>
      </w:pPr>
      <w:r>
        <w:tab/>
        <w:t>(c)</w:t>
      </w:r>
      <w:r>
        <w:tab/>
        <w:t xml:space="preserve">to ensure that expert advice is available on occupational safety and health matters in relation to those operations; </w:t>
      </w:r>
    </w:p>
    <w:p>
      <w:pPr>
        <w:pStyle w:val="nzIndenta"/>
      </w:pPr>
      <w:r>
        <w:tab/>
        <w:t>(d)</w:t>
      </w:r>
      <w:r>
        <w:tab/>
        <w:t>to promote an occupational environment for members of the workforce engaged in those operations that is adapted to their needs relating to safety and health; and</w:t>
      </w:r>
    </w:p>
    <w:p>
      <w:pPr>
        <w:pStyle w:val="nzIndenta"/>
      </w:pPr>
      <w:r>
        <w:tab/>
        <w:t>(e)</w:t>
      </w:r>
      <w:r>
        <w:tab/>
        <w:t>to foster a consultative relationship between all relevant persons concerning the safety and health of members of the workforce engaged in those operations.</w:t>
      </w:r>
    </w:p>
    <w:p>
      <w:pPr>
        <w:pStyle w:val="nzHeading5"/>
      </w:pPr>
      <w:r>
        <w:t>2.</w:t>
      </w:r>
      <w:r>
        <w:rPr>
          <w:b w:val="0"/>
        </w:rPr>
        <w:tab/>
      </w:r>
      <w:r>
        <w:t>Simplified outline</w:t>
      </w:r>
    </w:p>
    <w:p>
      <w:pPr>
        <w:pStyle w:val="nzSubsection"/>
      </w:pPr>
      <w:r>
        <w:tab/>
      </w:r>
      <w:r>
        <w:tab/>
        <w:t xml:space="preserve">The following is a simplified outline of this Schedule — </w:t>
      </w:r>
    </w:p>
    <w:p>
      <w:pPr>
        <w:pStyle w:val="nzSubsection"/>
        <w:numPr>
          <w:ilvl w:val="0"/>
          <w:numId w:val="14"/>
        </w:numPr>
        <w:tabs>
          <w:tab w:val="clear" w:pos="1162"/>
        </w:tabs>
      </w:pPr>
      <w:r>
        <w:t>This Schedule sets up a scheme to regulate occupational safety and health matters relating to pipeline operations.</w:t>
      </w:r>
    </w:p>
    <w:p>
      <w:pPr>
        <w:pStyle w:val="nzSubsection"/>
        <w:numPr>
          <w:ilvl w:val="0"/>
          <w:numId w:val="14"/>
        </w:numPr>
        <w:tabs>
          <w:tab w:val="clear" w:pos="1162"/>
        </w:tabs>
      </w:pPr>
      <w:r>
        <w:t xml:space="preserve">Occupational safety and health duties are imposed on the following — </w:t>
      </w:r>
    </w:p>
    <w:p>
      <w:pPr>
        <w:pStyle w:val="nzIndenta"/>
      </w:pPr>
      <w:r>
        <w:tab/>
        <w:t>(a)</w:t>
      </w:r>
      <w:r>
        <w:tab/>
        <w:t>the licensee for a pipeline operation;</w:t>
      </w:r>
    </w:p>
    <w:p>
      <w:pPr>
        <w:pStyle w:val="nzIndenta"/>
      </w:pPr>
      <w:r>
        <w:tab/>
        <w:t>(b)</w:t>
      </w:r>
      <w:r>
        <w:tab/>
        <w:t>a person in control of any part of a pipeline operation;</w:t>
      </w:r>
    </w:p>
    <w:p>
      <w:pPr>
        <w:pStyle w:val="nzIndenta"/>
      </w:pPr>
      <w:r>
        <w:tab/>
        <w:t>(c)</w:t>
      </w:r>
      <w:r>
        <w:tab/>
        <w:t>an employer;</w:t>
      </w:r>
    </w:p>
    <w:p>
      <w:pPr>
        <w:pStyle w:val="nzIndenta"/>
      </w:pPr>
      <w:r>
        <w:tab/>
        <w:t>(d)</w:t>
      </w:r>
      <w:r>
        <w:tab/>
        <w:t>a manufacturer of plant, or a substance, for use in a pipeline operation;</w:t>
      </w:r>
    </w:p>
    <w:p>
      <w:pPr>
        <w:pStyle w:val="nzIndenta"/>
      </w:pPr>
      <w:r>
        <w:tab/>
        <w:t>(e)</w:t>
      </w:r>
      <w:r>
        <w:tab/>
        <w:t>a supplier of a pipeline, or of any plant or substance, for use in a pipeline operation;</w:t>
      </w:r>
    </w:p>
    <w:p>
      <w:pPr>
        <w:pStyle w:val="nzIndenta"/>
      </w:pPr>
      <w:r>
        <w:tab/>
        <w:t>(f)</w:t>
      </w:r>
      <w:r>
        <w:tab/>
        <w:t>a person who constructs or installs a pipeline, or any plant, for use in a pipeline operation;</w:t>
      </w:r>
    </w:p>
    <w:p>
      <w:pPr>
        <w:pStyle w:val="nzIndenta"/>
      </w:pPr>
      <w:r>
        <w:tab/>
        <w:t>(g)</w:t>
      </w:r>
      <w:r>
        <w:tab/>
        <w:t>a person engaged in a pipeline operation.</w:t>
      </w:r>
    </w:p>
    <w:p>
      <w:pPr>
        <w:pStyle w:val="nzSubsection"/>
        <w:numPr>
          <w:ilvl w:val="0"/>
          <w:numId w:val="14"/>
        </w:numPr>
        <w:tabs>
          <w:tab w:val="clear" w:pos="1162"/>
        </w:tabs>
      </w:pPr>
      <w:r>
        <w:t>A group of members of the workforce engaged in a pipeline operation may be established as a designated work group.</w:t>
      </w:r>
    </w:p>
    <w:p>
      <w:pPr>
        <w:pStyle w:val="nzSubsection"/>
        <w:numPr>
          <w:ilvl w:val="0"/>
          <w:numId w:val="14"/>
        </w:numPr>
        <w:tabs>
          <w:tab w:val="clear" w:pos="1162"/>
        </w:tabs>
      </w:pPr>
      <w:r>
        <w:t>The members of a designated work group may select a safety and health representative for that designated work group.</w:t>
      </w:r>
    </w:p>
    <w:p>
      <w:pPr>
        <w:pStyle w:val="nzSubsection"/>
        <w:numPr>
          <w:ilvl w:val="0"/>
          <w:numId w:val="14"/>
        </w:numPr>
        <w:tabs>
          <w:tab w:val="clear" w:pos="1162"/>
        </w:tabs>
      </w:pPr>
      <w:r>
        <w:t>The safety and health representative may exercise certain powers for the purpose of promoting or ensuring the occupational safety and health of group members.</w:t>
      </w:r>
    </w:p>
    <w:p>
      <w:pPr>
        <w:pStyle w:val="nzSubsection"/>
        <w:numPr>
          <w:ilvl w:val="0"/>
          <w:numId w:val="14"/>
        </w:numPr>
        <w:tabs>
          <w:tab w:val="clear" w:pos="1162"/>
        </w:tabs>
      </w:pPr>
      <w:r>
        <w:t xml:space="preserve">An inspector may conduct an inspection — </w:t>
      </w:r>
    </w:p>
    <w:p>
      <w:pPr>
        <w:pStyle w:val="nzIndenta"/>
      </w:pPr>
      <w:r>
        <w:tab/>
        <w:t>(a)</w:t>
      </w:r>
      <w:r>
        <w:tab/>
        <w:t xml:space="preserve">to ascertain whether a listed OSH law is being complied with; </w:t>
      </w:r>
    </w:p>
    <w:p>
      <w:pPr>
        <w:pStyle w:val="nzIndenta"/>
      </w:pPr>
      <w:r>
        <w:tab/>
        <w:t>(b)</w:t>
      </w:r>
      <w:r>
        <w:tab/>
        <w:t>concerning a contravention or a possible contravention of a listed OSH law; or</w:t>
      </w:r>
    </w:p>
    <w:p>
      <w:pPr>
        <w:pStyle w:val="nzIndenta"/>
      </w:pPr>
      <w:r>
        <w:tab/>
        <w:t>(c)</w:t>
      </w:r>
      <w:r>
        <w:tab/>
        <w:t>concerning an accident or dangerous occurrence that has happened at or near a place at which a pipeline operation is carried on.</w:t>
      </w:r>
    </w:p>
    <w:p>
      <w:pPr>
        <w:pStyle w:val="nzSubsection"/>
        <w:numPr>
          <w:ilvl w:val="0"/>
          <w:numId w:val="14"/>
        </w:numPr>
        <w:tabs>
          <w:tab w:val="clear" w:pos="1162"/>
        </w:tabs>
      </w:pPr>
      <w:r>
        <w:t>The licensee for a pipeline operation must report to the Minister accidents and dangerous occurrences arising out of the pipeline operation.</w:t>
      </w:r>
    </w:p>
    <w:p>
      <w:pPr>
        <w:pStyle w:val="nzHeading5"/>
      </w:pPr>
      <w:r>
        <w:t>3.</w:t>
      </w:r>
      <w:r>
        <w:rPr>
          <w:b w:val="0"/>
        </w:rPr>
        <w:tab/>
      </w:r>
      <w:r>
        <w:t>Definitions</w:t>
      </w:r>
    </w:p>
    <w:p>
      <w:pPr>
        <w:pStyle w:val="nzSubsection"/>
      </w:pPr>
      <w:r>
        <w:tab/>
      </w:r>
      <w:r>
        <w:tab/>
        <w:t xml:space="preserve">In this Schedule — </w:t>
      </w:r>
    </w:p>
    <w:p>
      <w:pPr>
        <w:pStyle w:val="nzDefstart"/>
      </w:pPr>
      <w:r>
        <w:tab/>
      </w:r>
      <w:r>
        <w:rPr>
          <w:b/>
        </w:rPr>
        <w:t>“</w:t>
      </w:r>
      <w:r>
        <w:rPr>
          <w:rStyle w:val="CharDefText"/>
        </w:rPr>
        <w:t>accident</w:t>
      </w:r>
      <w:r>
        <w:rPr>
          <w:b/>
        </w:rPr>
        <w:t>”</w:t>
      </w:r>
      <w:r>
        <w:t xml:space="preserve"> </w:t>
      </w:r>
      <w:r>
        <w:rPr>
          <w:bCs/>
        </w:rPr>
        <w:t>includes</w:t>
      </w:r>
      <w:r>
        <w:t xml:space="preserve"> the contraction of a disease;</w:t>
      </w:r>
    </w:p>
    <w:p>
      <w:pPr>
        <w:pStyle w:val="nzDefstart"/>
      </w:pPr>
      <w:r>
        <w:tab/>
      </w:r>
      <w:r>
        <w:rPr>
          <w:b/>
          <w:bCs/>
        </w:rPr>
        <w:t>“</w:t>
      </w:r>
      <w:r>
        <w:rPr>
          <w:rStyle w:val="CharDefText"/>
        </w:rPr>
        <w:t>contract</w:t>
      </w:r>
      <w:r>
        <w:rPr>
          <w:b/>
          <w:bCs/>
        </w:rPr>
        <w:t>”</w:t>
      </w:r>
      <w:r>
        <w:t xml:space="preserve"> includes an arrangement or understanding;</w:t>
      </w:r>
    </w:p>
    <w:p>
      <w:pPr>
        <w:pStyle w:val="nzDefstart"/>
      </w:pPr>
      <w:r>
        <w:tab/>
      </w:r>
      <w:r>
        <w:rPr>
          <w:b/>
          <w:bCs/>
        </w:rPr>
        <w:t>“</w:t>
      </w:r>
      <w:r>
        <w:rPr>
          <w:rStyle w:val="CharDefText"/>
        </w:rPr>
        <w:t>contractor</w:t>
      </w:r>
      <w:r>
        <w:rPr>
          <w:b/>
          <w:bCs/>
        </w:rPr>
        <w:t>”</w:t>
      </w:r>
      <w:r>
        <w:t xml:space="preserve"> has the meaning given by clause 6;</w:t>
      </w:r>
    </w:p>
    <w:p>
      <w:pPr>
        <w:pStyle w:val="nzDefstart"/>
      </w:pPr>
      <w:r>
        <w:tab/>
      </w:r>
      <w:r>
        <w:rPr>
          <w:b/>
        </w:rPr>
        <w:t>“</w:t>
      </w:r>
      <w:r>
        <w:rPr>
          <w:rStyle w:val="CharDefText"/>
        </w:rPr>
        <w:t>dangerous occurrence</w:t>
      </w:r>
      <w:r>
        <w:rPr>
          <w:b/>
        </w:rPr>
        <w:t>”</w:t>
      </w:r>
      <w:r>
        <w:t xml:space="preserve"> means an occurrence declared by the regulations to be a dangerous occurrence for the purposes of this definition;</w:t>
      </w:r>
    </w:p>
    <w:p>
      <w:pPr>
        <w:pStyle w:val="nzDefstart"/>
      </w:pPr>
      <w:r>
        <w:tab/>
      </w:r>
      <w:r>
        <w:rPr>
          <w:b/>
        </w:rPr>
        <w:t>“</w:t>
      </w:r>
      <w:r>
        <w:rPr>
          <w:rStyle w:val="CharDefText"/>
        </w:rPr>
        <w:t>designated work group</w:t>
      </w:r>
      <w:r>
        <w:rPr>
          <w:b/>
        </w:rPr>
        <w:t>”</w:t>
      </w:r>
      <w:r>
        <w:t xml:space="preserve"> means — </w:t>
      </w:r>
    </w:p>
    <w:p>
      <w:pPr>
        <w:pStyle w:val="nzDefpara"/>
      </w:pPr>
      <w:r>
        <w:tab/>
        <w:t>(a)</w:t>
      </w:r>
      <w:r>
        <w:tab/>
        <w:t>a group of members of the workforce engaged in a pipeline operation that is established as a designated work group under clause 17 or 18; or</w:t>
      </w:r>
    </w:p>
    <w:p>
      <w:pPr>
        <w:pStyle w:val="nzDefpara"/>
      </w:pPr>
      <w:r>
        <w:tab/>
        <w:t>(b)</w:t>
      </w:r>
      <w:r>
        <w:tab/>
        <w:t>that group as varied in accordance with clause 19 or 20;</w:t>
      </w:r>
    </w:p>
    <w:p>
      <w:pPr>
        <w:pStyle w:val="nzDefstart"/>
      </w:pPr>
      <w:r>
        <w:tab/>
      </w:r>
      <w:r>
        <w:rPr>
          <w:b/>
        </w:rPr>
        <w:t>“</w:t>
      </w:r>
      <w:r>
        <w:rPr>
          <w:rStyle w:val="CharDefText"/>
        </w:rPr>
        <w:t>employee</w:t>
      </w:r>
      <w:r>
        <w:rPr>
          <w:b/>
        </w:rPr>
        <w:t>”</w:t>
      </w:r>
      <w:r>
        <w:t>, in relation to an employer, means an employee of that employer;</w:t>
      </w:r>
    </w:p>
    <w:p>
      <w:pPr>
        <w:pStyle w:val="nzDefstart"/>
      </w:pPr>
      <w:r>
        <w:tab/>
      </w:r>
      <w:r>
        <w:rPr>
          <w:b/>
        </w:rPr>
        <w:t>“</w:t>
      </w:r>
      <w:r>
        <w:rPr>
          <w:rStyle w:val="CharDefText"/>
        </w:rPr>
        <w:t>employer</w:t>
      </w:r>
      <w:r>
        <w:rPr>
          <w:b/>
        </w:rPr>
        <w:t>”</w:t>
      </w:r>
      <w:r>
        <w:t xml:space="preserve"> means an employer who carries on a pipeline operation;</w:t>
      </w:r>
    </w:p>
    <w:p>
      <w:pPr>
        <w:pStyle w:val="nzDefstart"/>
      </w:pPr>
      <w:r>
        <w:tab/>
      </w:r>
      <w:r>
        <w:rPr>
          <w:b/>
        </w:rPr>
        <w:t>“</w:t>
      </w:r>
      <w:r>
        <w:rPr>
          <w:rStyle w:val="CharDefText"/>
        </w:rPr>
        <w:t>group member</w:t>
      </w:r>
      <w:r>
        <w:rPr>
          <w:b/>
        </w:rPr>
        <w:t>”</w:t>
      </w:r>
      <w:r>
        <w:t xml:space="preserve">, in relation to a designated work group for a pipeline operation, means a person who is — </w:t>
      </w:r>
    </w:p>
    <w:p>
      <w:pPr>
        <w:pStyle w:val="nzDefpara"/>
      </w:pPr>
      <w:r>
        <w:tab/>
        <w:t>(a)</w:t>
      </w:r>
      <w:r>
        <w:tab/>
        <w:t>a member of the workforce engaged in that operation; and</w:t>
      </w:r>
    </w:p>
    <w:p>
      <w:pPr>
        <w:pStyle w:val="nzDefpara"/>
      </w:pPr>
      <w:r>
        <w:tab/>
        <w:t>(b)</w:t>
      </w:r>
      <w:r>
        <w:tab/>
        <w:t>included in that designated work group;</w:t>
      </w:r>
    </w:p>
    <w:p>
      <w:pPr>
        <w:pStyle w:val="nzDefstart"/>
      </w:pPr>
      <w:r>
        <w:tab/>
      </w:r>
      <w:r>
        <w:rPr>
          <w:b/>
        </w:rPr>
        <w:t>“</w:t>
      </w:r>
      <w:r>
        <w:rPr>
          <w:rStyle w:val="CharDefText"/>
        </w:rPr>
        <w:t>improvement notice</w:t>
      </w:r>
      <w:r>
        <w:rPr>
          <w:b/>
        </w:rPr>
        <w:t>”</w:t>
      </w:r>
      <w:r>
        <w:t xml:space="preserve"> means an improvement notice issued under clause 60(1);</w:t>
      </w:r>
    </w:p>
    <w:p>
      <w:pPr>
        <w:pStyle w:val="nzDefstart"/>
      </w:pPr>
      <w:r>
        <w:tab/>
      </w:r>
      <w:r>
        <w:rPr>
          <w:b/>
        </w:rPr>
        <w:t>“</w:t>
      </w:r>
      <w:r>
        <w:rPr>
          <w:rStyle w:val="CharDefText"/>
        </w:rPr>
        <w:t>inspection</w:t>
      </w:r>
      <w:r>
        <w:rPr>
          <w:b/>
        </w:rPr>
        <w:t>”</w:t>
      </w:r>
      <w:r>
        <w:t xml:space="preserve"> means an inspection conducted under Division 4 and includes an investigation or inquiry;</w:t>
      </w:r>
    </w:p>
    <w:p>
      <w:pPr>
        <w:pStyle w:val="nzDefstart"/>
      </w:pPr>
      <w:r>
        <w:tab/>
      </w:r>
      <w:r>
        <w:rPr>
          <w:b/>
        </w:rPr>
        <w:t>“</w:t>
      </w:r>
      <w:r>
        <w:rPr>
          <w:rStyle w:val="CharDefText"/>
        </w:rPr>
        <w:t>licensee</w:t>
      </w:r>
      <w:r>
        <w:rPr>
          <w:b/>
        </w:rPr>
        <w:t>”</w:t>
      </w:r>
      <w:r>
        <w:t>, in relation to a pipeline operation, means the registered holder of the licence granted in respect of that operation;</w:t>
      </w:r>
    </w:p>
    <w:p>
      <w:pPr>
        <w:pStyle w:val="nzDefstart"/>
      </w:pPr>
      <w:r>
        <w:tab/>
      </w:r>
      <w:r>
        <w:rPr>
          <w:b/>
        </w:rPr>
        <w:t>“</w:t>
      </w:r>
      <w:r>
        <w:rPr>
          <w:rStyle w:val="CharDefText"/>
        </w:rPr>
        <w:t xml:space="preserve"> licensee’s representative</w:t>
      </w:r>
      <w:r>
        <w:rPr>
          <w:b/>
        </w:rPr>
        <w:t>”</w:t>
      </w:r>
      <w:r>
        <w:t xml:space="preserve"> means a person present at a workplace in compliance with the obligations imposed on the licensee by clause 4;</w:t>
      </w:r>
    </w:p>
    <w:p>
      <w:pPr>
        <w:pStyle w:val="nzDefstart"/>
      </w:pPr>
      <w:r>
        <w:tab/>
      </w:r>
      <w:r>
        <w:rPr>
          <w:b/>
        </w:rPr>
        <w:t>“</w:t>
      </w:r>
      <w:r>
        <w:rPr>
          <w:rStyle w:val="CharDefText"/>
        </w:rPr>
        <w:t>member of the workforce</w:t>
      </w:r>
      <w:r>
        <w:rPr>
          <w:b/>
        </w:rPr>
        <w:t>”</w:t>
      </w:r>
      <w:r>
        <w:t xml:space="preserve">, in relation to a pipeline operation, means a natural person who is engaged in the operation, whether — </w:t>
      </w:r>
    </w:p>
    <w:p>
      <w:pPr>
        <w:pStyle w:val="nzDefpara"/>
      </w:pPr>
      <w:r>
        <w:tab/>
        <w:t>(a)</w:t>
      </w:r>
      <w:r>
        <w:tab/>
        <w:t>as an employee of the licensee or of another person; or</w:t>
      </w:r>
    </w:p>
    <w:p>
      <w:pPr>
        <w:pStyle w:val="nzDefpara"/>
      </w:pPr>
      <w:r>
        <w:tab/>
        <w:t>(b)</w:t>
      </w:r>
      <w:r>
        <w:tab/>
        <w:t>as a contractor of the licensee or of another person;</w:t>
      </w:r>
    </w:p>
    <w:p>
      <w:pPr>
        <w:pStyle w:val="nzDefstart"/>
      </w:pPr>
      <w:r>
        <w:tab/>
      </w:r>
      <w:r>
        <w:rPr>
          <w:b/>
        </w:rPr>
        <w:t>“</w:t>
      </w:r>
      <w:r>
        <w:rPr>
          <w:rStyle w:val="CharDefText"/>
        </w:rPr>
        <w:t>own</w:t>
      </w:r>
      <w:r>
        <w:rPr>
          <w:b/>
        </w:rPr>
        <w:t>”</w:t>
      </w:r>
      <w:r>
        <w:t xml:space="preserve"> includes own jointly and own in part;</w:t>
      </w:r>
    </w:p>
    <w:p>
      <w:pPr>
        <w:pStyle w:val="nzDefstart"/>
      </w:pPr>
      <w:r>
        <w:tab/>
      </w:r>
      <w:r>
        <w:rPr>
          <w:b/>
        </w:rPr>
        <w:t>“</w:t>
      </w:r>
      <w:r>
        <w:rPr>
          <w:rStyle w:val="CharDefText"/>
        </w:rPr>
        <w:t>plant</w:t>
      </w:r>
      <w:r>
        <w:rPr>
          <w:b/>
        </w:rPr>
        <w:t>”</w:t>
      </w:r>
      <w:r>
        <w:t xml:space="preserve"> includes any machinery, equipment or tool, or any component;</w:t>
      </w:r>
    </w:p>
    <w:p>
      <w:pPr>
        <w:pStyle w:val="nzDefstart"/>
      </w:pPr>
      <w:r>
        <w:tab/>
      </w:r>
      <w:r>
        <w:rPr>
          <w:b/>
        </w:rPr>
        <w:t>“</w:t>
      </w:r>
      <w:r>
        <w:rPr>
          <w:rStyle w:val="CharDefText"/>
        </w:rPr>
        <w:t>premises</w:t>
      </w:r>
      <w:r>
        <w:rPr>
          <w:b/>
        </w:rPr>
        <w:t>”</w:t>
      </w:r>
      <w:r>
        <w:t xml:space="preserve"> includes the following — </w:t>
      </w:r>
    </w:p>
    <w:p>
      <w:pPr>
        <w:pStyle w:val="nzDefpara"/>
      </w:pPr>
      <w:r>
        <w:tab/>
        <w:t>(a)</w:t>
      </w:r>
      <w:r>
        <w:tab/>
        <w:t>a structure or building;</w:t>
      </w:r>
    </w:p>
    <w:p>
      <w:pPr>
        <w:pStyle w:val="nzDefpara"/>
      </w:pPr>
      <w:r>
        <w:tab/>
        <w:t>(b)</w:t>
      </w:r>
      <w:r>
        <w:tab/>
        <w:t>a place (whether or not enclosed or built on);</w:t>
      </w:r>
    </w:p>
    <w:p>
      <w:pPr>
        <w:pStyle w:val="nzDefpara"/>
      </w:pPr>
      <w:r>
        <w:tab/>
        <w:t>(c)</w:t>
      </w:r>
      <w:r>
        <w:tab/>
        <w:t>a part of a thing referred to in paragraph (a) or (b);</w:t>
      </w:r>
    </w:p>
    <w:p>
      <w:pPr>
        <w:pStyle w:val="nzDefstart"/>
      </w:pPr>
      <w:r>
        <w:tab/>
      </w:r>
      <w:r>
        <w:rPr>
          <w:b/>
        </w:rPr>
        <w:t>“</w:t>
      </w:r>
      <w:r>
        <w:rPr>
          <w:rStyle w:val="CharDefText"/>
        </w:rPr>
        <w:t>prohibition notice</w:t>
      </w:r>
      <w:r>
        <w:rPr>
          <w:b/>
        </w:rPr>
        <w:t>”</w:t>
      </w:r>
      <w:r>
        <w:t xml:space="preserve"> means a prohibition notice issued under clause 58(1);</w:t>
      </w:r>
    </w:p>
    <w:p>
      <w:pPr>
        <w:pStyle w:val="nzDefstart"/>
      </w:pPr>
      <w:r>
        <w:tab/>
      </w:r>
      <w:r>
        <w:rPr>
          <w:b/>
        </w:rPr>
        <w:t>“</w:t>
      </w:r>
      <w:r>
        <w:rPr>
          <w:rStyle w:val="CharDefText"/>
        </w:rPr>
        <w:t>registered organisation</w:t>
      </w:r>
      <w:r>
        <w:rPr>
          <w:b/>
        </w:rPr>
        <w:t>”</w:t>
      </w:r>
      <w:r>
        <w:t xml:space="preserve"> means an organisation — </w:t>
      </w:r>
    </w:p>
    <w:p>
      <w:pPr>
        <w:pStyle w:val="nzDefpara"/>
      </w:pPr>
      <w:r>
        <w:tab/>
        <w:t>(a)</w:t>
      </w:r>
      <w:r>
        <w:tab/>
        <w:t xml:space="preserve">within the meaning of the </w:t>
      </w:r>
      <w:r>
        <w:rPr>
          <w:i/>
          <w:iCs/>
        </w:rPr>
        <w:t xml:space="preserve">Workplace Relations Act 1996 </w:t>
      </w:r>
      <w:r>
        <w:t>of the Commonwealth; or</w:t>
      </w:r>
    </w:p>
    <w:p>
      <w:pPr>
        <w:pStyle w:val="nzDefpara"/>
      </w:pPr>
      <w:r>
        <w:tab/>
        <w:t>(b)</w:t>
      </w:r>
      <w:r>
        <w:tab/>
        <w:t xml:space="preserve">as defined in section 7(1) of the </w:t>
      </w:r>
      <w:r>
        <w:rPr>
          <w:i/>
        </w:rPr>
        <w:t>Industrial Relations Act 1979</w:t>
      </w:r>
      <w:r>
        <w:t>;</w:t>
      </w:r>
    </w:p>
    <w:p>
      <w:pPr>
        <w:pStyle w:val="nzDefstart"/>
      </w:pPr>
      <w:r>
        <w:tab/>
      </w:r>
      <w:r>
        <w:rPr>
          <w:b/>
        </w:rPr>
        <w:t>“</w:t>
      </w:r>
      <w:r>
        <w:rPr>
          <w:rStyle w:val="CharDefText"/>
        </w:rPr>
        <w:t>regulated business premises</w:t>
      </w:r>
      <w:r>
        <w:rPr>
          <w:b/>
        </w:rPr>
        <w:t>”</w:t>
      </w:r>
      <w:r>
        <w:t xml:space="preserve"> means — </w:t>
      </w:r>
    </w:p>
    <w:p>
      <w:pPr>
        <w:pStyle w:val="nzDefpara"/>
      </w:pPr>
      <w:r>
        <w:tab/>
        <w:t>(a)</w:t>
      </w:r>
      <w:r>
        <w:tab/>
        <w:t>a place where a pipeline operation is carried on; or</w:t>
      </w:r>
    </w:p>
    <w:p>
      <w:pPr>
        <w:pStyle w:val="nzDefpara"/>
      </w:pPr>
      <w:r>
        <w:tab/>
        <w:t>(b)</w:t>
      </w:r>
      <w:r>
        <w:tab/>
        <w:t xml:space="preserve">premises that are — </w:t>
      </w:r>
    </w:p>
    <w:p>
      <w:pPr>
        <w:pStyle w:val="nzDefsubpara"/>
      </w:pPr>
      <w:r>
        <w:tab/>
        <w:t>(i)</w:t>
      </w:r>
      <w:r>
        <w:tab/>
        <w:t>occupied by a person who is the licensee for a pipeline operation; and</w:t>
      </w:r>
    </w:p>
    <w:p>
      <w:pPr>
        <w:pStyle w:val="nzDefsubpara"/>
      </w:pPr>
      <w:r>
        <w:tab/>
        <w:t>(ii)</w:t>
      </w:r>
      <w:r>
        <w:tab/>
        <w:t>used, or proposed to be used, wholly or principally in connection with a pipeline operation;</w:t>
      </w:r>
    </w:p>
    <w:p>
      <w:pPr>
        <w:pStyle w:val="nzDefstart"/>
      </w:pPr>
      <w:r>
        <w:tab/>
      </w:r>
      <w:r>
        <w:rPr>
          <w:b/>
        </w:rPr>
        <w:t>“</w:t>
      </w:r>
      <w:r>
        <w:rPr>
          <w:rStyle w:val="CharDefText"/>
        </w:rPr>
        <w:t>regulations</w:t>
      </w:r>
      <w:r>
        <w:rPr>
          <w:b/>
        </w:rPr>
        <w:t>”</w:t>
      </w:r>
      <w:r>
        <w:t xml:space="preserve"> means regulations made for the purposes of this Schedule;</w:t>
      </w:r>
    </w:p>
    <w:p>
      <w:pPr>
        <w:pStyle w:val="nzDefstart"/>
      </w:pPr>
      <w:r>
        <w:tab/>
      </w:r>
      <w:r>
        <w:rPr>
          <w:b/>
        </w:rPr>
        <w:t>“</w:t>
      </w:r>
      <w:r>
        <w:rPr>
          <w:rStyle w:val="CharDefText"/>
        </w:rPr>
        <w:t>Tribunal</w:t>
      </w:r>
      <w:r>
        <w:rPr>
          <w:b/>
        </w:rPr>
        <w:t>”</w:t>
      </w:r>
      <w:r>
        <w:t xml:space="preserve"> has the meaning given to that term in the </w:t>
      </w:r>
      <w:r>
        <w:rPr>
          <w:i/>
        </w:rPr>
        <w:t>Occupational Safety and Health Act 1984</w:t>
      </w:r>
      <w:r>
        <w:t xml:space="preserve"> section 51G(2);</w:t>
      </w:r>
    </w:p>
    <w:p>
      <w:pPr>
        <w:pStyle w:val="nzDefstart"/>
      </w:pPr>
      <w:r>
        <w:tab/>
      </w:r>
      <w:r>
        <w:rPr>
          <w:b/>
        </w:rPr>
        <w:t>“</w:t>
      </w:r>
      <w:r>
        <w:rPr>
          <w:rStyle w:val="CharDefText"/>
        </w:rPr>
        <w:t>work</w:t>
      </w:r>
      <w:r>
        <w:rPr>
          <w:b/>
        </w:rPr>
        <w:t>”</w:t>
      </w:r>
      <w:r>
        <w:t xml:space="preserve"> means work that is directly or indirectly related to a pipeline operation;</w:t>
      </w:r>
    </w:p>
    <w:p>
      <w:pPr>
        <w:pStyle w:val="nzDefstart"/>
      </w:pPr>
      <w:r>
        <w:tab/>
      </w:r>
      <w:r>
        <w:rPr>
          <w:b/>
        </w:rPr>
        <w:t>“</w:t>
      </w:r>
      <w:r>
        <w:rPr>
          <w:rStyle w:val="CharDefText"/>
        </w:rPr>
        <w:t>workforce representative</w:t>
      </w:r>
      <w:r>
        <w:rPr>
          <w:b/>
        </w:rPr>
        <w:t>”</w:t>
      </w:r>
      <w:r>
        <w:t xml:space="preserve"> means — </w:t>
      </w:r>
    </w:p>
    <w:p>
      <w:pPr>
        <w:pStyle w:val="nzDefpara"/>
      </w:pPr>
      <w:r>
        <w:tab/>
        <w:t>(a)</w:t>
      </w:r>
      <w:r>
        <w:tab/>
        <w:t>in relation to a person who is a member of the workforce engaged in a pipeline operation — a registered organisation of which that person is a member, if the person is qualified to be a member of that organisation because of the work the person performs in relation to the pipeline operation; or</w:t>
      </w:r>
    </w:p>
    <w:p>
      <w:pPr>
        <w:pStyle w:val="nz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pipeline operation as a member of the group;</w:t>
      </w:r>
    </w:p>
    <w:p>
      <w:pPr>
        <w:pStyle w:val="nzDefstart"/>
      </w:pPr>
      <w:r>
        <w:tab/>
      </w:r>
      <w:r>
        <w:rPr>
          <w:b/>
        </w:rPr>
        <w:t>“</w:t>
      </w:r>
      <w:r>
        <w:rPr>
          <w:rStyle w:val="CharDefText"/>
        </w:rPr>
        <w:t>work group employer</w:t>
      </w:r>
      <w:r>
        <w:rPr>
          <w:b/>
        </w:rPr>
        <w:t>”</w:t>
      </w:r>
      <w:r>
        <w:t>, in relation to a designated work group in relation to a pipeline operation, means an employer of one or more group members, but does not include the licensee for the pipeline operation;</w:t>
      </w:r>
    </w:p>
    <w:p>
      <w:pPr>
        <w:pStyle w:val="nzDefstart"/>
      </w:pPr>
      <w:r>
        <w:tab/>
      </w:r>
      <w:r>
        <w:rPr>
          <w:b/>
        </w:rPr>
        <w:t>“</w:t>
      </w:r>
      <w:r>
        <w:rPr>
          <w:rStyle w:val="CharDefText"/>
        </w:rPr>
        <w:t>workplace</w:t>
      </w:r>
      <w:r>
        <w:rPr>
          <w:b/>
        </w:rPr>
        <w:t>”</w:t>
      </w:r>
      <w:r>
        <w:t>, in relation to a pipeline operation, means the whole place where the pipeline operation is carried on or any part of a place where the pipeline operation is carried on.</w:t>
      </w:r>
    </w:p>
    <w:p>
      <w:pPr>
        <w:pStyle w:val="nzHeading5"/>
      </w:pPr>
      <w:r>
        <w:t>4.</w:t>
      </w:r>
      <w:r>
        <w:rPr>
          <w:b w:val="0"/>
        </w:rPr>
        <w:tab/>
      </w:r>
      <w:r>
        <w:t>Licensee must ensure presence of licensee’s representative</w:t>
      </w:r>
    </w:p>
    <w:p>
      <w:pPr>
        <w:pStyle w:val="nzSubsection"/>
      </w:pPr>
      <w:r>
        <w:tab/>
        <w:t>(1)</w:t>
      </w:r>
      <w:r>
        <w:tab/>
        <w:t xml:space="preserve">The licensee for a pipeline operation must ensure that, at all times when one or more natural persons are engaged in the pipeline operation, there is present at the workplace a natural person (the </w:t>
      </w:r>
      <w:r>
        <w:rPr>
          <w:b/>
        </w:rPr>
        <w:t>“</w:t>
      </w:r>
      <w:r>
        <w:rPr>
          <w:rStyle w:val="CharDefText"/>
        </w:rPr>
        <w:t>licensee’s representative</w:t>
      </w:r>
      <w:r>
        <w:rPr>
          <w:b/>
        </w:rPr>
        <w:t>”</w:t>
      </w:r>
      <w:r>
        <w:t>) who has day to day management and control of the pipeline operation.</w:t>
      </w:r>
    </w:p>
    <w:p>
      <w:pPr>
        <w:pStyle w:val="nzPenstart"/>
      </w:pPr>
      <w:r>
        <w:tab/>
        <w:t>Penalty:</w:t>
      </w:r>
      <w:r>
        <w:tab/>
        <w:t>$5 500.</w:t>
      </w:r>
    </w:p>
    <w:p>
      <w:pPr>
        <w:pStyle w:val="nzSubsection"/>
      </w:pPr>
      <w:r>
        <w:tab/>
        <w:t>(2)</w:t>
      </w:r>
      <w:r>
        <w:tab/>
        <w:t>The licensee for a pipeline operation must ensure that the name of the licensee’s representative is displayed in a prominent place at the workplace.</w:t>
      </w:r>
    </w:p>
    <w:p>
      <w:pPr>
        <w:pStyle w:val="nzPenstart"/>
      </w:pPr>
      <w:r>
        <w:tab/>
        <w:t>Penalty:</w:t>
      </w:r>
      <w:r>
        <w:tab/>
        <w:t>$5 500.</w:t>
      </w:r>
    </w:p>
    <w:p>
      <w:pPr>
        <w:pStyle w:val="nzSubsection"/>
      </w:pPr>
      <w:r>
        <w:tab/>
        <w:t>(3)</w:t>
      </w:r>
      <w:r>
        <w:tab/>
        <w:t>Subclause (1) does not imply that, if the licensee is a natural person, the licensee’s representative may not be, from time to time, the licensee.</w:t>
      </w:r>
    </w:p>
    <w:p>
      <w:pPr>
        <w:pStyle w:val="nzHeading5"/>
      </w:pPr>
      <w:r>
        <w:t>5.</w:t>
      </w:r>
      <w:r>
        <w:rPr>
          <w:b w:val="0"/>
        </w:rPr>
        <w:tab/>
      </w:r>
      <w:r>
        <w:t>Safety and health of persons using an accommodation amenity</w:t>
      </w:r>
    </w:p>
    <w:p>
      <w:pPr>
        <w:pStyle w:val="nz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pipeline operation.</w:t>
      </w:r>
    </w:p>
    <w:p>
      <w:pPr>
        <w:pStyle w:val="nzHeading5"/>
      </w:pPr>
      <w:r>
        <w:t>6.</w:t>
      </w:r>
      <w:r>
        <w:rPr>
          <w:b w:val="0"/>
        </w:rPr>
        <w:tab/>
      </w:r>
      <w:r>
        <w:t>Contractor</w:t>
      </w:r>
    </w:p>
    <w:p>
      <w:pPr>
        <w:pStyle w:val="nzSubsection"/>
      </w:pPr>
      <w:r>
        <w:tab/>
      </w:r>
      <w:r>
        <w:tab/>
        <w:t xml:space="preserve">For the purposes of this Schedule, a natural person is taken to be a “contractor” of another person (the </w:t>
      </w:r>
      <w:r>
        <w:rPr>
          <w:b/>
          <w:bCs/>
        </w:rPr>
        <w:t>“</w:t>
      </w:r>
      <w:r>
        <w:rPr>
          <w:rStyle w:val="CharDefText"/>
        </w:rPr>
        <w:t>relevant person</w:t>
      </w:r>
      <w:r>
        <w:rPr>
          <w:b/>
          <w:bCs/>
        </w:rPr>
        <w:t>”</w:t>
      </w:r>
      <w:r>
        <w:t xml:space="preserve">) if the natural person is engaged in a pipeline operation under a contract for services between — </w:t>
      </w:r>
    </w:p>
    <w:p>
      <w:pPr>
        <w:pStyle w:val="nzIndenta"/>
      </w:pPr>
      <w:r>
        <w:tab/>
        <w:t>(a)</w:t>
      </w:r>
      <w:r>
        <w:tab/>
        <w:t>the relevant person; and</w:t>
      </w:r>
    </w:p>
    <w:p>
      <w:pPr>
        <w:pStyle w:val="nzIndenta"/>
      </w:pPr>
      <w:r>
        <w:tab/>
        <w:t>(b)</w:t>
      </w:r>
      <w:r>
        <w:tab/>
        <w:t xml:space="preserve">either — </w:t>
      </w:r>
    </w:p>
    <w:p>
      <w:pPr>
        <w:pStyle w:val="nzIndenti"/>
      </w:pPr>
      <w:r>
        <w:tab/>
        <w:t>(i)</w:t>
      </w:r>
      <w:r>
        <w:tab/>
        <w:t>the natural person; or</w:t>
      </w:r>
    </w:p>
    <w:p>
      <w:pPr>
        <w:pStyle w:val="nzIndenti"/>
      </w:pPr>
      <w:r>
        <w:tab/>
        <w:t>(ii)</w:t>
      </w:r>
      <w:r>
        <w:tab/>
        <w:t>the employer of the natural person.</w:t>
      </w:r>
    </w:p>
    <w:p>
      <w:pPr>
        <w:pStyle w:val="nzHeading3"/>
      </w:pPr>
      <w:bookmarkStart w:id="430" w:name="_Toc112746366"/>
      <w:bookmarkStart w:id="431" w:name="_Toc112746491"/>
      <w:r>
        <w:t>Division 2</w:t>
      </w:r>
      <w:r>
        <w:rPr>
          <w:b w:val="0"/>
        </w:rPr>
        <w:t> — </w:t>
      </w:r>
      <w:r>
        <w:t>Occupational safety and health</w:t>
      </w:r>
      <w:bookmarkEnd w:id="430"/>
      <w:bookmarkEnd w:id="431"/>
    </w:p>
    <w:p>
      <w:pPr>
        <w:pStyle w:val="nzHeading4"/>
      </w:pPr>
      <w:bookmarkStart w:id="432" w:name="_Toc112746367"/>
      <w:bookmarkStart w:id="433" w:name="_Toc112746492"/>
      <w:r>
        <w:t>Subdivision </w:t>
      </w:r>
      <w:r>
        <w:rPr>
          <w:bCs/>
        </w:rPr>
        <w:t>1</w:t>
      </w:r>
      <w:r>
        <w:rPr>
          <w:b w:val="0"/>
        </w:rPr>
        <w:t> — </w:t>
      </w:r>
      <w:r>
        <w:rPr>
          <w:bCs/>
        </w:rPr>
        <w:t xml:space="preserve">Duties </w:t>
      </w:r>
      <w:r>
        <w:t>relating to occupational safety and health</w:t>
      </w:r>
      <w:bookmarkEnd w:id="432"/>
      <w:bookmarkEnd w:id="433"/>
    </w:p>
    <w:p>
      <w:pPr>
        <w:pStyle w:val="nzHeading5"/>
      </w:pPr>
      <w:r>
        <w:t>7.</w:t>
      </w:r>
      <w:r>
        <w:rPr>
          <w:b w:val="0"/>
        </w:rPr>
        <w:tab/>
      </w:r>
      <w:r>
        <w:t>Duties of licensee</w:t>
      </w:r>
    </w:p>
    <w:p>
      <w:pPr>
        <w:pStyle w:val="nzSubsection"/>
      </w:pPr>
      <w:r>
        <w:tab/>
        <w:t>(1)</w:t>
      </w:r>
      <w:r>
        <w:tab/>
        <w:t>The licensee for a pipeline operation must take all reasonably practicable steps to ensure that the pipeline operation is carried out in a manner that is safe and without risk to the health of persons engaged in the pipeline operation or other protected persons.</w:t>
      </w:r>
    </w:p>
    <w:p>
      <w:pPr>
        <w:pStyle w:val="nzPenstart"/>
      </w:pPr>
      <w:r>
        <w:tab/>
        <w:t>Penalty:</w:t>
      </w:r>
      <w:r>
        <w:tab/>
        <w:t>$110 000.</w:t>
      </w:r>
    </w:p>
    <w:p>
      <w:pPr>
        <w:pStyle w:val="nzSubsection"/>
      </w:pPr>
      <w:r>
        <w:tab/>
        <w:t>(2)</w:t>
      </w:r>
      <w:r>
        <w:tab/>
        <w:t xml:space="preserve">Without limiting the generality of subclause (1), the licensee for a pipeline operation must — </w:t>
      </w:r>
    </w:p>
    <w:p>
      <w:pPr>
        <w:pStyle w:val="nzIndenta"/>
      </w:pPr>
      <w:r>
        <w:tab/>
        <w:t>(a)</w:t>
      </w:r>
      <w:r>
        <w:tab/>
        <w:t xml:space="preserve">provide and maintain a physical environment at the place where the pipeline operation is carried out that is safe and without risk to health; </w:t>
      </w:r>
    </w:p>
    <w:p>
      <w:pPr>
        <w:pStyle w:val="nzIndenta"/>
      </w:pPr>
      <w:r>
        <w:tab/>
        <w:t>(b)</w:t>
      </w:r>
      <w:r>
        <w:tab/>
        <w:t xml:space="preserve">provide and maintain adequate amenities for the safety and health of all members of the workforce engaged in the pipeline operation; </w:t>
      </w:r>
    </w:p>
    <w:p>
      <w:pPr>
        <w:pStyle w:val="nzIndenta"/>
      </w:pPr>
      <w:r>
        <w:tab/>
        <w:t>(c)</w:t>
      </w:r>
      <w:r>
        <w:tab/>
        <w:t xml:space="preserve">ensure that any plant, equipment, materials and substances for use in the pipeline operation are safe and without risk to health; </w:t>
      </w:r>
    </w:p>
    <w:p>
      <w:pPr>
        <w:pStyle w:val="nzIndenta"/>
      </w:pPr>
      <w:r>
        <w:tab/>
        <w:t>(d)</w:t>
      </w:r>
      <w:r>
        <w:tab/>
        <w:t xml:space="preserve">implement and maintain systems of work in relation to the pipeline operation that are safe and without risk to health; </w:t>
      </w:r>
    </w:p>
    <w:p>
      <w:pPr>
        <w:pStyle w:val="nzIndenta"/>
      </w:pPr>
      <w:r>
        <w:tab/>
        <w:t>(e)</w:t>
      </w:r>
      <w:r>
        <w:tab/>
        <w:t xml:space="preserve">implement and maintain appropriate procedures and equipment for the control of, and response to, emergencies arising out of the pipeline operation; </w:t>
      </w:r>
    </w:p>
    <w:p>
      <w:pPr>
        <w:pStyle w:val="nz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pipeline operation; </w:t>
      </w:r>
    </w:p>
    <w:p>
      <w:pPr>
        <w:pStyle w:val="nzIndenta"/>
      </w:pPr>
      <w:r>
        <w:tab/>
        <w:t>(g)</w:t>
      </w:r>
      <w:r>
        <w:tab/>
        <w:t xml:space="preserve">monitor the occupational safety and health of all members of the workforce and keep records of that monitoring; </w:t>
      </w:r>
    </w:p>
    <w:p>
      <w:pPr>
        <w:pStyle w:val="nzIndenta"/>
      </w:pPr>
      <w:r>
        <w:tab/>
        <w:t>(h)</w:t>
      </w:r>
      <w:r>
        <w:tab/>
        <w:t>provide appropriate medical and first aid services at the places at which a pipeline operation is carried on; and</w:t>
      </w:r>
    </w:p>
    <w:p>
      <w:pPr>
        <w:pStyle w:val="nzIndenta"/>
      </w:pPr>
      <w:r>
        <w:tab/>
        <w:t>(i)</w:t>
      </w:r>
      <w:r>
        <w:tab/>
        <w:t xml:space="preserve">develop, in consultation with members of the workforce and workforce representatives, a policy relating to occupational safety and health that — </w:t>
      </w:r>
    </w:p>
    <w:p>
      <w:pPr>
        <w:pStyle w:val="nzIndenti"/>
      </w:pPr>
      <w:r>
        <w:tab/>
        <w:t>(i)</w:t>
      </w:r>
      <w:r>
        <w:tab/>
        <w:t xml:space="preserve">will enable the licensee and the members of the workforce to cooperate effectively in promoting and developing measures to ensure the occupational safety and health of persons engaged in the pipeline operation; </w:t>
      </w:r>
    </w:p>
    <w:p>
      <w:pPr>
        <w:pStyle w:val="nzIndenti"/>
      </w:pPr>
      <w:r>
        <w:tab/>
        <w:t>(ii)</w:t>
      </w:r>
      <w:r>
        <w:tab/>
        <w:t>will provide adequate mechanisms for reviewing the effectiveness of the measures; and</w:t>
      </w:r>
    </w:p>
    <w:p>
      <w:pPr>
        <w:pStyle w:val="nzIndenti"/>
      </w:pPr>
      <w:r>
        <w:tab/>
        <w:t>(iii)</w:t>
      </w:r>
      <w:r>
        <w:tab/>
        <w:t>provides for the making of an agreement that complies with subclauses (4) and (5).</w:t>
      </w:r>
    </w:p>
    <w:p>
      <w:pPr>
        <w:pStyle w:val="nzPenstart"/>
      </w:pPr>
      <w:r>
        <w:tab/>
        <w:t>Penalty:</w:t>
      </w:r>
      <w:r>
        <w:tab/>
        <w:t>$110 000.</w:t>
      </w:r>
    </w:p>
    <w:p>
      <w:pPr>
        <w:pStyle w:val="nzSubsection"/>
      </w:pPr>
      <w:r>
        <w:tab/>
        <w:t>(3)</w:t>
      </w:r>
      <w:r>
        <w:tab/>
        <w:t>Subclause (2)(i) does not require the licensee for a pipeline operation to engage in consultations with a workforce representative unless a member of the workforce engaged in the pipeline operation has requested the workforce representative to be involved in those consultations.</w:t>
      </w:r>
    </w:p>
    <w:p>
      <w:pPr>
        <w:pStyle w:val="nzSubsection"/>
      </w:pPr>
      <w:r>
        <w:tab/>
        <w:t>(4)</w:t>
      </w:r>
      <w:r>
        <w:tab/>
        <w:t xml:space="preserve">The agreement referred to in subclause (2)(i)(iii) must be between — </w:t>
      </w:r>
    </w:p>
    <w:p>
      <w:pPr>
        <w:pStyle w:val="nzIndenta"/>
      </w:pPr>
      <w:r>
        <w:tab/>
        <w:t>(a)</w:t>
      </w:r>
      <w:r>
        <w:tab/>
        <w:t>on the one hand — the licensee; and</w:t>
      </w:r>
    </w:p>
    <w:p>
      <w:pPr>
        <w:pStyle w:val="nzIndenta"/>
      </w:pPr>
      <w:r>
        <w:tab/>
        <w:t>(b)</w:t>
      </w:r>
      <w:r>
        <w:tab/>
        <w:t xml:space="preserve">on the other hand — </w:t>
      </w:r>
    </w:p>
    <w:p>
      <w:pPr>
        <w:pStyle w:val="nzIndenti"/>
      </w:pPr>
      <w:r>
        <w:tab/>
        <w:t>(i)</w:t>
      </w:r>
      <w:r>
        <w:tab/>
        <w:t>the members of the workforce; and</w:t>
      </w:r>
    </w:p>
    <w:p>
      <w:pPr>
        <w:pStyle w:val="nzIndenti"/>
      </w:pPr>
      <w:r>
        <w:tab/>
        <w:t>(ii)</w:t>
      </w:r>
      <w:r>
        <w:tab/>
        <w:t>if a member of the workforce engaged in the pipeline operation has requested a workforce representative in relation to the member to be a party to that agreement — that workforce representative.</w:t>
      </w:r>
    </w:p>
    <w:p>
      <w:pPr>
        <w:pStyle w:val="nzSubsection"/>
      </w:pPr>
      <w:r>
        <w:tab/>
        <w:t>(5)</w:t>
      </w:r>
      <w:r>
        <w:tab/>
        <w:t xml:space="preserve">The agreement referred to in subclause (2)(i)(iii) must provide appropriate mechanisms for continuing consultation between — </w:t>
      </w:r>
    </w:p>
    <w:p>
      <w:pPr>
        <w:pStyle w:val="nzIndenta"/>
      </w:pPr>
      <w:r>
        <w:tab/>
        <w:t>(a)</w:t>
      </w:r>
      <w:r>
        <w:tab/>
        <w:t>on the one hand — the licensee; and</w:t>
      </w:r>
    </w:p>
    <w:p>
      <w:pPr>
        <w:pStyle w:val="nzIndenta"/>
      </w:pPr>
      <w:r>
        <w:tab/>
        <w:t>(b)</w:t>
      </w:r>
      <w:r>
        <w:tab/>
        <w:t xml:space="preserve">on the other hand — </w:t>
      </w:r>
    </w:p>
    <w:p>
      <w:pPr>
        <w:pStyle w:val="nzIndenti"/>
      </w:pPr>
      <w:r>
        <w:tab/>
        <w:t>(i)</w:t>
      </w:r>
      <w:r>
        <w:tab/>
        <w:t>the members of the workforce; and</w:t>
      </w:r>
    </w:p>
    <w:p>
      <w:pPr>
        <w:pStyle w:val="nzIndenti"/>
      </w:pPr>
      <w:r>
        <w:tab/>
        <w:t>(ii)</w:t>
      </w:r>
      <w:r>
        <w:tab/>
        <w:t>if a member of the workforce engaged in the pipeline operation has requested a workforce representative in relation to the member to be involved in consultations on a particular occasion — that workforce representative.</w:t>
      </w:r>
    </w:p>
    <w:p>
      <w:pPr>
        <w:pStyle w:val="nzSubsection"/>
      </w:pPr>
      <w:r>
        <w:tab/>
        <w:t>(6)</w:t>
      </w:r>
      <w:r>
        <w:tab/>
        <w:t>The agreement may provide for any other matters agreed between the parties to it.</w:t>
      </w:r>
    </w:p>
    <w:p>
      <w:pPr>
        <w:pStyle w:val="nzHeading5"/>
      </w:pPr>
      <w:r>
        <w:t>8.</w:t>
      </w:r>
      <w:r>
        <w:rPr>
          <w:b w:val="0"/>
        </w:rPr>
        <w:tab/>
      </w:r>
      <w:r>
        <w:t xml:space="preserve">Duties of persons in control of parts of pipeline operation </w:t>
      </w:r>
    </w:p>
    <w:p>
      <w:pPr>
        <w:pStyle w:val="nzSubsection"/>
      </w:pPr>
      <w:r>
        <w:tab/>
        <w:t>(1)</w:t>
      </w:r>
      <w:r>
        <w:tab/>
        <w:t>A person who is in control of any part of a pipeline operation must take all reasonably practicable steps to ensure that that part of the pipeline operation is carried out in a manner that is safe and without risk to the health of persons engaged in the pipeline operation or other protected persons.</w:t>
      </w:r>
    </w:p>
    <w:p>
      <w:pPr>
        <w:pStyle w:val="nzPenstart"/>
      </w:pPr>
      <w:r>
        <w:tab/>
        <w:t>Penalty:</w:t>
      </w:r>
      <w:r>
        <w:tab/>
        <w:t>$110 000.</w:t>
      </w:r>
    </w:p>
    <w:p>
      <w:pPr>
        <w:pStyle w:val="nzSubsection"/>
      </w:pPr>
      <w:r>
        <w:tab/>
        <w:t>(2)</w:t>
      </w:r>
      <w:r>
        <w:tab/>
        <w:t xml:space="preserve">Without limiting the generality of subclause (1), a person who is in control of any part of a pipeline operation must — </w:t>
      </w:r>
    </w:p>
    <w:p>
      <w:pPr>
        <w:pStyle w:val="nzIndenta"/>
      </w:pPr>
      <w:r>
        <w:tab/>
        <w:t>(a)</w:t>
      </w:r>
      <w:r>
        <w:tab/>
        <w:t xml:space="preserve">ensure that the physical environment at the place where that part of the pipeline operation is carried out is safe and without risk to health; </w:t>
      </w:r>
    </w:p>
    <w:p>
      <w:pPr>
        <w:pStyle w:val="nzIndenta"/>
      </w:pPr>
      <w:r>
        <w:tab/>
        <w:t>(b)</w:t>
      </w:r>
      <w:r>
        <w:tab/>
        <w:t xml:space="preserve">ensure that any plant, equipment, materials and substances for use in that part of the pipeline operation are safe and without risk to health; </w:t>
      </w:r>
    </w:p>
    <w:p>
      <w:pPr>
        <w:pStyle w:val="nzIndenta"/>
      </w:pPr>
      <w:r>
        <w:tab/>
        <w:t>(c)</w:t>
      </w:r>
      <w:r>
        <w:tab/>
        <w:t xml:space="preserve">implement and maintain systems of work in relation to that part of the pipeline operation that are safe and without risk to health; </w:t>
      </w:r>
    </w:p>
    <w:p>
      <w:pPr>
        <w:pStyle w:val="nzIndenta"/>
      </w:pPr>
      <w:r>
        <w:tab/>
        <w:t>(d)</w:t>
      </w:r>
      <w:r>
        <w:tab/>
        <w:t>ensure a means of access to, and egress from the place where that part of the pipeline operation is carried out is safe and without risk to health; and</w:t>
      </w:r>
    </w:p>
    <w:p>
      <w:pPr>
        <w:pStyle w:val="nzIndenta"/>
      </w:pPr>
      <w:r>
        <w:tab/>
        <w:t>(e)</w:t>
      </w:r>
      <w:r>
        <w:tab/>
        <w:t>provide all members of the workforce engaged in that part of the pipeline operation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Heading5"/>
      </w:pPr>
      <w:r>
        <w:t>9.</w:t>
      </w:r>
      <w:r>
        <w:rPr>
          <w:b w:val="0"/>
        </w:rPr>
        <w:tab/>
      </w:r>
      <w:r>
        <w:t>Duties of employers</w:t>
      </w:r>
    </w:p>
    <w:p>
      <w:pPr>
        <w:pStyle w:val="nzSubsection"/>
      </w:pPr>
      <w:r>
        <w:tab/>
        <w:t>(1)</w:t>
      </w:r>
      <w:r>
        <w:tab/>
        <w:t>An employer must take all reasonably practicable steps to protect the safety and health of employees engaged in a pipeline operation.</w:t>
      </w:r>
    </w:p>
    <w:p>
      <w:pPr>
        <w:pStyle w:val="nzPenstart"/>
      </w:pPr>
      <w:r>
        <w:tab/>
        <w:t>Penalty:</w:t>
      </w:r>
      <w:r>
        <w:tab/>
        <w:t>$110 000.</w:t>
      </w:r>
    </w:p>
    <w:p>
      <w:pPr>
        <w:pStyle w:val="nzSubsection"/>
      </w:pPr>
      <w:r>
        <w:tab/>
        <w:t>(2)</w:t>
      </w:r>
      <w:r>
        <w:tab/>
        <w:t xml:space="preserve">Without limiting the generality of subclause (1), an employer must — </w:t>
      </w:r>
    </w:p>
    <w:p>
      <w:pPr>
        <w:pStyle w:val="nzIndenta"/>
      </w:pPr>
      <w:r>
        <w:tab/>
        <w:t>(a)</w:t>
      </w:r>
      <w:r>
        <w:tab/>
        <w:t xml:space="preserve">provide and maintain a working environment that is safe for employees and without risk to their health; </w:t>
      </w:r>
    </w:p>
    <w:p>
      <w:pPr>
        <w:pStyle w:val="nzIndenta"/>
      </w:pPr>
      <w:r>
        <w:tab/>
        <w:t>(b)</w:t>
      </w:r>
      <w:r>
        <w:tab/>
        <w:t xml:space="preserve">ensure that any plant, equipment, materials and substances for use in connection with the employees’ work are safe and without risk to health; </w:t>
      </w:r>
    </w:p>
    <w:p>
      <w:pPr>
        <w:pStyle w:val="nzIndenta"/>
      </w:pPr>
      <w:r>
        <w:tab/>
        <w:t>(c)</w:t>
      </w:r>
      <w:r>
        <w:tab/>
        <w:t xml:space="preserve">implement and maintain systems of work that are safe and without risk to health; </w:t>
      </w:r>
    </w:p>
    <w:p>
      <w:pPr>
        <w:pStyle w:val="nzIndenta"/>
      </w:pPr>
      <w:r>
        <w:tab/>
        <w:t>(d)</w:t>
      </w:r>
      <w:r>
        <w:tab/>
        <w:t>provide a means of access to, and egress from, the employees’ work location that is safe and without risk to health; and</w:t>
      </w:r>
    </w:p>
    <w:p>
      <w:pPr>
        <w:pStyle w:val="nzIndenta"/>
      </w:pPr>
      <w:r>
        <w:tab/>
        <w:t>(e)</w:t>
      </w:r>
      <w:r>
        <w:tab/>
        <w:t>provide the employees,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Subsection"/>
      </w:pPr>
      <w:r>
        <w:tab/>
        <w:t>(3)</w:t>
      </w:r>
      <w:r>
        <w:tab/>
        <w:t xml:space="preserve">A person has, in respect of a contractor of that person, the same obligations that an employer has under subclauses (1) and (2) in respect of an employee of that employer, but only in relation to — </w:t>
      </w:r>
    </w:p>
    <w:p>
      <w:pPr>
        <w:pStyle w:val="nzIndenta"/>
      </w:pPr>
      <w:r>
        <w:tab/>
        <w:t>(a)</w:t>
      </w:r>
      <w:r>
        <w:tab/>
        <w:t>matters over which the first</w:t>
      </w:r>
      <w:r>
        <w:noBreakHyphen/>
        <w:t>mentioned person has control; or</w:t>
      </w:r>
    </w:p>
    <w:p>
      <w:pPr>
        <w:pStyle w:val="nzIndenta"/>
      </w:pPr>
      <w:r>
        <w:tab/>
        <w:t>(b)</w:t>
      </w:r>
      <w:r>
        <w:tab/>
        <w:t xml:space="preserve">matters over which — </w:t>
      </w:r>
    </w:p>
    <w:p>
      <w:pPr>
        <w:pStyle w:val="nzIndenti"/>
      </w:pPr>
      <w:r>
        <w:tab/>
        <w:t>(i)</w:t>
      </w:r>
      <w:r>
        <w:tab/>
        <w:t>the first</w:t>
      </w:r>
      <w:r>
        <w:noBreakHyphen/>
        <w:t>mentioned person would have had control apart from express provision to the contrary in a contract; and</w:t>
      </w:r>
    </w:p>
    <w:p>
      <w:pPr>
        <w:pStyle w:val="nzIndenti"/>
      </w:pPr>
      <w:r>
        <w:tab/>
        <w:t>(ii)</w:t>
      </w:r>
      <w:r>
        <w:tab/>
        <w:t>the first</w:t>
      </w:r>
      <w:r>
        <w:noBreakHyphen/>
        <w:t>mentioned person would, in the circumstances, usually be expected to have had control.</w:t>
      </w:r>
    </w:p>
    <w:p>
      <w:pPr>
        <w:pStyle w:val="nzSubsection"/>
      </w:pPr>
      <w:r>
        <w:tab/>
        <w:t>(4)</w:t>
      </w:r>
      <w:r>
        <w:tab/>
        <w:t xml:space="preserve">An employer must take all reasonable steps to — </w:t>
      </w:r>
    </w:p>
    <w:p>
      <w:pPr>
        <w:pStyle w:val="nzIndenta"/>
      </w:pPr>
      <w:r>
        <w:tab/>
        <w:t>(a)</w:t>
      </w:r>
      <w:r>
        <w:tab/>
        <w:t>monitor the safety and health of employees; and</w:t>
      </w:r>
    </w:p>
    <w:p>
      <w:pPr>
        <w:pStyle w:val="nzIndenta"/>
      </w:pPr>
      <w:r>
        <w:tab/>
        <w:t>(b)</w:t>
      </w:r>
      <w:r>
        <w:tab/>
        <w:t>keep records of that monitoring.</w:t>
      </w:r>
    </w:p>
    <w:p>
      <w:pPr>
        <w:pStyle w:val="nzPenstart"/>
      </w:pPr>
      <w:r>
        <w:tab/>
        <w:t>Penalty:</w:t>
      </w:r>
      <w:r>
        <w:tab/>
        <w:t>$110 000.</w:t>
      </w:r>
    </w:p>
    <w:p>
      <w:pPr>
        <w:pStyle w:val="nzSubsection"/>
      </w:pPr>
      <w:r>
        <w:tab/>
        <w:t>(5)</w:t>
      </w:r>
      <w:r>
        <w:tab/>
        <w:t xml:space="preserve">An employer must take all reasonably practicable steps to ensure that — </w:t>
      </w:r>
    </w:p>
    <w:p>
      <w:pPr>
        <w:pStyle w:val="nzIndenta"/>
      </w:pPr>
      <w:r>
        <w:tab/>
        <w:t>(a)</w:t>
      </w:r>
      <w:r>
        <w:tab/>
        <w:t>work that is undertaken by the employer’s employees is carried out in a manner that is safe and without risk to the health of persons engaged in the pipeline operation or other protected persons; and</w:t>
      </w:r>
    </w:p>
    <w:p>
      <w:pPr>
        <w:pStyle w:val="nzIndenta"/>
      </w:pPr>
      <w:r>
        <w:tab/>
        <w:t>(b)</w:t>
      </w:r>
      <w:r>
        <w:tab/>
        <w:t>the employer’s system of work is operated in a manner that is safe and without risk to the health of persons engaged in the pipeline operation or other protected persons.</w:t>
      </w:r>
    </w:p>
    <w:p>
      <w:pPr>
        <w:pStyle w:val="nzPenstart"/>
      </w:pPr>
      <w:r>
        <w:tab/>
        <w:t>Penalty:</w:t>
      </w:r>
      <w:r>
        <w:tab/>
        <w:t>$22 000.</w:t>
      </w:r>
    </w:p>
    <w:p>
      <w:pPr>
        <w:pStyle w:val="nzHeading5"/>
      </w:pPr>
      <w:r>
        <w:t>10.</w:t>
      </w:r>
      <w:r>
        <w:rPr>
          <w:b w:val="0"/>
        </w:rPr>
        <w:tab/>
      </w:r>
      <w:r>
        <w:t>Duties of manufacturers in relation to plant and substances</w:t>
      </w:r>
    </w:p>
    <w:p>
      <w:pPr>
        <w:pStyle w:val="nzSubsection"/>
      </w:pPr>
      <w:r>
        <w:tab/>
        <w:t>(1)</w:t>
      </w:r>
      <w:r>
        <w:tab/>
        <w:t xml:space="preserve">A manufacturer of any plant that the manufacturer knows or ought reasonably to expect will be used by members of the workforce engaged in a pipeline operation must take all reasonably practicable steps — </w:t>
      </w:r>
    </w:p>
    <w:p>
      <w:pPr>
        <w:pStyle w:val="nzIndenta"/>
      </w:pPr>
      <w:r>
        <w:tab/>
        <w:t>(a)</w:t>
      </w:r>
      <w:r>
        <w:tab/>
        <w:t>to ensure that the plant is so designed and constructed as to be, when properly used, safe and without risk to health;</w:t>
      </w:r>
    </w:p>
    <w:p>
      <w:pPr>
        <w:pStyle w:val="nzIndenta"/>
      </w:pPr>
      <w:r>
        <w:tab/>
        <w:t>(b)</w:t>
      </w:r>
      <w:r>
        <w:tab/>
        <w:t>to carry out, or cause to be carried out, the research, testing and examination necessary in order to discover, and to eliminate or minimise, any risk to safety or health that may arise from the use of the plant; and</w:t>
      </w:r>
    </w:p>
    <w:p>
      <w:pPr>
        <w:pStyle w:val="nzIndenta"/>
      </w:pPr>
      <w:r>
        <w:tab/>
        <w:t>(c)</w:t>
      </w:r>
      <w:r>
        <w:tab/>
        <w:t xml:space="preserve">to make available, in connection with the use of the plant in a pipeline operation, adequate written information about — </w:t>
      </w:r>
    </w:p>
    <w:p>
      <w:pPr>
        <w:pStyle w:val="nzIndenti"/>
      </w:pPr>
      <w:r>
        <w:tab/>
        <w:t>(i)</w:t>
      </w:r>
      <w:r>
        <w:tab/>
        <w:t xml:space="preserve">the use for which it is designed and has been tested; </w:t>
      </w:r>
    </w:p>
    <w:p>
      <w:pPr>
        <w:pStyle w:val="nzIndenti"/>
      </w:pPr>
      <w:r>
        <w:tab/>
        <w:t>(ii)</w:t>
      </w:r>
      <w:r>
        <w:tab/>
        <w:t>details of its design and construction; and</w:t>
      </w:r>
    </w:p>
    <w:p>
      <w:pPr>
        <w:pStyle w:val="nzIndenti"/>
      </w:pPr>
      <w:r>
        <w:tab/>
        <w:t>(iii)</w:t>
      </w:r>
      <w:r>
        <w:tab/>
        <w:t>any conditions necessary to ensure that, when put to the use for which it was designed and tested, it will be safe and without risk to health.</w:t>
      </w:r>
    </w:p>
    <w:p>
      <w:pPr>
        <w:pStyle w:val="nzPenstart"/>
      </w:pPr>
      <w:r>
        <w:tab/>
        <w:t>Penalty:</w:t>
      </w:r>
      <w:r>
        <w:tab/>
        <w:t>$22 000.</w:t>
      </w:r>
    </w:p>
    <w:p>
      <w:pPr>
        <w:pStyle w:val="nzSubsection"/>
      </w:pPr>
      <w:r>
        <w:tab/>
        <w:t>(2)</w:t>
      </w:r>
      <w:r>
        <w:tab/>
        <w:t xml:space="preserve">A manufacturer of any substance that the manufacturer knows or ought reasonably to expect will be used by members of the workforce engaged in a pipeline operation must take all reasonably practicable steps — </w:t>
      </w:r>
    </w:p>
    <w:p>
      <w:pPr>
        <w:pStyle w:val="nzIndenta"/>
      </w:pPr>
      <w:r>
        <w:tab/>
        <w:t>(a)</w:t>
      </w:r>
      <w:r>
        <w:tab/>
        <w:t xml:space="preserve">to ensure that the substance is so manufactured as to be, when properly used, safe and without risk to health; </w:t>
      </w:r>
    </w:p>
    <w:p>
      <w:pPr>
        <w:pStyle w:val="nzIndenta"/>
      </w:pPr>
      <w:r>
        <w:tab/>
        <w:t>(b)</w:t>
      </w:r>
      <w:r>
        <w:tab/>
        <w:t>to carry out, or cause to be carried out, the research, testing and examination necessary to discover, and to eliminate or minimise, any risk to safety or health that may arise from the use of the substance; and</w:t>
      </w:r>
    </w:p>
    <w:p>
      <w:pPr>
        <w:pStyle w:val="nzIndenta"/>
      </w:pPr>
      <w:r>
        <w:tab/>
        <w:t>(c)</w:t>
      </w:r>
      <w:r>
        <w:tab/>
        <w:t xml:space="preserve">to make available, in connection with the use of the substance in a pipeline operation, adequate written information concerning — </w:t>
      </w:r>
    </w:p>
    <w:p>
      <w:pPr>
        <w:pStyle w:val="nzIndenti"/>
      </w:pPr>
      <w:r>
        <w:tab/>
        <w:t>(i)</w:t>
      </w:r>
      <w:r>
        <w:tab/>
        <w:t xml:space="preserve">the use for which it is manufactured and has been tested; </w:t>
      </w:r>
    </w:p>
    <w:p>
      <w:pPr>
        <w:pStyle w:val="nzIndenti"/>
      </w:pPr>
      <w:r>
        <w:tab/>
        <w:t>(ii)</w:t>
      </w:r>
      <w:r>
        <w:tab/>
        <w:t xml:space="preserve">details of its composition; </w:t>
      </w:r>
    </w:p>
    <w:p>
      <w:pPr>
        <w:pStyle w:val="nzIndenti"/>
      </w:pPr>
      <w:r>
        <w:tab/>
        <w:t>(iii)</w:t>
      </w:r>
      <w:r>
        <w:tab/>
        <w:t>any conditions necessary to ensure that, when put to the use for which it was manufactured and tested, it will be safe and without risk to health; and</w:t>
      </w:r>
    </w:p>
    <w:p>
      <w:pPr>
        <w:pStyle w:val="nzIndenti"/>
      </w:pPr>
      <w:r>
        <w:tab/>
        <w:t>(iv)</w:t>
      </w:r>
      <w:r>
        <w:tab/>
        <w:t>the first aid and medical procedures that should be followed if the substance causes injury.</w:t>
      </w:r>
    </w:p>
    <w:p>
      <w:pPr>
        <w:pStyle w:val="nzPenstart"/>
      </w:pPr>
      <w:r>
        <w:tab/>
        <w:t>Penalty:</w:t>
      </w:r>
      <w:r>
        <w:tab/>
        <w:t>$22 000.</w:t>
      </w:r>
    </w:p>
    <w:p>
      <w:pPr>
        <w:pStyle w:val="nzSubsection"/>
      </w:pPr>
      <w:r>
        <w:tab/>
        <w:t>(3)</w:t>
      </w:r>
      <w:r>
        <w:tab/>
        <w:t xml:space="preserve">If — </w:t>
      </w:r>
    </w:p>
    <w:p>
      <w:pPr>
        <w:pStyle w:val="nzIndenta"/>
      </w:pPr>
      <w:r>
        <w:tab/>
        <w:t>(a)</w:t>
      </w:r>
      <w:r>
        <w:tab/>
        <w:t>plant or a substance is imported into Australia by a person who is not its manufacturer; and</w:t>
      </w:r>
    </w:p>
    <w:p>
      <w:pPr>
        <w:pStyle w:val="nzIndenta"/>
      </w:pPr>
      <w:r>
        <w:tab/>
        <w:t>(b)</w:t>
      </w:r>
      <w:r>
        <w:tab/>
        <w:t>at the time of the importation, the manufacturer of the plant or substance does not have a place of business in Australia,</w:t>
      </w:r>
    </w:p>
    <w:p>
      <w:pPr>
        <w:pStyle w:val="nzSubsection"/>
      </w:pPr>
      <w:r>
        <w:tab/>
      </w:r>
      <w:r>
        <w:tab/>
        <w:t>the first</w:t>
      </w:r>
      <w:r>
        <w:noBreakHyphen/>
        <w:t>mentioned person is taken, for the purposes of this clause, to be the manufacturer of the plant or substance.</w:t>
      </w:r>
    </w:p>
    <w:p>
      <w:pPr>
        <w:pStyle w:val="nz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nzHeading5"/>
      </w:pPr>
      <w:r>
        <w:t>11.</w:t>
      </w:r>
      <w:r>
        <w:rPr>
          <w:b w:val="0"/>
        </w:rPr>
        <w:tab/>
      </w:r>
      <w:r>
        <w:t>Duties of suppliers of pipelines, plant and substances</w:t>
      </w:r>
    </w:p>
    <w:p>
      <w:pPr>
        <w:pStyle w:val="nzSubsection"/>
      </w:pPr>
      <w:r>
        <w:tab/>
        <w:t>(1)</w:t>
      </w:r>
      <w:r>
        <w:tab/>
        <w:t xml:space="preserve">A supplier of a pipeline, or of any plant or substance, that the supplier ought reasonably to expect will be used by members of the workforce engaged in a pipeline operation, must take all reasonably practicable steps — </w:t>
      </w:r>
    </w:p>
    <w:p>
      <w:pPr>
        <w:pStyle w:val="nzIndenta"/>
      </w:pPr>
      <w:r>
        <w:tab/>
        <w:t>(a)</w:t>
      </w:r>
      <w:r>
        <w:tab/>
        <w:t xml:space="preserve">to ensure that, at the time of supply, the pipeline, or the plant or substance, is in such condition as to be, when properly used, safe and without risk to health; </w:t>
      </w:r>
    </w:p>
    <w:p>
      <w:pPr>
        <w:pStyle w:val="nzIndenta"/>
      </w:pPr>
      <w:r>
        <w:tab/>
        <w:t>(b)</w:t>
      </w:r>
      <w:r>
        <w:tab/>
        <w:t>to carry out, or cause to be carried out, the research, testing and examination necessary to discover, and to eliminate or minimise, any risk to safety or health that may arise from the condition of the pipeline, plant or substance; and</w:t>
      </w:r>
    </w:p>
    <w:p>
      <w:pPr>
        <w:pStyle w:val="nzIndenta"/>
      </w:pPr>
      <w:r>
        <w:tab/>
        <w:t>(c)</w:t>
      </w:r>
      <w:r>
        <w:tab/>
        <w:t xml:space="preserve">to make available — </w:t>
      </w:r>
    </w:p>
    <w:p>
      <w:pPr>
        <w:pStyle w:val="nzIndenti"/>
      </w:pPr>
      <w:r>
        <w:tab/>
        <w:t>(i)</w:t>
      </w:r>
      <w:r>
        <w:tab/>
        <w:t>in the case of a pipeline — to the licensee for the pipeline operation; and</w:t>
      </w:r>
    </w:p>
    <w:p>
      <w:pPr>
        <w:pStyle w:val="nzIndenti"/>
      </w:pPr>
      <w:r>
        <w:tab/>
        <w:t>(ii)</w:t>
      </w:r>
      <w:r>
        <w:tab/>
        <w:t>in the case of plant or substance — to the person to whom the plant or substance is supplied,</w:t>
      </w:r>
    </w:p>
    <w:p>
      <w:pPr>
        <w:pStyle w:val="nzIndenta"/>
      </w:pPr>
      <w:r>
        <w:tab/>
      </w:r>
      <w:r>
        <w:tab/>
        <w:t xml:space="preserve">adequate written information, in connection with the use of the pipeline, plant or substance (as the case requires) about — </w:t>
      </w:r>
    </w:p>
    <w:p>
      <w:pPr>
        <w:pStyle w:val="nzIndenti"/>
      </w:pPr>
      <w:r>
        <w:tab/>
        <w:t>(iii)</w:t>
      </w:r>
      <w:r>
        <w:tab/>
        <w:t xml:space="preserve">the condition of the pipeline, plant or substance at the time of supply; </w:t>
      </w:r>
    </w:p>
    <w:p>
      <w:pPr>
        <w:pStyle w:val="nzIndenti"/>
      </w:pPr>
      <w:r>
        <w:tab/>
        <w:t>(iv)</w:t>
      </w:r>
      <w:r>
        <w:tab/>
        <w:t xml:space="preserve">any risk to the safety and health of members of the workforce engaged in a pipeline operation to which the condition of the pipeline, plant or substance may give rise unless it is properly used; </w:t>
      </w:r>
    </w:p>
    <w:p>
      <w:pPr>
        <w:pStyle w:val="nzIndenti"/>
      </w:pPr>
      <w:r>
        <w:tab/>
        <w:t>(v)</w:t>
      </w:r>
      <w:r>
        <w:tab/>
        <w:t>the steps that need to be taken in order to eliminate that risk; and</w:t>
      </w:r>
    </w:p>
    <w:p>
      <w:pPr>
        <w:pStyle w:val="nzIndenti"/>
      </w:pPr>
      <w:r>
        <w:tab/>
        <w:t>(vi)</w:t>
      </w:r>
      <w:r>
        <w:tab/>
        <w:t>in the case of a substance — the first aid and medical procedures that should be followed if the condition of the substance causes injury to a member of the workforce engaged in a pipeline operation.</w:t>
      </w:r>
    </w:p>
    <w:p>
      <w:pPr>
        <w:pStyle w:val="nzPenstart"/>
      </w:pPr>
      <w:r>
        <w:tab/>
        <w:t>Penalty:</w:t>
      </w:r>
      <w:r>
        <w:tab/>
        <w:t>$22 000.</w:t>
      </w:r>
    </w:p>
    <w:p>
      <w:pPr>
        <w:pStyle w:val="nzSubsection"/>
      </w:pPr>
      <w:r>
        <w:tab/>
        <w:t>(2)</w:t>
      </w:r>
      <w:r>
        <w:tab/>
        <w:t>For the purposes of subclause (1), if a person (the </w:t>
      </w:r>
      <w:r>
        <w:rPr>
          <w:b/>
        </w:rPr>
        <w:t>“</w:t>
      </w:r>
      <w:r>
        <w:rPr>
          <w:rStyle w:val="CharDefText"/>
        </w:rPr>
        <w:t>ostensible supplier</w:t>
      </w:r>
      <w:r>
        <w:rPr>
          <w:b/>
        </w:rPr>
        <w:t>”</w:t>
      </w:r>
      <w:r>
        <w:t xml:space="preserve">) supplies to a person either a pipeline, or any plant or substance, that is for use by members of the workforce engaged in a pipeline operation, and the ostensible supplier — </w:t>
      </w:r>
    </w:p>
    <w:p>
      <w:pPr>
        <w:pStyle w:val="nzIndenta"/>
      </w:pPr>
      <w:r>
        <w:tab/>
        <w:t>(a)</w:t>
      </w:r>
      <w:r>
        <w:tab/>
        <w:t xml:space="preserve">carries on the business of financing the acquisition or the use of goods by other persons; </w:t>
      </w:r>
    </w:p>
    <w:p>
      <w:pPr>
        <w:pStyle w:val="nzIndenta"/>
      </w:pPr>
      <w:r>
        <w:tab/>
        <w:t>(b)</w:t>
      </w:r>
      <w:r>
        <w:tab/>
        <w:t xml:space="preserve">has, in the course of that business, acquired an interest in the pipeline, or in the plant or substance, from another person (the </w:t>
      </w:r>
      <w:r>
        <w:rPr>
          <w:b/>
        </w:rPr>
        <w:t>“</w:t>
      </w:r>
      <w:r>
        <w:rPr>
          <w:rStyle w:val="CharDefText"/>
        </w:rPr>
        <w:t>actual supplier</w:t>
      </w:r>
      <w:r>
        <w:rPr>
          <w:b/>
        </w:rPr>
        <w:t>”</w:t>
      </w:r>
      <w:r>
        <w:t>), solely for the purpose of financing its acquisition by, or its provision to, the person to whom it is finally supplied; and</w:t>
      </w:r>
    </w:p>
    <w:p>
      <w:pPr>
        <w:pStyle w:val="nzIndenta"/>
      </w:pPr>
      <w:r>
        <w:tab/>
        <w:t>(c)</w:t>
      </w:r>
      <w:r>
        <w:tab/>
        <w:t>has not taken possession of the pipeline, plant or substance, or has taken possession of the pipeline, plant or substance solely for the purpose of passing possession of the pipeline, plant or substance to the person to whom it is finally supplied,</w:t>
      </w:r>
    </w:p>
    <w:p>
      <w:pPr>
        <w:pStyle w:val="nzSubsection"/>
      </w:pPr>
      <w:r>
        <w:tab/>
      </w:r>
      <w:r>
        <w:tab/>
        <w:t>a reference in subclause (1) to a supplier is, in relation to the pipeline, plant or substance referred to in this subclause, to be read as a reference to the actual supplier and not as a reference to the ostensible supplier.</w:t>
      </w:r>
    </w:p>
    <w:p>
      <w:pPr>
        <w:pStyle w:val="nz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nzHeading5"/>
      </w:pPr>
      <w:r>
        <w:t>12.</w:t>
      </w:r>
      <w:r>
        <w:rPr>
          <w:b w:val="0"/>
        </w:rPr>
        <w:tab/>
      </w:r>
      <w:r>
        <w:t>Duties of persons constructing pipelines or installing plant</w:t>
      </w:r>
    </w:p>
    <w:p>
      <w:pPr>
        <w:pStyle w:val="nzSubsection"/>
      </w:pPr>
      <w:r>
        <w:tab/>
        <w:t>(1)</w:t>
      </w:r>
      <w:r>
        <w:tab/>
        <w:t>A person who constructs or installs a pipeline, or erects or installs any plant, for use in a pipeline operation, must take all reasonably practicable steps to ensure that the pipeline or plant is not erected or installed in such a way that it is unsafe or constitutes a risk to safety or health.</w:t>
      </w:r>
    </w:p>
    <w:p>
      <w:pPr>
        <w:pStyle w:val="nzPenstart"/>
      </w:pPr>
      <w:r>
        <w:tab/>
        <w:t>Penalty:</w:t>
      </w:r>
      <w:r>
        <w:tab/>
        <w:t>$22 000.</w:t>
      </w:r>
    </w:p>
    <w:p>
      <w:pPr>
        <w:pStyle w:val="nzSubsection"/>
      </w:pPr>
      <w:r>
        <w:tab/>
        <w:t>(2)</w:t>
      </w:r>
      <w:r>
        <w:tab/>
        <w:t>This clause does not affect the operation of any other law of this State that imposes an obligation in respect of the erection or installation of structures or goods or the supply of services.</w:t>
      </w:r>
    </w:p>
    <w:p>
      <w:pPr>
        <w:pStyle w:val="nzHeading5"/>
      </w:pPr>
      <w:r>
        <w:t>13.</w:t>
      </w:r>
      <w:r>
        <w:rPr>
          <w:b w:val="0"/>
        </w:rPr>
        <w:tab/>
      </w:r>
      <w:r>
        <w:t>Duties of persons in relation to occupational safety and health</w:t>
      </w:r>
    </w:p>
    <w:p>
      <w:pPr>
        <w:pStyle w:val="nzSubsection"/>
      </w:pPr>
      <w:r>
        <w:tab/>
        <w:t>(1)</w:t>
      </w:r>
      <w:r>
        <w:tab/>
        <w:t xml:space="preserve">A person engaged in a pipeline operation must, at all times, take all reasonably practicable steps — </w:t>
      </w:r>
    </w:p>
    <w:p>
      <w:pPr>
        <w:pStyle w:val="nzIndenta"/>
      </w:pPr>
      <w:r>
        <w:tab/>
        <w:t>(a)</w:t>
      </w:r>
      <w:r>
        <w:tab/>
        <w:t xml:space="preserve">to ensure that the person does not take any action, or make any omission, that creates a risk, or increases an existing risk, to — </w:t>
      </w:r>
    </w:p>
    <w:p>
      <w:pPr>
        <w:pStyle w:val="nzIndenti"/>
      </w:pPr>
      <w:r>
        <w:rPr>
          <w:sz w:val="22"/>
        </w:rPr>
        <w:tab/>
        <w:t>(i)</w:t>
      </w:r>
      <w:r>
        <w:rPr>
          <w:sz w:val="22"/>
        </w:rPr>
        <w:tab/>
        <w:t xml:space="preserve">the occupational safety and health of that person; or </w:t>
      </w:r>
    </w:p>
    <w:p>
      <w:pPr>
        <w:pStyle w:val="nzIndenti"/>
      </w:pPr>
      <w:r>
        <w:tab/>
        <w:t>(ii)</w:t>
      </w:r>
      <w:r>
        <w:tab/>
        <w:t>the safety and health of any other protected person;</w:t>
      </w:r>
    </w:p>
    <w:p>
      <w:pPr>
        <w:pStyle w:val="nzIndenta"/>
      </w:pPr>
      <w:r>
        <w:tab/>
        <w:t>(b)</w:t>
      </w:r>
      <w:r>
        <w:tab/>
        <w:t>in respect of any obligation imposed on the licensee or on any other person under a listed OSH law — to cooperate with the licensee or that other person to the extent necessary to enable the licensee or that other person to fulfil that obligation; and</w:t>
      </w:r>
    </w:p>
    <w:p>
      <w:pPr>
        <w:pStyle w:val="nzIndenta"/>
      </w:pPr>
      <w:r>
        <w:tab/>
        <w:t>(c)</w:t>
      </w:r>
      <w:r>
        <w:tab/>
        <w:t xml:space="preserve">to use equipment that is — </w:t>
      </w:r>
    </w:p>
    <w:p>
      <w:pPr>
        <w:pStyle w:val="nzIndenti"/>
      </w:pPr>
      <w:r>
        <w:tab/>
        <w:t>(i)</w:t>
      </w:r>
      <w:r>
        <w:tab/>
        <w:t>supplied to the person by the licensee, an employer of the person or any other person having control of the pipeline operation (the </w:t>
      </w:r>
      <w:r>
        <w:rPr>
          <w:b/>
        </w:rPr>
        <w:t>“</w:t>
      </w:r>
      <w:r>
        <w:rPr>
          <w:rStyle w:val="CharDefText"/>
        </w:rPr>
        <w:t>equipment supplier</w:t>
      </w:r>
      <w:r>
        <w:rPr>
          <w:b/>
        </w:rPr>
        <w:t>”</w:t>
      </w:r>
      <w:r>
        <w:t>); and</w:t>
      </w:r>
    </w:p>
    <w:p>
      <w:pPr>
        <w:pStyle w:val="nzIndenti"/>
      </w:pPr>
      <w:r>
        <w:tab/>
        <w:t>(ii)</w:t>
      </w:r>
      <w:r>
        <w:tab/>
        <w:t>necessary to protect the occupational safety and health of the person, or the safety and health of any other person engaged in the pipeline operation or protected person,</w:t>
      </w:r>
    </w:p>
    <w:p>
      <w:pPr>
        <w:pStyle w:val="nzIndenta"/>
      </w:pPr>
      <w:r>
        <w:tab/>
      </w:r>
      <w:r>
        <w:tab/>
        <w:t>in accordance with any instructions given by the equipment supplier, consistent with the safe and proper use of the equipment.</w:t>
      </w:r>
    </w:p>
    <w:p>
      <w:pPr>
        <w:pStyle w:val="nzPenstart"/>
      </w:pPr>
      <w:r>
        <w:tab/>
        <w:t>Penalty:</w:t>
      </w:r>
      <w:r>
        <w:tab/>
        <w:t xml:space="preserve">$5 500. </w:t>
      </w:r>
    </w:p>
    <w:p>
      <w:pPr>
        <w:pStyle w:val="nz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nzIndenta"/>
      </w:pPr>
      <w:r>
        <w:tab/>
        <w:t>(a)</w:t>
      </w:r>
      <w:r>
        <w:tab/>
        <w:t>agreed on between the equipment supplier and any relevant safety and health representative; or</w:t>
      </w:r>
    </w:p>
    <w:p>
      <w:pPr>
        <w:pStyle w:val="nzIndenta"/>
      </w:pPr>
      <w:r>
        <w:tab/>
        <w:t>(b)</w:t>
      </w:r>
      <w:r>
        <w:tab/>
        <w:t>agreed on by a safety and health committee.</w:t>
      </w:r>
    </w:p>
    <w:p>
      <w:pPr>
        <w:pStyle w:val="nz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nz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nzHeading5"/>
      </w:pPr>
      <w:r>
        <w:t>14.</w:t>
      </w:r>
      <w:r>
        <w:rPr>
          <w:b w:val="0"/>
        </w:rPr>
        <w:tab/>
      </w:r>
      <w:r>
        <w:t>Reliance on information supplied or results of research</w:t>
      </w:r>
    </w:p>
    <w:p>
      <w:pPr>
        <w:pStyle w:val="nz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nz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nzIndenta"/>
      </w:pPr>
      <w:r>
        <w:tab/>
        <w:t>(b)</w:t>
      </w:r>
      <w:r>
        <w:tab/>
        <w:t>it was reasonable for the person to rely on that information.</w:t>
      </w:r>
    </w:p>
    <w:p>
      <w:pPr>
        <w:pStyle w:val="nzSubsection"/>
      </w:pPr>
      <w:r>
        <w:tab/>
        <w:t>(2)</w:t>
      </w:r>
      <w:r>
        <w:tab/>
        <w:t xml:space="preserve">For the purpose of the application of clause 10 or 11 to carrying out research, testing and examining a pipeline, or any plant or substance, a person on whom an obligation is imposed under either of those clauses is regarded as having taken reasonably practicable steps as required by the relevant clause, in relation to carrying out research, testing and examining the pipeline, plant or substance, to the extent that — </w:t>
      </w:r>
    </w:p>
    <w:p>
      <w:pPr>
        <w:pStyle w:val="nzIndenta"/>
      </w:pPr>
      <w:r>
        <w:tab/>
        <w:t>(a)</w:t>
      </w:r>
      <w:r>
        <w:tab/>
        <w:t>the research, testing or examination has already been carried out by or on behalf of someone else; and</w:t>
      </w:r>
    </w:p>
    <w:p>
      <w:pPr>
        <w:pStyle w:val="nzIndenta"/>
      </w:pPr>
      <w:r>
        <w:tab/>
        <w:t>(b)</w:t>
      </w:r>
      <w:r>
        <w:tab/>
        <w:t>it was reasonable for the person to rely on that research, testing or examination.</w:t>
      </w:r>
    </w:p>
    <w:p>
      <w:pPr>
        <w:pStyle w:val="nzSubsection"/>
      </w:pPr>
      <w:r>
        <w:tab/>
        <w:t>(3)</w:t>
      </w:r>
      <w:r>
        <w:tab/>
        <w:t xml:space="preserve">For the purpose of the application of clause 12 to the construction of a pipeline or the erection or installation of plant for use in a pipeline operation, a person on whom an obligation is imposed under that clause is regarded as having taken reasonably practicable steps as required by that clause to the extent that — </w:t>
      </w:r>
    </w:p>
    <w:p>
      <w:pPr>
        <w:pStyle w:val="nzIndenta"/>
      </w:pPr>
      <w:r>
        <w:tab/>
        <w:t>(a)</w:t>
      </w:r>
      <w:r>
        <w:tab/>
        <w:t xml:space="preserve">the person ensured, so far as is reasonably practicable, that the construction of the pipeline, or the erection or installation of the plant, was — </w:t>
      </w:r>
    </w:p>
    <w:p>
      <w:pPr>
        <w:pStyle w:val="nzIndenti"/>
      </w:pPr>
      <w:r>
        <w:tab/>
        <w:t>(i)</w:t>
      </w:r>
      <w:r>
        <w:tab/>
        <w:t>in accordance with information supplied by the manufacturer or supplier of the pipeline or plant relating to its erection or its installation; and</w:t>
      </w:r>
    </w:p>
    <w:p>
      <w:pPr>
        <w:pStyle w:val="nzIndenti"/>
      </w:pPr>
      <w:r>
        <w:tab/>
        <w:t>(ii)</w:t>
      </w:r>
      <w:r>
        <w:tab/>
        <w:t>consistent with the occupational safety and health of persons engaged in the pipeline operation;</w:t>
      </w:r>
    </w:p>
    <w:p>
      <w:pPr>
        <w:pStyle w:val="nzIndenta"/>
      </w:pPr>
      <w:r>
        <w:tab/>
      </w:r>
      <w:r>
        <w:tab/>
        <w:t>and</w:t>
      </w:r>
    </w:p>
    <w:p>
      <w:pPr>
        <w:pStyle w:val="nzIndenta"/>
      </w:pPr>
      <w:r>
        <w:tab/>
        <w:t>(b)</w:t>
      </w:r>
      <w:r>
        <w:tab/>
        <w:t>it was reasonable for the person to rely on that information.</w:t>
      </w:r>
    </w:p>
    <w:p>
      <w:pPr>
        <w:pStyle w:val="nzSubsection"/>
      </w:pPr>
      <w:r>
        <w:tab/>
        <w:t>(4)</w:t>
      </w:r>
      <w:r>
        <w:tab/>
        <w:t>Nothing in this clause limits the generality of what constitutes reasonably practicable steps as required by clause 7, 8, 9, 10, 11 or 12.</w:t>
      </w:r>
    </w:p>
    <w:p>
      <w:pPr>
        <w:pStyle w:val="nzHeading4"/>
      </w:pPr>
      <w:bookmarkStart w:id="434" w:name="_Toc112746368"/>
      <w:bookmarkStart w:id="435" w:name="_Toc112746493"/>
      <w:r>
        <w:t>Subdivision </w:t>
      </w:r>
      <w:r>
        <w:rPr>
          <w:bCs/>
        </w:rPr>
        <w:t>2</w:t>
      </w:r>
      <w:r>
        <w:rPr>
          <w:b w:val="0"/>
        </w:rPr>
        <w:t> — </w:t>
      </w:r>
      <w:r>
        <w:rPr>
          <w:bCs/>
        </w:rPr>
        <w:t>Regulations</w:t>
      </w:r>
      <w:r>
        <w:t xml:space="preserve"> relating to occupational safety and health</w:t>
      </w:r>
      <w:bookmarkEnd w:id="434"/>
      <w:bookmarkEnd w:id="435"/>
    </w:p>
    <w:p>
      <w:pPr>
        <w:pStyle w:val="nzHeading5"/>
      </w:pPr>
      <w:r>
        <w:t>15.</w:t>
      </w:r>
      <w:r>
        <w:rPr>
          <w:b w:val="0"/>
        </w:rPr>
        <w:tab/>
      </w:r>
      <w:r>
        <w:t>Regulations relating to occupational safety and health</w:t>
      </w:r>
    </w:p>
    <w:p>
      <w:pPr>
        <w:pStyle w:val="nzSubsection"/>
      </w:pPr>
      <w:r>
        <w:tab/>
        <w:t>(1)</w:t>
      </w:r>
      <w:r>
        <w:tab/>
        <w:t>The regulations may make provision relating to any matter affecting, or likely to affect, the occupational safety and health of persons engaged in a pipeline operation.</w:t>
      </w:r>
    </w:p>
    <w:p>
      <w:pPr>
        <w:pStyle w:val="nzSubsection"/>
      </w:pPr>
      <w:r>
        <w:tab/>
        <w:t>(2)</w:t>
      </w:r>
      <w:r>
        <w:tab/>
        <w:t xml:space="preserve">Regulations made for the purposes of subclause (1) may make provision for any or all of the following — </w:t>
      </w:r>
    </w:p>
    <w:p>
      <w:pPr>
        <w:pStyle w:val="nzIndenta"/>
      </w:pPr>
      <w:r>
        <w:tab/>
        <w:t>(a)</w:t>
      </w:r>
      <w:r>
        <w:tab/>
        <w:t>prohibiting or restricting the performance of all work or specified work in relation to a pipeline operation;</w:t>
      </w:r>
    </w:p>
    <w:p>
      <w:pPr>
        <w:pStyle w:val="nzIndenta"/>
      </w:pPr>
      <w:r>
        <w:tab/>
        <w:t>(b)</w:t>
      </w:r>
      <w:r>
        <w:tab/>
        <w:t>prohibiting or restricting the use of all plant or specified plant in a pipeline operation;</w:t>
      </w:r>
    </w:p>
    <w:p>
      <w:pPr>
        <w:pStyle w:val="nzIndenta"/>
      </w:pPr>
      <w:r>
        <w:tab/>
        <w:t>(c)</w:t>
      </w:r>
      <w:r>
        <w:tab/>
        <w:t>prohibiting or restricting the carrying out of all processes or a specified process in a pipeline operation;</w:t>
      </w:r>
    </w:p>
    <w:p>
      <w:pPr>
        <w:pStyle w:val="nzIndenta"/>
      </w:pPr>
      <w:r>
        <w:tab/>
        <w:t>(d)</w:t>
      </w:r>
      <w:r>
        <w:tab/>
        <w:t>prohibiting or restricting the storage or use of all substances or specified substances in a pipeline operation;</w:t>
      </w:r>
    </w:p>
    <w:p>
      <w:pPr>
        <w:pStyle w:val="nzIndenta"/>
      </w:pPr>
      <w:r>
        <w:tab/>
        <w:t>(e)</w:t>
      </w:r>
      <w:r>
        <w:tab/>
        <w:t>specifying the form in which information required to be made available under clause 10(1)(c) or 11(1)(c) is to be so made available;</w:t>
      </w:r>
    </w:p>
    <w:p>
      <w:pPr>
        <w:pStyle w:val="nzIndenta"/>
      </w:pPr>
      <w:r>
        <w:tab/>
        <w:t>(f)</w:t>
      </w:r>
      <w:r>
        <w:tab/>
        <w:t>prohibiting, except in accordance with licences granted under the regulations, the use of specified plant or specified substances in a pipeline operation;</w:t>
      </w:r>
    </w:p>
    <w:p>
      <w:pPr>
        <w:pStyle w:val="nzIndenta"/>
      </w:pPr>
      <w:r>
        <w:tab/>
        <w:t>(g)</w:t>
      </w:r>
      <w:r>
        <w:tab/>
        <w:t xml:space="preserve">providing for — </w:t>
      </w:r>
    </w:p>
    <w:p>
      <w:pPr>
        <w:pStyle w:val="nzIndenti"/>
      </w:pPr>
      <w:r>
        <w:tab/>
        <w:t>(i)</w:t>
      </w:r>
      <w:r>
        <w:tab/>
        <w:t>the issue, variation, renewal, transfer, suspension and cancellation of those licences; and</w:t>
      </w:r>
    </w:p>
    <w:p>
      <w:pPr>
        <w:pStyle w:val="nzIndenti"/>
      </w:pPr>
      <w:r>
        <w:tab/>
        <w:t>(ii)</w:t>
      </w:r>
      <w:r>
        <w:tab/>
        <w:t>the conditions to which the licences may be subject;</w:t>
      </w:r>
    </w:p>
    <w:p>
      <w:pPr>
        <w:pStyle w:val="nzIndenta"/>
      </w:pPr>
      <w:r>
        <w:tab/>
        <w:t>(h)</w:t>
      </w:r>
      <w:r>
        <w:tab/>
        <w:t>regulating the maintenance and testing of plant for use in a pipeline operation;</w:t>
      </w:r>
    </w:p>
    <w:p>
      <w:pPr>
        <w:pStyle w:val="nzIndenta"/>
      </w:pPr>
      <w:r>
        <w:tab/>
        <w:t>(i)</w:t>
      </w:r>
      <w:r>
        <w:tab/>
        <w:t>regulating the labelling or marking of substances for use in a pipeline operation;</w:t>
      </w:r>
    </w:p>
    <w:p>
      <w:pPr>
        <w:pStyle w:val="nzIndenta"/>
      </w:pPr>
      <w:r>
        <w:tab/>
        <w:t>(j)</w:t>
      </w:r>
      <w:r>
        <w:tab/>
        <w:t>regulating the transport of specified plant or specified substances for use in a pipeline operation;</w:t>
      </w:r>
    </w:p>
    <w:p>
      <w:pPr>
        <w:pStyle w:val="nzIndenta"/>
      </w:pPr>
      <w:r>
        <w:tab/>
        <w:t>(k)</w:t>
      </w:r>
      <w:r>
        <w:tab/>
        <w:t xml:space="preserve">prohibiting the performance, in relation to a pipeline operation, of specified activities or work except — </w:t>
      </w:r>
    </w:p>
    <w:p>
      <w:pPr>
        <w:pStyle w:val="nzIndenti"/>
      </w:pPr>
      <w:r>
        <w:tab/>
        <w:t>(i)</w:t>
      </w:r>
      <w:r>
        <w:tab/>
        <w:t>by persons who satisfy requirements of the regulations as to qualifications, training or experience; or</w:t>
      </w:r>
    </w:p>
    <w:p>
      <w:pPr>
        <w:pStyle w:val="nzIndenti"/>
      </w:pPr>
      <w:r>
        <w:tab/>
        <w:t>(ii)</w:t>
      </w:r>
      <w:r>
        <w:tab/>
        <w:t>under the supervision specified in the regulations;</w:t>
      </w:r>
    </w:p>
    <w:p>
      <w:pPr>
        <w:pStyle w:val="nzIndenta"/>
      </w:pPr>
      <w:r>
        <w:tab/>
        <w:t>(l)</w:t>
      </w:r>
      <w:r>
        <w:tab/>
        <w:t>requiring specified action to avoid accidents or dangerous occurrences;</w:t>
      </w:r>
    </w:p>
    <w:p>
      <w:pPr>
        <w:pStyle w:val="nzIndenta"/>
      </w:pPr>
      <w:r>
        <w:tab/>
        <w:t>(m)</w:t>
      </w:r>
      <w:r>
        <w:tab/>
        <w:t>providing for, or prohibiting, specified action in the event of accidents or dangerous occurrences;</w:t>
      </w:r>
    </w:p>
    <w:p>
      <w:pPr>
        <w:pStyle w:val="nzIndenta"/>
      </w:pPr>
      <w:r>
        <w:tab/>
        <w:t>(n)</w:t>
      </w:r>
      <w:r>
        <w:tab/>
        <w:t>providing for the employment of persons to perform specified duties relating to the maintenance of occupational safety and health in relation to a pipeline operation;</w:t>
      </w:r>
    </w:p>
    <w:p>
      <w:pPr>
        <w:pStyle w:val="nzIndenta"/>
      </w:pPr>
      <w:r>
        <w:tab/>
        <w:t>(o)</w:t>
      </w:r>
      <w:r>
        <w:tab/>
        <w:t>regulating the provision and use, in a pipeline operation, of protective clothing and equipment, safety equipment and rescue equipment;</w:t>
      </w:r>
    </w:p>
    <w:p>
      <w:pPr>
        <w:pStyle w:val="nzIndenta"/>
      </w:pPr>
      <w:r>
        <w:tab/>
        <w:t>(p)</w:t>
      </w:r>
      <w:r>
        <w:tab/>
        <w:t>providing for monitoring the health of members of the workforce engaged in a pipeline operation and the conditions at a place at which a pipeline operation is carried out;</w:t>
      </w:r>
    </w:p>
    <w:p>
      <w:pPr>
        <w:pStyle w:val="nzIndenta"/>
      </w:pPr>
      <w:r>
        <w:tab/>
        <w:t>(q)</w:t>
      </w:r>
      <w:r>
        <w:tab/>
        <w:t>requiring employers to keep records of matters related to the occupational safety and health of employees;</w:t>
      </w:r>
    </w:p>
    <w:p>
      <w:pPr>
        <w:pStyle w:val="nzIndenta"/>
        <w:rPr>
          <w:b/>
          <w:i/>
        </w:rPr>
      </w:pPr>
      <w:r>
        <w:tab/>
        <w:t>(r)</w:t>
      </w:r>
      <w:r>
        <w:tab/>
        <w:t>providing for the provision of first aid equipment and amenities at a place at which a pipeline operation is carried out.</w:t>
      </w:r>
    </w:p>
    <w:p>
      <w:pPr>
        <w:pStyle w:val="nzHeading3"/>
      </w:pPr>
      <w:bookmarkStart w:id="436" w:name="_Toc112746369"/>
      <w:bookmarkStart w:id="437" w:name="_Toc112746494"/>
      <w:r>
        <w:t>Division 3</w:t>
      </w:r>
      <w:r>
        <w:rPr>
          <w:b w:val="0"/>
        </w:rPr>
        <w:t> — </w:t>
      </w:r>
      <w:r>
        <w:t>Workplace arrangements</w:t>
      </w:r>
      <w:bookmarkEnd w:id="436"/>
      <w:bookmarkEnd w:id="437"/>
    </w:p>
    <w:p>
      <w:pPr>
        <w:pStyle w:val="nzHeading4"/>
      </w:pPr>
      <w:bookmarkStart w:id="438" w:name="_Toc112746370"/>
      <w:bookmarkStart w:id="439" w:name="_Toc112746495"/>
      <w:r>
        <w:t>Subdivision </w:t>
      </w:r>
      <w:r>
        <w:rPr>
          <w:bCs/>
        </w:rPr>
        <w:t>1</w:t>
      </w:r>
      <w:r>
        <w:rPr>
          <w:b w:val="0"/>
        </w:rPr>
        <w:t> — </w:t>
      </w:r>
      <w:r>
        <w:rPr>
          <w:bCs/>
        </w:rPr>
        <w:t>Introduction</w:t>
      </w:r>
      <w:bookmarkEnd w:id="438"/>
      <w:bookmarkEnd w:id="439"/>
    </w:p>
    <w:p>
      <w:pPr>
        <w:pStyle w:val="nzHeading5"/>
      </w:pPr>
      <w:r>
        <w:t>16.</w:t>
      </w:r>
      <w:r>
        <w:rPr>
          <w:b w:val="0"/>
        </w:rPr>
        <w:tab/>
      </w:r>
      <w:r>
        <w:t>Simplified outline</w:t>
      </w:r>
    </w:p>
    <w:p>
      <w:pPr>
        <w:pStyle w:val="nzSubsection"/>
      </w:pPr>
      <w:r>
        <w:tab/>
      </w:r>
      <w:r>
        <w:tab/>
        <w:t xml:space="preserve">The following is a simplified outline of this Subdivision — </w:t>
      </w:r>
    </w:p>
    <w:p>
      <w:pPr>
        <w:pStyle w:val="nzSubsection"/>
        <w:numPr>
          <w:ilvl w:val="0"/>
          <w:numId w:val="14"/>
        </w:numPr>
        <w:tabs>
          <w:tab w:val="clear" w:pos="1162"/>
          <w:tab w:val="clear" w:pos="1315"/>
          <w:tab w:val="clear" w:pos="1446"/>
          <w:tab w:val="num" w:pos="1843"/>
        </w:tabs>
        <w:ind w:left="1843" w:hanging="425"/>
      </w:pPr>
      <w:r>
        <w:t>A group of members of the workforce engaged in a pipeline operation may be established as a designated work group.</w:t>
      </w:r>
    </w:p>
    <w:p>
      <w:pPr>
        <w:pStyle w:val="nzSubsection"/>
        <w:numPr>
          <w:ilvl w:val="0"/>
          <w:numId w:val="14"/>
        </w:numPr>
        <w:tabs>
          <w:tab w:val="clear" w:pos="1162"/>
          <w:tab w:val="clear" w:pos="1315"/>
          <w:tab w:val="clear" w:pos="1446"/>
          <w:tab w:val="num" w:pos="1843"/>
        </w:tabs>
        <w:ind w:left="1843" w:hanging="425"/>
      </w:pPr>
      <w:r>
        <w:t>The members of a designated work group may select a safety and health representative for that designated work group.</w:t>
      </w:r>
    </w:p>
    <w:p>
      <w:pPr>
        <w:pStyle w:val="nzSubsection"/>
        <w:numPr>
          <w:ilvl w:val="0"/>
          <w:numId w:val="14"/>
        </w:numPr>
        <w:tabs>
          <w:tab w:val="clear" w:pos="1162"/>
          <w:tab w:val="clear" w:pos="1315"/>
          <w:tab w:val="clear" w:pos="1446"/>
          <w:tab w:val="num" w:pos="1843"/>
        </w:tabs>
        <w:ind w:left="1843" w:hanging="425"/>
      </w:pPr>
      <w:r>
        <w:t>The safety and health representative may exercise certain powers for the purpose of promoting or ensuring the occupational safety and health of group members.</w:t>
      </w:r>
    </w:p>
    <w:p>
      <w:pPr>
        <w:pStyle w:val="nzSubsection"/>
        <w:numPr>
          <w:ilvl w:val="0"/>
          <w:numId w:val="14"/>
        </w:numPr>
        <w:tabs>
          <w:tab w:val="clear" w:pos="1162"/>
          <w:tab w:val="clear" w:pos="1315"/>
          <w:tab w:val="clear" w:pos="1446"/>
          <w:tab w:val="num" w:pos="1843"/>
        </w:tabs>
        <w:ind w:left="1843" w:hanging="425"/>
      </w:pPr>
      <w:r>
        <w:t>A safety and health committee may be established in relation to the members of the workforce engaged in a pipeline operation.</w:t>
      </w:r>
    </w:p>
    <w:p>
      <w:pPr>
        <w:pStyle w:val="nzSubsection"/>
        <w:numPr>
          <w:ilvl w:val="0"/>
          <w:numId w:val="14"/>
        </w:numPr>
        <w:tabs>
          <w:tab w:val="clear" w:pos="1162"/>
          <w:tab w:val="clear" w:pos="1315"/>
          <w:tab w:val="clear" w:pos="1446"/>
          <w:tab w:val="num" w:pos="1843"/>
        </w:tabs>
        <w:ind w:left="1843" w:hanging="425"/>
      </w:pPr>
      <w:r>
        <w:t>The main function of a safety and health committee is to assist the licensee in relation to occupational safety and health matters.</w:t>
      </w:r>
    </w:p>
    <w:p>
      <w:pPr>
        <w:pStyle w:val="nzHeading4"/>
      </w:pPr>
      <w:bookmarkStart w:id="440" w:name="_Toc112746371"/>
      <w:bookmarkStart w:id="441" w:name="_Toc112746496"/>
      <w:r>
        <w:t>Subdivision </w:t>
      </w:r>
      <w:r>
        <w:rPr>
          <w:bCs/>
        </w:rPr>
        <w:t>2</w:t>
      </w:r>
      <w:r>
        <w:rPr>
          <w:b w:val="0"/>
        </w:rPr>
        <w:t> — </w:t>
      </w:r>
      <w:r>
        <w:rPr>
          <w:bCs/>
        </w:rPr>
        <w:t xml:space="preserve">Designated </w:t>
      </w:r>
      <w:r>
        <w:t>work groups</w:t>
      </w:r>
      <w:bookmarkEnd w:id="440"/>
      <w:bookmarkEnd w:id="441"/>
    </w:p>
    <w:p>
      <w:pPr>
        <w:pStyle w:val="nzHeading5"/>
      </w:pPr>
      <w:r>
        <w:t>17.</w:t>
      </w:r>
      <w:r>
        <w:rPr>
          <w:b w:val="0"/>
        </w:rPr>
        <w:tab/>
      </w:r>
      <w:r>
        <w:t>Establishment of designated work groups by request</w:t>
      </w:r>
    </w:p>
    <w:p>
      <w:pPr>
        <w:pStyle w:val="nzSubsection"/>
      </w:pPr>
      <w:r>
        <w:tab/>
        <w:t>(1)</w:t>
      </w:r>
      <w:r>
        <w:tab/>
        <w:t xml:space="preserve">A request to the licensee for a pipeline operation to enter into consultations to establish designated work groups in relation to the members of the workforce engaged in the pipeline operation may be made by —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licensee — that workforce representative.</w:t>
      </w:r>
    </w:p>
    <w:p>
      <w:pPr>
        <w:pStyle w:val="nzSubsection"/>
      </w:pPr>
      <w:r>
        <w:tab/>
        <w:t>(2)</w:t>
      </w:r>
      <w:r>
        <w:tab/>
        <w:t xml:space="preserve">The licensee for a pipeline operation must, within 14 days after receiving a request under subclause (1), enter into consultations with — </w:t>
      </w:r>
    </w:p>
    <w:p>
      <w:pPr>
        <w:pStyle w:val="nzIndenta"/>
      </w:pPr>
      <w:r>
        <w:tab/>
        <w:t>(a)</w:t>
      </w:r>
      <w:r>
        <w:tab/>
        <w:t xml:space="preserve">if any member of the workforce made a request to establish designated work groups — </w:t>
      </w:r>
    </w:p>
    <w:p>
      <w:pPr>
        <w:pStyle w:val="nzIndenti"/>
      </w:pPr>
      <w:r>
        <w:tab/>
        <w:t>(i)</w:t>
      </w:r>
      <w:r>
        <w:tab/>
        <w:t xml:space="preserve">that member of the workforce; </w:t>
      </w:r>
    </w:p>
    <w:p>
      <w:pPr>
        <w:pStyle w:val="nzIndenti"/>
      </w:pPr>
      <w:r>
        <w:tab/>
        <w:t>(ii)</w:t>
      </w:r>
      <w:r>
        <w:tab/>
        <w:t>if that member requests that the licensee enter into consultations with a workforce representative in relation to the member — that workforce representative; and</w:t>
      </w:r>
    </w:p>
    <w:p>
      <w:pPr>
        <w:pStyle w:val="nzIndenti"/>
      </w:pPr>
      <w:r>
        <w:tab/>
        <w:t>(iii)</w:t>
      </w:r>
      <w:r>
        <w:tab/>
        <w:t xml:space="preserve">each employer (if any) of members of the workforce; </w:t>
      </w:r>
    </w:p>
    <w:p>
      <w:pPr>
        <w:pStyle w:val="nzIndenta"/>
      </w:pPr>
      <w:r>
        <w:tab/>
      </w:r>
      <w:r>
        <w:tab/>
        <w:t>and</w:t>
      </w:r>
    </w:p>
    <w:p>
      <w:pPr>
        <w:pStyle w:val="nzIndenta"/>
      </w:pPr>
      <w:r>
        <w:tab/>
        <w:t>(b)</w:t>
      </w:r>
      <w:r>
        <w:tab/>
        <w:t xml:space="preserve">if a workforce representative made a request to establish designated work groups — </w:t>
      </w:r>
    </w:p>
    <w:p>
      <w:pPr>
        <w:pStyle w:val="nzIndenti"/>
      </w:pPr>
      <w:r>
        <w:tab/>
        <w:t>(i)</w:t>
      </w:r>
      <w:r>
        <w:tab/>
        <w:t>if a member of the workforce requests that the licensee enter into consultations with that workforce representative — that workforce representative; and</w:t>
      </w:r>
    </w:p>
    <w:p>
      <w:pPr>
        <w:pStyle w:val="nzIndenti"/>
      </w:pPr>
      <w:r>
        <w:tab/>
        <w:t>(ii)</w:t>
      </w:r>
      <w:r>
        <w:tab/>
        <w:t>each employer of members of the workforce.</w:t>
      </w:r>
    </w:p>
    <w:p>
      <w:pPr>
        <w:pStyle w:val="nzSubsection"/>
      </w:pPr>
      <w:r>
        <w:tab/>
        <w:t>(3)</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nzHeading5"/>
      </w:pPr>
      <w:r>
        <w:t>18.</w:t>
      </w:r>
      <w:r>
        <w:rPr>
          <w:b w:val="0"/>
        </w:rPr>
        <w:tab/>
      </w:r>
      <w:r>
        <w:t>Establishment of designated work groups at initiative of licensee</w:t>
      </w:r>
    </w:p>
    <w:p>
      <w:pPr>
        <w:pStyle w:val="nzSubsection"/>
      </w:pPr>
      <w:r>
        <w:tab/>
        <w:t>(1)</w:t>
      </w:r>
      <w:r>
        <w:tab/>
        <w:t xml:space="preserve">If, at any time, the licensee for a pipeline operation considers that designated work groups should be established, the licensee must enter into consultations with — </w:t>
      </w:r>
    </w:p>
    <w:p>
      <w:pPr>
        <w:pStyle w:val="nzIndenta"/>
      </w:pPr>
      <w:r>
        <w:tab/>
        <w:t>(a)</w:t>
      </w:r>
      <w:r>
        <w:tab/>
        <w:t xml:space="preserve">all members of the workforce; </w:t>
      </w:r>
    </w:p>
    <w:p>
      <w:pPr>
        <w:pStyle w:val="nzIndenta"/>
      </w:pPr>
      <w:r>
        <w:tab/>
        <w:t>(b)</w:t>
      </w:r>
      <w:r>
        <w:tab/>
        <w:t>if a member of the workforce requests that the licensee enter into consultations with a workforce representative in relation to the member — that workforce representative; and</w:t>
      </w:r>
    </w:p>
    <w:p>
      <w:pPr>
        <w:pStyle w:val="nzIndenta"/>
      </w:pPr>
      <w:r>
        <w:tab/>
        <w:t>(c)</w:t>
      </w:r>
      <w:r>
        <w:tab/>
        <w:t>each employer (if any) of members of the workforce.</w:t>
      </w:r>
    </w:p>
    <w:p>
      <w:pPr>
        <w:pStyle w:val="nzSubsection"/>
      </w:pPr>
      <w:r>
        <w:tab/>
        <w:t>(2)</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nzHeading5"/>
      </w:pPr>
      <w:r>
        <w:t>19.</w:t>
      </w:r>
      <w:r>
        <w:rPr>
          <w:b w:val="0"/>
        </w:rPr>
        <w:tab/>
      </w:r>
      <w:r>
        <w:t>Variation of designated work groups by request</w:t>
      </w:r>
    </w:p>
    <w:p>
      <w:pPr>
        <w:pStyle w:val="nzSubsection"/>
      </w:pPr>
      <w:r>
        <w:tab/>
        <w:t>(1)</w:t>
      </w:r>
      <w:r>
        <w:tab/>
        <w:t xml:space="preserve">A request to the licensee for a pipeline operation to enter into consultations to vary designated work groups that have already been established in relation to the members of the workforce engaged in the pipeline operation may be made by —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licensee — that workforce representative.</w:t>
      </w:r>
    </w:p>
    <w:p>
      <w:pPr>
        <w:pStyle w:val="nzSubsection"/>
      </w:pPr>
      <w:r>
        <w:tab/>
        <w:t>(2)</w:t>
      </w:r>
      <w:r>
        <w:tab/>
        <w:t xml:space="preserve">The licensee for a pipeline operation must, within 14 days after receiving a request under subclause (1), enter into consultations with — </w:t>
      </w:r>
    </w:p>
    <w:p>
      <w:pPr>
        <w:pStyle w:val="nzIndenta"/>
      </w:pPr>
      <w:r>
        <w:tab/>
        <w:t>(a)</w:t>
      </w:r>
      <w:r>
        <w:tab/>
        <w:t xml:space="preserve">if any member of the workforce made a request to vary designated work groups — </w:t>
      </w:r>
    </w:p>
    <w:p>
      <w:pPr>
        <w:pStyle w:val="nzIndenti"/>
      </w:pPr>
      <w:r>
        <w:tab/>
        <w:t>(i)</w:t>
      </w:r>
      <w:r>
        <w:tab/>
        <w:t xml:space="preserve">that member of the workforce; </w:t>
      </w:r>
    </w:p>
    <w:p>
      <w:pPr>
        <w:pStyle w:val="nzIndenti"/>
      </w:pPr>
      <w:r>
        <w:tab/>
        <w:t>(ii)</w:t>
      </w:r>
      <w:r>
        <w:tab/>
        <w:t>the safety and health representative of each designated work group affected by the proposed variation; and</w:t>
      </w:r>
    </w:p>
    <w:p>
      <w:pPr>
        <w:pStyle w:val="nzIndenti"/>
      </w:pPr>
      <w:r>
        <w:tab/>
        <w:t>(iii)</w:t>
      </w:r>
      <w:r>
        <w:tab/>
        <w:t xml:space="preserve">each work group employer (if any) in relation to each designated work group affected by the proposed variation; </w:t>
      </w:r>
    </w:p>
    <w:p>
      <w:pPr>
        <w:pStyle w:val="nzIndenta"/>
      </w:pPr>
      <w:r>
        <w:tab/>
      </w:r>
      <w:r>
        <w:tab/>
        <w:t>and</w:t>
      </w:r>
    </w:p>
    <w:p>
      <w:pPr>
        <w:pStyle w:val="nzIndenta"/>
      </w:pPr>
      <w:r>
        <w:tab/>
        <w:t>(b)</w:t>
      </w:r>
      <w:r>
        <w:tab/>
        <w:t xml:space="preserve">if a workforce representative made a request to vary designated work groups — </w:t>
      </w:r>
    </w:p>
    <w:p>
      <w:pPr>
        <w:pStyle w:val="nzIndenti"/>
      </w:pPr>
      <w:r>
        <w:tab/>
        <w:t>(i)</w:t>
      </w:r>
      <w:r>
        <w:tab/>
        <w:t xml:space="preserve">if a member of a designated work group affected by the proposed variation requests that the licensee enter into consultations with that workforce representative in relation to the group — that workforce representative; </w:t>
      </w:r>
    </w:p>
    <w:p>
      <w:pPr>
        <w:pStyle w:val="nzIndenti"/>
      </w:pPr>
      <w:r>
        <w:tab/>
        <w:t>(ii)</w:t>
      </w:r>
      <w:r>
        <w:tab/>
        <w:t>the safety and health representative of each designated work group affected by the proposed variation; and</w:t>
      </w:r>
    </w:p>
    <w:p>
      <w:pPr>
        <w:pStyle w:val="nzIndenti"/>
      </w:pPr>
      <w:r>
        <w:tab/>
        <w:t>(iii)</w:t>
      </w:r>
      <w:r>
        <w:tab/>
        <w:t>each work group employer (if any) in relation to each designated work group affected by the proposed variation.</w:t>
      </w:r>
    </w:p>
    <w:p>
      <w:pPr>
        <w:pStyle w:val="nzSubsection"/>
      </w:pPr>
      <w:r>
        <w:tab/>
        <w:t>(3)</w:t>
      </w:r>
      <w:r>
        <w:tab/>
        <w:t xml:space="preserve">If — </w:t>
      </w:r>
    </w:p>
    <w:p>
      <w:pPr>
        <w:pStyle w:val="nzIndenta"/>
      </w:pPr>
      <w:r>
        <w:tab/>
        <w:t>(a)</w:t>
      </w:r>
      <w:r>
        <w:tab/>
        <w:t>consultations take place about the variation of designated work groups that have already been established; and</w:t>
      </w:r>
    </w:p>
    <w:p>
      <w:pPr>
        <w:pStyle w:val="nzIndenta"/>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nzHeading5"/>
      </w:pPr>
      <w:r>
        <w:t>20.</w:t>
      </w:r>
      <w:r>
        <w:rPr>
          <w:b w:val="0"/>
        </w:rPr>
        <w:tab/>
      </w:r>
      <w:r>
        <w:t>Variation of designated work groups at initiative of licensee</w:t>
      </w:r>
    </w:p>
    <w:p>
      <w:pPr>
        <w:pStyle w:val="nzSubsection"/>
      </w:pPr>
      <w:r>
        <w:tab/>
        <w:t>(1)</w:t>
      </w:r>
      <w:r>
        <w:tab/>
        <w:t xml:space="preserve">If the licensee for a pipeline operation believes the designated work groups should be varied, the licensee may, at any time, enter into consultations about the variations with — </w:t>
      </w:r>
    </w:p>
    <w:p>
      <w:pPr>
        <w:pStyle w:val="nzIndenta"/>
      </w:pPr>
      <w:r>
        <w:tab/>
        <w:t>(a)</w:t>
      </w:r>
      <w:r>
        <w:tab/>
        <w:t xml:space="preserve">the safety and health representative of each of the designated work groups affected by the proposed variation; </w:t>
      </w:r>
    </w:p>
    <w:p>
      <w:pPr>
        <w:pStyle w:val="nzIndenta"/>
      </w:pPr>
      <w:r>
        <w:tab/>
        <w:t>(b)</w:t>
      </w:r>
      <w:r>
        <w:tab/>
        <w:t>if a member of a designated work group affected by the proposed variation requests that the licensee enter into consultations with that workforce representative in relation to the group — that workforce representative; and</w:t>
      </w:r>
    </w:p>
    <w:p>
      <w:pPr>
        <w:pStyle w:val="nzIndenta"/>
      </w:pPr>
      <w:r>
        <w:tab/>
        <w:t>(c)</w:t>
      </w:r>
      <w:r>
        <w:tab/>
        <w:t>each work group employer (if any) in relation to each designated work group affected by the proposed variation.</w:t>
      </w:r>
    </w:p>
    <w:p>
      <w:pPr>
        <w:pStyle w:val="nzSubsection"/>
      </w:pPr>
      <w:r>
        <w:tab/>
        <w:t>(2)</w:t>
      </w:r>
      <w:r>
        <w:tab/>
        <w:t xml:space="preserve">If — </w:t>
      </w:r>
    </w:p>
    <w:p>
      <w:pPr>
        <w:pStyle w:val="nzIndenta"/>
      </w:pPr>
      <w:r>
        <w:tab/>
        <w:t>(a)</w:t>
      </w:r>
      <w:r>
        <w:tab/>
        <w:t>consultations take place about the variation of designated work groups that have already been established; and</w:t>
      </w:r>
    </w:p>
    <w:p>
      <w:pPr>
        <w:pStyle w:val="nzIndenta"/>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nzHeading5"/>
      </w:pPr>
      <w:r>
        <w:t>21.</w:t>
      </w:r>
      <w:r>
        <w:rPr>
          <w:b w:val="0"/>
        </w:rPr>
        <w:tab/>
      </w:r>
      <w:r>
        <w:t>Referral of disagreement to reviewing authority</w:t>
      </w:r>
    </w:p>
    <w:p>
      <w:pPr>
        <w:pStyle w:val="nz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nzSubsection"/>
        <w:rPr>
          <w:b/>
          <w:i/>
        </w:rPr>
      </w:pPr>
      <w:r>
        <w:tab/>
        <w:t>(2)</w:t>
      </w:r>
      <w:r>
        <w:tab/>
        <w:t>The party referring the matter to the reviewing authority must give notice of the referral to all the other parties to the disagreement.</w:t>
      </w:r>
    </w:p>
    <w:p>
      <w:pPr>
        <w:pStyle w:val="nzSubsection"/>
      </w:pPr>
      <w:r>
        <w:tab/>
        <w:t>(3)</w:t>
      </w:r>
      <w:r>
        <w:tab/>
        <w:t xml:space="preserve">The reviewing authority is to — </w:t>
      </w:r>
    </w:p>
    <w:p>
      <w:pPr>
        <w:pStyle w:val="nzIndenta"/>
      </w:pPr>
      <w:r>
        <w:tab/>
        <w:t>(a)</w:t>
      </w:r>
      <w:r>
        <w:tab/>
        <w:t>resolve the matter of the disagreement referred to the reviewing authority; and</w:t>
      </w:r>
    </w:p>
    <w:p>
      <w:pPr>
        <w:pStyle w:val="nzIndenta"/>
      </w:pPr>
      <w:r>
        <w:tab/>
        <w:t>(b)</w:t>
      </w:r>
      <w:r>
        <w:tab/>
        <w:t>notify all parties to the disagreement of the decision.</w:t>
      </w:r>
    </w:p>
    <w:p>
      <w:pPr>
        <w:pStyle w:val="nz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nzSubsection"/>
      </w:pPr>
      <w:r>
        <w:tab/>
        <w:t>(5)</w:t>
      </w:r>
      <w:r>
        <w:tab/>
        <w:t xml:space="preserve">In this clause — </w:t>
      </w:r>
    </w:p>
    <w:p>
      <w:pPr>
        <w:pStyle w:val="nz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nzHeading5"/>
      </w:pPr>
      <w:r>
        <w:t>22.</w:t>
      </w:r>
      <w:r>
        <w:rPr>
          <w:b w:val="0"/>
        </w:rPr>
        <w:tab/>
      </w:r>
      <w:r>
        <w:t>Manner of grouping members of the workforce</w:t>
      </w:r>
    </w:p>
    <w:p>
      <w:pPr>
        <w:pStyle w:val="nzSubsection"/>
      </w:pPr>
      <w:r>
        <w:tab/>
        <w:t>(1)</w:t>
      </w:r>
      <w:r>
        <w:tab/>
        <w:t xml:space="preserve">Consultations about the establishment or variation of a designated work group must be directed principally at the determination of the manner of grouping members of the workforce — </w:t>
      </w:r>
    </w:p>
    <w:p>
      <w:pPr>
        <w:pStyle w:val="nzIndenta"/>
      </w:pPr>
      <w:r>
        <w:tab/>
        <w:t>(a)</w:t>
      </w:r>
      <w:r>
        <w:tab/>
        <w:t>that best and most conveniently enables their interests relating to occupational safety and health to be represented and safeguarded; and</w:t>
      </w:r>
    </w:p>
    <w:p>
      <w:pPr>
        <w:pStyle w:val="nzIndenta"/>
      </w:pPr>
      <w:r>
        <w:tab/>
        <w:t>(b)</w:t>
      </w:r>
      <w:r>
        <w:tab/>
        <w:t>that best takes account of the need for any safety and health representative selected for that designated work group to be accessible to each group member.</w:t>
      </w:r>
    </w:p>
    <w:p>
      <w:pPr>
        <w:pStyle w:val="nzSubsection"/>
      </w:pPr>
      <w:r>
        <w:tab/>
        <w:t>(2)</w:t>
      </w:r>
      <w:r>
        <w:tab/>
        <w:t xml:space="preserve">The parties to the consultations must have regard, in particular, to — </w:t>
      </w:r>
    </w:p>
    <w:p>
      <w:pPr>
        <w:pStyle w:val="nzIndenta"/>
      </w:pPr>
      <w:r>
        <w:tab/>
        <w:t>(a)</w:t>
      </w:r>
      <w:r>
        <w:tab/>
        <w:t xml:space="preserve">the number of members of the workforce engaged in the pipeline operation to which the consultation relates; </w:t>
      </w:r>
    </w:p>
    <w:p>
      <w:pPr>
        <w:pStyle w:val="nzIndenta"/>
      </w:pPr>
      <w:r>
        <w:tab/>
        <w:t>(b)</w:t>
      </w:r>
      <w:r>
        <w:tab/>
        <w:t xml:space="preserve">the nature of each type of work performed by those members; </w:t>
      </w:r>
    </w:p>
    <w:p>
      <w:pPr>
        <w:pStyle w:val="nzIndenta"/>
      </w:pPr>
      <w:r>
        <w:tab/>
        <w:t>(c)</w:t>
      </w:r>
      <w:r>
        <w:tab/>
        <w:t xml:space="preserve">the number and grouping of those members who perform the same or similar types of work; </w:t>
      </w:r>
    </w:p>
    <w:p>
      <w:pPr>
        <w:pStyle w:val="nzIndenta"/>
      </w:pPr>
      <w:r>
        <w:tab/>
        <w:t>(d)</w:t>
      </w:r>
      <w:r>
        <w:tab/>
        <w:t xml:space="preserve">the workplaces where each type of work is performed; </w:t>
      </w:r>
    </w:p>
    <w:p>
      <w:pPr>
        <w:pStyle w:val="nzIndenta"/>
      </w:pPr>
      <w:r>
        <w:tab/>
        <w:t>(e)</w:t>
      </w:r>
      <w:r>
        <w:tab/>
        <w:t>the nature of any risks to safety and health at each of those workplaces; and</w:t>
      </w:r>
    </w:p>
    <w:p>
      <w:pPr>
        <w:pStyle w:val="nzIndenta"/>
      </w:pPr>
      <w:r>
        <w:tab/>
        <w:t>(f)</w:t>
      </w:r>
      <w:r>
        <w:tab/>
        <w:t>any overtime or shift working arrangement in relation to the pipeline operation.</w:t>
      </w:r>
    </w:p>
    <w:p>
      <w:pPr>
        <w:pStyle w:val="nzSubsection"/>
      </w:pPr>
      <w:r>
        <w:tab/>
        <w:t>(3)</w:t>
      </w:r>
      <w:r>
        <w:tab/>
        <w:t>The designated work groups must be established or varied in such a way that, so far as practicable, each of the members of the workforce engaged in a pipeline operation is in a designated work group.</w:t>
      </w:r>
    </w:p>
    <w:p>
      <w:pPr>
        <w:pStyle w:val="nzSubsection"/>
      </w:pPr>
      <w:r>
        <w:tab/>
        <w:t>(4)</w:t>
      </w:r>
      <w:r>
        <w:tab/>
        <w:t>All the members of the workforce engaged in a pipeline operation may be in one designated work group.</w:t>
      </w:r>
    </w:p>
    <w:p>
      <w:pPr>
        <w:pStyle w:val="nzHeading4"/>
      </w:pPr>
      <w:bookmarkStart w:id="442" w:name="_Toc112746372"/>
      <w:bookmarkStart w:id="443" w:name="_Toc112746497"/>
      <w:r>
        <w:t>Subdivision </w:t>
      </w:r>
      <w:r>
        <w:rPr>
          <w:bCs/>
        </w:rPr>
        <w:t>3</w:t>
      </w:r>
      <w:r>
        <w:rPr>
          <w:b w:val="0"/>
        </w:rPr>
        <w:t> — </w:t>
      </w:r>
      <w:r>
        <w:rPr>
          <w:bCs/>
        </w:rPr>
        <w:t>Safety and health</w:t>
      </w:r>
      <w:r>
        <w:t xml:space="preserve"> representatives</w:t>
      </w:r>
      <w:bookmarkEnd w:id="442"/>
      <w:bookmarkEnd w:id="443"/>
    </w:p>
    <w:p>
      <w:pPr>
        <w:pStyle w:val="nzHeading5"/>
      </w:pPr>
      <w:r>
        <w:t>23.</w:t>
      </w:r>
      <w:r>
        <w:rPr>
          <w:b w:val="0"/>
        </w:rPr>
        <w:tab/>
      </w:r>
      <w:r>
        <w:t>Selection of safety and health representatives</w:t>
      </w:r>
    </w:p>
    <w:p>
      <w:pPr>
        <w:pStyle w:val="nzSubsection"/>
      </w:pPr>
      <w:r>
        <w:tab/>
        <w:t>(1)</w:t>
      </w:r>
      <w:r>
        <w:tab/>
        <w:t>One safety and health representative may be selected for each designated work group.</w:t>
      </w:r>
    </w:p>
    <w:p>
      <w:pPr>
        <w:pStyle w:val="nzSubsection"/>
      </w:pPr>
      <w:r>
        <w:tab/>
        <w:t>(2)</w:t>
      </w:r>
      <w:r>
        <w:tab/>
        <w:t>A person is not eligible for selection as the safety and health representative for a designated work group unless the person is a member of the workforce included in the group.</w:t>
      </w:r>
    </w:p>
    <w:p>
      <w:pPr>
        <w:pStyle w:val="nzSubsection"/>
      </w:pPr>
      <w:r>
        <w:tab/>
        <w:t>(3)</w:t>
      </w:r>
      <w:r>
        <w:tab/>
        <w:t xml:space="preserve">A person is taken to have been selected as the safety and health representative for a designated work group if — </w:t>
      </w:r>
    </w:p>
    <w:p>
      <w:pPr>
        <w:pStyle w:val="nzIndenta"/>
      </w:pPr>
      <w:r>
        <w:tab/>
        <w:t>(a)</w:t>
      </w:r>
      <w:r>
        <w:tab/>
        <w:t>all the members of the workforce in the group unanimously agree to the selection; or</w:t>
      </w:r>
    </w:p>
    <w:p>
      <w:pPr>
        <w:pStyle w:val="nzIndenta"/>
      </w:pPr>
      <w:r>
        <w:tab/>
        <w:t>(b)</w:t>
      </w:r>
      <w:r>
        <w:tab/>
        <w:t>the person is elected as the safety and health representative of the group in accordance with clause 24.</w:t>
      </w:r>
    </w:p>
    <w:p>
      <w:pPr>
        <w:pStyle w:val="nzHeading5"/>
      </w:pPr>
      <w:r>
        <w:t>24.</w:t>
      </w:r>
      <w:r>
        <w:rPr>
          <w:b w:val="0"/>
        </w:rPr>
        <w:tab/>
      </w:r>
      <w:r>
        <w:t>Election of safety and health representatives</w:t>
      </w:r>
    </w:p>
    <w:p>
      <w:pPr>
        <w:pStyle w:val="nzSubsection"/>
      </w:pPr>
      <w:r>
        <w:tab/>
        <w:t>(1)</w:t>
      </w:r>
      <w:r>
        <w:tab/>
        <w:t xml:space="preserve">If — </w:t>
      </w:r>
    </w:p>
    <w:p>
      <w:pPr>
        <w:pStyle w:val="nzIndenta"/>
      </w:pPr>
      <w:r>
        <w:tab/>
        <w:t>(a)</w:t>
      </w:r>
      <w:r>
        <w:tab/>
        <w:t>there is a vacancy in the office of safety and health representative for a designated work group; and</w:t>
      </w:r>
    </w:p>
    <w:p>
      <w:pPr>
        <w:pStyle w:val="nzIndenta"/>
      </w:pPr>
      <w:r>
        <w:tab/>
        <w:t>(b)</w:t>
      </w:r>
      <w:r>
        <w:tab/>
        <w:t>within a reasonable time after the vacancy occurs, a person has not been selected under clause 23(3)(a),</w:t>
      </w:r>
    </w:p>
    <w:p>
      <w:pPr>
        <w:pStyle w:val="nzSubsection"/>
      </w:pPr>
      <w:r>
        <w:tab/>
      </w:r>
      <w:r>
        <w:tab/>
        <w:t>the licensee for the pipeline operation must invite nominations from all group members for election as the safety and health representative of the group.</w:t>
      </w:r>
    </w:p>
    <w:p>
      <w:pPr>
        <w:pStyle w:val="nzSubsection"/>
      </w:pPr>
      <w:r>
        <w:tab/>
        <w:t>(2)</w:t>
      </w:r>
      <w:r>
        <w:tab/>
        <w:t>If the office of safety and health representative is vacant and the licensee has not invited nominations within a further reasonable time that is no later than 6 months after the vacancy occurred, the Minister may direct the licensee to do so.</w:t>
      </w:r>
    </w:p>
    <w:p>
      <w:pPr>
        <w:pStyle w:val="nzSubsection"/>
      </w:pPr>
      <w:r>
        <w:tab/>
        <w:t>(3)</w:t>
      </w:r>
      <w:r>
        <w:tab/>
        <w:t>If there is more than one candidate for election at the close of the nomination period, the licensee must conduct, or arrange for the conduct of, an election at the licensee’s expense.</w:t>
      </w:r>
    </w:p>
    <w:p>
      <w:pPr>
        <w:pStyle w:val="nz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nzIndenta"/>
      </w:pPr>
      <w:r>
        <w:tab/>
        <w:t>(a)</w:t>
      </w:r>
      <w:r>
        <w:tab/>
        <w:t>100 members of the workforce normally in the designated work group; or</w:t>
      </w:r>
    </w:p>
    <w:p>
      <w:pPr>
        <w:pStyle w:val="nzIndenta"/>
      </w:pPr>
      <w:r>
        <w:tab/>
        <w:t>(b)</w:t>
      </w:r>
      <w:r>
        <w:tab/>
        <w:t>a majority of the members of the workforce normally in the designated work group.</w:t>
      </w:r>
    </w:p>
    <w:p>
      <w:pPr>
        <w:pStyle w:val="nzSubsection"/>
      </w:pPr>
      <w:r>
        <w:tab/>
        <w:t>(5)</w:t>
      </w:r>
      <w:r>
        <w:tab/>
        <w:t>If there is only one candidate for election at the close of the nomination period, that person is taken to have been elected.</w:t>
      </w:r>
    </w:p>
    <w:p>
      <w:pPr>
        <w:pStyle w:val="nzSubsection"/>
      </w:pPr>
      <w:r>
        <w:tab/>
        <w:t>(6)</w:t>
      </w:r>
      <w:r>
        <w:tab/>
        <w:t>A person cannot be a candidate in the election if he or she is disqualified under clause 30.</w:t>
      </w:r>
    </w:p>
    <w:p>
      <w:pPr>
        <w:pStyle w:val="nzSubsection"/>
      </w:pPr>
      <w:r>
        <w:tab/>
        <w:t>(7)</w:t>
      </w:r>
      <w:r>
        <w:tab/>
        <w:t>All the members of the workforce in the designated work group are entitled to vote in the election.</w:t>
      </w:r>
    </w:p>
    <w:p>
      <w:pPr>
        <w:pStyle w:val="nzSubsection"/>
      </w:pPr>
      <w:r>
        <w:tab/>
        <w:t>(8)</w:t>
      </w:r>
      <w:r>
        <w:tab/>
        <w:t>A licensee conducting or arranging for the conduct of an election under this clause must comply with any relevant directions issued by the Minister.</w:t>
      </w:r>
    </w:p>
    <w:p>
      <w:pPr>
        <w:pStyle w:val="nzHeading5"/>
      </w:pPr>
      <w:r>
        <w:t>25.</w:t>
      </w:r>
      <w:r>
        <w:rPr>
          <w:b w:val="0"/>
        </w:rPr>
        <w:tab/>
      </w:r>
      <w:r>
        <w:t>List of safety and health representatives</w:t>
      </w:r>
    </w:p>
    <w:p>
      <w:pPr>
        <w:pStyle w:val="nzSubsection"/>
      </w:pPr>
      <w:r>
        <w:tab/>
      </w:r>
      <w:r>
        <w:tab/>
        <w:t xml:space="preserve">The licensee for a pipeline operation must — </w:t>
      </w:r>
    </w:p>
    <w:p>
      <w:pPr>
        <w:pStyle w:val="nzIndenta"/>
      </w:pPr>
      <w:r>
        <w:tab/>
        <w:t>(a)</w:t>
      </w:r>
      <w:r>
        <w:tab/>
        <w:t>prepare and keep up to date a list of all the safety and health representatives of designated work groups comprising members of the workforce engaged in the pipeline operation; and</w:t>
      </w:r>
    </w:p>
    <w:p>
      <w:pPr>
        <w:pStyle w:val="nzIndenta"/>
      </w:pPr>
      <w:r>
        <w:tab/>
        <w:t>(b)</w:t>
      </w:r>
      <w:r>
        <w:tab/>
        <w:t xml:space="preserve">ensure that the list is available for inspection, at all reasonable times, by — </w:t>
      </w:r>
    </w:p>
    <w:p>
      <w:pPr>
        <w:pStyle w:val="nzIndenti"/>
      </w:pPr>
      <w:r>
        <w:tab/>
        <w:t>(i)</w:t>
      </w:r>
      <w:r>
        <w:tab/>
        <w:t>the members of the workforce engaged in the pipeline operation; and</w:t>
      </w:r>
    </w:p>
    <w:p>
      <w:pPr>
        <w:pStyle w:val="nzIndenti"/>
      </w:pPr>
      <w:r>
        <w:tab/>
        <w:t>(ii)</w:t>
      </w:r>
      <w:r>
        <w:tab/>
        <w:t>inspectors.</w:t>
      </w:r>
    </w:p>
    <w:p>
      <w:pPr>
        <w:pStyle w:val="nzHeading5"/>
      </w:pPr>
      <w:r>
        <w:t>26.</w:t>
      </w:r>
      <w:r>
        <w:rPr>
          <w:b w:val="0"/>
        </w:rPr>
        <w:tab/>
      </w:r>
      <w:r>
        <w:t>Members of designated work group must be notified of selection etc. of safety and health representative</w:t>
      </w:r>
    </w:p>
    <w:p>
      <w:pPr>
        <w:pStyle w:val="nzSubsection"/>
      </w:pPr>
      <w:r>
        <w:tab/>
      </w:r>
      <w:r>
        <w:tab/>
        <w:t xml:space="preserve">The licensee for a pipeline operation must — </w:t>
      </w:r>
    </w:p>
    <w:p>
      <w:pPr>
        <w:pStyle w:val="nzIndenta"/>
      </w:pPr>
      <w:r>
        <w:tab/>
        <w:t>(a)</w:t>
      </w:r>
      <w:r>
        <w:tab/>
        <w:t>notify members of a designated work group in relation to the pipeline operation of a vacancy in the office of safety and health representative for the designated work group within a reasonable time after the vacancy arises; and</w:t>
      </w:r>
    </w:p>
    <w:p>
      <w:pPr>
        <w:pStyle w:val="nzIndenta"/>
      </w:pPr>
      <w:r>
        <w:tab/>
        <w:t>(b)</w:t>
      </w:r>
      <w:r>
        <w:tab/>
        <w:t>notify those members of the name of any person selected (whether under clause 23(3)(a) or (b)) as safety and health representative for the designated work group within a reasonable time after the selection is made.</w:t>
      </w:r>
    </w:p>
    <w:p>
      <w:pPr>
        <w:pStyle w:val="nzHeading5"/>
      </w:pPr>
      <w:r>
        <w:t>27.</w:t>
      </w:r>
      <w:r>
        <w:rPr>
          <w:b w:val="0"/>
        </w:rPr>
        <w:tab/>
      </w:r>
      <w:r>
        <w:t>Term of office</w:t>
      </w:r>
    </w:p>
    <w:p>
      <w:pPr>
        <w:pStyle w:val="nzSubsection"/>
      </w:pPr>
      <w:r>
        <w:tab/>
        <w:t>(1)</w:t>
      </w:r>
      <w:r>
        <w:tab/>
        <w:t xml:space="preserve">A safety and health representative for a designated work group holds office — </w:t>
      </w:r>
    </w:p>
    <w:p>
      <w:pPr>
        <w:pStyle w:val="nz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nzIndenta"/>
      </w:pPr>
      <w:r>
        <w:tab/>
        <w:t>(b)</w:t>
      </w:r>
      <w:r>
        <w:tab/>
        <w:t>if paragraph (a) does not apply — for 2 years.</w:t>
      </w:r>
    </w:p>
    <w:p>
      <w:pPr>
        <w:pStyle w:val="nzSubsection"/>
      </w:pPr>
      <w:r>
        <w:tab/>
        <w:t>(2)</w:t>
      </w:r>
      <w:r>
        <w:tab/>
        <w:t>The term of office of a safety and health representative begins at the start of the day on which he or she was selected.</w:t>
      </w:r>
    </w:p>
    <w:p>
      <w:pPr>
        <w:pStyle w:val="nzSubsection"/>
      </w:pPr>
      <w:r>
        <w:tab/>
        <w:t>(3)</w:t>
      </w:r>
      <w:r>
        <w:tab/>
        <w:t>Nothing in this clause prevents a safety and health representative from being selected for further terms of office.</w:t>
      </w:r>
    </w:p>
    <w:p>
      <w:pPr>
        <w:pStyle w:val="nzHeading5"/>
      </w:pPr>
      <w:r>
        <w:t>28.</w:t>
      </w:r>
      <w:r>
        <w:rPr>
          <w:b w:val="0"/>
        </w:rPr>
        <w:tab/>
      </w:r>
      <w:r>
        <w:t>Training of safety and health representatives</w:t>
      </w:r>
    </w:p>
    <w:p>
      <w:pPr>
        <w:pStyle w:val="nz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nzSubsection"/>
      </w:pPr>
      <w:r>
        <w:tab/>
        <w:t>(2)</w:t>
      </w:r>
      <w:r>
        <w:tab/>
        <w:t>The licensee for the pipeline operation concerned must permit the representative to take any time off work, without loss of remuneration or other entitlements, that is necessary to undertake the training.</w:t>
      </w:r>
    </w:p>
    <w:p>
      <w:pPr>
        <w:pStyle w:val="nzSubsection"/>
      </w:pPr>
      <w:r>
        <w:tab/>
        <w:t>(3)</w:t>
      </w:r>
      <w:r>
        <w:tab/>
        <w:t>If a person other than the licensee is the employer of the representative, that person must permit the representative to take any time off work, without loss of remuneration or other entitlements, that is necessary to undertake the training.</w:t>
      </w:r>
    </w:p>
    <w:p>
      <w:pPr>
        <w:pStyle w:val="nzHeading5"/>
      </w:pPr>
      <w:r>
        <w:t>29.</w:t>
      </w:r>
      <w:r>
        <w:rPr>
          <w:b w:val="0"/>
        </w:rPr>
        <w:tab/>
      </w:r>
      <w:r>
        <w:t>Resignation etc. of safety and health representatives</w:t>
      </w:r>
    </w:p>
    <w:p>
      <w:pPr>
        <w:pStyle w:val="nzSubsection"/>
      </w:pPr>
      <w:r>
        <w:tab/>
        <w:t>(1)</w:t>
      </w:r>
      <w:r>
        <w:tab/>
        <w:t xml:space="preserve">A person ceases to be the safety and health representative for the designated work group if — </w:t>
      </w:r>
    </w:p>
    <w:p>
      <w:pPr>
        <w:pStyle w:val="nzIndenta"/>
      </w:pPr>
      <w:r>
        <w:tab/>
        <w:t>(a)</w:t>
      </w:r>
      <w:r>
        <w:tab/>
        <w:t xml:space="preserve">the person resigns as the safety and health representative; </w:t>
      </w:r>
    </w:p>
    <w:p>
      <w:pPr>
        <w:pStyle w:val="nzIndenta"/>
      </w:pPr>
      <w:r>
        <w:tab/>
        <w:t>(b)</w:t>
      </w:r>
      <w:r>
        <w:tab/>
        <w:t xml:space="preserve">the person ceases to be a group member of that designated work group; </w:t>
      </w:r>
    </w:p>
    <w:p>
      <w:pPr>
        <w:pStyle w:val="nzIndenta"/>
      </w:pPr>
      <w:r>
        <w:tab/>
        <w:t>(c)</w:t>
      </w:r>
      <w:r>
        <w:tab/>
        <w:t>the person’s term of office expires without the person having been selected, under clause 23, to be the safety and health representative for the designated work group for a further term; or</w:t>
      </w:r>
    </w:p>
    <w:p>
      <w:pPr>
        <w:pStyle w:val="nzIndenta"/>
      </w:pPr>
      <w:r>
        <w:tab/>
        <w:t>(d)</w:t>
      </w:r>
      <w:r>
        <w:tab/>
        <w:t>the person is disqualified under clause 30.</w:t>
      </w:r>
    </w:p>
    <w:p>
      <w:pPr>
        <w:pStyle w:val="nzSubsection"/>
      </w:pPr>
      <w:r>
        <w:tab/>
        <w:t>(2)</w:t>
      </w:r>
      <w:r>
        <w:tab/>
        <w:t>A person may resign as the safety and health representative for a designated work group by notice in writing delivered to the licensee and to each work group employer.</w:t>
      </w:r>
    </w:p>
    <w:p>
      <w:pPr>
        <w:pStyle w:val="nzSubsection"/>
      </w:pPr>
      <w:r>
        <w:tab/>
        <w:t>(3)</w:t>
      </w:r>
      <w:r>
        <w:tab/>
        <w:t>If a person resigns as the safety and health representative for a designated work group, the person must notify the resignation to the group members.</w:t>
      </w:r>
    </w:p>
    <w:p>
      <w:pPr>
        <w:pStyle w:val="nzSubsection"/>
      </w:pPr>
      <w:r>
        <w:tab/>
        <w:t>(4)</w:t>
      </w:r>
      <w:r>
        <w:tab/>
        <w:t xml:space="preserve">If a person has ceased to be the safety and health representative for a designated work group because of subclause (1)(b), the person must notify in writing — </w:t>
      </w:r>
    </w:p>
    <w:p>
      <w:pPr>
        <w:pStyle w:val="nzIndenta"/>
      </w:pPr>
      <w:r>
        <w:tab/>
        <w:t>(a)</w:t>
      </w:r>
      <w:r>
        <w:tab/>
        <w:t>the group members; and</w:t>
      </w:r>
    </w:p>
    <w:p>
      <w:pPr>
        <w:pStyle w:val="nzIndenta"/>
      </w:pPr>
      <w:r>
        <w:tab/>
        <w:t>(b)</w:t>
      </w:r>
      <w:r>
        <w:tab/>
        <w:t>the licensee and each work group employer,</w:t>
      </w:r>
    </w:p>
    <w:p>
      <w:pPr>
        <w:pStyle w:val="nzSubsection"/>
      </w:pPr>
      <w:r>
        <w:tab/>
      </w:r>
      <w:r>
        <w:tab/>
        <w:t>that the person has ceased to be the safety and health representative for that designated work group.</w:t>
      </w:r>
    </w:p>
    <w:p>
      <w:pPr>
        <w:pStyle w:val="nzHeading5"/>
      </w:pPr>
      <w:r>
        <w:t>30.</w:t>
      </w:r>
      <w:r>
        <w:rPr>
          <w:b w:val="0"/>
        </w:rPr>
        <w:tab/>
      </w:r>
      <w:r>
        <w:t>Disqualification of safety and health representatives</w:t>
      </w:r>
    </w:p>
    <w:p>
      <w:pPr>
        <w:pStyle w:val="nzSubsection"/>
      </w:pPr>
      <w:r>
        <w:tab/>
        <w:t>(1)</w:t>
      </w:r>
      <w:r>
        <w:tab/>
        <w:t>An application for the disqualification of a safety and health representative for a designated work group may be made to the Tribunal</w:t>
      </w:r>
      <w:r>
        <w:rPr>
          <w:i/>
          <w:iCs/>
        </w:rPr>
        <w:t xml:space="preserve"> </w:t>
      </w:r>
      <w:r>
        <w:t xml:space="preserve">by — </w:t>
      </w:r>
    </w:p>
    <w:p>
      <w:pPr>
        <w:pStyle w:val="nzIndenta"/>
      </w:pPr>
      <w:r>
        <w:tab/>
        <w:t>(a)</w:t>
      </w:r>
      <w:r>
        <w:tab/>
        <w:t xml:space="preserve">the licensee; </w:t>
      </w:r>
    </w:p>
    <w:p>
      <w:pPr>
        <w:pStyle w:val="nzIndenta"/>
      </w:pPr>
      <w:r>
        <w:tab/>
        <w:t>(b)</w:t>
      </w:r>
      <w:r>
        <w:tab/>
        <w:t>a work group employer; or</w:t>
      </w:r>
    </w:p>
    <w:p>
      <w:pPr>
        <w:pStyle w:val="nzIndenta"/>
      </w:pPr>
      <w:r>
        <w:tab/>
        <w:t>(c)</w:t>
      </w:r>
      <w:r>
        <w:tab/>
        <w:t>at the request of a group member of the designated work group — a workforce representative in relation to the designated work group.</w:t>
      </w:r>
    </w:p>
    <w:p>
      <w:pPr>
        <w:pStyle w:val="nzSubsection"/>
      </w:pPr>
      <w:r>
        <w:tab/>
        <w:t>(2)</w:t>
      </w:r>
      <w:r>
        <w:tab/>
        <w:t xml:space="preserve">An application under subclause (1) may be made on either or both of the following grounds — </w:t>
      </w:r>
    </w:p>
    <w:p>
      <w:pPr>
        <w:pStyle w:val="nzIndenta"/>
      </w:pPr>
      <w:r>
        <w:tab/>
        <w:t>(a)</w:t>
      </w:r>
      <w:r>
        <w:tab/>
        <w:t xml:space="preserve">that action taken by the representative in the exercise or purported exercise of a power under clause 32(1) or any other provision of this Schedule was taken — </w:t>
      </w:r>
    </w:p>
    <w:p>
      <w:pPr>
        <w:pStyle w:val="nzIndenti"/>
      </w:pPr>
      <w:r>
        <w:tab/>
        <w:t>(i)</w:t>
      </w:r>
      <w:r>
        <w:tab/>
        <w:t>with the intention of causing harm to the licensee or work group employer or to an undertaking of the licensee or work group employer; or</w:t>
      </w:r>
    </w:p>
    <w:p>
      <w:pPr>
        <w:pStyle w:val="nzIndenti"/>
      </w:pPr>
      <w:r>
        <w:tab/>
        <w:t>(ii)</w:t>
      </w:r>
      <w:r>
        <w:tab/>
        <w:t>unreasonably, capriciously or not for the purpose for which the power was conferred on the representative;</w:t>
      </w:r>
    </w:p>
    <w:p>
      <w:pPr>
        <w:pStyle w:val="nzIndenta"/>
      </w:pPr>
      <w:r>
        <w:tab/>
        <w:t>(b)</w:t>
      </w:r>
      <w:r>
        <w:tab/>
        <w:t>that the representative has intentionally used, or disclosed to another person, for a purpose that is not connected with the exercise of a power of a safety and health representative, information acquired from the licensee or work group employer.</w:t>
      </w:r>
    </w:p>
    <w:p>
      <w:pPr>
        <w:pStyle w:val="nz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nzSubsection"/>
      </w:pPr>
      <w:r>
        <w:tab/>
        <w:t>(4)</w:t>
      </w:r>
      <w:r>
        <w:tab/>
        <w:t xml:space="preserve">In making a decision under subclause (3), the Tribunal must have regard to — </w:t>
      </w:r>
    </w:p>
    <w:p>
      <w:pPr>
        <w:pStyle w:val="nzIndenta"/>
      </w:pPr>
      <w:r>
        <w:tab/>
        <w:t>(a)</w:t>
      </w:r>
      <w:r>
        <w:tab/>
        <w:t xml:space="preserve">the harm (if any) that was caused to the licensee or work group employer or to an undertaking of the licensee or work group employer as a result of the action of the representative; </w:t>
      </w:r>
    </w:p>
    <w:p>
      <w:pPr>
        <w:pStyle w:val="nzIndenta"/>
      </w:pPr>
      <w:r>
        <w:tab/>
        <w:t>(b)</w:t>
      </w:r>
      <w:r>
        <w:tab/>
        <w:t xml:space="preserve">the past record of the representative in exercising the powers of a safety and health representative; </w:t>
      </w:r>
    </w:p>
    <w:p>
      <w:pPr>
        <w:pStyle w:val="nzIndenta"/>
      </w:pPr>
      <w:r>
        <w:tab/>
        <w:t>(c)</w:t>
      </w:r>
      <w:r>
        <w:tab/>
        <w:t>the effect (if any) on the public interest of the action of the representative; and</w:t>
      </w:r>
    </w:p>
    <w:p>
      <w:pPr>
        <w:pStyle w:val="nzIndenta"/>
        <w:rPr>
          <w:b/>
          <w:i/>
        </w:rPr>
      </w:pPr>
      <w:r>
        <w:tab/>
        <w:t>(d)</w:t>
      </w:r>
      <w:r>
        <w:tab/>
        <w:t>any other matters the Tribunal thinks relevant.</w:t>
      </w:r>
    </w:p>
    <w:p>
      <w:pPr>
        <w:pStyle w:val="nzHeading5"/>
      </w:pPr>
      <w:r>
        <w:t>31.</w:t>
      </w:r>
      <w:r>
        <w:rPr>
          <w:b w:val="0"/>
        </w:rPr>
        <w:tab/>
      </w:r>
      <w:r>
        <w:t>Deputy safety and health representatives</w:t>
      </w:r>
    </w:p>
    <w:p>
      <w:pPr>
        <w:pStyle w:val="nzSubsection"/>
      </w:pPr>
      <w:r>
        <w:tab/>
        <w:t>(1)</w:t>
      </w:r>
      <w:r>
        <w:tab/>
        <w:t>One deputy safety and health representative may be selected for each designated work group for which a safety and health representative has been selected.</w:t>
      </w:r>
    </w:p>
    <w:p>
      <w:pPr>
        <w:pStyle w:val="nzSubsection"/>
      </w:pPr>
      <w:r>
        <w:tab/>
        <w:t>(2)</w:t>
      </w:r>
      <w:r>
        <w:tab/>
        <w:t>A deputy safety and health representative is to be selected in the same way as a safety and health representative under clause 23.</w:t>
      </w:r>
    </w:p>
    <w:p>
      <w:pPr>
        <w:pStyle w:val="nzSubsection"/>
      </w:pPr>
      <w:r>
        <w:tab/>
        <w:t>(3)</w:t>
      </w:r>
      <w:r>
        <w:tab/>
        <w:t xml:space="preserve">If the safety and health representative for a designated work group — </w:t>
      </w:r>
    </w:p>
    <w:p>
      <w:pPr>
        <w:pStyle w:val="nzIndenta"/>
      </w:pPr>
      <w:r>
        <w:tab/>
        <w:t>(a)</w:t>
      </w:r>
      <w:r>
        <w:tab/>
        <w:t>ceases to be the safety and health representative; or</w:t>
      </w:r>
    </w:p>
    <w:p>
      <w:pPr>
        <w:pStyle w:val="nzIndenta"/>
      </w:pPr>
      <w:r>
        <w:tab/>
        <w:t>(b)</w:t>
      </w:r>
      <w:r>
        <w:tab/>
        <w:t>is unable (because of absence or for any other reason) to exercise the powers of a safety and health representative,</w:t>
      </w:r>
    </w:p>
    <w:p>
      <w:pPr>
        <w:pStyle w:val="nzSubsection"/>
      </w:pPr>
      <w:r>
        <w:tab/>
      </w:r>
      <w:r>
        <w:tab/>
        <w:t xml:space="preserve">then — </w:t>
      </w:r>
    </w:p>
    <w:p>
      <w:pPr>
        <w:pStyle w:val="nzIndenta"/>
      </w:pPr>
      <w:r>
        <w:tab/>
        <w:t>(c)</w:t>
      </w:r>
      <w:r>
        <w:tab/>
        <w:t>the powers may be exercised by the deputy safety and health representative (if any) for the group; and</w:t>
      </w:r>
    </w:p>
    <w:p>
      <w:pPr>
        <w:pStyle w:val="nzIndenta"/>
      </w:pPr>
      <w:r>
        <w:tab/>
        <w:t>(d)</w:t>
      </w:r>
      <w:r>
        <w:tab/>
        <w:t>this Schedule (other than this clause) applies in relation to the deputy safety and health representative accordingly.</w:t>
      </w:r>
    </w:p>
    <w:p>
      <w:pPr>
        <w:pStyle w:val="nzHeading5"/>
      </w:pPr>
      <w:r>
        <w:t>32.</w:t>
      </w:r>
      <w:r>
        <w:rPr>
          <w:b w:val="0"/>
        </w:rPr>
        <w:tab/>
      </w:r>
      <w:r>
        <w:t>Powers of safety and health representatives</w:t>
      </w:r>
    </w:p>
    <w:p>
      <w:pPr>
        <w:pStyle w:val="nzSubsection"/>
      </w:pPr>
      <w:r>
        <w:tab/>
        <w:t>(1)</w:t>
      </w:r>
      <w:r>
        <w:tab/>
        <w:t xml:space="preserve">A safety and health representative for a designated work group may, for the purpose of promoting or ensuring the safety and health at a workplace of the group members — </w:t>
      </w:r>
    </w:p>
    <w:p>
      <w:pPr>
        <w:pStyle w:val="nzIndenta"/>
      </w:pPr>
      <w:r>
        <w:tab/>
        <w:t>(a)</w:t>
      </w:r>
      <w:r>
        <w:tab/>
        <w:t xml:space="preserve">do all or any of the following — </w:t>
      </w:r>
    </w:p>
    <w:p>
      <w:pPr>
        <w:pStyle w:val="nzIndenti"/>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nzIndenti"/>
      </w:pPr>
      <w:r>
        <w:tab/>
        <w:t>(ii)</w:t>
      </w:r>
      <w:r>
        <w:tab/>
        <w:t>inspect the whole or any part of the workplace if the safety and health representative has given reasonable notice of the inspection to the licensee’s representative and to any other person having immediate control of the workplace;</w:t>
      </w:r>
    </w:p>
    <w:p>
      <w:pPr>
        <w:pStyle w:val="nzIndenti"/>
      </w:pPr>
      <w:r>
        <w:tab/>
        <w:t>(iii)</w:t>
      </w:r>
      <w:r>
        <w:tab/>
        <w:t>make a request to an inspector or to the Minister that an inspection be conducted at the workplace;</w:t>
      </w:r>
    </w:p>
    <w:p>
      <w:pPr>
        <w:pStyle w:val="nzIndenti"/>
      </w:pPr>
      <w:r>
        <w:tab/>
        <w:t>(iv)</w:t>
      </w:r>
      <w:r>
        <w:tab/>
        <w:t>accompany an inspector during any inspection at the workplace by the inspector (whether or not the inspection is being conducted as a result of a request made by the safety and health representative);</w:t>
      </w:r>
    </w:p>
    <w:p>
      <w:pPr>
        <w:pStyle w:val="nzIndenti"/>
      </w:pPr>
      <w:r>
        <w:tab/>
        <w:t>(v)</w:t>
      </w:r>
      <w:r>
        <w:tab/>
        <w:t>if there is no safety and health committee in respect of the members of the workforce engaged in the pipeline operation — represent group members in consultations with the licensee and any work group employer about the development, implementation and review of measures to ensure the safety and health of those members at the workplace;</w:t>
      </w:r>
    </w:p>
    <w:p>
      <w:pPr>
        <w:pStyle w:val="nzIndenti"/>
      </w:pPr>
      <w:r>
        <w:tab/>
        <w:t>(vi)</w:t>
      </w:r>
      <w:r>
        <w:tab/>
        <w:t xml:space="preserve">if a safety and health committee has been established in respect of the members of the workforce engaged in the pipeline operation — examine any of the records of that committee; </w:t>
      </w:r>
    </w:p>
    <w:p>
      <w:pPr>
        <w:pStyle w:val="nzIndenta"/>
      </w:pPr>
      <w:r>
        <w:tab/>
        <w:t>(b)</w:t>
      </w:r>
      <w:r>
        <w:tab/>
        <w:t xml:space="preserve">investigate complaints made by any group member to the safety and health representative about the safety and health of any of the members of the workforce (whether in the group or not); </w:t>
      </w:r>
    </w:p>
    <w:p>
      <w:pPr>
        <w:pStyle w:val="nzIndenta"/>
      </w:pPr>
      <w:r>
        <w:tab/>
        <w:t>(c)</w:t>
      </w:r>
      <w:r>
        <w:tab/>
        <w:t xml:space="preserve">with the consent of a group member, be present at any interview about safety and health at work between that member and — </w:t>
      </w:r>
    </w:p>
    <w:p>
      <w:pPr>
        <w:pStyle w:val="nzIndenti"/>
      </w:pPr>
      <w:r>
        <w:tab/>
        <w:t>(i)</w:t>
      </w:r>
      <w:r>
        <w:tab/>
        <w:t xml:space="preserve">an inspector; </w:t>
      </w:r>
    </w:p>
    <w:p>
      <w:pPr>
        <w:pStyle w:val="nzIndenti"/>
      </w:pPr>
      <w:r>
        <w:tab/>
        <w:t>(ii)</w:t>
      </w:r>
      <w:r>
        <w:tab/>
        <w:t>the licensee or a person representing the licensee; or</w:t>
      </w:r>
    </w:p>
    <w:p>
      <w:pPr>
        <w:pStyle w:val="nzIndenti"/>
      </w:pPr>
      <w:r>
        <w:tab/>
        <w:t>(iii)</w:t>
      </w:r>
      <w:r>
        <w:tab/>
        <w:t xml:space="preserve">a work group employer or a person representing that employer; </w:t>
      </w:r>
    </w:p>
    <w:p>
      <w:pPr>
        <w:pStyle w:val="nzIndenta"/>
      </w:pPr>
      <w:r>
        <w:tab/>
        <w:t>(d)</w:t>
      </w:r>
      <w:r>
        <w:tab/>
        <w:t xml:space="preserve">obtain access to any information under the control of the licensee or any work group employer — </w:t>
      </w:r>
    </w:p>
    <w:p>
      <w:pPr>
        <w:pStyle w:val="nzIndenti"/>
      </w:pPr>
      <w:r>
        <w:tab/>
        <w:t>(i)</w:t>
      </w:r>
      <w:r>
        <w:tab/>
        <w:t>relating to risks to the safety and health of any group member; and</w:t>
      </w:r>
    </w:p>
    <w:p>
      <w:pPr>
        <w:pStyle w:val="nzIndenti"/>
      </w:pPr>
      <w:r>
        <w:tab/>
        <w:t>(ii)</w:t>
      </w:r>
      <w:r>
        <w:tab/>
        <w:t xml:space="preserve">relating to the safety and health of any group member; </w:t>
      </w:r>
    </w:p>
    <w:p>
      <w:pPr>
        <w:pStyle w:val="nzIndenta"/>
      </w:pPr>
      <w:r>
        <w:tab/>
      </w:r>
      <w:r>
        <w:tab/>
        <w:t>and</w:t>
      </w:r>
    </w:p>
    <w:p>
      <w:pPr>
        <w:pStyle w:val="nzIndenta"/>
      </w:pPr>
      <w:r>
        <w:tab/>
        <w:t>(e)</w:t>
      </w:r>
      <w:r>
        <w:tab/>
        <w:t>issue provisional improvement notices in accordance with clause 36.</w:t>
      </w:r>
    </w:p>
    <w:p>
      <w:pPr>
        <w:pStyle w:val="nzSubsection"/>
      </w:pPr>
      <w:r>
        <w:tab/>
        <w:t>(2)</w:t>
      </w:r>
      <w:r>
        <w:tab/>
        <w:t>Subclause (1)(d)(ii) has effect subject to clause 34.</w:t>
      </w:r>
    </w:p>
    <w:p>
      <w:pPr>
        <w:pStyle w:val="nzHeading5"/>
      </w:pPr>
      <w:r>
        <w:t>33.</w:t>
      </w:r>
      <w:r>
        <w:rPr>
          <w:b w:val="0"/>
        </w:rPr>
        <w:tab/>
      </w:r>
      <w:r>
        <w:t>Assistance by consultant</w:t>
      </w:r>
    </w:p>
    <w:p>
      <w:pPr>
        <w:pStyle w:val="nzSubsection"/>
      </w:pPr>
      <w:r>
        <w:tab/>
        <w:t>(1)</w:t>
      </w:r>
      <w:r>
        <w:tab/>
        <w:t>A safety and health representative for a designated work group is entitled, in the exercise of his or her powers, to be assisted by a consultant.</w:t>
      </w:r>
    </w:p>
    <w:p>
      <w:pPr>
        <w:pStyle w:val="nzSubsection"/>
      </w:pPr>
      <w:r>
        <w:tab/>
        <w:t>(2)</w:t>
      </w:r>
      <w:r>
        <w:tab/>
        <w:t xml:space="preserve">A safety and health representative for a designated work group may — </w:t>
      </w:r>
    </w:p>
    <w:p>
      <w:pPr>
        <w:pStyle w:val="nzIndenta"/>
      </w:pPr>
      <w:r>
        <w:tab/>
        <w:t>(a)</w:t>
      </w:r>
      <w:r>
        <w:tab/>
        <w:t>be assisted by a consultant at a workplace at which work is performed; or</w:t>
      </w:r>
    </w:p>
    <w:p>
      <w:pPr>
        <w:pStyle w:val="nzIndenta"/>
      </w:pPr>
      <w:r>
        <w:tab/>
        <w:t>(b)</w:t>
      </w:r>
      <w:r>
        <w:tab/>
        <w:t>provide to a consultant information that has been provided to the safety and health representative by a group member under clause 32(1)(d),</w:t>
      </w:r>
    </w:p>
    <w:p>
      <w:pPr>
        <w:pStyle w:val="nzSubsection"/>
      </w:pPr>
      <w:r>
        <w:tab/>
      </w:r>
      <w:r>
        <w:tab/>
        <w:t>only if the licensee or the Minister has, in writing, agreed to the provision of that assistance at that workplace or the provision of that information, as the case may be.</w:t>
      </w:r>
    </w:p>
    <w:p>
      <w:pPr>
        <w:pStyle w:val="nzSubsection"/>
      </w:pPr>
      <w:r>
        <w:tab/>
        <w:t>(3)</w:t>
      </w:r>
      <w:r>
        <w:tab/>
        <w:t>Neither the licensee nor any workplace employer becomes, because of the agreement under subclause (2) to the provision of assistance by a consultant, liable for any remuneration or other expenses incurred in connection with the consultant’s activities.</w:t>
      </w:r>
    </w:p>
    <w:p>
      <w:pPr>
        <w:pStyle w:val="nz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nzIndenta"/>
      </w:pPr>
      <w:r>
        <w:tab/>
        <w:t>(a)</w:t>
      </w:r>
      <w:r>
        <w:tab/>
        <w:t>an inspector; or</w:t>
      </w:r>
    </w:p>
    <w:p>
      <w:pPr>
        <w:pStyle w:val="nzIndenta"/>
      </w:pPr>
      <w:r>
        <w:tab/>
        <w:t>(b)</w:t>
      </w:r>
      <w:r>
        <w:tab/>
        <w:t>the licensee or any work group employer or a person representing the licensee or that employer,</w:t>
      </w:r>
    </w:p>
    <w:p>
      <w:pPr>
        <w:pStyle w:val="nzSubsection"/>
      </w:pPr>
      <w:r>
        <w:tab/>
      </w:r>
      <w:r>
        <w:tab/>
        <w:t>if, and only if, the group member consents to the presence of the consultant.</w:t>
      </w:r>
    </w:p>
    <w:p>
      <w:pPr>
        <w:pStyle w:val="nzHeading5"/>
      </w:pPr>
      <w:r>
        <w:t>34.</w:t>
      </w:r>
      <w:r>
        <w:rPr>
          <w:b w:val="0"/>
        </w:rPr>
        <w:tab/>
      </w:r>
      <w:r>
        <w:t>Information</w:t>
      </w:r>
    </w:p>
    <w:p>
      <w:pPr>
        <w:pStyle w:val="nzSubsection"/>
      </w:pPr>
      <w:r>
        <w:tab/>
        <w:t>(1)</w:t>
      </w:r>
      <w:r>
        <w:tab/>
        <w:t xml:space="preserve">Neither — </w:t>
      </w:r>
    </w:p>
    <w:p>
      <w:pPr>
        <w:pStyle w:val="nzIndenta"/>
      </w:pPr>
      <w:r>
        <w:tab/>
        <w:t>(a)</w:t>
      </w:r>
      <w:r>
        <w:tab/>
        <w:t>a safety and health representative; nor</w:t>
      </w:r>
    </w:p>
    <w:p>
      <w:pPr>
        <w:pStyle w:val="nzIndenta"/>
      </w:pPr>
      <w:r>
        <w:tab/>
        <w:t>(b)</w:t>
      </w:r>
      <w:r>
        <w:tab/>
        <w:t xml:space="preserve">a consultant assisting a safety and health representative, </w:t>
      </w:r>
    </w:p>
    <w:p>
      <w:pPr>
        <w:pStyle w:val="nzSubsection"/>
      </w:pPr>
      <w:r>
        <w:tab/>
      </w:r>
      <w:r>
        <w:tab/>
        <w:t>is entitled, under clause 32(1)(d)(ii), to have access to information in respect of which a group member is entitled to claim, and does claim, legal professional privilege.</w:t>
      </w:r>
    </w:p>
    <w:p>
      <w:pPr>
        <w:pStyle w:val="nzSubsection"/>
      </w:pPr>
      <w:r>
        <w:tab/>
        <w:t>(2)</w:t>
      </w:r>
      <w:r>
        <w:tab/>
        <w:t xml:space="preserve">Neither — </w:t>
      </w:r>
    </w:p>
    <w:p>
      <w:pPr>
        <w:pStyle w:val="nzIndenta"/>
      </w:pPr>
      <w:r>
        <w:tab/>
        <w:t>(a)</w:t>
      </w:r>
      <w:r>
        <w:tab/>
        <w:t>a safety and health representative; nor</w:t>
      </w:r>
    </w:p>
    <w:p>
      <w:pPr>
        <w:pStyle w:val="nzIndenta"/>
      </w:pPr>
      <w:r>
        <w:tab/>
        <w:t>(b)</w:t>
      </w:r>
      <w:r>
        <w:tab/>
        <w:t>a consultant assisting a safety and health representative,</w:t>
      </w:r>
    </w:p>
    <w:p>
      <w:pPr>
        <w:pStyle w:val="nzSubsection"/>
      </w:pPr>
      <w:r>
        <w:tab/>
      </w:r>
      <w:r>
        <w:tab/>
        <w:t xml:space="preserve">is entitled, under clause 32(1)(d)(ii), to have access to information of a confidential medical nature relating to a person who is or was a group member unless — </w:t>
      </w:r>
    </w:p>
    <w:p>
      <w:pPr>
        <w:pStyle w:val="nzIndenta"/>
      </w:pPr>
      <w:r>
        <w:tab/>
        <w:t>(c)</w:t>
      </w:r>
      <w:r>
        <w:tab/>
        <w:t>the person has delivered to the licensee or any work group employer a written authority permitting the safety and health representative, or the safety and health representative and the consultant, as the case requires, to have access to the information; or</w:t>
      </w:r>
    </w:p>
    <w:p>
      <w:pPr>
        <w:pStyle w:val="nzIndenta"/>
      </w:pPr>
      <w:r>
        <w:tab/>
        <w:t>(d)</w:t>
      </w:r>
      <w:r>
        <w:tab/>
        <w:t>the information is in a form that does not identify the person or enable the identity of the person to be discovered.</w:t>
      </w:r>
    </w:p>
    <w:p>
      <w:pPr>
        <w:pStyle w:val="nzHeading5"/>
      </w:pPr>
      <w:r>
        <w:t>35.</w:t>
      </w:r>
      <w:r>
        <w:rPr>
          <w:b w:val="0"/>
        </w:rPr>
        <w:tab/>
      </w:r>
      <w:r>
        <w:t>Obligations and liabilities of safety and health representatives</w:t>
      </w:r>
    </w:p>
    <w:p>
      <w:pPr>
        <w:pStyle w:val="nzSubsection"/>
      </w:pPr>
      <w:r>
        <w:tab/>
      </w:r>
      <w:r>
        <w:tab/>
        <w:t xml:space="preserve">This Schedule does not — </w:t>
      </w:r>
    </w:p>
    <w:p>
      <w:pPr>
        <w:pStyle w:val="nzIndenta"/>
      </w:pPr>
      <w:r>
        <w:tab/>
        <w:t>(a)</w:t>
      </w:r>
      <w:r>
        <w:tab/>
        <w:t>impose an obligation on a person to exercise any power conferred on the person because the person is a safety and health representative; or</w:t>
      </w:r>
    </w:p>
    <w:p>
      <w:pPr>
        <w:pStyle w:val="nzIndenta"/>
      </w:pPr>
      <w:r>
        <w:tab/>
        <w:t>(b)</w:t>
      </w:r>
      <w:r>
        <w:tab/>
        <w:t xml:space="preserve">render a person liable in civil proceedings because of — </w:t>
      </w:r>
    </w:p>
    <w:p>
      <w:pPr>
        <w:pStyle w:val="nzIndenti"/>
      </w:pPr>
      <w:r>
        <w:tab/>
        <w:t>(i)</w:t>
      </w:r>
      <w:r>
        <w:tab/>
        <w:t>a failure to exercise such a power; or</w:t>
      </w:r>
    </w:p>
    <w:p>
      <w:pPr>
        <w:pStyle w:val="nzIndenti"/>
      </w:pPr>
      <w:r>
        <w:tab/>
        <w:t>(ii)</w:t>
      </w:r>
      <w:r>
        <w:tab/>
        <w:t>the way such a power was exercised.</w:t>
      </w:r>
    </w:p>
    <w:p>
      <w:pPr>
        <w:pStyle w:val="nzHeading5"/>
      </w:pPr>
      <w:r>
        <w:t>36.</w:t>
      </w:r>
      <w:r>
        <w:rPr>
          <w:b w:val="0"/>
        </w:rPr>
        <w:tab/>
      </w:r>
      <w:r>
        <w:t>Provisional improvement notices</w:t>
      </w:r>
    </w:p>
    <w:p>
      <w:pPr>
        <w:pStyle w:val="nzSubsection"/>
      </w:pPr>
      <w:r>
        <w:tab/>
        <w:t>(1)</w:t>
      </w:r>
      <w:r>
        <w:tab/>
        <w:t xml:space="preserve">If — </w:t>
      </w:r>
    </w:p>
    <w:p>
      <w:pPr>
        <w:pStyle w:val="nzIndenta"/>
      </w:pPr>
      <w:r>
        <w:tab/>
        <w:t>(a)</w:t>
      </w:r>
      <w:r>
        <w:tab/>
        <w:t xml:space="preserve">a safety and health representative for a designated work group believes, on reasonable grounds, that a person — </w:t>
      </w:r>
    </w:p>
    <w:p>
      <w:pPr>
        <w:pStyle w:val="nzIndenti"/>
      </w:pPr>
      <w:r>
        <w:tab/>
        <w:t>(i)</w:t>
      </w:r>
      <w:r>
        <w:tab/>
        <w:t>is contravening a listed OSH law; or</w:t>
      </w:r>
    </w:p>
    <w:p>
      <w:pPr>
        <w:pStyle w:val="nzIndenti"/>
      </w:pPr>
      <w:r>
        <w:tab/>
        <w:t>(ii)</w:t>
      </w:r>
      <w:r>
        <w:tab/>
        <w:t>has contravened a provision of a listed OSH law and is likely to contravene that provision again;</w:t>
      </w:r>
    </w:p>
    <w:p>
      <w:pPr>
        <w:pStyle w:val="nzIndenta"/>
      </w:pPr>
      <w:r>
        <w:tab/>
      </w:r>
      <w:r>
        <w:tab/>
        <w:t>and</w:t>
      </w:r>
    </w:p>
    <w:p>
      <w:pPr>
        <w:pStyle w:val="nzIndenta"/>
      </w:pPr>
      <w:r>
        <w:tab/>
        <w:t>(b)</w:t>
      </w:r>
      <w:r>
        <w:tab/>
        <w:t>the contravention affects or may affect one or more group members,</w:t>
      </w:r>
    </w:p>
    <w:p>
      <w:pPr>
        <w:pStyle w:val="nzSubsection"/>
      </w:pPr>
      <w:r>
        <w:tab/>
      </w:r>
      <w:r>
        <w:tab/>
        <w:t>the representative must consult with the person supervising the relevant activity in an attempt to reach agreement on rectifying the contravention or preventing the likely contravention.</w:t>
      </w:r>
    </w:p>
    <w:p>
      <w:pPr>
        <w:pStyle w:val="nz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b/>
        </w:rPr>
        <w:t>“</w:t>
      </w:r>
      <w:r>
        <w:rPr>
          <w:rStyle w:val="CharDefText"/>
        </w:rPr>
        <w:t>responsible person</w:t>
      </w:r>
      <w:r>
        <w:rPr>
          <w:b/>
        </w:rPr>
        <w:t>”</w:t>
      </w:r>
      <w:r>
        <w:t>) responsible for the contravention.</w:t>
      </w:r>
    </w:p>
    <w:p>
      <w:pPr>
        <w:pStyle w:val="nzSubsection"/>
      </w:pPr>
      <w:r>
        <w:tab/>
        <w:t>(3)</w:t>
      </w:r>
      <w:r>
        <w:tab/>
        <w:t>If a responsible person is the licensee, the improvement notice may be issued to the licensee by giving it to the licensee’s representative.</w:t>
      </w:r>
    </w:p>
    <w:p>
      <w:pPr>
        <w:pStyle w:val="nzSubsection"/>
      </w:pPr>
      <w:r>
        <w:tab/>
        <w:t>(4)</w:t>
      </w:r>
      <w:r>
        <w:tab/>
        <w:t xml:space="preserve">If it is not practicable to issue the notice to a responsible person (other than the licensee or the supervisor) by giving it to that responsible person — </w:t>
      </w:r>
    </w:p>
    <w:p>
      <w:pPr>
        <w:pStyle w:val="nz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nzIndenta"/>
      </w:pPr>
      <w:r>
        <w:tab/>
        <w:t>(b)</w:t>
      </w:r>
      <w:r>
        <w:tab/>
        <w:t>if the notice is so issued, a copy of the notice must be given to the responsible person as soon as practicable afterwards.</w:t>
      </w:r>
    </w:p>
    <w:p>
      <w:pPr>
        <w:pStyle w:val="nzSubsection"/>
      </w:pPr>
      <w:r>
        <w:tab/>
        <w:t>(5)</w:t>
      </w:r>
      <w:r>
        <w:tab/>
        <w:t xml:space="preserve">The notice must — </w:t>
      </w:r>
    </w:p>
    <w:p>
      <w:pPr>
        <w:pStyle w:val="nzIndenta"/>
      </w:pPr>
      <w:r>
        <w:tab/>
        <w:t>(a)</w:t>
      </w:r>
      <w:r>
        <w:tab/>
        <w:t>specify the contravention that, in the safety and health representative’s opinion, is occurring or is likely to occur, and set out the reasons for that opinion; and</w:t>
      </w:r>
    </w:p>
    <w:p>
      <w:pPr>
        <w:pStyle w:val="nzIndenta"/>
      </w:pPr>
      <w:r>
        <w:tab/>
        <w:t>(b)</w:t>
      </w:r>
      <w:r>
        <w:tab/>
        <w:t xml:space="preserve">specify a period that — </w:t>
      </w:r>
    </w:p>
    <w:p>
      <w:pPr>
        <w:pStyle w:val="nzIndenti"/>
      </w:pPr>
      <w:r>
        <w:tab/>
        <w:t>(i)</w:t>
      </w:r>
      <w:r>
        <w:tab/>
        <w:t>is not less than 7 days beginning on the day after the notice is issued; and</w:t>
      </w:r>
    </w:p>
    <w:p>
      <w:pPr>
        <w:pStyle w:val="nzIndenti"/>
      </w:pPr>
      <w:r>
        <w:tab/>
        <w:t>(ii)</w:t>
      </w:r>
      <w:r>
        <w:tab/>
        <w:t>is, in the representative’s opinion, reasonable,</w:t>
      </w:r>
    </w:p>
    <w:p>
      <w:pPr>
        <w:pStyle w:val="nzSubsection"/>
      </w:pPr>
      <w:r>
        <w:tab/>
      </w:r>
      <w:r>
        <w:tab/>
        <w:t>within which the responsible person is to take action necessary to prevent any further contravention or to prevent the likely contravention, as the case may be.</w:t>
      </w:r>
    </w:p>
    <w:p>
      <w:pPr>
        <w:pStyle w:val="nzSubsection"/>
      </w:pPr>
      <w:r>
        <w:tab/>
        <w:t>(6)</w:t>
      </w:r>
      <w:r>
        <w:tab/>
        <w:t>The notice may specify action that the responsible person is to take during the period specified in the notice.</w:t>
      </w:r>
    </w:p>
    <w:p>
      <w:pPr>
        <w:pStyle w:val="nzSubsection"/>
      </w:pPr>
      <w:r>
        <w:tab/>
        <w:t>(7)</w:t>
      </w:r>
      <w:r>
        <w:tab/>
        <w:t>If, in the safety and health representative’s opinion, it is appropriate to do so, the representative may, in writing and before the end of the period, extend the period specified in the notice.</w:t>
      </w:r>
    </w:p>
    <w:p>
      <w:pPr>
        <w:pStyle w:val="nzSubsection"/>
      </w:pPr>
      <w:r>
        <w:tab/>
        <w:t>(8)</w:t>
      </w:r>
      <w:r>
        <w:tab/>
        <w:t xml:space="preserve">On issuing the notice, the safety and health representative must give a copy of the notice to — </w:t>
      </w:r>
    </w:p>
    <w:p>
      <w:pPr>
        <w:pStyle w:val="nzIndenta"/>
      </w:pPr>
      <w:r>
        <w:tab/>
        <w:t>(a)</w:t>
      </w:r>
      <w:r>
        <w:tab/>
        <w:t xml:space="preserve">if the licensee is not a responsible person — the licensee; </w:t>
      </w:r>
    </w:p>
    <w:p>
      <w:pPr>
        <w:pStyle w:val="nzIndenta"/>
      </w:pPr>
      <w:r>
        <w:tab/>
        <w:t>(b)</w:t>
      </w:r>
      <w:r>
        <w:tab/>
        <w:t xml:space="preserve">each work group employer other than a work group employer who is a responsible person; </w:t>
      </w:r>
    </w:p>
    <w:p>
      <w:pPr>
        <w:pStyle w:val="nzIndenta"/>
      </w:pPr>
      <w:r>
        <w:tab/>
        <w:t>(c)</w:t>
      </w:r>
      <w:r>
        <w:tab/>
        <w:t>if the supervisor is not a responsible person — the supervisor; and</w:t>
      </w:r>
    </w:p>
    <w:p>
      <w:pPr>
        <w:pStyle w:val="nzIndenta"/>
      </w:pPr>
      <w:r>
        <w:tab/>
        <w:t>(d)</w:t>
      </w:r>
      <w:r>
        <w:tab/>
        <w:t>if the notice relates to any plant, substance or thing that is owned by a person other than a responsible person or a person to whom a copy of the notice is given under paragraph (a), (b) or (c) — that owner.</w:t>
      </w:r>
    </w:p>
    <w:p>
      <w:pPr>
        <w:pStyle w:val="nzHeading5"/>
      </w:pPr>
      <w:r>
        <w:t>37.</w:t>
      </w:r>
      <w:r>
        <w:rPr>
          <w:b w:val="0"/>
        </w:rPr>
        <w:tab/>
      </w:r>
      <w:r>
        <w:t>Effect of provisional improvement notice</w:t>
      </w:r>
    </w:p>
    <w:p>
      <w:pPr>
        <w:pStyle w:val="nzSubsection"/>
      </w:pPr>
      <w:r>
        <w:tab/>
        <w:t>(1)</w:t>
      </w:r>
      <w:r>
        <w:tab/>
        <w:t xml:space="preserve">Within 7 days after a notice is issued under clause 36 — </w:t>
      </w:r>
    </w:p>
    <w:p>
      <w:pPr>
        <w:pStyle w:val="nzIndenta"/>
      </w:pPr>
      <w:r>
        <w:tab/>
        <w:t>(a)</w:t>
      </w:r>
      <w:r>
        <w:tab/>
        <w:t>the responsible person; or</w:t>
      </w:r>
    </w:p>
    <w:p>
      <w:pPr>
        <w:pStyle w:val="nzIndenta"/>
      </w:pPr>
      <w:r>
        <w:tab/>
        <w:t>(b)</w:t>
      </w:r>
      <w:r>
        <w:tab/>
        <w:t>any other person, to whom a copy of the notice has been given under clause 36(8),</w:t>
      </w:r>
    </w:p>
    <w:p>
      <w:pPr>
        <w:pStyle w:val="nzSubsection"/>
      </w:pPr>
      <w:r>
        <w:tab/>
      </w:r>
      <w:r>
        <w:tab/>
        <w:t>may request an inspector for an inspection of the matter to be conducted.</w:t>
      </w:r>
    </w:p>
    <w:p>
      <w:pPr>
        <w:pStyle w:val="nzSubsection"/>
      </w:pPr>
      <w:r>
        <w:tab/>
        <w:t>(2)</w:t>
      </w:r>
      <w:r>
        <w:tab/>
        <w:t>On the request being made, the operation of the notice is suspended pending the determination of the matter by an inspector.</w:t>
      </w:r>
    </w:p>
    <w:p>
      <w:pPr>
        <w:pStyle w:val="nzSubsection"/>
      </w:pPr>
      <w:r>
        <w:tab/>
        <w:t>(3)</w:t>
      </w:r>
      <w:r>
        <w:tab/>
        <w:t xml:space="preserve">As soon as possible after a request is made, an inspection must be conducted of the work that is the subject of the disagreement, and the inspector conducting the inspection must — </w:t>
      </w:r>
    </w:p>
    <w:p>
      <w:pPr>
        <w:pStyle w:val="nzIndenta"/>
      </w:pPr>
      <w:r>
        <w:tab/>
        <w:t>(a)</w:t>
      </w:r>
      <w:r>
        <w:tab/>
        <w:t>confirm, vary or cancel the notice and notify the responsible person and any person to whom a copy of the notice has been given under clause 36(8) accordingly; and</w:t>
      </w:r>
    </w:p>
    <w:p>
      <w:pPr>
        <w:pStyle w:val="nzIndenta"/>
      </w:pPr>
      <w:r>
        <w:tab/>
        <w:t>(b)</w:t>
      </w:r>
      <w:r>
        <w:tab/>
        <w:t>make decisions, and exercise powers, under Division 4, as the inspector considers necessary in relation to the work.</w:t>
      </w:r>
    </w:p>
    <w:p>
      <w:pPr>
        <w:pStyle w:val="nzSubsection"/>
      </w:pPr>
      <w:r>
        <w:tab/>
        <w:t>(4)</w:t>
      </w:r>
      <w:r>
        <w:tab/>
        <w:t xml:space="preserve">If the inspector varies a notice, the notice as so varied has effect — </w:t>
      </w:r>
    </w:p>
    <w:p>
      <w:pPr>
        <w:pStyle w:val="nzIndenta"/>
      </w:pPr>
      <w:r>
        <w:tab/>
        <w:t>(a)</w:t>
      </w:r>
      <w:r>
        <w:tab/>
        <w:t>so far as the notice concerns obligations imposed on the responsible person that are unaffected by the variation — as if the notice as so varied resumed effect on the day of the variation; and</w:t>
      </w:r>
    </w:p>
    <w:p>
      <w:pPr>
        <w:pStyle w:val="nzIndenta"/>
      </w:pPr>
      <w:r>
        <w:tab/>
        <w:t>(b)</w:t>
      </w:r>
      <w:r>
        <w:tab/>
        <w:t>so far as the notice concerns new obligations imposed by virtue of the variation — as if the notice as so varied were a new notice issued on the day of the variation.</w:t>
      </w:r>
    </w:p>
    <w:p>
      <w:pPr>
        <w:pStyle w:val="nzSubsection"/>
      </w:pPr>
      <w:r>
        <w:tab/>
        <w:t>(5)</w:t>
      </w:r>
      <w:r>
        <w:tab/>
        <w:t xml:space="preserve">If the notice is issued to a responsible person, the responsible person must — </w:t>
      </w:r>
    </w:p>
    <w:p>
      <w:pPr>
        <w:pStyle w:val="nzIndenta"/>
      </w:pPr>
      <w:r>
        <w:tab/>
        <w:t>(a)</w:t>
      </w:r>
      <w:r>
        <w:tab/>
        <w:t>notify each group member who is affected by the notice of the fact of the issue of the notice; and</w:t>
      </w:r>
    </w:p>
    <w:p>
      <w:pPr>
        <w:pStyle w:val="nzIndenta"/>
      </w:pPr>
      <w:r>
        <w:tab/>
        <w:t>(b)</w:t>
      </w:r>
      <w:r>
        <w:tab/>
        <w:t>until the notice ceases to have effect, cause a copy of the notice to be displayed at or near each workplace at which the work that is the subject of the notice is being performed.</w:t>
      </w:r>
    </w:p>
    <w:p>
      <w:pPr>
        <w:pStyle w:val="nzSubsection"/>
      </w:pPr>
      <w:r>
        <w:tab/>
        <w:t>(6)</w:t>
      </w:r>
      <w:r>
        <w:tab/>
        <w:t xml:space="preserve">The notice ceases to have effect if — </w:t>
      </w:r>
    </w:p>
    <w:p>
      <w:pPr>
        <w:pStyle w:val="nzIndenta"/>
      </w:pPr>
      <w:r>
        <w:tab/>
        <w:t>(a)</w:t>
      </w:r>
      <w:r>
        <w:tab/>
        <w:t>it is cancelled by an inspector or by the safety and health representative; or</w:t>
      </w:r>
    </w:p>
    <w:p>
      <w:pPr>
        <w:pStyle w:val="nzIndenta"/>
      </w:pPr>
      <w:r>
        <w:tab/>
        <w:t>(b)</w:t>
      </w:r>
      <w:r>
        <w:tab/>
        <w:t xml:space="preserve">the responsible person — </w:t>
      </w:r>
    </w:p>
    <w:p>
      <w:pPr>
        <w:pStyle w:val="nzIndenti"/>
      </w:pPr>
      <w:r>
        <w:tab/>
        <w:t>(i)</w:t>
      </w:r>
      <w:r>
        <w:tab/>
        <w:t>takes the action, if any, specified in the notice; or</w:t>
      </w:r>
    </w:p>
    <w:p>
      <w:pPr>
        <w:pStyle w:val="nzIndenti"/>
      </w:pPr>
      <w:r>
        <w:tab/>
        <w:t>(ii)</w:t>
      </w:r>
      <w:r>
        <w:tab/>
        <w:t>if no action is so specified — takes the action necessary to prevent the further contravention, or likely contravention, concerned.</w:t>
      </w:r>
    </w:p>
    <w:p>
      <w:pPr>
        <w:pStyle w:val="nzSubsection"/>
      </w:pPr>
      <w:r>
        <w:tab/>
        <w:t>(7)</w:t>
      </w:r>
      <w:r>
        <w:tab/>
        <w:t xml:space="preserve">The responsible person — </w:t>
      </w:r>
    </w:p>
    <w:p>
      <w:pPr>
        <w:pStyle w:val="nzIndenta"/>
      </w:pPr>
      <w:r>
        <w:tab/>
        <w:t>(a)</w:t>
      </w:r>
      <w:r>
        <w:tab/>
        <w:t>must ensure that, to the extent that the notice relates to any matter over which the person has control, the notice is complied with; and</w:t>
      </w:r>
    </w:p>
    <w:p>
      <w:pPr>
        <w:pStyle w:val="nzIndenta"/>
      </w:pPr>
      <w:r>
        <w:tab/>
        <w:t>(b)</w:t>
      </w:r>
      <w:r>
        <w:tab/>
        <w:t>must take reasonable steps to inform the safety and health representative who issued the notice of the action taken to comply with the notice.</w:t>
      </w:r>
    </w:p>
    <w:p>
      <w:pPr>
        <w:pStyle w:val="nzSubsection"/>
      </w:pPr>
      <w:r>
        <w:tab/>
        <w:t>(8)</w:t>
      </w:r>
      <w:r>
        <w:tab/>
        <w:t>For the purposes of clause 64, if the inspector confirms or varies the notice, the inspector is taken to have decided, under clause 60, to issue an improvement notice in those terms.</w:t>
      </w:r>
    </w:p>
    <w:p>
      <w:pPr>
        <w:pStyle w:val="nzHeading5"/>
      </w:pPr>
      <w:r>
        <w:t>38.</w:t>
      </w:r>
      <w:r>
        <w:rPr>
          <w:b w:val="0"/>
        </w:rPr>
        <w:tab/>
      </w:r>
      <w:r>
        <w:t>Duties of the licensee and other employers in relation to safety and health representatives</w:t>
      </w:r>
    </w:p>
    <w:p>
      <w:pPr>
        <w:pStyle w:val="nzSubsection"/>
      </w:pPr>
      <w:r>
        <w:tab/>
        <w:t>(1)</w:t>
      </w:r>
      <w:r>
        <w:tab/>
        <w:t xml:space="preserve">The licensee for a pipeline operation, in relation to which a designated work group having a safety and health representative has been established, must — </w:t>
      </w:r>
    </w:p>
    <w:p>
      <w:pPr>
        <w:pStyle w:val="nz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p>
    <w:p>
      <w:pPr>
        <w:pStyle w:val="nzIndenta"/>
      </w:pPr>
      <w:r>
        <w:tab/>
        <w:t>(b)</w:t>
      </w:r>
      <w:r>
        <w:tab/>
        <w:t xml:space="preserve">in relation to a workplace at which some or all of the group members perform work — </w:t>
      </w:r>
    </w:p>
    <w:p>
      <w:pPr>
        <w:pStyle w:val="nzIndenti"/>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nzIndenti"/>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nzIndenta"/>
      </w:pPr>
      <w:r>
        <w:tab/>
        <w:t>(c)</w:t>
      </w:r>
      <w:r>
        <w:tab/>
        <w:t xml:space="preserve">permit the representative to be present at any interview at which the representative is entitled to be present under clause 32(1)(c); </w:t>
      </w:r>
    </w:p>
    <w:p>
      <w:pPr>
        <w:pStyle w:val="nzIndenta"/>
      </w:pPr>
      <w:r>
        <w:tab/>
        <w:t>(d)</w:t>
      </w:r>
      <w:r>
        <w:tab/>
        <w:t xml:space="preserve">provide to the representative access to any information to which the representative is entitled to obtain access under clause 32(1)(d)(i) or (ii) and to which access has been requested; </w:t>
      </w:r>
    </w:p>
    <w:p>
      <w:pPr>
        <w:pStyle w:val="nzIndenta"/>
      </w:pPr>
      <w:r>
        <w:tab/>
        <w:t>(e)</w:t>
      </w:r>
      <w:r>
        <w:tab/>
        <w:t>permit the representative to take any time off work, without loss of remuneration or other entitlements, that is necessary to exercise the powers of a safety and health representative; and</w:t>
      </w:r>
    </w:p>
    <w:p>
      <w:pPr>
        <w:pStyle w:val="nzIndenta"/>
      </w:pPr>
      <w:r>
        <w:tab/>
        <w:t>(f)</w:t>
      </w:r>
      <w:r>
        <w:tab/>
        <w:t xml:space="preserve">provide the representative with access to any amenities that are — </w:t>
      </w:r>
    </w:p>
    <w:p>
      <w:pPr>
        <w:pStyle w:val="nzIndenti"/>
      </w:pPr>
      <w:r>
        <w:tab/>
        <w:t>(i)</w:t>
      </w:r>
      <w:r>
        <w:tab/>
        <w:t>prescribed for the purposes of this paragraph; or</w:t>
      </w:r>
    </w:p>
    <w:p>
      <w:pPr>
        <w:pStyle w:val="nzIndenti"/>
      </w:pPr>
      <w:r>
        <w:tab/>
        <w:t>(ii)</w:t>
      </w:r>
      <w:r>
        <w:tab/>
        <w:t>necessary for the purposes of exercising the powers of a safety and health representative.</w:t>
      </w:r>
    </w:p>
    <w:p>
      <w:pPr>
        <w:pStyle w:val="nzSubsection"/>
      </w:pPr>
      <w:r>
        <w:tab/>
        <w:t>(2)</w:t>
      </w:r>
      <w:r>
        <w:tab/>
        <w:t>Subclause (1)(d) has effect subject to subclauses (3) and (4).</w:t>
      </w:r>
    </w:p>
    <w:p>
      <w:pPr>
        <w:pStyle w:val="nzSubsection"/>
      </w:pPr>
      <w:r>
        <w:tab/>
        <w:t>(3)</w:t>
      </w:r>
      <w:r>
        <w:tab/>
        <w:t xml:space="preserve">The licensee must not permit a safety and health representative in relation to a designated work group to have access to information that — </w:t>
      </w:r>
    </w:p>
    <w:p>
      <w:pPr>
        <w:pStyle w:val="nzIndenta"/>
      </w:pPr>
      <w:r>
        <w:tab/>
        <w:t>(a)</w:t>
      </w:r>
      <w:r>
        <w:tab/>
        <w:t>is of a confidential medical nature under the control of the licensee; and</w:t>
      </w:r>
    </w:p>
    <w:p>
      <w:pPr>
        <w:pStyle w:val="nzIndenta"/>
      </w:pPr>
      <w:r>
        <w:tab/>
        <w:t>(b)</w:t>
      </w:r>
      <w:r>
        <w:tab/>
        <w:t xml:space="preserve">relates to a person who is or was a group member, </w:t>
      </w:r>
    </w:p>
    <w:p>
      <w:pPr>
        <w:pStyle w:val="nzSubsection"/>
      </w:pPr>
      <w:r>
        <w:tab/>
      </w:r>
      <w:r>
        <w:tab/>
        <w:t xml:space="preserve">unless — </w:t>
      </w:r>
    </w:p>
    <w:p>
      <w:pPr>
        <w:pStyle w:val="nzIndenta"/>
      </w:pPr>
      <w:r>
        <w:tab/>
        <w:t>(c)</w:t>
      </w:r>
      <w:r>
        <w:tab/>
        <w:t>the person has delivered to the employer a written authority permitting the representative to have access to the information; or</w:t>
      </w:r>
    </w:p>
    <w:p>
      <w:pPr>
        <w:pStyle w:val="nzIndenta"/>
      </w:pPr>
      <w:r>
        <w:tab/>
        <w:t>(d)</w:t>
      </w:r>
      <w:r>
        <w:tab/>
        <w:t>the information is in a form that does not identify the person or enable the identity of the person to be discovered.</w:t>
      </w:r>
    </w:p>
    <w:p>
      <w:pPr>
        <w:pStyle w:val="nzSubsection"/>
      </w:pPr>
      <w:r>
        <w:tab/>
        <w:t>(4)</w:t>
      </w:r>
      <w:r>
        <w:tab/>
        <w:t>The licensee is not required to give a safety and health representative access to any information in respect of which the licensee is entitled to claim, and does claim, legal professional privilege.</w:t>
      </w:r>
    </w:p>
    <w:p>
      <w:pPr>
        <w:pStyle w:val="nzSubsection"/>
      </w:pPr>
      <w:r>
        <w:tab/>
        <w:t>(5)</w:t>
      </w:r>
      <w:r>
        <w:tab/>
        <w:t>The duties imposed by this clause on the licensee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nzHeading4"/>
      </w:pPr>
      <w:bookmarkStart w:id="444" w:name="_Toc112746373"/>
      <w:bookmarkStart w:id="445" w:name="_Toc112746498"/>
      <w:r>
        <w:t>Subdivision </w:t>
      </w:r>
      <w:r>
        <w:rPr>
          <w:bCs/>
        </w:rPr>
        <w:t>4</w:t>
      </w:r>
      <w:r>
        <w:rPr>
          <w:b w:val="0"/>
        </w:rPr>
        <w:t> — </w:t>
      </w:r>
      <w:r>
        <w:rPr>
          <w:bCs/>
        </w:rPr>
        <w:t>Safety and health</w:t>
      </w:r>
      <w:r>
        <w:t xml:space="preserve"> committees</w:t>
      </w:r>
      <w:bookmarkEnd w:id="444"/>
      <w:bookmarkEnd w:id="445"/>
    </w:p>
    <w:p>
      <w:pPr>
        <w:pStyle w:val="nzHeading5"/>
      </w:pPr>
      <w:r>
        <w:t>39.</w:t>
      </w:r>
      <w:r>
        <w:rPr>
          <w:b w:val="0"/>
        </w:rPr>
        <w:tab/>
      </w:r>
      <w:r>
        <w:t>Safety and health committees</w:t>
      </w:r>
    </w:p>
    <w:p>
      <w:pPr>
        <w:pStyle w:val="nzSubsection"/>
      </w:pPr>
      <w:r>
        <w:tab/>
        <w:t>(1)</w:t>
      </w:r>
      <w:r>
        <w:tab/>
        <w:t xml:space="preserve">A safety and health committee must be established in relation to the members of the workforce engaged in a pipeline operation if — </w:t>
      </w:r>
    </w:p>
    <w:p>
      <w:pPr>
        <w:pStyle w:val="nzIndenta"/>
      </w:pPr>
      <w:r>
        <w:tab/>
        <w:t>(a)</w:t>
      </w:r>
      <w:r>
        <w:tab/>
        <w:t xml:space="preserve">the number of those members normally engaged in the pipeline operation is not less than 50 (whether or not those members are all at work in relation to the pipeline operation at the same time); </w:t>
      </w:r>
    </w:p>
    <w:p>
      <w:pPr>
        <w:pStyle w:val="nzIndenta"/>
      </w:pPr>
      <w:r>
        <w:tab/>
        <w:t>(b)</w:t>
      </w:r>
      <w:r>
        <w:tab/>
        <w:t>the members of the workforce are included in one or more designated work groups; and</w:t>
      </w:r>
    </w:p>
    <w:p>
      <w:pPr>
        <w:pStyle w:val="nzIndenta"/>
      </w:pPr>
      <w:r>
        <w:tab/>
        <w:t>(c)</w:t>
      </w:r>
      <w:r>
        <w:tab/>
        <w:t>the licensee is requested to establish the committee by the safety and health representative for the designated work group or for one of the designated work groups.</w:t>
      </w:r>
    </w:p>
    <w:p>
      <w:pPr>
        <w:pStyle w:val="nzSubsection"/>
      </w:pPr>
      <w:r>
        <w:tab/>
        <w:t>(2)</w:t>
      </w:r>
      <w:r>
        <w:tab/>
        <w:t xml:space="preserve">The safety and health committee consists of — </w:t>
      </w:r>
    </w:p>
    <w:p>
      <w:pPr>
        <w:pStyle w:val="nzIndenta"/>
      </w:pPr>
      <w:r>
        <w:tab/>
        <w:t>(a)</w:t>
      </w:r>
      <w:r>
        <w:tab/>
        <w:t>the number of members specified in an agreement reached between the licensee and the members of the workforce; or</w:t>
      </w:r>
    </w:p>
    <w:p>
      <w:pPr>
        <w:pStyle w:val="nzIndenta"/>
      </w:pPr>
      <w:r>
        <w:tab/>
        <w:t>(b)</w:t>
      </w:r>
      <w:r>
        <w:tab/>
        <w:t xml:space="preserve">if there is no such agreement — an equal number of — </w:t>
      </w:r>
    </w:p>
    <w:p>
      <w:pPr>
        <w:pStyle w:val="nzIndenti"/>
      </w:pPr>
      <w:r>
        <w:tab/>
        <w:t>(i)</w:t>
      </w:r>
      <w:r>
        <w:tab/>
        <w:t>members, chosen by the members of the workforce, to represent the interests of members of the workforce; and</w:t>
      </w:r>
    </w:p>
    <w:p>
      <w:pPr>
        <w:pStyle w:val="nzIndenti"/>
      </w:pPr>
      <w:r>
        <w:tab/>
        <w:t>(ii)</w:t>
      </w:r>
      <w:r>
        <w:tab/>
        <w:t>members, chosen by the licensee, to represent the interests of the licensee and the employer (other than the licensee) of members of the workforce.</w:t>
      </w:r>
    </w:p>
    <w:p>
      <w:pPr>
        <w:pStyle w:val="nzSubsection"/>
      </w:pPr>
      <w:r>
        <w:tab/>
        <w:t>(3)</w:t>
      </w:r>
      <w:r>
        <w:tab/>
        <w:t xml:space="preserve">The agreement referred to in subclause (2)(a) may — </w:t>
      </w:r>
    </w:p>
    <w:p>
      <w:pPr>
        <w:pStyle w:val="nzIndenta"/>
      </w:pPr>
      <w:r>
        <w:tab/>
        <w:t>(a)</w:t>
      </w:r>
      <w:r>
        <w:tab/>
        <w:t>specify the persons who are to be members to represent the interests of the licensee and employers (other than the licensee) of members of the workforce; and</w:t>
      </w:r>
    </w:p>
    <w:p>
      <w:pPr>
        <w:pStyle w:val="nzIndenta"/>
      </w:pPr>
      <w:r>
        <w:tab/>
        <w:t>(b)</w:t>
      </w:r>
      <w:r>
        <w:tab/>
        <w:t>provide for the way in which persons who are to be members to represent the interests of members of the workforce are to be chosen.</w:t>
      </w:r>
    </w:p>
    <w:p>
      <w:pPr>
        <w:pStyle w:val="nz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nzSubsection"/>
      </w:pPr>
      <w:r>
        <w:tab/>
        <w:t>(5)</w:t>
      </w:r>
      <w:r>
        <w:tab/>
        <w:t>A safety and health committee must hold a meeting at least once every 3 months.</w:t>
      </w:r>
    </w:p>
    <w:p>
      <w:pPr>
        <w:pStyle w:val="nzSubsection"/>
      </w:pPr>
      <w:r>
        <w:tab/>
        <w:t>(6)</w:t>
      </w:r>
      <w:r>
        <w:tab/>
        <w:t>The procedure at meetings of a safety and health committee must, except to the extent provided for by the regulations, be the procedure agreed upon by the committee.</w:t>
      </w:r>
    </w:p>
    <w:p>
      <w:pPr>
        <w:pStyle w:val="nzSubsection"/>
      </w:pPr>
      <w:r>
        <w:tab/>
        <w:t>(7)</w:t>
      </w:r>
      <w:r>
        <w:tab/>
        <w:t>A safety and health committee must cause minutes of its meetings to be kept, and must retain those minutes for a period of not less than 3 years.</w:t>
      </w:r>
    </w:p>
    <w:p>
      <w:pPr>
        <w:pStyle w:val="nzSubsection"/>
      </w:pPr>
      <w:r>
        <w:tab/>
        <w:t>(8)</w:t>
      </w:r>
      <w:r>
        <w:tab/>
        <w:t>This clause does not prevent a licensee from establishing, in consultation with registered unions or any other persons, committees concerned with occupational safety and health in relation to undertakings carried on by the licensee.</w:t>
      </w:r>
    </w:p>
    <w:p>
      <w:pPr>
        <w:pStyle w:val="nzHeading5"/>
      </w:pPr>
      <w:r>
        <w:t>40.</w:t>
      </w:r>
      <w:r>
        <w:rPr>
          <w:b w:val="0"/>
        </w:rPr>
        <w:tab/>
      </w:r>
      <w:r>
        <w:t>Functions of safety and health committees</w:t>
      </w:r>
    </w:p>
    <w:p>
      <w:pPr>
        <w:pStyle w:val="nzSubsection"/>
      </w:pPr>
      <w:r>
        <w:tab/>
        <w:t>(1)</w:t>
      </w:r>
      <w:r>
        <w:tab/>
        <w:t xml:space="preserve">A safety and health committee has the following functions — </w:t>
      </w:r>
    </w:p>
    <w:p>
      <w:pPr>
        <w:pStyle w:val="nzIndenta"/>
      </w:pPr>
      <w:r>
        <w:tab/>
        <w:t>(a)</w:t>
      </w:r>
      <w:r>
        <w:tab/>
        <w:t xml:space="preserve">to assist the licensee for the pipeline operation concerned — </w:t>
      </w:r>
    </w:p>
    <w:p>
      <w:pPr>
        <w:pStyle w:val="nzIndenti"/>
      </w:pPr>
      <w:r>
        <w:tab/>
        <w:t>(i)</w:t>
      </w:r>
      <w:r>
        <w:tab/>
        <w:t>to develop and implement measures designed to protect; and</w:t>
      </w:r>
    </w:p>
    <w:p>
      <w:pPr>
        <w:pStyle w:val="nzIndenti"/>
      </w:pPr>
      <w:r>
        <w:tab/>
        <w:t>(ii)</w:t>
      </w:r>
      <w:r>
        <w:tab/>
        <w:t>to review and update measures used to protect,</w:t>
      </w:r>
    </w:p>
    <w:p>
      <w:pPr>
        <w:pStyle w:val="nzIndenta"/>
      </w:pPr>
      <w:r>
        <w:tab/>
      </w:r>
      <w:r>
        <w:tab/>
        <w:t>the safety and health at work of members of the workforce;</w:t>
      </w:r>
    </w:p>
    <w:p>
      <w:pPr>
        <w:pStyle w:val="nzIndenta"/>
      </w:pPr>
      <w:r>
        <w:tab/>
        <w:t>(b)</w:t>
      </w:r>
      <w:r>
        <w:tab/>
        <w:t>to facilitate cooperation between the licensee for the pipeline operation, employers (other than the licensee) of members of the workforce, and members of the workforce, in relation to occupational safety and health matters;</w:t>
      </w:r>
    </w:p>
    <w:p>
      <w:pPr>
        <w:pStyle w:val="nzIndenta"/>
      </w:pPr>
      <w:r>
        <w:tab/>
        <w:t>(c)</w:t>
      </w:r>
      <w:r>
        <w:tab/>
        <w:t>to assist the licensee to disseminate among members of the workforce, in appropriate languages, information relating to safety and health at work;</w:t>
      </w:r>
    </w:p>
    <w:p>
      <w:pPr>
        <w:pStyle w:val="nzIndenta"/>
      </w:pPr>
      <w:r>
        <w:tab/>
        <w:t>(d)</w:t>
      </w:r>
      <w:r>
        <w:tab/>
        <w:t>any prescribed functions;</w:t>
      </w:r>
    </w:p>
    <w:p>
      <w:pPr>
        <w:pStyle w:val="nzIndenta"/>
      </w:pPr>
      <w:r>
        <w:tab/>
        <w:t>(e)</w:t>
      </w:r>
      <w:r>
        <w:tab/>
        <w:t>any other functions that are agreed between the licensee and the safety and health committee.</w:t>
      </w:r>
    </w:p>
    <w:p>
      <w:pPr>
        <w:pStyle w:val="nzSubsection"/>
      </w:pPr>
      <w:r>
        <w:tab/>
        <w:t>(2)</w:t>
      </w:r>
      <w:r>
        <w:tab/>
        <w:t>A safety and health committee has power to do all things necessary or convenient to be done for, or in connection with, the performance of its functions.</w:t>
      </w:r>
    </w:p>
    <w:p>
      <w:pPr>
        <w:pStyle w:val="nzSubsection"/>
      </w:pPr>
      <w:r>
        <w:tab/>
        <w:t>(3)</w:t>
      </w:r>
      <w:r>
        <w:tab/>
        <w:t xml:space="preserve">This Schedule does not — </w:t>
      </w:r>
    </w:p>
    <w:p>
      <w:pPr>
        <w:pStyle w:val="nzIndenta"/>
      </w:pPr>
      <w:r>
        <w:tab/>
        <w:t>(a)</w:t>
      </w:r>
      <w:r>
        <w:tab/>
        <w:t>impose an obligation on a person to do any act, because the person is a member of a safety and health committee, in connection with the performance of a function conferred on the committee; or</w:t>
      </w:r>
    </w:p>
    <w:p>
      <w:pPr>
        <w:pStyle w:val="nzIndenta"/>
      </w:pPr>
      <w:r>
        <w:tab/>
        <w:t>(b)</w:t>
      </w:r>
      <w:r>
        <w:tab/>
        <w:t xml:space="preserve">render such a person liable in civil proceedings because of — </w:t>
      </w:r>
    </w:p>
    <w:p>
      <w:pPr>
        <w:pStyle w:val="nzIndenti"/>
      </w:pPr>
      <w:r>
        <w:tab/>
        <w:t>(i)</w:t>
      </w:r>
      <w:r>
        <w:tab/>
        <w:t>a failure to do such an act; or</w:t>
      </w:r>
    </w:p>
    <w:p>
      <w:pPr>
        <w:pStyle w:val="nzIndenti"/>
      </w:pPr>
      <w:r>
        <w:tab/>
        <w:t>(ii)</w:t>
      </w:r>
      <w:r>
        <w:tab/>
        <w:t>the manner in which such an act was done.</w:t>
      </w:r>
    </w:p>
    <w:p>
      <w:pPr>
        <w:pStyle w:val="nzHeading5"/>
      </w:pPr>
      <w:r>
        <w:t>41.</w:t>
      </w:r>
      <w:r>
        <w:rPr>
          <w:b w:val="0"/>
        </w:rPr>
        <w:tab/>
      </w:r>
      <w:r>
        <w:t>Duties of the licensee and other employers in relation to safety and health committees</w:t>
      </w:r>
    </w:p>
    <w:p>
      <w:pPr>
        <w:pStyle w:val="nzSubsection"/>
      </w:pPr>
      <w:r>
        <w:tab/>
        <w:t>(1)</w:t>
      </w:r>
      <w:r>
        <w:tab/>
        <w:t xml:space="preserve">If there is a safety and health committee, the licensee and any employer (other than the licensee) of a member of the workforce must — </w:t>
      </w:r>
    </w:p>
    <w:p>
      <w:pPr>
        <w:pStyle w:val="nzIndenta"/>
      </w:pPr>
      <w:r>
        <w:tab/>
        <w:t>(a)</w:t>
      </w:r>
      <w:r>
        <w:tab/>
        <w:t>make available to the committee any information possessed by the licensee or that employer relating to risks to safety and health to members of the workforce; and</w:t>
      </w:r>
    </w:p>
    <w:p>
      <w:pPr>
        <w:pStyle w:val="nz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nzSubsection"/>
      </w:pPr>
      <w:r>
        <w:tab/>
        <w:t>(2)</w:t>
      </w:r>
      <w:r>
        <w:tab/>
        <w:t>Subclause (1)(a) has effect subject to subclauses (3) and (4).</w:t>
      </w:r>
    </w:p>
    <w:p>
      <w:pPr>
        <w:pStyle w:val="nzSubsection"/>
      </w:pPr>
      <w:r>
        <w:tab/>
        <w:t>(3)</w:t>
      </w:r>
      <w:r>
        <w:tab/>
        <w:t xml:space="preserve">The licensee or any employer (other than the licensee) of a member of the workforce must not make available to a safety and health committee information of a confidential nature relating to a person who is or was a member of the workforce, unless — </w:t>
      </w:r>
    </w:p>
    <w:p>
      <w:pPr>
        <w:pStyle w:val="nzIndenta"/>
      </w:pPr>
      <w:r>
        <w:tab/>
        <w:t>(a)</w:t>
      </w:r>
      <w:r>
        <w:tab/>
        <w:t>the person has authorised the information to be made available to the committee; or</w:t>
      </w:r>
    </w:p>
    <w:p>
      <w:pPr>
        <w:pStyle w:val="nzIndenta"/>
      </w:pPr>
      <w:r>
        <w:tab/>
        <w:t>(b)</w:t>
      </w:r>
      <w:r>
        <w:tab/>
        <w:t>the information is in a form that does not identify the person or enable the identity of the person to be discovered.</w:t>
      </w:r>
    </w:p>
    <w:p>
      <w:pPr>
        <w:pStyle w:val="nzSubsection"/>
      </w:pPr>
      <w:r>
        <w:tab/>
        <w:t>(4)</w:t>
      </w:r>
      <w:r>
        <w:tab/>
        <w:t>The licensee or any employer (other than the licensee) of a member of the workforce is not required to make available to a safety and health committee any information in respect of which the licensee or employer is entitled to claim, and does claim, legal professional privilege.</w:t>
      </w:r>
    </w:p>
    <w:p>
      <w:pPr>
        <w:pStyle w:val="nzHeading4"/>
      </w:pPr>
      <w:bookmarkStart w:id="446" w:name="_Toc112746374"/>
      <w:bookmarkStart w:id="447" w:name="_Toc112746499"/>
      <w:r>
        <w:t>Subdivision </w:t>
      </w:r>
      <w:r>
        <w:rPr>
          <w:bCs/>
        </w:rPr>
        <w:t>5</w:t>
      </w:r>
      <w:r>
        <w:rPr>
          <w:b w:val="0"/>
        </w:rPr>
        <w:t> — </w:t>
      </w:r>
      <w:r>
        <w:rPr>
          <w:bCs/>
        </w:rPr>
        <w:t>Emergency</w:t>
      </w:r>
      <w:r>
        <w:t xml:space="preserve"> procedures</w:t>
      </w:r>
      <w:bookmarkEnd w:id="446"/>
      <w:bookmarkEnd w:id="447"/>
    </w:p>
    <w:p>
      <w:pPr>
        <w:pStyle w:val="nzHeading5"/>
      </w:pPr>
      <w:r>
        <w:t>42.</w:t>
      </w:r>
      <w:r>
        <w:rPr>
          <w:b w:val="0"/>
        </w:rPr>
        <w:tab/>
      </w:r>
      <w:r>
        <w:t>Action by safety and health representatives</w:t>
      </w:r>
    </w:p>
    <w:p>
      <w:pPr>
        <w:pStyle w:val="nzSubsection"/>
      </w:pPr>
      <w:r>
        <w:tab/>
        <w:t>(1)</w:t>
      </w:r>
      <w:r>
        <w:tab/>
        <w:t xml:space="preserve">If a safety and health representative for a designated work group has reasonable cause to believe that there is an imminent and serious danger to the safety or health of any person engaged in the pipeline operation or any other protected person unless a group member or group members cease to perform particular work, the representative must — </w:t>
      </w:r>
    </w:p>
    <w:p>
      <w:pPr>
        <w:pStyle w:val="nzIndenta"/>
      </w:pPr>
      <w:r>
        <w:tab/>
        <w:t>(a)</w:t>
      </w:r>
      <w:r>
        <w:tab/>
        <w:t xml:space="preserve">inform a person (a </w:t>
      </w:r>
      <w:r>
        <w:rPr>
          <w:b/>
        </w:rPr>
        <w:t>“</w:t>
      </w:r>
      <w:r>
        <w:rPr>
          <w:rStyle w:val="CharDefText"/>
        </w:rPr>
        <w:t>supervisor</w:t>
      </w:r>
      <w:r>
        <w:rPr>
          <w:b/>
        </w:rPr>
        <w:t>”</w:t>
      </w:r>
      <w:r>
        <w:t>) supervising the group member or group members in the performance of the work of the danger; or</w:t>
      </w:r>
    </w:p>
    <w:p>
      <w:pPr>
        <w:pStyle w:val="nzIndenta"/>
      </w:pPr>
      <w:r>
        <w:tab/>
        <w:t>(b)</w:t>
      </w:r>
      <w:r>
        <w:tab/>
        <w:t xml:space="preserve">if no supervisor can be contacted immediately — </w:t>
      </w:r>
    </w:p>
    <w:p>
      <w:pPr>
        <w:pStyle w:val="nzIndenti"/>
      </w:pPr>
      <w:r>
        <w:tab/>
        <w:t>(i)</w:t>
      </w:r>
      <w:r>
        <w:tab/>
        <w:t>direct the group member or group members to cease, in a safe manner, to perform the work; and</w:t>
      </w:r>
    </w:p>
    <w:p>
      <w:pPr>
        <w:pStyle w:val="nzIndenti"/>
      </w:pPr>
      <w:r>
        <w:tab/>
        <w:t>(ii)</w:t>
      </w:r>
      <w:r>
        <w:tab/>
        <w:t>as soon as practicable, inform a supervisor that the direction has been given.</w:t>
      </w:r>
    </w:p>
    <w:p>
      <w:pPr>
        <w:pStyle w:val="nzSubsection"/>
      </w:pPr>
      <w:r>
        <w:tab/>
        <w:t>(2)</w:t>
      </w:r>
      <w:r>
        <w:tab/>
        <w:t>If a supervisor is informed under subclause (1)(a) of a danger to the safety or health of a person engaged in the pipeline operation or any other protected person, the supervisor must take the action he or she thinks appropriate to remove that danger, which may include directing a group member or group members to cease, in a safe manner, to perform the work.</w:t>
      </w:r>
    </w:p>
    <w:p>
      <w:pPr>
        <w:pStyle w:val="nzSubsection"/>
      </w:pPr>
      <w:r>
        <w:tab/>
        <w:t>(3)</w:t>
      </w:r>
      <w:r>
        <w:tab/>
        <w:t xml:space="preserve">If — </w:t>
      </w:r>
    </w:p>
    <w:p>
      <w:pPr>
        <w:pStyle w:val="nzIndenta"/>
      </w:pPr>
      <w:r>
        <w:tab/>
        <w:t>(a)</w:t>
      </w:r>
      <w:r>
        <w:tab/>
        <w:t>a safety and health representative has informed a supervisor under subclause (1)(a) of a danger; and</w:t>
      </w:r>
    </w:p>
    <w:p>
      <w:pPr>
        <w:pStyle w:val="nzIndenta"/>
      </w:pPr>
      <w:r>
        <w:tab/>
        <w:t>(b)</w:t>
      </w:r>
      <w:r>
        <w:tab/>
        <w:t>the representative has reasonable cause to believe that, despite any action taken by the supervisor in accordance with subclause (2), there continues to be an imminent and serious danger to the safety or health of a person engaged in the pipeline operation or any other protected person unless the group member or group members cease to perform particular work,</w:t>
      </w:r>
    </w:p>
    <w:p>
      <w:pPr>
        <w:pStyle w:val="nzSubsection"/>
      </w:pPr>
      <w:r>
        <w:tab/>
      </w:r>
      <w:r>
        <w:tab/>
        <w:t xml:space="preserve">the representative must — </w:t>
      </w:r>
    </w:p>
    <w:p>
      <w:pPr>
        <w:pStyle w:val="nzIndenta"/>
      </w:pPr>
      <w:r>
        <w:tab/>
        <w:t>(c)</w:t>
      </w:r>
      <w:r>
        <w:tab/>
        <w:t>direct the group member or group members to cease, in a safe manner, to perform the work; and</w:t>
      </w:r>
    </w:p>
    <w:p>
      <w:pPr>
        <w:pStyle w:val="nzIndenta"/>
      </w:pPr>
      <w:r>
        <w:tab/>
        <w:t>(d)</w:t>
      </w:r>
      <w:r>
        <w:tab/>
        <w:t>as soon as practicable, inform the supervisor that the direction has been given.</w:t>
      </w:r>
    </w:p>
    <w:p>
      <w:pPr>
        <w:pStyle w:val="nzSubsection"/>
      </w:pPr>
      <w:r>
        <w:tab/>
        <w:t>(4)</w:t>
      </w:r>
      <w:r>
        <w:tab/>
        <w:t xml:space="preserve">If — </w:t>
      </w:r>
    </w:p>
    <w:p>
      <w:pPr>
        <w:pStyle w:val="nz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nzIndenta"/>
      </w:pPr>
      <w:r>
        <w:tab/>
        <w:t>(b)</w:t>
      </w:r>
      <w:r>
        <w:tab/>
        <w:t>a safety and health representative gives a direction under subclause (3)(c),</w:t>
      </w:r>
    </w:p>
    <w:p>
      <w:pPr>
        <w:pStyle w:val="nzSubsection"/>
      </w:pPr>
      <w:r>
        <w:tab/>
      </w:r>
      <w:r>
        <w:tab/>
        <w:t>the representative or the supervisor may request an inspector that an inspection be conducted of the work that is the subject of the direction.</w:t>
      </w:r>
    </w:p>
    <w:p>
      <w:pPr>
        <w:pStyle w:val="nz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nzSubsection"/>
      </w:pPr>
      <w:r>
        <w:tab/>
        <w:t>(6)</w:t>
      </w:r>
      <w:r>
        <w:tab/>
        <w:t>This clause does not limit the power of a safety and health representative under clause 32(1)(a)(iii) to request an inspector that an inspection be conducted at the workplace.</w:t>
      </w:r>
    </w:p>
    <w:p>
      <w:pPr>
        <w:pStyle w:val="nzHeading5"/>
      </w:pPr>
      <w:r>
        <w:t>43.</w:t>
      </w:r>
      <w:r>
        <w:rPr>
          <w:b w:val="0"/>
        </w:rPr>
        <w:tab/>
      </w:r>
      <w:r>
        <w:t>Directions to perform other work</w:t>
      </w:r>
    </w:p>
    <w:p>
      <w:pPr>
        <w:pStyle w:val="nzSubsection"/>
      </w:pPr>
      <w:r>
        <w:tab/>
      </w:r>
      <w:r>
        <w:tab/>
        <w:t xml:space="preserve">If — </w:t>
      </w:r>
    </w:p>
    <w:p>
      <w:pPr>
        <w:pStyle w:val="nzIndenta"/>
      </w:pPr>
      <w:r>
        <w:tab/>
        <w:t>(a)</w:t>
      </w:r>
      <w:r>
        <w:tab/>
        <w:t>a group member who is an employee has ceased to perform work, in accordance with the direction of a safety and health representative under clause 42(1)(b) or (3)(c); and</w:t>
      </w:r>
    </w:p>
    <w:p>
      <w:pPr>
        <w:pStyle w:val="nzIndenta"/>
      </w:pPr>
      <w:r>
        <w:tab/>
        <w:t>(b)</w:t>
      </w:r>
      <w:r>
        <w:tab/>
        <w:t xml:space="preserve">the cessation of work does not continue after — </w:t>
      </w:r>
    </w:p>
    <w:p>
      <w:pPr>
        <w:pStyle w:val="nzIndenti"/>
      </w:pPr>
      <w:r>
        <w:tab/>
        <w:t>(i)</w:t>
      </w:r>
      <w:r>
        <w:tab/>
        <w:t>the safety and health representative has agreed with a person supervising work at the workplace where the work was being performed that the cessation of work was not, or is no longer, necessary; or</w:t>
      </w:r>
    </w:p>
    <w:p>
      <w:pPr>
        <w:pStyle w:val="nzIndenti"/>
      </w:pPr>
      <w:r>
        <w:tab/>
        <w:t>(ii)</w:t>
      </w:r>
      <w:r>
        <w:tab/>
        <w:t>an inspector has, under clause 42(5), made a decision to the effect that the employee should perform the work,</w:t>
      </w:r>
    </w:p>
    <w:p>
      <w:pPr>
        <w:pStyle w:val="nz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nzHeading4"/>
      </w:pPr>
      <w:bookmarkStart w:id="448" w:name="_Toc112746375"/>
      <w:bookmarkStart w:id="449" w:name="_Toc112746500"/>
      <w:r>
        <w:t>Subdivision </w:t>
      </w:r>
      <w:r>
        <w:rPr>
          <w:bCs/>
        </w:rPr>
        <w:t>6 — Exemptions</w:t>
      </w:r>
      <w:bookmarkEnd w:id="448"/>
      <w:bookmarkEnd w:id="449"/>
    </w:p>
    <w:p>
      <w:pPr>
        <w:pStyle w:val="nzHeading5"/>
      </w:pPr>
      <w:r>
        <w:t>44.</w:t>
      </w:r>
      <w:r>
        <w:rPr>
          <w:b w:val="0"/>
        </w:rPr>
        <w:tab/>
      </w:r>
      <w:r>
        <w:t>Exemptions</w:t>
      </w:r>
    </w:p>
    <w:p>
      <w:pPr>
        <w:pStyle w:val="nzSubsection"/>
      </w:pPr>
      <w:r>
        <w:tab/>
        <w:t>(1)</w:t>
      </w:r>
      <w:r>
        <w:tab/>
        <w:t>The Minister may, in accordance with the regulations, make a written order exempting a specified person or class of person from any or all of the provisions of this Division (other than this clause).</w:t>
      </w:r>
    </w:p>
    <w:p>
      <w:pPr>
        <w:pStyle w:val="nzSubsection"/>
      </w:pPr>
      <w:r>
        <w:tab/>
        <w:t>(2)</w:t>
      </w:r>
      <w:r>
        <w:tab/>
        <w:t>The Minister must not make an order under subclause (1) unless the Minister is satisfied on reasonable grounds that it is impracticable for the person to comply with the provision or provisions.</w:t>
      </w:r>
    </w:p>
    <w:p>
      <w:pPr>
        <w:pStyle w:val="nzHeading3"/>
      </w:pPr>
      <w:bookmarkStart w:id="450" w:name="_Toc112746376"/>
      <w:bookmarkStart w:id="451" w:name="_Toc112746501"/>
      <w:r>
        <w:t>Division 4</w:t>
      </w:r>
      <w:r>
        <w:rPr>
          <w:b w:val="0"/>
        </w:rPr>
        <w:t> — </w:t>
      </w:r>
      <w:r>
        <w:t>Inspections</w:t>
      </w:r>
      <w:bookmarkEnd w:id="450"/>
      <w:bookmarkEnd w:id="451"/>
    </w:p>
    <w:p>
      <w:pPr>
        <w:pStyle w:val="nzHeading4"/>
      </w:pPr>
      <w:bookmarkStart w:id="452" w:name="_Toc112746377"/>
      <w:bookmarkStart w:id="453" w:name="_Toc112746502"/>
      <w:r>
        <w:t>Subdivision 1</w:t>
      </w:r>
      <w:r>
        <w:rPr>
          <w:b w:val="0"/>
        </w:rPr>
        <w:t> — </w:t>
      </w:r>
      <w:r>
        <w:t>Introduction</w:t>
      </w:r>
      <w:bookmarkEnd w:id="452"/>
      <w:bookmarkEnd w:id="453"/>
    </w:p>
    <w:p>
      <w:pPr>
        <w:pStyle w:val="nzHeading5"/>
      </w:pPr>
      <w:r>
        <w:t>45.</w:t>
      </w:r>
      <w:r>
        <w:rPr>
          <w:b w:val="0"/>
        </w:rPr>
        <w:tab/>
      </w:r>
      <w:r>
        <w:t>Simplified outline</w:t>
      </w:r>
    </w:p>
    <w:p>
      <w:pPr>
        <w:pStyle w:val="nzSubsection"/>
      </w:pPr>
      <w:r>
        <w:tab/>
      </w:r>
      <w:r>
        <w:tab/>
        <w:t xml:space="preserve">The following is a simplified outline of this Division — </w:t>
      </w:r>
    </w:p>
    <w:p>
      <w:pPr>
        <w:pStyle w:val="nzSubsection"/>
        <w:numPr>
          <w:ilvl w:val="0"/>
          <w:numId w:val="15"/>
        </w:numPr>
        <w:tabs>
          <w:tab w:val="clear" w:pos="1162"/>
          <w:tab w:val="clear" w:pos="1315"/>
          <w:tab w:val="clear" w:pos="1446"/>
          <w:tab w:val="left" w:pos="1843"/>
        </w:tabs>
        <w:ind w:left="1843" w:hanging="425"/>
      </w:pPr>
      <w:r>
        <w:t xml:space="preserve">An inspector may conduct an inspection — </w:t>
      </w:r>
    </w:p>
    <w:p>
      <w:pPr>
        <w:pStyle w:val="nzIndenta"/>
        <w:tabs>
          <w:tab w:val="clear" w:pos="1899"/>
          <w:tab w:val="clear" w:pos="2183"/>
          <w:tab w:val="right" w:pos="2127"/>
          <w:tab w:val="left" w:pos="2410"/>
        </w:tabs>
        <w:ind w:left="2410" w:hanging="1078"/>
      </w:pPr>
      <w:r>
        <w:tab/>
        <w:t>(a)</w:t>
      </w:r>
      <w:r>
        <w:tab/>
        <w:t>to ascertain whether a listed OSH law is being complied with;</w:t>
      </w:r>
    </w:p>
    <w:p>
      <w:pPr>
        <w:pStyle w:val="nzIndenta"/>
        <w:tabs>
          <w:tab w:val="clear" w:pos="1899"/>
          <w:tab w:val="clear" w:pos="2183"/>
          <w:tab w:val="right" w:pos="2127"/>
          <w:tab w:val="left" w:pos="2410"/>
        </w:tabs>
        <w:ind w:left="2410" w:hanging="1078"/>
      </w:pPr>
      <w:r>
        <w:tab/>
        <w:t>(b)</w:t>
      </w:r>
      <w:r>
        <w:tab/>
        <w:t>concerning a contravention or a possible contravention of a listed OSH law; or</w:t>
      </w:r>
    </w:p>
    <w:p>
      <w:pPr>
        <w:pStyle w:val="nzIndenta"/>
        <w:tabs>
          <w:tab w:val="clear" w:pos="1899"/>
          <w:tab w:val="clear" w:pos="2183"/>
          <w:tab w:val="right" w:pos="2127"/>
          <w:tab w:val="left" w:pos="2410"/>
        </w:tabs>
        <w:ind w:left="2410" w:hanging="1078"/>
      </w:pPr>
      <w:r>
        <w:tab/>
        <w:t>(c)</w:t>
      </w:r>
      <w:r>
        <w:tab/>
        <w:t>concerning an accident or dangerous occurrence that has arisen out of a pipeline operation.</w:t>
      </w:r>
    </w:p>
    <w:p>
      <w:pPr>
        <w:pStyle w:val="nzSubsection"/>
        <w:numPr>
          <w:ilvl w:val="0"/>
          <w:numId w:val="15"/>
        </w:numPr>
        <w:tabs>
          <w:tab w:val="clear" w:pos="1162"/>
          <w:tab w:val="clear" w:pos="1315"/>
          <w:tab w:val="clear" w:pos="1446"/>
          <w:tab w:val="left" w:pos="1843"/>
        </w:tabs>
        <w:ind w:left="1843" w:hanging="425"/>
      </w:pPr>
      <w:r>
        <w:t>An inspector may issue a prohibition notice to the licensee for a pipeline operation in order to remove an immediate threat to the safety and health of any person.</w:t>
      </w:r>
    </w:p>
    <w:p>
      <w:pPr>
        <w:pStyle w:val="nzSubsection"/>
        <w:numPr>
          <w:ilvl w:val="0"/>
          <w:numId w:val="15"/>
        </w:numPr>
        <w:tabs>
          <w:tab w:val="clear" w:pos="1162"/>
          <w:tab w:val="clear" w:pos="1315"/>
          <w:tab w:val="clear" w:pos="1446"/>
          <w:tab w:val="left" w:pos="1843"/>
        </w:tabs>
        <w:ind w:left="1843" w:hanging="425"/>
      </w:pPr>
      <w:r>
        <w:t>An inspector may issue an improvement notice specifying action that is to be taken to prevent contravention of a listed OSH law.</w:t>
      </w:r>
    </w:p>
    <w:p>
      <w:pPr>
        <w:pStyle w:val="nzSubsection"/>
        <w:numPr>
          <w:ilvl w:val="0"/>
          <w:numId w:val="15"/>
        </w:numPr>
        <w:tabs>
          <w:tab w:val="clear" w:pos="1162"/>
          <w:tab w:val="clear" w:pos="1315"/>
          <w:tab w:val="clear" w:pos="1446"/>
          <w:tab w:val="left" w:pos="1843"/>
        </w:tabs>
        <w:ind w:left="1843" w:hanging="425"/>
      </w:pPr>
      <w:r>
        <w:t>An inspector must prepare a report about an inspection and give the report to the Minister.</w:t>
      </w:r>
    </w:p>
    <w:p>
      <w:pPr>
        <w:pStyle w:val="nzHeading5"/>
      </w:pPr>
      <w:r>
        <w:t>46.</w:t>
      </w:r>
      <w:r>
        <w:rPr>
          <w:b w:val="0"/>
        </w:rPr>
        <w:tab/>
      </w:r>
      <w:r>
        <w:t>Powers, functions and duties of inspectors</w:t>
      </w:r>
    </w:p>
    <w:p>
      <w:pPr>
        <w:pStyle w:val="nzSubsection"/>
      </w:pPr>
      <w:r>
        <w:tab/>
        <w:t>(1)</w:t>
      </w:r>
      <w:r>
        <w:tab/>
        <w:t>An inspector has the powers, functions and duties conferred or imposed by each listed OSH law.</w:t>
      </w:r>
    </w:p>
    <w:p>
      <w:pPr>
        <w:pStyle w:val="nzSubsection"/>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nz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nzHeading4"/>
      </w:pPr>
      <w:bookmarkStart w:id="454" w:name="_Toc112746378"/>
      <w:bookmarkStart w:id="455" w:name="_Toc112746503"/>
      <w:r>
        <w:t>Subdivision 2</w:t>
      </w:r>
      <w:r>
        <w:rPr>
          <w:b w:val="0"/>
        </w:rPr>
        <w:t> — </w:t>
      </w:r>
      <w:r>
        <w:t>Inspections</w:t>
      </w:r>
      <w:bookmarkEnd w:id="454"/>
      <w:bookmarkEnd w:id="455"/>
    </w:p>
    <w:p>
      <w:pPr>
        <w:pStyle w:val="nzHeading5"/>
      </w:pPr>
      <w:r>
        <w:t>47.</w:t>
      </w:r>
      <w:r>
        <w:rPr>
          <w:b w:val="0"/>
        </w:rPr>
        <w:tab/>
      </w:r>
      <w:r>
        <w:t>Inspections</w:t>
      </w:r>
    </w:p>
    <w:p>
      <w:pPr>
        <w:pStyle w:val="nzSubsection"/>
      </w:pPr>
      <w:r>
        <w:tab/>
        <w:t>(1)</w:t>
      </w:r>
      <w:r>
        <w:tab/>
        <w:t xml:space="preserve">An inspector may, at any time, conduct an inspection — </w:t>
      </w:r>
    </w:p>
    <w:p>
      <w:pPr>
        <w:pStyle w:val="nzIndenta"/>
      </w:pPr>
      <w:r>
        <w:tab/>
        <w:t>(a)</w:t>
      </w:r>
      <w:r>
        <w:tab/>
        <w:t xml:space="preserve">to ascertain whether a requirement of, or any requirement properly made under, a listed OSH law is being complied with; </w:t>
      </w:r>
    </w:p>
    <w:p>
      <w:pPr>
        <w:pStyle w:val="nzIndenta"/>
      </w:pPr>
      <w:r>
        <w:tab/>
        <w:t>(b)</w:t>
      </w:r>
      <w:r>
        <w:tab/>
        <w:t>concerning a contravention or a possible contravention of a listed OSH law; or</w:t>
      </w:r>
    </w:p>
    <w:p>
      <w:pPr>
        <w:pStyle w:val="nzIndenta"/>
      </w:pPr>
      <w:r>
        <w:tab/>
        <w:t>(c)</w:t>
      </w:r>
      <w:r>
        <w:tab/>
        <w:t>concerning an accident or dangerous occurrence that has arisen out of a pipeline operation.</w:t>
      </w:r>
    </w:p>
    <w:p>
      <w:pPr>
        <w:pStyle w:val="nzSubsection"/>
      </w:pPr>
      <w:r>
        <w:tab/>
        <w:t>(2)</w:t>
      </w:r>
      <w:r>
        <w:tab/>
        <w:t xml:space="preserve">The Minister may direct an inspector to conduct an inspection — </w:t>
      </w:r>
    </w:p>
    <w:p>
      <w:pPr>
        <w:pStyle w:val="nzIndenta"/>
      </w:pPr>
      <w:r>
        <w:tab/>
        <w:t>(a)</w:t>
      </w:r>
      <w:r>
        <w:tab/>
        <w:t xml:space="preserve">to ascertain whether a requirement of, or any requirement properly made under, a listed OSH law is being complied with; </w:t>
      </w:r>
    </w:p>
    <w:p>
      <w:pPr>
        <w:pStyle w:val="nzIndenta"/>
      </w:pPr>
      <w:r>
        <w:tab/>
        <w:t>(b)</w:t>
      </w:r>
      <w:r>
        <w:tab/>
        <w:t>concerning a contravention or a possible contravention of a listed OSH law; or</w:t>
      </w:r>
    </w:p>
    <w:p>
      <w:pPr>
        <w:pStyle w:val="nzIndenta"/>
      </w:pPr>
      <w:r>
        <w:tab/>
        <w:t>(c)</w:t>
      </w:r>
      <w:r>
        <w:tab/>
        <w:t xml:space="preserve">concerning an accident or dangerous occurrence that has arisen out of a pipeline operation, </w:t>
      </w:r>
    </w:p>
    <w:p>
      <w:pPr>
        <w:pStyle w:val="nzSubsection"/>
      </w:pPr>
      <w:r>
        <w:tab/>
      </w:r>
      <w:r>
        <w:tab/>
        <w:t>and the inspector must, unless the Minister revokes the direction, conduct an inspection accordingly.</w:t>
      </w:r>
    </w:p>
    <w:p>
      <w:pPr>
        <w:pStyle w:val="nzHeading4"/>
      </w:pPr>
      <w:bookmarkStart w:id="456" w:name="_Toc112746379"/>
      <w:bookmarkStart w:id="457" w:name="_Toc112746504"/>
      <w:r>
        <w:t>Subdivision </w:t>
      </w:r>
      <w:r>
        <w:rPr>
          <w:bCs/>
        </w:rPr>
        <w:t xml:space="preserve">3 — Powers </w:t>
      </w:r>
      <w:r>
        <w:t>of inspectors in relation to the conduct of inspections</w:t>
      </w:r>
      <w:bookmarkEnd w:id="456"/>
      <w:bookmarkEnd w:id="457"/>
    </w:p>
    <w:p>
      <w:pPr>
        <w:pStyle w:val="nzHeading5"/>
      </w:pPr>
      <w:r>
        <w:t>48.</w:t>
      </w:r>
      <w:r>
        <w:rPr>
          <w:b w:val="0"/>
        </w:rPr>
        <w:tab/>
      </w:r>
      <w:r>
        <w:t>Powers of entry and search — places at which pipeline operations are carried on</w:t>
      </w:r>
    </w:p>
    <w:p>
      <w:pPr>
        <w:pStyle w:val="nzSubsection"/>
      </w:pPr>
      <w:r>
        <w:tab/>
        <w:t>(1)</w:t>
      </w:r>
      <w:r>
        <w:tab/>
        <w:t xml:space="preserve">An inspector may, for the purposes of an inspection, at any reasonable time during the day or night — </w:t>
      </w:r>
    </w:p>
    <w:p>
      <w:pPr>
        <w:pStyle w:val="nzIndenta"/>
      </w:pPr>
      <w:r>
        <w:tab/>
        <w:t>(a)</w:t>
      </w:r>
      <w:r>
        <w:tab/>
        <w:t xml:space="preserve">enter the place at which a pipeline operation is carried on and to which the inspection relates and do all or any of the following — </w:t>
      </w:r>
    </w:p>
    <w:p>
      <w:pPr>
        <w:pStyle w:val="nzIndenti"/>
      </w:pPr>
      <w:r>
        <w:tab/>
        <w:t>(i)</w:t>
      </w:r>
      <w:r>
        <w:tab/>
        <w:t>search the place;</w:t>
      </w:r>
    </w:p>
    <w:p>
      <w:pPr>
        <w:pStyle w:val="nzIndenti"/>
      </w:pPr>
      <w:r>
        <w:tab/>
        <w:t>(ii)</w:t>
      </w:r>
      <w:r>
        <w:tab/>
        <w:t>inspect, examine, take measurements of, or conduct tests concerning, any workplace, pipeline, plant, substance or thing at the place;</w:t>
      </w:r>
    </w:p>
    <w:p>
      <w:pPr>
        <w:pStyle w:val="nzIndenti"/>
      </w:pPr>
      <w:r>
        <w:tab/>
        <w:t>(iii)</w:t>
      </w:r>
      <w:r>
        <w:tab/>
        <w:t>take photographs of, make video recordings of, or make sketches of, any workplace, pipeline, plant, substance or thing at the place;</w:t>
      </w:r>
    </w:p>
    <w:p>
      <w:pPr>
        <w:pStyle w:val="nzIndenti"/>
      </w:pPr>
      <w:r>
        <w:tab/>
        <w:t>(iv)</w:t>
      </w:r>
      <w:r>
        <w:tab/>
        <w:t>inspect, take extracts from, or make copies of, any documents at the place that the inspector has reasonable grounds to believe relate, or are likely to relate, to the subject matter of the inspection;</w:t>
      </w:r>
    </w:p>
    <w:p>
      <w:pPr>
        <w:pStyle w:val="nzIndenta"/>
      </w:pPr>
      <w:r>
        <w:tab/>
      </w:r>
      <w:r>
        <w:tab/>
        <w:t>and</w:t>
      </w:r>
    </w:p>
    <w:p>
      <w:pPr>
        <w:pStyle w:val="nzIndenta"/>
      </w:pPr>
      <w:r>
        <w:tab/>
        <w:t>(b)</w:t>
      </w:r>
      <w:r>
        <w:tab/>
        <w:t>inspect the subsoil in the vicinity of the place to which the inspection relates.</w:t>
      </w:r>
    </w:p>
    <w:p>
      <w:pPr>
        <w:pStyle w:val="nzSubsection"/>
      </w:pPr>
      <w:r>
        <w:tab/>
        <w:t>(2)</w:t>
      </w:r>
      <w:r>
        <w:tab/>
        <w:t xml:space="preserve">Immediately on entering a place at which a pipeline operation is carried on for the purposes of an inspection, an inspector must take reasonable steps to notify the purpose of entering the place to — </w:t>
      </w:r>
    </w:p>
    <w:p>
      <w:pPr>
        <w:pStyle w:val="nzIndenta"/>
      </w:pPr>
      <w:r>
        <w:tab/>
        <w:t>(a)</w:t>
      </w:r>
      <w:r>
        <w:tab/>
        <w:t>the licensee’s representative; and</w:t>
      </w:r>
    </w:p>
    <w:p>
      <w:pPr>
        <w:pStyle w:val="nzIndenta"/>
      </w:pPr>
      <w:r>
        <w:tab/>
        <w:t>(b)</w:t>
      </w:r>
      <w:r>
        <w:tab/>
        <w:t>if there is a safety and health representative for a designated work group having a group member likely to be affected by the matter the subject of the inspection — that representative,</w:t>
      </w:r>
    </w:p>
    <w:p>
      <w:pPr>
        <w:pStyle w:val="nzSubsection"/>
      </w:pPr>
      <w:r>
        <w:tab/>
      </w:r>
      <w:r>
        <w:tab/>
        <w:t xml:space="preserve">and must, on being requested to do so by the person referred to in paragraph (a) or (b), produce for inspection by that person — </w:t>
      </w:r>
    </w:p>
    <w:p>
      <w:pPr>
        <w:pStyle w:val="nzIndenta"/>
      </w:pPr>
      <w:r>
        <w:tab/>
        <w:t>(c)</w:t>
      </w:r>
      <w:r>
        <w:tab/>
        <w:t xml:space="preserve">the inspector’s certificate of appointment under section 62(2); </w:t>
      </w:r>
    </w:p>
    <w:p>
      <w:pPr>
        <w:pStyle w:val="nzIndenta"/>
      </w:pPr>
      <w:r>
        <w:tab/>
        <w:t>(d)</w:t>
      </w:r>
      <w:r>
        <w:tab/>
        <w:t>a copy of the Minister’s written direction (if any) to conduct the inspection; and</w:t>
      </w:r>
    </w:p>
    <w:p>
      <w:pPr>
        <w:pStyle w:val="nzIndenta"/>
      </w:pPr>
      <w:r>
        <w:tab/>
        <w:t>(e)</w:t>
      </w:r>
      <w:r>
        <w:tab/>
        <w:t>a copy of the restrictions (if any) imposed on the powers of the inspector under clause 46(3).</w:t>
      </w:r>
    </w:p>
    <w:p>
      <w:pPr>
        <w:pStyle w:val="nz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nzHeading5"/>
      </w:pPr>
      <w:r>
        <w:t>49.</w:t>
      </w:r>
      <w:r>
        <w:rPr>
          <w:b w:val="0"/>
        </w:rPr>
        <w:tab/>
      </w:r>
      <w:r>
        <w:t>Powers of entry and search — regulated business premises (other than places where pipeline operations carried on)</w:t>
      </w:r>
    </w:p>
    <w:p>
      <w:pPr>
        <w:pStyle w:val="nzSubsection"/>
      </w:pPr>
      <w:r>
        <w:tab/>
        <w:t>(1)</w:t>
      </w:r>
      <w:r>
        <w:tab/>
        <w:t xml:space="preserve">An inspector may, for the purposes of an inspection — </w:t>
      </w:r>
    </w:p>
    <w:p>
      <w:pPr>
        <w:pStyle w:val="nzIndenta"/>
      </w:pPr>
      <w:r>
        <w:tab/>
        <w:t>(a)</w:t>
      </w:r>
      <w:r>
        <w:tab/>
        <w:t>at any reasonable time, enter any regulated business premises (other than a place at which a pipeline operation is carried on) if the inspector has reasonable grounds to believe that there are likely to be at those premises documents that relate to a pipeline operation that is a subject of the inspection; and</w:t>
      </w:r>
    </w:p>
    <w:p>
      <w:pPr>
        <w:pStyle w:val="nzIndenta"/>
      </w:pPr>
      <w:r>
        <w:tab/>
        <w:t>(b)</w:t>
      </w:r>
      <w:r>
        <w:tab/>
        <w:t>search for, inspect, take extracts from, or make copies of, any such documents at those premises.</w:t>
      </w:r>
    </w:p>
    <w:p>
      <w:pPr>
        <w:pStyle w:val="nz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nzIndenta"/>
      </w:pPr>
      <w:r>
        <w:tab/>
        <w:t>(a)</w:t>
      </w:r>
      <w:r>
        <w:tab/>
        <w:t xml:space="preserve">the inspector’s certificate of appointment under section 62(2); </w:t>
      </w:r>
    </w:p>
    <w:p>
      <w:pPr>
        <w:pStyle w:val="nzIndenta"/>
      </w:pPr>
      <w:r>
        <w:tab/>
        <w:t>(b)</w:t>
      </w:r>
      <w:r>
        <w:tab/>
        <w:t>a copy of the Minister’s written direction (if any) to conduct the inspection; and</w:t>
      </w:r>
    </w:p>
    <w:p>
      <w:pPr>
        <w:pStyle w:val="nzIndenta"/>
      </w:pPr>
      <w:r>
        <w:tab/>
        <w:t>(c)</w:t>
      </w:r>
      <w:r>
        <w:tab/>
        <w:t>a copy of the restrictions (if any) imposed on the powers of the inspector under clause 46(3).</w:t>
      </w:r>
    </w:p>
    <w:p>
      <w:pPr>
        <w:pStyle w:val="nzHeading5"/>
      </w:pPr>
      <w:r>
        <w:t>50.</w:t>
      </w:r>
      <w:r>
        <w:rPr>
          <w:b w:val="0"/>
        </w:rPr>
        <w:tab/>
      </w:r>
      <w:r>
        <w:t>Powers of entry and search — premises (other than regulated business premises)</w:t>
      </w:r>
    </w:p>
    <w:p>
      <w:pPr>
        <w:pStyle w:val="nzSubsection"/>
      </w:pPr>
      <w:r>
        <w:tab/>
        <w:t>(1)</w:t>
      </w:r>
      <w:r>
        <w:tab/>
        <w:t xml:space="preserve">An inspector may, for the purposes of an inspection — </w:t>
      </w:r>
    </w:p>
    <w:p>
      <w:pPr>
        <w:pStyle w:val="nzIndenta"/>
      </w:pPr>
      <w:r>
        <w:tab/>
        <w:t>(a)</w:t>
      </w:r>
      <w:r>
        <w:tab/>
        <w:t>enter any premises (other than regulated business premises) if the inspector has reasonable grounds to believe that there are likely to be at those premises documents that relate to a pipeline operation that is the subject of the inspection; and</w:t>
      </w:r>
    </w:p>
    <w:p>
      <w:pPr>
        <w:pStyle w:val="nzIndenta"/>
      </w:pPr>
      <w:r>
        <w:tab/>
        <w:t>(b)</w:t>
      </w:r>
      <w:r>
        <w:tab/>
        <w:t>search for, inspect, take extracts from, or make copies of, any such documents at those premises.</w:t>
      </w:r>
    </w:p>
    <w:p>
      <w:pPr>
        <w:pStyle w:val="nzSubsection"/>
      </w:pPr>
      <w:r>
        <w:tab/>
        <w:t>(2)</w:t>
      </w:r>
      <w:r>
        <w:tab/>
        <w:t xml:space="preserve">An inspector may exercise the powers referred to in subclause (1) to enter premises only — </w:t>
      </w:r>
    </w:p>
    <w:p>
      <w:pPr>
        <w:pStyle w:val="nzIndenta"/>
      </w:pPr>
      <w:r>
        <w:tab/>
        <w:t>(a)</w:t>
      </w:r>
      <w:r>
        <w:tab/>
        <w:t xml:space="preserve">if the premises are not a residence — </w:t>
      </w:r>
    </w:p>
    <w:p>
      <w:pPr>
        <w:pStyle w:val="nzIndenti"/>
      </w:pPr>
      <w:r>
        <w:tab/>
        <w:t>(i)</w:t>
      </w:r>
      <w:r>
        <w:tab/>
        <w:t>in accordance with a warrant under clause 51; and</w:t>
      </w:r>
    </w:p>
    <w:p>
      <w:pPr>
        <w:pStyle w:val="nzIndenti"/>
      </w:pPr>
      <w:r>
        <w:tab/>
        <w:t>(ii)</w:t>
      </w:r>
      <w:r>
        <w:tab/>
        <w:t xml:space="preserve">with the consent of the occupier of the premises; </w:t>
      </w:r>
    </w:p>
    <w:p>
      <w:pPr>
        <w:pStyle w:val="nzIndenta"/>
      </w:pPr>
      <w:r>
        <w:tab/>
      </w:r>
      <w:r>
        <w:tab/>
        <w:t>or</w:t>
      </w:r>
    </w:p>
    <w:p>
      <w:pPr>
        <w:pStyle w:val="nzIndenta"/>
      </w:pPr>
      <w:r>
        <w:tab/>
        <w:t>(b)</w:t>
      </w:r>
      <w:r>
        <w:tab/>
        <w:t>if the premises are a residence — with the consent of the occupier of the premises.</w:t>
      </w:r>
    </w:p>
    <w:p>
      <w:pPr>
        <w:pStyle w:val="nzSubsection"/>
      </w:pPr>
      <w:r>
        <w:tab/>
        <w:t>(3)</w:t>
      </w:r>
      <w:r>
        <w:tab/>
        <w:t xml:space="preserve">Immediately on entering premises referred to in subclause (1), an inspector must — </w:t>
      </w:r>
    </w:p>
    <w:p>
      <w:pPr>
        <w:pStyle w:val="nzIndenta"/>
      </w:pPr>
      <w:r>
        <w:tab/>
        <w:t>(a)</w:t>
      </w:r>
      <w:r>
        <w:tab/>
        <w:t xml:space="preserve">take reasonable steps to notify the purpose of the entry to the occupier of those premises; </w:t>
      </w:r>
    </w:p>
    <w:p>
      <w:pPr>
        <w:pStyle w:val="nzIndenta"/>
      </w:pPr>
      <w:r>
        <w:tab/>
        <w:t>(b)</w:t>
      </w:r>
      <w:r>
        <w:tab/>
        <w:t>take reasonable steps to produce, for inspection by the occupier, the inspector’s certificate of appointment under section 62(2); and</w:t>
      </w:r>
    </w:p>
    <w:p>
      <w:pPr>
        <w:pStyle w:val="nzIndenta"/>
      </w:pPr>
      <w:r>
        <w:tab/>
        <w:t>(c)</w:t>
      </w:r>
      <w:r>
        <w:tab/>
        <w:t xml:space="preserve">on being requested to do so by the occupier, produce, for inspection by the occupier — </w:t>
      </w:r>
    </w:p>
    <w:p>
      <w:pPr>
        <w:pStyle w:val="nzIndenti"/>
      </w:pPr>
      <w:r>
        <w:tab/>
        <w:t>(i)</w:t>
      </w:r>
      <w:r>
        <w:tab/>
        <w:t>a copy of the Minister’s written direction (if any) to conduct the inspection; and</w:t>
      </w:r>
    </w:p>
    <w:p>
      <w:pPr>
        <w:pStyle w:val="nzIndenti"/>
      </w:pPr>
      <w:r>
        <w:tab/>
        <w:t>(ii)</w:t>
      </w:r>
      <w:r>
        <w:tab/>
        <w:t>a copy of the restrictions (if any) imposed on the powers of the inspector under clause 46(3).</w:t>
      </w:r>
    </w:p>
    <w:p>
      <w:pPr>
        <w:pStyle w:val="nzSubsection"/>
      </w:pPr>
      <w:r>
        <w:tab/>
        <w:t>(4)</w:t>
      </w:r>
      <w:r>
        <w:tab/>
        <w:t xml:space="preserve">If — </w:t>
      </w:r>
    </w:p>
    <w:p>
      <w:pPr>
        <w:pStyle w:val="nzIndenta"/>
      </w:pPr>
      <w:r>
        <w:tab/>
        <w:t>(a)</w:t>
      </w:r>
      <w:r>
        <w:tab/>
        <w:t>an inspector enters premises in accordance with a warrant under clause 51; and</w:t>
      </w:r>
    </w:p>
    <w:p>
      <w:pPr>
        <w:pStyle w:val="nzIndenta"/>
      </w:pPr>
      <w:r>
        <w:tab/>
        <w:t>(b)</w:t>
      </w:r>
      <w:r>
        <w:tab/>
        <w:t>the occupier of the premises is present at the premises,</w:t>
      </w:r>
    </w:p>
    <w:p>
      <w:pPr>
        <w:pStyle w:val="nzSubsection"/>
      </w:pPr>
      <w:r>
        <w:tab/>
      </w:r>
      <w:r>
        <w:tab/>
        <w:t>the inspector must make a copy of the warrant available to the occupier.</w:t>
      </w:r>
    </w:p>
    <w:p>
      <w:pPr>
        <w:pStyle w:val="nzSubsection"/>
      </w:pPr>
      <w:r>
        <w:tab/>
        <w:t>(5)</w:t>
      </w:r>
      <w:r>
        <w:tab/>
        <w:t xml:space="preserve">Before obtaining the consent of a person as mentioned in subclause (2)(a) or (b), an inspector must inform the person that — </w:t>
      </w:r>
    </w:p>
    <w:p>
      <w:pPr>
        <w:pStyle w:val="nzIndenta"/>
      </w:pPr>
      <w:r>
        <w:tab/>
        <w:t>(a)</w:t>
      </w:r>
      <w:r>
        <w:tab/>
        <w:t>the person may refuse consent; and</w:t>
      </w:r>
    </w:p>
    <w:p>
      <w:pPr>
        <w:pStyle w:val="nzIndenta"/>
      </w:pPr>
      <w:r>
        <w:tab/>
        <w:t>(b)</w:t>
      </w:r>
      <w:r>
        <w:tab/>
        <w:t>the consent may be withdrawn.</w:t>
      </w:r>
    </w:p>
    <w:p>
      <w:pPr>
        <w:pStyle w:val="nzSubsection"/>
      </w:pPr>
      <w:r>
        <w:tab/>
        <w:t>(6)</w:t>
      </w:r>
      <w:r>
        <w:tab/>
        <w:t>The consent of a person is not effective for the purposes of subclause (2) unless the consent is voluntary.</w:t>
      </w:r>
    </w:p>
    <w:p>
      <w:pPr>
        <w:pStyle w:val="nzHeading5"/>
      </w:pPr>
      <w:r>
        <w:t>51.</w:t>
      </w:r>
      <w:r>
        <w:rPr>
          <w:b w:val="0"/>
        </w:rPr>
        <w:tab/>
      </w:r>
      <w:r>
        <w:t>Warrant to enter premises (other than regulated business premises)</w:t>
      </w:r>
    </w:p>
    <w:p>
      <w:pPr>
        <w:pStyle w:val="nz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nzSubsection"/>
      </w:pPr>
      <w:r>
        <w:tab/>
        <w:t>(2)</w:t>
      </w:r>
      <w:r>
        <w:tab/>
        <w:t>The application must be supported by evidence on oath (whether oral or by affidavit) that sets out the grounds on which the inspector is applying for the warrant.</w:t>
      </w:r>
    </w:p>
    <w:p>
      <w:pPr>
        <w:pStyle w:val="nzSubsection"/>
      </w:pPr>
      <w:r>
        <w:tab/>
        <w:t>(3)</w:t>
      </w:r>
      <w:r>
        <w:tab/>
        <w:t>If the magistrate is satisfied that there are reasonable grounds for issuing the warrant, the magistrate may issue the warrant.</w:t>
      </w:r>
    </w:p>
    <w:p>
      <w:pPr>
        <w:pStyle w:val="nzSubsection"/>
      </w:pPr>
      <w:r>
        <w:tab/>
        <w:t>(4)</w:t>
      </w:r>
      <w:r>
        <w:tab/>
        <w:t xml:space="preserve">A warrant issued under subclause (3) must state — </w:t>
      </w:r>
    </w:p>
    <w:p>
      <w:pPr>
        <w:pStyle w:val="nzIndenta"/>
      </w:pPr>
      <w:r>
        <w:tab/>
        <w:t>(a)</w:t>
      </w:r>
      <w:r>
        <w:tab/>
        <w:t xml:space="preserve">the name of the inspector; </w:t>
      </w:r>
    </w:p>
    <w:p>
      <w:pPr>
        <w:pStyle w:val="nzIndenta"/>
      </w:pPr>
      <w:r>
        <w:tab/>
        <w:t>(b)</w:t>
      </w:r>
      <w:r>
        <w:tab/>
        <w:t xml:space="preserve">whether the inspection may be carried out at any time or only during specified hours of the day; </w:t>
      </w:r>
    </w:p>
    <w:p>
      <w:pPr>
        <w:pStyle w:val="nzIndenta"/>
      </w:pPr>
      <w:r>
        <w:tab/>
        <w:t>(c)</w:t>
      </w:r>
      <w:r>
        <w:tab/>
        <w:t>the day on which the warrant ceases to have effect; and</w:t>
      </w:r>
    </w:p>
    <w:p>
      <w:pPr>
        <w:pStyle w:val="nzIndenta"/>
      </w:pPr>
      <w:r>
        <w:tab/>
        <w:t>(d)</w:t>
      </w:r>
      <w:r>
        <w:tab/>
        <w:t>the purposes for which the warrant is issued.</w:t>
      </w:r>
    </w:p>
    <w:p>
      <w:pPr>
        <w:pStyle w:val="nzSubsection"/>
      </w:pPr>
      <w:r>
        <w:tab/>
        <w:t>(5)</w:t>
      </w:r>
      <w:r>
        <w:tab/>
        <w:t>The day specified under subclause (4)(c) is not to be more than 7 days after the day on which the warrant is issued.</w:t>
      </w:r>
    </w:p>
    <w:p>
      <w:pPr>
        <w:pStyle w:val="nzSubsection"/>
      </w:pPr>
      <w:r>
        <w:tab/>
        <w:t>(6)</w:t>
      </w:r>
      <w:r>
        <w:tab/>
        <w:t>The purposes specified under subclause (4)(d) must include the identification of the premises in relation to which the warrant is issued.</w:t>
      </w:r>
    </w:p>
    <w:p>
      <w:pPr>
        <w:pStyle w:val="nzHeading5"/>
      </w:pPr>
      <w:r>
        <w:t>52.</w:t>
      </w:r>
      <w:r>
        <w:rPr>
          <w:b w:val="0"/>
        </w:rPr>
        <w:tab/>
      </w:r>
      <w:r>
        <w:t>Obstructing or hindering inspector</w:t>
      </w:r>
    </w:p>
    <w:p>
      <w:pPr>
        <w:pStyle w:val="nzSubsection"/>
      </w:pPr>
      <w:r>
        <w:tab/>
      </w:r>
      <w:r>
        <w:tab/>
        <w:t>A person must not, without reasonable excuse, obstruct or hinder an inspector in the exercise of an inspector’s powers under clause 48, 49 or 50.</w:t>
      </w:r>
    </w:p>
    <w:p>
      <w:pPr>
        <w:pStyle w:val="nzPenstart"/>
      </w:pPr>
      <w:r>
        <w:tab/>
        <w:t>Penalty:</w:t>
      </w:r>
      <w:r>
        <w:tab/>
        <w:t>$5 500.</w:t>
      </w:r>
    </w:p>
    <w:p>
      <w:pPr>
        <w:pStyle w:val="nzHeading5"/>
      </w:pPr>
      <w:r>
        <w:t>53.</w:t>
      </w:r>
      <w:r>
        <w:rPr>
          <w:b w:val="0"/>
        </w:rPr>
        <w:tab/>
      </w:r>
      <w:r>
        <w:t>Power to require assistance and information</w:t>
      </w:r>
    </w:p>
    <w:p>
      <w:pPr>
        <w:pStyle w:val="nzSubsection"/>
      </w:pPr>
      <w:r>
        <w:tab/>
        <w:t>(1)</w:t>
      </w:r>
      <w:r>
        <w:tab/>
        <w:t xml:space="preserve">An inspector may, to the extent that it is reasonably necessary to do so in connection with the conduct of an inspection, require — </w:t>
      </w:r>
    </w:p>
    <w:p>
      <w:pPr>
        <w:pStyle w:val="nzIndenta"/>
      </w:pPr>
      <w:r>
        <w:tab/>
        <w:t>(a)</w:t>
      </w:r>
      <w:r>
        <w:tab/>
        <w:t xml:space="preserve">the licensee for a pipeline operation; </w:t>
      </w:r>
    </w:p>
    <w:p>
      <w:pPr>
        <w:pStyle w:val="nzIndenta"/>
      </w:pPr>
      <w:r>
        <w:tab/>
        <w:t>(b)</w:t>
      </w:r>
      <w:r>
        <w:tab/>
        <w:t xml:space="preserve">the person in charge of a pipeline operation; </w:t>
      </w:r>
    </w:p>
    <w:p>
      <w:pPr>
        <w:pStyle w:val="nzIndenta"/>
      </w:pPr>
      <w:r>
        <w:tab/>
        <w:t>(c)</w:t>
      </w:r>
      <w:r>
        <w:tab/>
        <w:t>a member of the workforce engaged in a pipeline operation; or</w:t>
      </w:r>
    </w:p>
    <w:p>
      <w:pPr>
        <w:pStyle w:val="nzIndenta"/>
      </w:pPr>
      <w:r>
        <w:tab/>
        <w:t>(d)</w:t>
      </w:r>
      <w:r>
        <w:tab/>
        <w:t>any person representing a person referred to in paragraph (a) or (b),</w:t>
      </w:r>
    </w:p>
    <w:p>
      <w:pPr>
        <w:pStyle w:val="nzSubsection"/>
      </w:pPr>
      <w:r>
        <w:tab/>
      </w:r>
      <w:r>
        <w:tab/>
        <w:t xml:space="preserve">to provide the inspector with reasonable assistance and amenities — </w:t>
      </w:r>
    </w:p>
    <w:p>
      <w:pPr>
        <w:pStyle w:val="nzIndenta"/>
      </w:pPr>
      <w:r>
        <w:tab/>
        <w:t>(e)</w:t>
      </w:r>
      <w:r>
        <w:tab/>
        <w:t>that is or are reasonably connected with the conduct of the inspection in relation to the pipeline operation; or</w:t>
      </w:r>
    </w:p>
    <w:p>
      <w:pPr>
        <w:pStyle w:val="nzIndenta"/>
      </w:pPr>
      <w:r>
        <w:tab/>
        <w:t>(f)</w:t>
      </w:r>
      <w:r>
        <w:tab/>
        <w:t>for the effective exercise of the inspector’s powers under this Schedule in connection with the conduct of the inspection in relation to the pipeline operation.</w:t>
      </w:r>
    </w:p>
    <w:p>
      <w:pPr>
        <w:pStyle w:val="nzSubsection"/>
      </w:pPr>
      <w:r>
        <w:tab/>
        <w:t>(2)</w:t>
      </w:r>
      <w:r>
        <w:tab/>
        <w:t xml:space="preserve">The reasonable assistance referred to in subclause (1) includes, so far as the licensee for a pipeline operation is concerned — </w:t>
      </w:r>
    </w:p>
    <w:p>
      <w:pPr>
        <w:pStyle w:val="nzIndenta"/>
      </w:pPr>
      <w:r>
        <w:tab/>
        <w:t>(a)</w:t>
      </w:r>
      <w:r>
        <w:tab/>
        <w:t>appropriate transport for the inspector to and from the place to be inspected and for any equipment required by the inspector, or any article of which the inspector has taken possession; and</w:t>
      </w:r>
    </w:p>
    <w:p>
      <w:pPr>
        <w:pStyle w:val="nzIndenta"/>
      </w:pPr>
      <w:r>
        <w:tab/>
        <w:t>(b)</w:t>
      </w:r>
      <w:r>
        <w:tab/>
        <w:t>reasonable accommodation and means of subsistence while the inspector is at the place to be inspected.</w:t>
      </w:r>
    </w:p>
    <w:p>
      <w:pPr>
        <w:pStyle w:val="nzSubsection"/>
      </w:pPr>
      <w:r>
        <w:tab/>
        <w:t>(3)</w:t>
      </w:r>
      <w:r>
        <w:tab/>
        <w:t>A person must not fail, without reasonable excuse, to comply with a requirement under this clause.</w:t>
      </w:r>
    </w:p>
    <w:p>
      <w:pPr>
        <w:pStyle w:val="nzPenstart"/>
      </w:pPr>
      <w:r>
        <w:tab/>
        <w:t>Penalty:</w:t>
      </w:r>
      <w:r>
        <w:tab/>
        <w:t>$3 300 or imprisonment for 6 months or both.</w:t>
      </w:r>
    </w:p>
    <w:p>
      <w:pPr>
        <w:pStyle w:val="nzHeading5"/>
      </w:pPr>
      <w:r>
        <w:t>54.</w:t>
      </w:r>
      <w:r>
        <w:rPr>
          <w:b w:val="0"/>
        </w:rPr>
        <w:tab/>
      </w:r>
      <w:r>
        <w:t>Power to require the answering of questions and the production of documents or articles</w:t>
      </w:r>
    </w:p>
    <w:p>
      <w:pPr>
        <w:pStyle w:val="nzSubsection"/>
      </w:pPr>
      <w:r>
        <w:tab/>
        <w:t>(1)</w:t>
      </w:r>
      <w:r>
        <w:tab/>
        <w:t xml:space="preserve">If — </w:t>
      </w:r>
    </w:p>
    <w:p>
      <w:pPr>
        <w:pStyle w:val="nzIndenta"/>
      </w:pPr>
      <w:r>
        <w:tab/>
        <w:t>(a)</w:t>
      </w:r>
      <w:r>
        <w:tab/>
        <w:t>an inspector believes on reasonable grounds that a person is capable of answering a question that is reasonably connected with the conduct of an inspection; and</w:t>
      </w:r>
    </w:p>
    <w:p>
      <w:pPr>
        <w:pStyle w:val="nzIndenta"/>
      </w:pPr>
      <w:r>
        <w:tab/>
        <w:t>(b)</w:t>
      </w:r>
      <w:r>
        <w:tab/>
        <w:t xml:space="preserve">the person is — </w:t>
      </w:r>
    </w:p>
    <w:p>
      <w:pPr>
        <w:pStyle w:val="nzIndenti"/>
      </w:pPr>
      <w:r>
        <w:tab/>
        <w:t>(i)</w:t>
      </w:r>
      <w:r>
        <w:tab/>
        <w:t xml:space="preserve">the licensee for a pipeline operation; </w:t>
      </w:r>
    </w:p>
    <w:p>
      <w:pPr>
        <w:pStyle w:val="nzIndenti"/>
      </w:pPr>
      <w:r>
        <w:tab/>
        <w:t>(ii)</w:t>
      </w:r>
      <w:r>
        <w:tab/>
        <w:t xml:space="preserve">the person in charge of a pipeline operation; </w:t>
      </w:r>
    </w:p>
    <w:p>
      <w:pPr>
        <w:pStyle w:val="nzIndenti"/>
      </w:pPr>
      <w:r>
        <w:tab/>
        <w:t>(iii)</w:t>
      </w:r>
      <w:r>
        <w:tab/>
        <w:t>a member of the workforce engaged in a pipeline operation; or</w:t>
      </w:r>
    </w:p>
    <w:p>
      <w:pPr>
        <w:pStyle w:val="nzIndenti"/>
      </w:pPr>
      <w:r>
        <w:tab/>
        <w:t>(iv)</w:t>
      </w:r>
      <w:r>
        <w:tab/>
        <w:t>any person representing a person referred to in subparagraph (i) or (ii),</w:t>
      </w:r>
    </w:p>
    <w:p>
      <w:pPr>
        <w:pStyle w:val="nzIndenta"/>
      </w:pPr>
      <w:r>
        <w:tab/>
      </w:r>
      <w:r>
        <w:tab/>
        <w:t>the inspector may, to the extent that it is reasonably necessary to do so in connection with the conduct of the inspection, require the person to answer the question put by the inspector.</w:t>
      </w:r>
    </w:p>
    <w:p>
      <w:pPr>
        <w:pStyle w:val="nz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nzIndenta"/>
      </w:pPr>
      <w:r>
        <w:tab/>
        <w:t>(a)</w:t>
      </w:r>
      <w:r>
        <w:tab/>
        <w:t xml:space="preserve">is in writing; </w:t>
      </w:r>
    </w:p>
    <w:p>
      <w:pPr>
        <w:pStyle w:val="nzIndenta"/>
      </w:pPr>
      <w:r>
        <w:tab/>
        <w:t>(b)</w:t>
      </w:r>
      <w:r>
        <w:tab/>
        <w:t>specifies the day on or before which the question is to be answered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(3)</w:t>
      </w:r>
      <w:r>
        <w:tab/>
        <w:t xml:space="preserve">If — </w:t>
      </w:r>
    </w:p>
    <w:p>
      <w:pPr>
        <w:pStyle w:val="nzIndenta"/>
      </w:pPr>
      <w:r>
        <w:tab/>
        <w:t>(a)</w:t>
      </w:r>
      <w:r>
        <w:tab/>
        <w:t>an inspector believes on reasonable grounds that a person is capable of producing a document or article that is reasonably connected with the conduct of an inspection; and</w:t>
      </w:r>
    </w:p>
    <w:p>
      <w:pPr>
        <w:pStyle w:val="nzIndenta"/>
      </w:pPr>
      <w:r>
        <w:tab/>
        <w:t>(b)</w:t>
      </w:r>
      <w:r>
        <w:tab/>
        <w:t xml:space="preserve">the person is — </w:t>
      </w:r>
    </w:p>
    <w:p>
      <w:pPr>
        <w:pStyle w:val="nzIndenti"/>
      </w:pPr>
      <w:r>
        <w:tab/>
        <w:t>(i)</w:t>
      </w:r>
      <w:r>
        <w:tab/>
        <w:t xml:space="preserve">the licensee for a pipeline operation; </w:t>
      </w:r>
    </w:p>
    <w:p>
      <w:pPr>
        <w:pStyle w:val="nzIndenti"/>
      </w:pPr>
      <w:r>
        <w:tab/>
        <w:t>(ii)</w:t>
      </w:r>
      <w:r>
        <w:tab/>
        <w:t xml:space="preserve">the person in charge of a pipeline operation; </w:t>
      </w:r>
    </w:p>
    <w:p>
      <w:pPr>
        <w:pStyle w:val="nzIndenti"/>
      </w:pPr>
      <w:r>
        <w:tab/>
        <w:t>(iii)</w:t>
      </w:r>
      <w:r>
        <w:tab/>
        <w:t>a member of the workforce engaged in a pipeline operation; or</w:t>
      </w:r>
    </w:p>
    <w:p>
      <w:pPr>
        <w:pStyle w:val="nzIndenti"/>
      </w:pPr>
      <w:r>
        <w:tab/>
        <w:t>(iv)</w:t>
      </w:r>
      <w:r>
        <w:tab/>
        <w:t>any person representing a person referred to in subparagraph (i) or (ii),</w:t>
      </w:r>
    </w:p>
    <w:p>
      <w:pPr>
        <w:pStyle w:val="nzSubsection"/>
      </w:pPr>
      <w:r>
        <w:tab/>
      </w:r>
      <w:r>
        <w:tab/>
        <w:t>the inspector may, to the extent that it is reasonably necessary to do so in connection with the conduct of the inspection, require the person to produce the document or article.</w:t>
      </w:r>
    </w:p>
    <w:p>
      <w:pPr>
        <w:pStyle w:val="nz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nzIndenta"/>
      </w:pPr>
      <w:r>
        <w:tab/>
        <w:t>(a)</w:t>
      </w:r>
      <w:r>
        <w:tab/>
        <w:t xml:space="preserve">is in writing; </w:t>
      </w:r>
    </w:p>
    <w:p>
      <w:pPr>
        <w:pStyle w:val="nzIndenta"/>
      </w:pPr>
      <w:r>
        <w:tab/>
        <w:t>(b)</w:t>
      </w:r>
      <w:r>
        <w:tab/>
        <w:t>specifies the day on or before which the document or article is to be produced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(5)</w:t>
      </w:r>
      <w:r>
        <w:tab/>
        <w:t xml:space="preserve">A person must not — </w:t>
      </w:r>
    </w:p>
    <w:p>
      <w:pPr>
        <w:pStyle w:val="nzIndenta"/>
      </w:pPr>
      <w:r>
        <w:tab/>
        <w:t>(a)</w:t>
      </w:r>
      <w:r>
        <w:tab/>
        <w:t>fail, without reasonable excuse, to comply with a requirement under this clause; or</w:t>
      </w:r>
    </w:p>
    <w:p>
      <w:pPr>
        <w:pStyle w:val="nzIndenta"/>
      </w:pPr>
      <w:r>
        <w:tab/>
        <w:t>(b)</w:t>
      </w:r>
      <w:r>
        <w:tab/>
        <w:t>in purported compliance with a requirement under this clause, give information that is false or misleading in a material particular.</w:t>
      </w:r>
    </w:p>
    <w:p>
      <w:pPr>
        <w:pStyle w:val="nzPenstart"/>
      </w:pPr>
      <w:r>
        <w:tab/>
        <w:t>Penalty:</w:t>
      </w:r>
      <w:r>
        <w:tab/>
        <w:t>$3 300 or imprisonment for 6 months or both.</w:t>
      </w:r>
    </w:p>
    <w:p>
      <w:pPr>
        <w:pStyle w:val="nzHeading5"/>
      </w:pPr>
      <w:r>
        <w:t>55.</w:t>
      </w:r>
      <w:r>
        <w:rPr>
          <w:b w:val="0"/>
        </w:rPr>
        <w:tab/>
      </w:r>
      <w:r>
        <w:t>Privilege against self</w:t>
      </w:r>
      <w:r>
        <w:noBreakHyphen/>
        <w:t>incrimination</w:t>
      </w:r>
    </w:p>
    <w:p>
      <w:pPr>
        <w:pStyle w:val="nz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nzSubsection"/>
      </w:pPr>
      <w:r>
        <w:tab/>
        <w:t>(2)</w:t>
      </w:r>
      <w:r>
        <w:tab/>
        <w:t xml:space="preserve">However — </w:t>
      </w:r>
    </w:p>
    <w:p>
      <w:pPr>
        <w:pStyle w:val="nzIndenta"/>
      </w:pPr>
      <w:r>
        <w:tab/>
        <w:t>(a)</w:t>
      </w:r>
      <w:r>
        <w:tab/>
        <w:t xml:space="preserve">the answer given or document or article produced; </w:t>
      </w:r>
    </w:p>
    <w:p>
      <w:pPr>
        <w:pStyle w:val="nzIndenta"/>
      </w:pPr>
      <w:r>
        <w:tab/>
        <w:t>(b)</w:t>
      </w:r>
      <w:r>
        <w:tab/>
        <w:t>answering the question or producing the document or article; or</w:t>
      </w:r>
    </w:p>
    <w:p>
      <w:pPr>
        <w:pStyle w:val="nzIndenta"/>
      </w:pPr>
      <w:r>
        <w:tab/>
        <w:t>(c)</w:t>
      </w:r>
      <w:r>
        <w:tab/>
        <w:t>any information, document or thing obtained as a direct or indirect consequence of the answering of the question or the production of the document or article,</w:t>
      </w:r>
    </w:p>
    <w:p>
      <w:pPr>
        <w:pStyle w:val="nzSubsection"/>
      </w:pPr>
      <w:r>
        <w:tab/>
      </w:r>
      <w:r>
        <w:tab/>
        <w:t xml:space="preserve">is not admissible in evidence against the person — </w:t>
      </w:r>
    </w:p>
    <w:p>
      <w:pPr>
        <w:pStyle w:val="nzIndenta"/>
      </w:pPr>
      <w:r>
        <w:tab/>
        <w:t>(d)</w:t>
      </w:r>
      <w:r>
        <w:tab/>
        <w:t>in any civil proceedings; or</w:t>
      </w:r>
    </w:p>
    <w:p>
      <w:pPr>
        <w:pStyle w:val="nzIndenta"/>
      </w:pPr>
      <w:r>
        <w:tab/>
        <w:t>(e)</w:t>
      </w:r>
      <w:r>
        <w:tab/>
        <w:t>in any criminal proceedings other than proceedings for an offence against clause 54.</w:t>
      </w:r>
    </w:p>
    <w:p>
      <w:pPr>
        <w:pStyle w:val="nzHeading5"/>
      </w:pPr>
      <w:r>
        <w:t>56.</w:t>
      </w:r>
      <w:r>
        <w:rPr>
          <w:b w:val="0"/>
        </w:rPr>
        <w:tab/>
      </w:r>
      <w:r>
        <w:t>Power to take possession of plant, take samples of substances etc.</w:t>
      </w:r>
    </w:p>
    <w:p>
      <w:pPr>
        <w:pStyle w:val="nzSubsection"/>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pipeline operation is carried out in connection with the inspection — </w:t>
      </w:r>
    </w:p>
    <w:p>
      <w:pPr>
        <w:pStyle w:val="nzIndenta"/>
      </w:pPr>
      <w:r>
        <w:tab/>
        <w:t>(a)</w:t>
      </w:r>
      <w:r>
        <w:tab/>
        <w:t>take possession of the plant, substance or thing and remove it from the place; or</w:t>
      </w:r>
    </w:p>
    <w:p>
      <w:pPr>
        <w:pStyle w:val="nzIndenta"/>
      </w:pPr>
      <w:r>
        <w:tab/>
        <w:t>(b)</w:t>
      </w:r>
      <w:r>
        <w:tab/>
        <w:t>take a sample of the substance or thing and remove that sample from the place.</w:t>
      </w:r>
    </w:p>
    <w:p>
      <w:pPr>
        <w:pStyle w:val="nzSubsection"/>
      </w:pPr>
      <w:r>
        <w:tab/>
        <w:t>(2)</w:t>
      </w:r>
      <w:r>
        <w:tab/>
        <w:t xml:space="preserve">On taking possession of plant, a substance or a thing, or taking a sample of a substance or thing, the inspector must, by notice in writing, inform — </w:t>
      </w:r>
    </w:p>
    <w:p>
      <w:pPr>
        <w:pStyle w:val="nzIndenta"/>
      </w:pPr>
      <w:r>
        <w:tab/>
        <w:t>(a)</w:t>
      </w:r>
      <w:r>
        <w:tab/>
        <w:t xml:space="preserve">the licensee for the pipeline operation; </w:t>
      </w:r>
    </w:p>
    <w:p>
      <w:pPr>
        <w:pStyle w:val="nzIndenta"/>
      </w:pPr>
      <w:r>
        <w:tab/>
        <w:t>(b)</w:t>
      </w:r>
      <w:r>
        <w:tab/>
        <w:t xml:space="preserve">if the plant, substance or thing is used for the performance of work by an employer of a member or members of the workforce engaged in the pipeline operation other than the licensee for the pipeline operation — that employer; </w:t>
      </w:r>
    </w:p>
    <w:p>
      <w:pPr>
        <w:pStyle w:val="nzIndenta"/>
      </w:pPr>
      <w:r>
        <w:tab/>
        <w:t>(c)</w:t>
      </w:r>
      <w:r>
        <w:tab/>
        <w:t>if the plant, substance or thing is owned by a person other than a person mentioned in paragraph (a) or (b) — that person; and</w:t>
      </w:r>
    </w:p>
    <w:p>
      <w:pPr>
        <w:pStyle w:val="nzIndenta"/>
      </w:pPr>
      <w:r>
        <w:tab/>
        <w:t>(d)</w:t>
      </w:r>
      <w:r>
        <w:tab/>
        <w:t>if there is a safety and health representative for a designated work group that includes a member of the workforce who is affected by the matter to which the inspection relates — that representative,</w:t>
      </w:r>
    </w:p>
    <w:p>
      <w:pPr>
        <w:pStyle w:val="nzSubsection"/>
      </w:pPr>
      <w:r>
        <w:tab/>
      </w:r>
      <w:r>
        <w:tab/>
        <w:t>of the taking of possession or the taking of the sample, as the case may be, and the reasons for it.</w:t>
      </w:r>
    </w:p>
    <w:p>
      <w:pPr>
        <w:pStyle w:val="nzSubsection"/>
      </w:pPr>
      <w:r>
        <w:tab/>
        <w:t>(3)</w:t>
      </w:r>
      <w:r>
        <w:tab/>
        <w:t>If the inspector gives the notice to the licensee for the pipeline operation to which the inspection relates, the licensee’s representative must cause the notice to be displayed in a prominent place at the workplace from which the plant, substance or thing was removed.</w:t>
      </w:r>
    </w:p>
    <w:p>
      <w:pPr>
        <w:pStyle w:val="nz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nzIndenta"/>
      </w:pPr>
      <w:r>
        <w:tab/>
        <w:t>(a)</w:t>
      </w:r>
      <w:r>
        <w:tab/>
        <w:t>ensure that the inspection, examination, measuring or testing is conducted as soon as practicable; and</w:t>
      </w:r>
    </w:p>
    <w:p>
      <w:pPr>
        <w:pStyle w:val="nzIndenta"/>
      </w:pPr>
      <w:r>
        <w:tab/>
        <w:t>(b)</w:t>
      </w:r>
      <w:r>
        <w:tab/>
        <w:t>return it to the workplace as soon as practicable afterwards.</w:t>
      </w:r>
    </w:p>
    <w:p>
      <w:pPr>
        <w:pStyle w:val="nz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nzHeading5"/>
      </w:pPr>
      <w:r>
        <w:t>57.</w:t>
      </w:r>
      <w:r>
        <w:rPr>
          <w:b w:val="0"/>
        </w:rPr>
        <w:tab/>
      </w:r>
      <w:r>
        <w:t>Power to direct that workplace etc. not be disturbed</w:t>
      </w:r>
    </w:p>
    <w:p>
      <w:pPr>
        <w:pStyle w:val="nzSubsection"/>
      </w:pPr>
      <w:r>
        <w:tab/>
        <w:t>(1)</w:t>
      </w:r>
      <w:r>
        <w:tab/>
        <w:t xml:space="preserve">An inspector may give a direction under subclause (2) if, in conducting an inspection, the inspector has reasonable grounds to believe that it is reasonably necessary to do so in order to — </w:t>
      </w:r>
    </w:p>
    <w:p>
      <w:pPr>
        <w:pStyle w:val="nzIndenta"/>
      </w:pPr>
      <w:r>
        <w:tab/>
        <w:t>(a)</w:t>
      </w:r>
      <w:r>
        <w:tab/>
        <w:t>remove an immediate threat to the safety or health of any person; or</w:t>
      </w:r>
    </w:p>
    <w:p>
      <w:pPr>
        <w:pStyle w:val="nzIndenta"/>
      </w:pPr>
      <w:r>
        <w:tab/>
        <w:t>(b)</w:t>
      </w:r>
      <w:r>
        <w:tab/>
        <w:t>allow the inspection, examination or taking of measurements of, or conducting of tests concerning, a pipeline, or any plant, substance or thing, for use in a pipeline operation.</w:t>
      </w:r>
    </w:p>
    <w:p>
      <w:pPr>
        <w:pStyle w:val="nzSubsection"/>
      </w:pPr>
      <w:r>
        <w:tab/>
        <w:t>(2)</w:t>
      </w:r>
      <w:r>
        <w:tab/>
        <w:t xml:space="preserve">If subclause (1) applies, the inspector may direct, by written notice given to the licensee’s representative, that the licensee must ensure that — </w:t>
      </w:r>
    </w:p>
    <w:p>
      <w:pPr>
        <w:pStyle w:val="nzIndenta"/>
      </w:pPr>
      <w:r>
        <w:tab/>
        <w:t>(a)</w:t>
      </w:r>
      <w:r>
        <w:tab/>
        <w:t>a particular workplace; or</w:t>
      </w:r>
    </w:p>
    <w:p>
      <w:pPr>
        <w:pStyle w:val="nzIndenta"/>
      </w:pPr>
      <w:r>
        <w:tab/>
        <w:t>(b)</w:t>
      </w:r>
      <w:r>
        <w:tab/>
        <w:t>particular plant, or a particular substance or thing,</w:t>
      </w:r>
    </w:p>
    <w:p>
      <w:pPr>
        <w:pStyle w:val="nzSubsection"/>
      </w:pPr>
      <w:r>
        <w:tab/>
      </w:r>
      <w:r>
        <w:tab/>
        <w:t>not be disturbed for a period specified in the direction.</w:t>
      </w:r>
    </w:p>
    <w:p>
      <w:pPr>
        <w:pStyle w:val="nz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nzSubsection"/>
      </w:pPr>
      <w:r>
        <w:tab/>
        <w:t>(4)</w:t>
      </w:r>
      <w:r>
        <w:tab/>
        <w:t>The direction may be renewed by another direction in the same terms.</w:t>
      </w:r>
    </w:p>
    <w:p>
      <w:pPr>
        <w:pStyle w:val="nzSubsection"/>
      </w:pPr>
      <w:r>
        <w:tab/>
        <w:t>(5)</w:t>
      </w:r>
      <w:r>
        <w:tab/>
        <w:t xml:space="preserve">If an inspector gives a notice to the licensee’s representative under subclause (2), the licensee’s representative must cause the notice to be displayed in a prominent place at the workplace — </w:t>
      </w:r>
    </w:p>
    <w:p>
      <w:pPr>
        <w:pStyle w:val="nzIndenta"/>
      </w:pPr>
      <w:r>
        <w:tab/>
        <w:t>(a)</w:t>
      </w:r>
      <w:r>
        <w:tab/>
        <w:t>that is to be left undisturbed; or</w:t>
      </w:r>
    </w:p>
    <w:p>
      <w:pPr>
        <w:pStyle w:val="nzIndenta"/>
      </w:pPr>
      <w:r>
        <w:tab/>
        <w:t>(b)</w:t>
      </w:r>
      <w:r>
        <w:tab/>
        <w:t>where the plant, substance or thing that is to be left undisturbed is located.</w:t>
      </w:r>
    </w:p>
    <w:p>
      <w:pPr>
        <w:pStyle w:val="nzSubsection"/>
      </w:pPr>
      <w:r>
        <w:tab/>
        <w:t>(6)</w:t>
      </w:r>
      <w:r>
        <w:tab/>
        <w:t xml:space="preserve">As soon as practicable after giving the direction, the inspector must take reasonable steps to notify — </w:t>
      </w:r>
    </w:p>
    <w:p>
      <w:pPr>
        <w:pStyle w:val="nzIndenta"/>
      </w:pPr>
      <w:r>
        <w:tab/>
        <w:t>(a)</w:t>
      </w:r>
      <w:r>
        <w:tab/>
        <w:t>if the workplace, plant, substance or thing to which the direction relates is owned by a person other than the licensee for the pipeline operation — that person; and</w:t>
      </w:r>
    </w:p>
    <w:p>
      <w:pPr>
        <w:pStyle w:val="nzIndenta"/>
      </w:pPr>
      <w:r>
        <w:tab/>
        <w:t>(b)</w:t>
      </w:r>
      <w:r>
        <w:tab/>
        <w:t xml:space="preserve">if there is a safety and health representative for a designated work group that includes a group member performing work — </w:t>
      </w:r>
    </w:p>
    <w:p>
      <w:pPr>
        <w:pStyle w:val="nzIndenti"/>
      </w:pPr>
      <w:r>
        <w:tab/>
        <w:t>(i)</w:t>
      </w:r>
      <w:r>
        <w:tab/>
        <w:t>at a workplace; or</w:t>
      </w:r>
    </w:p>
    <w:p>
      <w:pPr>
        <w:pStyle w:val="nzIndenti"/>
      </w:pPr>
      <w:r>
        <w:tab/>
        <w:t>(ii)</w:t>
      </w:r>
      <w:r>
        <w:tab/>
        <w:t>involving the plant, substance or thing,</w:t>
      </w:r>
    </w:p>
    <w:p>
      <w:pPr>
        <w:pStyle w:val="nzIndenta"/>
      </w:pPr>
      <w:r>
        <w:tab/>
      </w:r>
      <w:r>
        <w:tab/>
        <w:t>to which the direction relates — that representative,</w:t>
      </w:r>
    </w:p>
    <w:p>
      <w:pPr>
        <w:pStyle w:val="nzSubsection"/>
      </w:pPr>
      <w:r>
        <w:tab/>
      </w:r>
      <w:r>
        <w:tab/>
        <w:t>of the direction and the reasons for giving it.</w:t>
      </w:r>
    </w:p>
    <w:p>
      <w:pPr>
        <w:pStyle w:val="nzSubsection"/>
      </w:pPr>
      <w:r>
        <w:tab/>
        <w:t>(7)</w:t>
      </w:r>
      <w:r>
        <w:tab/>
        <w:t>The licensee for a pipeline operation to which a direction concerning a workplace, plant, substance or a thing relates must ensure that the direction is complied with.</w:t>
      </w:r>
    </w:p>
    <w:p>
      <w:pPr>
        <w:pStyle w:val="nzPenstart"/>
      </w:pPr>
      <w:r>
        <w:tab/>
        <w:t>Penalty:</w:t>
      </w:r>
      <w:r>
        <w:tab/>
        <w:t>$27 500.</w:t>
      </w:r>
    </w:p>
    <w:p>
      <w:pPr>
        <w:pStyle w:val="nzSubsection"/>
      </w:pPr>
      <w:r>
        <w:tab/>
        <w:t>(8)</w:t>
      </w:r>
      <w:r>
        <w:tab/>
        <w:t>A direction under subclause (2) must be accompanied by a statement setting out the reasons for the direction.</w:t>
      </w:r>
    </w:p>
    <w:p>
      <w:pPr>
        <w:pStyle w:val="nzHeading5"/>
      </w:pPr>
      <w:r>
        <w:t>58.</w:t>
      </w:r>
      <w:r>
        <w:rPr>
          <w:b w:val="0"/>
        </w:rPr>
        <w:tab/>
      </w:r>
      <w:r>
        <w:t>Power to issue prohibition notices</w:t>
      </w:r>
    </w:p>
    <w:p>
      <w:pPr>
        <w:pStyle w:val="nzSubsection"/>
      </w:pPr>
      <w:r>
        <w:tab/>
        <w:t>(1)</w:t>
      </w:r>
      <w:r>
        <w:tab/>
        <w:t>If, having conducted an inspection, an inspector is satisfied on reasonable grounds that it is reasonably necessary to issue a prohibition notice to the licensee for a pipeline operation in order to remove an immediate threat to the safety or health of any person, the inspector may issue a prohibition notice, in writing, to the licensee.</w:t>
      </w:r>
    </w:p>
    <w:p>
      <w:pPr>
        <w:pStyle w:val="nzSubsection"/>
      </w:pPr>
      <w:r>
        <w:tab/>
        <w:t>(2)</w:t>
      </w:r>
      <w:r>
        <w:tab/>
        <w:t>The notice must be issued to the licensee by giving it to the licensee’s representative.</w:t>
      </w:r>
    </w:p>
    <w:p>
      <w:pPr>
        <w:pStyle w:val="nzSubsection"/>
      </w:pPr>
      <w:r>
        <w:tab/>
        <w:t>(3)</w:t>
      </w:r>
      <w:r>
        <w:tab/>
        <w:t xml:space="preserve">The notice must — </w:t>
      </w:r>
    </w:p>
    <w:p>
      <w:pPr>
        <w:pStyle w:val="nzIndenta"/>
      </w:pPr>
      <w:r>
        <w:tab/>
        <w:t>(a)</w:t>
      </w:r>
      <w:r>
        <w:tab/>
        <w:t>specify the activity in respect of which, in the inspector’s opinion, the threat to safety or health has arisen, and set out the reasons for that opinion; and</w:t>
      </w:r>
    </w:p>
    <w:p>
      <w:pPr>
        <w:pStyle w:val="nzIndenta"/>
      </w:pPr>
      <w:r>
        <w:tab/>
        <w:t>(b)</w:t>
      </w:r>
      <w:r>
        <w:tab/>
        <w:t xml:space="preserve">either — </w:t>
      </w:r>
    </w:p>
    <w:p>
      <w:pPr>
        <w:pStyle w:val="nzIndenti"/>
      </w:pPr>
      <w:r>
        <w:tab/>
        <w:t>(i)</w:t>
      </w:r>
      <w:r>
        <w:tab/>
        <w:t>direct the licensee to ensure that the activity is not engaged in; or</w:t>
      </w:r>
    </w:p>
    <w:p>
      <w:pPr>
        <w:pStyle w:val="nzIndenti"/>
      </w:pPr>
      <w:r>
        <w:tab/>
        <w:t>(ii)</w:t>
      </w:r>
      <w:r>
        <w:tab/>
        <w:t>direct the licensee to ensure that the activity is not engaged in in a specified manner.</w:t>
      </w:r>
    </w:p>
    <w:p>
      <w:pPr>
        <w:pStyle w:val="nzSubsection"/>
      </w:pPr>
      <w:r>
        <w:tab/>
        <w:t>(4)</w:t>
      </w:r>
      <w:r>
        <w:tab/>
        <w:t xml:space="preserve">A specified manner may relate to any one or more of the following — </w:t>
      </w:r>
    </w:p>
    <w:p>
      <w:pPr>
        <w:pStyle w:val="nzIndenta"/>
      </w:pPr>
      <w:r>
        <w:tab/>
        <w:t>(a)</w:t>
      </w:r>
      <w:r>
        <w:tab/>
        <w:t>any workplace, or part of a workplace, at which the activity is not to be engaged in;</w:t>
      </w:r>
    </w:p>
    <w:p>
      <w:pPr>
        <w:pStyle w:val="nzIndenta"/>
      </w:pPr>
      <w:r>
        <w:tab/>
        <w:t>(b)</w:t>
      </w:r>
      <w:r>
        <w:tab/>
        <w:t>any plant or substance that is not to be used in connection with the activity;</w:t>
      </w:r>
    </w:p>
    <w:p>
      <w:pPr>
        <w:pStyle w:val="nzIndenta"/>
      </w:pPr>
      <w:r>
        <w:tab/>
        <w:t>(c)</w:t>
      </w:r>
      <w:r>
        <w:tab/>
        <w:t>any procedure that is not to be followed in connection with the activity.</w:t>
      </w:r>
    </w:p>
    <w:p>
      <w:pPr>
        <w:pStyle w:val="nzSubsection"/>
      </w:pPr>
      <w:r>
        <w:tab/>
        <w:t>(5)</w:t>
      </w:r>
      <w:r>
        <w:tab/>
        <w:t>The notice may specify action that may be taken to satisfy an inspector that adequate action has been taken to remove the threat to safety and health.</w:t>
      </w:r>
    </w:p>
    <w:p>
      <w:pPr>
        <w:pStyle w:val="nzSubsection"/>
      </w:pPr>
      <w:r>
        <w:tab/>
        <w:t>(6)</w:t>
      </w:r>
      <w:r>
        <w:tab/>
        <w:t xml:space="preserve">The licensee’s representative must — </w:t>
      </w:r>
    </w:p>
    <w:p>
      <w:pPr>
        <w:pStyle w:val="nzIndenta"/>
      </w:pPr>
      <w:r>
        <w:tab/>
        <w:t>(a)</w:t>
      </w:r>
      <w:r>
        <w:tab/>
        <w:t>give a copy of the notice to each safety and health representative (if any) for any designated work group having group members performing work that is affected by the notice; and</w:t>
      </w:r>
    </w:p>
    <w:p>
      <w:pPr>
        <w:pStyle w:val="nzIndenta"/>
      </w:pPr>
      <w:r>
        <w:tab/>
        <w:t>(b)</w:t>
      </w:r>
      <w:r>
        <w:tab/>
        <w:t>cause a copy of the notice to be displayed at a prominent place at or near each workplace at which that work is performed.</w:t>
      </w:r>
    </w:p>
    <w:p>
      <w:pPr>
        <w:pStyle w:val="nzSubsection"/>
      </w:pPr>
      <w:r>
        <w:tab/>
        <w:t>(7)</w:t>
      </w:r>
      <w:r>
        <w:tab/>
        <w:t>If the notice relates to any workplace, plant, substance or thing that is owned by a person other than the licensee, the inspector must, upon issuing the notice, give a copy of the notice to that person.</w:t>
      </w:r>
    </w:p>
    <w:p>
      <w:pPr>
        <w:pStyle w:val="nzHeading5"/>
      </w:pPr>
      <w:r>
        <w:t>59.</w:t>
      </w:r>
      <w:r>
        <w:rPr>
          <w:b w:val="0"/>
        </w:rPr>
        <w:tab/>
      </w:r>
      <w:r>
        <w:t>Compliance with prohibition notice</w:t>
      </w:r>
    </w:p>
    <w:p>
      <w:pPr>
        <w:pStyle w:val="nzSubsection"/>
      </w:pPr>
      <w:r>
        <w:tab/>
        <w:t>(1)</w:t>
      </w:r>
      <w:r>
        <w:tab/>
        <w:t>A licensee must ensure that a prohibition notice issued to the licensee is complied with.</w:t>
      </w:r>
    </w:p>
    <w:p>
      <w:pPr>
        <w:pStyle w:val="nzPenstart"/>
      </w:pPr>
      <w:r>
        <w:tab/>
        <w:t>Penalty:</w:t>
      </w:r>
      <w:r>
        <w:tab/>
        <w:t>$27 500.</w:t>
      </w:r>
    </w:p>
    <w:p>
      <w:pPr>
        <w:pStyle w:val="nzSubsection"/>
      </w:pPr>
      <w:r>
        <w:tab/>
        <w:t>(2)</w:t>
      </w:r>
      <w:r>
        <w:tab/>
        <w:t>If an inspector is satisfied that action taken by the licensee to remove the threat to safety and health in respect of which the notice was issued is not adequate, the inspector must inform the licensee accordingly.</w:t>
      </w:r>
    </w:p>
    <w:p>
      <w:pPr>
        <w:pStyle w:val="nzSubsection"/>
      </w:pPr>
      <w:r>
        <w:tab/>
        <w:t>(3)</w:t>
      </w:r>
      <w:r>
        <w:tab/>
        <w:t>A prohibition notice ceases to have effect when an inspector notifies the licensee that the inspector is satisfied that the licensee has taken adequate action to remove the threat to safety or health.</w:t>
      </w:r>
    </w:p>
    <w:p>
      <w:pPr>
        <w:pStyle w:val="nzSubsection"/>
      </w:pPr>
      <w:r>
        <w:tab/>
        <w:t>(4)</w:t>
      </w:r>
      <w:r>
        <w:tab/>
        <w:t>In making a decision under subclause (2), an inspector may exercise any of the powers of an inspector conducting an inspection that the inspector considers necessary for the purposes of making the decision.</w:t>
      </w:r>
    </w:p>
    <w:p>
      <w:pPr>
        <w:pStyle w:val="nzHeading5"/>
      </w:pPr>
      <w:r>
        <w:t>60.</w:t>
      </w:r>
      <w:r>
        <w:rPr>
          <w:b w:val="0"/>
        </w:rPr>
        <w:tab/>
      </w:r>
      <w:r>
        <w:t>Power to issue improvement notices</w:t>
      </w:r>
    </w:p>
    <w:p>
      <w:pPr>
        <w:pStyle w:val="nzSubsection"/>
      </w:pPr>
      <w:r>
        <w:tab/>
        <w:t>(1)</w:t>
      </w:r>
      <w:r>
        <w:tab/>
        <w:t xml:space="preserve">If, in conducting an inspection, an inspector believes on reasonable grounds that a person — </w:t>
      </w:r>
    </w:p>
    <w:p>
      <w:pPr>
        <w:pStyle w:val="nzIndenta"/>
      </w:pPr>
      <w:r>
        <w:tab/>
        <w:t>(a)</w:t>
      </w:r>
      <w:r>
        <w:tab/>
        <w:t>is contravening a listed OSH law; or</w:t>
      </w:r>
    </w:p>
    <w:p>
      <w:pPr>
        <w:pStyle w:val="nzIndenta"/>
      </w:pPr>
      <w:r>
        <w:tab/>
        <w:t>(b)</w:t>
      </w:r>
      <w:r>
        <w:tab/>
        <w:t>has contravened a provision of a listed OSH law and is likely to contravene that provision again,</w:t>
      </w:r>
    </w:p>
    <w:p>
      <w:pPr>
        <w:pStyle w:val="nzSubsection"/>
      </w:pPr>
      <w:r>
        <w:tab/>
      </w:r>
      <w:r>
        <w:tab/>
        <w:t xml:space="preserve">the inspector may issue an improvement notice, in writing, to the person (the </w:t>
      </w:r>
      <w:r>
        <w:rPr>
          <w:b/>
        </w:rPr>
        <w:t>“</w:t>
      </w:r>
      <w:r>
        <w:rPr>
          <w:rStyle w:val="CharDefText"/>
        </w:rPr>
        <w:t>responsible person</w:t>
      </w:r>
      <w:r>
        <w:rPr>
          <w:b/>
        </w:rPr>
        <w:t>”</w:t>
      </w:r>
      <w:r>
        <w:t>).</w:t>
      </w:r>
    </w:p>
    <w:p>
      <w:pPr>
        <w:pStyle w:val="nzSubsection"/>
      </w:pPr>
      <w:r>
        <w:tab/>
        <w:t>(2)</w:t>
      </w:r>
      <w:r>
        <w:tab/>
        <w:t>If the responsible person is the licensee, the improvement notice may be issued to the licensee by giving it to the licensee’s representative.</w:t>
      </w:r>
    </w:p>
    <w:p>
      <w:pPr>
        <w:pStyle w:val="nzSubsection"/>
      </w:pPr>
      <w:r>
        <w:tab/>
        <w:t>(3)</w:t>
      </w:r>
      <w:r>
        <w:tab/>
        <w:t xml:space="preserve">If the responsible person is an employer (other than the licensee) of members of the workforce, but it is not practicable to give the notice to that employer — </w:t>
      </w:r>
    </w:p>
    <w:p>
      <w:pPr>
        <w:pStyle w:val="nzIndenta"/>
      </w:pPr>
      <w:r>
        <w:tab/>
        <w:t>(a)</w:t>
      </w:r>
      <w:r>
        <w:tab/>
        <w:t>the improvement notice may be issued to the employer by giving it to the licensee’s representative; and</w:t>
      </w:r>
    </w:p>
    <w:p>
      <w:pPr>
        <w:pStyle w:val="nzIndenta"/>
      </w:pPr>
      <w:r>
        <w:tab/>
        <w:t>(b)</w:t>
      </w:r>
      <w:r>
        <w:tab/>
        <w:t>if the notice is so issued — the licensee must ensure that a copy of the notice is given to the employer as soon as practicable afterwards.</w:t>
      </w:r>
    </w:p>
    <w:p>
      <w:pPr>
        <w:pStyle w:val="nzSubsection"/>
      </w:pPr>
      <w:r>
        <w:tab/>
        <w:t>(4)</w:t>
      </w:r>
      <w:r>
        <w:tab/>
        <w:t xml:space="preserve">The notice — </w:t>
      </w:r>
    </w:p>
    <w:p>
      <w:pPr>
        <w:pStyle w:val="nzIndenta"/>
      </w:pPr>
      <w:r>
        <w:tab/>
        <w:t>(a)</w:t>
      </w:r>
      <w:r>
        <w:tab/>
        <w:t xml:space="preserve">must specify the contravention that the inspector believes is occurring or is likely to occur, and set out the reasons for that belief; </w:t>
      </w:r>
    </w:p>
    <w:p>
      <w:pPr>
        <w:pStyle w:val="nzIndenta"/>
      </w:pPr>
      <w:r>
        <w:tab/>
        <w:t>(b)</w:t>
      </w:r>
      <w:r>
        <w:tab/>
        <w:t>must specify a reasonable period within which the responsible person is to take the action necessary to prevent any further contravention or to prevent the likely contravention, as the case may be; and</w:t>
      </w:r>
    </w:p>
    <w:p>
      <w:pPr>
        <w:pStyle w:val="nzIndenta"/>
      </w:pPr>
      <w:r>
        <w:tab/>
        <w:t>(c)</w:t>
      </w:r>
      <w:r>
        <w:tab/>
        <w:t>may specify action that the responsible person is to take during the period specified in the notice.</w:t>
      </w:r>
    </w:p>
    <w:p>
      <w:pPr>
        <w:pStyle w:val="nzSubsection"/>
      </w:pPr>
      <w:r>
        <w:tab/>
        <w:t>(5)</w:t>
      </w:r>
      <w:r>
        <w:tab/>
        <w:t>If the inspector believes on reasonable grounds that it is appropriate to do so, the inspector may, in writing and before the end of the period, extend the period specified in the notice.</w:t>
      </w:r>
    </w:p>
    <w:p>
      <w:pPr>
        <w:pStyle w:val="nzSubsection"/>
      </w:pPr>
      <w:r>
        <w:tab/>
        <w:t>(6)</w:t>
      </w:r>
      <w:r>
        <w:tab/>
        <w:t>If an improvement notice is issued to an employer (other than the licensee) of members of the workforce in circumstances other than the circumstance referred to in subclause (3), the employer must immediately ensure that a copy of the notice is given to the licensee’s representative.</w:t>
      </w:r>
    </w:p>
    <w:p>
      <w:pPr>
        <w:pStyle w:val="nzSubsection"/>
      </w:pPr>
      <w:r>
        <w:tab/>
        <w:t>(7)</w:t>
      </w:r>
      <w:r>
        <w:tab/>
        <w:t xml:space="preserve">If a notice is issued to the licensee or to an employer (other than the licensee) of members of the workforce, the licensee’s representative must — </w:t>
      </w:r>
    </w:p>
    <w:p>
      <w:pPr>
        <w:pStyle w:val="nzIndenta"/>
      </w:pPr>
      <w:r>
        <w:tab/>
        <w:t>(a)</w:t>
      </w:r>
      <w:r>
        <w:tab/>
        <w:t>give a copy of the notice to each safety and health representative for a designated work group having group members performing work that is affected by the notice; and</w:t>
      </w:r>
    </w:p>
    <w:p>
      <w:pPr>
        <w:pStyle w:val="nzIndenta"/>
      </w:pPr>
      <w:r>
        <w:tab/>
        <w:t>(b)</w:t>
      </w:r>
      <w:r>
        <w:tab/>
        <w:t>cause a copy of the notice to be displayed in a prominent place at or near each workplace at which the work is being performed.</w:t>
      </w:r>
    </w:p>
    <w:p>
      <w:pPr>
        <w:pStyle w:val="nzSubsection"/>
      </w:pPr>
      <w:r>
        <w:tab/>
        <w:t>(8)</w:t>
      </w:r>
      <w:r>
        <w:tab/>
        <w:t xml:space="preserve">On issuing a notice, the inspector must give a copy of the notice to — </w:t>
      </w:r>
    </w:p>
    <w:p>
      <w:pPr>
        <w:pStyle w:val="nzIndenta"/>
      </w:pPr>
      <w:r>
        <w:tab/>
        <w:t>(a)</w:t>
      </w:r>
      <w:r>
        <w:tab/>
        <w:t xml:space="preserve">if the notice is — </w:t>
      </w:r>
    </w:p>
    <w:p>
      <w:pPr>
        <w:pStyle w:val="nzIndenti"/>
      </w:pPr>
      <w:r>
        <w:tab/>
        <w:t>(i)</w:t>
      </w:r>
      <w:r>
        <w:tab/>
        <w:t>given to a member of the workforce who is an employee; and</w:t>
      </w:r>
    </w:p>
    <w:p>
      <w:pPr>
        <w:pStyle w:val="nzIndenti"/>
      </w:pPr>
      <w:r>
        <w:tab/>
        <w:t>(ii)</w:t>
      </w:r>
      <w:r>
        <w:tab/>
        <w:t>in connection with work performed by the employee,</w:t>
      </w:r>
    </w:p>
    <w:p>
      <w:pPr>
        <w:pStyle w:val="nzIndenta"/>
      </w:pPr>
      <w:r>
        <w:tab/>
      </w:r>
      <w:r>
        <w:tab/>
        <w:t xml:space="preserve">the employer of that employee; </w:t>
      </w:r>
    </w:p>
    <w:p>
      <w:pPr>
        <w:pStyle w:val="nzIndenta"/>
      </w:pPr>
      <w:r>
        <w:tab/>
        <w:t>(b)</w:t>
      </w:r>
      <w:r>
        <w:tab/>
        <w:t xml:space="preserve">if the notice relates to any workplace, plant, substance or thing that is owned by a person other than — </w:t>
      </w:r>
    </w:p>
    <w:p>
      <w:pPr>
        <w:pStyle w:val="nzIndenti"/>
      </w:pPr>
      <w:r>
        <w:tab/>
        <w:t>(i)</w:t>
      </w:r>
      <w:r>
        <w:tab/>
        <w:t>a responsible person; or</w:t>
      </w:r>
    </w:p>
    <w:p>
      <w:pPr>
        <w:pStyle w:val="nzIndenti"/>
      </w:pPr>
      <w:r>
        <w:tab/>
        <w:t>(ii)</w:t>
      </w:r>
      <w:r>
        <w:tab/>
        <w:t>a person who is an employer referred to in paragraph (a),</w:t>
      </w:r>
    </w:p>
    <w:p>
      <w:pPr>
        <w:pStyle w:val="nzIndenta"/>
      </w:pPr>
      <w:r>
        <w:tab/>
      </w:r>
      <w:r>
        <w:tab/>
        <w:t>that owner; and</w:t>
      </w:r>
    </w:p>
    <w:p>
      <w:pPr>
        <w:pStyle w:val="nzIndenta"/>
      </w:pPr>
      <w:r>
        <w:tab/>
        <w:t>(c)</w:t>
      </w:r>
      <w:r>
        <w:tab/>
        <w:t xml:space="preserve">if the notice is issued to a person who owns any workplace, plant, substance or thing, because of which a contravention of a listed OSH law has occurred or is likely to occur — </w:t>
      </w:r>
    </w:p>
    <w:p>
      <w:pPr>
        <w:pStyle w:val="nzIndenti"/>
      </w:pPr>
      <w:r>
        <w:tab/>
        <w:t>(i)</w:t>
      </w:r>
      <w:r>
        <w:tab/>
        <w:t>the licensee for the pipeline operation; and</w:t>
      </w:r>
    </w:p>
    <w:p>
      <w:pPr>
        <w:pStyle w:val="nzIndenti"/>
      </w:pPr>
      <w:r>
        <w:tab/>
        <w:t>(ii)</w:t>
      </w:r>
      <w:r>
        <w:tab/>
        <w:t>if the employer of employees who work in that workplace or who use that plant, substance or thing is a person other than the licensee — that employer.</w:t>
      </w:r>
    </w:p>
    <w:p>
      <w:pPr>
        <w:pStyle w:val="nzHeading5"/>
      </w:pPr>
      <w:r>
        <w:t>61.</w:t>
      </w:r>
      <w:r>
        <w:rPr>
          <w:b w:val="0"/>
        </w:rPr>
        <w:tab/>
      </w:r>
      <w:r>
        <w:t>Compliance with improvement notice</w:t>
      </w:r>
    </w:p>
    <w:p>
      <w:pPr>
        <w:pStyle w:val="nzSubsection"/>
      </w:pPr>
      <w:r>
        <w:tab/>
      </w:r>
      <w:r>
        <w:tab/>
        <w:t>A person to whom an improvement notice is issued must comply with it to the extent that the notice relates to any matter over which the person has control.</w:t>
      </w:r>
    </w:p>
    <w:p>
      <w:pPr>
        <w:pStyle w:val="nzPenstart"/>
      </w:pPr>
      <w:r>
        <w:tab/>
        <w:t>Penalty:</w:t>
      </w:r>
      <w:r>
        <w:tab/>
        <w:t>$11 000.</w:t>
      </w:r>
    </w:p>
    <w:p>
      <w:pPr>
        <w:pStyle w:val="nzHeading5"/>
      </w:pPr>
      <w:r>
        <w:t>62.</w:t>
      </w:r>
      <w:r>
        <w:rPr>
          <w:b w:val="0"/>
        </w:rPr>
        <w:tab/>
      </w:r>
      <w:r>
        <w:t>Notices not to be tampered with or removed</w:t>
      </w:r>
    </w:p>
    <w:p>
      <w:pPr>
        <w:pStyle w:val="nzSubsection"/>
      </w:pPr>
      <w:r>
        <w:tab/>
        <w:t>(1)</w:t>
      </w:r>
      <w:r>
        <w:tab/>
        <w:t>A person must not, without reasonable excuse, tamper with any notice that has been displayed under clause 56(3), 57(5), 58(6) or 60(7) while that notice is so displayed.</w:t>
      </w:r>
    </w:p>
    <w:p>
      <w:pPr>
        <w:pStyle w:val="nz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nzSubsection"/>
      </w:pPr>
      <w:r>
        <w:tab/>
        <w:t>(3)</w:t>
      </w:r>
      <w:r>
        <w:tab/>
        <w:t>If a notice has been displayed under clause 57(5), 58(6) or 60(7), a person must not, without reasonable excuse, remove the notice before it has ceased to have effect.</w:t>
      </w:r>
    </w:p>
    <w:p>
      <w:pPr>
        <w:pStyle w:val="nzPenstart"/>
      </w:pPr>
      <w:r>
        <w:tab/>
        <w:t>Penalty applicable to subclauses (1), (2) and (3): $11 000.</w:t>
      </w:r>
    </w:p>
    <w:p>
      <w:pPr>
        <w:pStyle w:val="nzHeading4"/>
      </w:pPr>
      <w:bookmarkStart w:id="458" w:name="_Toc112746380"/>
      <w:bookmarkStart w:id="459" w:name="_Toc112746505"/>
      <w:r>
        <w:t>Subdivision </w:t>
      </w:r>
      <w:r>
        <w:rPr>
          <w:bCs/>
        </w:rPr>
        <w:t>4 — Reports</w:t>
      </w:r>
      <w:r>
        <w:t xml:space="preserve"> on inspections</w:t>
      </w:r>
      <w:bookmarkEnd w:id="458"/>
      <w:bookmarkEnd w:id="459"/>
    </w:p>
    <w:p>
      <w:pPr>
        <w:pStyle w:val="nzHeading5"/>
      </w:pPr>
      <w:r>
        <w:t>63.</w:t>
      </w:r>
      <w:r>
        <w:rPr>
          <w:b w:val="0"/>
        </w:rPr>
        <w:tab/>
      </w:r>
      <w:r>
        <w:t>Reports on inspections</w:t>
      </w:r>
    </w:p>
    <w:p>
      <w:pPr>
        <w:pStyle w:val="nzSubsection"/>
      </w:pPr>
      <w:r>
        <w:tab/>
        <w:t>(1)</w:t>
      </w:r>
      <w:r>
        <w:tab/>
        <w:t>If an inspector has conducted an inspection, the inspector must, as soon as practicable, prepare a written report relating to the inspection and give the report to the Minister.</w:t>
      </w:r>
    </w:p>
    <w:p>
      <w:pPr>
        <w:pStyle w:val="nzSubsection"/>
      </w:pPr>
      <w:r>
        <w:tab/>
        <w:t>(2)</w:t>
      </w:r>
      <w:r>
        <w:tab/>
        <w:t xml:space="preserve">The report must include — </w:t>
      </w:r>
    </w:p>
    <w:p>
      <w:pPr>
        <w:pStyle w:val="nzIndenta"/>
      </w:pPr>
      <w:r>
        <w:tab/>
        <w:t>(a)</w:t>
      </w:r>
      <w:r>
        <w:tab/>
        <w:t xml:space="preserve">the inspector’s conclusions from conducting the inspection and the reasons for those conclusions; </w:t>
      </w:r>
    </w:p>
    <w:p>
      <w:pPr>
        <w:pStyle w:val="nzIndenta"/>
      </w:pPr>
      <w:r>
        <w:tab/>
        <w:t>(b)</w:t>
      </w:r>
      <w:r>
        <w:tab/>
        <w:t>any recommendations that the inspector wishes to make arising from the inspection; and</w:t>
      </w:r>
    </w:p>
    <w:p>
      <w:pPr>
        <w:pStyle w:val="nzIndenta"/>
      </w:pPr>
      <w:r>
        <w:tab/>
        <w:t>(c)</w:t>
      </w:r>
      <w:r>
        <w:tab/>
        <w:t>any other prescribed matters.</w:t>
      </w:r>
    </w:p>
    <w:p>
      <w:pPr>
        <w:pStyle w:val="nzSubsection"/>
      </w:pPr>
      <w:r>
        <w:tab/>
        <w:t>(3)</w:t>
      </w:r>
      <w:r>
        <w:tab/>
        <w:t xml:space="preserve">As soon as practicable after receiving the report, the Minister must give a copy of the report, together with any written comments that the Minister wishes to make — </w:t>
      </w:r>
    </w:p>
    <w:p>
      <w:pPr>
        <w:pStyle w:val="nzIndenta"/>
      </w:pPr>
      <w:r>
        <w:tab/>
        <w:t>(a)</w:t>
      </w:r>
      <w:r>
        <w:tab/>
        <w:t xml:space="preserve">to the licensee for the pipeline operation to which the report relates; </w:t>
      </w:r>
    </w:p>
    <w:p>
      <w:pPr>
        <w:pStyle w:val="nzIndenta"/>
      </w:pPr>
      <w:r>
        <w:tab/>
        <w:t>(b)</w:t>
      </w:r>
      <w:r>
        <w:tab/>
        <w:t>if the report relates to activities performed by an employee of another person — that other person; and</w:t>
      </w:r>
    </w:p>
    <w:p>
      <w:pPr>
        <w:pStyle w:val="nzIndenta"/>
      </w:pPr>
      <w:r>
        <w:tab/>
        <w:t>(c)</w:t>
      </w:r>
      <w:r>
        <w:tab/>
        <w:t>if the report relates to any plant, substance or thing owned by another person — that other person.</w:t>
      </w:r>
    </w:p>
    <w:p>
      <w:pPr>
        <w:pStyle w:val="nzSubsection"/>
      </w:pPr>
      <w:r>
        <w:tab/>
        <w:t>(4)</w:t>
      </w:r>
      <w:r>
        <w:tab/>
        <w:t xml:space="preserve">The Minister may, in writing, request the licensee or any other person to whom the report is given to provide to the Minister, within a reasonable period specified in the request, details of — </w:t>
      </w:r>
    </w:p>
    <w:p>
      <w:pPr>
        <w:pStyle w:val="nzIndenta"/>
      </w:pPr>
      <w:r>
        <w:tab/>
        <w:t>(a)</w:t>
      </w:r>
      <w:r>
        <w:tab/>
        <w:t>any action proposed to be taken as a result of the conclusions or recommendations contained in the report; and</w:t>
      </w:r>
    </w:p>
    <w:p>
      <w:pPr>
        <w:pStyle w:val="nzIndenta"/>
      </w:pPr>
      <w:r>
        <w:tab/>
        <w:t>(b)</w:t>
      </w:r>
      <w:r>
        <w:tab/>
        <w:t>if a notice has been issued under clause 58 or 60 in relation to work being performed for the licensee or that other person — any action taken, or proposed to be taken, in respect of that notice,</w:t>
      </w:r>
    </w:p>
    <w:p>
      <w:pPr>
        <w:pStyle w:val="nzSubsection"/>
      </w:pPr>
      <w:r>
        <w:tab/>
      </w:r>
      <w:r>
        <w:tab/>
        <w:t>and the licensee or that other person must comply with the request.</w:t>
      </w:r>
    </w:p>
    <w:p>
      <w:pPr>
        <w:pStyle w:val="nzSubsection"/>
      </w:pPr>
      <w:r>
        <w:tab/>
        <w:t>(5)</w:t>
      </w:r>
      <w:r>
        <w:tab/>
        <w:t xml:space="preserve">As soon as practicable after receiving a report, the licensee for the pipeline operation must give a copy of the report, together with any written comment made by the Minister on the report — </w:t>
      </w:r>
    </w:p>
    <w:p>
      <w:pPr>
        <w:pStyle w:val="nzIndenta"/>
      </w:pPr>
      <w:r>
        <w:tab/>
        <w:t>(a)</w:t>
      </w:r>
      <w:r>
        <w:tab/>
        <w:t>if there is a least one safety and health committee in respect of some or all of the members of the workforce — to each such committee; and</w:t>
      </w:r>
    </w:p>
    <w:p>
      <w:pPr>
        <w:pStyle w:val="nz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nzHeading4"/>
      </w:pPr>
      <w:bookmarkStart w:id="460" w:name="_Toc112746381"/>
      <w:bookmarkStart w:id="461" w:name="_Toc112746506"/>
      <w:r>
        <w:t>Subdivision </w:t>
      </w:r>
      <w:r>
        <w:rPr>
          <w:bCs/>
        </w:rPr>
        <w:t>5 — Reviews of inspectors’ decisions</w:t>
      </w:r>
      <w:bookmarkEnd w:id="460"/>
      <w:bookmarkEnd w:id="461"/>
    </w:p>
    <w:p>
      <w:pPr>
        <w:pStyle w:val="nzHeading5"/>
      </w:pPr>
      <w:r>
        <w:t>64.</w:t>
      </w:r>
      <w:r>
        <w:rPr>
          <w:b w:val="0"/>
        </w:rPr>
        <w:tab/>
      </w:r>
      <w:r>
        <w:t>Reviews of inspectors’ decisions</w:t>
      </w:r>
    </w:p>
    <w:p>
      <w:pPr>
        <w:pStyle w:val="nzSubsection"/>
      </w:pPr>
      <w:r>
        <w:tab/>
        <w:t>(1)</w:t>
      </w:r>
      <w:r>
        <w:tab/>
        <w:t xml:space="preserve">If an inspector, in conducting an inspection or having conducted an inspection — </w:t>
      </w:r>
    </w:p>
    <w:p>
      <w:pPr>
        <w:pStyle w:val="nzIndenta"/>
      </w:pPr>
      <w:r>
        <w:tab/>
        <w:t>(a)</w:t>
      </w:r>
      <w:r>
        <w:tab/>
        <w:t xml:space="preserve">decides, under clause 37, to confirm or vary a provisional improvement notice; </w:t>
      </w:r>
    </w:p>
    <w:p>
      <w:pPr>
        <w:pStyle w:val="nzIndenta"/>
      </w:pPr>
      <w:r>
        <w:tab/>
        <w:t>(b)</w:t>
      </w:r>
      <w:r>
        <w:tab/>
        <w:t xml:space="preserve">decides, under clause 56, to take possession of plant, a substance or a thing at a workplace; </w:t>
      </w:r>
    </w:p>
    <w:p>
      <w:pPr>
        <w:pStyle w:val="nzIndenta"/>
      </w:pPr>
      <w:r>
        <w:tab/>
        <w:t>(c)</w:t>
      </w:r>
      <w:r>
        <w:tab/>
        <w:t xml:space="preserve">decides, under clause 57, to direct that a workplace, a part of a workplace, plant, a substance or a thing not be disturbed; </w:t>
      </w:r>
    </w:p>
    <w:p>
      <w:pPr>
        <w:pStyle w:val="nzIndenta"/>
      </w:pPr>
      <w:r>
        <w:tab/>
        <w:t>(d)</w:t>
      </w:r>
      <w:r>
        <w:tab/>
        <w:t xml:space="preserve">decides, under clause 58, to issue a prohibition notice; </w:t>
      </w:r>
    </w:p>
    <w:p>
      <w:pPr>
        <w:pStyle w:val="nzIndenta"/>
      </w:pPr>
      <w:r>
        <w:tab/>
        <w:t>(e)</w:t>
      </w:r>
      <w:r>
        <w:tab/>
        <w:t>decides, under clause 59, that the licensee for a pipeline operation to whom a prohibition notice has been issued has not taken adequate action to remove the threat to safety and health that caused the notice to be issued; or</w:t>
      </w:r>
    </w:p>
    <w:p>
      <w:pPr>
        <w:pStyle w:val="nzIndenta"/>
      </w:pPr>
      <w:r>
        <w:tab/>
        <w:t>(f)</w:t>
      </w:r>
      <w:r>
        <w:tab/>
        <w:t>decides, under clause 60, to issue an improvement notice,</w:t>
      </w:r>
    </w:p>
    <w:p>
      <w:pPr>
        <w:pStyle w:val="nzSubsection"/>
      </w:pPr>
      <w:r>
        <w:tab/>
      </w:r>
      <w:r>
        <w:tab/>
        <w:t>a person referred to in subclause (2) may apply in writing to the reviewing authority for a review of the decision.</w:t>
      </w:r>
    </w:p>
    <w:p>
      <w:pPr>
        <w:pStyle w:val="nzSubsection"/>
      </w:pPr>
      <w:r>
        <w:tab/>
        <w:t>(2)</w:t>
      </w:r>
      <w:r>
        <w:tab/>
        <w:t xml:space="preserve">The following persons may apply for a review of a decision, as is relevant to the case — </w:t>
      </w:r>
    </w:p>
    <w:p>
      <w:pPr>
        <w:pStyle w:val="nzIndenta"/>
      </w:pPr>
      <w:r>
        <w:tab/>
        <w:t>(a)</w:t>
      </w:r>
      <w:r>
        <w:tab/>
        <w:t xml:space="preserve">the licensee for the pipeline operation or any employer (other than the licensee) who is affected by the decision; </w:t>
      </w:r>
    </w:p>
    <w:p>
      <w:pPr>
        <w:pStyle w:val="nzIndenta"/>
      </w:pPr>
      <w:r>
        <w:tab/>
        <w:t>(b)</w:t>
      </w:r>
      <w:r>
        <w:tab/>
        <w:t xml:space="preserve">a person to whom a notice has been issued under clause 36(2) or 60(1); </w:t>
      </w:r>
    </w:p>
    <w:p>
      <w:pPr>
        <w:pStyle w:val="nzIndenta"/>
      </w:pPr>
      <w:r>
        <w:tab/>
        <w:t>(c)</w:t>
      </w:r>
      <w:r>
        <w:tab/>
        <w:t xml:space="preserve">the safety and health representative for a designated work group having a group member affected by the decision; </w:t>
      </w:r>
    </w:p>
    <w:p>
      <w:pPr>
        <w:pStyle w:val="nz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nz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nzIndenta"/>
      </w:pPr>
      <w:r>
        <w:tab/>
        <w:t>(f)</w:t>
      </w:r>
      <w:r>
        <w:tab/>
        <w:t>a person who owns any workplace, plant, substance or thing to which the decision referred to in subclause (1)(a), (b), (c) or (f) relates.</w:t>
      </w:r>
    </w:p>
    <w:p>
      <w:pPr>
        <w:pStyle w:val="nzSubsection"/>
      </w:pPr>
      <w:r>
        <w:tab/>
        <w:t>(3)</w:t>
      </w:r>
      <w:r>
        <w:tab/>
        <w:t xml:space="preserve">If an inspector, having conducted an inspection — </w:t>
      </w:r>
    </w:p>
    <w:p>
      <w:pPr>
        <w:pStyle w:val="nzIndenta"/>
      </w:pPr>
      <w:r>
        <w:tab/>
        <w:t>(a)</w:t>
      </w:r>
      <w:r>
        <w:tab/>
        <w:t>decides under clause 37 to cancel a provisional improvement notice; or</w:t>
      </w:r>
    </w:p>
    <w:p>
      <w:pPr>
        <w:pStyle w:val="nzIndenta"/>
      </w:pPr>
      <w:r>
        <w:tab/>
        <w:t>(b)</w:t>
      </w:r>
      <w:r>
        <w:tab/>
        <w:t>decides under clause 59 that the licensee for a pipeline operation to whom a prohibition notice has been issued has taken adequate action to remove the threat to safety and health that caused the notice to be issued,</w:t>
      </w:r>
    </w:p>
    <w:p>
      <w:pPr>
        <w:pStyle w:val="nzSubsection"/>
      </w:pPr>
      <w:r>
        <w:tab/>
      </w:r>
      <w:r>
        <w:tab/>
        <w:t xml:space="preserve">the following persons may apply in writing to the reviewing authority for a review of the decision — </w:t>
      </w:r>
    </w:p>
    <w:p>
      <w:pPr>
        <w:pStyle w:val="nzIndenta"/>
      </w:pPr>
      <w:r>
        <w:tab/>
        <w:t>(c)</w:t>
      </w:r>
      <w:r>
        <w:tab/>
        <w:t xml:space="preserve">the safety and health representative for a designated work group having a group member affected by the decision; </w:t>
      </w:r>
    </w:p>
    <w:p>
      <w:pPr>
        <w:pStyle w:val="nzIndenta"/>
      </w:pPr>
      <w:r>
        <w:tab/>
        <w:t>(d)</w:t>
      </w:r>
      <w:r>
        <w:tab/>
        <w:t>a workforce representative in relation to the designated work group that includes a group member who is affected by the decision and who has requested the workforce representative to apply for the review;</w:t>
      </w:r>
    </w:p>
    <w:p>
      <w:pPr>
        <w:pStyle w:val="nz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nzSubsection"/>
      </w:pPr>
      <w:r>
        <w:tab/>
        <w:t>(4)</w:t>
      </w:r>
      <w:r>
        <w:tab/>
        <w:t xml:space="preserve">An application under subclause (2) or (3) must be made — </w:t>
      </w:r>
    </w:p>
    <w:p>
      <w:pPr>
        <w:pStyle w:val="nzIndenta"/>
      </w:pPr>
      <w:r>
        <w:tab/>
        <w:t>(a)</w:t>
      </w:r>
      <w:r>
        <w:tab/>
        <w:t>not later than 7 days after the day on which the person applying received notice of the inspector’s decision; or</w:t>
      </w:r>
    </w:p>
    <w:p>
      <w:pPr>
        <w:pStyle w:val="nzIndenta"/>
      </w:pPr>
      <w:r>
        <w:tab/>
        <w:t>(b)</w:t>
      </w:r>
      <w:r>
        <w:tab/>
        <w:t>within such further period as the reviewing authority may allow.</w:t>
      </w:r>
    </w:p>
    <w:p>
      <w:pPr>
        <w:pStyle w:val="nzSubsection"/>
      </w:pPr>
      <w:r>
        <w:tab/>
        <w:t>(5)</w:t>
      </w:r>
      <w:r>
        <w:tab/>
        <w:t>A person, other than the operator of the pipeline operation concerned, who applies for a review of a decision must, as soon as is practicable, give a copy of the application to the operator.</w:t>
      </w:r>
    </w:p>
    <w:p>
      <w:pPr>
        <w:pStyle w:val="nzPenstart"/>
      </w:pPr>
      <w:r>
        <w:tab/>
        <w:t>Penalty: $5 000.</w:t>
      </w:r>
    </w:p>
    <w:p>
      <w:pPr>
        <w:pStyle w:val="nzSubsection"/>
      </w:pPr>
      <w:r>
        <w:tab/>
        <w:t>(6)</w:t>
      </w:r>
      <w:r>
        <w:tab/>
        <w:t xml:space="preserve">The reviewing authority is to give notice in writing of the decision on the reference and the reasons for the decision to — </w:t>
      </w:r>
    </w:p>
    <w:p>
      <w:pPr>
        <w:pStyle w:val="nzIndenta"/>
      </w:pPr>
      <w:r>
        <w:tab/>
        <w:t>(a)</w:t>
      </w:r>
      <w:r>
        <w:tab/>
        <w:t>the person who referred the matter for review; and</w:t>
      </w:r>
    </w:p>
    <w:p>
      <w:pPr>
        <w:pStyle w:val="nzIndenta"/>
      </w:pPr>
      <w:r>
        <w:tab/>
        <w:t>(b)</w:t>
      </w:r>
      <w:r>
        <w:tab/>
        <w:t>if that person is not the operator of the pipeline operation concerned, to the operator.</w:t>
      </w:r>
    </w:p>
    <w:p>
      <w:pPr>
        <w:pStyle w:val="nz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nz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nz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nzSubsection"/>
      </w:pPr>
      <w:r>
        <w:tab/>
        <w:t>(10)</w:t>
      </w:r>
      <w:r>
        <w:tab/>
        <w:t xml:space="preserve">In this clause — </w:t>
      </w:r>
    </w:p>
    <w:p>
      <w:pPr>
        <w:pStyle w:val="nz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nzHeading5"/>
      </w:pPr>
      <w:r>
        <w:t>65.</w:t>
      </w:r>
      <w:r>
        <w:rPr>
          <w:b w:val="0"/>
        </w:rPr>
        <w:tab/>
      </w:r>
      <w:r>
        <w:t>Powers of reviewing authority on review</w:t>
      </w:r>
    </w:p>
    <w:p>
      <w:pPr>
        <w:pStyle w:val="nzSubsection"/>
      </w:pPr>
      <w:r>
        <w:tab/>
        <w:t>(1)</w:t>
      </w:r>
      <w:r>
        <w:tab/>
        <w:t xml:space="preserve">On a review of a decision under clause 64, the reviewing authority may — </w:t>
      </w:r>
    </w:p>
    <w:p>
      <w:pPr>
        <w:pStyle w:val="nzIndenta"/>
      </w:pPr>
      <w:r>
        <w:tab/>
        <w:t>(a)</w:t>
      </w:r>
      <w:r>
        <w:tab/>
        <w:t>affirm the decision;</w:t>
      </w:r>
    </w:p>
    <w:p>
      <w:pPr>
        <w:pStyle w:val="nzIndenta"/>
      </w:pPr>
      <w:r>
        <w:tab/>
        <w:t>(b)</w:t>
      </w:r>
      <w:r>
        <w:tab/>
        <w:t>affirm the decision with such modifications as the reviewing authority considers appropriate; or</w:t>
      </w:r>
    </w:p>
    <w:p>
      <w:pPr>
        <w:pStyle w:val="nzIndenta"/>
      </w:pPr>
      <w:r>
        <w:tab/>
        <w:t>(c)</w:t>
      </w:r>
      <w:r>
        <w:tab/>
        <w:t>revoke the decision and make such other decision with respect to the matter as the reviewing authority thinks fit,</w:t>
      </w:r>
    </w:p>
    <w:p>
      <w:pPr>
        <w:pStyle w:val="nzSubsection"/>
      </w:pPr>
      <w:r>
        <w:tab/>
      </w:r>
      <w:r>
        <w:tab/>
        <w:t>and the decision has effect or, as the case may be, ceases to have effect accordingly.</w:t>
      </w:r>
    </w:p>
    <w:p>
      <w:pPr>
        <w:pStyle w:val="nzSubsection"/>
      </w:pPr>
      <w:r>
        <w:tab/>
        <w:t>(2)</w:t>
      </w:r>
      <w:r>
        <w:tab/>
        <w:t xml:space="preserve">If — </w:t>
      </w:r>
    </w:p>
    <w:p>
      <w:pPr>
        <w:pStyle w:val="nzIndenta"/>
      </w:pPr>
      <w:r>
        <w:tab/>
        <w:t>(a)</w:t>
      </w:r>
      <w:r>
        <w:tab/>
        <w:t>the decision being reviewed is a decision under clause 56 to take possession of plant, a substance or a thing at a workplace; and</w:t>
      </w:r>
    </w:p>
    <w:p>
      <w:pPr>
        <w:pStyle w:val="nzIndenta"/>
      </w:pPr>
      <w:r>
        <w:tab/>
        <w:t>(b)</w:t>
      </w:r>
      <w:r>
        <w:tab/>
        <w:t>the decision is not affirmed,</w:t>
      </w:r>
    </w:p>
    <w:p>
      <w:pPr>
        <w:pStyle w:val="nzSubsection"/>
      </w:pPr>
      <w:r>
        <w:tab/>
      </w:r>
      <w:r>
        <w:tab/>
        <w:t>the inspector who made the decision must ensure that, to the extent that the decision is not affirmed, the plant, substance or thing is returned to the workplace as soon as practicable.</w:t>
      </w:r>
    </w:p>
    <w:p>
      <w:pPr>
        <w:pStyle w:val="nzHeading3"/>
      </w:pPr>
      <w:bookmarkStart w:id="462" w:name="_Toc112746382"/>
      <w:bookmarkStart w:id="463" w:name="_Toc112746507"/>
      <w:r>
        <w:t>Division 5</w:t>
      </w:r>
      <w:r>
        <w:rPr>
          <w:b w:val="0"/>
        </w:rPr>
        <w:t> — </w:t>
      </w:r>
      <w:r>
        <w:t>Referrals to the Tribunal</w:t>
      </w:r>
      <w:bookmarkEnd w:id="462"/>
      <w:bookmarkEnd w:id="463"/>
    </w:p>
    <w:p>
      <w:pPr>
        <w:pStyle w:val="nzHeading5"/>
      </w:pPr>
      <w:r>
        <w:t>66.</w:t>
      </w:r>
      <w:r>
        <w:rPr>
          <w:b w:val="0"/>
        </w:rPr>
        <w:tab/>
      </w:r>
      <w:r>
        <w:rPr>
          <w:bCs/>
        </w:rPr>
        <w:t>Decision may be referred to Tribunal</w:t>
      </w:r>
    </w:p>
    <w:p>
      <w:pPr>
        <w:pStyle w:val="nzSubsection"/>
      </w:pPr>
      <w:r>
        <w:tab/>
        <w:t>(1)</w:t>
      </w:r>
      <w:r>
        <w:tab/>
        <w:t>If a person given notice of a decision under clause 21(3)(b) or 64(6) is not satisfied with the reviewing authority’s decision under that section, the person may refer the decision to the Tribunal for further review.</w:t>
      </w:r>
    </w:p>
    <w:p>
      <w:pPr>
        <w:pStyle w:val="nzSubsection"/>
      </w:pPr>
      <w:r>
        <w:tab/>
        <w:t>(2)</w:t>
      </w:r>
      <w:r>
        <w:tab/>
        <w:t xml:space="preserve">A reference under subclause (1) must be made — </w:t>
      </w:r>
    </w:p>
    <w:p>
      <w:pPr>
        <w:pStyle w:val="nzIndenta"/>
      </w:pPr>
      <w:r>
        <w:tab/>
        <w:t>(a)</w:t>
      </w:r>
      <w:r>
        <w:tab/>
        <w:t>not later than 7 days after the day on which the person received notice of the decision; or</w:t>
      </w:r>
    </w:p>
    <w:p>
      <w:pPr>
        <w:pStyle w:val="nzIndenta"/>
      </w:pPr>
      <w:r>
        <w:tab/>
        <w:t>(b)</w:t>
      </w:r>
      <w:r>
        <w:tab/>
        <w:t>within such further period as the Tribunal may allow.</w:t>
      </w:r>
    </w:p>
    <w:p>
      <w:pPr>
        <w:pStyle w:val="nzSubsection"/>
      </w:pPr>
      <w:r>
        <w:tab/>
        <w:t>(3)</w:t>
      </w:r>
      <w:r>
        <w:tab/>
        <w:t>A person, other than the operator of the pipeline operation concerned, who refers a matter for review under this clause must, as soon as is practicable, give a copy of the duly completed prescribed form to the operator.</w:t>
      </w:r>
    </w:p>
    <w:p>
      <w:pPr>
        <w:pStyle w:val="nzPenstart"/>
      </w:pPr>
      <w:r>
        <w:tab/>
        <w:t>Penalty applicable to subclause (3): $5 000.</w:t>
      </w:r>
    </w:p>
    <w:p>
      <w:pPr>
        <w:pStyle w:val="nzHeading5"/>
      </w:pPr>
      <w:r>
        <w:t>67.</w:t>
      </w:r>
      <w:r>
        <w:rPr>
          <w:b w:val="0"/>
        </w:rPr>
        <w:tab/>
      </w:r>
      <w:r>
        <w:t>Determination by Tribunal</w:t>
      </w:r>
    </w:p>
    <w:p>
      <w:pPr>
        <w:pStyle w:val="nzSubsection"/>
      </w:pPr>
      <w:r>
        <w:tab/>
        <w:t>(1)</w:t>
      </w:r>
      <w:r>
        <w:tab/>
        <w:t xml:space="preserve">On a reference under clause 66, the Tribunal is to inquire into the circumstances relating to the decision, and may — </w:t>
      </w:r>
    </w:p>
    <w:p>
      <w:pPr>
        <w:pStyle w:val="nzIndenta"/>
      </w:pPr>
      <w:r>
        <w:tab/>
        <w:t>(a)</w:t>
      </w:r>
      <w:r>
        <w:tab/>
        <w:t>affirm the decision of the reviewing authority;</w:t>
      </w:r>
    </w:p>
    <w:p>
      <w:pPr>
        <w:pStyle w:val="nzIndenta"/>
      </w:pPr>
      <w:r>
        <w:tab/>
        <w:t>(b)</w:t>
      </w:r>
      <w:r>
        <w:tab/>
        <w:t>affirm the decision of the reviewing authority with such modifications as the Tribunal considers appropriate; or</w:t>
      </w:r>
    </w:p>
    <w:p>
      <w:pPr>
        <w:pStyle w:val="nzIndenta"/>
      </w:pPr>
      <w:r>
        <w:tab/>
        <w:t>(c)</w:t>
      </w:r>
      <w:r>
        <w:tab/>
        <w:t>revoke the decision of the reviewing authority and make such other decision with respect to the notice as the Tribunal thinks fit,</w:t>
      </w:r>
    </w:p>
    <w:p>
      <w:pPr>
        <w:pStyle w:val="nzSubsection"/>
      </w:pPr>
      <w:r>
        <w:tab/>
      </w:r>
      <w:r>
        <w:tab/>
        <w:t>and the decision has effect or, as the case may be, ceases to have effect accordingly.</w:t>
      </w:r>
    </w:p>
    <w:p>
      <w:pPr>
        <w:pStyle w:val="nzSubsection"/>
      </w:pPr>
      <w:r>
        <w:tab/>
        <w:t>(2)</w:t>
      </w:r>
      <w:r>
        <w:tab/>
        <w:t xml:space="preserve">A review under this clause — </w:t>
      </w:r>
    </w:p>
    <w:p>
      <w:pPr>
        <w:pStyle w:val="nzIndenta"/>
      </w:pPr>
      <w:r>
        <w:tab/>
        <w:t>(a)</w:t>
      </w:r>
      <w:r>
        <w:tab/>
        <w:t>is to be in the nature of a rehearing; and</w:t>
      </w:r>
    </w:p>
    <w:p>
      <w:pPr>
        <w:pStyle w:val="nzIndenta"/>
      </w:pPr>
      <w:r>
        <w:tab/>
        <w:t>(b)</w:t>
      </w:r>
      <w:r>
        <w:tab/>
        <w:t>is to be completed by the Tribunal as quickly as is practicable.</w:t>
      </w:r>
    </w:p>
    <w:p>
      <w:pPr>
        <w:pStyle w:val="nzSubsection"/>
      </w:pPr>
      <w:r>
        <w:tab/>
        <w:t>(3)</w:t>
      </w:r>
      <w:r>
        <w:tab/>
        <w:t xml:space="preserve">The Tribunal is to give notice in writing of its decision on the reference and the reasons for the decision to — </w:t>
      </w:r>
    </w:p>
    <w:p>
      <w:pPr>
        <w:pStyle w:val="nzIndenta"/>
      </w:pPr>
      <w:r>
        <w:tab/>
        <w:t>(a)</w:t>
      </w:r>
      <w:r>
        <w:tab/>
        <w:t>the person who referred the matter for review; and</w:t>
      </w:r>
    </w:p>
    <w:p>
      <w:pPr>
        <w:pStyle w:val="nzIndenta"/>
      </w:pPr>
      <w:r>
        <w:tab/>
        <w:t>(b)</w:t>
      </w:r>
      <w:r>
        <w:tab/>
        <w:t>if that person is not the operator of the pipeline operation concerned, to the operator.</w:t>
      </w:r>
    </w:p>
    <w:p>
      <w:pPr>
        <w:pStyle w:val="nzHeading5"/>
      </w:pPr>
      <w:r>
        <w:t>68.</w:t>
      </w:r>
      <w:r>
        <w:rPr>
          <w:b w:val="0"/>
        </w:rPr>
        <w:tab/>
      </w:r>
      <w:r>
        <w:t>Effect of pending review by Tribunal</w:t>
      </w:r>
    </w:p>
    <w:p>
      <w:pPr>
        <w:pStyle w:val="nz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nz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nz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nzHeading5"/>
      </w:pPr>
      <w:r>
        <w:t>69.</w:t>
      </w:r>
      <w:r>
        <w:rPr>
          <w:b w:val="0"/>
        </w:rPr>
        <w:tab/>
      </w:r>
      <w:r>
        <w:t>Jurisdiction of Tribunal</w:t>
      </w:r>
    </w:p>
    <w:p>
      <w:pPr>
        <w:pStyle w:val="nzSubsection"/>
      </w:pPr>
      <w:r>
        <w:tab/>
        <w:t>(1)</w:t>
      </w:r>
      <w:r>
        <w:tab/>
        <w:t xml:space="preserve">This clause applies where — </w:t>
      </w:r>
    </w:p>
    <w:p>
      <w:pPr>
        <w:pStyle w:val="nzIndenta"/>
      </w:pPr>
      <w:r>
        <w:tab/>
        <w:t>(a)</w:t>
      </w:r>
      <w:r>
        <w:tab/>
        <w:t>under clause 66 a matter is referred to the Tribunal; or</w:t>
      </w:r>
    </w:p>
    <w:p>
      <w:pPr>
        <w:pStyle w:val="nzIndenta"/>
      </w:pPr>
      <w:r>
        <w:tab/>
        <w:t>(b)</w:t>
      </w:r>
      <w:r>
        <w:tab/>
        <w:t>under clause 30 an application is made to the Tribunal.</w:t>
      </w:r>
    </w:p>
    <w:p>
      <w:pPr>
        <w:pStyle w:val="nzSubsection"/>
      </w:pPr>
      <w:r>
        <w:tab/>
        <w:t>(2)</w:t>
      </w:r>
      <w:r>
        <w:tab/>
        <w:t xml:space="preserve">Where this clause applies — </w:t>
      </w:r>
    </w:p>
    <w:p>
      <w:pPr>
        <w:pStyle w:val="nzIndenta"/>
      </w:pPr>
      <w:r>
        <w:tab/>
        <w:t>(a)</w:t>
      </w:r>
      <w:r>
        <w:tab/>
        <w:t>the matter or application may be heard and determined; and</w:t>
      </w:r>
    </w:p>
    <w:p>
      <w:pPr>
        <w:pStyle w:val="nzIndenta"/>
      </w:pPr>
      <w:r>
        <w:tab/>
        <w:t>(b)</w:t>
      </w:r>
      <w:r>
        <w:tab/>
        <w:t>a determination made by the Tribunal on the matter or application has effect, and may be appealed against and enforced,</w:t>
      </w:r>
    </w:p>
    <w:p>
      <w:pPr>
        <w:pStyle w:val="nzSubsection"/>
      </w:pPr>
      <w:r>
        <w:tab/>
      </w:r>
      <w:r>
        <w:tab/>
        <w:t xml:space="preserve">as if it were — </w:t>
      </w:r>
    </w:p>
    <w:p>
      <w:pPr>
        <w:pStyle w:val="nzIndenta"/>
      </w:pPr>
      <w:r>
        <w:tab/>
        <w:t>(c)</w:t>
      </w:r>
      <w:r>
        <w:tab/>
        <w:t xml:space="preserve">a matter in respect of which jurisdiction is conferred on the Tribunal by Part VIB of the </w:t>
      </w:r>
      <w:r>
        <w:rPr>
          <w:i/>
        </w:rPr>
        <w:t>Occupational Safety and Health Act 1984</w:t>
      </w:r>
      <w:r>
        <w:t>; or</w:t>
      </w:r>
    </w:p>
    <w:p>
      <w:pPr>
        <w:pStyle w:val="nzIndenta"/>
      </w:pPr>
      <w:r>
        <w:tab/>
        <w:t>(d)</w:t>
      </w:r>
      <w:r>
        <w:tab/>
        <w:t>a determination made for the purposes of that Part.</w:t>
      </w:r>
    </w:p>
    <w:p>
      <w:pPr>
        <w:pStyle w:val="nzSubsection"/>
      </w:pPr>
      <w:r>
        <w:tab/>
        <w:t>(3)</w:t>
      </w:r>
      <w:r>
        <w:tab/>
        <w:t xml:space="preserve">The provisions of — </w:t>
      </w:r>
    </w:p>
    <w:p>
      <w:pPr>
        <w:pStyle w:val="nzIndenta"/>
      </w:pPr>
      <w:r>
        <w:tab/>
        <w:t>(a)</w:t>
      </w:r>
      <w:r>
        <w:tab/>
        <w:t xml:space="preserve">Part VIB of the </w:t>
      </w:r>
      <w:r>
        <w:rPr>
          <w:i/>
        </w:rPr>
        <w:t>Occupational Safety and Health Act 1984</w:t>
      </w:r>
      <w:r>
        <w:t>; and</w:t>
      </w:r>
    </w:p>
    <w:p>
      <w:pPr>
        <w:pStyle w:val="nzIndenta"/>
      </w:pPr>
      <w:r>
        <w:tab/>
        <w:t>(b)</w:t>
      </w:r>
      <w:r>
        <w:tab/>
        <w:t xml:space="preserve">the </w:t>
      </w:r>
      <w:r>
        <w:rPr>
          <w:i/>
        </w:rPr>
        <w:t>Industrial Relations Act 1979</w:t>
      </w:r>
      <w:r>
        <w:t xml:space="preserve"> applied by that Part,</w:t>
      </w:r>
    </w:p>
    <w:p>
      <w:pPr>
        <w:pStyle w:val="nzSubsection"/>
      </w:pPr>
      <w:r>
        <w:tab/>
      </w:r>
      <w:r>
        <w:tab/>
        <w:t>have effect for the purposes of this clause with all necessary changes.</w:t>
      </w:r>
    </w:p>
    <w:p>
      <w:pPr>
        <w:pStyle w:val="nzSubsection"/>
        <w:rPr>
          <w:b/>
          <w:i/>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nzHeading3"/>
      </w:pPr>
      <w:bookmarkStart w:id="464" w:name="_Toc112746383"/>
      <w:bookmarkStart w:id="465" w:name="_Toc112746508"/>
      <w:r>
        <w:t>Division 6</w:t>
      </w:r>
      <w:r>
        <w:rPr>
          <w:b w:val="0"/>
        </w:rPr>
        <w:t> — </w:t>
      </w:r>
      <w:r>
        <w:t>General</w:t>
      </w:r>
      <w:bookmarkEnd w:id="464"/>
      <w:bookmarkEnd w:id="465"/>
    </w:p>
    <w:p>
      <w:pPr>
        <w:pStyle w:val="nzHeading5"/>
      </w:pPr>
      <w:r>
        <w:t>70.</w:t>
      </w:r>
      <w:r>
        <w:rPr>
          <w:b w:val="0"/>
        </w:rPr>
        <w:tab/>
      </w:r>
      <w:r>
        <w:t>Notifying and reporting accidents and dangerous occurrences</w:t>
      </w:r>
    </w:p>
    <w:p>
      <w:pPr>
        <w:pStyle w:val="nzSubsection"/>
      </w:pPr>
      <w:r>
        <w:tab/>
        <w:t>(1)</w:t>
      </w:r>
      <w:r>
        <w:tab/>
        <w:t xml:space="preserve">If, arising from a pipeline operation, there is — </w:t>
      </w:r>
    </w:p>
    <w:p>
      <w:pPr>
        <w:pStyle w:val="nzIndenta"/>
      </w:pPr>
      <w:r>
        <w:tab/>
        <w:t>(a)</w:t>
      </w:r>
      <w:r>
        <w:tab/>
        <w:t>an accident that causes the death of, or serious personal injury to, any person;</w:t>
      </w:r>
    </w:p>
    <w:p>
      <w:pPr>
        <w:pStyle w:val="nzIndenta"/>
      </w:pPr>
      <w:r>
        <w:tab/>
        <w:t>(b)</w:t>
      </w:r>
      <w:r>
        <w:tab/>
        <w:t>an accident that causes a member of the workforce to be incapacitated from performing work for a period prescribed for the purposes of this paragraph; or</w:t>
      </w:r>
    </w:p>
    <w:p>
      <w:pPr>
        <w:pStyle w:val="nzIndenta"/>
      </w:pPr>
      <w:r>
        <w:tab/>
        <w:t>(c)</w:t>
      </w:r>
      <w:r>
        <w:tab/>
        <w:t>a dangerous occurrence,</w:t>
      </w:r>
    </w:p>
    <w:p>
      <w:pPr>
        <w:pStyle w:val="nzSubsection"/>
      </w:pPr>
      <w:r>
        <w:tab/>
      </w:r>
      <w:r>
        <w:tab/>
        <w:t>the licensee must, in accordance with the regulations, give the Minister notice of, and a report about, the accident or dangerous occurrence.</w:t>
      </w:r>
    </w:p>
    <w:p>
      <w:pPr>
        <w:pStyle w:val="nzPenstart"/>
      </w:pPr>
      <w:r>
        <w:tab/>
        <w:t>Penalty: $5 000.</w:t>
      </w:r>
    </w:p>
    <w:p>
      <w:pPr>
        <w:pStyle w:val="nzSubsection"/>
      </w:pPr>
      <w:r>
        <w:tab/>
        <w:t>(2)</w:t>
      </w:r>
      <w:r>
        <w:tab/>
        <w:t xml:space="preserve">Regulations made for the purposes of subclause (1) (other than regulations made for the purpose of subclause (1)(b)) may prescribe — </w:t>
      </w:r>
    </w:p>
    <w:p>
      <w:pPr>
        <w:pStyle w:val="nzIndenta"/>
      </w:pPr>
      <w:r>
        <w:tab/>
        <w:t>(a)</w:t>
      </w:r>
      <w:r>
        <w:tab/>
        <w:t>the time within which, and the manner in which, notice of an accident or dangerous occurrence is to be given, and the form of the notice; and</w:t>
      </w:r>
    </w:p>
    <w:p>
      <w:pPr>
        <w:pStyle w:val="nzIndenta"/>
      </w:pPr>
      <w:r>
        <w:tab/>
        <w:t>(b)</w:t>
      </w:r>
      <w:r>
        <w:tab/>
        <w:t>the time within which, and the manner in which, a report of an accident or dangerous occurrence is to be given, and the form of the report.</w:t>
      </w:r>
    </w:p>
    <w:p>
      <w:pPr>
        <w:pStyle w:val="nzSubsection"/>
      </w:pPr>
      <w:r>
        <w:tab/>
        <w:t>(3)</w:t>
      </w:r>
      <w:r>
        <w:tab/>
        <w:t>Subclause (2) does not limit regulations that may be made for the purposes of subclause (1).</w:t>
      </w:r>
    </w:p>
    <w:p>
      <w:pPr>
        <w:pStyle w:val="nzHeading5"/>
      </w:pPr>
      <w:r>
        <w:t>71.</w:t>
      </w:r>
      <w:r>
        <w:rPr>
          <w:b w:val="0"/>
        </w:rPr>
        <w:tab/>
      </w:r>
      <w:r>
        <w:t>Records of accidents and dangerous occurrences to be kept</w:t>
      </w:r>
    </w:p>
    <w:p>
      <w:pPr>
        <w:pStyle w:val="nzSubsection"/>
      </w:pPr>
      <w:r>
        <w:tab/>
        <w:t>(1)</w:t>
      </w:r>
      <w:r>
        <w:tab/>
        <w:t>The licensee for a pipeline operation must maintain, in accordance with the regulations, a record of each accident or dangerous occurrence in respect of which the licensee is required by clause 67 to notify the Minister.</w:t>
      </w:r>
    </w:p>
    <w:p>
      <w:pPr>
        <w:pStyle w:val="nzSubsection"/>
      </w:pPr>
      <w:r>
        <w:tab/>
        <w:t>(2)</w:t>
      </w:r>
      <w:r>
        <w:tab/>
        <w:t xml:space="preserve">Regulations made for the purposes of subclause (1) may prescribe — </w:t>
      </w:r>
    </w:p>
    <w:p>
      <w:pPr>
        <w:pStyle w:val="nzIndenta"/>
      </w:pPr>
      <w:r>
        <w:tab/>
        <w:t>(a)</w:t>
      </w:r>
      <w:r>
        <w:tab/>
        <w:t>the nature of the contents of a record maintained under this clause; and</w:t>
      </w:r>
    </w:p>
    <w:p>
      <w:pPr>
        <w:pStyle w:val="nzIndenta"/>
      </w:pPr>
      <w:r>
        <w:tab/>
        <w:t>(b)</w:t>
      </w:r>
      <w:r>
        <w:tab/>
        <w:t>the period for which the record must be retained.</w:t>
      </w:r>
    </w:p>
    <w:p>
      <w:pPr>
        <w:pStyle w:val="nzSubsection"/>
      </w:pPr>
      <w:r>
        <w:tab/>
        <w:t>(3)</w:t>
      </w:r>
      <w:r>
        <w:tab/>
        <w:t>Subclause (2) does not limit regulations that may be made for the purposes of subclause (1).</w:t>
      </w:r>
    </w:p>
    <w:p>
      <w:pPr>
        <w:pStyle w:val="nzHeading5"/>
      </w:pPr>
      <w:r>
        <w:rPr>
          <w:bCs/>
        </w:rPr>
        <w:t>72.</w:t>
      </w:r>
      <w:r>
        <w:rPr>
          <w:b w:val="0"/>
          <w:bCs/>
        </w:rPr>
        <w:tab/>
      </w:r>
      <w:r>
        <w:rPr>
          <w:bCs/>
        </w:rPr>
        <w:t>Codes</w:t>
      </w:r>
      <w:r>
        <w:t xml:space="preserve"> of practice</w:t>
      </w:r>
    </w:p>
    <w:p>
      <w:pPr>
        <w:pStyle w:val="nzSubsection"/>
      </w:pPr>
      <w:r>
        <w:tab/>
        <w:t>(1)</w:t>
      </w:r>
      <w:r>
        <w:tab/>
        <w:t>The regulations may prescribe codes of practice for the purpose of providing practical guidance to licensees for pipeline operations and employers (other than licensees) of members of the workforce engaged in pipeline operations.</w:t>
      </w:r>
    </w:p>
    <w:p>
      <w:pPr>
        <w:pStyle w:val="nzSubsection"/>
      </w:pPr>
      <w:r>
        <w:tab/>
        <w:t>(2)</w:t>
      </w:r>
      <w:r>
        <w:tab/>
        <w:t>A person is not liable in any civil or criminal proceedings for contravening a code of practice.</w:t>
      </w:r>
    </w:p>
    <w:p>
      <w:pPr>
        <w:pStyle w:val="nzHeading5"/>
      </w:pPr>
      <w:r>
        <w:t>73.</w:t>
      </w:r>
      <w:r>
        <w:rPr>
          <w:b w:val="0"/>
        </w:rPr>
        <w:tab/>
      </w:r>
      <w:r>
        <w:t>Use of codes of practice in proceedings</w:t>
      </w:r>
    </w:p>
    <w:p>
      <w:pPr>
        <w:pStyle w:val="nz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nzSubsection"/>
      </w:pPr>
      <w:r>
        <w:tab/>
        <w:t>(2)</w:t>
      </w:r>
      <w:r>
        <w:tab/>
        <w:t>The code of practice is admissible in evidence in those proceedings.</w:t>
      </w:r>
    </w:p>
    <w:p>
      <w:pPr>
        <w:pStyle w:val="nzSubsection"/>
      </w:pPr>
      <w:r>
        <w:tab/>
        <w:t>(3)</w:t>
      </w:r>
      <w:r>
        <w:tab/>
        <w:t xml:space="preserve">If the court is satisfied, in relation to any matter which it is necessary for the prosecution to prove in order to establish the alleged contravention, that — </w:t>
      </w:r>
    </w:p>
    <w:p>
      <w:pPr>
        <w:pStyle w:val="nzIndenta"/>
      </w:pPr>
      <w:r>
        <w:tab/>
        <w:t>(a)</w:t>
      </w:r>
      <w:r>
        <w:tab/>
        <w:t>any provision of the code of practice is relevant to that matter; and</w:t>
      </w:r>
    </w:p>
    <w:p>
      <w:pPr>
        <w:pStyle w:val="nzIndenta"/>
      </w:pPr>
      <w:r>
        <w:tab/>
        <w:t>(b)</w:t>
      </w:r>
      <w:r>
        <w:tab/>
        <w:t>the person failed at any material time to comply with that provision of the code of practice,</w:t>
      </w:r>
    </w:p>
    <w:p>
      <w:pPr>
        <w:pStyle w:val="nzSubsection"/>
      </w:pPr>
      <w:r>
        <w:tab/>
      </w:r>
      <w:r>
        <w:tab/>
        <w:t>that matter is treated as proved unless the court is satisfied that in respect of that matter the person complied with that provision of the listed OSH law otherwise than by complying with the code of practice.</w:t>
      </w:r>
    </w:p>
    <w:p>
      <w:pPr>
        <w:pStyle w:val="nzHeading5"/>
      </w:pPr>
      <w:r>
        <w:t>74.</w:t>
      </w:r>
      <w:r>
        <w:rPr>
          <w:b w:val="0"/>
        </w:rPr>
        <w:tab/>
      </w:r>
      <w:r>
        <w:t>Interference etc. with equipment etc.</w:t>
      </w:r>
    </w:p>
    <w:p>
      <w:pPr>
        <w:pStyle w:val="nz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pipeline operation if the person knew (or ought reasonably to have known) that the equipment or device was protective equipment or a safety device.</w:t>
      </w:r>
    </w:p>
    <w:p>
      <w:pPr>
        <w:pStyle w:val="nzPenstart"/>
      </w:pPr>
      <w:r>
        <w:tab/>
        <w:t>Penalty:</w:t>
      </w:r>
      <w:r>
        <w:tab/>
        <w:t xml:space="preserve">$3 300 or imprisonment for 6 months or both. </w:t>
      </w:r>
    </w:p>
    <w:p>
      <w:pPr>
        <w:pStyle w:val="nzHeading5"/>
      </w:pPr>
      <w:r>
        <w:t>75.</w:t>
      </w:r>
      <w:r>
        <w:rPr>
          <w:b w:val="0"/>
        </w:rPr>
        <w:tab/>
      </w:r>
      <w:r>
        <w:t>No charges to be levied on members of workforce</w:t>
      </w:r>
    </w:p>
    <w:p>
      <w:pPr>
        <w:pStyle w:val="nzSubsection"/>
      </w:pPr>
      <w:r>
        <w:tab/>
      </w:r>
      <w:r>
        <w:tab/>
        <w:t>The licensee for a pipeline operation or an employer (other than the licensee) of members of the workforce engaged in a pipeline operation must not levy, or permit to be levied, on a member of the workforce any charge in respect of anything done or provided in accordance with a listed OSH law in order to ensure the occupational safety and health of persons engaged in the pipeline operation or any other protected persons.</w:t>
      </w:r>
    </w:p>
    <w:p>
      <w:pPr>
        <w:pStyle w:val="nzPenstart"/>
      </w:pPr>
      <w:r>
        <w:tab/>
        <w:t>Penalty:</w:t>
      </w:r>
      <w:r>
        <w:tab/>
        <w:t>$27 500.</w:t>
      </w:r>
    </w:p>
    <w:p>
      <w:pPr>
        <w:pStyle w:val="nzHeading5"/>
      </w:pPr>
      <w:r>
        <w:t>76.</w:t>
      </w:r>
      <w:r>
        <w:rPr>
          <w:b w:val="0"/>
        </w:rPr>
        <w:tab/>
      </w:r>
      <w:r>
        <w:t>Victimisation</w:t>
      </w:r>
    </w:p>
    <w:p>
      <w:pPr>
        <w:pStyle w:val="nzSubsection"/>
      </w:pPr>
      <w:r>
        <w:tab/>
        <w:t>(1)</w:t>
      </w:r>
      <w:r>
        <w:tab/>
        <w:t xml:space="preserve">An employer (whether the licensee or another person) must not — </w:t>
      </w:r>
    </w:p>
    <w:p>
      <w:pPr>
        <w:pStyle w:val="nzIndenta"/>
      </w:pPr>
      <w:r>
        <w:tab/>
        <w:t>(a)</w:t>
      </w:r>
      <w:r>
        <w:tab/>
        <w:t xml:space="preserve">dismiss an employee; </w:t>
      </w:r>
    </w:p>
    <w:p>
      <w:pPr>
        <w:pStyle w:val="nzIndenta"/>
      </w:pPr>
      <w:r>
        <w:tab/>
        <w:t>(b)</w:t>
      </w:r>
      <w:r>
        <w:tab/>
        <w:t xml:space="preserve">perform an act that results in injury to an employee in his or her employment; </w:t>
      </w:r>
    </w:p>
    <w:p>
      <w:pPr>
        <w:pStyle w:val="nzIndenta"/>
      </w:pPr>
      <w:r>
        <w:tab/>
        <w:t>(c)</w:t>
      </w:r>
      <w:r>
        <w:tab/>
        <w:t>perform an act that prejudicially alters the employee’s position (whether by deducting or withholding remuneration or by any other means); or</w:t>
      </w:r>
    </w:p>
    <w:p>
      <w:pPr>
        <w:pStyle w:val="nzIndenta"/>
      </w:pPr>
      <w:r>
        <w:tab/>
        <w:t>(d)</w:t>
      </w:r>
      <w:r>
        <w:tab/>
        <w:t>threaten to do any of those things,</w:t>
      </w:r>
    </w:p>
    <w:p>
      <w:pPr>
        <w:pStyle w:val="nzSubsection"/>
      </w:pPr>
      <w:r>
        <w:tab/>
      </w:r>
      <w:r>
        <w:tab/>
        <w:t xml:space="preserve">because the employee — </w:t>
      </w:r>
    </w:p>
    <w:p>
      <w:pPr>
        <w:pStyle w:val="nzIndenta"/>
      </w:pPr>
      <w:r>
        <w:tab/>
        <w:t>(e)</w:t>
      </w:r>
      <w:r>
        <w:tab/>
        <w:t xml:space="preserve">has complained or proposes to complain about a matter concerning the safety or health of employees at work; </w:t>
      </w:r>
    </w:p>
    <w:p>
      <w:pPr>
        <w:pStyle w:val="nzIndenta"/>
      </w:pPr>
      <w:r>
        <w:tab/>
        <w:t>(f)</w:t>
      </w:r>
      <w:r>
        <w:tab/>
        <w:t>has assisted or proposes to assist, by giving information or otherwise, the conduct of an inspection; or</w:t>
      </w:r>
    </w:p>
    <w:p>
      <w:pPr>
        <w:pStyle w:val="nz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nzIndenti"/>
      </w:pPr>
      <w:r>
        <w:tab/>
        <w:t>(i)</w:t>
      </w:r>
      <w:r>
        <w:tab/>
        <w:t>the safety and health representative has agreed with a person supervising the work that the cessation or proposed cessation was not, or is no longer, necessary; or</w:t>
      </w:r>
    </w:p>
    <w:p>
      <w:pPr>
        <w:pStyle w:val="nzIndenti"/>
      </w:pPr>
      <w:r>
        <w:tab/>
        <w:t>(ii)</w:t>
      </w:r>
      <w:r>
        <w:tab/>
        <w:t>an inspector has, under clause 42(5), made a decision that has the effect that the employee should perform the work.</w:t>
      </w:r>
    </w:p>
    <w:p>
      <w:pPr>
        <w:pStyle w:val="nzPenstart"/>
      </w:pPr>
      <w:r>
        <w:tab/>
        <w:t>Penalty:</w:t>
      </w:r>
      <w:r>
        <w:tab/>
        <w:t>$27 500.</w:t>
      </w:r>
    </w:p>
    <w:p>
      <w:pPr>
        <w:pStyle w:val="nz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nzHeading5"/>
      </w:pPr>
      <w:r>
        <w:t>77.</w:t>
      </w:r>
      <w:r>
        <w:rPr>
          <w:b w:val="0"/>
        </w:rPr>
        <w:tab/>
      </w:r>
      <w:r>
        <w:t>Institution of prosecutions</w:t>
      </w:r>
    </w:p>
    <w:p>
      <w:pPr>
        <w:pStyle w:val="nz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nz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nzIndenta"/>
      </w:pPr>
      <w:r>
        <w:tab/>
        <w:t>(a)</w:t>
      </w:r>
      <w:r>
        <w:tab/>
        <w:t xml:space="preserve">a period of 6 months has elapsed since the act or omission occurred; </w:t>
      </w:r>
    </w:p>
    <w:p>
      <w:pPr>
        <w:pStyle w:val="nzIndenta"/>
      </w:pPr>
      <w:r>
        <w:tab/>
        <w:t>(b)</w:t>
      </w:r>
      <w:r>
        <w:tab/>
        <w:t>the safety and health representative considers that the occurrence of the act or omission constitutes an offence against a listed OSH law; and</w:t>
      </w:r>
    </w:p>
    <w:p>
      <w:pPr>
        <w:pStyle w:val="nzIndenta"/>
      </w:pPr>
      <w:r>
        <w:tab/>
        <w:t>(c)</w:t>
      </w:r>
      <w:r>
        <w:tab/>
        <w:t>proceedings in respect of the offence have not been instituted.</w:t>
      </w:r>
    </w:p>
    <w:p>
      <w:pPr>
        <w:pStyle w:val="nz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nzIndenta"/>
      </w:pPr>
      <w:r>
        <w:tab/>
        <w:t>(a)</w:t>
      </w:r>
      <w:r>
        <w:tab/>
        <w:t xml:space="preserve">a period of 6 months has elapsed since the act or omission occurred; </w:t>
      </w:r>
    </w:p>
    <w:p>
      <w:pPr>
        <w:pStyle w:val="nzIndenta"/>
      </w:pPr>
      <w:r>
        <w:tab/>
        <w:t>(b)</w:t>
      </w:r>
      <w:r>
        <w:tab/>
        <w:t>the workforce representative considers that the occurrence of the act or omission constitutes an offence against a listed OSH law;</w:t>
      </w:r>
    </w:p>
    <w:p>
      <w:pPr>
        <w:pStyle w:val="nzIndenta"/>
      </w:pPr>
      <w:r>
        <w:tab/>
        <w:t>(c)</w:t>
      </w:r>
      <w:r>
        <w:tab/>
        <w:t>proceedings in respect of the offence have not been instituted; and</w:t>
      </w:r>
    </w:p>
    <w:p>
      <w:pPr>
        <w:pStyle w:val="nzIndenta"/>
      </w:pPr>
      <w:r>
        <w:tab/>
        <w:t>(d)</w:t>
      </w:r>
      <w:r>
        <w:tab/>
        <w:t>a group member included in the group requests the workforce representative to request an inspector to institute the proceedings.</w:t>
      </w:r>
    </w:p>
    <w:p>
      <w:pPr>
        <w:pStyle w:val="nzSubsection"/>
      </w:pPr>
      <w:r>
        <w:tab/>
        <w:t>(4)</w:t>
      </w:r>
      <w:r>
        <w:tab/>
        <w:t>A request under subclause (2) or (3) must be in writing.</w:t>
      </w:r>
    </w:p>
    <w:p>
      <w:pPr>
        <w:pStyle w:val="nz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nzHeading5"/>
      </w:pPr>
      <w:r>
        <w:t>78.</w:t>
      </w:r>
      <w:r>
        <w:rPr>
          <w:b w:val="0"/>
        </w:rPr>
        <w:tab/>
      </w:r>
      <w:r>
        <w:t>Conduct of directors, employees and agents</w:t>
      </w:r>
    </w:p>
    <w:p>
      <w:pPr>
        <w:pStyle w:val="nzSubsection"/>
      </w:pPr>
      <w:r>
        <w:tab/>
        <w:t>(1)</w:t>
      </w:r>
      <w:r>
        <w:tab/>
        <w:t>This clause has effect for the purposes of a proceeding for an offence against a listed OSH law.</w:t>
      </w:r>
    </w:p>
    <w:p>
      <w:pPr>
        <w:pStyle w:val="nzSubsection"/>
      </w:pPr>
      <w:r>
        <w:tab/>
        <w:t>(2)</w:t>
      </w:r>
      <w:r>
        <w:tab/>
        <w:t xml:space="preserve">If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actual or apparent authority; and</w:t>
      </w:r>
    </w:p>
    <w:p>
      <w:pPr>
        <w:pStyle w:val="nzIndenta"/>
      </w:pPr>
      <w:r>
        <w:tab/>
        <w:t>(b)</w:t>
      </w:r>
      <w:r>
        <w:tab/>
        <w:t>that the director, employee or agent had the state of mind.</w:t>
      </w:r>
    </w:p>
    <w:p>
      <w:pPr>
        <w:pStyle w:val="nz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nzSubsection"/>
      </w:pPr>
      <w:r>
        <w:tab/>
        <w:t>(4)</w:t>
      </w:r>
      <w:r>
        <w:tab/>
        <w:t xml:space="preserve">If it is necessary to establish the state of mind of a natural person in relation to particular conduct, it is sufficient to show — </w:t>
      </w:r>
    </w:p>
    <w:p>
      <w:pPr>
        <w:pStyle w:val="nzIndenta"/>
      </w:pPr>
      <w:r>
        <w:tab/>
        <w:t>(a)</w:t>
      </w:r>
      <w:r>
        <w:tab/>
        <w:t>that the conduct was engaged in by an employee or agent of the natural person within the scope of actual or apparent authority; and</w:t>
      </w:r>
    </w:p>
    <w:p>
      <w:pPr>
        <w:pStyle w:val="nzIndenta"/>
      </w:pPr>
      <w:r>
        <w:tab/>
        <w:t>(b)</w:t>
      </w:r>
      <w:r>
        <w:tab/>
        <w:t>that the employee or agent had the state of mind.</w:t>
      </w:r>
    </w:p>
    <w:p>
      <w:pPr>
        <w:pStyle w:val="nz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nzSubsection"/>
      </w:pPr>
      <w:r>
        <w:tab/>
        <w:t>(6)</w:t>
      </w:r>
      <w:r>
        <w:tab/>
        <w:t xml:space="preserve">If — </w:t>
      </w:r>
    </w:p>
    <w:p>
      <w:pPr>
        <w:pStyle w:val="nzIndenta"/>
      </w:pPr>
      <w:r>
        <w:tab/>
        <w:t>(a)</w:t>
      </w:r>
      <w:r>
        <w:tab/>
        <w:t>a natural person is found guilty of an offence; and</w:t>
      </w:r>
    </w:p>
    <w:p>
      <w:pPr>
        <w:pStyle w:val="nzIndenta"/>
      </w:pPr>
      <w:r>
        <w:tab/>
        <w:t>(b)</w:t>
      </w:r>
      <w:r>
        <w:tab/>
        <w:t>he or she would not have been found guilty of the offence if subclauses (4) and (5) had not been enacted,</w:t>
      </w:r>
    </w:p>
    <w:p>
      <w:pPr>
        <w:pStyle w:val="nzSubsection"/>
      </w:pPr>
      <w:r>
        <w:tab/>
      </w:r>
      <w:r>
        <w:tab/>
        <w:t>he or she is not liable to be punished by imprisonment for that offence.</w:t>
      </w:r>
    </w:p>
    <w:p>
      <w:pPr>
        <w:pStyle w:val="nzSubsection"/>
      </w:pPr>
      <w:r>
        <w:tab/>
        <w:t>(7)</w:t>
      </w:r>
      <w:r>
        <w:tab/>
        <w:t xml:space="preserve">A reference in subclause (2) or (4) to the state of mind of a person includes a reference to — </w:t>
      </w:r>
    </w:p>
    <w:p>
      <w:pPr>
        <w:pStyle w:val="nzIndenta"/>
      </w:pPr>
      <w:r>
        <w:tab/>
        <w:t>(a)</w:t>
      </w:r>
      <w:r>
        <w:tab/>
        <w:t>the person’s knowledge, intention, opinion, belief or purpose; and</w:t>
      </w:r>
    </w:p>
    <w:p>
      <w:pPr>
        <w:pStyle w:val="nzIndenta"/>
      </w:pPr>
      <w:r>
        <w:tab/>
        <w:t>(b)</w:t>
      </w:r>
      <w:r>
        <w:tab/>
        <w:t>the person’s reasons for the intention, opinion, belief or purpose.</w:t>
      </w:r>
    </w:p>
    <w:p>
      <w:pPr>
        <w:pStyle w:val="nzHeading5"/>
      </w:pPr>
      <w:r>
        <w:t>79.</w:t>
      </w:r>
      <w:r>
        <w:rPr>
          <w:b w:val="0"/>
        </w:rPr>
        <w:tab/>
      </w:r>
      <w:r>
        <w:t>Act not to give rise to other liabilities etc.</w:t>
      </w:r>
    </w:p>
    <w:p>
      <w:pPr>
        <w:pStyle w:val="nzSubsection"/>
      </w:pPr>
      <w:r>
        <w:tab/>
      </w:r>
      <w:r>
        <w:tab/>
        <w:t xml:space="preserve">This Schedule does not — </w:t>
      </w:r>
    </w:p>
    <w:p>
      <w:pPr>
        <w:pStyle w:val="nzIndenta"/>
      </w:pPr>
      <w:r>
        <w:tab/>
        <w:t>(a)</w:t>
      </w:r>
      <w:r>
        <w:tab/>
        <w:t>confer a right of action in any civil proceeding in respect of any contravention of a listed OSH law; or</w:t>
      </w:r>
    </w:p>
    <w:p>
      <w:pPr>
        <w:pStyle w:val="nzIndenta"/>
      </w:pPr>
      <w:r>
        <w:tab/>
        <w:t>(b)</w:t>
      </w:r>
      <w:r>
        <w:tab/>
        <w:t>confer a defence to an action in any civil proceeding or otherwise affect a right of action in any civil proceeding.</w:t>
      </w:r>
    </w:p>
    <w:p>
      <w:pPr>
        <w:pStyle w:val="nzHeading5"/>
      </w:pPr>
      <w:r>
        <w:t>80.</w:t>
      </w:r>
      <w:r>
        <w:rPr>
          <w:b w:val="0"/>
        </w:rPr>
        <w:tab/>
      </w:r>
      <w:r>
        <w:t>Circumstances preventing compliance may be defence to prosecution</w:t>
      </w:r>
    </w:p>
    <w:p>
      <w:pPr>
        <w:pStyle w:val="nzSubsection"/>
      </w:pPr>
      <w:r>
        <w:tab/>
      </w:r>
      <w:r>
        <w:tab/>
        <w:t>It is a defence to a prosecution for a contravention of a listed OSH law if the defendant proves that it was not practicable to comply with it because of an emergency prevailing at the relevant time.</w:t>
      </w:r>
    </w:p>
    <w:p>
      <w:pPr>
        <w:pStyle w:val="nzHeading5"/>
      </w:pPr>
      <w:r>
        <w:t>81.</w:t>
      </w:r>
      <w:r>
        <w:rPr>
          <w:b w:val="0"/>
        </w:rPr>
        <w:tab/>
      </w:r>
      <w:r>
        <w:t>Regulations — general</w:t>
      </w:r>
    </w:p>
    <w:p>
      <w:pPr>
        <w:pStyle w:val="nzSubsection"/>
      </w:pPr>
      <w:r>
        <w:tab/>
        <w:t>(1)</w:t>
      </w:r>
      <w:r>
        <w:tab/>
        <w:t xml:space="preserve">The regulations may prescribe any of the following — </w:t>
      </w:r>
    </w:p>
    <w:p>
      <w:pPr>
        <w:pStyle w:val="nzIndenta"/>
      </w:pPr>
      <w:r>
        <w:tab/>
        <w:t>(a)</w:t>
      </w:r>
      <w:r>
        <w:tab/>
        <w:t xml:space="preserve">procedures for the selection of persons, under clause 39, as members of safety and health committees, to represent the interests of members of the workforce engaged in a pipeline operation; </w:t>
      </w:r>
    </w:p>
    <w:p>
      <w:pPr>
        <w:pStyle w:val="nzIndenta"/>
      </w:pPr>
      <w:r>
        <w:tab/>
        <w:t>(b)</w:t>
      </w:r>
      <w:r>
        <w:tab/>
        <w:t xml:space="preserve">procedures to be followed at meetings of safety and health committees; </w:t>
      </w:r>
    </w:p>
    <w:p>
      <w:pPr>
        <w:pStyle w:val="nzIndenta"/>
      </w:pPr>
      <w:r>
        <w:tab/>
        <w:t>(c)</w:t>
      </w:r>
      <w:r>
        <w:tab/>
        <w:t xml:space="preserve">the manner in which notices are to be served under this Schedule or the regulations; </w:t>
      </w:r>
    </w:p>
    <w:p>
      <w:pPr>
        <w:pStyle w:val="nzIndenta"/>
        <w:rPr>
          <w:b/>
          <w:i/>
        </w:rPr>
      </w:pPr>
      <w:r>
        <w:tab/>
        <w:t>(d)</w:t>
      </w:r>
      <w:r>
        <w:tab/>
        <w:t>the practice and procedure to be followed in relation to the review of decisions under clause 21 or 64 by reviewing authorities;</w:t>
      </w:r>
    </w:p>
    <w:p>
      <w:pPr>
        <w:pStyle w:val="nzIndenta"/>
      </w:pPr>
      <w:r>
        <w:tab/>
        <w:t>(e)</w:t>
      </w:r>
      <w:r>
        <w:tab/>
        <w:t>forms for the purposes of this Schedule or the regulations.</w:t>
      </w:r>
    </w:p>
    <w:p>
      <w:pPr>
        <w:pStyle w:val="nzSubsection"/>
      </w:pPr>
      <w:r>
        <w:tab/>
        <w:t>(2)</w:t>
      </w:r>
      <w:r>
        <w:tab/>
        <w:t xml:space="preserve">If the Minister is satisfied that — </w:t>
      </w:r>
    </w:p>
    <w:p>
      <w:pPr>
        <w:pStyle w:val="nzIndenta"/>
      </w:pPr>
      <w:r>
        <w:tab/>
        <w:t>(a)</w:t>
      </w:r>
      <w:r>
        <w:tab/>
        <w:t>a power, function or duty is conferred or imposed on a person under a law of this State or the Commonwealth; and</w:t>
      </w:r>
    </w:p>
    <w:p>
      <w:pPr>
        <w:pStyle w:val="nzIndenta"/>
      </w:pPr>
      <w:r>
        <w:tab/>
        <w:t>(b)</w:t>
      </w:r>
      <w:r>
        <w:tab/>
        <w:t>the proper exercise of the power or performance of the function or duty is or would be prevented by this Schedule or a provision of this Schedule,</w:t>
      </w:r>
    </w:p>
    <w:p>
      <w:pPr>
        <w:pStyle w:val="nz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nzSubsection"/>
      </w:pPr>
      <w:r>
        <w:tab/>
        <w:t>(3)</w:t>
      </w:r>
      <w:r>
        <w:tab/>
        <w:t>Regulations made for the purposes of subclause (2) do not remain in force for longer than 5 years after they commence, but this subclause does not prevent the making of further regulations of the same substance.</w:t>
      </w:r>
    </w:p>
    <w:p>
      <w:pPr>
        <w:pStyle w:val="nzSubsection"/>
      </w:pPr>
      <w:r>
        <w:tab/>
        <w:t>(4)</w:t>
      </w:r>
      <w:r>
        <w:tab/>
        <w:t xml:space="preserve">In subclause (2) — </w:t>
      </w:r>
    </w:p>
    <w:p>
      <w:pPr>
        <w:pStyle w:val="nzDefstart"/>
      </w:pPr>
      <w:r>
        <w:tab/>
      </w:r>
      <w:r>
        <w:rPr>
          <w:b/>
        </w:rPr>
        <w:t>“</w:t>
      </w:r>
      <w:r>
        <w:rPr>
          <w:rStyle w:val="CharDefText"/>
        </w:rPr>
        <w:t>this Schedule</w:t>
      </w:r>
      <w:r>
        <w:rPr>
          <w:b/>
        </w:rPr>
        <w:t>”</w:t>
      </w:r>
      <w:r>
        <w:t xml:space="preserve"> includes regulations made for the purposes of this Schedule.</w:t>
      </w:r>
    </w:p>
    <w:p>
      <w:pPr>
        <w:pStyle w:val="MiscClose"/>
        <w:ind w:right="577"/>
      </w:pPr>
      <w:r>
        <w:t xml:space="preserve">    ”.</w:t>
      </w:r>
    </w:p>
    <w:p>
      <w:pPr>
        <w:pStyle w:val="MiscClose"/>
        <w:rPr>
          <w:b/>
          <w:iCs/>
        </w:rPr>
      </w:pPr>
      <w:r>
        <w:rPr>
          <w:b/>
          <w:iCs/>
        </w:rP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Pipelines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20787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F3AEA1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0EB9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CB8EC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E08C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4BE4A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2162A7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BF843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E5E6AFE"/>
    <w:lvl w:ilvl="0">
      <w:start w:val="1"/>
      <w:numFmt w:val="decimal"/>
      <w:pStyle w:val="ListNumber"/>
      <w:lvlText w:val="%1."/>
      <w:lvlJc w:val="left"/>
      <w:pPr>
        <w:tabs>
          <w:tab w:val="num" w:pos="360"/>
        </w:tabs>
        <w:ind w:left="360" w:hanging="360"/>
      </w:pPr>
    </w:lvl>
  </w:abstractNum>
  <w:abstractNum w:abstractNumId="9">
    <w:nsid w:val="FFFFFF89"/>
    <w:multiLevelType w:val="singleLevel"/>
    <w:tmpl w:val="3A24DA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AF8EAA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31E49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7DC33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E342CD3"/>
    <w:multiLevelType w:val="hybridMultilevel"/>
    <w:tmpl w:val="C54A4E4C"/>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BEC1ECA"/>
    <w:multiLevelType w:val="hybridMultilevel"/>
    <w:tmpl w:val="D332C7DE"/>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2">
    <w:nsid w:val="3C2808C0"/>
    <w:multiLevelType w:val="singleLevel"/>
    <w:tmpl w:val="C43A68B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9"/>
  </w:num>
  <w:num w:numId="1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152</Pages>
  <Words>42921</Words>
  <Characters>206455</Characters>
  <Application>Microsoft Office Word</Application>
  <DocSecurity>0</DocSecurity>
  <Lines>5433</Lines>
  <Paragraphs>2833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Act 1969 - 02-h0-02</dc:title>
  <dc:subject/>
  <dc:creator/>
  <cp:keywords/>
  <dc:description/>
  <cp:lastModifiedBy>svcMRProcess</cp:lastModifiedBy>
  <cp:revision>4</cp:revision>
  <cp:lastPrinted>2000-05-26T00:52:00Z</cp:lastPrinted>
  <dcterms:created xsi:type="dcterms:W3CDTF">2018-09-06T05:05:00Z</dcterms:created>
  <dcterms:modified xsi:type="dcterms:W3CDTF">2018-09-06T05:05:00Z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112 of 1969</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597</vt:i4>
  </property>
  <property fmtid="{D5CDD505-2E9C-101B-9397-08002B2CF9AE}" pid="6" name="AsAtDate">
    <vt:lpwstr>09 Apr 2006</vt:lpwstr>
  </property>
  <property fmtid="{D5CDD505-2E9C-101B-9397-08002B2CF9AE}" pid="7" name="Suffix">
    <vt:lpwstr>02-h0-02</vt:lpwstr>
  </property>
</Properties>
</file>