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Cement Works (Cockburn Cement Limited) Agreement Act 1971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Cement Works (Cockburn Cement Limited) Agreement Act 1971</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_Toc156377997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_Toc156377998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_Toc156377999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Variation agreement approved</w:t>
      </w:r>
      <w:r>
        <w:tab/>
      </w:r>
      <w:r>
        <w:fldChar w:fldCharType="begin"/>
      </w:r>
      <w:r>
        <w:instrText xml:space="preserve"> PAGEREF _Toc156378000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Ratification of the Second Variation Agreement</w:t>
      </w:r>
      <w:r>
        <w:tab/>
      </w:r>
      <w:r>
        <w:fldChar w:fldCharType="begin"/>
      </w:r>
      <w:r>
        <w:instrText xml:space="preserve"> PAGEREF _Toc156378001 \h </w:instrText>
      </w:r>
      <w:r>
        <w:fldChar w:fldCharType="separate"/>
      </w:r>
      <w:r>
        <w:t>2</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8"/>
        </w:rPr>
        <w:t>Fourth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_Toc156378007 \h </w:instrText>
      </w:r>
      <w:r>
        <w:fldChar w:fldCharType="separate"/>
      </w:r>
      <w:r>
        <w:t>51</w:t>
      </w:r>
      <w:r>
        <w:fldChar w:fldCharType="end"/>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Cement Works (Cockburn Cement Limited) Agreement Act 1971 </w:t>
      </w:r>
    </w:p>
    <w:p>
      <w:pPr>
        <w:pStyle w:val="LongTitle"/>
        <w:spacing w:after="120"/>
        <w:rPr>
          <w:snapToGrid w:val="0"/>
        </w:rPr>
      </w:pPr>
      <w:r>
        <w:rPr>
          <w:snapToGrid w:val="0"/>
        </w:rPr>
        <w:t xml:space="preserve">An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1" w:name="_Toc459107371"/>
      <w:bookmarkStart w:id="2" w:name="_Toc536522623"/>
      <w:bookmarkStart w:id="3" w:name="_Toc11643202"/>
      <w:bookmarkStart w:id="4" w:name="_Toc156377997"/>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5" w:name="_Toc459107372"/>
      <w:bookmarkStart w:id="6" w:name="_Toc536522624"/>
      <w:bookmarkStart w:id="7" w:name="_Toc11643203"/>
      <w:bookmarkStart w:id="8" w:name="_Toc156377998"/>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as amended by the agreement a copy of which is set forth in the Second Schedule;</w:t>
      </w:r>
    </w:p>
    <w:p>
      <w:pPr>
        <w:pStyle w:val="Defstart"/>
      </w:pPr>
      <w:r>
        <w:rPr>
          <w:b/>
        </w:rPr>
        <w:tab/>
      </w:r>
      <w:r>
        <w:rPr>
          <w:rStyle w:val="CharDefText"/>
        </w:rPr>
        <w:t>the Second Variation Agreement</w:t>
      </w:r>
      <w:r>
        <w:t xml:space="preserve"> means the agreement a copy of which is set forth in the Fourth Schedule;</w:t>
      </w:r>
    </w:p>
    <w:p>
      <w:pPr>
        <w:pStyle w:val="Defstart"/>
      </w:pPr>
      <w:r>
        <w:rPr>
          <w:b/>
        </w:rPr>
        <w:tab/>
      </w:r>
      <w:r>
        <w:rPr>
          <w:rStyle w:val="CharDefText"/>
        </w:rPr>
        <w:t>the variation agreement</w:t>
      </w:r>
      <w:bookmarkStart w:id="9" w:name="endcomma"/>
      <w:bookmarkEnd w:id="9"/>
      <w:r>
        <w:t xml:space="preserve"> </w:t>
      </w:r>
      <w:bookmarkStart w:id="10" w:name="comma"/>
      <w:bookmarkEnd w:id="10"/>
      <w:r>
        <w:t>means the agreement a copy of which is set forth in the Third Schedule.</w:t>
      </w:r>
    </w:p>
    <w:p>
      <w:pPr>
        <w:pStyle w:val="Footnotesection"/>
      </w:pPr>
      <w:r>
        <w:tab/>
        <w:t xml:space="preserve">[Section 2 amended by No. 82 of 1986 s. 4; No. 27 of 1997 s. 4.] </w:t>
      </w:r>
    </w:p>
    <w:p>
      <w:pPr>
        <w:pStyle w:val="Heading5"/>
        <w:rPr>
          <w:snapToGrid w:val="0"/>
        </w:rPr>
      </w:pPr>
      <w:bookmarkStart w:id="11" w:name="_Toc459107373"/>
      <w:bookmarkStart w:id="12" w:name="_Toc536522625"/>
      <w:bookmarkStart w:id="13" w:name="_Toc11643204"/>
      <w:bookmarkStart w:id="14" w:name="_Toc156377999"/>
      <w:r>
        <w:rPr>
          <w:rStyle w:val="CharSectno"/>
        </w:rPr>
        <w:t>3</w:t>
      </w:r>
      <w:r>
        <w:rPr>
          <w:snapToGrid w:val="0"/>
        </w:rPr>
        <w:t>.</w:t>
      </w:r>
      <w:r>
        <w:rPr>
          <w:snapToGrid w:val="0"/>
        </w:rPr>
        <w:tab/>
        <w:t>Ratification of the Agreement</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15" w:name="_Toc459107374"/>
      <w:bookmarkStart w:id="16" w:name="_Toc536522626"/>
      <w:bookmarkStart w:id="17" w:name="_Toc11643205"/>
      <w:bookmarkStart w:id="18" w:name="_Toc156378000"/>
      <w:r>
        <w:rPr>
          <w:rStyle w:val="CharSectno"/>
        </w:rPr>
        <w:t>4</w:t>
      </w:r>
      <w:r>
        <w:rPr>
          <w:snapToGrid w:val="0"/>
        </w:rPr>
        <w:t>.</w:t>
      </w:r>
      <w:r>
        <w:rPr>
          <w:snapToGrid w:val="0"/>
        </w:rPr>
        <w:tab/>
        <w:t>Variation agreement approved</w:t>
      </w:r>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by No. 82 of 1986 s. 5.] </w:t>
      </w:r>
    </w:p>
    <w:p>
      <w:pPr>
        <w:pStyle w:val="Heading5"/>
        <w:rPr>
          <w:snapToGrid w:val="0"/>
        </w:rPr>
      </w:pPr>
      <w:bookmarkStart w:id="19" w:name="_Toc459107375"/>
      <w:bookmarkStart w:id="20" w:name="_Toc536522627"/>
      <w:bookmarkStart w:id="21" w:name="_Toc11643206"/>
      <w:bookmarkStart w:id="22" w:name="_Toc156378001"/>
      <w:r>
        <w:rPr>
          <w:rStyle w:val="CharSectno"/>
        </w:rPr>
        <w:t>5</w:t>
      </w:r>
      <w:r>
        <w:rPr>
          <w:snapToGrid w:val="0"/>
        </w:rPr>
        <w:t>.</w:t>
      </w:r>
      <w:r>
        <w:rPr>
          <w:snapToGrid w:val="0"/>
        </w:rPr>
        <w:tab/>
        <w:t>Ratification of the Second Variation Agreement</w:t>
      </w:r>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pPr>
      <w:r>
        <w:tab/>
        <w:t xml:space="preserve">[Section 5 inserted by No. 27 of 1997 s. 5.]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23" w:name="_Toc11643207"/>
      <w:bookmarkStart w:id="24" w:name="_Toc156378002"/>
      <w:r>
        <w:rPr>
          <w:rStyle w:val="CharSchNo"/>
        </w:rPr>
        <w:t>First Schedule</w:t>
      </w:r>
      <w:bookmarkEnd w:id="23"/>
      <w:bookmarkEnd w:id="24"/>
    </w:p>
    <w:p>
      <w:pPr>
        <w:pStyle w:val="yShoulderClause"/>
        <w:rPr>
          <w:snapToGrid w:val="0"/>
        </w:rPr>
      </w:pPr>
      <w:r>
        <w:rPr>
          <w:snapToGrid w:val="0"/>
        </w:rPr>
        <w:t>[Section 2]</w:t>
      </w:r>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 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4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4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4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pPr>
      <w:r>
        <w:tab/>
        <w:t>(2)</w:t>
      </w:r>
      <w:r>
        <w:tab/>
        <w:t>The Company shall perform and observe all the covenants conditions provisions and stipulations expressed or implied in the memorandum of mortgage dated the 21st day of December, 1960, and registered in the Office of Titles in Perth</w:t>
      </w:r>
      <w:r>
        <w:rPr>
          <w:vertAlign w:val="superscript"/>
        </w:rPr>
        <w:t> 3</w:t>
      </w:r>
      <w:r>
        <w:t xml:space="preserve">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 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r>
              <w:rPr>
                <w:noProof/>
                <w:lang w:eastAsia="en-AU"/>
              </w:rPr>
              <w:drawing>
                <wp:inline distT="0" distB="0" distL="0" distR="0">
                  <wp:extent cx="12319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r>
              <w:rPr>
                <w:noProof/>
                <w:lang w:eastAsia="en-AU"/>
              </w:rPr>
              <w:drawing>
                <wp:inline distT="0" distB="0" distL="0" distR="0">
                  <wp:extent cx="123190" cy="937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93726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lang w:eastAsia="en-AU"/>
              </w:rPr>
              <w:drawing>
                <wp:inline distT="0" distB="0" distL="0" distR="0">
                  <wp:extent cx="123190" cy="722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72263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r>
              <w:rPr>
                <w:noProof/>
                <w:lang w:eastAsia="en-AU"/>
              </w:rPr>
              <w:drawing>
                <wp:inline distT="0" distB="0" distL="0" distR="0">
                  <wp:extent cx="123190" cy="636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25" w:name="_Toc11643208"/>
      <w:bookmarkStart w:id="26" w:name="_Toc156378003"/>
      <w:r>
        <w:rPr>
          <w:rStyle w:val="CharSchNo"/>
        </w:rPr>
        <w:t>Second Schedule</w:t>
      </w:r>
      <w:bookmarkEnd w:id="25"/>
      <w:bookmarkEnd w:id="26"/>
    </w:p>
    <w:p>
      <w:pPr>
        <w:pStyle w:val="yShoulderClause"/>
        <w:rPr>
          <w:snapToGrid w:val="0"/>
        </w:rPr>
      </w:pPr>
      <w:r>
        <w:rPr>
          <w:snapToGrid w:val="0"/>
        </w:rPr>
        <w:t>[Section 2]</w:t>
      </w:r>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r>
              <w:rPr>
                <w:noProof/>
                <w:lang w:eastAsia="en-AU"/>
              </w:rPr>
              <w:drawing>
                <wp:inline distT="0" distB="0" distL="0" distR="0">
                  <wp:extent cx="123190" cy="636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r>
              <w:rPr>
                <w:noProof/>
                <w:lang w:eastAsia="en-AU"/>
              </w:rPr>
              <w:drawing>
                <wp:inline distT="0" distB="0" distL="0" distR="0">
                  <wp:extent cx="123190" cy="6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lang w:eastAsia="en-AU"/>
              </w:rPr>
              <w:drawing>
                <wp:inline distT="0" distB="0" distL="0" distR="0">
                  <wp:extent cx="123190" cy="7385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73850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r>
              <w:rPr>
                <w:noProof/>
                <w:lang w:eastAsia="en-AU"/>
              </w:rPr>
              <w:drawing>
                <wp:inline distT="0" distB="0" distL="0" distR="0">
                  <wp:extent cx="123190" cy="636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27" w:name="_Toc11643209"/>
      <w:bookmarkStart w:id="28" w:name="_Toc156378004"/>
      <w:r>
        <w:rPr>
          <w:rStyle w:val="CharSchNo"/>
        </w:rPr>
        <w:t>Third Schedule</w:t>
      </w:r>
      <w:bookmarkEnd w:id="27"/>
      <w:bookmarkEnd w:id="28"/>
    </w:p>
    <w:p>
      <w:pPr>
        <w:pStyle w:val="yMiscellaneousBody"/>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pPr>
      <w:r>
        <w:t>NOW THIS AGREEMENT WITNESSETH:</w:t>
      </w:r>
    </w:p>
    <w:p>
      <w:pPr>
        <w:pStyle w:val="yMiscellaneousBody"/>
        <w:tabs>
          <w:tab w:val="left" w:pos="567"/>
          <w:tab w:val="left" w:pos="1134"/>
          <w:tab w:val="left" w:pos="1701"/>
          <w:tab w:val="left" w:pos="2268"/>
          <w:tab w:val="left" w:pos="2835"/>
        </w:tabs>
        <w:ind w:left="567" w:hanging="567"/>
      </w:pPr>
      <w:r>
        <w:t>1.</w:t>
      </w:r>
      <w:r>
        <w:tab/>
        <w:t>Subject to the context and subject as hereinafter appears the words and expressions use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pPr>
      <w:r>
        <w:t>4.</w:t>
      </w:r>
      <w:r>
        <w:tab/>
        <w:t>The Principal Agreement is hereby varied as follows — </w:t>
      </w:r>
    </w:p>
    <w:p>
      <w:pPr>
        <w:pStyle w:val="yMiscellaneousBody"/>
        <w:tabs>
          <w:tab w:val="left" w:pos="567"/>
          <w:tab w:val="left" w:pos="1134"/>
          <w:tab w:val="left" w:pos="1701"/>
          <w:tab w:val="left" w:pos="2268"/>
          <w:tab w:val="left" w:pos="2835"/>
        </w:tabs>
      </w:pPr>
      <w:r>
        <w:tab/>
        <w:t>(1)</w:t>
      </w:r>
      <w:r>
        <w:tab/>
        <w:t>Clause 1 subclause (2) — </w:t>
      </w:r>
    </w:p>
    <w:p>
      <w:pPr>
        <w:pStyle w:val="yMiscellaneousBody"/>
        <w:tabs>
          <w:tab w:val="left" w:pos="567"/>
          <w:tab w:val="left" w:pos="1134"/>
          <w:tab w:val="left" w:pos="1701"/>
          <w:tab w:val="left" w:pos="2268"/>
          <w:tab w:val="left" w:pos="2835"/>
        </w:tabs>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 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spacing w:before="150"/>
      </w:pPr>
      <w:r>
        <w:tab/>
      </w:r>
      <w:r>
        <w:tab/>
      </w:r>
      <w:r>
        <w:tab/>
        <w:t>(2)</w:t>
      </w:r>
      <w:r>
        <w:tab/>
        <w:t>Each DMP shall include — </w:t>
      </w:r>
    </w:p>
    <w:p>
      <w:pPr>
        <w:pStyle w:val="yMiscellaneousBody"/>
        <w:tabs>
          <w:tab w:val="left" w:pos="567"/>
          <w:tab w:val="left" w:pos="1134"/>
          <w:tab w:val="left" w:pos="1701"/>
          <w:tab w:val="left" w:pos="2268"/>
          <w:tab w:val="left" w:pos="2835"/>
        </w:tabs>
        <w:spacing w:before="150"/>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pPr>
      <w:r>
        <w:tab/>
      </w:r>
      <w:r>
        <w:tab/>
        <w:t>(a)</w:t>
      </w:r>
      <w:r>
        <w:tab/>
        <w:t>subclause (2) — </w:t>
      </w:r>
    </w:p>
    <w:p>
      <w:pPr>
        <w:pStyle w:val="yMiscellaneousBody"/>
        <w:tabs>
          <w:tab w:val="left" w:pos="567"/>
          <w:tab w:val="left" w:pos="1134"/>
          <w:tab w:val="left" w:pos="1701"/>
          <w:tab w:val="left" w:pos="2268"/>
          <w:tab w:val="left" w:pos="2835"/>
        </w:tabs>
      </w:pPr>
      <w:r>
        <w:tab/>
      </w:r>
      <w:r>
        <w:tab/>
      </w:r>
      <w:r>
        <w:tab/>
        <w:t>by deleting subclause (2) and substituting the following — </w:t>
      </w:r>
    </w:p>
    <w:p>
      <w:pPr>
        <w:pStyle w:val="yMiscellaneousBody"/>
        <w:tabs>
          <w:tab w:val="left" w:pos="567"/>
          <w:tab w:val="left" w:pos="1134"/>
          <w:tab w:val="left" w:pos="1701"/>
          <w:tab w:val="left" w:pos="2268"/>
          <w:tab w:val="left" w:pos="2835"/>
        </w:tabs>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701"/>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spacing w:before="140"/>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spacing w:before="140"/>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spacing w:before="140"/>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spacing w:before="140"/>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spacing w:before="140"/>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spacing w:before="140"/>
      </w:pPr>
      <w:r>
        <w:tab/>
        <w:t>(7)</w:t>
      </w:r>
      <w:r>
        <w:tab/>
        <w:t>Clause 17 — </w:t>
      </w:r>
    </w:p>
    <w:p>
      <w:pPr>
        <w:pStyle w:val="yMiscellaneousBody"/>
        <w:tabs>
          <w:tab w:val="left" w:pos="567"/>
          <w:tab w:val="left" w:pos="1134"/>
          <w:tab w:val="left" w:pos="1701"/>
          <w:tab w:val="left" w:pos="2268"/>
          <w:tab w:val="left" w:pos="2835"/>
        </w:tabs>
        <w:spacing w:before="140"/>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spacing w:before="140"/>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spacing w:before="140"/>
      </w:pPr>
      <w:r>
        <w:tab/>
      </w:r>
      <w:r>
        <w:tab/>
      </w:r>
      <w:r>
        <w:tab/>
        <w:t>“</w:t>
      </w:r>
      <w:r>
        <w:rPr>
          <w:i/>
        </w:rPr>
        <w:t>Commercial Arbitration Act 1985</w:t>
      </w:r>
      <w:r>
        <w:t>”;</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pPr>
      <w:r>
        <w:t>(a)</w:t>
      </w:r>
      <w:r>
        <w:tab/>
        <w:t>If — </w:t>
      </w:r>
    </w:p>
    <w:p>
      <w:pPr>
        <w:pStyle w:val="yMiscellaneousBody"/>
        <w:tabs>
          <w:tab w:val="left" w:pos="567"/>
        </w:tabs>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ind w:left="1134" w:hanging="1134"/>
      </w:pPr>
      <w:r>
        <w:tab/>
        <w:t>(iv)</w:t>
      </w:r>
      <w:r>
        <w:tab/>
        <w:t>the Company shall go into liquidation either voluntarily or involuntarily (except for the purposes of reconstruction or amalgamation); or</w:t>
      </w:r>
    </w:p>
    <w:p>
      <w:pPr>
        <w:pStyle w:val="yMiscellaneousBody"/>
        <w:tabs>
          <w:tab w:val="left" w:pos="567"/>
        </w:tabs>
        <w:ind w:left="1134" w:hanging="1134"/>
      </w:pPr>
      <w:r>
        <w:tab/>
        <w:t>(v)</w:t>
      </w:r>
      <w:r>
        <w:tab/>
        <w:t>the Agreement terminates</w:t>
      </w:r>
    </w:p>
    <w:p>
      <w:pPr>
        <w:pStyle w:val="yMiscellaneousBody"/>
        <w:tabs>
          <w:tab w:val="left" w:pos="567"/>
        </w:tabs>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The Company shall at all times during the said term observe perform and comply with any lawful condition or requirement at any time made by the Water Authority of Western Australia regarding the laying construction use and maintenance of any  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Whenever reasonably required by the Lessor so to do but in any event not later then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r>
              <w:rPr>
                <w:noProof/>
                <w:lang w:eastAsia="en-AU"/>
              </w:rPr>
              <w:drawing>
                <wp:inline distT="0" distB="0" distL="0" distR="0">
                  <wp:extent cx="123190" cy="4927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49276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r>
              <w:rPr>
                <w:noProof/>
                <w:lang w:eastAsia="en-AU"/>
              </w:rPr>
              <w:drawing>
                <wp:inline distT="0" distB="0" distL="0" distR="0">
                  <wp:extent cx="123190" cy="6496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49605"/>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w:t>
            </w:r>
          </w:p>
        </w:tc>
        <w:tc>
          <w:tcPr>
            <w:tcW w:w="709" w:type="dxa"/>
          </w:tcPr>
          <w:p>
            <w:pPr>
              <w:pStyle w:val="yMiscellaneousBody"/>
            </w:pPr>
            <w:r>
              <w:rPr>
                <w:noProof/>
                <w:lang w:eastAsia="en-AU"/>
              </w:rPr>
              <w:drawing>
                <wp:inline distT="0" distB="0" distL="0" distR="0">
                  <wp:extent cx="123190" cy="5245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524510"/>
                          </a:xfrm>
                          <a:prstGeom prst="rect">
                            <a:avLst/>
                          </a:prstGeom>
                          <a:noFill/>
                          <a:ln>
                            <a:noFill/>
                          </a:ln>
                        </pic:spPr>
                      </pic:pic>
                    </a:graphicData>
                  </a:graphic>
                </wp:inline>
              </w:drawing>
            </w:r>
          </w:p>
        </w:tc>
        <w:tc>
          <w:tcPr>
            <w:tcW w:w="2551" w:type="dxa"/>
          </w:tcPr>
          <w:p>
            <w:pPr>
              <w:pStyle w:val="yMiscellaneousBody"/>
              <w:ind w:right="317"/>
              <w:jc w:val="right"/>
            </w:pPr>
            <w:r>
              <w:br/>
              <w:t>BRIAN BURKE</w:t>
            </w:r>
          </w:p>
        </w:tc>
      </w:tr>
    </w:tbl>
    <w:p>
      <w:pPr>
        <w:pStyle w:val="yMiscellaneousBody"/>
      </w:pPr>
      <w:r>
        <w:t>presence of — </w:t>
      </w:r>
    </w:p>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r>
              <w:rPr>
                <w:noProof/>
                <w:lang w:eastAsia="en-AU"/>
              </w:rPr>
              <w:drawing>
                <wp:inline distT="0" distB="0" distL="0" distR="0">
                  <wp:extent cx="123190" cy="6178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17855"/>
                          </a:xfrm>
                          <a:prstGeom prst="rect">
                            <a:avLst/>
                          </a:prstGeom>
                          <a:noFill/>
                          <a:ln>
                            <a:noFill/>
                          </a:ln>
                        </pic:spPr>
                      </pic:pic>
                    </a:graphicData>
                  </a:graphic>
                </wp:inline>
              </w:drawing>
            </w:r>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r>
              <w:rPr>
                <w:noProof/>
                <w:lang w:eastAsia="en-AU"/>
              </w:rPr>
              <w:drawing>
                <wp:inline distT="0" distB="0" distL="0" distR="0">
                  <wp:extent cx="123190" cy="7639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763905"/>
                          </a:xfrm>
                          <a:prstGeom prst="rect">
                            <a:avLst/>
                          </a:prstGeom>
                          <a:noFill/>
                          <a:ln>
                            <a:noFill/>
                          </a:ln>
                        </pic:spPr>
                      </pic:pic>
                    </a:graphicData>
                  </a:graphic>
                </wp:inline>
              </w:drawing>
            </w:r>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r>
              <w:rPr>
                <w:noProof/>
                <w:lang w:eastAsia="en-AU"/>
              </w:rPr>
              <w:drawing>
                <wp:inline distT="0" distB="0" distL="0" distR="0">
                  <wp:extent cx="123190" cy="6724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672465"/>
                          </a:xfrm>
                          <a:prstGeom prst="rect">
                            <a:avLst/>
                          </a:prstGeom>
                          <a:noFill/>
                          <a:ln>
                            <a:noFill/>
                          </a:ln>
                        </pic:spPr>
                      </pic:pic>
                    </a:graphicData>
                  </a:graphic>
                </wp:inline>
              </w:drawing>
            </w:r>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r>
        <w:t xml:space="preserve">[Third Schedule inserted by No. 82 of 1986 s. 6.] </w:t>
      </w:r>
    </w:p>
    <w:p>
      <w:pPr>
        <w:pStyle w:val="yScheduleHeading"/>
      </w:pPr>
      <w:bookmarkStart w:id="29" w:name="_Toc11643210"/>
      <w:bookmarkStart w:id="30" w:name="_Toc156378005"/>
      <w:r>
        <w:rPr>
          <w:rStyle w:val="CharSchNo"/>
        </w:rPr>
        <w:t>Fourth Schedule</w:t>
      </w:r>
      <w:bookmarkEnd w:id="29"/>
      <w:bookmarkEnd w:id="30"/>
    </w:p>
    <w:p>
      <w:pPr>
        <w:pStyle w:val="yShoulderClause"/>
        <w:rPr>
          <w:snapToGrid w:val="0"/>
        </w:rPr>
      </w:pPr>
      <w:r>
        <w:rPr>
          <w:snapToGrid w:val="0"/>
        </w:rPr>
        <w:t>[Section 2]</w:t>
      </w:r>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r>
              <w:rPr>
                <w:noProof/>
                <w:lang w:eastAsia="en-AU"/>
              </w:rPr>
              <w:drawing>
                <wp:inline distT="0" distB="0" distL="0" distR="0">
                  <wp:extent cx="123190" cy="4927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492760"/>
                          </a:xfrm>
                          <a:prstGeom prst="rect">
                            <a:avLst/>
                          </a:prstGeom>
                          <a:noFill/>
                          <a:ln>
                            <a:noFill/>
                          </a:ln>
                        </pic:spPr>
                      </pic:pic>
                    </a:graphicData>
                  </a:graphic>
                </wp:inline>
              </w:drawing>
            </w:r>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r>
              <w:rPr>
                <w:noProof/>
                <w:lang w:eastAsia="en-AU"/>
              </w:rPr>
              <w:drawing>
                <wp:inline distT="0" distB="0" distL="0" distR="0">
                  <wp:extent cx="123190" cy="4927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492760"/>
                          </a:xfrm>
                          <a:prstGeom prst="rect">
                            <a:avLst/>
                          </a:prstGeom>
                          <a:noFill/>
                          <a:ln>
                            <a:noFill/>
                          </a:ln>
                        </pic:spPr>
                      </pic:pic>
                    </a:graphicData>
                  </a:graphic>
                </wp:inline>
              </w:drawing>
            </w:r>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r>
              <w:rPr>
                <w:noProof/>
                <w:lang w:eastAsia="en-AU"/>
              </w:rPr>
              <w:drawing>
                <wp:inline distT="0" distB="0" distL="0" distR="0">
                  <wp:extent cx="123190" cy="8166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816610"/>
                          </a:xfrm>
                          <a:prstGeom prst="rect">
                            <a:avLst/>
                          </a:prstGeom>
                          <a:noFill/>
                          <a:ln>
                            <a:noFill/>
                          </a:ln>
                        </pic:spPr>
                      </pic:pic>
                    </a:graphicData>
                  </a:graphic>
                </wp:inline>
              </w:drawing>
            </w:r>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r>
              <w:rPr>
                <w:noProof/>
                <w:lang w:eastAsia="en-AU"/>
              </w:rPr>
              <w:drawing>
                <wp:inline distT="0" distB="0" distL="0" distR="0">
                  <wp:extent cx="123190" cy="7956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190" cy="795655"/>
                          </a:xfrm>
                          <a:prstGeom prst="rect">
                            <a:avLst/>
                          </a:prstGeom>
                          <a:noFill/>
                          <a:ln>
                            <a:noFill/>
                          </a:ln>
                        </pic:spPr>
                      </pic:pic>
                    </a:graphicData>
                  </a:graphic>
                </wp:inline>
              </w:drawing>
            </w:r>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r>
        <w:t xml:space="preserve">[Fourth Schedule inserted by No. 27 of 1997 s. 6.] </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31" w:name="_Toc156378006"/>
      <w:r>
        <w:t>Notes</w:t>
      </w:r>
      <w:bookmarkEnd w:id="31"/>
    </w:p>
    <w:p>
      <w:pPr>
        <w:pStyle w:val="nSubsection"/>
        <w:rPr>
          <w:snapToGrid w:val="0"/>
        </w:rPr>
      </w:pPr>
      <w:r>
        <w:rPr>
          <w:snapToGrid w:val="0"/>
          <w:vertAlign w:val="superscript"/>
        </w:rPr>
        <w:t>1</w:t>
      </w:r>
      <w:r>
        <w:rPr>
          <w:snapToGrid w:val="0"/>
        </w:rPr>
        <w:tab/>
        <w:t xml:space="preserve">This is a compilation of the </w:t>
      </w:r>
      <w:r>
        <w:rPr>
          <w:i/>
          <w:noProof/>
          <w:snapToGrid w:val="0"/>
        </w:rPr>
        <w:t>Cement Works (Cockburn Cement Limited) Agreement Act 1971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2" w:name="_Toc11643211"/>
      <w:bookmarkStart w:id="33" w:name="_Toc156378007"/>
      <w:r>
        <w:rPr>
          <w:snapToGrid w:val="0"/>
        </w:rPr>
        <w:t>Compilation table</w:t>
      </w:r>
      <w:bookmarkEnd w:id="32"/>
      <w:bookmarkEnd w:id="3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Cement Works (Cockburn Cement Limited) Agreement Act 1971</w:t>
            </w:r>
          </w:p>
        </w:tc>
        <w:tc>
          <w:tcPr>
            <w:tcW w:w="1134" w:type="dxa"/>
          </w:tcPr>
          <w:p>
            <w:pPr>
              <w:pStyle w:val="nTable"/>
              <w:spacing w:before="120"/>
              <w:rPr>
                <w:sz w:val="19"/>
              </w:rPr>
            </w:pPr>
            <w:r>
              <w:rPr>
                <w:sz w:val="19"/>
              </w:rPr>
              <w:t>45 of 1971</w:t>
            </w:r>
          </w:p>
        </w:tc>
        <w:tc>
          <w:tcPr>
            <w:tcW w:w="1134" w:type="dxa"/>
          </w:tcPr>
          <w:p>
            <w:pPr>
              <w:pStyle w:val="nTable"/>
              <w:spacing w:before="120"/>
              <w:rPr>
                <w:sz w:val="19"/>
              </w:rPr>
            </w:pPr>
            <w:r>
              <w:rPr>
                <w:sz w:val="19"/>
              </w:rPr>
              <w:t>10 Dec 1971</w:t>
            </w:r>
          </w:p>
        </w:tc>
        <w:tc>
          <w:tcPr>
            <w:tcW w:w="2552" w:type="dxa"/>
          </w:tcPr>
          <w:p>
            <w:pPr>
              <w:pStyle w:val="nTable"/>
              <w:spacing w:before="120"/>
              <w:rPr>
                <w:sz w:val="19"/>
              </w:rPr>
            </w:pPr>
            <w:r>
              <w:rPr>
                <w:sz w:val="19"/>
              </w:rPr>
              <w:t>10 Dec 1971</w:t>
            </w:r>
          </w:p>
        </w:tc>
      </w:tr>
      <w:tr>
        <w:trPr>
          <w:cantSplit/>
        </w:trPr>
        <w:tc>
          <w:tcPr>
            <w:tcW w:w="2268" w:type="dxa"/>
          </w:tcPr>
          <w:p>
            <w:pPr>
              <w:pStyle w:val="nTable"/>
              <w:spacing w:before="120"/>
              <w:ind w:right="113"/>
              <w:rPr>
                <w:sz w:val="19"/>
              </w:rPr>
            </w:pPr>
            <w:r>
              <w:rPr>
                <w:i/>
                <w:sz w:val="19"/>
              </w:rPr>
              <w:t>Cement Works (Cockburn Cement Limited) Agreement Amendment Act 1986</w:t>
            </w:r>
          </w:p>
        </w:tc>
        <w:tc>
          <w:tcPr>
            <w:tcW w:w="1134" w:type="dxa"/>
          </w:tcPr>
          <w:p>
            <w:pPr>
              <w:pStyle w:val="nTable"/>
              <w:spacing w:before="120"/>
              <w:rPr>
                <w:sz w:val="19"/>
              </w:rPr>
            </w:pPr>
            <w:r>
              <w:rPr>
                <w:sz w:val="19"/>
              </w:rPr>
              <w:t>82 of 1986</w:t>
            </w:r>
          </w:p>
        </w:tc>
        <w:tc>
          <w:tcPr>
            <w:tcW w:w="1134" w:type="dxa"/>
          </w:tcPr>
          <w:p>
            <w:pPr>
              <w:pStyle w:val="nTable"/>
              <w:spacing w:before="120"/>
              <w:rPr>
                <w:sz w:val="19"/>
              </w:rPr>
            </w:pPr>
            <w:r>
              <w:rPr>
                <w:sz w:val="19"/>
              </w:rPr>
              <w:t>9 Dec 1986</w:t>
            </w:r>
          </w:p>
        </w:tc>
        <w:tc>
          <w:tcPr>
            <w:tcW w:w="2552" w:type="dxa"/>
          </w:tcPr>
          <w:p>
            <w:pPr>
              <w:pStyle w:val="nTable"/>
              <w:spacing w:before="120"/>
              <w:rPr>
                <w:sz w:val="19"/>
              </w:rPr>
            </w:pPr>
            <w:r>
              <w:rPr>
                <w:sz w:val="19"/>
              </w:rPr>
              <w:t>9 Dec 1986 (see s. 2)</w:t>
            </w:r>
          </w:p>
        </w:tc>
      </w:tr>
      <w:tr>
        <w:trPr>
          <w:cantSplit/>
        </w:trPr>
        <w:tc>
          <w:tcPr>
            <w:tcW w:w="2268" w:type="dxa"/>
          </w:tcPr>
          <w:p>
            <w:pPr>
              <w:pStyle w:val="nTable"/>
              <w:spacing w:before="120"/>
              <w:ind w:right="113"/>
              <w:rPr>
                <w:sz w:val="19"/>
              </w:rPr>
            </w:pPr>
            <w:r>
              <w:rPr>
                <w:i/>
                <w:sz w:val="19"/>
              </w:rPr>
              <w:t>Cement Works (Cockburn Cement Limited) Agreement Amendment Act 1997</w:t>
            </w:r>
          </w:p>
        </w:tc>
        <w:tc>
          <w:tcPr>
            <w:tcW w:w="1134" w:type="dxa"/>
          </w:tcPr>
          <w:p>
            <w:pPr>
              <w:pStyle w:val="nTable"/>
              <w:spacing w:before="120"/>
              <w:rPr>
                <w:sz w:val="19"/>
              </w:rPr>
            </w:pPr>
            <w:r>
              <w:rPr>
                <w:sz w:val="19"/>
              </w:rPr>
              <w:t>27 of 1997</w:t>
            </w:r>
          </w:p>
        </w:tc>
        <w:tc>
          <w:tcPr>
            <w:tcW w:w="1134" w:type="dxa"/>
          </w:tcPr>
          <w:p>
            <w:pPr>
              <w:pStyle w:val="nTable"/>
              <w:spacing w:before="120"/>
              <w:rPr>
                <w:sz w:val="19"/>
              </w:rPr>
            </w:pPr>
            <w:r>
              <w:rPr>
                <w:sz w:val="19"/>
              </w:rPr>
              <w:t>24 Sep 1997</w:t>
            </w:r>
          </w:p>
        </w:tc>
        <w:tc>
          <w:tcPr>
            <w:tcW w:w="2552" w:type="dxa"/>
          </w:tcPr>
          <w:p>
            <w:pPr>
              <w:pStyle w:val="nTable"/>
              <w:spacing w:before="120"/>
              <w:rPr>
                <w:sz w:val="19"/>
              </w:rPr>
            </w:pPr>
            <w:r>
              <w:rPr>
                <w:sz w:val="19"/>
              </w:rPr>
              <w:t>24 Sep 1997 (see s. 2)</w:t>
            </w:r>
          </w:p>
        </w:tc>
      </w:tr>
      <w:tr>
        <w:trPr>
          <w:cantSplit/>
        </w:trPr>
        <w:tc>
          <w:tcPr>
            <w:tcW w:w="7088" w:type="dxa"/>
            <w:gridSpan w:val="4"/>
            <w:tcBorders>
              <w:bottom w:val="single" w:sz="4" w:space="0" w:color="auto"/>
            </w:tcBorders>
          </w:tcPr>
          <w:p>
            <w:pPr>
              <w:pStyle w:val="nTable"/>
              <w:spacing w:before="120"/>
              <w:rPr>
                <w:sz w:val="19"/>
              </w:rPr>
            </w:pPr>
            <w:r>
              <w:rPr>
                <w:b/>
                <w:sz w:val="19"/>
              </w:rPr>
              <w:t xml:space="preserve">Reprint of the </w:t>
            </w:r>
            <w:r>
              <w:rPr>
                <w:b/>
                <w:i/>
                <w:sz w:val="19"/>
              </w:rPr>
              <w:t>Cement Works (Cockburn Cement Limited) Agreement Act 1971</w:t>
            </w:r>
            <w:r>
              <w:rPr>
                <w:b/>
                <w:sz w:val="19"/>
              </w:rPr>
              <w:t xml:space="preserve"> as at 17 May 2002</w:t>
            </w:r>
            <w:r>
              <w:rPr>
                <w:bCs/>
                <w:sz w:val="19"/>
              </w:rPr>
              <w:t xml:space="preserve"> </w:t>
            </w:r>
            <w:r>
              <w:rPr>
                <w:sz w:val="19"/>
              </w:rPr>
              <w:t>(includes amendments listed above)</w:t>
            </w:r>
          </w:p>
        </w:tc>
      </w:tr>
    </w:tbl>
    <w:p>
      <w:pPr>
        <w:pStyle w:val="nSubsection"/>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4" w:name="_Toc7405065"/>
      <w:r>
        <w:t>Provisions that have not come into operation</w:t>
      </w:r>
      <w:bookmarkEnd w:id="3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4</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pPr>
      <w:r>
        <w:rPr>
          <w:vertAlign w:val="superscript"/>
        </w:rPr>
        <w:t>3</w:t>
      </w:r>
      <w:r>
        <w:tab/>
        <w:t xml:space="preserve">Documents formerly registered in the Office of Titles are now being held by the Western Australian Land Information Authority (see the </w:t>
      </w:r>
      <w:r>
        <w:rPr>
          <w:i/>
          <w:iCs/>
        </w:rPr>
        <w:t>Land Information Authority Act 2006</w:t>
      </w:r>
      <w:r>
        <w:t xml:space="preserve"> s. 100).</w:t>
      </w:r>
    </w:p>
    <w:p>
      <w:pPr>
        <w:pStyle w:val="nSubsection"/>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35" w:name="_Toc233107675"/>
      <w:bookmarkStart w:id="36" w:name="_Toc255473698"/>
      <w:bookmarkStart w:id="37" w:name="_Toc265583753"/>
      <w:r>
        <w:rPr>
          <w:rStyle w:val="CharSectno"/>
          <w:rFonts w:eastAsia="MS Mincho"/>
        </w:rPr>
        <w:t>4</w:t>
      </w:r>
      <w:r>
        <w:rPr>
          <w:rFonts w:eastAsia="MS Mincho"/>
        </w:rPr>
        <w:t>.</w:t>
      </w:r>
      <w:r>
        <w:rPr>
          <w:rFonts w:eastAsia="MS Mincho"/>
        </w:rPr>
        <w:tab/>
        <w:t>Schedule headings reformatted</w:t>
      </w:r>
      <w:bookmarkEnd w:id="35"/>
      <w:bookmarkEnd w:id="36"/>
      <w:bookmarkEnd w:id="37"/>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i/>
                <w:iCs/>
                <w:sz w:val="18"/>
              </w:rPr>
            </w:pPr>
            <w:r>
              <w:rPr>
                <w:rFonts w:eastAsia="MS Mincho"/>
                <w:i/>
                <w:iCs/>
                <w:sz w:val="18"/>
              </w:rPr>
              <w:t>Cement Works (Cockburn Cement Limited) Agreement Act 1971</w:t>
            </w:r>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rFonts w:eastAsia="MS Mincho"/>
                <w:sz w:val="18"/>
              </w:rPr>
              <w:t>Cement Works (Cockburn Cement Limited)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keepNext/>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rFonts w:eastAsia="MS Mincho"/>
                <w:sz w:val="18"/>
              </w:rPr>
              <w:t>Supplemental agreement amending Cement Works (Cockburn Cement Limited)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keepNext/>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sz w:val="18"/>
              </w:rPr>
              <w:t>Third Schedule</w:t>
            </w:r>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rFonts w:eastAsia="MS Mincho"/>
                <w:sz w:val="18"/>
              </w:rPr>
              <w:t>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Fourth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Second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sectPr>
          <w:headerReference w:type="even" r:id="rId30"/>
          <w:headerReference w:type="default" r:id="rId31"/>
          <w:pgSz w:w="11906" w:h="16838" w:code="9"/>
          <w:pgMar w:top="2381" w:right="2409" w:bottom="3543" w:left="2409" w:header="720" w:footer="3380" w:gutter="0"/>
          <w:cols w:space="720"/>
          <w:noEndnote/>
          <w:docGrid w:linePitch="326"/>
        </w:sectPr>
      </w:pPr>
    </w:p>
    <w:p/>
    <w:sectPr>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199"/>
      <w:gridCol w:w="5064"/>
    </w:tblGrid>
    <w:tr>
      <w:trPr>
        <w:cantSplit/>
      </w:trPr>
      <w:tc>
        <w:tcPr>
          <w:tcW w:w="7258" w:type="dxa"/>
          <w:gridSpan w:val="2"/>
        </w:tcPr>
        <w:p>
          <w:pPr>
            <w:pStyle w:val="HeaderActNameLeft"/>
          </w:pPr>
          <w:fldSimple w:instr=" Styleref &quot;Name of Act/Reg&quot; ">
            <w:r>
              <w:rPr>
                <w:noProof/>
              </w:rPr>
              <w:t>Cement Works (Cockburn Cement Limited) Agreement Act 1971</w:t>
            </w:r>
          </w:fldSimple>
        </w:p>
      </w:tc>
    </w:tr>
    <w:tr>
      <w:tc>
        <w:tcPr>
          <w:tcW w:w="2199" w:type="dxa"/>
        </w:tcPr>
        <w:p>
          <w:pPr>
            <w:pStyle w:val="HeaderNumberLeft"/>
          </w:pPr>
        </w:p>
      </w:tc>
      <w:tc>
        <w:tcPr>
          <w:tcW w:w="5064" w:type="dxa"/>
        </w:tcPr>
        <w:p>
          <w:pPr>
            <w:pStyle w:val="HeaderTextLeft"/>
          </w:pPr>
        </w:p>
      </w:tc>
    </w:tr>
    <w:tr>
      <w:tc>
        <w:tcPr>
          <w:tcW w:w="2199" w:type="dxa"/>
        </w:tcPr>
        <w:p>
          <w:pPr>
            <w:pStyle w:val="HeaderNumberLeft"/>
          </w:pPr>
        </w:p>
      </w:tc>
      <w:tc>
        <w:tcPr>
          <w:tcW w:w="5064" w:type="dxa"/>
        </w:tcPr>
        <w:p>
          <w:pPr>
            <w:pStyle w:val="HeaderTextLeft"/>
          </w:pPr>
        </w:p>
      </w:tc>
    </w:tr>
    <w:tr>
      <w:trPr>
        <w:cantSplit/>
      </w:trPr>
      <w:tc>
        <w:tcPr>
          <w:tcW w:w="2199" w:type="dxa"/>
        </w:tcPr>
        <w:p>
          <w:pPr>
            <w:pStyle w:val="HeaderSectionRight"/>
            <w:ind w:right="17"/>
            <w:jc w:val="left"/>
          </w:pPr>
          <w:r>
            <w:fldChar w:fldCharType="begin"/>
          </w:r>
          <w:r>
            <w:instrText xml:space="preserve"> STYLEREF CharSchNo \* MERGEFORMAT </w:instrText>
          </w:r>
          <w:r>
            <w:fldChar w:fldCharType="end"/>
          </w:r>
        </w:p>
      </w:tc>
      <w:tc>
        <w:tcPr>
          <w:tcW w:w="5059" w:type="dxa"/>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92"/>
      <w:gridCol w:w="2371"/>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4892" w:type="dxa"/>
        </w:tcPr>
        <w:p>
          <w:pPr>
            <w:pStyle w:val="HeaderTextRight"/>
          </w:pPr>
        </w:p>
      </w:tc>
      <w:tc>
        <w:tcPr>
          <w:tcW w:w="2371" w:type="dxa"/>
        </w:tcPr>
        <w:p>
          <w:pPr>
            <w:pStyle w:val="HeaderNumberRight"/>
            <w:ind w:right="17"/>
          </w:pPr>
        </w:p>
      </w:tc>
    </w:tr>
    <w:tr>
      <w:tc>
        <w:tcPr>
          <w:tcW w:w="4892" w:type="dxa"/>
        </w:tcPr>
        <w:p>
          <w:pPr>
            <w:pStyle w:val="HeaderTextRight"/>
          </w:pPr>
        </w:p>
      </w:tc>
      <w:tc>
        <w:tcPr>
          <w:tcW w:w="2371" w:type="dxa"/>
        </w:tcPr>
        <w:p>
          <w:pPr>
            <w:pStyle w:val="HeaderNumberRight"/>
            <w:ind w:right="17"/>
          </w:pPr>
        </w:p>
      </w:tc>
    </w:tr>
    <w:tr>
      <w:trPr>
        <w:cantSplit/>
      </w:trPr>
      <w:tc>
        <w:tcPr>
          <w:tcW w:w="4892" w:type="dxa"/>
        </w:tcPr>
        <w:p>
          <w:pPr>
            <w:pStyle w:val="HeaderSectionRight"/>
            <w:ind w:right="17"/>
          </w:pPr>
        </w:p>
      </w:tc>
      <w:tc>
        <w:tcPr>
          <w:tcW w:w="236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Cement Works (Cockburn Cement Limited) Agreement Act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Cement Works (Cockburn Cement Limited) Agreement Act 1971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5617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1A4E5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A929ED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F44A9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58D0BE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3F4505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4E6B5B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244F9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DB0855A"/>
    <w:lvl w:ilvl="0">
      <w:start w:val="1"/>
      <w:numFmt w:val="decimal"/>
      <w:pStyle w:val="ListNumber"/>
      <w:lvlText w:val="%1."/>
      <w:lvlJc w:val="left"/>
      <w:pPr>
        <w:tabs>
          <w:tab w:val="num" w:pos="360"/>
        </w:tabs>
        <w:ind w:left="360" w:hanging="360"/>
      </w:pPr>
    </w:lvl>
  </w:abstractNum>
  <w:abstractNum w:abstractNumId="9">
    <w:nsid w:val="FFFFFF89"/>
    <w:multiLevelType w:val="singleLevel"/>
    <w:tmpl w:val="F09AFC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FE0F20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FC1445A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16116</Words>
  <Characters>78812</Characters>
  <Application>Microsoft Office Word</Application>
  <DocSecurity>0</DocSecurity>
  <Lines>1876</Lines>
  <Paragraphs>654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1971 - 01-b0-01</dc:title>
  <dc:subject/>
  <dc:creator/>
  <cp:keywords/>
  <dc:description/>
  <cp:lastModifiedBy>svcMRProcess</cp:lastModifiedBy>
  <cp:revision>4</cp:revision>
  <cp:lastPrinted>2002-05-30T00:12:00Z</cp:lastPrinted>
  <dcterms:created xsi:type="dcterms:W3CDTF">2020-02-14T00:31:00Z</dcterms:created>
  <dcterms:modified xsi:type="dcterms:W3CDTF">2020-02-14T00:31:00Z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01-b0-01</vt:lpwstr>
  </property>
</Properties>
</file>