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citation</w:t>
      </w:r>
      <w:r>
        <w:tab/>
      </w:r>
      <w:r>
        <w:fldChar w:fldCharType="begin"/>
      </w:r>
      <w:r>
        <w:instrText xml:space="preserve"> PAGEREF _Toc270606449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_Toc270606450 \h </w:instrText>
      </w:r>
      <w:r>
        <w:fldChar w:fldCharType="separate"/>
      </w:r>
      <w:r>
        <w:t>1</w:t>
      </w:r>
      <w:r>
        <w:fldChar w:fldCharType="end"/>
      </w:r>
    </w:p>
    <w:p>
      <w:pPr>
        <w:pStyle w:val="TOC8"/>
        <w:rPr>
          <w:sz w:val="24"/>
          <w:szCs w:val="24"/>
        </w:rPr>
      </w:pPr>
      <w:r>
        <w:rPr>
          <w:szCs w:val="24"/>
        </w:rPr>
        <w:t>3.</w:t>
      </w:r>
      <w:r>
        <w:rPr>
          <w:szCs w:val="24"/>
        </w:rPr>
        <w:tab/>
        <w:t>Agreement approved and provisions to take effect</w:t>
      </w:r>
      <w:r>
        <w:tab/>
      </w:r>
      <w:r>
        <w:fldChar w:fldCharType="begin"/>
      </w:r>
      <w:r>
        <w:instrText xml:space="preserve"> PAGEREF _Toc270606451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Variation Agreement approved</w:t>
      </w:r>
      <w:r>
        <w:tab/>
      </w:r>
      <w:r>
        <w:fldChar w:fldCharType="begin"/>
      </w:r>
      <w:r>
        <w:instrText xml:space="preserve"> PAGEREF _Toc270606452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Second Variation Agreement approved and ratified</w:t>
      </w:r>
      <w:r>
        <w:tab/>
      </w:r>
      <w:r>
        <w:fldChar w:fldCharType="begin"/>
      </w:r>
      <w:r>
        <w:instrText xml:space="preserve"> PAGEREF _Toc270606453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_Toc270606454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_Toc270606455 \h </w:instrText>
      </w:r>
      <w:r>
        <w:fldChar w:fldCharType="separate"/>
      </w:r>
      <w:r>
        <w:t>3</w:t>
      </w:r>
      <w:r>
        <w:fldChar w:fldCharType="end"/>
      </w:r>
    </w:p>
    <w:p>
      <w:pPr>
        <w:pStyle w:val="TOC8"/>
        <w:rPr>
          <w:sz w:val="24"/>
          <w:szCs w:val="24"/>
        </w:rPr>
      </w:pPr>
      <w:r>
        <w:rPr>
          <w:szCs w:val="24"/>
        </w:rPr>
        <w:t>3E.</w:t>
      </w:r>
      <w:r>
        <w:rPr>
          <w:szCs w:val="24"/>
        </w:rPr>
        <w:tab/>
        <w:t>Fifth Variation Agreement</w:t>
      </w:r>
      <w:r>
        <w:tab/>
      </w:r>
      <w:r>
        <w:fldChar w:fldCharType="begin"/>
      </w:r>
      <w:r>
        <w:instrText xml:space="preserve"> PAGEREF _Toc270606456 \h </w:instrText>
      </w:r>
      <w:r>
        <w:fldChar w:fldCharType="separate"/>
      </w:r>
      <w:r>
        <w:t>3</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_Toc270606457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_Toc270606458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 xml:space="preserve">Certain provisions of </w:t>
      </w:r>
      <w:r>
        <w:rPr>
          <w:i/>
          <w:snapToGrid w:val="0"/>
          <w:szCs w:val="24"/>
        </w:rPr>
        <w:t>Mining Act 1904</w:t>
      </w:r>
      <w:r>
        <w:rPr>
          <w:snapToGrid w:val="0"/>
          <w:szCs w:val="24"/>
        </w:rPr>
        <w:t xml:space="preserve"> , etc., and </w:t>
      </w:r>
      <w:r>
        <w:rPr>
          <w:i/>
          <w:snapToGrid w:val="0"/>
          <w:szCs w:val="24"/>
        </w:rPr>
        <w:t>Transfer of Land Act 1893</w:t>
      </w:r>
      <w:r>
        <w:rPr>
          <w:snapToGrid w:val="0"/>
          <w:szCs w:val="24"/>
        </w:rPr>
        <w:t>, not to apply to floating charge</w:t>
      </w:r>
      <w:r>
        <w:tab/>
      </w:r>
      <w:r>
        <w:fldChar w:fldCharType="begin"/>
      </w:r>
      <w:r>
        <w:instrText xml:space="preserve"> PAGEREF _Toc270606459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r>
      <w:r>
        <w:rPr>
          <w:i/>
          <w:snapToGrid w:val="0"/>
          <w:szCs w:val="24"/>
        </w:rPr>
        <w:t>Partition Act 1878</w:t>
      </w:r>
      <w:r>
        <w:rPr>
          <w:snapToGrid w:val="0"/>
          <w:szCs w:val="24"/>
        </w:rPr>
        <w:t xml:space="preserve">  not to apply to certain fee simple, etc.</w:t>
      </w:r>
      <w:r>
        <w:tab/>
      </w:r>
      <w:r>
        <w:fldChar w:fldCharType="begin"/>
      </w:r>
      <w:r>
        <w:instrText xml:space="preserve"> PAGEREF _Toc270606460 \h </w:instrText>
      </w:r>
      <w:r>
        <w:fldChar w:fldCharType="separate"/>
      </w:r>
      <w:r>
        <w:t>6</w:t>
      </w:r>
      <w:r>
        <w:fldChar w:fldCharType="end"/>
      </w:r>
    </w:p>
    <w:p>
      <w:pPr>
        <w:pStyle w:val="TOC2"/>
        <w:tabs>
          <w:tab w:val="right" w:leader="dot" w:pos="7078"/>
        </w:tabs>
        <w:rPr>
          <w:b w:val="0"/>
          <w:sz w:val="24"/>
          <w:szCs w:val="24"/>
        </w:rPr>
      </w:pPr>
      <w:r>
        <w:rPr>
          <w:szCs w:val="28"/>
        </w:rPr>
        <w:lastRenderedPageBreak/>
        <w:t>The Schedules</w:t>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8"/>
        </w:rPr>
        <w:t>Fourth Schedule</w:t>
      </w:r>
    </w:p>
    <w:p>
      <w:pPr>
        <w:pStyle w:val="TOC2"/>
        <w:tabs>
          <w:tab w:val="right" w:leader="dot" w:pos="7078"/>
        </w:tabs>
        <w:rPr>
          <w:b w:val="0"/>
          <w:sz w:val="24"/>
          <w:szCs w:val="24"/>
        </w:rPr>
      </w:pPr>
      <w:r>
        <w:rPr>
          <w:szCs w:val="28"/>
        </w:rPr>
        <w:t>Fifth Schedule</w:t>
      </w:r>
    </w:p>
    <w:p>
      <w:pPr>
        <w:pStyle w:val="TOC2"/>
        <w:tabs>
          <w:tab w:val="right" w:leader="dot" w:pos="7078"/>
        </w:tabs>
        <w:rPr>
          <w:b w:val="0"/>
          <w:sz w:val="24"/>
          <w:szCs w:val="24"/>
        </w:rPr>
      </w:pPr>
      <w:r>
        <w:rPr>
          <w:szCs w:val="28"/>
        </w:rPr>
        <w:t>Sixth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_Toc270606469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_Toc270606470 \h </w:instrText>
      </w:r>
      <w:r>
        <w:fldChar w:fldCharType="separate"/>
      </w:r>
      <w:r>
        <w:t>114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70606449"/>
      <w:r>
        <w:rPr>
          <w:rStyle w:val="CharSectno"/>
        </w:rPr>
        <w:t>1</w:t>
      </w:r>
      <w:r>
        <w:rPr>
          <w:snapToGrid w:val="0"/>
        </w:rPr>
        <w:t>.</w:t>
      </w:r>
      <w:r>
        <w:rPr>
          <w:snapToGrid w:val="0"/>
        </w:rPr>
        <w:tab/>
        <w:t>Short title and 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6" w:name="_Toc501335080"/>
      <w:bookmarkStart w:id="7" w:name="_Toc336340"/>
      <w:bookmarkStart w:id="8" w:name="_Toc336456"/>
      <w:bookmarkStart w:id="9" w:name="_Toc6041904"/>
      <w:bookmarkStart w:id="10" w:name="_Toc270606450"/>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 xml:space="preserve">[Section 2 amended by No. 12 of 1979 s. 2; No. 51 of 1990 s. 4; No. 8 of 1994 s. 4; No. 57 of 2000 s. 20; No. 34 of 2010 s. 18.] </w:t>
      </w:r>
    </w:p>
    <w:p>
      <w:pPr>
        <w:pStyle w:val="Heading5"/>
      </w:pPr>
      <w:bookmarkStart w:id="11" w:name="_Toc501335081"/>
      <w:bookmarkStart w:id="12" w:name="_Toc336341"/>
      <w:bookmarkStart w:id="13" w:name="_Toc336457"/>
      <w:bookmarkStart w:id="14" w:name="_Toc6041905"/>
      <w:bookmarkStart w:id="15" w:name="_Toc270606451"/>
      <w:r>
        <w:rPr>
          <w:rStyle w:val="CharSectno"/>
        </w:rPr>
        <w:t>3</w:t>
      </w:r>
      <w:r>
        <w:t>.</w:t>
      </w:r>
      <w:r>
        <w:tab/>
        <w:t>Agreement approved and provisions to take effect</w:t>
      </w:r>
      <w:bookmarkEnd w:id="11"/>
      <w:bookmarkEnd w:id="12"/>
      <w:bookmarkEnd w:id="13"/>
      <w:bookmarkEnd w:id="14"/>
      <w:bookmarkEnd w:id="1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6" w:name="_Toc501335082"/>
      <w:bookmarkStart w:id="17" w:name="_Toc336342"/>
      <w:bookmarkStart w:id="18" w:name="_Toc336458"/>
      <w:bookmarkStart w:id="19" w:name="_Toc6041906"/>
      <w:bookmarkStart w:id="20" w:name="_Toc270606452"/>
      <w:r>
        <w:rPr>
          <w:rStyle w:val="CharSectno"/>
        </w:rPr>
        <w:t>3A</w:t>
      </w:r>
      <w:r>
        <w:rPr>
          <w:snapToGrid w:val="0"/>
        </w:rPr>
        <w:t>.</w:t>
      </w:r>
      <w:r>
        <w:rPr>
          <w:snapToGrid w:val="0"/>
        </w:rPr>
        <w:tab/>
        <w:t>First Variation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1" w:name="_Toc501335083"/>
      <w:bookmarkStart w:id="22" w:name="_Toc336343"/>
      <w:bookmarkStart w:id="23" w:name="_Toc336459"/>
      <w:bookmarkStart w:id="24" w:name="_Toc6041907"/>
      <w:bookmarkStart w:id="25" w:name="_Toc270606453"/>
      <w:r>
        <w:rPr>
          <w:rStyle w:val="CharSectno"/>
        </w:rPr>
        <w:t>3B</w:t>
      </w:r>
      <w:r>
        <w:rPr>
          <w:snapToGrid w:val="0"/>
        </w:rPr>
        <w:t>.</w:t>
      </w:r>
      <w:r>
        <w:rPr>
          <w:snapToGrid w:val="0"/>
        </w:rPr>
        <w:tab/>
        <w:t>Second Variation Agreement approved and ratified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6" w:name="_Toc501335084"/>
      <w:bookmarkStart w:id="27" w:name="_Toc336344"/>
      <w:bookmarkStart w:id="28" w:name="_Toc336460"/>
      <w:bookmarkStart w:id="29" w:name="_Toc6041908"/>
      <w:bookmarkStart w:id="30" w:name="_Toc270606454"/>
      <w:r>
        <w:rPr>
          <w:rStyle w:val="CharSectno"/>
        </w:rPr>
        <w:t>3C</w:t>
      </w:r>
      <w:r>
        <w:rPr>
          <w:snapToGrid w:val="0"/>
        </w:rPr>
        <w:t>.</w:t>
      </w:r>
      <w:r>
        <w:rPr>
          <w:snapToGrid w:val="0"/>
        </w:rPr>
        <w:tab/>
        <w:t>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1" w:name="_Toc501335085"/>
      <w:bookmarkStart w:id="32" w:name="_Toc336345"/>
      <w:bookmarkStart w:id="33" w:name="_Toc336461"/>
      <w:bookmarkStart w:id="34" w:name="_Toc6041909"/>
      <w:bookmarkStart w:id="35" w:name="_Toc270606455"/>
      <w:r>
        <w:rPr>
          <w:rStyle w:val="CharSectno"/>
        </w:rPr>
        <w:t>3D</w:t>
      </w:r>
      <w:r>
        <w:rPr>
          <w:snapToGrid w:val="0"/>
        </w:rPr>
        <w:t>.</w:t>
      </w:r>
      <w:r>
        <w:rPr>
          <w:snapToGrid w:val="0"/>
        </w:rPr>
        <w:tab/>
        <w:t>Fourth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36" w:name="_Toc501335086"/>
      <w:bookmarkStart w:id="37" w:name="_Toc336346"/>
      <w:bookmarkStart w:id="38" w:name="_Toc336462"/>
      <w:bookmarkStart w:id="39" w:name="_Toc6041910"/>
      <w:bookmarkStart w:id="40" w:name="_Toc270606456"/>
      <w:r>
        <w:rPr>
          <w:rStyle w:val="CharSectno"/>
        </w:rPr>
        <w:t>3E</w:t>
      </w:r>
      <w:r>
        <w:t>.</w:t>
      </w:r>
      <w:r>
        <w:tab/>
        <w:t>Fifth Variation Agreement</w:t>
      </w:r>
      <w:bookmarkEnd w:id="36"/>
      <w:bookmarkEnd w:id="37"/>
      <w:bookmarkEnd w:id="38"/>
      <w:bookmarkEnd w:id="39"/>
      <w:bookmarkEnd w:id="4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41" w:name="_Toc270333573"/>
      <w:bookmarkStart w:id="42" w:name="_Toc270602744"/>
      <w:bookmarkStart w:id="43" w:name="_Toc270606457"/>
      <w:bookmarkStart w:id="44" w:name="_Toc501335087"/>
      <w:bookmarkStart w:id="45" w:name="_Toc336347"/>
      <w:bookmarkStart w:id="46" w:name="_Toc336463"/>
      <w:bookmarkStart w:id="47" w:name="_Toc6041911"/>
      <w:r>
        <w:rPr>
          <w:rStyle w:val="CharSectno"/>
        </w:rPr>
        <w:t>4A</w:t>
      </w:r>
      <w:r>
        <w:t>.</w:t>
      </w:r>
      <w:r>
        <w:tab/>
        <w:t>Variation of Agreement to increase rates of royalty</w:t>
      </w:r>
      <w:bookmarkEnd w:id="41"/>
      <w:bookmarkEnd w:id="42"/>
      <w:bookmarkEnd w:id="43"/>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p>
    <w:p>
      <w:pPr>
        <w:pStyle w:val="Footnotesection"/>
      </w:pPr>
      <w:r>
        <w:tab/>
        <w:t>[Section 4A inserted by No. 34 of 2010 s. 19.]</w:t>
      </w:r>
    </w:p>
    <w:p>
      <w:pPr>
        <w:pStyle w:val="Heading5"/>
        <w:rPr>
          <w:snapToGrid w:val="0"/>
        </w:rPr>
      </w:pPr>
      <w:bookmarkStart w:id="48" w:name="_Toc270606458"/>
      <w:r>
        <w:rPr>
          <w:rStyle w:val="CharSectno"/>
        </w:rPr>
        <w:t>4</w:t>
      </w:r>
      <w:r>
        <w:rPr>
          <w:snapToGrid w:val="0"/>
        </w:rPr>
        <w:t>.</w:t>
      </w:r>
      <w:r>
        <w:rPr>
          <w:snapToGrid w:val="0"/>
        </w:rPr>
        <w:tab/>
        <w:t>By</w:t>
      </w:r>
      <w:r>
        <w:rPr>
          <w:snapToGrid w:val="0"/>
        </w:rPr>
        <w:noBreakHyphen/>
        <w:t>laws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49" w:name="_Toc501335088"/>
      <w:bookmarkStart w:id="50" w:name="_Toc336348"/>
      <w:bookmarkStart w:id="51" w:name="_Toc336464"/>
      <w:bookmarkStart w:id="52" w:name="_Toc6041912"/>
      <w:bookmarkStart w:id="53" w:name="_Toc270606459"/>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49"/>
      <w:bookmarkEnd w:id="50"/>
      <w:bookmarkEnd w:id="51"/>
      <w:bookmarkEnd w:id="52"/>
      <w:bookmarkEnd w:id="53"/>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54" w:name="_Toc501335089"/>
      <w:bookmarkStart w:id="55" w:name="_Toc336349"/>
      <w:bookmarkStart w:id="56" w:name="_Toc336465"/>
      <w:bookmarkStart w:id="57" w:name="_Toc6041913"/>
      <w:bookmarkStart w:id="58" w:name="_Toc270606460"/>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54"/>
      <w:bookmarkEnd w:id="55"/>
      <w:bookmarkEnd w:id="56"/>
      <w:bookmarkEnd w:id="57"/>
      <w:bookmarkEnd w:id="58"/>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9" w:name="_Toc336466"/>
      <w:bookmarkStart w:id="60" w:name="_Toc3283297"/>
      <w:bookmarkStart w:id="61" w:name="_Toc3619151"/>
      <w:bookmarkStart w:id="62" w:name="_Toc6041914"/>
      <w:bookmarkStart w:id="63" w:name="_Toc266972652"/>
      <w:bookmarkStart w:id="64" w:name="_Toc270604975"/>
      <w:bookmarkStart w:id="65" w:name="_Toc270604997"/>
      <w:bookmarkStart w:id="66" w:name="_Toc270606461"/>
      <w:r>
        <w:t>The Schedules</w:t>
      </w:r>
      <w:bookmarkEnd w:id="59"/>
      <w:bookmarkEnd w:id="60"/>
      <w:bookmarkEnd w:id="61"/>
      <w:bookmarkEnd w:id="62"/>
      <w:bookmarkEnd w:id="63"/>
      <w:bookmarkEnd w:id="64"/>
      <w:bookmarkEnd w:id="65"/>
      <w:bookmarkEnd w:id="66"/>
    </w:p>
    <w:p>
      <w:pPr>
        <w:pStyle w:val="yScheduleHeading"/>
        <w:pageBreakBefore w:val="0"/>
      </w:pPr>
      <w:bookmarkStart w:id="67" w:name="_Toc336467"/>
      <w:bookmarkStart w:id="68" w:name="_Toc6041915"/>
      <w:bookmarkStart w:id="69" w:name="_Toc266972653"/>
      <w:bookmarkStart w:id="70" w:name="_Toc270604976"/>
      <w:bookmarkStart w:id="71" w:name="_Toc270604998"/>
      <w:bookmarkStart w:id="72" w:name="_Toc270606462"/>
      <w:r>
        <w:rPr>
          <w:rStyle w:val="CharSchNo"/>
        </w:rPr>
        <w:t>First Schedule</w:t>
      </w:r>
      <w:bookmarkEnd w:id="67"/>
      <w:bookmarkEnd w:id="68"/>
      <w:bookmarkEnd w:id="69"/>
      <w:bookmarkEnd w:id="70"/>
      <w:bookmarkEnd w:id="71"/>
      <w:bookmarkEnd w:id="72"/>
    </w:p>
    <w:p>
      <w:pPr>
        <w:pStyle w:val="yFootnoteheading"/>
        <w:rPr>
          <w:snapToGrid w:val="0"/>
        </w:rPr>
      </w:pPr>
      <w:r>
        <w:rPr>
          <w:snapToGrid w:val="0"/>
        </w:rPr>
        <w:tab/>
        <w:t>[Headings inserted by No. 63 of 1967 s. 5.]</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73" w:name="_Toc336468"/>
      <w:bookmarkStart w:id="74" w:name="_Toc6041916"/>
      <w:bookmarkStart w:id="75" w:name="_Toc266972654"/>
      <w:bookmarkStart w:id="76" w:name="_Toc270604977"/>
      <w:bookmarkStart w:id="77" w:name="_Toc270604999"/>
      <w:bookmarkStart w:id="78" w:name="_Toc270606463"/>
      <w:r>
        <w:rPr>
          <w:rStyle w:val="CharSchNo"/>
        </w:rPr>
        <w:t>Second Schedule</w:t>
      </w:r>
      <w:bookmarkEnd w:id="73"/>
      <w:bookmarkEnd w:id="74"/>
      <w:bookmarkEnd w:id="75"/>
      <w:bookmarkEnd w:id="76"/>
      <w:bookmarkEnd w:id="77"/>
      <w:bookmarkEnd w:id="78"/>
    </w:p>
    <w:p>
      <w:pPr>
        <w:pStyle w:val="MiscellaneousBody"/>
        <w:jc w:val="right"/>
        <w:rPr>
          <w:snapToGrid w:val="0"/>
          <w:sz w:val="22"/>
        </w:rPr>
      </w:pPr>
      <w:r>
        <w:rPr>
          <w:snapToGrid w:val="0"/>
          <w:sz w:val="22"/>
        </w:rPr>
        <w:t>[Section 2]</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ab/>
        <w:t>[Second Schedule inserted by No. 63 of 1967 s. 6.]</w:t>
      </w:r>
    </w:p>
    <w:p>
      <w:pPr>
        <w:pStyle w:val="yScheduleHeading"/>
      </w:pPr>
      <w:bookmarkStart w:id="79" w:name="_Toc336469"/>
      <w:bookmarkStart w:id="80" w:name="_Toc6041917"/>
      <w:bookmarkStart w:id="81" w:name="_Toc266972655"/>
      <w:bookmarkStart w:id="82" w:name="_Toc270604978"/>
      <w:bookmarkStart w:id="83" w:name="_Toc270605000"/>
      <w:bookmarkStart w:id="84" w:name="_Toc270606464"/>
      <w:r>
        <w:rPr>
          <w:rStyle w:val="CharSchNo"/>
        </w:rPr>
        <w:t>Third Schedule</w:t>
      </w:r>
      <w:bookmarkEnd w:id="79"/>
      <w:bookmarkEnd w:id="80"/>
      <w:bookmarkEnd w:id="81"/>
      <w:bookmarkEnd w:id="82"/>
      <w:bookmarkEnd w:id="83"/>
      <w:bookmarkEnd w:id="84"/>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ab/>
        <w:t>[Third Schedule inserted by No. 12 of 1979 s. 5.]</w:t>
      </w:r>
    </w:p>
    <w:p>
      <w:pPr>
        <w:pStyle w:val="yScheduleHeading"/>
      </w:pPr>
      <w:bookmarkStart w:id="85" w:name="_Toc336470"/>
      <w:bookmarkStart w:id="86" w:name="_Toc6041918"/>
      <w:bookmarkStart w:id="87" w:name="_Toc266972656"/>
      <w:bookmarkStart w:id="88" w:name="_Toc270604979"/>
      <w:bookmarkStart w:id="89" w:name="_Toc270605001"/>
      <w:bookmarkStart w:id="90" w:name="_Toc270606465"/>
      <w:r>
        <w:rPr>
          <w:rStyle w:val="CharSchNo"/>
        </w:rPr>
        <w:t>Fourth Schedule</w:t>
      </w:r>
      <w:bookmarkEnd w:id="85"/>
      <w:bookmarkEnd w:id="86"/>
      <w:bookmarkEnd w:id="87"/>
      <w:bookmarkEnd w:id="88"/>
      <w:bookmarkEnd w:id="89"/>
      <w:bookmarkEnd w:id="90"/>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ab/>
        <w:t>[Fourth Schedule inserted by No. 51 of 1990 s. 6.]</w:t>
      </w:r>
    </w:p>
    <w:p>
      <w:pPr>
        <w:pStyle w:val="yScheduleHeading"/>
      </w:pPr>
      <w:bookmarkStart w:id="91" w:name="_Toc336471"/>
      <w:bookmarkStart w:id="92" w:name="_Toc6041919"/>
      <w:bookmarkStart w:id="93" w:name="_Toc266972657"/>
      <w:bookmarkStart w:id="94" w:name="_Toc270604980"/>
      <w:bookmarkStart w:id="95" w:name="_Toc270605002"/>
      <w:bookmarkStart w:id="96" w:name="_Toc270606466"/>
      <w:r>
        <w:rPr>
          <w:rStyle w:val="CharSchNo"/>
        </w:rPr>
        <w:t>Fifth Schedule</w:t>
      </w:r>
      <w:bookmarkEnd w:id="91"/>
      <w:bookmarkEnd w:id="92"/>
      <w:bookmarkEnd w:id="93"/>
      <w:bookmarkEnd w:id="94"/>
      <w:bookmarkEnd w:id="95"/>
      <w:bookmarkEnd w:id="96"/>
    </w:p>
    <w:p>
      <w:pPr>
        <w:pStyle w:val="MiscellaneousBody"/>
        <w:jc w:val="right"/>
        <w:rPr>
          <w:snapToGrid w:val="0"/>
          <w:sz w:val="22"/>
        </w:rPr>
      </w:pPr>
      <w:r>
        <w:rPr>
          <w:snapToGrid w:val="0"/>
          <w:sz w:val="22"/>
        </w:rPr>
        <w:t>[section 2]</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97" w:name="endcomma"/>
      <w:bookmarkEnd w:id="97"/>
      <w:r>
        <w:rPr>
          <w:b/>
          <w:sz w:val="22"/>
        </w:rPr>
        <w:t>Pilbara Energy Project Agreement”</w:t>
      </w:r>
      <w:r>
        <w:rPr>
          <w:sz w:val="22"/>
        </w:rPr>
        <w:t xml:space="preserve"> </w:t>
      </w:r>
      <w:bookmarkStart w:id="98" w:name="comma"/>
      <w:bookmarkEnd w:id="98"/>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ab/>
        <w:t xml:space="preserve">[Fifth Schedule inserted by No. 8 of 1994 s. 6.] </w:t>
      </w:r>
    </w:p>
    <w:p>
      <w:pPr>
        <w:pStyle w:val="yScheduleHeading"/>
      </w:pPr>
      <w:bookmarkStart w:id="99" w:name="_Toc336472"/>
      <w:bookmarkStart w:id="100" w:name="_Toc6041920"/>
      <w:bookmarkStart w:id="101" w:name="_Toc266972658"/>
      <w:bookmarkStart w:id="102" w:name="_Toc270604981"/>
      <w:bookmarkStart w:id="103" w:name="_Toc270605003"/>
      <w:bookmarkStart w:id="104" w:name="_Toc270606467"/>
      <w:r>
        <w:rPr>
          <w:rStyle w:val="CharSchNo"/>
        </w:rPr>
        <w:t>Sixth Schedule</w:t>
      </w:r>
      <w:bookmarkEnd w:id="99"/>
      <w:bookmarkEnd w:id="100"/>
      <w:bookmarkEnd w:id="101"/>
      <w:bookmarkEnd w:id="102"/>
      <w:bookmarkEnd w:id="103"/>
      <w:bookmarkEnd w:id="104"/>
      <w:r>
        <w:rPr>
          <w:rStyle w:val="CharSchNo"/>
        </w:rPr>
        <w:t> </w:t>
      </w:r>
    </w:p>
    <w:p>
      <w:pPr>
        <w:pStyle w:val="MiscellaneousBody"/>
        <w:jc w:val="right"/>
        <w:rPr>
          <w:sz w:val="22"/>
        </w:rPr>
      </w:pPr>
      <w:r>
        <w:rPr>
          <w:sz w:val="22"/>
        </w:rPr>
        <w:t>[s. 3E]</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5" w:name="_Toc266972659"/>
      <w:bookmarkStart w:id="106" w:name="_Toc270604982"/>
      <w:bookmarkStart w:id="107" w:name="_Toc270605004"/>
      <w:bookmarkStart w:id="108" w:name="_Toc270606468"/>
      <w:r>
        <w:t>Notes</w:t>
      </w:r>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w:t>
      </w:r>
    </w:p>
    <w:p>
      <w:pPr>
        <w:pStyle w:val="nHeading3"/>
        <w:rPr>
          <w:snapToGrid w:val="0"/>
        </w:rPr>
      </w:pPr>
      <w:bookmarkStart w:id="109" w:name="_Toc6041921"/>
      <w:bookmarkStart w:id="110" w:name="_Toc270606469"/>
      <w:r>
        <w:rPr>
          <w:snapToGrid w:val="0"/>
        </w:rPr>
        <w:t>Compilation table</w:t>
      </w:r>
      <w:bookmarkEnd w:id="109"/>
      <w:bookmarkEnd w:id="110"/>
    </w:p>
    <w:tbl>
      <w:tblPr>
        <w:tblW w:w="0" w:type="auto"/>
        <w:tblInd w:w="42" w:type="dxa"/>
        <w:tblLayout w:type="fixed"/>
        <w:tblCellMar>
          <w:left w:w="28" w:type="dxa"/>
          <w:right w:w="28" w:type="dxa"/>
        </w:tblCellMar>
        <w:tblLook w:val="0000" w:firstRow="0" w:lastRow="0" w:firstColumn="0" w:lastColumn="0" w:noHBand="0" w:noVBand="0"/>
      </w:tblPr>
      <w:tblGrid>
        <w:gridCol w:w="14"/>
        <w:gridCol w:w="2240"/>
        <w:gridCol w:w="28"/>
        <w:gridCol w:w="1106"/>
        <w:gridCol w:w="28"/>
        <w:gridCol w:w="1106"/>
        <w:gridCol w:w="28"/>
        <w:gridCol w:w="2552"/>
      </w:tblGrid>
      <w:tr>
        <w:trPr>
          <w:gridBefore w:val="1"/>
          <w:wBefore w:w="14"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1964</w:t>
            </w:r>
          </w:p>
        </w:tc>
        <w:tc>
          <w:tcPr>
            <w:tcW w:w="1134" w:type="dxa"/>
            <w:gridSpan w:val="2"/>
          </w:tcPr>
          <w:p>
            <w:pPr>
              <w:pStyle w:val="nTable"/>
              <w:spacing w:before="120"/>
              <w:rPr>
                <w:sz w:val="19"/>
              </w:rPr>
            </w:pPr>
            <w:r>
              <w:rPr>
                <w:sz w:val="19"/>
              </w:rPr>
              <w:t>75 of 1964</w:t>
            </w:r>
          </w:p>
        </w:tc>
        <w:tc>
          <w:tcPr>
            <w:tcW w:w="1134" w:type="dxa"/>
            <w:gridSpan w:val="2"/>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gridBefore w:val="1"/>
          <w:wBefore w:w="14" w:type="dxa"/>
          <w:cantSplit/>
        </w:trPr>
        <w:tc>
          <w:tcPr>
            <w:tcW w:w="2268" w:type="dxa"/>
            <w:gridSpan w:val="2"/>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1967</w:t>
            </w:r>
          </w:p>
        </w:tc>
        <w:tc>
          <w:tcPr>
            <w:tcW w:w="1134" w:type="dxa"/>
            <w:gridSpan w:val="2"/>
          </w:tcPr>
          <w:p>
            <w:pPr>
              <w:pStyle w:val="nTable"/>
              <w:spacing w:before="120"/>
              <w:rPr>
                <w:sz w:val="19"/>
              </w:rPr>
            </w:pPr>
            <w:r>
              <w:rPr>
                <w:sz w:val="19"/>
              </w:rPr>
              <w:t>63 of 1967</w:t>
            </w:r>
          </w:p>
        </w:tc>
        <w:tc>
          <w:tcPr>
            <w:tcW w:w="1134" w:type="dxa"/>
            <w:gridSpan w:val="2"/>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gridBefore w:val="1"/>
          <w:wBefore w:w="14" w:type="dxa"/>
          <w:cantSplit/>
        </w:trPr>
        <w:tc>
          <w:tcPr>
            <w:tcW w:w="7088" w:type="dxa"/>
            <w:gridSpan w:val="7"/>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1979</w:t>
            </w:r>
          </w:p>
        </w:tc>
        <w:tc>
          <w:tcPr>
            <w:tcW w:w="1134" w:type="dxa"/>
            <w:gridSpan w:val="2"/>
          </w:tcPr>
          <w:p>
            <w:pPr>
              <w:pStyle w:val="nTable"/>
              <w:spacing w:before="120"/>
              <w:rPr>
                <w:sz w:val="19"/>
              </w:rPr>
            </w:pPr>
            <w:r>
              <w:rPr>
                <w:sz w:val="19"/>
              </w:rPr>
              <w:t>12 of 1979</w:t>
            </w:r>
          </w:p>
        </w:tc>
        <w:tc>
          <w:tcPr>
            <w:tcW w:w="1134" w:type="dxa"/>
            <w:gridSpan w:val="2"/>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1990</w:t>
            </w:r>
          </w:p>
        </w:tc>
        <w:tc>
          <w:tcPr>
            <w:tcW w:w="1134" w:type="dxa"/>
            <w:gridSpan w:val="2"/>
          </w:tcPr>
          <w:p>
            <w:pPr>
              <w:pStyle w:val="nTable"/>
              <w:spacing w:before="120"/>
              <w:rPr>
                <w:sz w:val="19"/>
              </w:rPr>
            </w:pPr>
            <w:r>
              <w:rPr>
                <w:sz w:val="19"/>
              </w:rPr>
              <w:t>51 of 1990</w:t>
            </w:r>
          </w:p>
        </w:tc>
        <w:tc>
          <w:tcPr>
            <w:tcW w:w="1134" w:type="dxa"/>
            <w:gridSpan w:val="2"/>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1994</w:t>
            </w:r>
          </w:p>
        </w:tc>
        <w:tc>
          <w:tcPr>
            <w:tcW w:w="1134" w:type="dxa"/>
            <w:gridSpan w:val="2"/>
          </w:tcPr>
          <w:p>
            <w:pPr>
              <w:pStyle w:val="nTable"/>
              <w:spacing w:before="120"/>
              <w:rPr>
                <w:sz w:val="19"/>
              </w:rPr>
            </w:pPr>
            <w:r>
              <w:rPr>
                <w:sz w:val="19"/>
              </w:rPr>
              <w:t>8 of 1994</w:t>
            </w:r>
          </w:p>
        </w:tc>
        <w:tc>
          <w:tcPr>
            <w:tcW w:w="1134" w:type="dxa"/>
            <w:gridSpan w:val="2"/>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gridBefore w:val="1"/>
          <w:wBefore w:w="14"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6</w:t>
            </w:r>
          </w:p>
        </w:tc>
        <w:tc>
          <w:tcPr>
            <w:tcW w:w="1134" w:type="dxa"/>
            <w:gridSpan w:val="2"/>
          </w:tcPr>
          <w:p>
            <w:pPr>
              <w:pStyle w:val="nTable"/>
              <w:spacing w:before="120"/>
              <w:rPr>
                <w:sz w:val="19"/>
              </w:rPr>
            </w:pPr>
            <w:r>
              <w:rPr>
                <w:sz w:val="19"/>
              </w:rPr>
              <w:t>57 of 2000</w:t>
            </w:r>
          </w:p>
        </w:tc>
        <w:tc>
          <w:tcPr>
            <w:tcW w:w="1134" w:type="dxa"/>
            <w:gridSpan w:val="2"/>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gridBefore w:val="1"/>
          <w:wBefore w:w="14" w:type="dxa"/>
          <w:cantSplit/>
        </w:trPr>
        <w:tc>
          <w:tcPr>
            <w:tcW w:w="7088" w:type="dxa"/>
            <w:gridSpan w:val="7"/>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54"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8</w:t>
            </w:r>
          </w:p>
        </w:tc>
        <w:tc>
          <w:tcPr>
            <w:tcW w:w="1134" w:type="dxa"/>
            <w:gridSpan w:val="2"/>
            <w:tcBorders>
              <w:top w:val="nil"/>
              <w:bottom w:val="single" w:sz="4" w:space="0" w:color="auto"/>
            </w:tcBorders>
          </w:tcPr>
          <w:p>
            <w:pPr>
              <w:pStyle w:val="nTable"/>
              <w:spacing w:after="40"/>
              <w:ind w:right="170"/>
              <w:rPr>
                <w:sz w:val="19"/>
              </w:rPr>
            </w:pPr>
            <w:r>
              <w:rPr>
                <w:sz w:val="19"/>
              </w:rPr>
              <w:t>34 of 2010</w:t>
            </w:r>
          </w:p>
        </w:tc>
        <w:tc>
          <w:tcPr>
            <w:tcW w:w="1134" w:type="dxa"/>
            <w:gridSpan w:val="2"/>
            <w:tcBorders>
              <w:top w:val="nil"/>
              <w:bottom w:val="single" w:sz="4" w:space="0" w:color="auto"/>
            </w:tcBorders>
          </w:tcPr>
          <w:p>
            <w:pPr>
              <w:pStyle w:val="nTable"/>
              <w:spacing w:after="40"/>
              <w:rPr>
                <w:sz w:val="19"/>
              </w:rPr>
            </w:pPr>
            <w:r>
              <w:rPr>
                <w:sz w:val="19"/>
              </w:rPr>
              <w:t>26 Aug 2010</w:t>
            </w:r>
          </w:p>
        </w:tc>
        <w:tc>
          <w:tcPr>
            <w:tcW w:w="2580" w:type="dxa"/>
            <w:gridSpan w:val="2"/>
            <w:tcBorders>
              <w:top w:val="nil"/>
              <w:bottom w:val="single" w:sz="4" w:space="0" w:color="auto"/>
            </w:tcBorders>
          </w:tcPr>
          <w:p>
            <w:pPr>
              <w:pStyle w:val="nTable"/>
              <w:spacing w:after="40"/>
              <w:rPr>
                <w:sz w:val="19"/>
              </w:rPr>
            </w:pPr>
            <w:r>
              <w:rPr>
                <w:sz w:val="19"/>
              </w:rPr>
              <w:t>1 Jul 2010 (see s. 2(b)(ii))</w:t>
            </w:r>
          </w:p>
        </w:tc>
      </w:tr>
    </w:tbl>
    <w:p>
      <w:pPr>
        <w:pStyle w:val="nSubsection"/>
        <w:rPr>
          <w:snapToGrid w:val="0"/>
          <w:vertAlign w:val="superscript"/>
        </w:rPr>
      </w:pPr>
      <w:bookmarkStart w:id="111" w:name="UpToHere"/>
      <w:bookmarkEnd w:id="111"/>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7405065"/>
      <w:bookmarkStart w:id="113" w:name="_Toc270606470"/>
      <w:r>
        <w:t>Provisions that have not come into operation</w:t>
      </w:r>
      <w:bookmarkEnd w:id="112"/>
      <w:bookmarkEnd w:id="11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14" w:name="_Toc233107675"/>
      <w:bookmarkStart w:id="115" w:name="_Toc255473698"/>
      <w:bookmarkStart w:id="116" w:name="_Toc265583753"/>
      <w:bookmarkStart w:id="117" w:name="_Toc267907333"/>
      <w:r>
        <w:rPr>
          <w:rStyle w:val="CharSectno"/>
          <w:rFonts w:eastAsia="MS Mincho"/>
        </w:rPr>
        <w:t>4</w:t>
      </w:r>
      <w:r>
        <w:rPr>
          <w:rFonts w:eastAsia="MS Mincho"/>
        </w:rPr>
        <w:t>.</w:t>
      </w:r>
      <w:r>
        <w:rPr>
          <w:rFonts w:eastAsia="MS Mincho"/>
        </w:rPr>
        <w:tab/>
        <w:t>Schedule headings reformatted</w:t>
      </w:r>
      <w:bookmarkEnd w:id="114"/>
      <w:bookmarkEnd w:id="115"/>
      <w:bookmarkEnd w:id="116"/>
      <w:bookmarkEnd w:id="11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Newman)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(Mount Newman)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Newman)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4C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FC8E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D272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F698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666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18C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A67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DE25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EABD1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29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A230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BCA9B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33628</Words>
  <Characters>163096</Characters>
  <Application>Microsoft Office Word</Application>
  <DocSecurity>0</DocSecurity>
  <Lines>4077</Lines>
  <Paragraphs>1294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1964 - 02-c0-01</dc:title>
  <dc:subject/>
  <dc:creator/>
  <cp:keywords/>
  <dc:description/>
  <cp:lastModifiedBy>svcMRProcess</cp:lastModifiedBy>
  <cp:revision>4</cp:revision>
  <cp:lastPrinted>2002-03-25T06:32:00Z</cp:lastPrinted>
  <dcterms:created xsi:type="dcterms:W3CDTF">2020-02-16T23:26:00Z</dcterms:created>
  <dcterms:modified xsi:type="dcterms:W3CDTF">2020-02-16T23:26:00Z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AsAtDate">
    <vt:lpwstr>01 Jul 2010</vt:lpwstr>
  </property>
  <property fmtid="{D5CDD505-2E9C-101B-9397-08002B2CF9AE}" pid="6" name="Suffix">
    <vt:lpwstr>02-c0-01</vt:lpwstr>
  </property>
  <property fmtid="{D5CDD505-2E9C-101B-9397-08002B2CF9AE}" pid="7" name="OwlsUID">
    <vt:i4>397</vt:i4>
  </property>
</Properties>
</file>