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(Robe River)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_Toc270606677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_Toc270606678 \h </w:instrText>
      </w:r>
      <w:r>
        <w:fldChar w:fldCharType="separate"/>
      </w:r>
      <w:r>
        <w:t>1</w:t>
      </w:r>
      <w:r>
        <w:fldChar w:fldCharType="end"/>
      </w:r>
    </w:p>
    <w:p>
      <w:pPr>
        <w:pStyle w:val="TOC8"/>
        <w:rPr>
          <w:sz w:val="24"/>
          <w:szCs w:val="24"/>
        </w:rPr>
      </w:pPr>
      <w:r>
        <w:rPr>
          <w:szCs w:val="24"/>
        </w:rPr>
        <w:t>2A</w:t>
      </w:r>
      <w:r>
        <w:rPr>
          <w:snapToGrid w:val="0"/>
          <w:szCs w:val="24"/>
        </w:rPr>
        <w:t>.</w:t>
      </w:r>
      <w:r>
        <w:rPr>
          <w:snapToGrid w:val="0"/>
          <w:szCs w:val="24"/>
        </w:rPr>
        <w:tab/>
        <w:t>Repeal of Act No. 79 of 1969, and Act and variation agreement declared inoperative</w:t>
      </w:r>
      <w:r>
        <w:tab/>
      </w:r>
      <w:r>
        <w:fldChar w:fldCharType="begin"/>
      </w:r>
      <w:r>
        <w:instrText xml:space="preserve"> PAGEREF _Toc270606679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_Toc270606680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Variation agreement approved</w:t>
      </w:r>
      <w:r>
        <w:tab/>
      </w:r>
      <w:r>
        <w:fldChar w:fldCharType="begin"/>
      </w:r>
      <w:r>
        <w:instrText xml:space="preserve"> PAGEREF _Toc270606681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Execution of variation agreement authorised, etc.</w:t>
      </w:r>
      <w:r>
        <w:tab/>
      </w:r>
      <w:r>
        <w:fldChar w:fldCharType="begin"/>
      </w:r>
      <w:r>
        <w:instrText xml:space="preserve"> PAGEREF _Toc270606682 \h </w:instrText>
      </w:r>
      <w:r>
        <w:fldChar w:fldCharType="separate"/>
      </w:r>
      <w:r>
        <w:t>2</w:t>
      </w:r>
      <w:r>
        <w:fldChar w:fldCharType="end"/>
      </w:r>
    </w:p>
    <w:p>
      <w:pPr>
        <w:pStyle w:val="TOC8"/>
        <w:rPr>
          <w:sz w:val="24"/>
          <w:szCs w:val="24"/>
        </w:rPr>
      </w:pPr>
      <w:r>
        <w:rPr>
          <w:szCs w:val="24"/>
        </w:rPr>
        <w:t>3C</w:t>
      </w:r>
      <w:r>
        <w:rPr>
          <w:snapToGrid w:val="0"/>
          <w:szCs w:val="24"/>
        </w:rPr>
        <w:t>.</w:t>
      </w:r>
      <w:r>
        <w:rPr>
          <w:snapToGrid w:val="0"/>
          <w:szCs w:val="24"/>
        </w:rPr>
        <w:tab/>
        <w:t>Third variation agreement</w:t>
      </w:r>
      <w:r>
        <w:tab/>
      </w:r>
      <w:r>
        <w:fldChar w:fldCharType="begin"/>
      </w:r>
      <w:r>
        <w:instrText xml:space="preserve"> PAGEREF _Toc270606683 \h </w:instrText>
      </w:r>
      <w:r>
        <w:fldChar w:fldCharType="separate"/>
      </w:r>
      <w:r>
        <w:t>2</w:t>
      </w:r>
      <w:r>
        <w:fldChar w:fldCharType="end"/>
      </w:r>
    </w:p>
    <w:p>
      <w:pPr>
        <w:pStyle w:val="TOC8"/>
        <w:rPr>
          <w:sz w:val="24"/>
          <w:szCs w:val="24"/>
        </w:rPr>
      </w:pPr>
      <w:r>
        <w:rPr>
          <w:szCs w:val="24"/>
        </w:rPr>
        <w:t>3D</w:t>
      </w:r>
      <w:r>
        <w:rPr>
          <w:snapToGrid w:val="0"/>
          <w:szCs w:val="24"/>
        </w:rPr>
        <w:t>.</w:t>
      </w:r>
      <w:r>
        <w:rPr>
          <w:snapToGrid w:val="0"/>
          <w:szCs w:val="24"/>
        </w:rPr>
        <w:tab/>
        <w:t>Fourth Variation Agreement</w:t>
      </w:r>
      <w:r>
        <w:tab/>
      </w:r>
      <w:r>
        <w:fldChar w:fldCharType="begin"/>
      </w:r>
      <w:r>
        <w:instrText xml:space="preserve"> PAGEREF _Toc270606684 \h </w:instrText>
      </w:r>
      <w:r>
        <w:fldChar w:fldCharType="separate"/>
      </w:r>
      <w:r>
        <w:t>3</w:t>
      </w:r>
      <w:r>
        <w:fldChar w:fldCharType="end"/>
      </w:r>
    </w:p>
    <w:p>
      <w:pPr>
        <w:pStyle w:val="TOC8"/>
        <w:rPr>
          <w:sz w:val="24"/>
          <w:szCs w:val="24"/>
        </w:rPr>
      </w:pPr>
      <w:r>
        <w:rPr>
          <w:szCs w:val="24"/>
        </w:rPr>
        <w:t>3E</w:t>
      </w:r>
      <w:r>
        <w:rPr>
          <w:snapToGrid w:val="0"/>
          <w:szCs w:val="24"/>
        </w:rPr>
        <w:t>.</w:t>
      </w:r>
      <w:r>
        <w:rPr>
          <w:snapToGrid w:val="0"/>
          <w:szCs w:val="24"/>
        </w:rPr>
        <w:tab/>
        <w:t>Fifth variation agreement</w:t>
      </w:r>
      <w:r>
        <w:tab/>
      </w:r>
      <w:r>
        <w:fldChar w:fldCharType="begin"/>
      </w:r>
      <w:r>
        <w:instrText xml:space="preserve"> PAGEREF _Toc270606685 \h </w:instrText>
      </w:r>
      <w:r>
        <w:fldChar w:fldCharType="separate"/>
      </w:r>
      <w:r>
        <w:t>3</w:t>
      </w:r>
      <w:r>
        <w:fldChar w:fldCharType="end"/>
      </w:r>
    </w:p>
    <w:p>
      <w:pPr>
        <w:pStyle w:val="TOC8"/>
        <w:rPr>
          <w:sz w:val="24"/>
          <w:szCs w:val="24"/>
        </w:rPr>
      </w:pPr>
      <w:r>
        <w:rPr>
          <w:szCs w:val="24"/>
        </w:rPr>
        <w:t>4A.</w:t>
      </w:r>
      <w:r>
        <w:rPr>
          <w:szCs w:val="24"/>
        </w:rPr>
        <w:tab/>
        <w:t>Variation of Agreement to increase rates of royalty</w:t>
      </w:r>
      <w:r>
        <w:tab/>
      </w:r>
      <w:r>
        <w:fldChar w:fldCharType="begin"/>
      </w:r>
      <w:r>
        <w:instrText xml:space="preserve"> PAGEREF _Toc270606686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Declaration as to — entry on Crown lands</w:t>
      </w:r>
      <w:r>
        <w:tab/>
      </w:r>
      <w:r>
        <w:fldChar w:fldCharType="begin"/>
      </w:r>
      <w:r>
        <w:instrText xml:space="preserve"> PAGEREF _Toc270606687 \h </w:instrText>
      </w:r>
      <w:r>
        <w:fldChar w:fldCharType="separate"/>
      </w:r>
      <w:r>
        <w:t>5</w:t>
      </w:r>
      <w:r>
        <w:fldChar w:fldCharType="end"/>
      </w:r>
    </w:p>
    <w:p>
      <w:pPr>
        <w:pStyle w:val="TOC2"/>
        <w:tabs>
          <w:tab w:val="right" w:leader="dot" w:pos="7086"/>
        </w:tabs>
        <w:rPr>
          <w:b w:val="0"/>
          <w:sz w:val="24"/>
          <w:szCs w:val="24"/>
        </w:rPr>
      </w:pPr>
      <w:r>
        <w:rPr>
          <w:szCs w:val="28"/>
        </w:rPr>
        <w:t>The Schedules</w:t>
      </w:r>
    </w:p>
    <w:p>
      <w:pPr>
        <w:pStyle w:val="TOC2"/>
        <w:tabs>
          <w:tab w:val="right" w:leader="dot" w:pos="7086"/>
        </w:tabs>
        <w:rPr>
          <w:b w:val="0"/>
          <w:sz w:val="24"/>
          <w:szCs w:val="24"/>
        </w:rPr>
      </w:pPr>
      <w:r>
        <w:rPr>
          <w:szCs w:val="28"/>
        </w:rPr>
        <w:t>First Schedule</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8"/>
        </w:rPr>
        <w:t>Fourth Schedule</w:t>
      </w:r>
    </w:p>
    <w:p>
      <w:pPr>
        <w:pStyle w:val="TOC2"/>
        <w:tabs>
          <w:tab w:val="right" w:leader="dot" w:pos="7086"/>
        </w:tabs>
        <w:rPr>
          <w:b w:val="0"/>
          <w:sz w:val="24"/>
          <w:szCs w:val="24"/>
        </w:rPr>
      </w:pPr>
      <w:r>
        <w:rPr>
          <w:szCs w:val="28"/>
        </w:rPr>
        <w:t>Fifth Schedule</w:t>
      </w:r>
    </w:p>
    <w:p>
      <w:pPr>
        <w:pStyle w:val="TOC2"/>
        <w:tabs>
          <w:tab w:val="right" w:leader="dot" w:pos="7086"/>
        </w:tabs>
        <w:rPr>
          <w:b w:val="0"/>
          <w:sz w:val="24"/>
          <w:szCs w:val="24"/>
        </w:rPr>
      </w:pPr>
      <w:r>
        <w:rPr>
          <w:szCs w:val="28"/>
        </w:rPr>
        <w:t>Sixth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_Toc270606696 \h </w:instrText>
      </w:r>
      <w:r>
        <w:fldChar w:fldCharType="separate"/>
      </w:r>
      <w:r>
        <w:t>110</w:t>
      </w:r>
      <w:r>
        <w:fldChar w:fldCharType="end"/>
      </w:r>
    </w:p>
    <w:p>
      <w:pPr>
        <w:pStyle w:val="TOC8"/>
        <w:rPr>
          <w:sz w:val="24"/>
        </w:rPr>
      </w:pPr>
      <w:r>
        <w:tab/>
        <w:t>Provisions that have not come into operation</w:t>
      </w:r>
      <w:r>
        <w:tab/>
      </w:r>
      <w:r>
        <w:fldChar w:fldCharType="begin"/>
      </w:r>
      <w:r>
        <w:instrText xml:space="preserve"> PAGEREF _Toc270606697 \h </w:instrText>
      </w:r>
      <w:r>
        <w:fldChar w:fldCharType="separate"/>
      </w:r>
      <w:r>
        <w:t>111</w:t>
      </w:r>
      <w:r>
        <w:fldChar w:fldCharType="end"/>
      </w:r>
    </w:p>
    <w:p>
      <w:pPr>
        <w:pStyle w:val="TOC8"/>
      </w:pPr>
      <w:r>
        <w:fldChar w:fldCharType="end"/>
      </w:r>
    </w:p>
    <w:p>
      <w:pPr>
        <w:pStyle w:val="NoteHeading"/>
      </w:pPr>
      <w:r>
        <w:rPr>
          <w:rStyle w:val="CharPartNo"/>
        </w:rPr>
        <w:lastRenderedPageBreak/>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Iron Ore (Robe River)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270606677"/>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7" w:name="_Toc511182431"/>
      <w:bookmarkStart w:id="8" w:name="_Toc519479556"/>
      <w:bookmarkStart w:id="9" w:name="_Toc519479720"/>
      <w:bookmarkStart w:id="10" w:name="_Toc519480053"/>
      <w:bookmarkStart w:id="11" w:name="_Toc523898141"/>
      <w:bookmarkStart w:id="12" w:name="_Toc270606678"/>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rPr>
          <w:b/>
        </w:rPr>
        <w:tab/>
      </w:r>
      <w:r>
        <w:rPr>
          <w:rStyle w:val="CharDefText"/>
        </w:rPr>
        <w:t>the third variation agreement</w:t>
      </w:r>
      <w:bookmarkStart w:id="13" w:name="endcomma"/>
      <w:bookmarkEnd w:id="13"/>
      <w:r>
        <w:t xml:space="preserve"> </w:t>
      </w:r>
      <w:bookmarkStart w:id="14" w:name="comma"/>
      <w:bookmarkEnd w:id="14"/>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w:t>
      </w:r>
    </w:p>
    <w:p>
      <w:pPr>
        <w:pStyle w:val="Heading5"/>
        <w:rPr>
          <w:snapToGrid w:val="0"/>
        </w:rPr>
      </w:pPr>
      <w:bookmarkStart w:id="15" w:name="_Toc511182432"/>
      <w:bookmarkStart w:id="16" w:name="_Toc519479557"/>
      <w:bookmarkStart w:id="17" w:name="_Toc519479721"/>
      <w:bookmarkStart w:id="18" w:name="_Toc519480054"/>
      <w:bookmarkStart w:id="19" w:name="_Toc523898142"/>
      <w:bookmarkStart w:id="20" w:name="_Toc270606679"/>
      <w:r>
        <w:rPr>
          <w:rStyle w:val="CharSectno"/>
        </w:rPr>
        <w:t>2A</w:t>
      </w:r>
      <w:r>
        <w:rPr>
          <w:snapToGrid w:val="0"/>
        </w:rPr>
        <w:t>.</w:t>
      </w:r>
      <w:r>
        <w:rPr>
          <w:snapToGrid w:val="0"/>
        </w:rPr>
        <w:tab/>
        <w:t>Repeal of Act No. 79 of 1969, and Act and variation agreement declared inoperative</w:t>
      </w:r>
      <w:bookmarkEnd w:id="15"/>
      <w:bookmarkEnd w:id="16"/>
      <w:bookmarkEnd w:id="17"/>
      <w:bookmarkEnd w:id="18"/>
      <w:bookmarkEnd w:id="19"/>
      <w:bookmarkEnd w:id="20"/>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1" w:name="_Toc511182433"/>
      <w:bookmarkStart w:id="22" w:name="_Toc519479558"/>
      <w:bookmarkStart w:id="23" w:name="_Toc519479722"/>
      <w:bookmarkStart w:id="24" w:name="_Toc519480055"/>
      <w:bookmarkStart w:id="25" w:name="_Toc523898143"/>
      <w:bookmarkStart w:id="26" w:name="_Toc270606680"/>
      <w:r>
        <w:rPr>
          <w:rStyle w:val="CharSectno"/>
        </w:rPr>
        <w:t>3</w:t>
      </w:r>
      <w:r>
        <w:rPr>
          <w:snapToGrid w:val="0"/>
        </w:rPr>
        <w:t>.</w:t>
      </w:r>
      <w:r>
        <w:rPr>
          <w:snapToGrid w:val="0"/>
        </w:rPr>
        <w:tab/>
        <w:t>Approval of Agreement</w:t>
      </w:r>
      <w:bookmarkEnd w:id="21"/>
      <w:bookmarkEnd w:id="22"/>
      <w:bookmarkEnd w:id="23"/>
      <w:bookmarkEnd w:id="24"/>
      <w:bookmarkEnd w:id="25"/>
      <w:bookmarkEnd w:id="26"/>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7" w:name="_Toc511182434"/>
      <w:bookmarkStart w:id="28" w:name="_Toc519479559"/>
      <w:bookmarkStart w:id="29" w:name="_Toc519479723"/>
      <w:bookmarkStart w:id="30" w:name="_Toc519480056"/>
      <w:bookmarkStart w:id="31" w:name="_Toc523898144"/>
      <w:bookmarkStart w:id="32" w:name="_Toc270606681"/>
      <w:r>
        <w:rPr>
          <w:rStyle w:val="CharSectno"/>
        </w:rPr>
        <w:t>3A</w:t>
      </w:r>
      <w:r>
        <w:rPr>
          <w:snapToGrid w:val="0"/>
        </w:rPr>
        <w:t>.</w:t>
      </w:r>
      <w:r>
        <w:rPr>
          <w:snapToGrid w:val="0"/>
        </w:rPr>
        <w:tab/>
        <w:t>Variation agreement approved</w:t>
      </w:r>
      <w:bookmarkEnd w:id="27"/>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3" w:name="_Toc511182435"/>
      <w:bookmarkStart w:id="34" w:name="_Toc519479560"/>
      <w:bookmarkStart w:id="35" w:name="_Toc519479724"/>
      <w:bookmarkStart w:id="36" w:name="_Toc519480057"/>
      <w:bookmarkStart w:id="37" w:name="_Toc523898145"/>
      <w:bookmarkStart w:id="38" w:name="_Toc270606682"/>
      <w:r>
        <w:rPr>
          <w:rStyle w:val="CharSectno"/>
        </w:rPr>
        <w:t>3B</w:t>
      </w:r>
      <w:r>
        <w:rPr>
          <w:snapToGrid w:val="0"/>
        </w:rPr>
        <w:t>.</w:t>
      </w:r>
      <w:r>
        <w:rPr>
          <w:snapToGrid w:val="0"/>
        </w:rPr>
        <w:tab/>
        <w:t>Execution of variation agreement authorised, etc.</w:t>
      </w:r>
      <w:bookmarkEnd w:id="33"/>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39" w:name="_Toc511182436"/>
      <w:bookmarkStart w:id="40" w:name="_Toc519479561"/>
      <w:bookmarkStart w:id="41" w:name="_Toc519479725"/>
      <w:bookmarkStart w:id="42" w:name="_Toc519480058"/>
      <w:bookmarkStart w:id="43" w:name="_Toc523898146"/>
      <w:bookmarkStart w:id="44" w:name="_Toc270606683"/>
      <w:r>
        <w:rPr>
          <w:rStyle w:val="CharSectno"/>
        </w:rPr>
        <w:t>3C</w:t>
      </w:r>
      <w:r>
        <w:rPr>
          <w:snapToGrid w:val="0"/>
        </w:rPr>
        <w:t>.</w:t>
      </w:r>
      <w:r>
        <w:rPr>
          <w:snapToGrid w:val="0"/>
        </w:rPr>
        <w:tab/>
        <w:t>Third variation agreement</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5" w:name="_Toc511182437"/>
      <w:bookmarkStart w:id="46" w:name="_Toc519479562"/>
      <w:bookmarkStart w:id="47" w:name="_Toc519479726"/>
      <w:bookmarkStart w:id="48" w:name="_Toc519480059"/>
      <w:bookmarkStart w:id="49" w:name="_Toc523898147"/>
      <w:bookmarkStart w:id="50" w:name="_Toc270606684"/>
      <w:r>
        <w:rPr>
          <w:rStyle w:val="CharSectno"/>
        </w:rPr>
        <w:t>3D</w:t>
      </w:r>
      <w:r>
        <w:rPr>
          <w:snapToGrid w:val="0"/>
        </w:rPr>
        <w:t>.</w:t>
      </w:r>
      <w:r>
        <w:rPr>
          <w:snapToGrid w:val="0"/>
        </w:rPr>
        <w:tab/>
        <w:t>Fourth Variation Agreement</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1" w:name="_Toc511182438"/>
      <w:bookmarkStart w:id="52" w:name="_Toc519479563"/>
      <w:bookmarkStart w:id="53" w:name="_Toc519479727"/>
      <w:bookmarkStart w:id="54" w:name="_Toc519480060"/>
      <w:bookmarkStart w:id="55" w:name="_Toc523898148"/>
      <w:bookmarkStart w:id="56" w:name="_Toc270606685"/>
      <w:r>
        <w:rPr>
          <w:rStyle w:val="CharSectno"/>
        </w:rPr>
        <w:t>3E</w:t>
      </w:r>
      <w:r>
        <w:rPr>
          <w:snapToGrid w:val="0"/>
        </w:rPr>
        <w:t>.</w:t>
      </w:r>
      <w:r>
        <w:rPr>
          <w:snapToGrid w:val="0"/>
        </w:rPr>
        <w:tab/>
        <w:t>Fifth variation agreement</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57" w:name="_Toc270333581"/>
      <w:bookmarkStart w:id="58" w:name="_Toc270602752"/>
      <w:bookmarkStart w:id="59" w:name="_Toc270606686"/>
      <w:bookmarkStart w:id="60" w:name="_Toc511182439"/>
      <w:bookmarkStart w:id="61" w:name="_Toc519479564"/>
      <w:bookmarkStart w:id="62" w:name="_Toc519479728"/>
      <w:bookmarkStart w:id="63" w:name="_Toc519480061"/>
      <w:bookmarkStart w:id="64" w:name="_Toc523898149"/>
      <w:r>
        <w:rPr>
          <w:rStyle w:val="CharSectno"/>
        </w:rPr>
        <w:t>4A</w:t>
      </w:r>
      <w:r>
        <w:t>.</w:t>
      </w:r>
      <w:r>
        <w:tab/>
        <w:t>Variation of Agreement to increase rates of royalty</w:t>
      </w:r>
      <w:bookmarkEnd w:id="57"/>
      <w:bookmarkEnd w:id="58"/>
      <w:bookmarkEnd w:id="59"/>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10.</w:t>
      </w:r>
    </w:p>
    <w:p>
      <w:pPr>
        <w:pStyle w:val="Footnotesection"/>
      </w:pPr>
      <w:r>
        <w:tab/>
        <w:t>[Section 4A inserted by No. 34 of 2010 s. 23.]</w:t>
      </w:r>
    </w:p>
    <w:p>
      <w:pPr>
        <w:pStyle w:val="Heading5"/>
        <w:rPr>
          <w:snapToGrid w:val="0"/>
        </w:rPr>
      </w:pPr>
      <w:bookmarkStart w:id="65" w:name="_Toc270606687"/>
      <w:r>
        <w:rPr>
          <w:rStyle w:val="CharSectno"/>
        </w:rPr>
        <w:t>4</w:t>
      </w:r>
      <w:r>
        <w:rPr>
          <w:snapToGrid w:val="0"/>
        </w:rPr>
        <w:t>.</w:t>
      </w:r>
      <w:r>
        <w:rPr>
          <w:snapToGrid w:val="0"/>
        </w:rPr>
        <w:tab/>
        <w:t>Declaration as to — entry on Crown lands</w:t>
      </w:r>
      <w:bookmarkEnd w:id="60"/>
      <w:bookmarkEnd w:id="61"/>
      <w:bookmarkEnd w:id="62"/>
      <w:bookmarkEnd w:id="63"/>
      <w:bookmarkEnd w:id="64"/>
      <w:bookmarkEnd w:id="65"/>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 8(1).]</w:t>
      </w:r>
    </w:p>
    <w:p>
      <w:pPr>
        <w:pStyle w:val="Ednotesection"/>
      </w:pPr>
      <w:r>
        <w:t>[</w:t>
      </w:r>
      <w:r>
        <w:rPr>
          <w:b/>
        </w:rPr>
        <w:t>5.</w:t>
      </w:r>
      <w:r>
        <w:tab/>
        <w:t xml:space="preserve">Deleted by No. 87 of 1987 s. 7.]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66" w:name="_Toc519482780"/>
      <w:bookmarkStart w:id="67" w:name="_Toc519482939"/>
      <w:bookmarkStart w:id="68" w:name="_Toc519483076"/>
      <w:bookmarkStart w:id="69" w:name="_Toc519486849"/>
      <w:bookmarkStart w:id="70" w:name="_Toc522427622"/>
      <w:bookmarkStart w:id="71" w:name="_Toc523895229"/>
      <w:bookmarkStart w:id="72" w:name="_Toc523898150"/>
      <w:bookmarkStart w:id="73" w:name="_Toc156705605"/>
      <w:bookmarkStart w:id="74" w:name="_Toc270605257"/>
      <w:bookmarkStart w:id="75" w:name="_Toc270606688"/>
      <w:r>
        <w:t>The Schedules</w:t>
      </w:r>
      <w:bookmarkEnd w:id="66"/>
      <w:bookmarkEnd w:id="67"/>
      <w:bookmarkEnd w:id="68"/>
      <w:bookmarkEnd w:id="69"/>
      <w:bookmarkEnd w:id="70"/>
      <w:bookmarkEnd w:id="71"/>
      <w:bookmarkEnd w:id="72"/>
      <w:bookmarkEnd w:id="73"/>
      <w:bookmarkEnd w:id="74"/>
      <w:bookmarkEnd w:id="75"/>
    </w:p>
    <w:p>
      <w:pPr>
        <w:pStyle w:val="yFootnoteheading"/>
        <w:rPr>
          <w:snapToGrid w:val="0"/>
        </w:rPr>
      </w:pPr>
      <w:r>
        <w:rPr>
          <w:snapToGrid w:val="0"/>
        </w:rPr>
        <w:tab/>
        <w:t>[Heading amended by No. 35 of 1970 s. 6.]</w:t>
      </w:r>
    </w:p>
    <w:p>
      <w:pPr>
        <w:pStyle w:val="yScheduleHeading"/>
        <w:pageBreakBefore w:val="0"/>
      </w:pPr>
      <w:bookmarkStart w:id="76" w:name="_Toc519479565"/>
      <w:bookmarkStart w:id="77" w:name="_Toc519479729"/>
      <w:bookmarkStart w:id="78" w:name="_Toc519480062"/>
      <w:bookmarkStart w:id="79" w:name="_Toc523898151"/>
      <w:bookmarkStart w:id="80" w:name="_Toc156705606"/>
      <w:bookmarkStart w:id="81" w:name="_Toc270605258"/>
      <w:bookmarkStart w:id="82" w:name="_Toc270606689"/>
      <w:r>
        <w:rPr>
          <w:rStyle w:val="CharSchNo"/>
        </w:rPr>
        <w:t>First Schedule</w:t>
      </w:r>
      <w:bookmarkEnd w:id="76"/>
      <w:bookmarkEnd w:id="77"/>
      <w:bookmarkEnd w:id="78"/>
      <w:bookmarkEnd w:id="79"/>
      <w:bookmarkEnd w:id="80"/>
      <w:bookmarkEnd w:id="81"/>
      <w:bookmarkEnd w:id="82"/>
    </w:p>
    <w:p>
      <w:pPr>
        <w:pStyle w:val="yShoulderClause"/>
        <w:rPr>
          <w:snapToGrid w:val="0"/>
        </w:rPr>
      </w:pPr>
      <w:r>
        <w:rPr>
          <w:snapToGrid w:val="0"/>
        </w:rPr>
        <w:t>[Section 2]</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lang w:eastAsia="en-AU"/>
              </w:rPr>
              <w:drawing>
                <wp:inline distT="0" distB="0" distL="0" distR="0">
                  <wp:extent cx="1238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95325"/>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lang w:eastAsia="en-AU"/>
              </w:rPr>
              <w:drawing>
                <wp:inline distT="0" distB="0" distL="0" distR="0">
                  <wp:extent cx="123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83" w:name="_Toc519479566"/>
      <w:bookmarkStart w:id="84" w:name="_Toc519479730"/>
      <w:bookmarkStart w:id="85" w:name="_Toc519480063"/>
      <w:bookmarkStart w:id="86" w:name="_Toc523898152"/>
      <w:bookmarkStart w:id="87" w:name="_Toc156705607"/>
      <w:bookmarkStart w:id="88" w:name="_Toc270605259"/>
      <w:bookmarkStart w:id="89" w:name="_Toc270606690"/>
      <w:r>
        <w:rPr>
          <w:rStyle w:val="CharSchNo"/>
        </w:rPr>
        <w:t>Second Schedule</w:t>
      </w:r>
      <w:bookmarkEnd w:id="83"/>
      <w:bookmarkEnd w:id="84"/>
      <w:bookmarkEnd w:id="85"/>
      <w:bookmarkEnd w:id="86"/>
      <w:bookmarkEnd w:id="87"/>
      <w:bookmarkEnd w:id="88"/>
      <w:bookmarkEnd w:id="89"/>
    </w:p>
    <w:p>
      <w:pPr>
        <w:pStyle w:val="yShoulderClause"/>
        <w:rPr>
          <w:snapToGrid w:val="0"/>
        </w:rPr>
      </w:pPr>
      <w:r>
        <w:rPr>
          <w:snapToGrid w:val="0"/>
        </w:rPr>
        <w:t>[Section 2]</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lang w:eastAsia="en-AU"/>
              </w:rPr>
              <w:drawing>
                <wp:inline distT="0" distB="0" distL="0" distR="0">
                  <wp:extent cx="1238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lang w:eastAsia="en-AU"/>
              </w:rPr>
              <w:drawing>
                <wp:inline distT="0" distB="0" distL="0" distR="0">
                  <wp:extent cx="1238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90" w:name="_Toc519479567"/>
      <w:bookmarkStart w:id="91" w:name="_Toc519479731"/>
      <w:bookmarkStart w:id="92" w:name="_Toc519480064"/>
      <w:bookmarkStart w:id="93" w:name="_Toc523898153"/>
      <w:bookmarkStart w:id="94" w:name="_Toc156705608"/>
      <w:bookmarkStart w:id="95" w:name="_Toc270605260"/>
      <w:bookmarkStart w:id="96" w:name="_Toc270606691"/>
      <w:r>
        <w:rPr>
          <w:rStyle w:val="CharSchNo"/>
        </w:rPr>
        <w:t>Third Schedule</w:t>
      </w:r>
      <w:bookmarkEnd w:id="90"/>
      <w:bookmarkEnd w:id="91"/>
      <w:bookmarkEnd w:id="92"/>
      <w:bookmarkEnd w:id="93"/>
      <w:bookmarkEnd w:id="94"/>
      <w:bookmarkEnd w:id="95"/>
      <w:bookmarkEnd w:id="96"/>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lang w:eastAsia="en-AU"/>
              </w:rPr>
              <w:drawing>
                <wp:inline distT="0" distB="0" distL="0" distR="0">
                  <wp:extent cx="1238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lang w:eastAsia="en-AU"/>
              </w:rPr>
              <w:drawing>
                <wp:inline distT="0" distB="0" distL="0" distR="0">
                  <wp:extent cx="1238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771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628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lang w:eastAsia="en-AU"/>
              </w:rPr>
              <w:drawing>
                <wp:inline distT="0" distB="0" distL="0" distR="0">
                  <wp:extent cx="123825" cy="647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97" w:name="_Toc519479568"/>
      <w:bookmarkStart w:id="98" w:name="_Toc519479732"/>
      <w:bookmarkStart w:id="99" w:name="_Toc519480065"/>
      <w:bookmarkStart w:id="100" w:name="_Toc523898154"/>
      <w:bookmarkStart w:id="101" w:name="_Toc156705609"/>
      <w:bookmarkStart w:id="102" w:name="_Toc270605261"/>
      <w:bookmarkStart w:id="103" w:name="_Toc270606692"/>
      <w:r>
        <w:rPr>
          <w:rStyle w:val="CharSchNo"/>
        </w:rPr>
        <w:t>Fourth Schedule</w:t>
      </w:r>
      <w:bookmarkEnd w:id="97"/>
      <w:bookmarkEnd w:id="98"/>
      <w:bookmarkEnd w:id="99"/>
      <w:bookmarkEnd w:id="100"/>
      <w:bookmarkEnd w:id="101"/>
      <w:bookmarkEnd w:id="102"/>
      <w:bookmarkEnd w:id="103"/>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3825" cy="1104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571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lang w:eastAsia="en-AU"/>
              </w:rPr>
              <w:drawing>
                <wp:inline distT="0" distB="0" distL="0" distR="0">
                  <wp:extent cx="123825" cy="60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104" w:name="_Toc519479569"/>
      <w:bookmarkStart w:id="105" w:name="_Toc519479733"/>
      <w:bookmarkStart w:id="106" w:name="_Toc519480066"/>
      <w:bookmarkStart w:id="107" w:name="_Toc523898155"/>
      <w:bookmarkStart w:id="108" w:name="_Toc156705610"/>
      <w:bookmarkStart w:id="109" w:name="_Toc270605262"/>
      <w:bookmarkStart w:id="110" w:name="_Toc270606693"/>
      <w:r>
        <w:rPr>
          <w:rStyle w:val="CharSchNo"/>
        </w:rPr>
        <w:t>Fifth Schedule</w:t>
      </w:r>
      <w:bookmarkEnd w:id="104"/>
      <w:bookmarkEnd w:id="105"/>
      <w:bookmarkEnd w:id="106"/>
      <w:bookmarkEnd w:id="107"/>
      <w:bookmarkEnd w:id="108"/>
      <w:bookmarkEnd w:id="109"/>
      <w:bookmarkEnd w:id="110"/>
    </w:p>
    <w:p>
      <w:pPr>
        <w:pStyle w:val="yShoulderClause"/>
        <w:rPr>
          <w:snapToGrid w:val="0"/>
        </w:rPr>
      </w:pPr>
      <w:r>
        <w:rPr>
          <w:snapToGrid w:val="0"/>
        </w:rPr>
        <w:t>[Section 3D.]</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3825" cy="1104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66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lang w:eastAsia="en-AU"/>
              </w:rPr>
              <w:drawing>
                <wp:inline distT="0" distB="0" distL="0" distR="0">
                  <wp:extent cx="123825" cy="1238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3825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3825" cy="10953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3825" cy="1133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3347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111" w:name="_Toc519479570"/>
      <w:bookmarkStart w:id="112" w:name="_Toc519479734"/>
      <w:bookmarkStart w:id="113" w:name="_Toc519480067"/>
      <w:bookmarkStart w:id="114" w:name="_Toc523898156"/>
      <w:bookmarkStart w:id="115" w:name="_Toc156705611"/>
      <w:bookmarkStart w:id="116" w:name="_Toc270605263"/>
      <w:bookmarkStart w:id="117" w:name="_Toc270606694"/>
      <w:r>
        <w:rPr>
          <w:rStyle w:val="CharSchNo"/>
        </w:rPr>
        <w:t>Sixth Schedule</w:t>
      </w:r>
      <w:bookmarkEnd w:id="111"/>
      <w:bookmarkEnd w:id="112"/>
      <w:bookmarkEnd w:id="113"/>
      <w:bookmarkEnd w:id="114"/>
      <w:bookmarkEnd w:id="115"/>
      <w:bookmarkEnd w:id="116"/>
      <w:bookmarkEnd w:id="117"/>
    </w:p>
    <w:p>
      <w:pPr>
        <w:pStyle w:val="yShoulderClause"/>
        <w:rPr>
          <w:snapToGrid w:val="0"/>
        </w:rPr>
      </w:pPr>
      <w:r>
        <w:rPr>
          <w:snapToGrid w:val="0"/>
        </w:rPr>
        <w:t>(Section 2)</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495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9530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590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66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477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lang w:eastAsia="en-AU"/>
              </w:rPr>
              <w:drawing>
                <wp:inline distT="0" distB="0" distL="0" distR="0">
                  <wp:extent cx="123825" cy="8001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477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lang w:eastAsia="en-AU"/>
              </w:rPr>
              <w:drawing>
                <wp:inline distT="0" distB="0" distL="0" distR="0">
                  <wp:extent cx="123825" cy="8001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18" w:name="_Toc156705612"/>
      <w:bookmarkStart w:id="119" w:name="_Toc270605264"/>
      <w:bookmarkStart w:id="120" w:name="_Toc270606695"/>
      <w:r>
        <w:t>Notes</w:t>
      </w:r>
      <w:bookmarkEnd w:id="118"/>
      <w:bookmarkEnd w:id="119"/>
      <w:bookmarkEnd w:id="120"/>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(Robe River) Agreement Act 1964</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21" w:name="_Toc519479571"/>
      <w:bookmarkStart w:id="122" w:name="_Toc519479735"/>
      <w:bookmarkStart w:id="123" w:name="_Toc519480068"/>
      <w:bookmarkStart w:id="124" w:name="_Toc523898157"/>
      <w:bookmarkStart w:id="125" w:name="_Toc270606696"/>
      <w:r>
        <w:rPr>
          <w:snapToGrid w:val="0"/>
        </w:rPr>
        <w:t>Compilation table</w:t>
      </w:r>
      <w:bookmarkEnd w:id="121"/>
      <w:bookmarkEnd w:id="122"/>
      <w:bookmarkEnd w:id="123"/>
      <w:bookmarkEnd w:id="124"/>
      <w:bookmarkEnd w:id="125"/>
      <w:r>
        <w:rPr>
          <w:snapToGrid w:val="0"/>
        </w:rPr>
        <w:t xml:space="preserve"> </w:t>
      </w:r>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tcPr>
          <w:p>
            <w:pPr>
              <w:pStyle w:val="nTable"/>
              <w:spacing w:before="120"/>
              <w:rPr>
                <w:sz w:val="19"/>
              </w:rPr>
            </w:pPr>
            <w:r>
              <w:rPr>
                <w:sz w:val="19"/>
              </w:rPr>
              <w:t>91 of 1964</w:t>
            </w:r>
          </w:p>
        </w:tc>
        <w:tc>
          <w:tcPr>
            <w:tcW w:w="1134" w:type="dxa"/>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tcPr>
          <w:p>
            <w:pPr>
              <w:pStyle w:val="nTable"/>
              <w:spacing w:before="120"/>
              <w:ind w:right="113"/>
              <w:rPr>
                <w:i/>
                <w:sz w:val="19"/>
              </w:rPr>
            </w:pPr>
            <w:r>
              <w:rPr>
                <w:i/>
                <w:sz w:val="19"/>
              </w:rPr>
              <w:t>Decimal Currency Act 1965</w:t>
            </w:r>
          </w:p>
        </w:tc>
        <w:tc>
          <w:tcPr>
            <w:tcW w:w="1134" w:type="dxa"/>
          </w:tcPr>
          <w:p>
            <w:pPr>
              <w:pStyle w:val="nTable"/>
              <w:spacing w:before="120"/>
              <w:rPr>
                <w:sz w:val="19"/>
              </w:rPr>
            </w:pPr>
            <w:r>
              <w:rPr>
                <w:sz w:val="19"/>
              </w:rPr>
              <w:t>113 of 1965</w:t>
            </w:r>
          </w:p>
        </w:tc>
        <w:tc>
          <w:tcPr>
            <w:tcW w:w="1134" w:type="dxa"/>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tcPr>
          <w:p>
            <w:pPr>
              <w:pStyle w:val="nTable"/>
              <w:spacing w:before="120"/>
              <w:ind w:right="113"/>
              <w:rPr>
                <w:sz w:val="19"/>
              </w:rPr>
            </w:pPr>
            <w:r>
              <w:rPr>
                <w:i/>
                <w:sz w:val="19"/>
              </w:rPr>
              <w:t>Iron Ore (Cleveland-Cliffs) Agreement Act Amendment Act 1969</w:t>
            </w:r>
            <w:r>
              <w:rPr>
                <w:sz w:val="19"/>
              </w:rPr>
              <w:t xml:space="preserve"> </w:t>
            </w:r>
          </w:p>
        </w:tc>
        <w:tc>
          <w:tcPr>
            <w:tcW w:w="1134" w:type="dxa"/>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tcPr>
          <w:p>
            <w:pPr>
              <w:pStyle w:val="nTable"/>
              <w:spacing w:before="120"/>
              <w:ind w:right="113"/>
              <w:rPr>
                <w:sz w:val="19"/>
              </w:rPr>
            </w:pPr>
            <w:r>
              <w:rPr>
                <w:i/>
                <w:sz w:val="19"/>
              </w:rPr>
              <w:t>Iron Ore (Cleveland-Cliffs) Agreement Act Amendment Act 1970</w:t>
            </w:r>
          </w:p>
        </w:tc>
        <w:tc>
          <w:tcPr>
            <w:tcW w:w="1134" w:type="dxa"/>
          </w:tcPr>
          <w:p>
            <w:pPr>
              <w:pStyle w:val="nTable"/>
              <w:spacing w:before="120"/>
              <w:rPr>
                <w:sz w:val="19"/>
              </w:rPr>
            </w:pPr>
            <w:r>
              <w:rPr>
                <w:sz w:val="19"/>
              </w:rPr>
              <w:t>35 of 1970</w:t>
            </w:r>
          </w:p>
        </w:tc>
        <w:tc>
          <w:tcPr>
            <w:tcW w:w="1134" w:type="dxa"/>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tcPr>
          <w:p>
            <w:pPr>
              <w:pStyle w:val="nTable"/>
              <w:spacing w:before="120"/>
              <w:ind w:right="113"/>
              <w:rPr>
                <w:sz w:val="19"/>
              </w:rPr>
            </w:pPr>
            <w:r>
              <w:rPr>
                <w:i/>
                <w:sz w:val="19"/>
              </w:rPr>
              <w:t>Iron Ore (Cleveland-Cliffs) Agreement Act Amendment Act 1973</w:t>
            </w:r>
          </w:p>
        </w:tc>
        <w:tc>
          <w:tcPr>
            <w:tcW w:w="1134" w:type="dxa"/>
          </w:tcPr>
          <w:p>
            <w:pPr>
              <w:pStyle w:val="nTable"/>
              <w:spacing w:before="120"/>
              <w:rPr>
                <w:sz w:val="19"/>
              </w:rPr>
            </w:pPr>
            <w:r>
              <w:rPr>
                <w:sz w:val="19"/>
              </w:rPr>
              <w:t>68 of 1973</w:t>
            </w:r>
          </w:p>
        </w:tc>
        <w:tc>
          <w:tcPr>
            <w:tcW w:w="1134" w:type="dxa"/>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tcPr>
          <w:p>
            <w:pPr>
              <w:pStyle w:val="nTable"/>
              <w:spacing w:before="120"/>
              <w:ind w:right="113"/>
              <w:rPr>
                <w:sz w:val="19"/>
              </w:rPr>
            </w:pPr>
            <w:r>
              <w:rPr>
                <w:i/>
                <w:sz w:val="19"/>
              </w:rPr>
              <w:t>Iron Ore (Cleveland-Cliffs) Agreement Amendment Act 1984</w:t>
            </w:r>
          </w:p>
        </w:tc>
        <w:tc>
          <w:tcPr>
            <w:tcW w:w="1134" w:type="dxa"/>
          </w:tcPr>
          <w:p>
            <w:pPr>
              <w:pStyle w:val="nTable"/>
              <w:spacing w:before="120"/>
              <w:rPr>
                <w:sz w:val="19"/>
              </w:rPr>
            </w:pPr>
            <w:r>
              <w:rPr>
                <w:sz w:val="19"/>
              </w:rPr>
              <w:t>37 of 1984</w:t>
            </w:r>
          </w:p>
        </w:tc>
        <w:tc>
          <w:tcPr>
            <w:tcW w:w="1134" w:type="dxa"/>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tcPr>
          <w:p>
            <w:pPr>
              <w:pStyle w:val="nTable"/>
              <w:spacing w:before="120"/>
              <w:ind w:right="113"/>
              <w:rPr>
                <w:sz w:val="19"/>
              </w:rPr>
            </w:pPr>
            <w:r>
              <w:rPr>
                <w:i/>
                <w:sz w:val="19"/>
              </w:rPr>
              <w:t>Iron Ore (Cleveland-Cliffs) Agreement  Amendment Act 1985</w:t>
            </w:r>
          </w:p>
        </w:tc>
        <w:tc>
          <w:tcPr>
            <w:tcW w:w="1134" w:type="dxa"/>
          </w:tcPr>
          <w:p>
            <w:pPr>
              <w:pStyle w:val="nTable"/>
              <w:spacing w:before="120"/>
              <w:rPr>
                <w:sz w:val="19"/>
              </w:rPr>
            </w:pPr>
            <w:r>
              <w:rPr>
                <w:sz w:val="19"/>
              </w:rPr>
              <w:t>95 of 1985</w:t>
            </w:r>
          </w:p>
        </w:tc>
        <w:tc>
          <w:tcPr>
            <w:tcW w:w="1134" w:type="dxa"/>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tcPr>
          <w:p>
            <w:pPr>
              <w:pStyle w:val="nTable"/>
              <w:spacing w:before="120"/>
              <w:ind w:right="113"/>
              <w:rPr>
                <w:sz w:val="19"/>
              </w:rPr>
            </w:pPr>
            <w:r>
              <w:rPr>
                <w:i/>
                <w:sz w:val="19"/>
              </w:rPr>
              <w:t>Iron Ore (Cleveland-Cliffs) Agreement Amendment Act 1987</w:t>
            </w:r>
          </w:p>
        </w:tc>
        <w:tc>
          <w:tcPr>
            <w:tcW w:w="1134" w:type="dxa"/>
          </w:tcPr>
          <w:p>
            <w:pPr>
              <w:pStyle w:val="nTable"/>
              <w:spacing w:before="120"/>
              <w:rPr>
                <w:sz w:val="19"/>
              </w:rPr>
            </w:pPr>
            <w:r>
              <w:rPr>
                <w:sz w:val="19"/>
              </w:rPr>
              <w:t>87 of 1987</w:t>
            </w:r>
          </w:p>
        </w:tc>
        <w:tc>
          <w:tcPr>
            <w:tcW w:w="1134" w:type="dxa"/>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4"/>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r>
        <w:tblPrEx>
          <w:tblBorders>
            <w:top w:val="single" w:sz="4" w:space="0" w:color="auto"/>
            <w:bottom w:val="single" w:sz="4" w:space="0" w:color="auto"/>
            <w:insideH w:val="single" w:sz="4" w:space="0" w:color="auto"/>
          </w:tblBorders>
        </w:tblPrEx>
        <w:tc>
          <w:tcPr>
            <w:tcW w:w="2268" w:type="dxa"/>
            <w:tcBorders>
              <w:top w:val="nil"/>
              <w:bottom w:val="single" w:sz="4" w:space="0" w:color="auto"/>
            </w:tcBorders>
          </w:tcPr>
          <w:p>
            <w:pPr>
              <w:pStyle w:val="nTable"/>
              <w:spacing w:after="40"/>
              <w:ind w:right="170"/>
              <w:rPr>
                <w:iCs/>
                <w:sz w:val="19"/>
              </w:rPr>
            </w:pPr>
            <w:r>
              <w:rPr>
                <w:i/>
                <w:sz w:val="19"/>
              </w:rPr>
              <w:t>Iron Ore Agreements Legislation Amendment Act 2010</w:t>
            </w:r>
            <w:r>
              <w:rPr>
                <w:iCs/>
                <w:sz w:val="19"/>
              </w:rPr>
              <w:t xml:space="preserve"> Pt. 10</w:t>
            </w:r>
          </w:p>
        </w:tc>
        <w:tc>
          <w:tcPr>
            <w:tcW w:w="1134" w:type="dxa"/>
            <w:tcBorders>
              <w:top w:val="nil"/>
              <w:bottom w:val="single" w:sz="4" w:space="0" w:color="auto"/>
            </w:tcBorders>
          </w:tcPr>
          <w:p>
            <w:pPr>
              <w:pStyle w:val="nTable"/>
              <w:spacing w:after="40"/>
              <w:ind w:right="170"/>
              <w:rPr>
                <w:sz w:val="19"/>
              </w:rPr>
            </w:pPr>
            <w:r>
              <w:rPr>
                <w:sz w:val="19"/>
              </w:rPr>
              <w:t>34 of 2010</w:t>
            </w:r>
          </w:p>
        </w:tc>
        <w:tc>
          <w:tcPr>
            <w:tcW w:w="1134" w:type="dxa"/>
            <w:tcBorders>
              <w:top w:val="nil"/>
              <w:bottom w:val="single" w:sz="4" w:space="0" w:color="auto"/>
            </w:tcBorders>
          </w:tcPr>
          <w:p>
            <w:pPr>
              <w:pStyle w:val="nTable"/>
              <w:spacing w:after="40"/>
              <w:rPr>
                <w:sz w:val="19"/>
              </w:rPr>
            </w:pPr>
            <w:r>
              <w:rPr>
                <w:sz w:val="19"/>
              </w:rPr>
              <w:t>26 Aug 2010</w:t>
            </w:r>
          </w:p>
        </w:tc>
        <w:tc>
          <w:tcPr>
            <w:tcW w:w="2551" w:type="dxa"/>
            <w:tcBorders>
              <w:top w:val="nil"/>
              <w:bottom w:val="single" w:sz="4" w:space="0" w:color="auto"/>
            </w:tcBorders>
          </w:tcPr>
          <w:p>
            <w:pPr>
              <w:pStyle w:val="nTable"/>
              <w:spacing w:after="40"/>
              <w:rPr>
                <w:sz w:val="19"/>
              </w:rPr>
            </w:pPr>
            <w:r>
              <w:rPr>
                <w:sz w:val="19"/>
              </w:rPr>
              <w:t>1 Jul 2010 (see s. 2(b)(ii))</w:t>
            </w:r>
          </w:p>
        </w:tc>
      </w:tr>
    </w:tbl>
    <w:p>
      <w:pPr>
        <w:pStyle w:val="nSubsection"/>
        <w:rPr>
          <w:vertAlign w:val="superscript"/>
        </w:rPr>
      </w:pPr>
      <w:bookmarkStart w:id="126" w:name="UpToHere"/>
      <w:bookmarkEnd w:id="126"/>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27" w:name="_Toc7405065"/>
      <w:bookmarkStart w:id="128" w:name="_Toc270606697"/>
      <w:r>
        <w:t>Provisions that have not come into operation</w:t>
      </w:r>
      <w:bookmarkEnd w:id="127"/>
      <w:bookmarkEnd w:id="128"/>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8</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registred at the Office of Titles are now being held by the Western Australian Land Information Authority (see the </w:t>
      </w:r>
      <w:r>
        <w:rPr>
          <w:i/>
          <w:iCs/>
        </w:rPr>
        <w:t>Land Information Authority Act 2006</w:t>
      </w:r>
      <w:r>
        <w:t xml:space="preserve"> s. 100).</w:t>
      </w:r>
    </w:p>
    <w:p>
      <w:pPr>
        <w:pStyle w:val="nSubsection"/>
        <w:rPr>
          <w:snapToGrid w:val="0"/>
        </w:rPr>
      </w:pPr>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p>
    <w:p>
      <w:pPr>
        <w:pStyle w:val="BlankOpen"/>
      </w:pPr>
    </w:p>
    <w:p>
      <w:pPr>
        <w:pStyle w:val="nzHeading5"/>
        <w:rPr>
          <w:rFonts w:eastAsia="MS Mincho"/>
        </w:rPr>
      </w:pPr>
      <w:bookmarkStart w:id="129" w:name="_Toc233107675"/>
      <w:bookmarkStart w:id="130" w:name="_Toc255473698"/>
      <w:bookmarkStart w:id="131" w:name="_Toc265583753"/>
      <w:bookmarkStart w:id="132" w:name="_Toc267907333"/>
      <w:r>
        <w:rPr>
          <w:rStyle w:val="CharSectno"/>
          <w:rFonts w:eastAsia="MS Mincho"/>
        </w:rPr>
        <w:t>4</w:t>
      </w:r>
      <w:r>
        <w:rPr>
          <w:rFonts w:eastAsia="MS Mincho"/>
        </w:rPr>
        <w:t>.</w:t>
      </w:r>
      <w:r>
        <w:rPr>
          <w:rFonts w:eastAsia="MS Mincho"/>
        </w:rPr>
        <w:tab/>
        <w:t>Schedule headings reformatted</w:t>
      </w:r>
      <w:bookmarkEnd w:id="129"/>
      <w:bookmarkEnd w:id="130"/>
      <w:bookmarkEnd w:id="131"/>
      <w:bookmarkEnd w:id="132"/>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p>
      <w:pPr>
        <w:pStyle w:val="nzMiscellaneousHeading"/>
      </w:pPr>
      <w:r>
        <w:rPr>
          <w:b/>
          <w:bCs/>
        </w:rPr>
        <w:t>Table</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keepNext/>
              <w:spacing w:before="0"/>
              <w:rPr>
                <w:i/>
                <w:iCs/>
                <w:sz w:val="18"/>
              </w:rPr>
            </w:pPr>
            <w:r>
              <w:rPr>
                <w:rFonts w:eastAsia="MS Mincho"/>
                <w:i/>
                <w:iCs/>
                <w:sz w:val="18"/>
              </w:rPr>
              <w:t>Iron Ore (Robe River) Agreement Act 1964</w:t>
            </w:r>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rFonts w:eastAsia="MS Mincho"/>
                <w:sz w:val="18"/>
              </w:rPr>
            </w:pPr>
            <w:r>
              <w:rPr>
                <w:rFonts w:eastAsia="MS Mincho"/>
                <w:sz w:val="18"/>
              </w:rPr>
              <w:t>First Schedule</w:t>
            </w:r>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rFonts w:eastAsia="MS Mincho"/>
                <w:sz w:val="18"/>
              </w:rPr>
            </w:pPr>
            <w:r>
              <w:rPr>
                <w:rFonts w:eastAsia="MS Mincho"/>
                <w:sz w:val="18"/>
              </w:rPr>
              <w:t>Iron Ore (Robe River)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Third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r>
              <w:rPr>
                <w:rFonts w:eastAsia="MS Mincho"/>
                <w:sz w:val="18"/>
              </w:rPr>
              <w:t>[s. 3B]</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Fourth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Third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r>
              <w:rPr>
                <w:rFonts w:eastAsia="MS Mincho"/>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Fifth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Fourth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Sixth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Fifth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bl>
    <w:p>
      <w:pPr>
        <w:pStyle w:val="nzHeading5"/>
        <w:spacing w:before="240"/>
      </w:pPr>
      <w:r>
        <w:rPr>
          <w:rStyle w:val="CharSectno"/>
        </w:rPr>
        <w:t>42</w:t>
      </w:r>
      <w:r>
        <w:t>.</w:t>
      </w:r>
      <w:r>
        <w:tab/>
        <w:t>“The Schedules” and “Schedules” headings deleted</w:t>
      </w:r>
    </w:p>
    <w:p>
      <w:pPr>
        <w:pStyle w:val="nzSubsection"/>
      </w:pPr>
      <w:r>
        <w:tab/>
        <w:t>(1)</w:t>
      </w:r>
      <w:r>
        <w:tab/>
        <w:t>This section amends the Acts listed in Tables 1 and 2.</w:t>
      </w:r>
    </w:p>
    <w:p>
      <w:pPr>
        <w:pStyle w:val="nzSubsection"/>
      </w:pPr>
      <w:r>
        <w:tab/>
        <w:t>(2)</w:t>
      </w:r>
      <w:r>
        <w:tab/>
        <w:t>In each Act listed in Table 1 before the first of the Schedules to the Act delete “</w:t>
      </w:r>
      <w:r>
        <w:rPr>
          <w:b/>
          <w:sz w:val="28"/>
        </w:rPr>
        <w:t>The Schedules</w:t>
      </w:r>
      <w:r>
        <w:t>”.</w:t>
      </w:r>
    </w:p>
    <w:p>
      <w:pPr>
        <w:pStyle w:val="BlankClose"/>
      </w:pP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(Robe River)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4</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E2C1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66A20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9C69DA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C0CAD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39C4A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4667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EF2F0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07629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6C2D7F8"/>
    <w:lvl w:ilvl="0">
      <w:start w:val="1"/>
      <w:numFmt w:val="decimal"/>
      <w:pStyle w:val="ListNumber"/>
      <w:lvlText w:val="%1."/>
      <w:lvlJc w:val="left"/>
      <w:pPr>
        <w:tabs>
          <w:tab w:val="num" w:pos="360"/>
        </w:tabs>
        <w:ind w:left="360" w:hanging="360"/>
      </w:pPr>
    </w:lvl>
  </w:abstractNum>
  <w:abstractNum w:abstractNumId="9">
    <w:nsid w:val="FFFFFF89"/>
    <w:multiLevelType w:val="singleLevel"/>
    <w:tmpl w:val="69C636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F3A4E1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045CA0E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36680</Words>
  <Characters>179366</Characters>
  <Application>Microsoft Office Word</Application>
  <DocSecurity>0</DocSecurity>
  <Lines>4270</Lines>
  <Paragraphs>1376</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214670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1964 - 01-c0-01</dc:title>
  <dc:subject/>
  <dc:creator/>
  <cp:keywords/>
  <dc:description/>
  <cp:lastModifiedBy>svcMRProcess</cp:lastModifiedBy>
  <cp:revision>4</cp:revision>
  <cp:lastPrinted>2001-08-20T05:34:00Z</cp:lastPrinted>
  <dcterms:created xsi:type="dcterms:W3CDTF">2020-02-16T23:56:00Z</dcterms:created>
  <dcterms:modified xsi:type="dcterms:W3CDTF">2020-02-16T23:56:00Z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20100701</vt:lpwstr>
  </property>
  <property fmtid="{D5CDD505-2E9C-101B-9397-08002B2CF9AE}" pid="4" name="DocumentType">
    <vt:lpwstr>Act</vt:lpwstr>
  </property>
  <property fmtid="{D5CDD505-2E9C-101B-9397-08002B2CF9AE}" pid="5" name="AsAtDate">
    <vt:lpwstr>01 Jul 2010</vt:lpwstr>
  </property>
  <property fmtid="{D5CDD505-2E9C-101B-9397-08002B2CF9AE}" pid="6" name="Suffix">
    <vt:lpwstr>01-c0-01</vt:lpwstr>
  </property>
  <property fmtid="{D5CDD505-2E9C-101B-9397-08002B2CF9AE}" pid="7" name="OwlsUID">
    <vt:i4>401</vt:i4>
  </property>
</Properties>
</file>