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Cement Works (Cockburn Cement Limited) Agreement Act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_Toc272047139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_Toc272047140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_Toc272047141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Variation agreement approved</w:t>
      </w:r>
      <w:r>
        <w:tab/>
      </w:r>
      <w:r>
        <w:fldChar w:fldCharType="begin"/>
      </w:r>
      <w:r>
        <w:instrText xml:space="preserve"> PAGEREF _Toc272047142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Ratification of the Second Variation Agreement</w:t>
      </w:r>
      <w:r>
        <w:tab/>
      </w:r>
      <w:r>
        <w:fldChar w:fldCharType="begin"/>
      </w:r>
      <w:r>
        <w:instrText xml:space="preserve"> PAGEREF _Toc272047143 \h </w:instrText>
      </w:r>
      <w:r>
        <w:fldChar w:fldCharType="separate"/>
      </w:r>
      <w:r>
        <w:t>2</w:t>
      </w:r>
      <w:r>
        <w:fldChar w:fldCharType="end"/>
      </w:r>
    </w:p>
    <w:p>
      <w:pPr>
        <w:pStyle w:val="TOC2"/>
        <w:tabs>
          <w:tab w:val="right" w:leader="dot" w:pos="7086"/>
        </w:tabs>
        <w:rPr>
          <w:b w:val="0"/>
          <w:sz w:val="24"/>
          <w:szCs w:val="24"/>
        </w:rPr>
      </w:pPr>
      <w:r>
        <w:rPr>
          <w:szCs w:val="28"/>
        </w:rPr>
        <w:t>First Schedule — Cement Works (Cockburn Cement Limited) Agreement</w:t>
      </w:r>
    </w:p>
    <w:p>
      <w:pPr>
        <w:pStyle w:val="TOC2"/>
        <w:tabs>
          <w:tab w:val="right" w:leader="dot" w:pos="7086"/>
        </w:tabs>
        <w:rPr>
          <w:b w:val="0"/>
          <w:sz w:val="24"/>
          <w:szCs w:val="24"/>
        </w:rPr>
      </w:pPr>
      <w:r>
        <w:rPr>
          <w:szCs w:val="28"/>
        </w:rPr>
        <w:t>Second Schedule — Supplemental agreement amending Cement Works (Cockburn Cement Limited) Agreement</w:t>
      </w:r>
    </w:p>
    <w:p>
      <w:pPr>
        <w:pStyle w:val="TOC2"/>
        <w:tabs>
          <w:tab w:val="right" w:leader="dot" w:pos="7086"/>
        </w:tabs>
        <w:rPr>
          <w:b w:val="0"/>
          <w:sz w:val="24"/>
          <w:szCs w:val="24"/>
        </w:rPr>
      </w:pPr>
      <w:r>
        <w:rPr>
          <w:szCs w:val="28"/>
        </w:rPr>
        <w:t>Third Schedule — Variation agreement</w:t>
      </w:r>
    </w:p>
    <w:p>
      <w:pPr>
        <w:pStyle w:val="TOC2"/>
        <w:tabs>
          <w:tab w:val="right" w:leader="dot" w:pos="7086"/>
        </w:tabs>
        <w:rPr>
          <w:b w:val="0"/>
          <w:sz w:val="24"/>
          <w:szCs w:val="24"/>
        </w:rPr>
      </w:pPr>
      <w:r>
        <w:rPr>
          <w:szCs w:val="28"/>
        </w:rPr>
        <w:t>Fourth Schedule — Second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_Toc272047149 \h </w:instrText>
      </w:r>
      <w:r>
        <w:fldChar w:fldCharType="separate"/>
      </w:r>
      <w:r>
        <w:t>52</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459107371"/>
      <w:bookmarkStart w:id="2" w:name="_Toc536522623"/>
      <w:bookmarkStart w:id="3" w:name="_Toc11643202"/>
      <w:bookmarkStart w:id="4" w:name="_Toc272047139"/>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5" w:name="_Toc459107372"/>
      <w:bookmarkStart w:id="6" w:name="_Toc536522624"/>
      <w:bookmarkStart w:id="7" w:name="_Toc11643203"/>
      <w:bookmarkStart w:id="8" w:name="_Toc272047140"/>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pPr>
      <w:r>
        <w:rPr>
          <w:b/>
        </w:rPr>
        <w:tab/>
      </w:r>
      <w:r>
        <w:rPr>
          <w:rStyle w:val="CharDefText"/>
        </w:rPr>
        <w:t>the variation agreement</w:t>
      </w:r>
      <w:bookmarkStart w:id="9" w:name="endcomma"/>
      <w:bookmarkEnd w:id="9"/>
      <w:r>
        <w:t xml:space="preserve"> </w:t>
      </w:r>
      <w:bookmarkStart w:id="10" w:name="comma"/>
      <w:bookmarkEnd w:id="10"/>
      <w:r>
        <w:t>means the agreement a copy of which is set forth in the Third Schedule.</w:t>
      </w:r>
    </w:p>
    <w:p>
      <w:pPr>
        <w:pStyle w:val="Footnotesection"/>
      </w:pPr>
      <w:r>
        <w:tab/>
        <w:t xml:space="preserve">[Section 2 amended by No. 82 of 1986 s. 4; No. 27 of 1997 s. 4.] </w:t>
      </w:r>
    </w:p>
    <w:p>
      <w:pPr>
        <w:pStyle w:val="Heading5"/>
        <w:rPr>
          <w:snapToGrid w:val="0"/>
        </w:rPr>
      </w:pPr>
      <w:bookmarkStart w:id="11" w:name="_Toc459107373"/>
      <w:bookmarkStart w:id="12" w:name="_Toc536522625"/>
      <w:bookmarkStart w:id="13" w:name="_Toc11643204"/>
      <w:bookmarkStart w:id="14" w:name="_Toc272047141"/>
      <w:r>
        <w:rPr>
          <w:rStyle w:val="CharSectno"/>
        </w:rPr>
        <w:t>3</w:t>
      </w:r>
      <w:r>
        <w:rPr>
          <w:snapToGrid w:val="0"/>
        </w:rPr>
        <w:t>.</w:t>
      </w:r>
      <w:r>
        <w:rPr>
          <w:snapToGrid w:val="0"/>
        </w:rPr>
        <w:tab/>
        <w:t>Ratification of the Agreement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15" w:name="_Toc459107374"/>
      <w:bookmarkStart w:id="16" w:name="_Toc536522626"/>
      <w:bookmarkStart w:id="17" w:name="_Toc11643205"/>
      <w:bookmarkStart w:id="18" w:name="_Toc272047142"/>
      <w:r>
        <w:rPr>
          <w:rStyle w:val="CharSectno"/>
        </w:rPr>
        <w:t>4</w:t>
      </w:r>
      <w:r>
        <w:rPr>
          <w:snapToGrid w:val="0"/>
        </w:rPr>
        <w:t>.</w:t>
      </w:r>
      <w:r>
        <w:rPr>
          <w:snapToGrid w:val="0"/>
        </w:rPr>
        <w:tab/>
        <w:t>Variation agreement approved</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19" w:name="_Toc459107375"/>
      <w:bookmarkStart w:id="20" w:name="_Toc536522627"/>
      <w:bookmarkStart w:id="21" w:name="_Toc11643206"/>
      <w:bookmarkStart w:id="22" w:name="_Toc272047143"/>
      <w:r>
        <w:rPr>
          <w:rStyle w:val="CharSectno"/>
        </w:rPr>
        <w:t>5</w:t>
      </w:r>
      <w:r>
        <w:rPr>
          <w:snapToGrid w:val="0"/>
        </w:rPr>
        <w:t>.</w:t>
      </w:r>
      <w:r>
        <w:rPr>
          <w:snapToGrid w:val="0"/>
        </w:rPr>
        <w:tab/>
        <w:t>Ratification of the Second Variation Agreement</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23" w:name="_Toc11643207"/>
      <w:bookmarkStart w:id="24" w:name="_Toc156378002"/>
      <w:bookmarkStart w:id="25" w:name="_Toc268248729"/>
      <w:bookmarkStart w:id="26" w:name="_Toc272047144"/>
      <w:r>
        <w:rPr>
          <w:rStyle w:val="CharSchNo"/>
        </w:rPr>
        <w:t>First Schedule</w:t>
      </w:r>
      <w:bookmarkEnd w:id="23"/>
      <w:bookmarkEnd w:id="24"/>
      <w:r>
        <w:t> — </w:t>
      </w:r>
      <w:r>
        <w:rPr>
          <w:rStyle w:val="CharSchText"/>
        </w:rPr>
        <w:t>Cement Works (Cockburn Cement Limited) Agreement</w:t>
      </w:r>
      <w:bookmarkEnd w:id="25"/>
      <w:bookmarkEnd w:id="26"/>
    </w:p>
    <w:p>
      <w:pPr>
        <w:pStyle w:val="yShoulderClause"/>
        <w:rPr>
          <w:snapToGrid w:val="0"/>
        </w:rPr>
      </w:pPr>
      <w:r>
        <w:rPr>
          <w:snapToGrid w:val="0"/>
        </w:rPr>
        <w:t>[s. 2]</w:t>
      </w:r>
    </w:p>
    <w:p>
      <w:pPr>
        <w:pStyle w:val="yFootnoteheading"/>
      </w:pPr>
      <w:r>
        <w:tab/>
        <w:t>[Heading amended by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lang w:eastAsia="en-AU"/>
              </w:rPr>
              <w:drawing>
                <wp:inline distT="0" distB="0" distL="0" distR="0">
                  <wp:extent cx="127635" cy="6381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lang w:eastAsia="en-AU"/>
              </w:rPr>
              <w:drawing>
                <wp:inline distT="0" distB="0" distL="0" distR="0">
                  <wp:extent cx="127635" cy="9353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93535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7635" cy="7232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72326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lang w:eastAsia="en-AU"/>
              </w:rPr>
              <w:drawing>
                <wp:inline distT="0" distB="0" distL="0" distR="0">
                  <wp:extent cx="127635" cy="63817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27" w:name="_Toc11643208"/>
      <w:bookmarkStart w:id="28" w:name="_Toc156378003"/>
      <w:bookmarkStart w:id="29" w:name="_Toc268248730"/>
      <w:bookmarkStart w:id="30" w:name="_Toc272047145"/>
      <w:r>
        <w:rPr>
          <w:rStyle w:val="CharSchNo"/>
        </w:rPr>
        <w:t>Second Schedule</w:t>
      </w:r>
      <w:bookmarkEnd w:id="27"/>
      <w:bookmarkEnd w:id="28"/>
      <w:r>
        <w:t> — </w:t>
      </w:r>
      <w:r>
        <w:rPr>
          <w:rStyle w:val="CharSchText"/>
        </w:rPr>
        <w:t>Supplemental agreement amending Cement Works (Cockburn Cement Limited) Agreement</w:t>
      </w:r>
      <w:bookmarkEnd w:id="29"/>
      <w:bookmarkEnd w:id="30"/>
    </w:p>
    <w:p>
      <w:pPr>
        <w:pStyle w:val="yShoulderClause"/>
        <w:rPr>
          <w:snapToGrid w:val="0"/>
        </w:rPr>
      </w:pPr>
      <w:r>
        <w:rPr>
          <w:snapToGrid w:val="0"/>
        </w:rPr>
        <w:t>[s. 2]</w:t>
      </w:r>
    </w:p>
    <w:p>
      <w:pPr>
        <w:pStyle w:val="yFootnoteheading"/>
      </w:pPr>
      <w:r>
        <w:tab/>
        <w:t>[Heading amended by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lang w:eastAsia="en-AU"/>
              </w:rPr>
              <w:drawing>
                <wp:inline distT="0" distB="0" distL="0" distR="0">
                  <wp:extent cx="127635" cy="6381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lang w:eastAsia="en-AU"/>
              </w:rPr>
              <w:drawing>
                <wp:inline distT="0" distB="0" distL="0" distR="0">
                  <wp:extent cx="127635" cy="63817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7635" cy="7334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73342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lang w:eastAsia="en-AU"/>
              </w:rPr>
              <w:drawing>
                <wp:inline distT="0" distB="0" distL="0" distR="0">
                  <wp:extent cx="127635" cy="638175"/>
                  <wp:effectExtent l="0" t="0" r="571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31" w:name="_Toc11643209"/>
      <w:bookmarkStart w:id="32" w:name="_Toc156378004"/>
      <w:bookmarkStart w:id="33" w:name="_Toc268248731"/>
      <w:bookmarkStart w:id="34" w:name="_Toc272047146"/>
      <w:r>
        <w:rPr>
          <w:rStyle w:val="CharSchNo"/>
        </w:rPr>
        <w:t>Third Schedule</w:t>
      </w:r>
      <w:bookmarkEnd w:id="31"/>
      <w:bookmarkEnd w:id="32"/>
      <w:r>
        <w:t> — </w:t>
      </w:r>
      <w:r>
        <w:rPr>
          <w:rStyle w:val="CharSchText"/>
        </w:rPr>
        <w:t>Variation agreement</w:t>
      </w:r>
      <w:bookmarkEnd w:id="33"/>
      <w:bookmarkEnd w:id="34"/>
    </w:p>
    <w:p>
      <w:pPr>
        <w:pStyle w:val="yShoulderClause"/>
      </w:pPr>
      <w:r>
        <w:t>[s. 2]</w:t>
      </w:r>
    </w:p>
    <w:p>
      <w:pPr>
        <w:pStyle w:val="yFootnoteheading"/>
      </w:pPr>
      <w:r>
        <w:tab/>
        <w:t>[Heading amended by No. 19 of 2010 s. 4.]</w:t>
      </w:r>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lang w:eastAsia="en-AU"/>
              </w:rPr>
              <w:drawing>
                <wp:inline distT="0" distB="0" distL="0" distR="0">
                  <wp:extent cx="127635" cy="48895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lang w:eastAsia="en-AU"/>
              </w:rPr>
              <w:drawing>
                <wp:inline distT="0" distB="0" distL="0" distR="0">
                  <wp:extent cx="127635" cy="64833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48335"/>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r>
              <w:rPr>
                <w:noProof/>
                <w:lang w:eastAsia="en-AU"/>
              </w:rPr>
              <w:drawing>
                <wp:inline distT="0" distB="0" distL="0" distR="0">
                  <wp:extent cx="127635" cy="5207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520700"/>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lang w:eastAsia="en-AU"/>
              </w:rPr>
              <w:drawing>
                <wp:inline distT="0" distB="0" distL="0" distR="0">
                  <wp:extent cx="127635" cy="6165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1658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7635" cy="76581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76581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lang w:eastAsia="en-AU"/>
              </w:rPr>
              <w:drawing>
                <wp:inline distT="0" distB="0" distL="0" distR="0">
                  <wp:extent cx="127635" cy="66992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66992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35" w:name="_Toc11643210"/>
      <w:bookmarkStart w:id="36" w:name="_Toc156378005"/>
      <w:bookmarkStart w:id="37" w:name="_Toc268248732"/>
      <w:bookmarkStart w:id="38" w:name="_Toc272047147"/>
      <w:r>
        <w:rPr>
          <w:rStyle w:val="CharSchNo"/>
        </w:rPr>
        <w:t>Fourth Schedule</w:t>
      </w:r>
      <w:bookmarkEnd w:id="35"/>
      <w:bookmarkEnd w:id="36"/>
      <w:r>
        <w:t> — </w:t>
      </w:r>
      <w:r>
        <w:rPr>
          <w:rStyle w:val="CharSchText"/>
        </w:rPr>
        <w:t>Second Variation Agreement</w:t>
      </w:r>
      <w:bookmarkEnd w:id="37"/>
      <w:bookmarkEnd w:id="38"/>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lang w:eastAsia="en-AU"/>
              </w:rPr>
              <w:drawing>
                <wp:inline distT="0" distB="0" distL="0" distR="0">
                  <wp:extent cx="127635" cy="488950"/>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lang w:eastAsia="en-AU"/>
              </w:rPr>
              <w:drawing>
                <wp:inline distT="0" distB="0" distL="0" distR="0">
                  <wp:extent cx="127635" cy="488950"/>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7635" cy="818515"/>
                  <wp:effectExtent l="0" t="0" r="571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818515"/>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lang w:eastAsia="en-AU"/>
              </w:rPr>
              <w:drawing>
                <wp:inline distT="0" distB="0" distL="0" distR="0">
                  <wp:extent cx="127635" cy="797560"/>
                  <wp:effectExtent l="0" t="0" r="571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 cy="79756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39" w:name="_Toc156378006"/>
      <w:bookmarkStart w:id="40" w:name="_Toc268248733"/>
      <w:bookmarkStart w:id="41" w:name="_Toc272047148"/>
      <w:r>
        <w:t>Notes</w:t>
      </w:r>
      <w:bookmarkEnd w:id="39"/>
      <w:bookmarkEnd w:id="40"/>
      <w:bookmarkEnd w:id="41"/>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2" w:name="_Toc11643211"/>
      <w:bookmarkStart w:id="43" w:name="_Toc272047149"/>
      <w:r>
        <w:rPr>
          <w:snapToGrid w:val="0"/>
        </w:rPr>
        <w:t>Compilation table</w:t>
      </w:r>
      <w:bookmarkEnd w:id="42"/>
      <w:bookmarkEnd w:id="43"/>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61"/>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61"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gridSpan w:val="2"/>
          </w:tcPr>
          <w:p>
            <w:pPr>
              <w:pStyle w:val="nTable"/>
              <w:spacing w:before="120"/>
              <w:ind w:right="113"/>
              <w:rPr>
                <w:sz w:val="19"/>
              </w:rPr>
            </w:pPr>
            <w:r>
              <w:rPr>
                <w:i/>
                <w:sz w:val="19"/>
              </w:rPr>
              <w:t>Cement Works (Cockburn Cement Limited) Agreement Act 1971</w:t>
            </w:r>
          </w:p>
        </w:tc>
        <w:tc>
          <w:tcPr>
            <w:tcW w:w="1134" w:type="dxa"/>
            <w:gridSpan w:val="2"/>
          </w:tcPr>
          <w:p>
            <w:pPr>
              <w:pStyle w:val="nTable"/>
              <w:spacing w:before="120"/>
              <w:rPr>
                <w:sz w:val="19"/>
              </w:rPr>
            </w:pPr>
            <w:r>
              <w:rPr>
                <w:sz w:val="19"/>
              </w:rPr>
              <w:t>45 of 1971</w:t>
            </w:r>
          </w:p>
        </w:tc>
        <w:tc>
          <w:tcPr>
            <w:tcW w:w="1134" w:type="dxa"/>
            <w:gridSpan w:val="2"/>
          </w:tcPr>
          <w:p>
            <w:pPr>
              <w:pStyle w:val="nTable"/>
              <w:spacing w:before="120"/>
              <w:rPr>
                <w:sz w:val="19"/>
              </w:rPr>
            </w:pPr>
            <w:r>
              <w:rPr>
                <w:sz w:val="19"/>
              </w:rPr>
              <w:t>10 Dec 1971</w:t>
            </w:r>
          </w:p>
        </w:tc>
        <w:tc>
          <w:tcPr>
            <w:tcW w:w="2561" w:type="dxa"/>
          </w:tcPr>
          <w:p>
            <w:pPr>
              <w:pStyle w:val="nTable"/>
              <w:spacing w:before="120"/>
              <w:rPr>
                <w:sz w:val="19"/>
              </w:rPr>
            </w:pPr>
            <w:r>
              <w:rPr>
                <w:sz w:val="19"/>
              </w:rPr>
              <w:t>10 Dec 1971</w:t>
            </w:r>
          </w:p>
        </w:tc>
      </w:tr>
      <w:tr>
        <w:trPr>
          <w:cantSplit/>
        </w:trPr>
        <w:tc>
          <w:tcPr>
            <w:tcW w:w="2268" w:type="dxa"/>
            <w:gridSpan w:val="2"/>
          </w:tcPr>
          <w:p>
            <w:pPr>
              <w:pStyle w:val="nTable"/>
              <w:spacing w:before="120"/>
              <w:ind w:right="113"/>
              <w:rPr>
                <w:sz w:val="19"/>
              </w:rPr>
            </w:pPr>
            <w:r>
              <w:rPr>
                <w:i/>
                <w:sz w:val="19"/>
              </w:rPr>
              <w:t>Cement Works (Cockburn Cement Limited) Agreement Amendment Act 1986</w:t>
            </w:r>
          </w:p>
        </w:tc>
        <w:tc>
          <w:tcPr>
            <w:tcW w:w="1134" w:type="dxa"/>
            <w:gridSpan w:val="2"/>
          </w:tcPr>
          <w:p>
            <w:pPr>
              <w:pStyle w:val="nTable"/>
              <w:spacing w:before="120"/>
              <w:rPr>
                <w:sz w:val="19"/>
              </w:rPr>
            </w:pPr>
            <w:r>
              <w:rPr>
                <w:sz w:val="19"/>
              </w:rPr>
              <w:t>82 of 1986</w:t>
            </w:r>
          </w:p>
        </w:tc>
        <w:tc>
          <w:tcPr>
            <w:tcW w:w="1134" w:type="dxa"/>
            <w:gridSpan w:val="2"/>
          </w:tcPr>
          <w:p>
            <w:pPr>
              <w:pStyle w:val="nTable"/>
              <w:spacing w:before="120"/>
              <w:rPr>
                <w:sz w:val="19"/>
              </w:rPr>
            </w:pPr>
            <w:r>
              <w:rPr>
                <w:sz w:val="19"/>
              </w:rPr>
              <w:t>9 Dec 1986</w:t>
            </w:r>
          </w:p>
        </w:tc>
        <w:tc>
          <w:tcPr>
            <w:tcW w:w="2561" w:type="dxa"/>
          </w:tcPr>
          <w:p>
            <w:pPr>
              <w:pStyle w:val="nTable"/>
              <w:spacing w:before="120"/>
              <w:rPr>
                <w:sz w:val="19"/>
              </w:rPr>
            </w:pPr>
            <w:r>
              <w:rPr>
                <w:sz w:val="19"/>
              </w:rPr>
              <w:t>9 Dec 1986 (see s. 2)</w:t>
            </w:r>
          </w:p>
        </w:tc>
      </w:tr>
      <w:tr>
        <w:trPr>
          <w:cantSplit/>
        </w:trPr>
        <w:tc>
          <w:tcPr>
            <w:tcW w:w="2268" w:type="dxa"/>
            <w:gridSpan w:val="2"/>
          </w:tcPr>
          <w:p>
            <w:pPr>
              <w:pStyle w:val="nTable"/>
              <w:spacing w:before="120"/>
              <w:ind w:right="113"/>
              <w:rPr>
                <w:sz w:val="19"/>
              </w:rPr>
            </w:pPr>
            <w:r>
              <w:rPr>
                <w:i/>
                <w:sz w:val="19"/>
              </w:rPr>
              <w:t>Cement Works (Cockburn Cement Limited) Agreement Amendment Act 1997</w:t>
            </w:r>
          </w:p>
        </w:tc>
        <w:tc>
          <w:tcPr>
            <w:tcW w:w="1134" w:type="dxa"/>
            <w:gridSpan w:val="2"/>
          </w:tcPr>
          <w:p>
            <w:pPr>
              <w:pStyle w:val="nTable"/>
              <w:spacing w:before="120"/>
              <w:rPr>
                <w:sz w:val="19"/>
              </w:rPr>
            </w:pPr>
            <w:r>
              <w:rPr>
                <w:sz w:val="19"/>
              </w:rPr>
              <w:t>27 of 1997</w:t>
            </w:r>
          </w:p>
        </w:tc>
        <w:tc>
          <w:tcPr>
            <w:tcW w:w="1134" w:type="dxa"/>
            <w:gridSpan w:val="2"/>
          </w:tcPr>
          <w:p>
            <w:pPr>
              <w:pStyle w:val="nTable"/>
              <w:spacing w:before="120"/>
              <w:rPr>
                <w:sz w:val="19"/>
              </w:rPr>
            </w:pPr>
            <w:r>
              <w:rPr>
                <w:sz w:val="19"/>
              </w:rPr>
              <w:t>24 Sep 1997</w:t>
            </w:r>
          </w:p>
        </w:tc>
        <w:tc>
          <w:tcPr>
            <w:tcW w:w="2561" w:type="dxa"/>
          </w:tcPr>
          <w:p>
            <w:pPr>
              <w:pStyle w:val="nTable"/>
              <w:spacing w:before="120"/>
              <w:rPr>
                <w:sz w:val="19"/>
              </w:rPr>
            </w:pPr>
            <w:r>
              <w:rPr>
                <w:sz w:val="19"/>
              </w:rPr>
              <w:t>24 Sep 1997 (see s. 2)</w:t>
            </w:r>
          </w:p>
        </w:tc>
      </w:tr>
      <w:tr>
        <w:trPr>
          <w:cantSplit/>
        </w:trPr>
        <w:tc>
          <w:tcPr>
            <w:tcW w:w="7097" w:type="dxa"/>
            <w:gridSpan w:val="7"/>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r>
        <w:trPr>
          <w:cantSplit/>
        </w:trPr>
        <w:tc>
          <w:tcPr>
            <w:tcW w:w="2245"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8"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79"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pPr>
      <w:bookmarkStart w:id="44" w:name="UpToHere"/>
      <w:bookmarkEnd w:id="44"/>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
      <w:pPr>
        <w:sectPr>
          <w:headerReference w:type="even" r:id="rId30"/>
          <w:headerReference w:type="default" r:id="rId31"/>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00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5A97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98DE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CC61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E78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680C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9607F5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54900"/>
    <w:docVar w:name="WAFER_20151207154900" w:val="RemoveTrackChanges"/>
    <w:docVar w:name="WAFER_20151207154900_GUID" w:val="6f2d2360-bce1-4dad-bd18-deb6e63e48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15975</Words>
  <Characters>78119</Characters>
  <Application>Microsoft Office Word</Application>
  <DocSecurity>0</DocSecurity>
  <Lines>1859</Lines>
  <Paragraphs>631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1971 - 01-c0-02</dc:title>
  <dc:subject/>
  <dc:creator/>
  <cp:keywords/>
  <dc:description/>
  <cp:lastModifiedBy>svcMRProcess</cp:lastModifiedBy>
  <cp:revision>4</cp:revision>
  <cp:lastPrinted>2002-05-30T00:12:00Z</cp:lastPrinted>
  <dcterms:created xsi:type="dcterms:W3CDTF">2020-02-14T00:34:00Z</dcterms:created>
  <dcterms:modified xsi:type="dcterms:W3CDTF">2020-02-14T00:34:00Z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01-c0-02</vt:lpwstr>
  </property>
</Properties>
</file>