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Valuation of Land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_Toc155602486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_Toc155602487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_Toc155602488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Transitional provisions</w:t>
      </w:r>
      <w:r>
        <w:tab/>
      </w:r>
      <w:r>
        <w:fldChar w:fldCharType="begin"/>
      </w:r>
      <w:r>
        <w:instrText xml:space="preserve"> PAGEREF _Toc155602489 \h </w:instrText>
      </w:r>
      <w:r>
        <w:fldChar w:fldCharType="separate"/>
      </w:r>
      <w:r>
        <w:t>9</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zCs w:val="24"/>
        </w:rPr>
        <w:tab/>
        <w:t>Valuer</w:t>
      </w:r>
      <w:r>
        <w:rPr>
          <w:szCs w:val="24"/>
        </w:rPr>
        <w:noBreakHyphen/>
        <w:t>General</w:t>
      </w:r>
      <w:r>
        <w:tab/>
      </w:r>
      <w:r>
        <w:fldChar w:fldCharType="begin"/>
      </w:r>
      <w:r>
        <w:instrText xml:space="preserve"> PAGEREF _Toc155602491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Valuer</w:t>
      </w:r>
      <w:r>
        <w:rPr>
          <w:snapToGrid w:val="0"/>
          <w:szCs w:val="24"/>
        </w:rPr>
        <w:noBreakHyphen/>
        <w:t>General to administer Act</w:t>
      </w:r>
      <w:r>
        <w:tab/>
      </w:r>
      <w:r>
        <w:fldChar w:fldCharType="begin"/>
      </w:r>
      <w:r>
        <w:instrText xml:space="preserve"> PAGEREF _Toc155602492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Power of delegation</w:t>
      </w:r>
      <w:r>
        <w:tab/>
      </w:r>
      <w:r>
        <w:fldChar w:fldCharType="begin"/>
      </w:r>
      <w:r>
        <w:instrText xml:space="preserve"> PAGEREF _Toc155602493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Power of inspection of public offices</w:t>
      </w:r>
      <w:r>
        <w:tab/>
      </w:r>
      <w:r>
        <w:fldChar w:fldCharType="begin"/>
      </w:r>
      <w:r>
        <w:instrText xml:space="preserve"> PAGEREF _Toc155602494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Other powers of inspection</w:t>
      </w:r>
      <w:r>
        <w:tab/>
      </w:r>
      <w:r>
        <w:fldChar w:fldCharType="begin"/>
      </w:r>
      <w:r>
        <w:instrText xml:space="preserve"> PAGEREF _Toc155602495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Power to obtain information</w:t>
      </w:r>
      <w:r>
        <w:tab/>
      </w:r>
      <w:r>
        <w:fldChar w:fldCharType="begin"/>
      </w:r>
      <w:r>
        <w:instrText xml:space="preserve"> PAGEREF _Toc155602496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Attendance, giving evidence and production of documents</w:t>
      </w:r>
      <w:r>
        <w:tab/>
      </w:r>
      <w:r>
        <w:fldChar w:fldCharType="begin"/>
      </w:r>
      <w:r>
        <w:instrText xml:space="preserve"> PAGEREF _Toc155602497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Secrecy</w:t>
      </w:r>
      <w:r>
        <w:tab/>
      </w:r>
      <w:r>
        <w:fldChar w:fldCharType="begin"/>
      </w:r>
      <w:r>
        <w:instrText xml:space="preserve"> PAGEREF _Toc155602498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Saving</w:t>
      </w:r>
      <w:r>
        <w:tab/>
      </w:r>
      <w:r>
        <w:fldChar w:fldCharType="begin"/>
      </w:r>
      <w:r>
        <w:instrText xml:space="preserve"> PAGEREF _Toc155602499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Private valuation work restricted</w:t>
      </w:r>
      <w:r>
        <w:tab/>
      </w:r>
      <w:r>
        <w:fldChar w:fldCharType="begin"/>
      </w:r>
      <w:r>
        <w:instrText xml:space="preserve"> PAGEREF _Toc155602500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Valuer</w:t>
      </w:r>
      <w:r>
        <w:rPr>
          <w:snapToGrid w:val="0"/>
          <w:szCs w:val="24"/>
        </w:rPr>
        <w:noBreakHyphen/>
        <w:t>General may engage assistance under contract</w:t>
      </w:r>
      <w:r>
        <w:tab/>
      </w:r>
      <w:r>
        <w:fldChar w:fldCharType="begin"/>
      </w:r>
      <w:r>
        <w:instrText xml:space="preserve"> PAGEREF _Toc155602501 \h </w:instrText>
      </w:r>
      <w:r>
        <w:fldChar w:fldCharType="separate"/>
      </w:r>
      <w:r>
        <w:t>18</w:t>
      </w:r>
      <w:r>
        <w:fldChar w:fldCharType="end"/>
      </w:r>
    </w:p>
    <w:p>
      <w:pPr>
        <w:pStyle w:val="TOC8"/>
        <w:rPr>
          <w:sz w:val="24"/>
          <w:szCs w:val="24"/>
        </w:rPr>
      </w:pPr>
      <w:r>
        <w:rPr>
          <w:szCs w:val="24"/>
        </w:rPr>
        <w:t>16A.</w:t>
      </w:r>
      <w:r>
        <w:rPr>
          <w:szCs w:val="24"/>
        </w:rPr>
        <w:tab/>
        <w:t>Minister to have access to information</w:t>
      </w:r>
      <w:r>
        <w:tab/>
      </w:r>
      <w:r>
        <w:fldChar w:fldCharType="begin"/>
      </w:r>
      <w:r>
        <w:instrText xml:space="preserve"> PAGEREF _Toc155602502 \h </w:instrText>
      </w:r>
      <w:r>
        <w:fldChar w:fldCharType="separate"/>
      </w:r>
      <w:r>
        <w:t>19</w:t>
      </w:r>
      <w:r>
        <w:fldChar w:fldCharType="end"/>
      </w:r>
    </w:p>
    <w:p>
      <w:pPr>
        <w:pStyle w:val="TOC8"/>
        <w:rPr>
          <w:sz w:val="24"/>
          <w:szCs w:val="24"/>
        </w:rPr>
      </w:pPr>
      <w:r>
        <w:rPr>
          <w:szCs w:val="24"/>
        </w:rPr>
        <w:t>16B.</w:t>
      </w:r>
      <w:r>
        <w:rPr>
          <w:szCs w:val="24"/>
        </w:rPr>
        <w:tab/>
        <w:t>Yearly report by Valuer</w:t>
      </w:r>
      <w:r>
        <w:rPr>
          <w:szCs w:val="24"/>
        </w:rPr>
        <w:noBreakHyphen/>
        <w:t>General</w:t>
      </w:r>
      <w:r>
        <w:tab/>
      </w:r>
      <w:r>
        <w:fldChar w:fldCharType="begin"/>
      </w:r>
      <w:r>
        <w:instrText xml:space="preserve"> PAGEREF _Toc155602503 \h </w:instrText>
      </w:r>
      <w:r>
        <w:fldChar w:fldCharType="separate"/>
      </w:r>
      <w:r>
        <w:t>20</w:t>
      </w:r>
      <w:r>
        <w:fldChar w:fldCharType="end"/>
      </w:r>
    </w:p>
    <w:p>
      <w:pPr>
        <w:pStyle w:val="TOC2"/>
        <w:tabs>
          <w:tab w:val="right" w:leader="dot" w:pos="7086"/>
        </w:tabs>
        <w:rPr>
          <w:b w:val="0"/>
          <w:sz w:val="24"/>
          <w:szCs w:val="24"/>
        </w:rPr>
      </w:pPr>
      <w:r>
        <w:rPr>
          <w:szCs w:val="30"/>
        </w:rPr>
        <w:t>Part III — Valuation</w:t>
      </w:r>
    </w:p>
    <w:p>
      <w:pPr>
        <w:pStyle w:val="TOC4"/>
        <w:tabs>
          <w:tab w:val="right" w:leader="dot" w:pos="7086"/>
        </w:tabs>
        <w:rPr>
          <w:b w:val="0"/>
          <w:sz w:val="24"/>
          <w:szCs w:val="24"/>
        </w:rPr>
      </w:pPr>
      <w:r>
        <w:rPr>
          <w:szCs w:val="26"/>
        </w:rPr>
        <w:t>Division 1</w:t>
      </w:r>
      <w:r>
        <w:rPr>
          <w:snapToGrid w:val="0"/>
          <w:szCs w:val="26"/>
        </w:rPr>
        <w:t> — </w:t>
      </w:r>
      <w:r>
        <w:rPr>
          <w:szCs w:val="26"/>
        </w:rPr>
        <w:t>General and interim valuations</w:t>
      </w:r>
    </w:p>
    <w:p>
      <w:pPr>
        <w:pStyle w:val="TOC8"/>
        <w:rPr>
          <w:sz w:val="24"/>
          <w:szCs w:val="24"/>
        </w:rPr>
      </w:pPr>
      <w:r>
        <w:rPr>
          <w:szCs w:val="24"/>
        </w:rPr>
        <w:t>17</w:t>
      </w:r>
      <w:r>
        <w:rPr>
          <w:snapToGrid w:val="0"/>
          <w:szCs w:val="24"/>
        </w:rPr>
        <w:t>.</w:t>
      </w:r>
      <w:r>
        <w:rPr>
          <w:snapToGrid w:val="0"/>
          <w:szCs w:val="24"/>
        </w:rPr>
        <w:tab/>
        <w:t>Valuation districts</w:t>
      </w:r>
      <w:r>
        <w:tab/>
      </w:r>
      <w:r>
        <w:fldChar w:fldCharType="begin"/>
      </w:r>
      <w:r>
        <w:instrText xml:space="preserve"> PAGEREF _Toc155602506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Determining values for general valuations</w:t>
      </w:r>
      <w:r>
        <w:tab/>
      </w:r>
      <w:r>
        <w:fldChar w:fldCharType="begin"/>
      </w:r>
      <w:r>
        <w:instrText xml:space="preserve"> PAGEREF _Toc155602507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Time at which value to be ascertained</w:t>
      </w:r>
      <w:r>
        <w:tab/>
      </w:r>
      <w:r>
        <w:fldChar w:fldCharType="begin"/>
      </w:r>
      <w:r>
        <w:instrText xml:space="preserve"> PAGEREF _Toc155602508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Time when general valuation comes into force</w:t>
      </w:r>
      <w:r>
        <w:tab/>
      </w:r>
      <w:r>
        <w:fldChar w:fldCharType="begin"/>
      </w:r>
      <w:r>
        <w:instrText xml:space="preserve"> PAGEREF _Toc155602509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 xml:space="preserve">Notice of general valuation to be published in </w:t>
      </w:r>
      <w:r>
        <w:rPr>
          <w:i/>
          <w:snapToGrid w:val="0"/>
          <w:szCs w:val="24"/>
        </w:rPr>
        <w:t>Gazette</w:t>
      </w:r>
      <w:r>
        <w:rPr>
          <w:snapToGrid w:val="0"/>
          <w:szCs w:val="24"/>
        </w:rPr>
        <w:t xml:space="preserve"> and newspapers</w:t>
      </w:r>
      <w:r>
        <w:tab/>
      </w:r>
      <w:r>
        <w:fldChar w:fldCharType="begin"/>
      </w:r>
      <w:r>
        <w:instrText xml:space="preserve"> PAGEREF _Toc155602510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Frequency of general valuations</w:t>
      </w:r>
      <w:r>
        <w:tab/>
      </w:r>
      <w:r>
        <w:fldChar w:fldCharType="begin"/>
      </w:r>
      <w:r>
        <w:instrText xml:space="preserve"> PAGEREF _Toc155602511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Interim valuations</w:t>
      </w:r>
      <w:r>
        <w:tab/>
      </w:r>
      <w:r>
        <w:fldChar w:fldCharType="begin"/>
      </w:r>
      <w:r>
        <w:instrText xml:space="preserve"> PAGEREF _Toc155602512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Valuation may be separate or joint</w:t>
      </w:r>
      <w:r>
        <w:tab/>
      </w:r>
      <w:r>
        <w:fldChar w:fldCharType="begin"/>
      </w:r>
      <w:r>
        <w:instrText xml:space="preserve"> PAGEREF _Toc155602513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Rating or taxing authority may engage valuers to make general or interim valuations</w:t>
      </w:r>
      <w:r>
        <w:tab/>
      </w:r>
      <w:r>
        <w:fldChar w:fldCharType="begin"/>
      </w:r>
      <w:r>
        <w:instrText xml:space="preserve"> PAGEREF _Toc155602514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Valuation rolls</w:t>
      </w:r>
    </w:p>
    <w:p>
      <w:pPr>
        <w:pStyle w:val="TOC8"/>
        <w:rPr>
          <w:sz w:val="24"/>
          <w:szCs w:val="24"/>
        </w:rPr>
      </w:pPr>
      <w:r>
        <w:rPr>
          <w:szCs w:val="24"/>
        </w:rPr>
        <w:t>26</w:t>
      </w:r>
      <w:r>
        <w:rPr>
          <w:snapToGrid w:val="0"/>
          <w:szCs w:val="24"/>
        </w:rPr>
        <w:t>.</w:t>
      </w:r>
      <w:r>
        <w:rPr>
          <w:snapToGrid w:val="0"/>
          <w:szCs w:val="24"/>
        </w:rPr>
        <w:tab/>
        <w:t>Valuation rolls</w:t>
      </w:r>
      <w:r>
        <w:tab/>
      </w:r>
      <w:r>
        <w:fldChar w:fldCharType="begin"/>
      </w:r>
      <w:r>
        <w:instrText xml:space="preserve"> PAGEREF _Toc155602516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Amendment or addition to, or deletion from valuation roll</w:t>
      </w:r>
      <w:r>
        <w:tab/>
      </w:r>
      <w:r>
        <w:fldChar w:fldCharType="begin"/>
      </w:r>
      <w:r>
        <w:instrText xml:space="preserve"> PAGEREF _Toc155602517 \h </w:instrText>
      </w:r>
      <w:r>
        <w:fldChar w:fldCharType="separate"/>
      </w:r>
      <w:r>
        <w:t>29</w:t>
      </w:r>
      <w:r>
        <w:fldChar w:fldCharType="end"/>
      </w:r>
    </w:p>
    <w:p>
      <w:pPr>
        <w:pStyle w:val="TOC8"/>
        <w:rPr>
          <w:sz w:val="24"/>
          <w:szCs w:val="24"/>
        </w:rPr>
      </w:pPr>
      <w:r>
        <w:rPr>
          <w:szCs w:val="24"/>
        </w:rPr>
        <w:t>28.</w:t>
      </w:r>
      <w:r>
        <w:rPr>
          <w:szCs w:val="24"/>
        </w:rPr>
        <w:tab/>
        <w:t>Custody, inspection and availability of valuation rolls</w:t>
      </w:r>
      <w:r>
        <w:tab/>
      </w:r>
      <w:r>
        <w:fldChar w:fldCharType="begin"/>
      </w:r>
      <w:r>
        <w:instrText xml:space="preserve"> PAGEREF _Toc155602518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Copies of or extracts from entries in valuation rolls</w:t>
      </w:r>
      <w:r>
        <w:tab/>
      </w:r>
      <w:r>
        <w:fldChar w:fldCharType="begin"/>
      </w:r>
      <w:r>
        <w:instrText xml:space="preserve"> PAGEREF _Toc155602519 \h </w:instrText>
      </w:r>
      <w:r>
        <w:fldChar w:fldCharType="separate"/>
      </w:r>
      <w:r>
        <w:t>30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Concessional and other valuations</w:t>
      </w:r>
    </w:p>
    <w:p>
      <w:pPr>
        <w:pStyle w:val="TOC8"/>
        <w:rPr>
          <w:sz w:val="24"/>
          <w:szCs w:val="24"/>
        </w:rPr>
      </w:pPr>
      <w:r>
        <w:rPr>
          <w:szCs w:val="24"/>
        </w:rPr>
        <w:t>31</w:t>
      </w:r>
      <w:r>
        <w:rPr>
          <w:snapToGrid w:val="0"/>
          <w:szCs w:val="24"/>
        </w:rPr>
        <w:t>.</w:t>
      </w:r>
      <w:r>
        <w:rPr>
          <w:snapToGrid w:val="0"/>
          <w:szCs w:val="24"/>
        </w:rPr>
        <w:tab/>
        <w:t>Concessional valuations for land subject to special agreements</w:t>
      </w:r>
      <w:r>
        <w:tab/>
      </w:r>
      <w:r>
        <w:fldChar w:fldCharType="begin"/>
      </w:r>
      <w:r>
        <w:instrText xml:space="preserve"> PAGEREF _Toc155602521 \h </w:instrText>
      </w:r>
      <w:r>
        <w:fldChar w:fldCharType="separate"/>
      </w:r>
      <w:r>
        <w:t>30</w:t>
      </w:r>
      <w:r>
        <w:fldChar w:fldCharType="end"/>
      </w:r>
    </w:p>
    <w:p>
      <w:pPr>
        <w:pStyle w:val="TOC8"/>
        <w:rPr>
          <w:sz w:val="24"/>
          <w:szCs w:val="24"/>
        </w:rPr>
      </w:pPr>
      <w:r>
        <w:rPr>
          <w:szCs w:val="24"/>
        </w:rPr>
        <w:t>31A</w:t>
      </w:r>
      <w:r>
        <w:rPr>
          <w:snapToGrid w:val="0"/>
          <w:szCs w:val="24"/>
        </w:rPr>
        <w:t>.</w:t>
      </w:r>
      <w:r>
        <w:rPr>
          <w:snapToGrid w:val="0"/>
          <w:szCs w:val="24"/>
        </w:rPr>
        <w:tab/>
        <w:t>Valuer</w:t>
      </w:r>
      <w:r>
        <w:rPr>
          <w:snapToGrid w:val="0"/>
          <w:szCs w:val="24"/>
        </w:rPr>
        <w:noBreakHyphen/>
        <w:t xml:space="preserve">General to make valuations under </w:t>
      </w:r>
      <w:r>
        <w:rPr>
          <w:i/>
          <w:snapToGrid w:val="0"/>
          <w:szCs w:val="24"/>
        </w:rPr>
        <w:t>Local Government Act 1995</w:t>
      </w:r>
      <w:r>
        <w:tab/>
      </w:r>
      <w:r>
        <w:fldChar w:fldCharType="begin"/>
      </w:r>
      <w:r>
        <w:instrText xml:space="preserve"> PAGEREF _Toc155602522 \h </w:instrText>
      </w:r>
      <w:r>
        <w:fldChar w:fldCharType="separate"/>
      </w:r>
      <w:r>
        <w:t>31</w:t>
      </w:r>
      <w:r>
        <w:fldChar w:fldCharType="end"/>
      </w:r>
    </w:p>
    <w:p>
      <w:pPr>
        <w:pStyle w:val="TOC8"/>
        <w:rPr>
          <w:sz w:val="24"/>
          <w:szCs w:val="24"/>
        </w:rPr>
      </w:pPr>
      <w:r>
        <w:rPr>
          <w:szCs w:val="24"/>
        </w:rPr>
        <w:t>31B</w:t>
      </w:r>
      <w:r>
        <w:rPr>
          <w:snapToGrid w:val="0"/>
          <w:szCs w:val="24"/>
        </w:rPr>
        <w:t>.</w:t>
      </w:r>
      <w:r>
        <w:rPr>
          <w:snapToGrid w:val="0"/>
          <w:szCs w:val="24"/>
        </w:rPr>
        <w:tab/>
        <w:t>Valuer</w:t>
      </w:r>
      <w:r>
        <w:rPr>
          <w:snapToGrid w:val="0"/>
          <w:szCs w:val="24"/>
        </w:rPr>
        <w:noBreakHyphen/>
        <w:t xml:space="preserve">General to make valuations for the purpose of </w:t>
      </w:r>
      <w:r>
        <w:rPr>
          <w:szCs w:val="24"/>
        </w:rPr>
        <w:t>section</w:t>
      </w:r>
      <w:r>
        <w:rPr>
          <w:snapToGrid w:val="0"/>
          <w:szCs w:val="24"/>
        </w:rPr>
        <w:t xml:space="preserve"> 28(7) of the </w:t>
      </w:r>
      <w:r>
        <w:rPr>
          <w:i/>
          <w:snapToGrid w:val="0"/>
          <w:szCs w:val="24"/>
        </w:rPr>
        <w:t>Land Tax Assessment Act 2002</w:t>
      </w:r>
      <w:r>
        <w:tab/>
      </w:r>
      <w:r>
        <w:fldChar w:fldCharType="begin"/>
      </w:r>
      <w:r>
        <w:instrText xml:space="preserve"> PAGEREF _Toc155602523 \h </w:instrText>
      </w:r>
      <w:r>
        <w:fldChar w:fldCharType="separate"/>
      </w:r>
      <w:r>
        <w:t>31</w:t>
      </w:r>
      <w:r>
        <w:fldChar w:fldCharType="end"/>
      </w:r>
    </w:p>
    <w:p>
      <w:pPr>
        <w:pStyle w:val="TOC2"/>
        <w:tabs>
          <w:tab w:val="right" w:leader="dot" w:pos="7086"/>
        </w:tabs>
        <w:rPr>
          <w:b w:val="0"/>
          <w:sz w:val="24"/>
          <w:szCs w:val="24"/>
        </w:rPr>
      </w:pPr>
      <w:r>
        <w:rPr>
          <w:szCs w:val="30"/>
        </w:rPr>
        <w:t>Part IV — Objections and review</w:t>
      </w:r>
    </w:p>
    <w:p>
      <w:pPr>
        <w:pStyle w:val="TOC8"/>
        <w:rPr>
          <w:sz w:val="24"/>
          <w:szCs w:val="24"/>
        </w:rPr>
      </w:pPr>
      <w:r>
        <w:rPr>
          <w:szCs w:val="24"/>
        </w:rPr>
        <w:t>32</w:t>
      </w:r>
      <w:r>
        <w:rPr>
          <w:snapToGrid w:val="0"/>
          <w:szCs w:val="24"/>
        </w:rPr>
        <w:t>.</w:t>
      </w:r>
      <w:r>
        <w:rPr>
          <w:snapToGrid w:val="0"/>
          <w:szCs w:val="24"/>
        </w:rPr>
        <w:tab/>
        <w:t>Objections to valuation</w:t>
      </w:r>
      <w:r>
        <w:tab/>
      </w:r>
      <w:r>
        <w:fldChar w:fldCharType="begin"/>
      </w:r>
      <w:r>
        <w:instrText xml:space="preserve"> PAGEREF _Toc155602525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Review of valuation</w:t>
      </w:r>
      <w:r>
        <w:tab/>
      </w:r>
      <w:r>
        <w:fldChar w:fldCharType="begin"/>
      </w:r>
      <w:r>
        <w:instrText xml:space="preserve"> PAGEREF _Toc155602526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Valuer</w:t>
      </w:r>
      <w:r>
        <w:rPr>
          <w:snapToGrid w:val="0"/>
          <w:szCs w:val="24"/>
        </w:rPr>
        <w:noBreakHyphen/>
        <w:t>General to advise rating and taxing authorities of objections and review</w:t>
      </w:r>
      <w:r>
        <w:tab/>
      </w:r>
      <w:r>
        <w:fldChar w:fldCharType="begin"/>
      </w:r>
      <w:r>
        <w:instrText xml:space="preserve"> PAGEREF _Toc155602527 \h </w:instrText>
      </w:r>
      <w:r>
        <w:fldChar w:fldCharType="separate"/>
      </w:r>
      <w:r>
        <w:t>34</w:t>
      </w:r>
      <w:r>
        <w:fldChar w:fldCharType="end"/>
      </w:r>
    </w:p>
    <w:p>
      <w:pPr>
        <w:pStyle w:val="TOC8"/>
        <w:rPr>
          <w:sz w:val="24"/>
          <w:szCs w:val="24"/>
        </w:rPr>
      </w:pPr>
      <w:r>
        <w:rPr>
          <w:szCs w:val="24"/>
        </w:rPr>
        <w:t>34A</w:t>
      </w:r>
      <w:r>
        <w:rPr>
          <w:snapToGrid w:val="0"/>
          <w:szCs w:val="24"/>
        </w:rPr>
        <w:t>.</w:t>
      </w:r>
      <w:r>
        <w:rPr>
          <w:snapToGrid w:val="0"/>
          <w:szCs w:val="24"/>
        </w:rPr>
        <w:tab/>
        <w:t>Amended valuation not to apply before the year of objection</w:t>
      </w:r>
      <w:r>
        <w:tab/>
      </w:r>
      <w:r>
        <w:fldChar w:fldCharType="begin"/>
      </w:r>
      <w:r>
        <w:instrText xml:space="preserve"> PAGEREF _Toc155602528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Review of refusal to extend time for objection or review</w:t>
      </w:r>
      <w:r>
        <w:tab/>
      </w:r>
      <w:r>
        <w:fldChar w:fldCharType="begin"/>
      </w:r>
      <w:r>
        <w:instrText xml:space="preserve"> PAGEREF _Toc155602529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General review of valuation</w:t>
      </w:r>
      <w:r>
        <w:tab/>
      </w:r>
      <w:r>
        <w:fldChar w:fldCharType="begin"/>
      </w:r>
      <w:r>
        <w:instrText xml:space="preserve"> PAGEREF _Toc155602530 \h </w:instrText>
      </w:r>
      <w:r>
        <w:fldChar w:fldCharType="separate"/>
      </w:r>
      <w:r>
        <w:t>35</w:t>
      </w:r>
      <w:r>
        <w:fldChar w:fldCharType="end"/>
      </w:r>
    </w:p>
    <w:p>
      <w:pPr>
        <w:pStyle w:val="TOC8"/>
        <w:rPr>
          <w:sz w:val="24"/>
          <w:szCs w:val="24"/>
        </w:rPr>
      </w:pPr>
      <w:r>
        <w:rPr>
          <w:szCs w:val="24"/>
        </w:rPr>
        <w:t>36A.</w:t>
      </w:r>
      <w:r>
        <w:rPr>
          <w:szCs w:val="24"/>
        </w:rPr>
        <w:tab/>
        <w:t>New matters raised on review</w:t>
      </w:r>
      <w:r>
        <w:tab/>
      </w:r>
      <w:r>
        <w:fldChar w:fldCharType="begin"/>
      </w:r>
      <w:r>
        <w:instrText xml:space="preserve"> PAGEREF _Toc155602531 \h </w:instrText>
      </w:r>
      <w:r>
        <w:fldChar w:fldCharType="separate"/>
      </w:r>
      <w:r>
        <w:t>36</w:t>
      </w:r>
      <w:r>
        <w:fldChar w:fldCharType="end"/>
      </w:r>
    </w:p>
    <w:p>
      <w:pPr>
        <w:pStyle w:val="TOC8"/>
        <w:rPr>
          <w:sz w:val="24"/>
          <w:szCs w:val="24"/>
        </w:rPr>
      </w:pPr>
      <w:r>
        <w:rPr>
          <w:szCs w:val="24"/>
        </w:rPr>
        <w:t>36B</w:t>
      </w:r>
      <w:r>
        <w:rPr>
          <w:snapToGrid w:val="0"/>
          <w:szCs w:val="24"/>
        </w:rPr>
        <w:t>.</w:t>
      </w:r>
      <w:r>
        <w:rPr>
          <w:snapToGrid w:val="0"/>
          <w:szCs w:val="24"/>
        </w:rPr>
        <w:tab/>
        <w:t>Written reasons for certain determinations to be given and published</w:t>
      </w:r>
      <w:r>
        <w:tab/>
      </w:r>
      <w:r>
        <w:fldChar w:fldCharType="begin"/>
      </w:r>
      <w:r>
        <w:instrText xml:space="preserve"> PAGEREF _Toc155602532 \h </w:instrText>
      </w:r>
      <w:r>
        <w:fldChar w:fldCharType="separate"/>
      </w:r>
      <w:r>
        <w:t>36</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37</w:t>
      </w:r>
      <w:r>
        <w:rPr>
          <w:snapToGrid w:val="0"/>
          <w:szCs w:val="24"/>
        </w:rPr>
        <w:t>.</w:t>
      </w:r>
      <w:r>
        <w:rPr>
          <w:snapToGrid w:val="0"/>
          <w:szCs w:val="24"/>
        </w:rPr>
        <w:tab/>
        <w:t>Local governments to furnish information to Valuer</w:t>
      </w:r>
      <w:r>
        <w:rPr>
          <w:snapToGrid w:val="0"/>
          <w:szCs w:val="24"/>
        </w:rPr>
        <w:noBreakHyphen/>
        <w:t>General</w:t>
      </w:r>
      <w:r>
        <w:tab/>
      </w:r>
      <w:r>
        <w:fldChar w:fldCharType="begin"/>
      </w:r>
      <w:r>
        <w:instrText xml:space="preserve"> PAGEREF _Toc155602534 \h </w:instrText>
      </w:r>
      <w:r>
        <w:fldChar w:fldCharType="separate"/>
      </w:r>
      <w:r>
        <w:t>38</w:t>
      </w:r>
      <w:r>
        <w:fldChar w:fldCharType="end"/>
      </w:r>
    </w:p>
    <w:p>
      <w:pPr>
        <w:pStyle w:val="TOC8"/>
        <w:rPr>
          <w:sz w:val="24"/>
          <w:szCs w:val="24"/>
        </w:rPr>
      </w:pPr>
      <w:r>
        <w:rPr>
          <w:szCs w:val="24"/>
        </w:rPr>
        <w:t>38.</w:t>
      </w:r>
      <w:r>
        <w:rPr>
          <w:szCs w:val="24"/>
        </w:rPr>
        <w:tab/>
        <w:t>Charges for making valuations under Part III</w:t>
      </w:r>
      <w:r>
        <w:tab/>
      </w:r>
      <w:r>
        <w:fldChar w:fldCharType="begin"/>
      </w:r>
      <w:r>
        <w:instrText xml:space="preserve"> PAGEREF _Toc155602535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Valuer</w:t>
      </w:r>
      <w:r>
        <w:rPr>
          <w:snapToGrid w:val="0"/>
          <w:szCs w:val="24"/>
        </w:rPr>
        <w:noBreakHyphen/>
        <w:t>General may make other valuations for Crown</w:t>
      </w:r>
      <w:r>
        <w:tab/>
      </w:r>
      <w:r>
        <w:fldChar w:fldCharType="begin"/>
      </w:r>
      <w:r>
        <w:instrText xml:space="preserve"> PAGEREF _Toc155602536 \h </w:instrText>
      </w:r>
      <w:r>
        <w:fldChar w:fldCharType="separate"/>
      </w:r>
      <w:r>
        <w:t>39</w:t>
      </w:r>
      <w:r>
        <w:fldChar w:fldCharType="end"/>
      </w:r>
    </w:p>
    <w:p>
      <w:pPr>
        <w:pStyle w:val="TOC8"/>
        <w:rPr>
          <w:sz w:val="24"/>
          <w:szCs w:val="24"/>
        </w:rPr>
      </w:pPr>
      <w:r>
        <w:rPr>
          <w:szCs w:val="24"/>
        </w:rPr>
        <w:t>39A.</w:t>
      </w:r>
      <w:r>
        <w:rPr>
          <w:szCs w:val="24"/>
        </w:rPr>
        <w:tab/>
        <w:t>Authority may provide goods and services</w:t>
      </w:r>
      <w:r>
        <w:tab/>
      </w:r>
      <w:r>
        <w:fldChar w:fldCharType="begin"/>
      </w:r>
      <w:r>
        <w:instrText xml:space="preserve"> PAGEREF _Toc155602537 \h </w:instrText>
      </w:r>
      <w:r>
        <w:fldChar w:fldCharType="separate"/>
      </w:r>
      <w:r>
        <w:t>39</w:t>
      </w:r>
      <w:r>
        <w:fldChar w:fldCharType="end"/>
      </w:r>
    </w:p>
    <w:p>
      <w:pPr>
        <w:pStyle w:val="TOC8"/>
        <w:rPr>
          <w:sz w:val="24"/>
          <w:szCs w:val="24"/>
        </w:rPr>
      </w:pPr>
      <w:r>
        <w:rPr>
          <w:szCs w:val="24"/>
        </w:rPr>
        <w:t>40.</w:t>
      </w:r>
      <w:r>
        <w:rPr>
          <w:szCs w:val="24"/>
        </w:rPr>
        <w:tab/>
        <w:t>Money received by Valuer</w:t>
      </w:r>
      <w:r>
        <w:rPr>
          <w:szCs w:val="24"/>
        </w:rPr>
        <w:noBreakHyphen/>
        <w:t>General</w:t>
      </w:r>
      <w:r>
        <w:tab/>
      </w:r>
      <w:r>
        <w:fldChar w:fldCharType="begin"/>
      </w:r>
      <w:r>
        <w:instrText xml:space="preserve"> PAGEREF _Toc155602538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Valuation not affected by irregularity</w:t>
      </w:r>
      <w:r>
        <w:tab/>
      </w:r>
      <w:r>
        <w:fldChar w:fldCharType="begin"/>
      </w:r>
      <w:r>
        <w:instrText xml:space="preserve"> PAGEREF _Toc155602539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Immunity of Valuer</w:t>
      </w:r>
      <w:r>
        <w:rPr>
          <w:snapToGrid w:val="0"/>
          <w:szCs w:val="24"/>
        </w:rPr>
        <w:noBreakHyphen/>
        <w:t>General and persons authorised by him</w:t>
      </w:r>
      <w:r>
        <w:tab/>
      </w:r>
      <w:r>
        <w:fldChar w:fldCharType="begin"/>
      </w:r>
      <w:r>
        <w:instrText xml:space="preserve"> PAGEREF _Toc155602540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_Toc155602541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General penalty</w:t>
      </w:r>
      <w:r>
        <w:tab/>
      </w:r>
      <w:r>
        <w:fldChar w:fldCharType="begin"/>
      </w:r>
      <w:r>
        <w:instrText xml:space="preserve"> PAGEREF _Toc155602542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Summary procedure</w:t>
      </w:r>
      <w:r>
        <w:tab/>
      </w:r>
      <w:r>
        <w:fldChar w:fldCharType="begin"/>
      </w:r>
      <w:r>
        <w:instrText xml:space="preserve"> PAGEREF _Toc155602543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Time for laying complaints</w:t>
      </w:r>
      <w:r>
        <w:tab/>
      </w:r>
      <w:r>
        <w:fldChar w:fldCharType="begin"/>
      </w:r>
      <w:r>
        <w:instrText xml:space="preserve"> PAGEREF _Toc155602544 \h </w:instrText>
      </w:r>
      <w:r>
        <w:fldChar w:fldCharType="separate"/>
      </w:r>
      <w:r>
        <w:t>41</w:t>
      </w:r>
      <w:r>
        <w:fldChar w:fldCharType="end"/>
      </w:r>
    </w:p>
    <w:p>
      <w:pPr>
        <w:pStyle w:val="TOC8"/>
        <w:rPr>
          <w:sz w:val="24"/>
          <w:szCs w:val="24"/>
        </w:rPr>
      </w:pPr>
      <w:r>
        <w:rPr>
          <w:szCs w:val="24"/>
        </w:rPr>
        <w:t>47</w:t>
      </w:r>
      <w:r>
        <w:rPr>
          <w:snapToGrid w:val="0"/>
          <w:szCs w:val="24"/>
        </w:rPr>
        <w:t>.</w:t>
      </w:r>
      <w:r>
        <w:rPr>
          <w:snapToGrid w:val="0"/>
          <w:szCs w:val="24"/>
        </w:rPr>
        <w:tab/>
        <w:t>Institution of prosecutions</w:t>
      </w:r>
      <w:r>
        <w:tab/>
      </w:r>
      <w:r>
        <w:fldChar w:fldCharType="begin"/>
      </w:r>
      <w:r>
        <w:instrText xml:space="preserve"> PAGEREF _Toc155602545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Service of notices</w:t>
      </w:r>
      <w:r>
        <w:tab/>
      </w:r>
      <w:r>
        <w:fldChar w:fldCharType="begin"/>
      </w:r>
      <w:r>
        <w:instrText xml:space="preserve"> PAGEREF _Toc155602546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Regulations</w:t>
      </w:r>
      <w:r>
        <w:tab/>
      </w:r>
      <w:r>
        <w:fldChar w:fldCharType="begin"/>
      </w:r>
      <w:r>
        <w:instrText xml:space="preserve"> PAGEREF _Toc155602547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_Toc155602549 \h </w:instrText>
      </w:r>
      <w:r>
        <w:fldChar w:fldCharType="separate"/>
      </w:r>
      <w:r>
        <w:t>43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1" w:name="_Toc89851848"/>
      <w:bookmarkStart w:id="2" w:name="_Toc92776328"/>
      <w:bookmarkStart w:id="3" w:name="_Toc96319382"/>
      <w:bookmarkStart w:id="4" w:name="_Toc96755202"/>
      <w:bookmarkStart w:id="5" w:name="_Toc103071490"/>
      <w:bookmarkStart w:id="6" w:name="_Toc124756580"/>
      <w:bookmarkStart w:id="7" w:name="_Toc124820026"/>
      <w:bookmarkStart w:id="8" w:name="_Toc127672810"/>
      <w:bookmarkStart w:id="9" w:name="_Toc130199488"/>
      <w:bookmarkStart w:id="10" w:name="_Toc139693442"/>
      <w:bookmarkStart w:id="11" w:name="_Toc1556024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spacing w:before="120"/>
        <w:rPr>
          <w:snapToGrid w:val="0"/>
        </w:rPr>
      </w:pPr>
      <w:bookmarkStart w:id="12" w:name="_Toc487528583"/>
      <w:bookmarkStart w:id="13" w:name="_Toc510240121"/>
      <w:bookmarkStart w:id="14" w:name="_Toc513348904"/>
      <w:bookmarkStart w:id="15" w:name="_Toc155602486"/>
      <w:r>
        <w:rPr>
          <w:rStyle w:val="CharSectno"/>
        </w:rPr>
        <w:t>1</w:t>
      </w:r>
      <w:r>
        <w:rPr>
          <w:snapToGrid w:val="0"/>
        </w:rPr>
        <w:t>.</w:t>
      </w:r>
      <w:r>
        <w:rPr>
          <w:snapToGrid w:val="0"/>
        </w:rPr>
        <w:tab/>
        <w:t>Short title</w:t>
      </w:r>
      <w:bookmarkEnd w:id="12"/>
      <w:bookmarkEnd w:id="13"/>
      <w:bookmarkEnd w:id="14"/>
      <w:bookmarkEnd w:id="15"/>
    </w:p>
    <w:p>
      <w:pPr>
        <w:pStyle w:val="Subsection"/>
        <w:spacing w:before="100"/>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spacing w:before="120"/>
        <w:rPr>
          <w:snapToGrid w:val="0"/>
        </w:rPr>
      </w:pPr>
      <w:bookmarkStart w:id="16" w:name="_Toc487528584"/>
      <w:bookmarkStart w:id="17" w:name="_Toc510240122"/>
      <w:bookmarkStart w:id="18" w:name="_Toc513348905"/>
      <w:bookmarkStart w:id="19" w:name="_Toc155602487"/>
      <w:r>
        <w:rPr>
          <w:rStyle w:val="CharSectno"/>
        </w:rPr>
        <w:t>2</w:t>
      </w:r>
      <w:r>
        <w:rPr>
          <w:snapToGrid w:val="0"/>
        </w:rPr>
        <w:t>.</w:t>
      </w:r>
      <w:r>
        <w:rPr>
          <w:snapToGrid w:val="0"/>
        </w:rPr>
        <w:tab/>
        <w:t>Commencement</w:t>
      </w:r>
      <w:bookmarkEnd w:id="16"/>
      <w:bookmarkEnd w:id="17"/>
      <w:bookmarkEnd w:id="18"/>
      <w:bookmarkEnd w:id="19"/>
    </w:p>
    <w:p>
      <w:pPr>
        <w:pStyle w:val="Subsection"/>
        <w:spacing w:before="10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120"/>
        <w:ind w:left="890" w:hanging="890"/>
      </w:pPr>
      <w:r>
        <w:t>[</w:t>
      </w:r>
      <w:r>
        <w:rPr>
          <w:b/>
        </w:rPr>
        <w:t>3.</w:t>
      </w:r>
      <w:r>
        <w:tab/>
        <w:t>Repealed by No. 10 of 1998 s. 76.]</w:t>
      </w:r>
    </w:p>
    <w:p>
      <w:pPr>
        <w:pStyle w:val="Heading5"/>
        <w:spacing w:before="120"/>
        <w:rPr>
          <w:snapToGrid w:val="0"/>
        </w:rPr>
      </w:pPr>
      <w:bookmarkStart w:id="20" w:name="_Toc487528585"/>
      <w:bookmarkStart w:id="21" w:name="_Toc510240123"/>
      <w:bookmarkStart w:id="22" w:name="_Toc513348906"/>
      <w:bookmarkStart w:id="23" w:name="_Toc155602488"/>
      <w:r>
        <w:rPr>
          <w:rStyle w:val="CharSectno"/>
        </w:rPr>
        <w:t>4</w:t>
      </w:r>
      <w:r>
        <w:rPr>
          <w:snapToGrid w:val="0"/>
        </w:rPr>
        <w:t>.</w:t>
      </w:r>
      <w:r>
        <w:rPr>
          <w:snapToGrid w:val="0"/>
        </w:rPr>
        <w:tab/>
        <w:t>Interpretation</w:t>
      </w:r>
      <w:bookmarkEnd w:id="20"/>
      <w:bookmarkEnd w:id="21"/>
      <w:bookmarkEnd w:id="22"/>
      <w:bookmarkEnd w:id="23"/>
    </w:p>
    <w:p>
      <w:pPr>
        <w:pStyle w:val="Subsection"/>
        <w:spacing w:before="100"/>
        <w:rPr>
          <w:snapToGrid w:val="0"/>
        </w:rPr>
      </w:pPr>
      <w:r>
        <w:rPr>
          <w:snapToGrid w:val="0"/>
        </w:rPr>
        <w:tab/>
        <w:t>(1)</w:t>
      </w:r>
      <w:r>
        <w:rPr>
          <w:snapToGrid w:val="0"/>
        </w:rPr>
        <w:tab/>
        <w:t>In this Act unless the context requires otherwise —</w:t>
      </w:r>
    </w:p>
    <w:p>
      <w:pPr>
        <w:pStyle w:val="Defstart"/>
      </w:pPr>
      <w:r>
        <w:rPr>
          <w:b/>
        </w:rPr>
        <w:tab/>
        <w:t>“</w:t>
      </w:r>
      <w:r>
        <w:rPr>
          <w:rStyle w:val="CharDefText"/>
        </w:rPr>
        <w:t>agent</w:t>
      </w:r>
      <w:r>
        <w:rPr>
          <w:b/>
        </w:rPr>
        <w: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t>“</w:t>
      </w:r>
      <w:r>
        <w:rPr>
          <w:rStyle w:val="CharDefText"/>
        </w:rPr>
        <w:t>assessed value</w:t>
      </w:r>
      <w:r>
        <w:rPr>
          <w:b/>
        </w:rPr>
        <w:t>”</w:t>
      </w:r>
      <w:r>
        <w:t xml:space="preserve"> of land means such percentage of the capital value thereof as may from time to time be prescribed;</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rPr>
          <w:b/>
        </w:rPr>
        <w:tab/>
        <w:t>“</w:t>
      </w:r>
      <w:r>
        <w:rPr>
          <w:rStyle w:val="CharDefText"/>
        </w:rPr>
        <w:t>capital value</w:t>
      </w:r>
      <w:r>
        <w:rPr>
          <w:b/>
        </w:rPr>
        <w:t>”</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t>“</w:t>
      </w:r>
      <w:r>
        <w:rPr>
          <w:rStyle w:val="CharDefText"/>
        </w:rPr>
        <w:t>date of valuation</w:t>
      </w:r>
      <w:r>
        <w:rPr>
          <w:b/>
        </w:rPr>
        <w:t>”</w:t>
      </w:r>
      <w:r>
        <w:t xml:space="preserve"> means the date fixed by the Valuer</w:t>
      </w:r>
      <w:r>
        <w:noBreakHyphen/>
        <w:t>General under section 19 in relation to a general valuation;</w:t>
      </w:r>
    </w:p>
    <w:p>
      <w:pPr>
        <w:pStyle w:val="Defstart"/>
      </w:pPr>
      <w:r>
        <w:rPr>
          <w:b/>
        </w:rPr>
        <w:tab/>
        <w:t>“</w:t>
      </w:r>
      <w:r>
        <w:rPr>
          <w:rStyle w:val="CharDefText"/>
        </w:rPr>
        <w:t>general valuation</w:t>
      </w:r>
      <w:r>
        <w:rPr>
          <w:b/>
        </w:rPr>
        <w:t>”</w:t>
      </w:r>
      <w:r>
        <w:t xml:space="preserve"> means a general valuation made or deemed to be made under section 22;</w:t>
      </w:r>
    </w:p>
    <w:p>
      <w:pPr>
        <w:pStyle w:val="Defstart"/>
      </w:pPr>
      <w:r>
        <w:rPr>
          <w:b/>
        </w:rPr>
        <w:tab/>
        <w:t>“</w:t>
      </w:r>
      <w:r>
        <w:rPr>
          <w:rStyle w:val="CharDefText"/>
        </w:rPr>
        <w:t>gross rental value</w:t>
      </w:r>
      <w:r>
        <w:rPr>
          <w:b/>
        </w:rPr>
        <w:t>”</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t>“</w:t>
      </w:r>
      <w:r>
        <w:rPr>
          <w:rStyle w:val="CharDefText"/>
        </w:rPr>
        <w:t>improvements</w:t>
      </w:r>
      <w:r>
        <w:rPr>
          <w:b/>
        </w:rPr>
        <w:t>”</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t>“</w:t>
      </w:r>
      <w:r>
        <w:rPr>
          <w:rStyle w:val="CharDefText"/>
        </w:rPr>
        <w:t>interim valuation</w:t>
      </w:r>
      <w:r>
        <w:rPr>
          <w:b/>
        </w:rPr>
        <w:t>”</w:t>
      </w:r>
      <w:r>
        <w:t xml:space="preserve"> means a valuation made under section 23;</w:t>
      </w:r>
    </w:p>
    <w:p>
      <w:pPr>
        <w:pStyle w:val="Defstart"/>
      </w:pPr>
      <w:r>
        <w:rPr>
          <w:b/>
        </w:rPr>
        <w:tab/>
        <w:t>“</w:t>
      </w:r>
      <w:r>
        <w:rPr>
          <w:rStyle w:val="CharDefText"/>
        </w:rPr>
        <w:t>land</w:t>
      </w:r>
      <w:r>
        <w:rPr>
          <w:b/>
        </w:rPr>
        <w:t>”</w:t>
      </w:r>
      <w:r>
        <w:t xml:space="preserve"> means lands, tenements and hereditaments, and any improvements to land, and includes any interest in land;</w:t>
      </w:r>
    </w:p>
    <w:p>
      <w:pPr>
        <w:pStyle w:val="Defstart"/>
      </w:pPr>
      <w:r>
        <w:rPr>
          <w:b/>
        </w:rPr>
        <w:tab/>
        <w:t>“</w:t>
      </w:r>
      <w:r>
        <w:rPr>
          <w:rStyle w:val="CharDefText"/>
        </w:rPr>
        <w:t>merged improvements</w:t>
      </w:r>
      <w:r>
        <w:rPr>
          <w:b/>
        </w:rPr>
        <w:t>”</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t>“</w:t>
      </w:r>
      <w:r>
        <w:rPr>
          <w:rStyle w:val="CharDefText"/>
        </w:rPr>
        <w:t>metropolitan region</w:t>
      </w:r>
      <w:r>
        <w:rPr>
          <w:b/>
        </w:rPr>
        <w:t>”</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t>“</w:t>
      </w:r>
      <w:r>
        <w:rPr>
          <w:rStyle w:val="CharDefText"/>
        </w:rPr>
        <w:t>rateable land</w:t>
      </w:r>
      <w:r>
        <w:rPr>
          <w:b/>
        </w:rPr>
        <w:t>”</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t>“</w:t>
      </w:r>
      <w:r>
        <w:rPr>
          <w:rStyle w:val="CharDefText"/>
        </w:rPr>
        <w:t>rating and taxing Acts</w:t>
      </w:r>
      <w:r>
        <w:rPr>
          <w:b/>
        </w:rPr>
        <w:t>”</w:t>
      </w:r>
      <w:r>
        <w:t xml:space="preserve"> means an Act or Acts under which any rate or tax is assessed in respect of land;</w:t>
      </w:r>
    </w:p>
    <w:p>
      <w:pPr>
        <w:pStyle w:val="Defstart"/>
      </w:pPr>
      <w:r>
        <w:rPr>
          <w:b/>
        </w:rPr>
        <w:tab/>
        <w:t>“</w:t>
      </w:r>
      <w:r>
        <w:rPr>
          <w:rStyle w:val="CharDefText"/>
        </w:rPr>
        <w:t>rating or taxing authority</w:t>
      </w:r>
      <w:r>
        <w:rPr>
          <w:b/>
        </w:rPr>
        <w:t>”</w:t>
      </w:r>
      <w:r>
        <w:t xml:space="preserve"> means any person entitled under any Act to assess any rate or tax in respect of land;</w:t>
      </w:r>
    </w:p>
    <w:p>
      <w:pPr>
        <w:pStyle w:val="Defstart"/>
      </w:pPr>
      <w:r>
        <w:rPr>
          <w:b/>
        </w:rPr>
        <w:tab/>
        <w:t>“</w:t>
      </w:r>
      <w:r>
        <w:rPr>
          <w:rStyle w:val="CharDefText"/>
        </w:rPr>
        <w:t>site value</w:t>
      </w:r>
      <w:r>
        <w:rPr>
          <w:b/>
        </w:rPr>
        <w:t>”</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t>“</w:t>
      </w:r>
      <w:r>
        <w:rPr>
          <w:rStyle w:val="CharDefText"/>
        </w:rPr>
        <w:t>townsite</w:t>
      </w:r>
      <w:r>
        <w:rPr>
          <w:b/>
        </w:rPr>
        <w:t>”</w:t>
      </w:r>
      <w:r>
        <w:t xml:space="preserve"> means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t>“</w:t>
      </w:r>
      <w:r>
        <w:rPr>
          <w:rStyle w:val="CharDefText"/>
        </w:rPr>
        <w:t>trustee</w:t>
      </w:r>
      <w:r>
        <w:rPr>
          <w:b/>
        </w:rPr>
        <w:t>”</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t>“</w:t>
      </w:r>
      <w:r>
        <w:rPr>
          <w:rStyle w:val="CharDefText"/>
        </w:rPr>
        <w:t>unimproved value</w:t>
      </w:r>
      <w:r>
        <w:rPr>
          <w:b/>
        </w:rPr>
        <w:t>”</w:t>
      </w:r>
      <w:r>
        <w:t xml:space="preserve"> means —</w:t>
      </w:r>
    </w:p>
    <w:p>
      <w:pPr>
        <w:pStyle w:val="Defpara"/>
      </w:pPr>
      <w:r>
        <w:tab/>
        <w:t>(a)</w:t>
      </w:r>
      <w:r>
        <w:tab/>
        <w:t>in relation to any land situate within a townsite, except land referred to in paragraph (b)(ii), the site value;</w:t>
      </w:r>
    </w:p>
    <w:p>
      <w:pPr>
        <w:pStyle w:val="Defpara"/>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 xml:space="preserve">a petroleum production licence is held under the </w:t>
      </w:r>
      <w:r>
        <w:rPr>
          <w:i/>
          <w:snapToGrid w:val="0"/>
        </w:rPr>
        <w:t>Petroleum Act 1967</w:t>
      </w:r>
      <w:r>
        <w:rPr>
          <w:snapToGrid w:val="0"/>
        </w:rPr>
        <w:t> — 2.5 times the fee payable for the petroleum production 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 </w:t>
      </w:r>
      <w:r>
        <w:rPr>
          <w:i/>
          <w:snapToGrid w:val="0"/>
        </w:rPr>
        <w:t>Petroleum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t>“</w:t>
      </w:r>
      <w:r>
        <w:rPr>
          <w:rStyle w:val="CharDefText"/>
        </w:rPr>
        <w:t>vacant land</w:t>
      </w:r>
      <w:r>
        <w:rPr>
          <w:b/>
        </w:rPr>
        <w:t>”</w:t>
      </w:r>
      <w:r>
        <w:t xml:space="preserve"> means land on which there are no improvements other than merged improvements;</w:t>
      </w:r>
    </w:p>
    <w:p>
      <w:pPr>
        <w:pStyle w:val="Defstart"/>
      </w:pPr>
      <w:r>
        <w:rPr>
          <w:b/>
        </w:rPr>
        <w:tab/>
        <w:t>“</w:t>
      </w:r>
      <w:r>
        <w:rPr>
          <w:rStyle w:val="CharDefText"/>
        </w:rPr>
        <w:t>value</w:t>
      </w:r>
      <w:r>
        <w:rPr>
          <w:b/>
        </w:rPr>
        <w:t>”</w:t>
      </w:r>
      <w:r>
        <w:t xml:space="preserve"> in relation to land means the assessed value, the capital value, the gross rental value, the site value, the unimproved value and a value determined or assessed under section 39(1) of the land or any one or more of those values; </w:t>
      </w:r>
      <w:r>
        <w:rPr>
          <w:b/>
        </w:rPr>
        <w:t>“</w:t>
      </w:r>
      <w:r>
        <w:rPr>
          <w:rStyle w:val="CharDefText"/>
        </w:rPr>
        <w:t>to value</w:t>
      </w:r>
      <w:r>
        <w:rPr>
          <w:b/>
        </w:rPr>
        <w:t>”</w:t>
      </w:r>
      <w:r>
        <w:t xml:space="preserve"> means to determine or assess those values or any one or more of them; and </w:t>
      </w:r>
      <w:r>
        <w:rPr>
          <w:b/>
        </w:rPr>
        <w:t>“</w:t>
      </w:r>
      <w:r>
        <w:rPr>
          <w:rStyle w:val="CharDefText"/>
        </w:rPr>
        <w:t>determination of value</w:t>
      </w:r>
      <w:r>
        <w:rPr>
          <w:b/>
        </w:rPr>
        <w:t>”</w:t>
      </w:r>
      <w:r>
        <w:t xml:space="preserve"> or </w:t>
      </w:r>
      <w:r>
        <w:rPr>
          <w:b/>
        </w:rPr>
        <w:t>“</w:t>
      </w:r>
      <w:r>
        <w:rPr>
          <w:rStyle w:val="CharDefText"/>
        </w:rPr>
        <w:t>valuation</w:t>
      </w:r>
      <w:r>
        <w:rPr>
          <w:b/>
        </w:rPr>
        <w:t>”</w:t>
      </w:r>
      <w:r>
        <w:t xml:space="preserve"> means a determination or assessment of those values or any one or more of them;</w:t>
      </w:r>
    </w:p>
    <w:p>
      <w:pPr>
        <w:pStyle w:val="Defstart"/>
      </w:pPr>
      <w:r>
        <w:rPr>
          <w:b/>
        </w:rPr>
        <w:tab/>
        <w:t>“</w:t>
      </w:r>
      <w:r>
        <w:rPr>
          <w:rStyle w:val="CharDefText"/>
        </w:rPr>
        <w:t>valuation district</w:t>
      </w:r>
      <w:r>
        <w:rPr>
          <w:b/>
        </w:rPr>
        <w:t>”</w:t>
      </w:r>
      <w:r>
        <w:t xml:space="preserve"> means a valuation district constituted or reconstituted under section 17;</w:t>
      </w:r>
    </w:p>
    <w:p>
      <w:pPr>
        <w:pStyle w:val="Defstart"/>
      </w:pPr>
      <w:r>
        <w:rPr>
          <w:b/>
        </w:rPr>
        <w:tab/>
        <w:t>“</w:t>
      </w:r>
      <w:r>
        <w:rPr>
          <w:rStyle w:val="CharDefText"/>
        </w:rPr>
        <w:t>valuation roll</w:t>
      </w:r>
      <w:r>
        <w:rPr>
          <w:b/>
        </w:rPr>
        <w:t>”</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w:t>
      </w:r>
    </w:p>
    <w:p>
      <w:pPr>
        <w:pStyle w:val="Heading5"/>
        <w:rPr>
          <w:snapToGrid w:val="0"/>
        </w:rPr>
      </w:pPr>
      <w:bookmarkStart w:id="24" w:name="_Toc487528586"/>
      <w:bookmarkStart w:id="25" w:name="_Toc510240124"/>
      <w:bookmarkStart w:id="26" w:name="_Toc513348907"/>
      <w:bookmarkStart w:id="27" w:name="_Toc155602489"/>
      <w:r>
        <w:rPr>
          <w:rStyle w:val="CharSectno"/>
        </w:rPr>
        <w:t>5</w:t>
      </w:r>
      <w:r>
        <w:rPr>
          <w:snapToGrid w:val="0"/>
        </w:rPr>
        <w:t>.</w:t>
      </w:r>
      <w:r>
        <w:rPr>
          <w:snapToGrid w:val="0"/>
        </w:rPr>
        <w:tab/>
        <w:t>Transitional provisions</w:t>
      </w:r>
      <w:bookmarkEnd w:id="24"/>
      <w:bookmarkEnd w:id="25"/>
      <w:bookmarkEnd w:id="26"/>
      <w:bookmarkEnd w:id="27"/>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b/>
          <w:snapToGrid w:val="0"/>
        </w:rPr>
        <w:t>“</w:t>
      </w:r>
      <w:r>
        <w:rPr>
          <w:rStyle w:val="CharDefText"/>
        </w:rPr>
        <w:t>the latter valuation</w:t>
      </w:r>
      <w:r>
        <w:rPr>
          <w:b/>
          <w:snapToGrid w:val="0"/>
        </w:rPr>
        <w:t>”</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rPr>
          <w:snapToGrid w:val="0"/>
        </w:rPr>
      </w:pPr>
      <w:r>
        <w:rPr>
          <w:snapToGrid w:val="0"/>
        </w:rPr>
        <w:tab/>
        <w:t>(ii)</w:t>
      </w:r>
      <w:r>
        <w:rPr>
          <w:snapToGrid w:val="0"/>
        </w:rPr>
        <w:tab/>
        <w:t>superseded by a valuation under this Act;</w:t>
      </w:r>
    </w:p>
    <w:p>
      <w:pPr>
        <w:pStyle w:val="Indenta"/>
        <w:rPr>
          <w:snapToGrid w:val="0"/>
        </w:rPr>
      </w:pPr>
      <w:r>
        <w:rPr>
          <w:snapToGrid w:val="0"/>
        </w:rPr>
        <w:tab/>
      </w:r>
      <w:r>
        <w:rPr>
          <w:snapToGrid w:val="0"/>
        </w:rPr>
        <w:tab/>
        <w:t>whichever first occurs; or</w:t>
      </w:r>
    </w:p>
    <w:p>
      <w:pPr>
        <w:pStyle w:val="Indenta"/>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28" w:name="_Toc89851853"/>
      <w:bookmarkStart w:id="29" w:name="_Toc92776333"/>
      <w:bookmarkStart w:id="30" w:name="_Toc96319387"/>
      <w:bookmarkStart w:id="31" w:name="_Toc96755207"/>
      <w:bookmarkStart w:id="32" w:name="_Toc103071495"/>
      <w:bookmarkStart w:id="33" w:name="_Toc124756585"/>
      <w:bookmarkStart w:id="34" w:name="_Toc124820031"/>
      <w:bookmarkStart w:id="35" w:name="_Toc127672815"/>
      <w:bookmarkStart w:id="36" w:name="_Toc130199493"/>
      <w:bookmarkStart w:id="37" w:name="_Toc139693447"/>
      <w:bookmarkStart w:id="38" w:name="_Toc155602490"/>
      <w:r>
        <w:rPr>
          <w:rStyle w:val="CharPartNo"/>
        </w:rPr>
        <w:t>Part II</w:t>
      </w:r>
      <w:r>
        <w:rPr>
          <w:rStyle w:val="CharDivNo"/>
        </w:rPr>
        <w:t> </w:t>
      </w:r>
      <w:r>
        <w:t>—</w:t>
      </w:r>
      <w:r>
        <w:rPr>
          <w:rStyle w:val="CharDivText"/>
        </w:rPr>
        <w:t> </w:t>
      </w:r>
      <w:r>
        <w:rPr>
          <w:rStyle w:val="CharPartText"/>
        </w:rPr>
        <w:t>Administration</w:t>
      </w:r>
      <w:bookmarkEnd w:id="28"/>
      <w:bookmarkEnd w:id="29"/>
      <w:bookmarkEnd w:id="30"/>
      <w:bookmarkEnd w:id="31"/>
      <w:bookmarkEnd w:id="32"/>
      <w:bookmarkEnd w:id="33"/>
      <w:bookmarkEnd w:id="34"/>
      <w:bookmarkEnd w:id="35"/>
      <w:bookmarkEnd w:id="36"/>
      <w:bookmarkEnd w:id="37"/>
      <w:bookmarkEnd w:id="38"/>
    </w:p>
    <w:p>
      <w:pPr>
        <w:pStyle w:val="Heading5"/>
      </w:pPr>
      <w:bookmarkStart w:id="39" w:name="_Toc152558123"/>
      <w:bookmarkStart w:id="40" w:name="_Toc153793663"/>
      <w:bookmarkStart w:id="41" w:name="_Toc155602491"/>
      <w:bookmarkStart w:id="42" w:name="_Toc487528588"/>
      <w:bookmarkStart w:id="43" w:name="_Toc510240126"/>
      <w:bookmarkStart w:id="44" w:name="_Toc513348909"/>
      <w:r>
        <w:rPr>
          <w:rStyle w:val="CharSectno"/>
        </w:rPr>
        <w:t>6</w:t>
      </w:r>
      <w:r>
        <w:t>.</w:t>
      </w:r>
      <w:r>
        <w:tab/>
        <w:t>Valuer</w:t>
      </w:r>
      <w:r>
        <w:noBreakHyphen/>
        <w:t>General</w:t>
      </w:r>
      <w:bookmarkEnd w:id="39"/>
      <w:bookmarkEnd w:id="40"/>
      <w:bookmarkEnd w:id="41"/>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pPr>
      <w:r>
        <w:tab/>
        <w:t>(a)</w:t>
      </w:r>
      <w:r>
        <w:tab/>
        <w:t>the person is a member of the Authority’s staff; and</w:t>
      </w:r>
    </w:p>
    <w:p>
      <w:pPr>
        <w:pStyle w:val="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45" w:name="_Toc155602492"/>
      <w:r>
        <w:rPr>
          <w:rStyle w:val="CharSectno"/>
        </w:rPr>
        <w:t>7</w:t>
      </w:r>
      <w:r>
        <w:rPr>
          <w:snapToGrid w:val="0"/>
        </w:rPr>
        <w:t>.</w:t>
      </w:r>
      <w:r>
        <w:rPr>
          <w:snapToGrid w:val="0"/>
        </w:rPr>
        <w:tab/>
        <w:t>Valuer</w:t>
      </w:r>
      <w:r>
        <w:rPr>
          <w:snapToGrid w:val="0"/>
        </w:rPr>
        <w:noBreakHyphen/>
        <w:t>General to administer Act</w:t>
      </w:r>
      <w:bookmarkEnd w:id="42"/>
      <w:bookmarkEnd w:id="43"/>
      <w:bookmarkEnd w:id="44"/>
      <w:bookmarkEnd w:id="45"/>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46" w:name="_Toc487528589"/>
      <w:bookmarkStart w:id="47" w:name="_Toc510240127"/>
      <w:bookmarkStart w:id="48" w:name="_Toc513348910"/>
      <w:bookmarkStart w:id="49" w:name="_Toc155602493"/>
      <w:r>
        <w:rPr>
          <w:rStyle w:val="CharSectno"/>
        </w:rPr>
        <w:t>8</w:t>
      </w:r>
      <w:r>
        <w:rPr>
          <w:snapToGrid w:val="0"/>
        </w:rPr>
        <w:t>.</w:t>
      </w:r>
      <w:r>
        <w:rPr>
          <w:snapToGrid w:val="0"/>
        </w:rPr>
        <w:tab/>
        <w:t>Power of delegation</w:t>
      </w:r>
      <w:bookmarkEnd w:id="46"/>
      <w:bookmarkEnd w:id="47"/>
      <w:bookmarkEnd w:id="48"/>
      <w:bookmarkEnd w:id="49"/>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50" w:name="_Toc487528590"/>
      <w:bookmarkStart w:id="51" w:name="_Toc510240128"/>
      <w:bookmarkStart w:id="52" w:name="_Toc513348911"/>
      <w:bookmarkStart w:id="53" w:name="_Toc155602494"/>
      <w:r>
        <w:rPr>
          <w:rStyle w:val="CharSectno"/>
        </w:rPr>
        <w:t>9</w:t>
      </w:r>
      <w:r>
        <w:rPr>
          <w:snapToGrid w:val="0"/>
        </w:rPr>
        <w:t>.</w:t>
      </w:r>
      <w:r>
        <w:rPr>
          <w:snapToGrid w:val="0"/>
        </w:rPr>
        <w:tab/>
        <w:t>Power of inspection of public offices</w:t>
      </w:r>
      <w:bookmarkEnd w:id="50"/>
      <w:bookmarkEnd w:id="51"/>
      <w:bookmarkEnd w:id="52"/>
      <w:bookmarkEnd w:id="53"/>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54" w:name="_Toc487528591"/>
      <w:bookmarkStart w:id="55" w:name="_Toc510240129"/>
      <w:bookmarkStart w:id="56" w:name="_Toc513348912"/>
      <w:bookmarkStart w:id="57" w:name="_Toc155602495"/>
      <w:r>
        <w:rPr>
          <w:rStyle w:val="CharSectno"/>
        </w:rPr>
        <w:t>10</w:t>
      </w:r>
      <w:r>
        <w:rPr>
          <w:snapToGrid w:val="0"/>
        </w:rPr>
        <w:t>.</w:t>
      </w:r>
      <w:r>
        <w:rPr>
          <w:snapToGrid w:val="0"/>
        </w:rPr>
        <w:tab/>
        <w:t>Other powers of inspection</w:t>
      </w:r>
      <w:bookmarkEnd w:id="54"/>
      <w:bookmarkEnd w:id="55"/>
      <w:bookmarkEnd w:id="56"/>
      <w:bookmarkEnd w:id="57"/>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58" w:name="_Toc487528592"/>
      <w:bookmarkStart w:id="59" w:name="_Toc510240130"/>
      <w:bookmarkStart w:id="60" w:name="_Toc513348913"/>
      <w:bookmarkStart w:id="61" w:name="_Toc155602496"/>
      <w:r>
        <w:rPr>
          <w:rStyle w:val="CharSectno"/>
        </w:rPr>
        <w:t>11</w:t>
      </w:r>
      <w:r>
        <w:rPr>
          <w:snapToGrid w:val="0"/>
        </w:rPr>
        <w:t>.</w:t>
      </w:r>
      <w:r>
        <w:rPr>
          <w:snapToGrid w:val="0"/>
        </w:rPr>
        <w:tab/>
        <w:t>Power to obtain information</w:t>
      </w:r>
      <w:bookmarkEnd w:id="58"/>
      <w:bookmarkEnd w:id="59"/>
      <w:bookmarkEnd w:id="60"/>
      <w:bookmarkEnd w:id="61"/>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62" w:name="_Toc487528593"/>
      <w:bookmarkStart w:id="63" w:name="_Toc510240131"/>
      <w:bookmarkStart w:id="64" w:name="_Toc513348914"/>
      <w:bookmarkStart w:id="65" w:name="_Toc155602497"/>
      <w:r>
        <w:rPr>
          <w:rStyle w:val="CharSectno"/>
        </w:rPr>
        <w:t>12</w:t>
      </w:r>
      <w:r>
        <w:rPr>
          <w:snapToGrid w:val="0"/>
        </w:rPr>
        <w:t>.</w:t>
      </w:r>
      <w:r>
        <w:rPr>
          <w:snapToGrid w:val="0"/>
        </w:rPr>
        <w:tab/>
        <w:t>Attendance, giving evidence and production of documents</w:t>
      </w:r>
      <w:bookmarkEnd w:id="62"/>
      <w:bookmarkEnd w:id="63"/>
      <w:bookmarkEnd w:id="64"/>
      <w:bookmarkEnd w:id="65"/>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66" w:name="_Toc487528594"/>
      <w:bookmarkStart w:id="67" w:name="_Toc510240132"/>
      <w:bookmarkStart w:id="68" w:name="_Toc513348915"/>
      <w:bookmarkStart w:id="69" w:name="_Toc155602498"/>
      <w:r>
        <w:rPr>
          <w:rStyle w:val="CharSectno"/>
        </w:rPr>
        <w:t>13</w:t>
      </w:r>
      <w:r>
        <w:rPr>
          <w:snapToGrid w:val="0"/>
        </w:rPr>
        <w:t>.</w:t>
      </w:r>
      <w:r>
        <w:rPr>
          <w:snapToGrid w:val="0"/>
        </w:rPr>
        <w:tab/>
        <w:t>Secrecy</w:t>
      </w:r>
      <w:bookmarkEnd w:id="66"/>
      <w:bookmarkEnd w:id="67"/>
      <w:bookmarkEnd w:id="68"/>
      <w:bookmarkEnd w:id="69"/>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70" w:name="_Toc487528595"/>
      <w:bookmarkStart w:id="71" w:name="_Toc510240133"/>
      <w:bookmarkStart w:id="72" w:name="_Toc513348916"/>
      <w:bookmarkStart w:id="73" w:name="_Toc155602499"/>
      <w:r>
        <w:rPr>
          <w:rStyle w:val="CharSectno"/>
        </w:rPr>
        <w:t>14</w:t>
      </w:r>
      <w:r>
        <w:rPr>
          <w:snapToGrid w:val="0"/>
        </w:rPr>
        <w:t>.</w:t>
      </w:r>
      <w:r>
        <w:rPr>
          <w:snapToGrid w:val="0"/>
        </w:rPr>
        <w:tab/>
        <w:t>Saving</w:t>
      </w:r>
      <w:bookmarkEnd w:id="70"/>
      <w:bookmarkEnd w:id="71"/>
      <w:bookmarkEnd w:id="72"/>
      <w:bookmarkEnd w:id="73"/>
    </w:p>
    <w:p>
      <w:pPr>
        <w:pStyle w:val="Subsection"/>
        <w:keepNext/>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 No. 60 of 2006 s. 171.]</w:t>
      </w:r>
    </w:p>
    <w:p>
      <w:pPr>
        <w:pStyle w:val="Heading5"/>
        <w:rPr>
          <w:snapToGrid w:val="0"/>
        </w:rPr>
      </w:pPr>
      <w:bookmarkStart w:id="74" w:name="_Toc487528596"/>
      <w:bookmarkStart w:id="75" w:name="_Toc510240134"/>
      <w:bookmarkStart w:id="76" w:name="_Toc513348917"/>
      <w:bookmarkStart w:id="77" w:name="_Toc155602500"/>
      <w:r>
        <w:rPr>
          <w:rStyle w:val="CharSectno"/>
        </w:rPr>
        <w:t>15</w:t>
      </w:r>
      <w:r>
        <w:rPr>
          <w:snapToGrid w:val="0"/>
        </w:rPr>
        <w:t>.</w:t>
      </w:r>
      <w:r>
        <w:rPr>
          <w:snapToGrid w:val="0"/>
        </w:rPr>
        <w:tab/>
        <w:t>Private valuation work restricted</w:t>
      </w:r>
      <w:bookmarkEnd w:id="74"/>
      <w:bookmarkEnd w:id="75"/>
      <w:bookmarkEnd w:id="76"/>
      <w:bookmarkEnd w:id="77"/>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78" w:name="_Toc487528597"/>
      <w:bookmarkStart w:id="79" w:name="_Toc510240135"/>
      <w:bookmarkStart w:id="80" w:name="_Toc513348918"/>
      <w:bookmarkStart w:id="81" w:name="_Toc155602501"/>
      <w:r>
        <w:rPr>
          <w:rStyle w:val="CharSectno"/>
        </w:rPr>
        <w:t>16</w:t>
      </w:r>
      <w:r>
        <w:rPr>
          <w:snapToGrid w:val="0"/>
        </w:rPr>
        <w:t>.</w:t>
      </w:r>
      <w:r>
        <w:rPr>
          <w:snapToGrid w:val="0"/>
        </w:rPr>
        <w:tab/>
        <w:t>Valuer</w:t>
      </w:r>
      <w:r>
        <w:rPr>
          <w:snapToGrid w:val="0"/>
        </w:rPr>
        <w:noBreakHyphen/>
        <w:t>General may engage assistance under contract</w:t>
      </w:r>
      <w:bookmarkEnd w:id="78"/>
      <w:bookmarkEnd w:id="79"/>
      <w:bookmarkEnd w:id="80"/>
      <w:bookmarkEnd w:id="81"/>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Ednotesubsection"/>
      </w:pPr>
      <w:r>
        <w:tab/>
        <w:t>[(4)</w:t>
      </w:r>
      <w:r>
        <w:tab/>
        <w:t>repealed]</w:t>
      </w:r>
    </w:p>
    <w:p>
      <w:pPr>
        <w:pStyle w:val="Footnotesection"/>
      </w:pPr>
      <w:r>
        <w:tab/>
        <w:t>[S</w:t>
      </w:r>
      <w:r>
        <w:rPr>
          <w:spacing w:val="-2"/>
        </w:rPr>
        <w:t>ection</w:t>
      </w:r>
      <w:r>
        <w:t> 16 amended by No. 32 of 1994 s. 19; No. 60 of 2006 s. 172.]</w:t>
      </w:r>
    </w:p>
    <w:p>
      <w:pPr>
        <w:pStyle w:val="Heading5"/>
      </w:pPr>
      <w:bookmarkStart w:id="82" w:name="_Toc155602502"/>
      <w:r>
        <w:rPr>
          <w:rStyle w:val="CharSectno"/>
        </w:rPr>
        <w:t>16A</w:t>
      </w:r>
      <w:r>
        <w:t>.</w:t>
      </w:r>
      <w:r>
        <w:tab/>
        <w:t>Minister to have access to information</w:t>
      </w:r>
      <w:bookmarkEnd w:id="82"/>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powers, duties and functions of the Valuer</w:t>
      </w:r>
      <w:r>
        <w:noBreakHyphen/>
        <w:t>General;</w:t>
      </w:r>
    </w:p>
    <w:p>
      <w:pPr>
        <w:pStyle w:val="Defstart"/>
      </w:pPr>
      <w:r>
        <w:tab/>
      </w:r>
      <w:r>
        <w:rPr>
          <w:b/>
        </w:rPr>
        <w:t>“</w:t>
      </w:r>
      <w:r>
        <w:rPr>
          <w:rStyle w:val="CharDefText"/>
        </w:rPr>
        <w:t>staff of the Valuer</w:t>
      </w:r>
      <w:r>
        <w:rPr>
          <w:rStyle w:val="CharDefText"/>
        </w:rPr>
        <w:noBreakHyphen/>
        <w:t>General</w:t>
      </w:r>
      <w:r>
        <w:rPr>
          <w:b/>
        </w:rPr>
        <w:t>”</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83" w:name="_Toc152558130"/>
      <w:bookmarkStart w:id="84" w:name="_Toc153793670"/>
      <w:bookmarkStart w:id="85" w:name="_Toc155602503"/>
      <w:bookmarkStart w:id="86" w:name="_Toc89851866"/>
      <w:bookmarkStart w:id="87" w:name="_Toc92776346"/>
      <w:bookmarkStart w:id="88" w:name="_Toc96319400"/>
      <w:bookmarkStart w:id="89" w:name="_Toc96755220"/>
      <w:bookmarkStart w:id="90" w:name="_Toc103071508"/>
      <w:bookmarkStart w:id="91" w:name="_Toc124756598"/>
      <w:bookmarkStart w:id="92" w:name="_Toc124820044"/>
      <w:bookmarkStart w:id="93" w:name="_Toc127672828"/>
      <w:bookmarkStart w:id="94" w:name="_Toc130199506"/>
      <w:bookmarkStart w:id="95" w:name="_Toc139693460"/>
      <w:r>
        <w:rPr>
          <w:rStyle w:val="CharSectno"/>
        </w:rPr>
        <w:t>16B</w:t>
      </w:r>
      <w:r>
        <w:t>.</w:t>
      </w:r>
      <w:r>
        <w:tab/>
        <w:t>Yearly report by Valuer</w:t>
      </w:r>
      <w:r>
        <w:noBreakHyphen/>
        <w:t>General</w:t>
      </w:r>
      <w:bookmarkEnd w:id="83"/>
      <w:bookmarkEnd w:id="84"/>
      <w:bookmarkEnd w:id="85"/>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96" w:name="_Toc155602504"/>
      <w:r>
        <w:rPr>
          <w:rStyle w:val="CharPartNo"/>
        </w:rPr>
        <w:t>Part III</w:t>
      </w:r>
      <w:r>
        <w:t> — </w:t>
      </w:r>
      <w:r>
        <w:rPr>
          <w:rStyle w:val="CharPartText"/>
        </w:rPr>
        <w:t>Valuation</w:t>
      </w:r>
      <w:bookmarkEnd w:id="86"/>
      <w:bookmarkEnd w:id="87"/>
      <w:bookmarkEnd w:id="88"/>
      <w:bookmarkEnd w:id="89"/>
      <w:bookmarkEnd w:id="90"/>
      <w:bookmarkEnd w:id="91"/>
      <w:bookmarkEnd w:id="92"/>
      <w:bookmarkEnd w:id="93"/>
      <w:bookmarkEnd w:id="94"/>
      <w:bookmarkEnd w:id="95"/>
      <w:bookmarkEnd w:id="96"/>
    </w:p>
    <w:p>
      <w:pPr>
        <w:pStyle w:val="Heading3"/>
      </w:pPr>
      <w:bookmarkStart w:id="97" w:name="_Toc89851867"/>
      <w:bookmarkStart w:id="98" w:name="_Toc92776347"/>
      <w:bookmarkStart w:id="99" w:name="_Toc96319401"/>
      <w:bookmarkStart w:id="100" w:name="_Toc96755221"/>
      <w:bookmarkStart w:id="101" w:name="_Toc103071509"/>
      <w:bookmarkStart w:id="102" w:name="_Toc124756599"/>
      <w:bookmarkStart w:id="103" w:name="_Toc124820045"/>
      <w:bookmarkStart w:id="104" w:name="_Toc127672829"/>
      <w:bookmarkStart w:id="105" w:name="_Toc130199507"/>
      <w:bookmarkStart w:id="106" w:name="_Toc139693461"/>
      <w:bookmarkStart w:id="107" w:name="_Toc155602505"/>
      <w:r>
        <w:rPr>
          <w:rStyle w:val="CharDivNo"/>
        </w:rPr>
        <w:t>Division 1</w:t>
      </w:r>
      <w:r>
        <w:rPr>
          <w:snapToGrid w:val="0"/>
        </w:rPr>
        <w:t> — </w:t>
      </w:r>
      <w:r>
        <w:rPr>
          <w:rStyle w:val="CharDivText"/>
        </w:rPr>
        <w:t>General and interim valuations</w:t>
      </w:r>
      <w:bookmarkEnd w:id="97"/>
      <w:bookmarkEnd w:id="98"/>
      <w:bookmarkEnd w:id="99"/>
      <w:bookmarkEnd w:id="100"/>
      <w:bookmarkEnd w:id="101"/>
      <w:bookmarkEnd w:id="102"/>
      <w:bookmarkEnd w:id="103"/>
      <w:bookmarkEnd w:id="104"/>
      <w:bookmarkEnd w:id="105"/>
      <w:bookmarkEnd w:id="106"/>
      <w:bookmarkEnd w:id="107"/>
    </w:p>
    <w:p>
      <w:pPr>
        <w:pStyle w:val="Heading5"/>
        <w:rPr>
          <w:snapToGrid w:val="0"/>
        </w:rPr>
      </w:pPr>
      <w:bookmarkStart w:id="108" w:name="_Toc487528598"/>
      <w:bookmarkStart w:id="109" w:name="_Toc510240136"/>
      <w:bookmarkStart w:id="110" w:name="_Toc513348919"/>
      <w:bookmarkStart w:id="111" w:name="_Toc155602506"/>
      <w:r>
        <w:rPr>
          <w:rStyle w:val="CharSectno"/>
        </w:rPr>
        <w:t>17</w:t>
      </w:r>
      <w:r>
        <w:rPr>
          <w:snapToGrid w:val="0"/>
        </w:rPr>
        <w:t>.</w:t>
      </w:r>
      <w:r>
        <w:rPr>
          <w:snapToGrid w:val="0"/>
        </w:rPr>
        <w:tab/>
        <w:t>Valuation districts</w:t>
      </w:r>
      <w:bookmarkEnd w:id="108"/>
      <w:bookmarkEnd w:id="109"/>
      <w:bookmarkEnd w:id="110"/>
      <w:bookmarkEnd w:id="111"/>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12" w:name="_Toc487528599"/>
      <w:bookmarkStart w:id="113" w:name="_Toc510240137"/>
      <w:bookmarkStart w:id="114" w:name="_Toc513348920"/>
      <w:bookmarkStart w:id="115" w:name="_Toc155602507"/>
      <w:r>
        <w:rPr>
          <w:rStyle w:val="CharSectno"/>
        </w:rPr>
        <w:t>18</w:t>
      </w:r>
      <w:r>
        <w:rPr>
          <w:snapToGrid w:val="0"/>
        </w:rPr>
        <w:t>.</w:t>
      </w:r>
      <w:r>
        <w:rPr>
          <w:snapToGrid w:val="0"/>
        </w:rPr>
        <w:tab/>
        <w:t>Determining values for general valuations</w:t>
      </w:r>
      <w:bookmarkEnd w:id="112"/>
      <w:bookmarkEnd w:id="113"/>
      <w:bookmarkEnd w:id="114"/>
      <w:bookmarkEnd w:id="115"/>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16" w:name="_Toc487528600"/>
      <w:bookmarkStart w:id="117" w:name="_Toc510240138"/>
      <w:bookmarkStart w:id="118" w:name="_Toc513348921"/>
      <w:bookmarkStart w:id="119" w:name="_Toc155602508"/>
      <w:r>
        <w:rPr>
          <w:rStyle w:val="CharSectno"/>
        </w:rPr>
        <w:t>19</w:t>
      </w:r>
      <w:r>
        <w:rPr>
          <w:snapToGrid w:val="0"/>
        </w:rPr>
        <w:t>.</w:t>
      </w:r>
      <w:r>
        <w:rPr>
          <w:snapToGrid w:val="0"/>
        </w:rPr>
        <w:tab/>
        <w:t>Time at which value to be ascertained</w:t>
      </w:r>
      <w:bookmarkEnd w:id="116"/>
      <w:bookmarkEnd w:id="117"/>
      <w:bookmarkEnd w:id="118"/>
      <w:bookmarkEnd w:id="119"/>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120" w:name="_Toc487528601"/>
      <w:bookmarkStart w:id="121" w:name="_Toc510240139"/>
      <w:bookmarkStart w:id="122" w:name="_Toc513348922"/>
      <w:bookmarkStart w:id="123" w:name="_Toc155602509"/>
      <w:r>
        <w:rPr>
          <w:rStyle w:val="CharSectno"/>
        </w:rPr>
        <w:t>20</w:t>
      </w:r>
      <w:r>
        <w:rPr>
          <w:snapToGrid w:val="0"/>
        </w:rPr>
        <w:t>.</w:t>
      </w:r>
      <w:r>
        <w:rPr>
          <w:snapToGrid w:val="0"/>
        </w:rPr>
        <w:tab/>
        <w:t>Time when general valuation comes into force</w:t>
      </w:r>
      <w:bookmarkEnd w:id="120"/>
      <w:bookmarkEnd w:id="121"/>
      <w:bookmarkEnd w:id="122"/>
      <w:bookmarkEnd w:id="123"/>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124" w:name="_Toc487528602"/>
      <w:bookmarkStart w:id="125" w:name="_Toc510240140"/>
      <w:bookmarkStart w:id="126" w:name="_Toc513348923"/>
      <w:bookmarkStart w:id="127" w:name="_Toc155602510"/>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124"/>
      <w:bookmarkEnd w:id="125"/>
      <w:bookmarkEnd w:id="126"/>
      <w:bookmarkEnd w:id="127"/>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128" w:name="_Toc487528603"/>
      <w:bookmarkStart w:id="129" w:name="_Toc510240141"/>
      <w:bookmarkStart w:id="130" w:name="_Toc513348924"/>
      <w:bookmarkStart w:id="131" w:name="_Toc155602511"/>
      <w:r>
        <w:rPr>
          <w:rStyle w:val="CharSectno"/>
        </w:rPr>
        <w:t>22</w:t>
      </w:r>
      <w:r>
        <w:rPr>
          <w:snapToGrid w:val="0"/>
        </w:rPr>
        <w:t>.</w:t>
      </w:r>
      <w:r>
        <w:rPr>
          <w:snapToGrid w:val="0"/>
        </w:rPr>
        <w:tab/>
        <w:t>Frequency of general valuations</w:t>
      </w:r>
      <w:bookmarkEnd w:id="128"/>
      <w:bookmarkEnd w:id="129"/>
      <w:bookmarkEnd w:id="130"/>
      <w:bookmarkEnd w:id="131"/>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132" w:name="_Toc487528604"/>
      <w:bookmarkStart w:id="133" w:name="_Toc510240142"/>
      <w:bookmarkStart w:id="134" w:name="_Toc513348925"/>
      <w:bookmarkStart w:id="135" w:name="_Toc155602512"/>
      <w:r>
        <w:rPr>
          <w:rStyle w:val="CharSectno"/>
        </w:rPr>
        <w:t>23</w:t>
      </w:r>
      <w:r>
        <w:rPr>
          <w:snapToGrid w:val="0"/>
        </w:rPr>
        <w:t>.</w:t>
      </w:r>
      <w:r>
        <w:rPr>
          <w:snapToGrid w:val="0"/>
        </w:rPr>
        <w:tab/>
        <w:t>Interim valuations</w:t>
      </w:r>
      <w:bookmarkEnd w:id="132"/>
      <w:bookmarkEnd w:id="133"/>
      <w:bookmarkEnd w:id="134"/>
      <w:bookmarkEnd w:id="135"/>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spacing w:before="100"/>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spacing w:before="120"/>
        <w:rPr>
          <w:snapToGrid w:val="0"/>
        </w:rPr>
      </w:pPr>
      <w:bookmarkStart w:id="136" w:name="_Toc487528605"/>
      <w:bookmarkStart w:id="137" w:name="_Toc510240143"/>
      <w:bookmarkStart w:id="138" w:name="_Toc513348926"/>
      <w:bookmarkStart w:id="139" w:name="_Toc155602513"/>
      <w:r>
        <w:rPr>
          <w:rStyle w:val="CharSectno"/>
        </w:rPr>
        <w:t>24</w:t>
      </w:r>
      <w:r>
        <w:rPr>
          <w:snapToGrid w:val="0"/>
        </w:rPr>
        <w:t>.</w:t>
      </w:r>
      <w:r>
        <w:rPr>
          <w:snapToGrid w:val="0"/>
        </w:rPr>
        <w:tab/>
        <w:t>Valuation may be separate or joint</w:t>
      </w:r>
      <w:bookmarkEnd w:id="136"/>
      <w:bookmarkEnd w:id="137"/>
      <w:bookmarkEnd w:id="138"/>
      <w:bookmarkEnd w:id="139"/>
    </w:p>
    <w:p>
      <w:pPr>
        <w:pStyle w:val="Subsection"/>
        <w:spacing w:before="100"/>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140" w:name="_Toc487528606"/>
      <w:bookmarkStart w:id="141" w:name="_Toc510240144"/>
      <w:bookmarkStart w:id="142" w:name="_Toc513348927"/>
      <w:bookmarkStart w:id="143" w:name="_Toc155602514"/>
      <w:r>
        <w:rPr>
          <w:rStyle w:val="CharSectno"/>
        </w:rPr>
        <w:t>25</w:t>
      </w:r>
      <w:r>
        <w:rPr>
          <w:snapToGrid w:val="0"/>
        </w:rPr>
        <w:t>.</w:t>
      </w:r>
      <w:r>
        <w:rPr>
          <w:snapToGrid w:val="0"/>
        </w:rPr>
        <w:tab/>
        <w:t>Rating or taxing authority may engage valuers to make general or interim valuations</w:t>
      </w:r>
      <w:bookmarkEnd w:id="140"/>
      <w:bookmarkEnd w:id="141"/>
      <w:bookmarkEnd w:id="142"/>
      <w:bookmarkEnd w:id="143"/>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repealed]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 No. 60 of 2006 s. 175.]</w:t>
      </w:r>
    </w:p>
    <w:p>
      <w:pPr>
        <w:pStyle w:val="Heading3"/>
      </w:pPr>
      <w:bookmarkStart w:id="144" w:name="_Toc89851877"/>
      <w:bookmarkStart w:id="145" w:name="_Toc92776357"/>
      <w:bookmarkStart w:id="146" w:name="_Toc96319411"/>
      <w:bookmarkStart w:id="147" w:name="_Toc96755231"/>
      <w:bookmarkStart w:id="148" w:name="_Toc103071519"/>
      <w:bookmarkStart w:id="149" w:name="_Toc124756609"/>
      <w:bookmarkStart w:id="150" w:name="_Toc124820055"/>
      <w:bookmarkStart w:id="151" w:name="_Toc127672839"/>
      <w:bookmarkStart w:id="152" w:name="_Toc130199517"/>
      <w:bookmarkStart w:id="153" w:name="_Toc139693471"/>
      <w:bookmarkStart w:id="154" w:name="_Toc155602515"/>
      <w:r>
        <w:rPr>
          <w:rStyle w:val="CharDivNo"/>
        </w:rPr>
        <w:t>Division 2</w:t>
      </w:r>
      <w:r>
        <w:rPr>
          <w:snapToGrid w:val="0"/>
        </w:rPr>
        <w:t> — </w:t>
      </w:r>
      <w:r>
        <w:rPr>
          <w:rStyle w:val="CharDivText"/>
        </w:rPr>
        <w:t>Valuation rolls</w:t>
      </w:r>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487528607"/>
      <w:bookmarkStart w:id="156" w:name="_Toc510240145"/>
      <w:bookmarkStart w:id="157" w:name="_Toc513348928"/>
      <w:bookmarkStart w:id="158" w:name="_Toc155602516"/>
      <w:r>
        <w:rPr>
          <w:rStyle w:val="CharSectno"/>
        </w:rPr>
        <w:t>26</w:t>
      </w:r>
      <w:r>
        <w:rPr>
          <w:snapToGrid w:val="0"/>
        </w:rPr>
        <w:t>.</w:t>
      </w:r>
      <w:r>
        <w:rPr>
          <w:snapToGrid w:val="0"/>
        </w:rPr>
        <w:tab/>
        <w:t>Valuation rolls</w:t>
      </w:r>
      <w:bookmarkEnd w:id="155"/>
      <w:bookmarkEnd w:id="156"/>
      <w:bookmarkEnd w:id="157"/>
      <w:bookmarkEnd w:id="158"/>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159" w:name="_Toc487528608"/>
      <w:bookmarkStart w:id="160" w:name="_Toc510240146"/>
      <w:bookmarkStart w:id="161" w:name="_Toc513348929"/>
      <w:bookmarkStart w:id="162" w:name="_Toc155602517"/>
      <w:r>
        <w:rPr>
          <w:rStyle w:val="CharSectno"/>
        </w:rPr>
        <w:t>27</w:t>
      </w:r>
      <w:r>
        <w:rPr>
          <w:snapToGrid w:val="0"/>
        </w:rPr>
        <w:t>.</w:t>
      </w:r>
      <w:r>
        <w:rPr>
          <w:snapToGrid w:val="0"/>
        </w:rPr>
        <w:tab/>
        <w:t>Amendment or addition to, or deletion from valuation roll</w:t>
      </w:r>
      <w:bookmarkEnd w:id="159"/>
      <w:bookmarkEnd w:id="160"/>
      <w:bookmarkEnd w:id="161"/>
      <w:bookmarkEnd w:id="162"/>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pPr>
      <w:bookmarkStart w:id="163" w:name="_Toc152558133"/>
      <w:bookmarkStart w:id="164" w:name="_Toc153793673"/>
      <w:bookmarkStart w:id="165" w:name="_Toc155602518"/>
      <w:bookmarkStart w:id="166" w:name="_Toc487528610"/>
      <w:bookmarkStart w:id="167" w:name="_Toc510240148"/>
      <w:bookmarkStart w:id="168" w:name="_Toc513348931"/>
      <w:r>
        <w:rPr>
          <w:rStyle w:val="CharSectno"/>
        </w:rPr>
        <w:t>28</w:t>
      </w:r>
      <w:r>
        <w:t>.</w:t>
      </w:r>
      <w:r>
        <w:tab/>
        <w:t>Custody, inspection and availability of valuation rolls</w:t>
      </w:r>
      <w:bookmarkEnd w:id="163"/>
      <w:bookmarkEnd w:id="164"/>
      <w:bookmarkEnd w:id="165"/>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169" w:name="_Toc155602519"/>
      <w:r>
        <w:rPr>
          <w:rStyle w:val="CharSectno"/>
        </w:rPr>
        <w:t>29</w:t>
      </w:r>
      <w:r>
        <w:rPr>
          <w:snapToGrid w:val="0"/>
        </w:rPr>
        <w:t>.</w:t>
      </w:r>
      <w:r>
        <w:rPr>
          <w:snapToGrid w:val="0"/>
        </w:rPr>
        <w:tab/>
        <w:t>Copies of or extracts from entries in valuation rolls</w:t>
      </w:r>
      <w:bookmarkEnd w:id="166"/>
      <w:bookmarkEnd w:id="167"/>
      <w:bookmarkEnd w:id="168"/>
      <w:bookmarkEnd w:id="169"/>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t>“</w:t>
      </w:r>
      <w:r>
        <w:rPr>
          <w:rStyle w:val="CharDefText"/>
        </w:rPr>
        <w:t>certified</w:t>
      </w:r>
      <w:r>
        <w:rPr>
          <w:b/>
        </w:rPr>
        <w:t>”</w:t>
      </w:r>
      <w:r>
        <w:t xml:space="preserve"> means certified by the Valuer</w:t>
      </w:r>
      <w:r>
        <w:noBreakHyphen/>
        <w:t>General.</w:t>
      </w:r>
    </w:p>
    <w:p>
      <w:pPr>
        <w:pStyle w:val="Footnotesection"/>
      </w:pPr>
      <w:r>
        <w:tab/>
        <w:t>[Section 29 amended by No. 60 of 2006 s. 177.]</w:t>
      </w:r>
    </w:p>
    <w:p>
      <w:pPr>
        <w:pStyle w:val="Heading3"/>
      </w:pPr>
      <w:bookmarkStart w:id="170" w:name="_Toc89851882"/>
      <w:bookmarkStart w:id="171" w:name="_Toc92776362"/>
      <w:bookmarkStart w:id="172" w:name="_Toc96319416"/>
      <w:bookmarkStart w:id="173" w:name="_Toc96755236"/>
      <w:bookmarkStart w:id="174" w:name="_Toc103071524"/>
      <w:bookmarkStart w:id="175" w:name="_Toc124756614"/>
      <w:bookmarkStart w:id="176" w:name="_Toc124820060"/>
      <w:bookmarkStart w:id="177" w:name="_Toc127672844"/>
      <w:bookmarkStart w:id="178" w:name="_Toc130199522"/>
      <w:bookmarkStart w:id="179" w:name="_Toc139693476"/>
      <w:bookmarkStart w:id="180" w:name="_Toc155602520"/>
      <w:r>
        <w:rPr>
          <w:rStyle w:val="CharDivNo"/>
        </w:rPr>
        <w:t>Division 3</w:t>
      </w:r>
      <w:r>
        <w:rPr>
          <w:snapToGrid w:val="0"/>
        </w:rPr>
        <w:t> — </w:t>
      </w:r>
      <w:r>
        <w:rPr>
          <w:rStyle w:val="CharDivText"/>
        </w:rPr>
        <w:t>Concessional and other valuations</w:t>
      </w:r>
      <w:bookmarkEnd w:id="170"/>
      <w:bookmarkEnd w:id="171"/>
      <w:bookmarkEnd w:id="172"/>
      <w:bookmarkEnd w:id="173"/>
      <w:bookmarkEnd w:id="174"/>
      <w:bookmarkEnd w:id="175"/>
      <w:bookmarkEnd w:id="176"/>
      <w:bookmarkEnd w:id="177"/>
      <w:bookmarkEnd w:id="178"/>
      <w:bookmarkEnd w:id="179"/>
      <w:bookmarkEnd w:id="180"/>
    </w:p>
    <w:p>
      <w:pPr>
        <w:pStyle w:val="Footnoteheading"/>
        <w:rPr>
          <w:snapToGrid w:val="0"/>
        </w:rPr>
      </w:pPr>
      <w:r>
        <w:rPr>
          <w:snapToGrid w:val="0"/>
        </w:rPr>
        <w:tab/>
        <w:t>[Heading amended by No. 7 of 1986 s. 4.]</w:t>
      </w:r>
    </w:p>
    <w:p>
      <w:pPr>
        <w:pStyle w:val="Ednotesection"/>
      </w:pPr>
      <w:r>
        <w:t>[</w:t>
      </w:r>
      <w:r>
        <w:rPr>
          <w:b/>
        </w:rPr>
        <w:t>30.</w:t>
      </w:r>
      <w:r>
        <w:tab/>
        <w:t>Repealed by No. 14 of 1996 s. 4.]</w:t>
      </w:r>
    </w:p>
    <w:p>
      <w:pPr>
        <w:pStyle w:val="Heading5"/>
        <w:rPr>
          <w:snapToGrid w:val="0"/>
        </w:rPr>
      </w:pPr>
      <w:bookmarkStart w:id="181" w:name="_Toc487528611"/>
      <w:bookmarkStart w:id="182" w:name="_Toc510240149"/>
      <w:bookmarkStart w:id="183" w:name="_Toc513348932"/>
      <w:bookmarkStart w:id="184" w:name="_Toc155602521"/>
      <w:r>
        <w:rPr>
          <w:rStyle w:val="CharSectno"/>
        </w:rPr>
        <w:t>31</w:t>
      </w:r>
      <w:r>
        <w:rPr>
          <w:snapToGrid w:val="0"/>
        </w:rPr>
        <w:t>.</w:t>
      </w:r>
      <w:r>
        <w:rPr>
          <w:snapToGrid w:val="0"/>
        </w:rPr>
        <w:tab/>
        <w:t>Concessional valuations for land subject to special agreements</w:t>
      </w:r>
      <w:bookmarkEnd w:id="181"/>
      <w:bookmarkEnd w:id="182"/>
      <w:bookmarkEnd w:id="183"/>
      <w:bookmarkEnd w:id="184"/>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rPr>
          <w:snapToGrid w:val="0"/>
        </w:rPr>
        <w:br/>
      </w:r>
      <w:r>
        <w:t>section</w:t>
      </w:r>
      <w:r>
        <w:rPr>
          <w:snapToGrid w:val="0"/>
        </w:rPr>
        <w:t xml:space="preserve"> 533B of the </w:t>
      </w:r>
      <w:r>
        <w:rPr>
          <w:i/>
          <w:snapToGrid w:val="0"/>
        </w:rPr>
        <w:t>Local Government Act 1960</w:t>
      </w:r>
      <w:r>
        <w:rPr>
          <w:snapToGrid w:val="0"/>
        </w:rPr>
        <w:t xml:space="preserve"> </w:t>
      </w:r>
      <w:r>
        <w:rPr>
          <w:snapToGrid w:val="0"/>
          <w:vertAlign w:val="superscript"/>
        </w:rPr>
        <w:t>6</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185" w:name="_Toc487528612"/>
      <w:bookmarkStart w:id="186" w:name="_Toc510240150"/>
      <w:bookmarkStart w:id="187" w:name="_Toc513348933"/>
      <w:bookmarkStart w:id="188" w:name="_Toc155602522"/>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185"/>
      <w:r>
        <w:rPr>
          <w:i/>
          <w:snapToGrid w:val="0"/>
        </w:rPr>
        <w:t>95</w:t>
      </w:r>
      <w:bookmarkEnd w:id="186"/>
      <w:bookmarkEnd w:id="187"/>
      <w:bookmarkEnd w:id="188"/>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189" w:name="_Toc487528613"/>
      <w:bookmarkStart w:id="190" w:name="_Toc510240151"/>
      <w:bookmarkStart w:id="191" w:name="_Toc513348934"/>
      <w:bookmarkStart w:id="192" w:name="_Toc155602523"/>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189"/>
      <w:bookmarkEnd w:id="190"/>
      <w:bookmarkEnd w:id="191"/>
      <w:r>
        <w:rPr>
          <w:i/>
          <w:snapToGrid w:val="0"/>
        </w:rPr>
        <w:t>2002</w:t>
      </w:r>
      <w:bookmarkEnd w:id="192"/>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 xml:space="preserve">“residential equivalent value” </w:t>
      </w:r>
      <w:r>
        <w:t xml:space="preserve">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193" w:name="_Toc89851886"/>
      <w:bookmarkStart w:id="194" w:name="_Toc92776366"/>
      <w:bookmarkStart w:id="195" w:name="_Toc96319420"/>
      <w:bookmarkStart w:id="196" w:name="_Toc96755240"/>
      <w:bookmarkStart w:id="197" w:name="_Toc103071528"/>
      <w:bookmarkStart w:id="198" w:name="_Toc124756618"/>
      <w:bookmarkStart w:id="199" w:name="_Toc124820064"/>
      <w:bookmarkStart w:id="200" w:name="_Toc127672848"/>
      <w:bookmarkStart w:id="201" w:name="_Toc130199526"/>
      <w:bookmarkStart w:id="202" w:name="_Toc139693480"/>
      <w:bookmarkStart w:id="203" w:name="_Toc155602524"/>
      <w:r>
        <w:rPr>
          <w:rStyle w:val="CharPartNo"/>
        </w:rPr>
        <w:t>Part IV</w:t>
      </w:r>
      <w:r>
        <w:rPr>
          <w:rStyle w:val="CharDivNo"/>
        </w:rPr>
        <w:t> </w:t>
      </w:r>
      <w:r>
        <w:t>—</w:t>
      </w:r>
      <w:r>
        <w:rPr>
          <w:rStyle w:val="CharDivText"/>
        </w:rPr>
        <w:t> </w:t>
      </w:r>
      <w:r>
        <w:rPr>
          <w:rStyle w:val="CharPartText"/>
        </w:rPr>
        <w:t>Objections and review</w:t>
      </w:r>
      <w:bookmarkEnd w:id="193"/>
      <w:bookmarkEnd w:id="194"/>
      <w:bookmarkEnd w:id="195"/>
      <w:bookmarkEnd w:id="196"/>
      <w:bookmarkEnd w:id="197"/>
      <w:bookmarkEnd w:id="198"/>
      <w:bookmarkEnd w:id="199"/>
      <w:bookmarkEnd w:id="200"/>
      <w:bookmarkEnd w:id="201"/>
      <w:bookmarkEnd w:id="202"/>
      <w:bookmarkEnd w:id="203"/>
    </w:p>
    <w:p>
      <w:pPr>
        <w:pStyle w:val="Footnoteheading"/>
        <w:tabs>
          <w:tab w:val="left" w:pos="851"/>
        </w:tabs>
      </w:pPr>
      <w:r>
        <w:tab/>
        <w:t>[Heading amended by No. 55 of 2004 s. 1264.]</w:t>
      </w:r>
    </w:p>
    <w:p>
      <w:pPr>
        <w:pStyle w:val="Heading5"/>
        <w:rPr>
          <w:snapToGrid w:val="0"/>
        </w:rPr>
      </w:pPr>
      <w:bookmarkStart w:id="204" w:name="_Toc487528614"/>
      <w:bookmarkStart w:id="205" w:name="_Toc510240152"/>
      <w:bookmarkStart w:id="206" w:name="_Toc513348935"/>
      <w:bookmarkStart w:id="207" w:name="_Toc155602525"/>
      <w:r>
        <w:rPr>
          <w:rStyle w:val="CharSectno"/>
        </w:rPr>
        <w:t>32</w:t>
      </w:r>
      <w:r>
        <w:rPr>
          <w:snapToGrid w:val="0"/>
        </w:rPr>
        <w:t>.</w:t>
      </w:r>
      <w:r>
        <w:rPr>
          <w:snapToGrid w:val="0"/>
        </w:rPr>
        <w:tab/>
        <w:t>Objections to valuation</w:t>
      </w:r>
      <w:bookmarkEnd w:id="204"/>
      <w:bookmarkEnd w:id="205"/>
      <w:bookmarkEnd w:id="206"/>
      <w:bookmarkEnd w:id="207"/>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b/>
          <w:snapToGrid w:val="0"/>
        </w:rPr>
        <w:t>“</w:t>
      </w:r>
      <w:r>
        <w:rPr>
          <w:rStyle w:val="CharDefText"/>
        </w:rPr>
        <w:t>person liable to pay any rate or tax assessed in respect of land</w:t>
      </w:r>
      <w:r>
        <w:rPr>
          <w:b/>
          <w:snapToGrid w:val="0"/>
        </w:rPr>
        <w:t>”</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208" w:name="_Toc487528615"/>
      <w:bookmarkStart w:id="209" w:name="_Toc510240153"/>
      <w:bookmarkStart w:id="210" w:name="_Toc513348936"/>
      <w:bookmarkStart w:id="211" w:name="_Toc155602526"/>
      <w:r>
        <w:rPr>
          <w:rStyle w:val="CharSectno"/>
        </w:rPr>
        <w:t>33</w:t>
      </w:r>
      <w:r>
        <w:rPr>
          <w:snapToGrid w:val="0"/>
        </w:rPr>
        <w:t>.</w:t>
      </w:r>
      <w:r>
        <w:rPr>
          <w:snapToGrid w:val="0"/>
        </w:rPr>
        <w:tab/>
        <w:t>Review of valuation</w:t>
      </w:r>
      <w:bookmarkEnd w:id="208"/>
      <w:bookmarkEnd w:id="209"/>
      <w:bookmarkEnd w:id="210"/>
      <w:bookmarkEnd w:id="211"/>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212" w:name="_Toc487528616"/>
      <w:bookmarkStart w:id="213" w:name="_Toc510240154"/>
      <w:bookmarkStart w:id="214" w:name="_Toc513348937"/>
      <w:bookmarkStart w:id="215" w:name="_Toc155602527"/>
      <w:r>
        <w:rPr>
          <w:rStyle w:val="CharSectno"/>
        </w:rPr>
        <w:t>34</w:t>
      </w:r>
      <w:r>
        <w:rPr>
          <w:snapToGrid w:val="0"/>
        </w:rPr>
        <w:t>.</w:t>
      </w:r>
      <w:r>
        <w:rPr>
          <w:snapToGrid w:val="0"/>
        </w:rPr>
        <w:tab/>
        <w:t>Valuer</w:t>
      </w:r>
      <w:r>
        <w:rPr>
          <w:snapToGrid w:val="0"/>
        </w:rPr>
        <w:noBreakHyphen/>
        <w:t>General to advise rating and taxing authorities of objections and</w:t>
      </w:r>
      <w:bookmarkEnd w:id="212"/>
      <w:bookmarkEnd w:id="213"/>
      <w:bookmarkEnd w:id="214"/>
      <w:r>
        <w:rPr>
          <w:snapToGrid w:val="0"/>
        </w:rPr>
        <w:t> review</w:t>
      </w:r>
      <w:bookmarkEnd w:id="215"/>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216" w:name="_Toc487528617"/>
      <w:bookmarkStart w:id="217" w:name="_Toc510240155"/>
      <w:bookmarkStart w:id="218" w:name="_Toc513348938"/>
      <w:bookmarkStart w:id="219" w:name="_Toc155602528"/>
      <w:r>
        <w:rPr>
          <w:rStyle w:val="CharSectno"/>
        </w:rPr>
        <w:t>34A</w:t>
      </w:r>
      <w:r>
        <w:rPr>
          <w:snapToGrid w:val="0"/>
        </w:rPr>
        <w:t>.</w:t>
      </w:r>
      <w:r>
        <w:rPr>
          <w:snapToGrid w:val="0"/>
        </w:rPr>
        <w:tab/>
        <w:t>Amended valuation not to apply before the year of objection</w:t>
      </w:r>
      <w:bookmarkEnd w:id="216"/>
      <w:bookmarkEnd w:id="217"/>
      <w:bookmarkEnd w:id="218"/>
      <w:bookmarkEnd w:id="219"/>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220" w:name="_Toc487528618"/>
      <w:bookmarkStart w:id="221" w:name="_Toc510240156"/>
      <w:bookmarkStart w:id="222" w:name="_Toc513348939"/>
      <w:bookmarkStart w:id="223" w:name="_Toc155602529"/>
      <w:r>
        <w:rPr>
          <w:rStyle w:val="CharSectno"/>
        </w:rPr>
        <w:t>35</w:t>
      </w:r>
      <w:r>
        <w:rPr>
          <w:snapToGrid w:val="0"/>
        </w:rPr>
        <w:t>.</w:t>
      </w:r>
      <w:r>
        <w:rPr>
          <w:snapToGrid w:val="0"/>
        </w:rPr>
        <w:tab/>
        <w:t xml:space="preserve">Review of refusal to extend time for objection or </w:t>
      </w:r>
      <w:bookmarkEnd w:id="220"/>
      <w:bookmarkEnd w:id="221"/>
      <w:bookmarkEnd w:id="222"/>
      <w:r>
        <w:rPr>
          <w:snapToGrid w:val="0"/>
        </w:rPr>
        <w:t>review</w:t>
      </w:r>
      <w:bookmarkEnd w:id="223"/>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such decision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w:t>
      </w:r>
    </w:p>
    <w:p>
      <w:pPr>
        <w:pStyle w:val="Heading5"/>
        <w:rPr>
          <w:snapToGrid w:val="0"/>
        </w:rPr>
      </w:pPr>
      <w:bookmarkStart w:id="224" w:name="_Toc487528619"/>
      <w:bookmarkStart w:id="225" w:name="_Toc510240157"/>
      <w:bookmarkStart w:id="226" w:name="_Toc513348940"/>
      <w:bookmarkStart w:id="227" w:name="_Toc155602530"/>
      <w:r>
        <w:rPr>
          <w:rStyle w:val="CharSectno"/>
        </w:rPr>
        <w:t>36</w:t>
      </w:r>
      <w:r>
        <w:rPr>
          <w:snapToGrid w:val="0"/>
        </w:rPr>
        <w:t>.</w:t>
      </w:r>
      <w:r>
        <w:rPr>
          <w:snapToGrid w:val="0"/>
        </w:rPr>
        <w:tab/>
        <w:t>General review of valuation</w:t>
      </w:r>
      <w:bookmarkEnd w:id="224"/>
      <w:bookmarkEnd w:id="225"/>
      <w:bookmarkEnd w:id="226"/>
      <w:bookmarkEnd w:id="227"/>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228" w:name="_Toc155602531"/>
      <w:r>
        <w:rPr>
          <w:rStyle w:val="CharSectno"/>
        </w:rPr>
        <w:t>36A</w:t>
      </w:r>
      <w:r>
        <w:t>.</w:t>
      </w:r>
      <w:r>
        <w:tab/>
        <w:t>New matters raised on review</w:t>
      </w:r>
      <w:bookmarkEnd w:id="228"/>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229" w:name="_Toc155602532"/>
      <w:r>
        <w:rPr>
          <w:rStyle w:val="CharSectno"/>
        </w:rPr>
        <w:t>36B</w:t>
      </w:r>
      <w:r>
        <w:rPr>
          <w:snapToGrid w:val="0"/>
        </w:rPr>
        <w:t>.</w:t>
      </w:r>
      <w:r>
        <w:rPr>
          <w:snapToGrid w:val="0"/>
        </w:rPr>
        <w:tab/>
        <w:t>Written reasons for certain determinations to be given and published</w:t>
      </w:r>
      <w:bookmarkEnd w:id="229"/>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230" w:name="_Toc89851895"/>
      <w:bookmarkStart w:id="231" w:name="_Toc92776375"/>
      <w:bookmarkStart w:id="232" w:name="_Toc96319429"/>
      <w:bookmarkStart w:id="233" w:name="_Toc96755249"/>
      <w:bookmarkStart w:id="234" w:name="_Toc103071537"/>
      <w:bookmarkStart w:id="235" w:name="_Toc124756627"/>
      <w:bookmarkStart w:id="236" w:name="_Toc124820073"/>
      <w:bookmarkStart w:id="237" w:name="_Toc127672857"/>
      <w:bookmarkStart w:id="238" w:name="_Toc130199535"/>
      <w:bookmarkStart w:id="239" w:name="_Toc139693489"/>
      <w:bookmarkStart w:id="240" w:name="_Toc155602533"/>
      <w:r>
        <w:rPr>
          <w:rStyle w:val="CharPartNo"/>
        </w:rPr>
        <w:t>Part V</w:t>
      </w:r>
      <w:r>
        <w:rPr>
          <w:rStyle w:val="CharDivNo"/>
        </w:rPr>
        <w:t> </w:t>
      </w:r>
      <w:r>
        <w:t>—</w:t>
      </w:r>
      <w:r>
        <w:rPr>
          <w:rStyle w:val="CharDivText"/>
        </w:rPr>
        <w:t> </w:t>
      </w:r>
      <w:r>
        <w:rPr>
          <w:rStyle w:val="CharPartText"/>
        </w:rPr>
        <w:t>Miscellaneous</w:t>
      </w:r>
      <w:bookmarkEnd w:id="230"/>
      <w:bookmarkEnd w:id="231"/>
      <w:bookmarkEnd w:id="232"/>
      <w:bookmarkEnd w:id="233"/>
      <w:bookmarkEnd w:id="234"/>
      <w:bookmarkEnd w:id="235"/>
      <w:bookmarkEnd w:id="236"/>
      <w:bookmarkEnd w:id="237"/>
      <w:bookmarkEnd w:id="238"/>
      <w:bookmarkEnd w:id="239"/>
      <w:bookmarkEnd w:id="240"/>
    </w:p>
    <w:p>
      <w:pPr>
        <w:pStyle w:val="Heading5"/>
        <w:spacing w:before="120"/>
        <w:rPr>
          <w:snapToGrid w:val="0"/>
        </w:rPr>
      </w:pPr>
      <w:bookmarkStart w:id="241" w:name="_Toc487528620"/>
      <w:bookmarkStart w:id="242" w:name="_Toc510240158"/>
      <w:bookmarkStart w:id="243" w:name="_Toc513348941"/>
      <w:bookmarkStart w:id="244" w:name="_Toc155602534"/>
      <w:r>
        <w:rPr>
          <w:rStyle w:val="CharSectno"/>
        </w:rPr>
        <w:t>37</w:t>
      </w:r>
      <w:r>
        <w:rPr>
          <w:snapToGrid w:val="0"/>
        </w:rPr>
        <w:t>.</w:t>
      </w:r>
      <w:r>
        <w:rPr>
          <w:snapToGrid w:val="0"/>
        </w:rPr>
        <w:tab/>
        <w:t>Local governments to furnish information to Valuer</w:t>
      </w:r>
      <w:r>
        <w:rPr>
          <w:snapToGrid w:val="0"/>
        </w:rPr>
        <w:noBreakHyphen/>
        <w:t>General</w:t>
      </w:r>
      <w:bookmarkEnd w:id="241"/>
      <w:bookmarkEnd w:id="242"/>
      <w:bookmarkEnd w:id="243"/>
      <w:bookmarkEnd w:id="244"/>
    </w:p>
    <w:p>
      <w:pPr>
        <w:pStyle w:val="Subsection"/>
        <w:spacing w:before="100"/>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subparagraphs (i) to (iv) of paragraph (a);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pPr>
      <w:bookmarkStart w:id="245" w:name="_Toc152558136"/>
      <w:bookmarkStart w:id="246" w:name="_Toc153793676"/>
      <w:bookmarkStart w:id="247" w:name="_Toc155602535"/>
      <w:bookmarkStart w:id="248" w:name="_Toc487528621"/>
      <w:bookmarkStart w:id="249" w:name="_Toc510240159"/>
      <w:bookmarkStart w:id="250" w:name="_Toc513348942"/>
      <w:r>
        <w:rPr>
          <w:rStyle w:val="CharSectno"/>
        </w:rPr>
        <w:t>38</w:t>
      </w:r>
      <w:r>
        <w:t>.</w:t>
      </w:r>
      <w:r>
        <w:tab/>
        <w:t>Charges for making valuations under Part III</w:t>
      </w:r>
      <w:bookmarkEnd w:id="245"/>
      <w:bookmarkEnd w:id="246"/>
      <w:bookmarkEnd w:id="247"/>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spacing w:before="120"/>
        <w:rPr>
          <w:snapToGrid w:val="0"/>
        </w:rPr>
      </w:pPr>
      <w:bookmarkStart w:id="251" w:name="_Toc155602536"/>
      <w:r>
        <w:rPr>
          <w:rStyle w:val="CharSectno"/>
        </w:rPr>
        <w:t>39</w:t>
      </w:r>
      <w:r>
        <w:rPr>
          <w:snapToGrid w:val="0"/>
        </w:rPr>
        <w:t>.</w:t>
      </w:r>
      <w:r>
        <w:rPr>
          <w:snapToGrid w:val="0"/>
        </w:rPr>
        <w:tab/>
        <w:t>Valuer</w:t>
      </w:r>
      <w:r>
        <w:rPr>
          <w:snapToGrid w:val="0"/>
        </w:rPr>
        <w:noBreakHyphen/>
        <w:t>General may make other valuations for Crown</w:t>
      </w:r>
      <w:bookmarkEnd w:id="248"/>
      <w:bookmarkEnd w:id="249"/>
      <w:bookmarkEnd w:id="250"/>
      <w:bookmarkEnd w:id="251"/>
    </w:p>
    <w:p>
      <w:pPr>
        <w:pStyle w:val="Subsection"/>
        <w:spacing w:before="100"/>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252" w:name="_Toc152558139"/>
      <w:bookmarkStart w:id="253" w:name="_Toc153793679"/>
      <w:bookmarkStart w:id="254" w:name="_Toc155602537"/>
      <w:bookmarkStart w:id="255" w:name="_Toc487528623"/>
      <w:bookmarkStart w:id="256" w:name="_Toc510240161"/>
      <w:bookmarkStart w:id="257" w:name="_Toc513348944"/>
      <w:r>
        <w:rPr>
          <w:rStyle w:val="CharSectno"/>
        </w:rPr>
        <w:t>39A</w:t>
      </w:r>
      <w:r>
        <w:t>.</w:t>
      </w:r>
      <w:r>
        <w:tab/>
        <w:t>Authority may provide goods and services</w:t>
      </w:r>
      <w:bookmarkEnd w:id="252"/>
      <w:bookmarkEnd w:id="253"/>
      <w:bookmarkEnd w:id="254"/>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b/>
        </w:rPr>
        <w:t>“</w:t>
      </w:r>
      <w:r>
        <w:rPr>
          <w:rStyle w:val="CharDefText"/>
        </w:rPr>
        <w:t>valuation related goods and services</w:t>
      </w:r>
      <w:r>
        <w:rPr>
          <w:b/>
        </w:rPr>
        <w:t>”</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258" w:name="_Toc152558141"/>
      <w:bookmarkStart w:id="259" w:name="_Toc153793681"/>
      <w:bookmarkStart w:id="260" w:name="_Toc155602538"/>
      <w:bookmarkStart w:id="261" w:name="_Toc487528624"/>
      <w:bookmarkStart w:id="262" w:name="_Toc510240162"/>
      <w:bookmarkStart w:id="263" w:name="_Toc513348945"/>
      <w:bookmarkEnd w:id="255"/>
      <w:bookmarkEnd w:id="256"/>
      <w:bookmarkEnd w:id="257"/>
      <w:r>
        <w:rPr>
          <w:rStyle w:val="CharSectno"/>
        </w:rPr>
        <w:t>40</w:t>
      </w:r>
      <w:r>
        <w:t>.</w:t>
      </w:r>
      <w:r>
        <w:tab/>
        <w:t>Money received by Valuer</w:t>
      </w:r>
      <w:r>
        <w:noBreakHyphen/>
        <w:t>General</w:t>
      </w:r>
      <w:bookmarkEnd w:id="258"/>
      <w:bookmarkEnd w:id="259"/>
      <w:bookmarkEnd w:id="260"/>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264" w:name="_Toc155602539"/>
      <w:r>
        <w:rPr>
          <w:rStyle w:val="CharSectno"/>
        </w:rPr>
        <w:t>41</w:t>
      </w:r>
      <w:r>
        <w:rPr>
          <w:snapToGrid w:val="0"/>
        </w:rPr>
        <w:t>.</w:t>
      </w:r>
      <w:r>
        <w:rPr>
          <w:snapToGrid w:val="0"/>
        </w:rPr>
        <w:tab/>
        <w:t>Valuation not affected by irregularity</w:t>
      </w:r>
      <w:bookmarkEnd w:id="261"/>
      <w:bookmarkEnd w:id="262"/>
      <w:bookmarkEnd w:id="263"/>
      <w:bookmarkEnd w:id="264"/>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265" w:name="_Toc487528625"/>
      <w:bookmarkStart w:id="266" w:name="_Toc510240163"/>
      <w:bookmarkStart w:id="267" w:name="_Toc513348946"/>
      <w:bookmarkStart w:id="268" w:name="_Toc155602540"/>
      <w:r>
        <w:rPr>
          <w:rStyle w:val="CharSectno"/>
        </w:rPr>
        <w:t>42</w:t>
      </w:r>
      <w:r>
        <w:rPr>
          <w:snapToGrid w:val="0"/>
        </w:rPr>
        <w:t>.</w:t>
      </w:r>
      <w:r>
        <w:rPr>
          <w:snapToGrid w:val="0"/>
        </w:rPr>
        <w:tab/>
        <w:t>Immunity of Valuer</w:t>
      </w:r>
      <w:r>
        <w:rPr>
          <w:snapToGrid w:val="0"/>
        </w:rPr>
        <w:noBreakHyphen/>
        <w:t>General and persons authorised by him</w:t>
      </w:r>
      <w:bookmarkEnd w:id="265"/>
      <w:bookmarkEnd w:id="266"/>
      <w:bookmarkEnd w:id="267"/>
      <w:bookmarkEnd w:id="268"/>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269" w:name="_Toc487528626"/>
      <w:bookmarkStart w:id="270" w:name="_Toc510240164"/>
      <w:bookmarkStart w:id="271" w:name="_Toc513348947"/>
      <w:bookmarkStart w:id="272" w:name="_Toc155602541"/>
      <w:r>
        <w:rPr>
          <w:rStyle w:val="CharSectno"/>
        </w:rPr>
        <w:t>43</w:t>
      </w:r>
      <w:r>
        <w:rPr>
          <w:snapToGrid w:val="0"/>
        </w:rPr>
        <w:t>.</w:t>
      </w:r>
      <w:r>
        <w:rPr>
          <w:snapToGrid w:val="0"/>
        </w:rPr>
        <w:tab/>
        <w:t>Evidentiary provisions</w:t>
      </w:r>
      <w:bookmarkEnd w:id="269"/>
      <w:bookmarkEnd w:id="270"/>
      <w:bookmarkEnd w:id="271"/>
      <w:bookmarkEnd w:id="272"/>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273" w:name="_Toc487528627"/>
      <w:bookmarkStart w:id="274" w:name="_Toc510240165"/>
      <w:bookmarkStart w:id="275" w:name="_Toc513348948"/>
      <w:bookmarkStart w:id="276" w:name="_Toc155602542"/>
      <w:r>
        <w:rPr>
          <w:rStyle w:val="CharSectno"/>
        </w:rPr>
        <w:t>44</w:t>
      </w:r>
      <w:r>
        <w:rPr>
          <w:snapToGrid w:val="0"/>
        </w:rPr>
        <w:t>.</w:t>
      </w:r>
      <w:r>
        <w:rPr>
          <w:snapToGrid w:val="0"/>
        </w:rPr>
        <w:tab/>
        <w:t>General penalty</w:t>
      </w:r>
      <w:bookmarkEnd w:id="273"/>
      <w:bookmarkEnd w:id="274"/>
      <w:bookmarkEnd w:id="275"/>
      <w:bookmarkEnd w:id="276"/>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277" w:name="_Toc487528628"/>
      <w:bookmarkStart w:id="278" w:name="_Toc510240166"/>
      <w:bookmarkStart w:id="279" w:name="_Toc513348949"/>
      <w:bookmarkStart w:id="280" w:name="_Toc155602543"/>
      <w:r>
        <w:rPr>
          <w:rStyle w:val="CharSectno"/>
        </w:rPr>
        <w:t>45</w:t>
      </w:r>
      <w:r>
        <w:rPr>
          <w:snapToGrid w:val="0"/>
        </w:rPr>
        <w:t>.</w:t>
      </w:r>
      <w:r>
        <w:rPr>
          <w:snapToGrid w:val="0"/>
        </w:rPr>
        <w:tab/>
        <w:t>Summary procedure</w:t>
      </w:r>
      <w:bookmarkEnd w:id="277"/>
      <w:bookmarkEnd w:id="278"/>
      <w:bookmarkEnd w:id="279"/>
      <w:bookmarkEnd w:id="280"/>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281" w:name="_Toc487528629"/>
      <w:bookmarkStart w:id="282" w:name="_Toc510240167"/>
      <w:bookmarkStart w:id="283" w:name="_Toc513348950"/>
      <w:bookmarkStart w:id="284" w:name="_Toc155602544"/>
      <w:r>
        <w:rPr>
          <w:rStyle w:val="CharSectno"/>
        </w:rPr>
        <w:t>46</w:t>
      </w:r>
      <w:r>
        <w:rPr>
          <w:snapToGrid w:val="0"/>
        </w:rPr>
        <w:t>.</w:t>
      </w:r>
      <w:r>
        <w:rPr>
          <w:snapToGrid w:val="0"/>
        </w:rPr>
        <w:tab/>
        <w:t>Time for laying complaints</w:t>
      </w:r>
      <w:bookmarkEnd w:id="281"/>
      <w:bookmarkEnd w:id="282"/>
      <w:bookmarkEnd w:id="283"/>
      <w:bookmarkEnd w:id="284"/>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285" w:name="_Toc487528630"/>
      <w:bookmarkStart w:id="286" w:name="_Toc510240168"/>
      <w:bookmarkStart w:id="287" w:name="_Toc513348951"/>
      <w:bookmarkStart w:id="288" w:name="_Toc155602545"/>
      <w:r>
        <w:rPr>
          <w:rStyle w:val="CharSectno"/>
        </w:rPr>
        <w:t>47</w:t>
      </w:r>
      <w:r>
        <w:rPr>
          <w:snapToGrid w:val="0"/>
        </w:rPr>
        <w:t>.</w:t>
      </w:r>
      <w:r>
        <w:rPr>
          <w:snapToGrid w:val="0"/>
        </w:rPr>
        <w:tab/>
        <w:t>Institution of prosecutions</w:t>
      </w:r>
      <w:bookmarkEnd w:id="285"/>
      <w:bookmarkEnd w:id="286"/>
      <w:bookmarkEnd w:id="287"/>
      <w:bookmarkEnd w:id="288"/>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289" w:name="_Toc487528631"/>
      <w:bookmarkStart w:id="290" w:name="_Toc510240169"/>
      <w:bookmarkStart w:id="291" w:name="_Toc513348952"/>
      <w:bookmarkStart w:id="292" w:name="_Toc155602546"/>
      <w:r>
        <w:rPr>
          <w:rStyle w:val="CharSectno"/>
        </w:rPr>
        <w:t>48</w:t>
      </w:r>
      <w:r>
        <w:rPr>
          <w:snapToGrid w:val="0"/>
        </w:rPr>
        <w:t>.</w:t>
      </w:r>
      <w:r>
        <w:rPr>
          <w:snapToGrid w:val="0"/>
        </w:rPr>
        <w:tab/>
        <w:t>Service of notices</w:t>
      </w:r>
      <w:bookmarkEnd w:id="289"/>
      <w:bookmarkEnd w:id="290"/>
      <w:bookmarkEnd w:id="291"/>
      <w:bookmarkEnd w:id="292"/>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293" w:name="_Toc487528632"/>
      <w:bookmarkStart w:id="294" w:name="_Toc510240170"/>
      <w:bookmarkStart w:id="295" w:name="_Toc513348953"/>
      <w:bookmarkStart w:id="296" w:name="_Toc155602547"/>
      <w:r>
        <w:rPr>
          <w:rStyle w:val="CharSectno"/>
        </w:rPr>
        <w:t>49</w:t>
      </w:r>
      <w:r>
        <w:rPr>
          <w:snapToGrid w:val="0"/>
        </w:rPr>
        <w:t>.</w:t>
      </w:r>
      <w:r>
        <w:rPr>
          <w:snapToGrid w:val="0"/>
        </w:rPr>
        <w:tab/>
        <w:t>Regulations</w:t>
      </w:r>
      <w:bookmarkEnd w:id="293"/>
      <w:bookmarkEnd w:id="294"/>
      <w:bookmarkEnd w:id="295"/>
      <w:bookmarkEnd w:id="296"/>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97" w:name="_Toc89851909"/>
      <w:bookmarkStart w:id="298" w:name="_Toc92776389"/>
      <w:bookmarkStart w:id="299" w:name="_Toc96319443"/>
      <w:bookmarkStart w:id="300" w:name="_Toc96755263"/>
      <w:bookmarkStart w:id="301" w:name="_Toc103071551"/>
      <w:bookmarkStart w:id="302" w:name="_Toc124756641"/>
      <w:bookmarkStart w:id="303" w:name="_Toc124820087"/>
      <w:bookmarkStart w:id="304" w:name="_Toc127672871"/>
      <w:bookmarkStart w:id="305" w:name="_Toc130199549"/>
      <w:bookmarkStart w:id="306" w:name="_Toc139693503"/>
      <w:bookmarkStart w:id="307" w:name="_Toc155602548"/>
      <w:r>
        <w:t>Notes</w:t>
      </w:r>
      <w:bookmarkEnd w:id="297"/>
      <w:bookmarkEnd w:id="298"/>
      <w:bookmarkEnd w:id="299"/>
      <w:bookmarkEnd w:id="300"/>
      <w:bookmarkEnd w:id="301"/>
      <w:bookmarkEnd w:id="302"/>
      <w:bookmarkEnd w:id="303"/>
      <w:bookmarkEnd w:id="304"/>
      <w:bookmarkEnd w:id="305"/>
      <w:bookmarkEnd w:id="306"/>
      <w:bookmarkEnd w:id="307"/>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8" w:name="_Toc155602549"/>
      <w:r>
        <w:t>Compilation table</w:t>
      </w:r>
      <w:bookmarkEnd w:id="3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8</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9</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10</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12,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68" w:type="dxa"/>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167</w:t>
            </w:r>
            <w:r>
              <w:rPr>
                <w:iCs/>
                <w:snapToGrid w:val="0"/>
                <w:sz w:val="19"/>
                <w:lang w:val="en-US"/>
              </w:rPr>
              <w:noBreakHyphen/>
              <w:t>182</w:t>
            </w:r>
            <w:r>
              <w:rPr>
                <w:iCs/>
                <w:snapToGrid w:val="0"/>
                <w:sz w:val="19"/>
                <w:vertAlign w:val="superscript"/>
                <w:lang w:val="en-US"/>
              </w:rPr>
              <w:t xml:space="preserve"> </w:t>
            </w:r>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bookmarkStart w:id="309" w:name="UpToHere"/>
      <w:bookmarkEnd w:id="309"/>
      <w:r>
        <w:rPr>
          <w:snapToGrid w:val="0"/>
          <w:vertAlign w:val="superscript"/>
        </w:rPr>
        <w:t>3-5</w:t>
      </w:r>
      <w:r>
        <w:rPr>
          <w:snapToGrid w:val="0"/>
        </w:rPr>
        <w:tab/>
        <w:t xml:space="preserve">Footnote no longer applicable. </w:t>
      </w:r>
    </w:p>
    <w:p>
      <w:pPr>
        <w:pStyle w:val="nSubsection"/>
        <w:rPr>
          <w:snapToGrid w:val="0"/>
        </w:rPr>
      </w:pPr>
      <w:r>
        <w:rPr>
          <w:snapToGrid w:val="0"/>
          <w:vertAlign w:val="superscript"/>
        </w:rPr>
        <w:t>6</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7</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8</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r>
        <w:rPr>
          <w:vertAlign w:val="superscript"/>
        </w:rPr>
        <w:t>10</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310" w:name="_Toc528569730"/>
      <w:bookmarkStart w:id="311" w:name="_Toc6163318"/>
      <w:r>
        <w:rPr>
          <w:rStyle w:val="CharSectno"/>
        </w:rPr>
        <w:t>3</w:t>
      </w:r>
      <w:r>
        <w:t>.</w:t>
      </w:r>
      <w:r>
        <w:tab/>
        <w:t>Relationship with other Acts</w:t>
      </w:r>
      <w:bookmarkEnd w:id="310"/>
      <w:bookmarkEnd w:id="311"/>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312" w:name="_Toc528569731"/>
      <w:bookmarkStart w:id="313" w:name="_Toc6163319"/>
      <w:r>
        <w:rPr>
          <w:rStyle w:val="CharSectno"/>
        </w:rPr>
        <w:t>4</w:t>
      </w:r>
      <w:r>
        <w:t>.</w:t>
      </w:r>
      <w:r>
        <w:tab/>
        <w:t>Meaning of terms used in this Act</w:t>
      </w:r>
      <w:bookmarkEnd w:id="312"/>
      <w:bookmarkEnd w:id="313"/>
    </w:p>
    <w:p>
      <w:pPr>
        <w:pStyle w:val="nzSubsection"/>
      </w:pPr>
      <w:r>
        <w:tab/>
      </w:r>
      <w:bookmarkStart w:id="314" w:name="_Hlt528057531"/>
      <w:bookmarkEnd w:id="314"/>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315" w:name="_Hlt529933443"/>
      <w:bookmarkStart w:id="316" w:name="_Hlt529932130"/>
      <w:bookmarkStart w:id="317" w:name="_Hlt523729657"/>
      <w:bookmarkStart w:id="318" w:name="_Hlt523729676"/>
      <w:bookmarkStart w:id="319" w:name="_Hlt523729726"/>
      <w:bookmarkStart w:id="320" w:name="_Toc6163348"/>
      <w:bookmarkEnd w:id="315"/>
      <w:bookmarkEnd w:id="316"/>
      <w:bookmarkEnd w:id="317"/>
      <w:bookmarkEnd w:id="318"/>
      <w:bookmarkEnd w:id="319"/>
      <w:r>
        <w:rPr>
          <w:rStyle w:val="CharSectno"/>
        </w:rPr>
        <w:t>33</w:t>
      </w:r>
      <w:r>
        <w:t>.</w:t>
      </w:r>
      <w:r>
        <w:tab/>
        <w:t>Definitions</w:t>
      </w:r>
      <w:bookmarkEnd w:id="320"/>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321" w:name="_Toc6163349"/>
      <w:r>
        <w:rPr>
          <w:rStyle w:val="CharSectno"/>
        </w:rPr>
        <w:t>34</w:t>
      </w:r>
      <w:r>
        <w:t>.</w:t>
      </w:r>
      <w:r>
        <w:tab/>
        <w:t>General transitional arrangements</w:t>
      </w:r>
      <w:bookmarkEnd w:id="321"/>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322" w:name="_Toc6163350"/>
      <w:r>
        <w:rPr>
          <w:rStyle w:val="CharSectno"/>
        </w:rPr>
        <w:t>35</w:t>
      </w:r>
      <w:r>
        <w:t>.</w:t>
      </w:r>
      <w:r>
        <w:tab/>
        <w:t>Commissioner not to increase tax liability</w:t>
      </w:r>
      <w:bookmarkEnd w:id="322"/>
    </w:p>
    <w:p>
      <w:pPr>
        <w:pStyle w:val="nzSubsection"/>
      </w:pPr>
      <w:r>
        <w:rPr>
          <w:spacing w:val="-4"/>
        </w:rPr>
        <w:tab/>
      </w:r>
      <w:r>
        <w:rPr>
          <w:spacing w:val="-4"/>
        </w:rPr>
        <w:tab/>
      </w:r>
      <w:r>
        <w:t>Despite Part 3 Division</w:t>
      </w:r>
      <w:r>
        <w:rPr>
          <w:b/>
          <w:i/>
        </w:rPr>
        <w:t xml:space="preserve"> </w:t>
      </w:r>
      <w:r>
        <w:t xml:space="preserve">1 of the </w:t>
      </w:r>
      <w:r>
        <w:rPr>
          <w:i/>
        </w:rPr>
        <w:t>Taxation Administration Act 2003</w:t>
      </w:r>
      <w: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323" w:name="_Toc6163351"/>
      <w:r>
        <w:rPr>
          <w:rStyle w:val="CharSectno"/>
        </w:rPr>
        <w:t>36</w:t>
      </w:r>
      <w:r>
        <w:t>.</w:t>
      </w:r>
      <w:r>
        <w:tab/>
        <w:t>Delegations</w:t>
      </w:r>
      <w:bookmarkEnd w:id="323"/>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324" w:name="_Toc527966629"/>
      <w:bookmarkStart w:id="325" w:name="_Toc6163352"/>
      <w:r>
        <w:rPr>
          <w:rStyle w:val="CharSectno"/>
        </w:rPr>
        <w:t>37</w:t>
      </w:r>
      <w:r>
        <w:t>.</w:t>
      </w:r>
      <w:r>
        <w:tab/>
        <w:t>Certificates of exemption from tax (</w:t>
      </w:r>
      <w:r>
        <w:rPr>
          <w:i/>
        </w:rPr>
        <w:t>Debits Tax Assessment Act 1990</w:t>
      </w:r>
      <w:r>
        <w:t>, s. 11)</w:t>
      </w:r>
      <w:bookmarkEnd w:id="324"/>
      <w:bookmarkEnd w:id="325"/>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326" w:name="_Toc6163353"/>
      <w:r>
        <w:rPr>
          <w:rStyle w:val="CharSectno"/>
        </w:rPr>
        <w:t>38</w:t>
      </w:r>
      <w:r>
        <w:t>.</w:t>
      </w:r>
      <w:r>
        <w:tab/>
        <w:t>Exemptions for certain home unit owners (</w:t>
      </w:r>
      <w:r>
        <w:rPr>
          <w:i/>
        </w:rPr>
        <w:t>Land Tax Assessment Act 1976</w:t>
      </w:r>
      <w:r>
        <w:t>, s. 19)</w:t>
      </w:r>
      <w:bookmarkEnd w:id="326"/>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w:t>
      </w:r>
    </w:p>
    <w:p>
      <w:pPr>
        <w:pStyle w:val="nzHeading5"/>
      </w:pPr>
      <w:bookmarkStart w:id="327" w:name="_Toc6163354"/>
      <w:r>
        <w:rPr>
          <w:rStyle w:val="CharSectno"/>
        </w:rPr>
        <w:t>39</w:t>
      </w:r>
      <w:r>
        <w:t>.</w:t>
      </w:r>
      <w:r>
        <w:tab/>
        <w:t>Inner city residential property rebate (</w:t>
      </w:r>
      <w:r>
        <w:rPr>
          <w:i/>
        </w:rPr>
        <w:t>Land Tax Assessment Act 1976</w:t>
      </w:r>
      <w:r>
        <w:t>, s. 23AB)</w:t>
      </w:r>
      <w:bookmarkEnd w:id="327"/>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328" w:name="_Toc6163355"/>
      <w:r>
        <w:rPr>
          <w:rStyle w:val="CharSectno"/>
        </w:rPr>
        <w:t>40</w:t>
      </w:r>
      <w:r>
        <w:t>.</w:t>
      </w:r>
      <w:r>
        <w:tab/>
        <w:t>Land tax relief Acts</w:t>
      </w:r>
      <w:bookmarkEnd w:id="328"/>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and</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had not been repealed;</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329" w:name="_Toc6163356"/>
      <w:r>
        <w:rPr>
          <w:rStyle w:val="CharSectno"/>
        </w:rPr>
        <w:t>41</w:t>
      </w:r>
      <w:r>
        <w:t>.</w:t>
      </w:r>
      <w:r>
        <w:tab/>
        <w:t>Treatment of certain contributions (</w:t>
      </w:r>
      <w:r>
        <w:rPr>
          <w:i/>
        </w:rPr>
        <w:t>Pay</w:t>
      </w:r>
      <w:r>
        <w:rPr>
          <w:i/>
        </w:rPr>
        <w:noBreakHyphen/>
        <w:t>roll Tax Assessment Act 1971</w:t>
      </w:r>
      <w:r>
        <w:t>, Sch. 2 cl. 5)</w:t>
      </w:r>
      <w:bookmarkEnd w:id="329"/>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 1 July 1997 as if that Act had not been repealed.</w:t>
      </w:r>
    </w:p>
    <w:p>
      <w:pPr>
        <w:pStyle w:val="nzHeading5"/>
      </w:pPr>
      <w:bookmarkStart w:id="330" w:name="_Toc6163357"/>
      <w:r>
        <w:rPr>
          <w:rStyle w:val="CharSectno"/>
        </w:rPr>
        <w:t>42</w:t>
      </w:r>
      <w:r>
        <w:t>.</w:t>
      </w:r>
      <w:r>
        <w:tab/>
        <w:t>Reassessments and refunds (</w:t>
      </w:r>
      <w:r>
        <w:rPr>
          <w:i/>
        </w:rPr>
        <w:t>Pay</w:t>
      </w:r>
      <w:r>
        <w:rPr>
          <w:i/>
        </w:rPr>
        <w:noBreakHyphen/>
        <w:t>roll Tax Assessment Act 1971</w:t>
      </w:r>
      <w:r>
        <w:t>, s. 19)</w:t>
      </w:r>
      <w:bookmarkEnd w:id="330"/>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331" w:name="_Toc6163358"/>
      <w:r>
        <w:rPr>
          <w:rStyle w:val="CharSectno"/>
        </w:rPr>
        <w:t>43</w:t>
      </w:r>
      <w:r>
        <w:t>.</w:t>
      </w:r>
      <w:r>
        <w:tab/>
        <w:t>Adhesive stamps (</w:t>
      </w:r>
      <w:r>
        <w:rPr>
          <w:i/>
        </w:rPr>
        <w:t>Stamp Act 1921</w:t>
      </w:r>
      <w:r>
        <w:t>, s. 15, 21 and 23)</w:t>
      </w:r>
      <w:bookmarkEnd w:id="331"/>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332" w:name="_Toc6163359"/>
      <w:r>
        <w:rPr>
          <w:rStyle w:val="CharSectno"/>
        </w:rPr>
        <w:t>44</w:t>
      </w:r>
      <w:r>
        <w:t>.</w:t>
      </w:r>
      <w:r>
        <w:tab/>
        <w:t>Printing of “Stamp Duty Paid” on cheques (</w:t>
      </w:r>
      <w:r>
        <w:rPr>
          <w:i/>
        </w:rPr>
        <w:t>Stamp Act 1921</w:t>
      </w:r>
      <w:r>
        <w:rPr>
          <w:iCs/>
        </w:rPr>
        <w:t xml:space="preserve">, </w:t>
      </w:r>
      <w:r>
        <w:t>s. 52)</w:t>
      </w:r>
      <w:bookmarkEnd w:id="332"/>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bookmarkStart w:id="333" w:name="_Toc6163360"/>
      <w:r>
        <w:rPr>
          <w:rStyle w:val="CharSectno"/>
        </w:rPr>
        <w:t>45</w:t>
      </w:r>
      <w:r>
        <w:t>.</w:t>
      </w:r>
      <w:r>
        <w:tab/>
        <w:t>First home owners — reassessment (</w:t>
      </w:r>
      <w:r>
        <w:rPr>
          <w:i/>
        </w:rPr>
        <w:t>Stamp Act 1921</w:t>
      </w:r>
      <w:r>
        <w:rPr>
          <w:iCs/>
        </w:rPr>
        <w:t>, s</w:t>
      </w:r>
      <w:r>
        <w:t>. 75AG)</w:t>
      </w:r>
      <w:bookmarkEnd w:id="333"/>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334" w:name="_Toc6163361"/>
      <w:r>
        <w:rPr>
          <w:rStyle w:val="CharSectno"/>
        </w:rPr>
        <w:t>46</w:t>
      </w:r>
      <w:r>
        <w:t>.</w:t>
      </w:r>
      <w:r>
        <w:tab/>
      </w:r>
      <w:r>
        <w:rPr>
          <w:spacing w:val="-4"/>
        </w:rPr>
        <w:t>Reassessment of duty on grant or transfer of vehicle licences (</w:t>
      </w:r>
      <w:r>
        <w:rPr>
          <w:i/>
          <w:spacing w:val="-4"/>
        </w:rPr>
        <w:t>Stamp Act 1921</w:t>
      </w:r>
      <w:r>
        <w:rPr>
          <w:iCs/>
          <w:spacing w:val="-4"/>
        </w:rPr>
        <w:t>,</w:t>
      </w:r>
      <w:r>
        <w:rPr>
          <w:spacing w:val="-4"/>
        </w:rPr>
        <w:t xml:space="preserve"> s. 76C(18) and (19), 76CA(3a) and 76CB(9))</w:t>
      </w:r>
      <w:bookmarkEnd w:id="334"/>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335" w:name="_Toc6163362"/>
      <w:r>
        <w:rPr>
          <w:rStyle w:val="CharSectno"/>
        </w:rPr>
        <w:t>47</w:t>
      </w:r>
      <w:r>
        <w:t>.</w:t>
      </w:r>
      <w:r>
        <w:tab/>
        <w:t>Alternative to stamping individual insurance policies (</w:t>
      </w:r>
      <w:r>
        <w:rPr>
          <w:i/>
        </w:rPr>
        <w:t>Stamp Act 1921</w:t>
      </w:r>
      <w:r>
        <w:rPr>
          <w:iCs/>
        </w:rPr>
        <w:t xml:space="preserve">, </w:t>
      </w:r>
      <w:r>
        <w:t>s. 95A)</w:t>
      </w:r>
      <w:bookmarkEnd w:id="335"/>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bookmarkStart w:id="336" w:name="_Toc6163363"/>
      <w:r>
        <w:rPr>
          <w:rStyle w:val="CharSectno"/>
        </w:rPr>
        <w:t>48</w:t>
      </w:r>
      <w:r>
        <w:t>.</w:t>
      </w:r>
      <w:r>
        <w:tab/>
        <w:t>Workers’ compensation insurance (</w:t>
      </w:r>
      <w:r>
        <w:rPr>
          <w:i/>
        </w:rPr>
        <w:t>Stamp Act 1921</w:t>
      </w:r>
      <w:r>
        <w:t>, s. 97 and item 16 of the Second Schedule)</w:t>
      </w:r>
      <w:bookmarkEnd w:id="336"/>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and</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337" w:name="_Toc6163364"/>
      <w:r>
        <w:rPr>
          <w:rStyle w:val="CharSectno"/>
        </w:rPr>
        <w:t>49</w:t>
      </w:r>
      <w:r>
        <w:t>.</w:t>
      </w:r>
      <w:r>
        <w:tab/>
        <w:t>Payment of duty by returns (</w:t>
      </w:r>
      <w:r>
        <w:rPr>
          <w:i/>
        </w:rPr>
        <w:t>Stamp Act 1921</w:t>
      </w:r>
      <w:r>
        <w:t>, s. 112V)</w:t>
      </w:r>
      <w:bookmarkEnd w:id="337"/>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11</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12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13</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338" w:name="_Toc90957874"/>
      <w:bookmarkStart w:id="339" w:name="_Toc92182289"/>
      <w:r>
        <w:rPr>
          <w:rStyle w:val="CharSectno"/>
        </w:rPr>
        <w:t>65</w:t>
      </w:r>
      <w:r>
        <w:t>.</w:t>
      </w:r>
      <w:r>
        <w:tab/>
      </w:r>
      <w:r>
        <w:rPr>
          <w:i/>
        </w:rPr>
        <w:t>Valuation of Land Act 1978</w:t>
      </w:r>
      <w:bookmarkEnd w:id="338"/>
      <w:bookmarkEnd w:id="339"/>
    </w:p>
    <w:p>
      <w:pPr>
        <w:pStyle w:val="nzSubsection"/>
      </w:pPr>
      <w:r>
        <w:tab/>
        <w:t>(1)</w:t>
      </w:r>
      <w:r>
        <w:tab/>
        <w:t>In this regulation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t>“</w:t>
      </w:r>
      <w:r>
        <w:rPr>
          <w:rStyle w:val="CharDefText"/>
        </w:rPr>
        <w:t>the VL Act</w:t>
      </w:r>
      <w:r>
        <w:rPr>
          <w:b/>
        </w:rPr>
        <w: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034"/>
    <w:docVar w:name="WAFER_20151209165034" w:val="RemoveTrackChanges"/>
    <w:docVar w:name="WAFER_20151209165034_GUID" w:val="730c4ebd-09a1-482d-ad6b-1f64c3e9e8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15631</Words>
  <Characters>73780</Characters>
  <Application>Microsoft Office Word</Application>
  <DocSecurity>0</DocSecurity>
  <Lines>1994</Lines>
  <Paragraphs>961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1978 - 04-d0-04</dc:title>
  <dc:subject/>
  <dc:creator/>
  <cp:keywords/>
  <dc:description/>
  <cp:lastModifiedBy>svcMRProcess</cp:lastModifiedBy>
  <cp:revision>4</cp:revision>
  <cp:lastPrinted>2006-02-14T04:43:00Z</cp:lastPrinted>
  <dcterms:created xsi:type="dcterms:W3CDTF">2018-09-09T08:01:00Z</dcterms:created>
  <dcterms:modified xsi:type="dcterms:W3CDTF">2018-09-09T08:01:00Z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853</vt:i4>
  </property>
  <property fmtid="{D5CDD505-2E9C-101B-9397-08002B2CF9AE}" pid="6" name="ReprintNo">
    <vt:lpwstr>4</vt:lpwstr>
  </property>
  <property fmtid="{D5CDD505-2E9C-101B-9397-08002B2CF9AE}" pid="7" name="AsAtDate">
    <vt:lpwstr>01 Jan 2007</vt:lpwstr>
  </property>
  <property fmtid="{D5CDD505-2E9C-101B-9397-08002B2CF9AE}" pid="8" name="Suffix">
    <vt:lpwstr>04-d0-04</vt:lpwstr>
  </property>
</Properties>
</file>