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Wire and Wire Netting Act 1926</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Wire and Wire Netting Act 1926</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w:t>
      </w:r>
      <w:r>
        <w:tab/>
      </w:r>
      <w:r>
        <w:fldChar w:fldCharType="begin"/>
      </w:r>
      <w:r>
        <w:instrText xml:space="preserve"> PAGEREF _Toc536191787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Interpretation</w:t>
      </w:r>
      <w:r>
        <w:tab/>
      </w:r>
      <w:r>
        <w:fldChar w:fldCharType="begin"/>
      </w:r>
      <w:r>
        <w:instrText xml:space="preserve"> PAGEREF _Toc536191788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Authorization of expenditure</w:t>
      </w:r>
      <w:r>
        <w:tab/>
      </w:r>
      <w:r>
        <w:fldChar w:fldCharType="begin"/>
      </w:r>
      <w:r>
        <w:instrText xml:space="preserve"> PAGEREF _Toc536191789 \h </w:instrText>
      </w:r>
      <w:r>
        <w:fldChar w:fldCharType="separate"/>
      </w:r>
      <w:r>
        <w:t>1</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Supply of wire and wire netting</w:t>
      </w:r>
      <w:r>
        <w:tab/>
      </w:r>
      <w:r>
        <w:fldChar w:fldCharType="begin"/>
      </w:r>
      <w:r>
        <w:instrText xml:space="preserve"> PAGEREF _Toc536191790 \h </w:instrText>
      </w:r>
      <w:r>
        <w:fldChar w:fldCharType="separate"/>
      </w:r>
      <w:r>
        <w:t>2</w:t>
      </w:r>
      <w:r>
        <w:fldChar w:fldCharType="end"/>
      </w:r>
    </w:p>
    <w:p>
      <w:pPr>
        <w:pStyle w:val="TOC8"/>
        <w:rPr>
          <w:rFonts w:asciiTheme="minorHAnsi" w:eastAsiaTheme="minorEastAsia" w:hAnsiTheme="minorHAnsi" w:cstheme="minorBidi"/>
          <w:szCs w:val="22"/>
        </w:rPr>
      </w:pPr>
      <w:r>
        <w:t>5</w:t>
      </w:r>
      <w:r>
        <w:rPr>
          <w:snapToGrid w:val="0"/>
        </w:rPr>
        <w:t>.</w:t>
      </w:r>
      <w:r>
        <w:rPr>
          <w:snapToGrid w:val="0"/>
        </w:rPr>
        <w:tab/>
        <w:t>Payment of costs</w:t>
      </w:r>
      <w:r>
        <w:tab/>
      </w:r>
      <w:r>
        <w:fldChar w:fldCharType="begin"/>
      </w:r>
      <w:r>
        <w:instrText xml:space="preserve"> PAGEREF _Toc536191791 \h </w:instrText>
      </w:r>
      <w:r>
        <w:fldChar w:fldCharType="separate"/>
      </w:r>
      <w:r>
        <w:t>2</w:t>
      </w:r>
      <w:r>
        <w:fldChar w:fldCharType="end"/>
      </w:r>
    </w:p>
    <w:p>
      <w:pPr>
        <w:pStyle w:val="TOC8"/>
        <w:rPr>
          <w:rFonts w:asciiTheme="minorHAnsi" w:eastAsiaTheme="minorEastAsia" w:hAnsiTheme="minorHAnsi" w:cstheme="minorBidi"/>
          <w:szCs w:val="22"/>
        </w:rPr>
      </w:pPr>
      <w:r>
        <w:t>6</w:t>
      </w:r>
      <w:r>
        <w:rPr>
          <w:snapToGrid w:val="0"/>
        </w:rPr>
        <w:t>.</w:t>
      </w:r>
      <w:r>
        <w:rPr>
          <w:snapToGrid w:val="0"/>
        </w:rPr>
        <w:tab/>
        <w:t>Commonwealth loans</w:t>
      </w:r>
      <w:r>
        <w:tab/>
      </w:r>
      <w:r>
        <w:fldChar w:fldCharType="begin"/>
      </w:r>
      <w:r>
        <w:instrText xml:space="preserve"> PAGEREF _Toc536191792 \h </w:instrText>
      </w:r>
      <w:r>
        <w:fldChar w:fldCharType="separate"/>
      </w:r>
      <w:r>
        <w:t>2</w:t>
      </w:r>
      <w:r>
        <w:fldChar w:fldCharType="end"/>
      </w:r>
    </w:p>
    <w:p>
      <w:pPr>
        <w:pStyle w:val="TOC8"/>
        <w:rPr>
          <w:rFonts w:asciiTheme="minorHAnsi" w:eastAsiaTheme="minorEastAsia" w:hAnsiTheme="minorHAnsi" w:cstheme="minorBidi"/>
          <w:szCs w:val="22"/>
        </w:rPr>
      </w:pPr>
      <w:r>
        <w:t>7</w:t>
      </w:r>
      <w:r>
        <w:rPr>
          <w:snapToGrid w:val="0"/>
        </w:rPr>
        <w:t>.</w:t>
      </w:r>
      <w:r>
        <w:rPr>
          <w:snapToGrid w:val="0"/>
        </w:rPr>
        <w:tab/>
        <w:t>Regulations</w:t>
      </w:r>
      <w:r>
        <w:tab/>
      </w:r>
      <w:r>
        <w:fldChar w:fldCharType="begin"/>
      </w:r>
      <w:r>
        <w:instrText xml:space="preserve"> PAGEREF _Toc536191793 \h </w:instrText>
      </w:r>
      <w:r>
        <w:fldChar w:fldCharType="separate"/>
      </w:r>
      <w:r>
        <w:t>3</w:t>
      </w:r>
      <w:r>
        <w:fldChar w:fldCharType="end"/>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_Toc536191795 \h </w:instrText>
      </w:r>
      <w:r>
        <w:fldChar w:fldCharType="separate"/>
      </w:r>
      <w:r>
        <w:t>4</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NameofActReg"/>
      </w:pPr>
      <w:r>
        <w:t xml:space="preserve">Wire and Wire Netting Act 1926 </w:t>
      </w:r>
    </w:p>
    <w:p>
      <w:pPr>
        <w:pStyle w:val="LongTitle"/>
        <w:rPr>
          <w:snapToGrid w:val="0"/>
        </w:rPr>
      </w:pPr>
      <w:r>
        <w:rPr>
          <w:snapToGrid w:val="0"/>
        </w:rPr>
        <w:t xml:space="preserve">An Act to authorize the supply of Wire and Wire Netting to Settlers. </w:t>
      </w:r>
    </w:p>
    <w:p>
      <w:pPr>
        <w:pStyle w:val="Enactment"/>
        <w:rPr>
          <w:snapToGrid w:val="0"/>
        </w:rPr>
      </w:pPr>
      <w:r>
        <w:rPr>
          <w:snapToGrid w:val="0"/>
        </w:rPr>
        <w:t xml:space="preserve">Be it enacted by the King’s Most Excellent Majesty, by and with the advice and consent of the Legislative Council and Legislative Assembly of Western Australia, in this present Parliament assembled, and by the authority of the same, as follows: —  </w:t>
      </w:r>
    </w:p>
    <w:p>
      <w:pPr>
        <w:pStyle w:val="Heading5"/>
        <w:rPr>
          <w:snapToGrid w:val="0"/>
        </w:rPr>
      </w:pPr>
      <w:bookmarkStart w:id="3" w:name="_Toc379285915"/>
      <w:bookmarkStart w:id="4" w:name="_Toc536191787"/>
      <w:r>
        <w:rPr>
          <w:rStyle w:val="CharSectno"/>
        </w:rPr>
        <w:t>1</w:t>
      </w:r>
      <w:r>
        <w:rPr>
          <w:snapToGrid w:val="0"/>
        </w:rPr>
        <w:t>.</w:t>
      </w:r>
      <w:r>
        <w:rPr>
          <w:snapToGrid w:val="0"/>
        </w:rPr>
        <w:tab/>
        <w:t>Short title</w:t>
      </w:r>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Wire and Wire Netting Act 1926</w:t>
      </w:r>
      <w:r>
        <w:rPr>
          <w:snapToGrid w:val="0"/>
        </w:rPr>
        <w:t>.</w:t>
      </w:r>
    </w:p>
    <w:p>
      <w:pPr>
        <w:pStyle w:val="Heading5"/>
        <w:rPr>
          <w:snapToGrid w:val="0"/>
        </w:rPr>
      </w:pPr>
      <w:bookmarkStart w:id="5" w:name="_Toc379285916"/>
      <w:bookmarkStart w:id="6" w:name="_Toc536191788"/>
      <w:r>
        <w:rPr>
          <w:rStyle w:val="CharSectno"/>
        </w:rPr>
        <w:t>2</w:t>
      </w:r>
      <w:r>
        <w:rPr>
          <w:snapToGrid w:val="0"/>
        </w:rPr>
        <w:t>.</w:t>
      </w:r>
      <w:r>
        <w:rPr>
          <w:snapToGrid w:val="0"/>
        </w:rPr>
        <w:tab/>
        <w:t>Interpretation</w:t>
      </w:r>
      <w:bookmarkEnd w:id="5"/>
      <w:bookmarkEnd w:id="6"/>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t>“Fencing wire”</w:t>
      </w:r>
      <w:r>
        <w:t xml:space="preserve"> includes barbed wire;</w:t>
      </w:r>
    </w:p>
    <w:p>
      <w:pPr>
        <w:pStyle w:val="Defstart"/>
      </w:pPr>
      <w:r>
        <w:rPr>
          <w:b/>
        </w:rPr>
        <w:tab/>
        <w:t>“Minister”</w:t>
      </w:r>
      <w:r>
        <w:t xml:space="preserve"> means the Minister for Lands;</w:t>
      </w:r>
    </w:p>
    <w:p>
      <w:pPr>
        <w:pStyle w:val="Defstart"/>
      </w:pPr>
      <w:r>
        <w:rPr>
          <w:b/>
        </w:rPr>
        <w:tab/>
        <w:t>“Mortgage”</w:t>
      </w:r>
      <w:r>
        <w:t xml:space="preserve"> includes a statutory charge.</w:t>
      </w:r>
    </w:p>
    <w:p>
      <w:pPr>
        <w:pStyle w:val="Defstart"/>
      </w:pPr>
      <w:r>
        <w:rPr>
          <w:b/>
        </w:rPr>
        <w:tab/>
        <w:t>“Settler”</w:t>
      </w:r>
      <w:r>
        <w:t xml:space="preserve"> means and includes the holder of a pastoral lease, conditional purchase lease, or homestead farm under the </w:t>
      </w:r>
      <w:r>
        <w:rPr>
          <w:i/>
        </w:rPr>
        <w:t>Land Act, 1898</w:t>
      </w:r>
      <w:r>
        <w:t>, or of freehold land hereinafter referred to as a “holding”;</w:t>
      </w:r>
    </w:p>
    <w:p>
      <w:pPr>
        <w:pStyle w:val="Defstart"/>
      </w:pPr>
      <w:r>
        <w:rPr>
          <w:b/>
        </w:rPr>
        <w:tab/>
        <w:t>“Wire netting”</w:t>
      </w:r>
      <w:r>
        <w:t xml:space="preserve"> means marsupial netting, rabbit netting, or dog</w:t>
      </w:r>
      <w:r>
        <w:noBreakHyphen/>
        <w:t>proof netting.</w:t>
      </w:r>
    </w:p>
    <w:p>
      <w:pPr>
        <w:pStyle w:val="Heading5"/>
        <w:rPr>
          <w:snapToGrid w:val="0"/>
        </w:rPr>
      </w:pPr>
      <w:bookmarkStart w:id="7" w:name="_Toc379285917"/>
      <w:bookmarkStart w:id="8" w:name="_Toc536191789"/>
      <w:r>
        <w:rPr>
          <w:rStyle w:val="CharSectno"/>
        </w:rPr>
        <w:t>3</w:t>
      </w:r>
      <w:r>
        <w:rPr>
          <w:snapToGrid w:val="0"/>
        </w:rPr>
        <w:t>.</w:t>
      </w:r>
      <w:r>
        <w:rPr>
          <w:snapToGrid w:val="0"/>
        </w:rPr>
        <w:tab/>
        <w:t>Authorization of expenditure</w:t>
      </w:r>
      <w:bookmarkEnd w:id="7"/>
      <w:bookmarkEnd w:id="8"/>
      <w:r>
        <w:rPr>
          <w:snapToGrid w:val="0"/>
        </w:rPr>
        <w:t xml:space="preserve"> </w:t>
      </w:r>
    </w:p>
    <w:p>
      <w:pPr>
        <w:pStyle w:val="Subsection"/>
        <w:rPr>
          <w:snapToGrid w:val="0"/>
        </w:rPr>
      </w:pPr>
      <w:r>
        <w:rPr>
          <w:snapToGrid w:val="0"/>
        </w:rPr>
        <w:tab/>
      </w:r>
      <w:r>
        <w:rPr>
          <w:snapToGrid w:val="0"/>
        </w:rPr>
        <w:tab/>
        <w:t>The Treasurer may, with the approval of the Governor, expend from moneys appropriated by Parliament for the purposes of this Act, an amount not exceeding six hundred and six thousand nine hundred and forty</w:t>
      </w:r>
      <w:r>
        <w:rPr>
          <w:snapToGrid w:val="0"/>
        </w:rPr>
        <w:noBreakHyphen/>
        <w:t>five pounds.</w:t>
      </w:r>
    </w:p>
    <w:p>
      <w:pPr>
        <w:pStyle w:val="Heading5"/>
        <w:rPr>
          <w:snapToGrid w:val="0"/>
        </w:rPr>
      </w:pPr>
      <w:bookmarkStart w:id="9" w:name="_Toc379285918"/>
      <w:bookmarkStart w:id="10" w:name="_Toc536191790"/>
      <w:r>
        <w:rPr>
          <w:rStyle w:val="CharSectno"/>
        </w:rPr>
        <w:t>4</w:t>
      </w:r>
      <w:r>
        <w:rPr>
          <w:snapToGrid w:val="0"/>
        </w:rPr>
        <w:t>.</w:t>
      </w:r>
      <w:r>
        <w:rPr>
          <w:snapToGrid w:val="0"/>
        </w:rPr>
        <w:tab/>
        <w:t>Supply of wire and wire netting</w:t>
      </w:r>
      <w:bookmarkEnd w:id="9"/>
      <w:bookmarkEnd w:id="10"/>
      <w:r>
        <w:rPr>
          <w:snapToGrid w:val="0"/>
        </w:rPr>
        <w:t xml:space="preserve"> </w:t>
      </w:r>
    </w:p>
    <w:p>
      <w:pPr>
        <w:pStyle w:val="Subsection"/>
        <w:rPr>
          <w:snapToGrid w:val="0"/>
        </w:rPr>
      </w:pPr>
      <w:r>
        <w:rPr>
          <w:snapToGrid w:val="0"/>
        </w:rPr>
        <w:tab/>
      </w:r>
      <w:r>
        <w:rPr>
          <w:snapToGrid w:val="0"/>
        </w:rPr>
        <w:tab/>
        <w:t>The Minister may, with money so provided, obtain and supply to settlers fencing wire and wire netting.</w:t>
      </w:r>
    </w:p>
    <w:p>
      <w:pPr>
        <w:pStyle w:val="Heading5"/>
        <w:rPr>
          <w:snapToGrid w:val="0"/>
        </w:rPr>
      </w:pPr>
      <w:bookmarkStart w:id="11" w:name="_Toc379285919"/>
      <w:bookmarkStart w:id="12" w:name="_Toc536191791"/>
      <w:r>
        <w:rPr>
          <w:rStyle w:val="CharSectno"/>
        </w:rPr>
        <w:t>5</w:t>
      </w:r>
      <w:r>
        <w:rPr>
          <w:snapToGrid w:val="0"/>
        </w:rPr>
        <w:t>.</w:t>
      </w:r>
      <w:r>
        <w:rPr>
          <w:snapToGrid w:val="0"/>
        </w:rPr>
        <w:tab/>
        <w:t>Payment of costs</w:t>
      </w:r>
      <w:bookmarkEnd w:id="11"/>
      <w:bookmarkEnd w:id="12"/>
      <w:r>
        <w:rPr>
          <w:snapToGrid w:val="0"/>
        </w:rPr>
        <w:t xml:space="preserve"> </w:t>
      </w:r>
    </w:p>
    <w:p>
      <w:pPr>
        <w:pStyle w:val="Subsection"/>
        <w:rPr>
          <w:snapToGrid w:val="0"/>
        </w:rPr>
      </w:pPr>
      <w:r>
        <w:rPr>
          <w:snapToGrid w:val="0"/>
        </w:rPr>
        <w:tab/>
        <w:t>(1)</w:t>
      </w:r>
      <w:r>
        <w:rPr>
          <w:snapToGrid w:val="0"/>
        </w:rPr>
        <w:tab/>
        <w:t>The cost, to be fixed by the Minister, of the fencing wire and wire netting so supplied, with interest, sinking fund contributions, and other charges as prescribed, shall be payable by the settler by fifty equal half</w:t>
      </w:r>
      <w:r>
        <w:rPr>
          <w:snapToGrid w:val="0"/>
        </w:rPr>
        <w:noBreakHyphen/>
        <w:t>yearly instalments.</w:t>
      </w:r>
    </w:p>
    <w:p>
      <w:pPr>
        <w:pStyle w:val="Subsection"/>
        <w:rPr>
          <w:snapToGrid w:val="0"/>
        </w:rPr>
      </w:pPr>
      <w:r>
        <w:rPr>
          <w:snapToGrid w:val="0"/>
        </w:rPr>
        <w:tab/>
        <w:t>(2)</w:t>
      </w:r>
      <w:r>
        <w:rPr>
          <w:snapToGrid w:val="0"/>
        </w:rPr>
        <w:tab/>
        <w:t>Every approval of an application for the supply of fencing wire and wire netting shall be subject to security being given by the settler to the satisfaction of the Minister for the payment as aforesaid as a first charge on the settler's holding, and other land improved by the use of such fencing wire and wire netting.</w:t>
      </w:r>
    </w:p>
    <w:p>
      <w:pPr>
        <w:pStyle w:val="Subsection"/>
        <w:rPr>
          <w:snapToGrid w:val="0"/>
        </w:rPr>
      </w:pPr>
      <w:r>
        <w:rPr>
          <w:snapToGrid w:val="0"/>
        </w:rPr>
        <w:tab/>
        <w:t>(3)</w:t>
      </w:r>
      <w:r>
        <w:rPr>
          <w:snapToGrid w:val="0"/>
        </w:rPr>
        <w:tab/>
        <w:t xml:space="preserve">If the holding or other land as aforesaid of the settler is subject to a mortgage to the agricultural Bank, or the Industries assistance Board, the mortgage to be given to the Minister shall rank </w:t>
      </w:r>
      <w:r>
        <w:rPr>
          <w:i/>
          <w:snapToGrid w:val="0"/>
        </w:rPr>
        <w:t>pari passu</w:t>
      </w:r>
      <w:r>
        <w:rPr>
          <w:snapToGrid w:val="0"/>
        </w:rPr>
        <w:t xml:space="preserve"> with the mortgage to the agricultural Bank, and in priority to the mortgage to the Industries Assistance Board.</w:t>
      </w:r>
    </w:p>
    <w:p>
      <w:pPr>
        <w:pStyle w:val="Subsection"/>
        <w:rPr>
          <w:snapToGrid w:val="0"/>
        </w:rPr>
      </w:pPr>
      <w:r>
        <w:rPr>
          <w:snapToGrid w:val="0"/>
        </w:rPr>
        <w:tab/>
        <w:t>(4)</w:t>
      </w:r>
      <w:r>
        <w:rPr>
          <w:snapToGrid w:val="0"/>
        </w:rPr>
        <w:tab/>
        <w:t>The cost of transit from the port of entry to the settler's land shall be payable by the settler as prescribed.</w:t>
      </w:r>
    </w:p>
    <w:p>
      <w:pPr>
        <w:pStyle w:val="Heading5"/>
        <w:rPr>
          <w:snapToGrid w:val="0"/>
        </w:rPr>
      </w:pPr>
      <w:bookmarkStart w:id="13" w:name="_Toc379285920"/>
      <w:bookmarkStart w:id="14" w:name="_Toc536191792"/>
      <w:r>
        <w:rPr>
          <w:rStyle w:val="CharSectno"/>
        </w:rPr>
        <w:t>6</w:t>
      </w:r>
      <w:r>
        <w:rPr>
          <w:snapToGrid w:val="0"/>
        </w:rPr>
        <w:t>.</w:t>
      </w:r>
      <w:r>
        <w:rPr>
          <w:snapToGrid w:val="0"/>
        </w:rPr>
        <w:tab/>
        <w:t>Commonwealth loans</w:t>
      </w:r>
      <w:bookmarkEnd w:id="13"/>
      <w:bookmarkEnd w:id="14"/>
      <w:r>
        <w:rPr>
          <w:snapToGrid w:val="0"/>
        </w:rPr>
        <w:t xml:space="preserve"> </w:t>
      </w:r>
    </w:p>
    <w:p>
      <w:pPr>
        <w:pStyle w:val="Subsection"/>
        <w:rPr>
          <w:snapToGrid w:val="0"/>
        </w:rPr>
      </w:pPr>
      <w:r>
        <w:rPr>
          <w:snapToGrid w:val="0"/>
        </w:rPr>
        <w:tab/>
        <w:t>(1)</w:t>
      </w:r>
      <w:r>
        <w:rPr>
          <w:snapToGrid w:val="0"/>
        </w:rPr>
        <w:tab/>
        <w:t>The Treasurer may agree with the Commonwealth Government for loans to the State for the purposes of this Act.</w:t>
      </w:r>
    </w:p>
    <w:p>
      <w:pPr>
        <w:pStyle w:val="Subsection"/>
        <w:rPr>
          <w:snapToGrid w:val="0"/>
        </w:rPr>
      </w:pPr>
      <w:r>
        <w:rPr>
          <w:snapToGrid w:val="0"/>
        </w:rPr>
        <w:tab/>
        <w:t>(2)</w:t>
      </w:r>
      <w:r>
        <w:rPr>
          <w:snapToGrid w:val="0"/>
        </w:rPr>
        <w:tab/>
        <w:t>So far as money expended by the Treasurer for the purposes of this Act is recouped by advances by the Commonwealth to the State under an agreement thereby fencing wire and wire netting is to be supplied to settlers on terms more favourable than as prescribed by and under this Act, the Minister may adjust in accordance therewith the terms and conditions of securities already taken for the payment of the cost of fencing wire and wire netting previously supplied to settlers; and payments made under such securities prior to such adjustment in excess of the instalments payable under the more favourable terms shall be placed to the credit of the settler and applied towards the payment of subsequent instalments.</w:t>
      </w:r>
    </w:p>
    <w:p>
      <w:pPr>
        <w:pStyle w:val="Heading5"/>
        <w:rPr>
          <w:snapToGrid w:val="0"/>
        </w:rPr>
      </w:pPr>
      <w:bookmarkStart w:id="15" w:name="_Toc379285921"/>
      <w:bookmarkStart w:id="16" w:name="_Toc536191793"/>
      <w:r>
        <w:rPr>
          <w:rStyle w:val="CharSectno"/>
        </w:rPr>
        <w:t>7</w:t>
      </w:r>
      <w:r>
        <w:rPr>
          <w:snapToGrid w:val="0"/>
        </w:rPr>
        <w:t>.</w:t>
      </w:r>
      <w:r>
        <w:rPr>
          <w:snapToGrid w:val="0"/>
        </w:rPr>
        <w:tab/>
        <w:t>Regulations</w:t>
      </w:r>
      <w:bookmarkEnd w:id="15"/>
      <w:bookmarkEnd w:id="16"/>
      <w:r>
        <w:rPr>
          <w:snapToGrid w:val="0"/>
        </w:rPr>
        <w:t xml:space="preserve"> </w:t>
      </w:r>
    </w:p>
    <w:p>
      <w:pPr>
        <w:pStyle w:val="Subsection"/>
        <w:rPr>
          <w:snapToGrid w:val="0"/>
        </w:rPr>
      </w:pPr>
      <w:r>
        <w:rPr>
          <w:snapToGrid w:val="0"/>
        </w:rPr>
        <w:tab/>
      </w:r>
      <w:r>
        <w:rPr>
          <w:snapToGrid w:val="0"/>
        </w:rPr>
        <w:tab/>
        <w:t>The Governor may make regulations for the purposes of this Act, and by such regulations may prescribe fees to be payable on application, and for the preparation and registration of securities.</w:t>
      </w:r>
    </w:p>
    <w:p>
      <w:pPr>
        <w:rPr>
          <w:rStyle w:val="CharDivText"/>
        </w:rPr>
        <w:sectPr>
          <w:headerReference w:type="even" r:id="rId21"/>
          <w:headerReference w:type="default" r:id="rId22"/>
          <w:headerReference w:type="first" r:id="rId23"/>
          <w:pgSz w:w="11907" w:h="16840" w:code="9"/>
          <w:pgMar w:top="2376" w:right="2405" w:bottom="3542" w:left="2405" w:header="706" w:footer="3380" w:gutter="0"/>
          <w:pgNumType w:start="1"/>
          <w:cols w:space="720"/>
          <w:noEndnote/>
          <w:titlePg/>
          <w:docGrid w:linePitch="299"/>
        </w:sectPr>
      </w:pPr>
    </w:p>
    <w:p>
      <w:pPr>
        <w:pStyle w:val="nHeading2"/>
      </w:pPr>
      <w:bookmarkStart w:id="17" w:name="_Toc379285922"/>
      <w:bookmarkStart w:id="18" w:name="_Toc425167974"/>
      <w:bookmarkStart w:id="19" w:name="_Toc425168020"/>
      <w:bookmarkStart w:id="20" w:name="_Toc536191794"/>
      <w:r>
        <w:t>Notes</w:t>
      </w:r>
      <w:bookmarkEnd w:id="17"/>
      <w:bookmarkEnd w:id="18"/>
      <w:bookmarkEnd w:id="19"/>
      <w:bookmarkEnd w:id="20"/>
    </w:p>
    <w:p>
      <w:pPr>
        <w:pStyle w:val="nSubsection"/>
        <w:rPr>
          <w:snapToGrid w:val="0"/>
        </w:rPr>
      </w:pPr>
      <w:r>
        <w:rPr>
          <w:snapToGrid w:val="0"/>
          <w:vertAlign w:val="superscript"/>
        </w:rPr>
        <w:t>1.</w:t>
      </w:r>
      <w:r>
        <w:rPr>
          <w:snapToGrid w:val="0"/>
        </w:rPr>
        <w:tab/>
        <w:t xml:space="preserve">This is a compilation of the </w:t>
      </w:r>
      <w:r>
        <w:rPr>
          <w:i/>
          <w:snapToGrid w:val="0"/>
        </w:rPr>
        <w:t>Wire and Wire Netting Act 1926</w:t>
      </w:r>
      <w:r>
        <w:rPr>
          <w:snapToGrid w:val="0"/>
        </w:rPr>
        <w:t xml:space="preserve">.  </w:t>
      </w:r>
      <w:r>
        <w:t>The following table contains information about that Act</w:t>
      </w:r>
      <w:r>
        <w:rPr>
          <w:snapToGrid w:val="0"/>
        </w:rPr>
        <w:t>.</w:t>
      </w:r>
    </w:p>
    <w:p>
      <w:pPr>
        <w:pStyle w:val="nHeading3"/>
        <w:rPr>
          <w:snapToGrid w:val="0"/>
        </w:rPr>
      </w:pPr>
      <w:bookmarkStart w:id="21" w:name="_Toc379285923"/>
      <w:bookmarkStart w:id="22" w:name="_Toc536191795"/>
      <w:r>
        <w:rPr>
          <w:snapToGrid w:val="0"/>
        </w:rPr>
        <w:t>Compilation table</w:t>
      </w:r>
      <w:bookmarkEnd w:id="21"/>
      <w:bookmarkEnd w:id="22"/>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shd w:val="clear" w:color="auto" w:fill="auto"/>
          </w:tcPr>
          <w:p>
            <w:pPr>
              <w:pStyle w:val="nTable"/>
              <w:spacing w:before="40" w:after="40"/>
              <w:rPr>
                <w:b/>
              </w:rPr>
            </w:pPr>
            <w:r>
              <w:rPr>
                <w:b/>
              </w:rPr>
              <w:t>Short title</w:t>
            </w:r>
          </w:p>
        </w:tc>
        <w:tc>
          <w:tcPr>
            <w:tcW w:w="1134" w:type="dxa"/>
            <w:tcBorders>
              <w:top w:val="single" w:sz="8" w:space="0" w:color="auto"/>
              <w:bottom w:val="single" w:sz="8" w:space="0" w:color="auto"/>
            </w:tcBorders>
            <w:shd w:val="clear" w:color="auto" w:fill="auto"/>
          </w:tcPr>
          <w:p>
            <w:pPr>
              <w:pStyle w:val="nTable"/>
              <w:spacing w:before="40" w:after="40"/>
              <w:rPr>
                <w:b/>
              </w:rPr>
            </w:pPr>
            <w:r>
              <w:rPr>
                <w:b/>
              </w:rPr>
              <w:t>Number and year</w:t>
            </w:r>
          </w:p>
        </w:tc>
        <w:tc>
          <w:tcPr>
            <w:tcW w:w="1134" w:type="dxa"/>
            <w:tcBorders>
              <w:top w:val="single" w:sz="8" w:space="0" w:color="auto"/>
              <w:bottom w:val="single" w:sz="8" w:space="0" w:color="auto"/>
            </w:tcBorders>
            <w:shd w:val="clear" w:color="auto" w:fill="auto"/>
          </w:tcPr>
          <w:p>
            <w:pPr>
              <w:pStyle w:val="nTable"/>
              <w:spacing w:before="40" w:after="40"/>
              <w:rPr>
                <w:b/>
              </w:rPr>
            </w:pPr>
            <w:r>
              <w:rPr>
                <w:b/>
              </w:rPr>
              <w:t>Assent</w:t>
            </w:r>
          </w:p>
        </w:tc>
        <w:tc>
          <w:tcPr>
            <w:tcW w:w="2551" w:type="dxa"/>
            <w:tcBorders>
              <w:top w:val="single" w:sz="8" w:space="0" w:color="auto"/>
              <w:bottom w:val="single" w:sz="8" w:space="0" w:color="auto"/>
            </w:tcBorders>
            <w:shd w:val="clear" w:color="auto" w:fill="auto"/>
          </w:tcPr>
          <w:p>
            <w:pPr>
              <w:pStyle w:val="nTable"/>
              <w:spacing w:before="40" w:after="40"/>
              <w:rPr>
                <w:b/>
              </w:rPr>
            </w:pPr>
            <w:r>
              <w:rPr>
                <w:b/>
              </w:rPr>
              <w:t>Commencement</w:t>
            </w:r>
          </w:p>
        </w:tc>
      </w:tr>
      <w:tr>
        <w:tc>
          <w:tcPr>
            <w:tcW w:w="2268" w:type="dxa"/>
            <w:tcBorders>
              <w:top w:val="single" w:sz="8" w:space="0" w:color="auto"/>
              <w:bottom w:val="single" w:sz="8" w:space="0" w:color="auto"/>
            </w:tcBorders>
            <w:shd w:val="clear" w:color="auto" w:fill="auto"/>
          </w:tcPr>
          <w:p>
            <w:pPr>
              <w:pStyle w:val="nTable"/>
              <w:spacing w:before="40" w:after="40"/>
            </w:pPr>
            <w:r>
              <w:rPr>
                <w:i/>
              </w:rPr>
              <w:t>Wire and Wire Netting Act 1926</w:t>
            </w:r>
          </w:p>
        </w:tc>
        <w:tc>
          <w:tcPr>
            <w:tcW w:w="1134" w:type="dxa"/>
            <w:tcBorders>
              <w:top w:val="single" w:sz="8" w:space="0" w:color="auto"/>
              <w:bottom w:val="single" w:sz="8" w:space="0" w:color="auto"/>
            </w:tcBorders>
            <w:shd w:val="clear" w:color="auto" w:fill="auto"/>
          </w:tcPr>
          <w:p>
            <w:pPr>
              <w:pStyle w:val="nTable"/>
              <w:spacing w:before="40" w:after="40"/>
            </w:pPr>
            <w:r>
              <w:t>35 of 1926</w:t>
            </w:r>
          </w:p>
        </w:tc>
        <w:tc>
          <w:tcPr>
            <w:tcW w:w="1134" w:type="dxa"/>
            <w:tcBorders>
              <w:top w:val="single" w:sz="8" w:space="0" w:color="auto"/>
              <w:bottom w:val="single" w:sz="8" w:space="0" w:color="auto"/>
            </w:tcBorders>
            <w:shd w:val="clear" w:color="auto" w:fill="auto"/>
          </w:tcPr>
          <w:p>
            <w:pPr>
              <w:pStyle w:val="nTable"/>
              <w:spacing w:before="40" w:after="40"/>
            </w:pPr>
            <w:r>
              <w:t>8 Dec 1926</w:t>
            </w:r>
          </w:p>
        </w:tc>
        <w:tc>
          <w:tcPr>
            <w:tcW w:w="2551" w:type="dxa"/>
            <w:tcBorders>
              <w:top w:val="single" w:sz="8" w:space="0" w:color="auto"/>
              <w:bottom w:val="single" w:sz="8" w:space="0" w:color="auto"/>
            </w:tcBorders>
            <w:shd w:val="clear" w:color="auto" w:fill="auto"/>
          </w:tcPr>
          <w:p>
            <w:pPr>
              <w:pStyle w:val="nTable"/>
              <w:spacing w:before="40" w:after="40"/>
            </w:pPr>
            <w:r>
              <w:t>8 Dec 1926</w:t>
            </w:r>
          </w:p>
        </w:tc>
      </w:tr>
    </w:tbl>
    <w:p>
      <w:pPr>
        <w:sectPr>
          <w:headerReference w:type="even" r:id="rId24"/>
          <w:headerReference w:type="default" r:id="rId25"/>
          <w:headerReference w:type="first" r:id="rId26"/>
          <w:pgSz w:w="11907" w:h="16840" w:code="9"/>
          <w:pgMar w:top="2376" w:right="2404" w:bottom="3544" w:left="2404" w:header="720" w:footer="3380" w:gutter="0"/>
          <w:cols w:space="720"/>
          <w:noEndnote/>
          <w:docGrid w:linePitch="299"/>
        </w:sectPr>
      </w:pP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sectPr>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2381" w:right="2409" w:bottom="2976" w:left="2409" w:header="720" w:footer="338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00-a0-13</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06 Jul 1998</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06 Jul 1998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00-a0-13</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06 Jul 1998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00-a0-13</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00-a0-13</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06 Jul 1998</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06 Jul 1998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00-a0-13</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06 Jul 1998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00-a0-13</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sz w:val="20"/>
      </w:rPr>
      <w:t>i</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Wire and Wire Netting Act 1926</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Wire and Wire Netting Act 1926</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23" w:name="Compilation"/>
    <w:bookmarkEnd w:id="23"/>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4" w:name="Coversheet"/>
    <w:bookmarkEnd w:id="2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Wire and Wire Netting Act 1926</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Wire and Wire Netting Act 1926</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Wire and Wire Netting Act 1926</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Wire and Wire Netting Act 1926</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E90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CA18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164D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69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962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C01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B255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F294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ECAAD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5A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F58C99E0"/>
    <w:name w:val="SectionNumbers"/>
    <w:lvl w:ilvl="0">
      <w:start w:val="1"/>
      <w:numFmt w:val="decimal"/>
      <w:suff w:val="nothing"/>
      <w:lvlText w:val="%1."/>
      <w:lvlJc w:val="right"/>
      <w:pPr>
        <w:ind w:left="0" w:firstLine="567"/>
      </w:pPr>
    </w:lvl>
    <w:lvl w:ilvl="1">
      <w:start w:val="1"/>
      <w:numFmt w:val="decimal"/>
      <w:suff w:val="nothing"/>
      <w:lvlText w:val="(%2)"/>
      <w:lvlJc w:val="right"/>
      <w:pPr>
        <w:ind w:left="567" w:firstLine="0"/>
      </w:pPr>
    </w:lvl>
    <w:lvl w:ilvl="2">
      <w:start w:val="1"/>
      <w:numFmt w:val="lowerLetter"/>
      <w:lvlText w:val="(%3)"/>
      <w:lvlJc w:val="left"/>
      <w:pPr>
        <w:tabs>
          <w:tab w:val="num" w:pos="1224"/>
        </w:tabs>
        <w:ind w:left="1224" w:hanging="504"/>
      </w:pPr>
    </w:lvl>
    <w:lvl w:ilvl="3">
      <w:start w:val="1"/>
      <w:numFmt w:val="lowerRoman"/>
      <w:lvlText w:val="(%4)"/>
      <w:lvlJc w:val="left"/>
      <w:pPr>
        <w:tabs>
          <w:tab w:val="num" w:pos="1728"/>
        </w:tabs>
        <w:ind w:left="1728" w:hanging="648"/>
      </w:pPr>
    </w:lvl>
    <w:lvl w:ilvl="4">
      <w:start w:val="1"/>
      <w:numFmt w:val="upperRoman"/>
      <w:lvlText w:val="(%5)"/>
      <w:lvlJc w:val="left"/>
      <w:pPr>
        <w:tabs>
          <w:tab w:val="num" w:pos="2232"/>
        </w:tabs>
        <w:ind w:left="2232" w:hanging="792"/>
      </w:pPr>
    </w:lvl>
    <w:lvl w:ilvl="5">
      <w:start w:val="1"/>
      <w:numFmt w:val="upperLetter"/>
      <w:lvlText w:val="(%6)"/>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3">
    <w:nsid w:val="22FF52EB"/>
    <w:multiLevelType w:val="multilevel"/>
    <w:tmpl w:val="A6FA58E8"/>
    <w:name w:val="DefinitionNumbers"/>
    <w:lvl w:ilvl="0">
      <w:start w:val="1"/>
      <w:numFmt w:val="none"/>
      <w:lvlText w:val=""/>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Roman"/>
      <w:lvlText w:val="(%4)"/>
      <w:lvlJc w:val="left"/>
      <w:pPr>
        <w:tabs>
          <w:tab w:val="num" w:pos="180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6FDE73CC"/>
    <w:multiLevelType w:val="multilevel"/>
    <w:tmpl w:val="B7EA0D48"/>
    <w:name w:val="PenaltyNumbers"/>
    <w:lvl w:ilvl="0">
      <w:start w:val="1"/>
      <w:numFmt w:val="none"/>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2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revisionView w:formatting="0"/>
  <w:defaultTabStop w:val="720"/>
  <w:doNotHyphenateCaps/>
  <w:evenAndOddHeaders/>
  <w:drawingGridHorizontalSpacing w:val="110"/>
  <w:drawingGridVerticalSpacing w:val="299"/>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60419090857"/>
    <w:docVar w:name="WAFER_20140204134910" w:val="RemoveTocBookmarks,RemoveUnusedBookmarks,RemoveLanguageTags,UsedStyles,ResetPageSize,UpdateArrangement"/>
    <w:docVar w:name="WAFER_20140204134910_GUID" w:val="2c71d680-2d4f-4d0d-8746-7cec0995ea11"/>
    <w:docVar w:name="WAFER_20140204135700" w:val="RemoveTocBookmarks,RunningHeaders"/>
    <w:docVar w:name="WAFER_20140204135700_GUID" w:val="5aba9201-bcc8-46df-822b-1ae7106dc409"/>
    <w:docVar w:name="WAFER_20150720145202" w:val="ResetPageSize,UpdateArrangement,UpdateNTable"/>
    <w:docVar w:name="WAFER_20150720145202_GUID" w:val="869005f5-96f7-447f-8315-f0ddff371be7"/>
    <w:docVar w:name="WAFER_20160419090857" w:val="UsedStyles"/>
    <w:docVar w:name="WAFER_20160419090857_GUID" w:val="7a4b5665-68a9-4a4f-a8a1-2aa2cb18dc00"/>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39"/>
    <w:lsdException w:name="toc 9" w:uiPriority="0"/>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sz w:val="24"/>
    </w:rPr>
  </w:style>
  <w:style w:type="paragraph" w:styleId="Heading5">
    <w:name w:val="heading 5"/>
    <w:next w:val="Normal"/>
    <w:qFormat/>
    <w:pPr>
      <w:keepNext/>
      <w:keepLines/>
      <w:tabs>
        <w:tab w:val="left" w:pos="893"/>
      </w:tabs>
      <w:spacing w:before="220" w:line="260" w:lineRule="atLeast"/>
      <w:ind w:left="893" w:hanging="893"/>
      <w:outlineLvl w:val="4"/>
    </w:pPr>
    <w:rPr>
      <w:b/>
      <w:sz w:val="24"/>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rPr>
      <w:rFonts w:ascii="Arial" w:hAnsi="Arial"/>
      <w:noProof/>
    </w:rPr>
  </w:style>
  <w:style w:type="paragraph" w:styleId="Header">
    <w:name w:val="header"/>
    <w:rPr>
      <w:rFonts w:ascii="Arial" w:hAnsi="Arial"/>
      <w:noProof/>
      <w:sz w:val="24"/>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noProof w:val="0"/>
      <w:sz w:val="18"/>
    </w:rPr>
  </w:style>
  <w:style w:type="paragraph" w:customStyle="1" w:styleId="zPenstart">
    <w:name w:val="zPenstart"/>
    <w:basedOn w:val="Penstart"/>
    <w:pPr>
      <w:pBdr>
        <w:left w:val="threeDEngrave" w:sz="24" w:space="4" w:color="auto"/>
        <w:right w:val="threeDEmboss" w:sz="24" w:space="4" w:color="auto"/>
      </w:pBdr>
      <w:shd w:val="pct12" w:color="808080" w:fill="FFFFFF"/>
    </w:pPr>
  </w:style>
  <w:style w:type="paragraph" w:customStyle="1" w:styleId="Penstart">
    <w:name w:val="Penstart"/>
    <w:basedOn w:val="Normal"/>
    <w:pPr>
      <w:tabs>
        <w:tab w:val="left" w:pos="893"/>
      </w:tabs>
      <w:spacing w:before="80" w:line="260" w:lineRule="atLeast"/>
      <w:ind w:left="893" w:hanging="893"/>
    </w:pPr>
    <w:rPr>
      <w:sz w:val="24"/>
    </w:rPr>
  </w:style>
  <w:style w:type="paragraph" w:customStyle="1" w:styleId="Preamble">
    <w:name w:val="Preamble"/>
    <w:pPr>
      <w:tabs>
        <w:tab w:val="right" w:pos="605"/>
        <w:tab w:val="left" w:pos="893"/>
      </w:tabs>
      <w:spacing w:before="160" w:line="260" w:lineRule="atLeast"/>
    </w:pPr>
    <w:rPr>
      <w:sz w:val="24"/>
    </w:rPr>
  </w:style>
  <w:style w:type="character" w:styleId="Strong">
    <w:name w:val="Strong"/>
    <w:basedOn w:val="DefaultParagraphFont"/>
    <w:qFormat/>
    <w:rPr>
      <w:b/>
      <w:noProof w:val="0"/>
      <w:sz w:val="24"/>
    </w:rPr>
  </w:style>
  <w:style w:type="paragraph" w:customStyle="1" w:styleId="ySubsection">
    <w:name w:val="ySubsection"/>
    <w:basedOn w:val="Subsection"/>
    <w:rPr>
      <w:sz w:val="22"/>
    </w:rPr>
  </w:style>
  <w:style w:type="paragraph" w:customStyle="1" w:styleId="Subsection">
    <w:name w:val="Subsection"/>
    <w:pPr>
      <w:tabs>
        <w:tab w:val="right" w:pos="605"/>
        <w:tab w:val="left" w:pos="893"/>
      </w:tabs>
      <w:spacing w:before="160" w:line="260" w:lineRule="atLeast"/>
      <w:ind w:left="893" w:hanging="893"/>
    </w:pPr>
    <w:rPr>
      <w:sz w:val="24"/>
    </w:rPr>
  </w:style>
  <w:style w:type="paragraph" w:customStyle="1" w:styleId="Table">
    <w:name w:val="Table"/>
    <w:aliases w:val="t"/>
    <w:basedOn w:val="Normal"/>
    <w:pPr>
      <w:spacing w:before="60" w:line="240" w:lineRule="atLeast"/>
    </w:pPr>
    <w:rPr>
      <w:sz w:val="24"/>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noProof w:val="0"/>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rPr>
      <w:rFonts w:ascii="Tahoma" w:hAnsi="Tahoma"/>
    </w:rPr>
  </w:style>
  <w:style w:type="paragraph" w:customStyle="1" w:styleId="zSubsection">
    <w:name w:val="zSubsection"/>
    <w:basedOn w:val="Subsection"/>
    <w:pPr>
      <w:pBdr>
        <w:left w:val="threeDEngrave" w:sz="24" w:space="4" w:color="auto"/>
        <w:right w:val="threeDEmboss" w:sz="24" w:space="4" w:color="auto"/>
      </w:pBdr>
      <w:shd w:val="pct12" w:color="808080" w:fill="FFFFFF"/>
    </w:pPr>
  </w:style>
  <w:style w:type="character" w:styleId="Hyperlink">
    <w:name w:val="Hyperlink"/>
    <w:basedOn w:val="DefaultParagraphFont"/>
    <w:semiHidden/>
    <w:rPr>
      <w:noProof w:val="0"/>
      <w:color w:val="0000FF"/>
      <w:sz w:val="24"/>
      <w:u w:val="single"/>
    </w:rPr>
  </w:style>
  <w:style w:type="character" w:styleId="FollowedHyperlink">
    <w:name w:val="FollowedHyperlink"/>
    <w:basedOn w:val="DefaultParagraphFont"/>
    <w:semiHidden/>
    <w:rPr>
      <w:noProof w:val="0"/>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pPr>
      <w:spacing w:before="600"/>
    </w:pPr>
    <w:rPr>
      <w:b/>
      <w:sz w:val="24"/>
    </w:rPr>
  </w:style>
  <w:style w:type="paragraph" w:styleId="Signature">
    <w:name w:val="Signature"/>
    <w:basedOn w:val="Normal"/>
    <w:semiHidden/>
    <w:pPr>
      <w:ind w:left="4252"/>
    </w:pPr>
    <w:rPr>
      <w:sz w:val="24"/>
    </w:rPr>
  </w:style>
  <w:style w:type="paragraph" w:styleId="List">
    <w:name w:val="List"/>
    <w:basedOn w:val="Normal"/>
    <w:semiHidden/>
    <w:pPr>
      <w:ind w:left="283" w:hanging="283"/>
    </w:pPr>
  </w:style>
  <w:style w:type="paragraph" w:customStyle="1" w:styleId="Indenta">
    <w:name w:val="Indent(a)"/>
    <w:pPr>
      <w:keepLines/>
      <w:tabs>
        <w:tab w:val="right" w:pos="1325"/>
        <w:tab w:val="left" w:pos="1613"/>
      </w:tabs>
      <w:spacing w:before="80" w:line="260" w:lineRule="atLeast"/>
      <w:ind w:left="1613" w:hanging="1613"/>
    </w:pPr>
    <w:rPr>
      <w:sz w:val="24"/>
    </w:rPr>
  </w:style>
  <w:style w:type="paragraph" w:customStyle="1" w:styleId="IndentA0">
    <w:name w:val="Indent(A)"/>
    <w:pPr>
      <w:keepLines/>
      <w:tabs>
        <w:tab w:val="right" w:pos="2621"/>
        <w:tab w:val="left" w:pos="2909"/>
      </w:tabs>
      <w:spacing w:before="80" w:line="260" w:lineRule="atLeast"/>
      <w:ind w:left="2909" w:hanging="2909"/>
    </w:pPr>
    <w:rPr>
      <w:sz w:val="24"/>
    </w:rPr>
  </w:style>
  <w:style w:type="paragraph" w:customStyle="1" w:styleId="Indenti">
    <w:name w:val="Indent(i)"/>
    <w:pPr>
      <w:tabs>
        <w:tab w:val="right" w:pos="2045"/>
        <w:tab w:val="left" w:pos="2333"/>
      </w:tabs>
      <w:spacing w:before="80" w:line="260" w:lineRule="atLeast"/>
      <w:ind w:left="2333" w:hanging="2333"/>
    </w:pPr>
    <w:rPr>
      <w:sz w:val="24"/>
    </w:rPr>
  </w:style>
  <w:style w:type="paragraph" w:customStyle="1" w:styleId="IndentI0">
    <w:name w:val="Indent(I)"/>
    <w:pPr>
      <w:keepLines/>
      <w:tabs>
        <w:tab w:val="right" w:pos="3197"/>
        <w:tab w:val="left" w:pos="3485"/>
      </w:tabs>
      <w:spacing w:before="80" w:line="260" w:lineRule="atLeast"/>
      <w:ind w:left="3485" w:hanging="3485"/>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160" w:line="260" w:lineRule="atLeast"/>
      <w:ind w:left="2333" w:hanging="2333"/>
    </w:pPr>
    <w:rPr>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spacing w:before="160" w:line="260" w:lineRule="atLeast"/>
      <w:jc w:val="center"/>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before="160"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120" w:line="260" w:lineRule="atLeast"/>
      <w:ind w:left="3053" w:hanging="3053"/>
    </w:pPr>
    <w:rPr>
      <w:sz w:val="24"/>
    </w:rPr>
  </w:style>
  <w:style w:type="paragraph" w:customStyle="1" w:styleId="zHeading1">
    <w:name w:val="zHeading 1"/>
    <w:basedOn w:val="Heading1"/>
    <w:pPr>
      <w:pBdr>
        <w:left w:val="threeDEngrave" w:sz="24" w:space="4" w:color="auto"/>
        <w:right w:val="threeDEmboss" w:sz="24" w:space="4" w:color="auto"/>
      </w:pBdr>
      <w:shd w:val="pct12" w:color="808080" w:fill="FFFFFF"/>
      <w:outlineLvl w:val="9"/>
    </w:pPr>
    <w:rPr>
      <w:sz w:val="36"/>
    </w:rPr>
  </w:style>
  <w:style w:type="paragraph" w:customStyle="1" w:styleId="zHeading2">
    <w:name w:val="zHeading 2"/>
    <w:basedOn w:val="Heading2"/>
    <w:pPr>
      <w:pBdr>
        <w:left w:val="threeDEngrave" w:sz="24" w:space="4" w:color="auto"/>
        <w:right w:val="threeDEmboss" w:sz="24" w:space="4" w:color="auto"/>
      </w:pBdr>
      <w:shd w:val="pct12" w:color="808080" w:fill="FFFFFF"/>
      <w:outlineLvl w:val="9"/>
    </w:pPr>
    <w:rPr>
      <w:sz w:val="32"/>
    </w:rPr>
  </w:style>
  <w:style w:type="paragraph" w:customStyle="1" w:styleId="zHeading3">
    <w:name w:val="zHeading 3"/>
    <w:basedOn w:val="Heading3"/>
    <w:pPr>
      <w:pBdr>
        <w:left w:val="threeDEngrave" w:sz="24" w:space="4" w:color="auto"/>
        <w:right w:val="threeDEmboss" w:sz="24" w:space="4" w:color="auto"/>
      </w:pBdr>
      <w:shd w:val="pct12" w:color="808080" w:fill="FFFFFF"/>
      <w:outlineLvl w:val="9"/>
    </w:pPr>
    <w:rPr>
      <w:sz w:val="28"/>
    </w:rPr>
  </w:style>
  <w:style w:type="paragraph" w:customStyle="1" w:styleId="zHeading4">
    <w:name w:val="zHeading 4"/>
    <w:basedOn w:val="Heading4"/>
    <w:pPr>
      <w:pBdr>
        <w:left w:val="threeDEngrave" w:sz="24" w:space="4" w:color="auto"/>
        <w:right w:val="threeDEmboss" w:sz="24" w:space="4" w:color="auto"/>
      </w:pBdr>
      <w:shd w:val="pct12" w:color="808080" w:fill="FFFFFF"/>
      <w:outlineLvl w:val="9"/>
    </w:pPr>
  </w:style>
  <w:style w:type="paragraph" w:customStyle="1" w:styleId="zHeading5">
    <w:name w:val="zHeading 5"/>
    <w:basedOn w:val="Heading5"/>
    <w:pPr>
      <w:pBdr>
        <w:left w:val="threeDEngrave" w:sz="24" w:space="4" w:color="auto"/>
        <w:right w:val="threeDEmboss" w:sz="24" w:space="4" w:color="auto"/>
      </w:pBdr>
      <w:shd w:val="pct12" w:color="808080" w:fill="FFFFFF"/>
      <w:outlineLvl w:val="9"/>
    </w:pPr>
  </w:style>
  <w:style w:type="paragraph" w:customStyle="1" w:styleId="yHeading2">
    <w:name w:val="yHeading 2"/>
    <w:basedOn w:val="Heading2"/>
    <w:pPr>
      <w:pageBreakBefore w:val="0"/>
      <w:outlineLvl w:val="9"/>
    </w:pPr>
    <w:rPr>
      <w:sz w:val="28"/>
    </w:rPr>
  </w:style>
  <w:style w:type="paragraph" w:customStyle="1" w:styleId="yHeading1">
    <w:name w:val="yHeading 1"/>
    <w:basedOn w:val="Heading1"/>
    <w:rPr>
      <w:sz w:val="32"/>
    </w:rPr>
  </w:style>
  <w:style w:type="paragraph" w:customStyle="1" w:styleId="yHeading3">
    <w:name w:val="yHeading 3"/>
    <w:basedOn w:val="Heading3"/>
    <w:rPr>
      <w:sz w:val="24"/>
    </w:rPr>
  </w:style>
  <w:style w:type="paragraph" w:customStyle="1" w:styleId="yHeading4">
    <w:name w:val="yHeading 4"/>
    <w:basedOn w:val="Heading4"/>
    <w:rPr>
      <w:sz w:val="22"/>
    </w:rPr>
  </w:style>
  <w:style w:type="paragraph" w:customStyle="1" w:styleId="yHeading5">
    <w:name w:val="yHeading 5"/>
    <w:basedOn w:val="Heading5"/>
    <w:rPr>
      <w:sz w:val="22"/>
    </w:rPr>
  </w:style>
  <w:style w:type="paragraph" w:customStyle="1" w:styleId="Ednotesubitem">
    <w:name w:val="Ednote(subitem)"/>
    <w:pPr>
      <w:tabs>
        <w:tab w:val="right" w:pos="3485"/>
        <w:tab w:val="left" w:pos="3773"/>
      </w:tabs>
      <w:spacing w:before="160" w:line="260" w:lineRule="atLeast"/>
      <w:ind w:left="3773" w:hanging="3773"/>
    </w:pPr>
    <w:rPr>
      <w:sz w:val="24"/>
    </w:rPr>
  </w:style>
  <w:style w:type="paragraph" w:customStyle="1" w:styleId="Penpara">
    <w:name w:val="Penpara"/>
    <w:pPr>
      <w:tabs>
        <w:tab w:val="right" w:pos="1325"/>
        <w:tab w:val="left" w:pos="1613"/>
      </w:tabs>
      <w:spacing w:before="80" w:line="260" w:lineRule="atLeast"/>
      <w:ind w:left="1613" w:hanging="1613"/>
    </w:pPr>
    <w:rPr>
      <w:sz w:val="24"/>
    </w:rPr>
  </w:style>
  <w:style w:type="paragraph" w:customStyle="1" w:styleId="Pensubpara">
    <w:name w:val="Pensubpara"/>
    <w:pPr>
      <w:tabs>
        <w:tab w:val="right" w:pos="2045"/>
        <w:tab w:val="left" w:pos="2333"/>
      </w:tabs>
      <w:spacing w:before="160" w:line="260" w:lineRule="atLeast"/>
      <w:ind w:firstLine="2333"/>
    </w:pPr>
    <w:rPr>
      <w:sz w:val="24"/>
    </w:rPr>
  </w:style>
  <w:style w:type="paragraph" w:customStyle="1" w:styleId="Penitem">
    <w:name w:val="Penitem"/>
    <w:pPr>
      <w:tabs>
        <w:tab w:val="right" w:pos="2765"/>
        <w:tab w:val="left" w:pos="3053"/>
      </w:tabs>
      <w:spacing w:before="80" w:line="260" w:lineRule="atLeast"/>
      <w:ind w:left="3053" w:hanging="3053"/>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rPr>
  </w:style>
  <w:style w:type="paragraph" w:customStyle="1" w:styleId="yIndenta">
    <w:name w:val="yIndent(a)"/>
    <w:basedOn w:val="Indenta"/>
    <w:rPr>
      <w:sz w:val="22"/>
    </w:rPr>
  </w:style>
  <w:style w:type="paragraph" w:customStyle="1" w:styleId="yIndentA0">
    <w:name w:val="yIndent(A)"/>
    <w:basedOn w:val="IndentA0"/>
    <w:rPr>
      <w:sz w:val="22"/>
    </w:rPr>
  </w:style>
  <w:style w:type="paragraph" w:customStyle="1" w:styleId="yIndentI">
    <w:name w:val="yIndent(I)"/>
    <w:basedOn w:val="IndentI0"/>
    <w:rPr>
      <w:sz w:val="22"/>
    </w:rPr>
  </w:style>
  <w:style w:type="paragraph" w:customStyle="1" w:styleId="yIndenti0">
    <w:name w:val="yIndent(i)"/>
    <w:basedOn w:val="Indenti"/>
    <w:rPr>
      <w:sz w:val="22"/>
    </w:rPr>
  </w:style>
  <w:style w:type="paragraph" w:customStyle="1" w:styleId="zIndenta">
    <w:name w:val="zIndent(a)"/>
    <w:basedOn w:val="Indenta"/>
    <w:pPr>
      <w:pBdr>
        <w:left w:val="threeDEngrave" w:sz="24" w:space="4" w:color="auto"/>
        <w:right w:val="threeDEmboss" w:sz="24" w:space="4" w:color="auto"/>
      </w:pBdr>
      <w:shd w:val="pct12" w:color="808080" w:fill="FFFFFF"/>
    </w:pPr>
  </w:style>
  <w:style w:type="paragraph" w:customStyle="1" w:styleId="zIndentA0">
    <w:name w:val="zIndent(A)"/>
    <w:basedOn w:val="IndentA0"/>
    <w:pPr>
      <w:pBdr>
        <w:left w:val="threeDEngrave" w:sz="24" w:space="4" w:color="auto"/>
        <w:right w:val="threeDEmboss" w:sz="24" w:space="4" w:color="auto"/>
      </w:pBdr>
      <w:shd w:val="pct12" w:color="808080" w:fill="FFFFFF"/>
    </w:pPr>
  </w:style>
  <w:style w:type="paragraph" w:customStyle="1" w:styleId="zIndenti">
    <w:name w:val="zIndent(i)"/>
    <w:basedOn w:val="Indenti"/>
    <w:pPr>
      <w:pBdr>
        <w:left w:val="threeDEngrave" w:sz="24" w:space="4" w:color="auto"/>
        <w:right w:val="threeDEmboss" w:sz="24" w:space="4" w:color="auto"/>
      </w:pBdr>
      <w:shd w:val="pct12" w:color="808080" w:fill="FFFFFF"/>
    </w:pPr>
  </w:style>
  <w:style w:type="paragraph" w:customStyle="1" w:styleId="zIndentI0">
    <w:name w:val="zIndent(I)"/>
    <w:basedOn w:val="IndentI0"/>
    <w:pPr>
      <w:pBdr>
        <w:left w:val="threeDEngrave" w:sz="24" w:space="4" w:color="auto"/>
        <w:right w:val="threeDEmboss" w:sz="24" w:space="4" w:color="auto"/>
      </w:pBdr>
      <w:shd w:val="pct12" w:color="808080" w:fill="FFFFFF"/>
    </w:pPr>
  </w:style>
  <w:style w:type="paragraph" w:customStyle="1" w:styleId="yPenstart">
    <w:name w:val="yPenstart"/>
    <w:basedOn w:val="Penstart"/>
    <w:rPr>
      <w:sz w:val="22"/>
    </w:rPr>
  </w:style>
  <w:style w:type="paragraph" w:customStyle="1" w:styleId="yPenpara">
    <w:name w:val="yPenpara"/>
    <w:basedOn w:val="Penpara"/>
    <w:rPr>
      <w:sz w:val="22"/>
    </w:rPr>
  </w:style>
  <w:style w:type="paragraph" w:customStyle="1" w:styleId="yPensubpara">
    <w:name w:val="yPensubpara"/>
    <w:basedOn w:val="Pensubpara"/>
    <w:rPr>
      <w:sz w:val="22"/>
    </w:rPr>
  </w:style>
  <w:style w:type="paragraph" w:customStyle="1" w:styleId="yPenitem">
    <w:name w:val="yPenitem"/>
    <w:basedOn w:val="Penitem"/>
    <w:rPr>
      <w:sz w:val="22"/>
    </w:rPr>
  </w:style>
  <w:style w:type="paragraph" w:customStyle="1" w:styleId="zPenpara">
    <w:name w:val="zPenpara"/>
    <w:basedOn w:val="Penpara"/>
    <w:pPr>
      <w:pBdr>
        <w:left w:val="threeDEngrave" w:sz="24" w:space="4" w:color="auto"/>
        <w:right w:val="threeDEmboss" w:sz="24" w:space="4" w:color="auto"/>
      </w:pBdr>
      <w:shd w:val="pct12" w:color="808080" w:fill="FFFFFF"/>
    </w:pPr>
  </w:style>
  <w:style w:type="paragraph" w:customStyle="1" w:styleId="zPensubpara">
    <w:name w:val="zPensubpara"/>
    <w:basedOn w:val="Pensubpara"/>
    <w:pPr>
      <w:pBdr>
        <w:left w:val="threeDEngrave" w:sz="24" w:space="4" w:color="auto"/>
        <w:right w:val="threeDEmboss" w:sz="24" w:space="4" w:color="auto"/>
      </w:pBdr>
      <w:shd w:val="pct12" w:color="808080" w:fill="FFFFFF"/>
    </w:pPr>
  </w:style>
  <w:style w:type="paragraph" w:customStyle="1" w:styleId="zPenitem">
    <w:name w:val="zPenitem"/>
    <w:basedOn w:val="Penitem"/>
    <w:pPr>
      <w:pBdr>
        <w:left w:val="threeDEngrave" w:sz="24" w:space="4" w:color="auto"/>
        <w:right w:val="threeDEmboss" w:sz="24" w:space="4" w:color="auto"/>
      </w:pBdr>
      <w:shd w:val="pct12" w:color="808080" w:fill="FFFFFF"/>
    </w:pPr>
  </w:style>
  <w:style w:type="paragraph" w:customStyle="1" w:styleId="yDefpara">
    <w:name w:val="yDefpara"/>
    <w:basedOn w:val="Defpara"/>
    <w:rPr>
      <w:sz w:val="22"/>
    </w:rPr>
  </w:style>
  <w:style w:type="paragraph" w:customStyle="1" w:styleId="yDefstart">
    <w:name w:val="yDefstart"/>
    <w:basedOn w:val="Defstart"/>
    <w:rPr>
      <w:sz w:val="22"/>
    </w:rPr>
  </w:style>
  <w:style w:type="paragraph" w:customStyle="1" w:styleId="yDefsubpara">
    <w:name w:val="yDefsubpara"/>
    <w:basedOn w:val="Defsubpara"/>
    <w:rPr>
      <w:sz w:val="22"/>
    </w:rPr>
  </w:style>
  <w:style w:type="paragraph" w:customStyle="1" w:styleId="yDefitem">
    <w:name w:val="yDefitem"/>
    <w:basedOn w:val="Defitem"/>
    <w:rPr>
      <w:sz w:val="22"/>
    </w:rPr>
  </w:style>
  <w:style w:type="paragraph" w:customStyle="1" w:styleId="zDefstart">
    <w:name w:val="zDefstart"/>
    <w:basedOn w:val="Normal"/>
    <w:pPr>
      <w:tabs>
        <w:tab w:val="left" w:pos="312"/>
      </w:tabs>
      <w:spacing w:before="80" w:line="260" w:lineRule="atLeast"/>
      <w:ind w:left="1446" w:right="284" w:hanging="312"/>
    </w:pPr>
    <w:rPr>
      <w:snapToGrid w:val="0"/>
      <w:sz w:val="24"/>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sz w:val="24"/>
    </w:rPr>
  </w:style>
  <w:style w:type="paragraph" w:customStyle="1" w:styleId="zDefsubpara">
    <w:name w:val="zDefsubpara"/>
    <w:basedOn w:val="Normal"/>
    <w:pPr>
      <w:keepLines/>
      <w:tabs>
        <w:tab w:val="right" w:pos="2608"/>
        <w:tab w:val="left" w:pos="2892"/>
      </w:tabs>
      <w:spacing w:before="80" w:line="260" w:lineRule="atLeast"/>
      <w:ind w:left="2892" w:right="284" w:hanging="851"/>
    </w:pPr>
    <w:rPr>
      <w:sz w:val="24"/>
    </w:rPr>
  </w:style>
  <w:style w:type="paragraph" w:customStyle="1" w:styleId="zDefitem">
    <w:name w:val="zDefitem"/>
    <w:basedOn w:val="Normal"/>
    <w:pPr>
      <w:tabs>
        <w:tab w:val="right" w:pos="3459"/>
        <w:tab w:val="left" w:pos="3771"/>
      </w:tabs>
      <w:spacing w:before="80" w:line="260" w:lineRule="atLeast"/>
      <w:ind w:left="3686" w:right="284" w:hanging="851"/>
    </w:pPr>
    <w:rPr>
      <w:sz w:val="24"/>
    </w:rPr>
  </w:style>
  <w:style w:type="paragraph" w:customStyle="1" w:styleId="zyDefpara">
    <w:name w:val="zyDefpara"/>
    <w:basedOn w:val="zDefpara"/>
    <w:rPr>
      <w:sz w:val="22"/>
    </w:rPr>
  </w:style>
  <w:style w:type="paragraph" w:customStyle="1" w:styleId="zyDefstart">
    <w:name w:val="zyDefstart"/>
    <w:basedOn w:val="zDefstart"/>
    <w:rPr>
      <w:sz w:val="22"/>
    </w:rPr>
  </w:style>
  <w:style w:type="paragraph" w:customStyle="1" w:styleId="zyDefsubpara">
    <w:name w:val="zyDefsubpara"/>
    <w:basedOn w:val="zDefsubpara"/>
    <w:rPr>
      <w:snapToGrid w:val="0"/>
      <w:sz w:val="22"/>
    </w:rPr>
  </w:style>
  <w:style w:type="paragraph" w:customStyle="1" w:styleId="zyHeading1">
    <w:name w:val="zyHeading 1"/>
    <w:basedOn w:val="zHeading1"/>
    <w:rPr>
      <w:sz w:val="32"/>
    </w:rPr>
  </w:style>
  <w:style w:type="paragraph" w:customStyle="1" w:styleId="zyHeading2">
    <w:name w:val="zyHeading 2"/>
    <w:basedOn w:val="zHeading2"/>
    <w:rPr>
      <w:sz w:val="28"/>
    </w:rPr>
  </w:style>
  <w:style w:type="paragraph" w:customStyle="1" w:styleId="zyHeading3">
    <w:name w:val="zyHeading 3"/>
    <w:basedOn w:val="zHeading3"/>
    <w:rPr>
      <w:sz w:val="24"/>
    </w:rPr>
  </w:style>
  <w:style w:type="paragraph" w:customStyle="1" w:styleId="zyHeading4">
    <w:name w:val="zyHeading 4"/>
    <w:basedOn w:val="zHeading4"/>
    <w:rPr>
      <w:sz w:val="22"/>
    </w:rPr>
  </w:style>
  <w:style w:type="paragraph" w:customStyle="1" w:styleId="zyHeading5">
    <w:name w:val="zyHeading 5"/>
    <w:basedOn w:val="zHeading5"/>
    <w:rPr>
      <w:sz w:val="22"/>
    </w:rPr>
  </w:style>
  <w:style w:type="paragraph" w:customStyle="1" w:styleId="zyIndenta">
    <w:name w:val="zyIndent(a)"/>
    <w:basedOn w:val="zIndenta"/>
    <w:rPr>
      <w:sz w:val="22"/>
    </w:rPr>
  </w:style>
  <w:style w:type="paragraph" w:customStyle="1" w:styleId="zyIndentA0">
    <w:name w:val="zyIndent(A)"/>
    <w:basedOn w:val="zIndentA0"/>
    <w:rPr>
      <w:sz w:val="22"/>
    </w:rPr>
  </w:style>
  <w:style w:type="paragraph" w:customStyle="1" w:styleId="zyIndenti">
    <w:name w:val="zyIndent(i)"/>
    <w:basedOn w:val="zIndenti"/>
    <w:rPr>
      <w:sz w:val="22"/>
    </w:rPr>
  </w:style>
  <w:style w:type="paragraph" w:customStyle="1" w:styleId="zyIndentI0">
    <w:name w:val="zyIndent(I)"/>
    <w:basedOn w:val="zIndentI0"/>
    <w:rPr>
      <w:sz w:val="22"/>
    </w:rPr>
  </w:style>
  <w:style w:type="paragraph" w:customStyle="1" w:styleId="zyPenitem">
    <w:name w:val="zyPenitem"/>
    <w:basedOn w:val="zPenitem"/>
    <w:rPr>
      <w:sz w:val="22"/>
    </w:rPr>
  </w:style>
  <w:style w:type="paragraph" w:customStyle="1" w:styleId="zyPenpara">
    <w:name w:val="zyPenpara"/>
    <w:basedOn w:val="zPenpara"/>
    <w:rPr>
      <w:sz w:val="22"/>
    </w:rPr>
  </w:style>
  <w:style w:type="paragraph" w:customStyle="1" w:styleId="zyPenstart">
    <w:name w:val="zyPenstart"/>
    <w:basedOn w:val="zPenstart"/>
    <w:rPr>
      <w:sz w:val="22"/>
    </w:rPr>
  </w:style>
  <w:style w:type="paragraph" w:customStyle="1" w:styleId="zyPensubpara">
    <w:name w:val="zyPensubpara"/>
    <w:basedOn w:val="zPensubpara"/>
    <w:rPr>
      <w:sz w:val="22"/>
    </w:rPr>
  </w:style>
  <w:style w:type="paragraph" w:customStyle="1" w:styleId="zySubsection">
    <w:name w:val="zySubsection"/>
    <w:basedOn w:val="zSubsection"/>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noProof w:val="0"/>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noProof w:val="0"/>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rPr>
      <w:sz w:val="24"/>
    </w:rPr>
  </w:style>
  <w:style w:type="paragraph" w:styleId="NoteHeading">
    <w:name w:val="Note Heading"/>
    <w:basedOn w:val="Normal"/>
    <w:next w:val="Normal"/>
    <w:rPr>
      <w:sz w:val="24"/>
    </w:rPr>
  </w:style>
  <w:style w:type="paragraph" w:styleId="Salutation">
    <w:name w:val="Salutation"/>
    <w:basedOn w:val="Normal"/>
    <w:next w:val="Normal"/>
    <w:semiHidden/>
    <w:rPr>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rPr>
      <w:sz w:val="24"/>
    </w:rPr>
  </w:style>
  <w:style w:type="paragraph" w:styleId="TableofFigures">
    <w:name w:val="table of figures"/>
    <w:basedOn w:val="Normal"/>
    <w:next w:val="Normal"/>
    <w:semiHidden/>
    <w:pPr>
      <w:ind w:left="440" w:hanging="440"/>
    </w:pPr>
    <w:rPr>
      <w:sz w:val="24"/>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outlineLvl w:val="9"/>
    </w:pPr>
    <w:rPr>
      <w:sz w:val="22"/>
    </w:rPr>
  </w:style>
  <w:style w:type="paragraph" w:customStyle="1" w:styleId="yEdnotepara">
    <w:name w:val="yEdnote(para)"/>
    <w:basedOn w:val="Ednotepara"/>
    <w:rPr>
      <w:sz w:val="22"/>
    </w:rPr>
  </w:style>
  <w:style w:type="paragraph" w:customStyle="1" w:styleId="yEdnotesubpara">
    <w:name w:val="yEdnote(subpara)"/>
    <w:basedOn w:val="Ednotesubpara"/>
    <w:rPr>
      <w:sz w:val="22"/>
    </w:rPr>
  </w:style>
  <w:style w:type="paragraph" w:customStyle="1" w:styleId="yEdnoteitem">
    <w:name w:val="yEdnote(item)"/>
    <w:basedOn w:val="Ednoteitem"/>
    <w:rPr>
      <w:sz w:val="22"/>
    </w:rPr>
  </w:style>
  <w:style w:type="paragraph" w:customStyle="1" w:styleId="yEdnotesubitem">
    <w:name w:val="yEdnote(subitem)"/>
    <w:basedOn w:val="Ednotesubitem"/>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rPr>
      <w:sz w:val="22"/>
    </w:rPr>
  </w:style>
  <w:style w:type="paragraph" w:customStyle="1" w:styleId="nHeading2">
    <w:name w:val="nHeading 2"/>
    <w:basedOn w:val="Heading2"/>
    <w:pPr>
      <w:pageBreakBefore w:val="0"/>
    </w:pPr>
    <w:rPr>
      <w:sz w:val="26"/>
    </w:rPr>
  </w:style>
  <w:style w:type="paragraph" w:customStyle="1" w:styleId="nHeading3">
    <w:name w:val="nHeading 3"/>
    <w:basedOn w:val="Heading3"/>
    <w:rPr>
      <w:sz w:val="22"/>
    </w:rPr>
  </w:style>
  <w:style w:type="paragraph" w:customStyle="1" w:styleId="nHeading4">
    <w:name w:val="nHeading 4"/>
    <w:basedOn w:val="Heading4"/>
    <w:rPr>
      <w:sz w:val="20"/>
    </w:rPr>
  </w:style>
  <w:style w:type="paragraph" w:customStyle="1" w:styleId="nHeading5">
    <w:name w:val="nHeading 5"/>
    <w:basedOn w:val="Heading5"/>
    <w:rPr>
      <w:sz w:val="20"/>
    </w:rPr>
  </w:style>
  <w:style w:type="paragraph" w:customStyle="1" w:styleId="nIndenta">
    <w:name w:val="nIndent(a)"/>
    <w:basedOn w:val="Indenta"/>
    <w:rPr>
      <w:sz w:val="20"/>
    </w:rPr>
  </w:style>
  <w:style w:type="paragraph" w:customStyle="1" w:styleId="nIndenti">
    <w:name w:val="nIndent(i)"/>
    <w:basedOn w:val="Indenti"/>
    <w:rPr>
      <w:sz w:val="20"/>
    </w:rPr>
  </w:style>
  <w:style w:type="paragraph" w:customStyle="1" w:styleId="nSubsection">
    <w:name w:val="nSubsection"/>
    <w:basedOn w:val="Subsection"/>
    <w:pPr>
      <w:tabs>
        <w:tab w:val="clear" w:pos="605"/>
        <w:tab w:val="clear" w:pos="893"/>
        <w:tab w:val="left" w:pos="461"/>
      </w:tabs>
      <w:ind w:left="461" w:hanging="461"/>
    </w:pPr>
    <w:rPr>
      <w:sz w:val="20"/>
    </w:rPr>
  </w:style>
  <w:style w:type="paragraph" w:customStyle="1" w:styleId="nzDefpara">
    <w:name w:val="nzDefpara"/>
    <w:basedOn w:val="zDefpara"/>
    <w:rPr>
      <w:sz w:val="20"/>
    </w:rPr>
  </w:style>
  <w:style w:type="paragraph" w:customStyle="1" w:styleId="nzDefstart">
    <w:name w:val="nzDefstart"/>
    <w:basedOn w:val="zDefstart"/>
    <w:rPr>
      <w:sz w:val="20"/>
    </w:rPr>
  </w:style>
  <w:style w:type="paragraph" w:customStyle="1" w:styleId="nzDefsubpara">
    <w:name w:val="nzDefsubpara"/>
    <w:basedOn w:val="zDefsubpara"/>
    <w:rPr>
      <w:sz w:val="20"/>
    </w:rPr>
  </w:style>
  <w:style w:type="paragraph" w:customStyle="1" w:styleId="MiscOpen">
    <w:name w:val="MiscOpen"/>
    <w:pPr>
      <w:keepNext/>
      <w:keepLines/>
      <w:tabs>
        <w:tab w:val="left" w:pos="893"/>
      </w:tabs>
      <w:spacing w:before="160" w:line="260" w:lineRule="atLeast"/>
    </w:pPr>
    <w:rPr>
      <w:sz w:val="22"/>
    </w:rPr>
  </w:style>
  <w:style w:type="paragraph" w:customStyle="1" w:styleId="Ednotesubsection">
    <w:name w:val="Ednote(subsection)"/>
    <w:basedOn w:val="Ednotesection"/>
    <w:pPr>
      <w:outlineLvl w:val="9"/>
    </w:pPr>
  </w:style>
  <w:style w:type="paragraph" w:customStyle="1" w:styleId="MiscellaneousHeading">
    <w:name w:val="Miscellaneous Heading"/>
    <w:pPr>
      <w:spacing w:before="160" w:line="260" w:lineRule="atLeast"/>
    </w:pPr>
    <w:rPr>
      <w:sz w:val="24"/>
    </w:rPr>
  </w:style>
  <w:style w:type="paragraph" w:customStyle="1" w:styleId="nzHeading2">
    <w:name w:val="nzHeading 2"/>
    <w:basedOn w:val="zHeading2"/>
    <w:rPr>
      <w:sz w:val="26"/>
    </w:rPr>
  </w:style>
  <w:style w:type="paragraph" w:customStyle="1" w:styleId="nzHeading3">
    <w:name w:val="nzHeading 3"/>
    <w:basedOn w:val="zHeading3"/>
    <w:rPr>
      <w:sz w:val="22"/>
    </w:rPr>
  </w:style>
  <w:style w:type="paragraph" w:customStyle="1" w:styleId="nzHeading4">
    <w:name w:val="nzHeading 4"/>
    <w:basedOn w:val="zHeading4"/>
    <w:rPr>
      <w:sz w:val="20"/>
    </w:rPr>
  </w:style>
  <w:style w:type="paragraph" w:customStyle="1" w:styleId="nzHeading5">
    <w:name w:val="nzHeading 5"/>
    <w:basedOn w:val="zHeading5"/>
    <w:rPr>
      <w:sz w:val="20"/>
    </w:rPr>
  </w:style>
  <w:style w:type="paragraph" w:customStyle="1" w:styleId="nzIndenta">
    <w:name w:val="nzIndent(a)"/>
    <w:basedOn w:val="zIndenta"/>
    <w:rPr>
      <w:sz w:val="20"/>
    </w:rPr>
  </w:style>
  <w:style w:type="paragraph" w:customStyle="1" w:styleId="nzIndentA0">
    <w:name w:val="nzIndent(A)"/>
    <w:basedOn w:val="zIndentA0"/>
    <w:rPr>
      <w:sz w:val="20"/>
    </w:rPr>
  </w:style>
  <w:style w:type="paragraph" w:customStyle="1" w:styleId="nzIndenti">
    <w:name w:val="nzIndent(i)"/>
    <w:basedOn w:val="zIndenti"/>
    <w:rPr>
      <w:sz w:val="20"/>
    </w:rPr>
  </w:style>
  <w:style w:type="paragraph" w:customStyle="1" w:styleId="nzIndentI0">
    <w:name w:val="nzIndent(I)"/>
    <w:basedOn w:val="zIndentI0"/>
    <w:rPr>
      <w:sz w:val="20"/>
    </w:rPr>
  </w:style>
  <w:style w:type="paragraph" w:customStyle="1" w:styleId="nzPenpara">
    <w:name w:val="nzPenpara"/>
    <w:basedOn w:val="zPenpara"/>
    <w:rPr>
      <w:sz w:val="20"/>
    </w:rPr>
  </w:style>
  <w:style w:type="paragraph" w:customStyle="1" w:styleId="nzPenstart">
    <w:name w:val="nzPenstart"/>
    <w:basedOn w:val="zPenstart"/>
    <w:rPr>
      <w:sz w:val="20"/>
    </w:rPr>
  </w:style>
  <w:style w:type="paragraph" w:customStyle="1" w:styleId="nzSubsection">
    <w:name w:val="nzSubsection"/>
    <w:basedOn w:val="zSubsection"/>
    <w:rPr>
      <w:sz w:val="20"/>
    </w:rPr>
  </w:style>
  <w:style w:type="paragraph" w:customStyle="1" w:styleId="MiscellaneousBody">
    <w:name w:val="Miscellaneous Body"/>
    <w:basedOn w:val="MiscellaneousHeading"/>
  </w:style>
  <w:style w:type="paragraph" w:customStyle="1" w:styleId="MiscellaneousFootnotes">
    <w:name w:val="Miscellaneous Footnotes"/>
    <w:basedOn w:val="MiscellaneousHeading"/>
  </w:style>
  <w:style w:type="paragraph" w:customStyle="1" w:styleId="yShoulderClause">
    <w:name w:val="yShoulderClause"/>
    <w:next w:val="ySubsection"/>
    <w:pPr>
      <w:spacing w:before="120" w:line="260" w:lineRule="atLeast"/>
      <w:jc w:val="right"/>
    </w:pPr>
    <w:rPr>
      <w:sz w:val="22"/>
    </w:rPr>
  </w:style>
  <w:style w:type="paragraph" w:customStyle="1" w:styleId="yScheduleHeading">
    <w:name w:val="yScheduleHeading"/>
    <w:basedOn w:val="yHeading2"/>
    <w:pPr>
      <w:pageBreakBefore/>
      <w:outlineLvl w:val="1"/>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pPr>
      <w:keepNext/>
      <w:spacing w:before="120" w:after="60"/>
      <w:ind w:left="1985" w:right="1134" w:hanging="567"/>
    </w:pPr>
    <w:rPr>
      <w:rFonts w:ascii="Helvetica" w:hAnsi="Helvetica"/>
      <w:b/>
      <w:noProof/>
      <w:sz w:val="18"/>
    </w:rPr>
  </w:style>
  <w:style w:type="paragraph" w:customStyle="1" w:styleId="yTable">
    <w:name w:val="yTable"/>
    <w:basedOn w:val="Table"/>
    <w:rPr>
      <w:sz w:val="22"/>
    </w:rPr>
  </w:style>
  <w:style w:type="paragraph" w:customStyle="1" w:styleId="nTable">
    <w:name w:val="nTable"/>
    <w:basedOn w:val="Table"/>
    <w:rPr>
      <w:sz w:val="19"/>
    </w:rPr>
  </w:style>
  <w:style w:type="paragraph" w:customStyle="1" w:styleId="nzTable">
    <w:name w:val="nzTable"/>
  </w:style>
  <w:style w:type="paragraph" w:customStyle="1" w:styleId="zMiscellaneousHeading">
    <w:name w:val="zMiscellaneousHeading"/>
    <w:basedOn w:val="zSubsection"/>
  </w:style>
  <w:style w:type="paragraph" w:customStyle="1" w:styleId="zMiscellaneousBody">
    <w:name w:val="zMiscellaneousBody"/>
    <w:basedOn w:val="zSubsection"/>
  </w:style>
  <w:style w:type="character" w:customStyle="1" w:styleId="CharDefText">
    <w:name w:val="CharDefText"/>
    <w:basedOn w:val="DefaultParagraphFont"/>
    <w:rPr>
      <w:b/>
      <w:i/>
      <w:noProof w:val="0"/>
      <w:sz w:val="22"/>
    </w:rPr>
  </w:style>
  <w:style w:type="paragraph" w:customStyle="1" w:styleId="yFootnoteheading">
    <w:name w:val="yFootnote(heading)"/>
    <w:basedOn w:val="Footnoteheading"/>
    <w:rPr>
      <w:sz w:val="22"/>
    </w:rPr>
  </w:style>
  <w:style w:type="paragraph" w:customStyle="1" w:styleId="TableAm">
    <w:name w:val="TableAm"/>
    <w:basedOn w:val="Normal"/>
    <w:pPr>
      <w:spacing w:before="120"/>
    </w:pPr>
    <w:rPr>
      <w:sz w:val="24"/>
    </w:rPr>
  </w:style>
  <w:style w:type="paragraph" w:customStyle="1" w:styleId="TableAmNote">
    <w:name w:val="TableAmNote"/>
    <w:basedOn w:val="Normal"/>
    <w:pPr>
      <w:spacing w:before="60"/>
    </w:pPr>
    <w:rPr>
      <w:rFonts w:ascii="Arial" w:hAnsi="Arial"/>
      <w:sz w:val="18"/>
    </w:rPr>
  </w:style>
  <w:style w:type="paragraph" w:customStyle="1" w:styleId="BlankOpen">
    <w:name w:val="BlankOpen"/>
    <w:basedOn w:val="Normal"/>
    <w:pPr>
      <w:keepNext/>
      <w:keepLines/>
      <w:jc w:val="center"/>
    </w:pPr>
    <w:rPr>
      <w:sz w:val="24"/>
      <w:szCs w:val="24"/>
    </w:rPr>
  </w:style>
  <w:style w:type="paragraph" w:customStyle="1" w:styleId="BlankClose">
    <w:name w:val="BlankClose"/>
    <w:basedOn w:val="Normal"/>
    <w:pPr>
      <w:keepLines/>
      <w:jc w:val="center"/>
    </w:pPr>
    <w:rPr>
      <w:sz w:val="24"/>
      <w:szCs w:val="24"/>
    </w:rPr>
  </w:style>
  <w:style w:type="paragraph" w:customStyle="1" w:styleId="PrincipalActRegPage1">
    <w:name w:val="PrincipalAct_Reg(Page 1)"/>
    <w:pPr>
      <w:spacing w:before="2600"/>
      <w:jc w:val="center"/>
    </w:pPr>
    <w:rPr>
      <w:sz w:val="24"/>
    </w:rPr>
  </w:style>
  <w:style w:type="character" w:customStyle="1" w:styleId="CharSchText">
    <w:name w:val="CharSchText"/>
    <w:rPr>
      <w:noProof w:val="0"/>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39"/>
    <w:lsdException w:name="toc 9" w:uiPriority="0"/>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sz w:val="24"/>
    </w:rPr>
  </w:style>
  <w:style w:type="paragraph" w:styleId="Heading5">
    <w:name w:val="heading 5"/>
    <w:next w:val="Normal"/>
    <w:qFormat/>
    <w:pPr>
      <w:keepNext/>
      <w:keepLines/>
      <w:tabs>
        <w:tab w:val="left" w:pos="893"/>
      </w:tabs>
      <w:spacing w:before="220" w:line="260" w:lineRule="atLeast"/>
      <w:ind w:left="893" w:hanging="893"/>
      <w:outlineLvl w:val="4"/>
    </w:pPr>
    <w:rPr>
      <w:b/>
      <w:sz w:val="24"/>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rPr>
      <w:rFonts w:ascii="Arial" w:hAnsi="Arial"/>
      <w:noProof/>
    </w:rPr>
  </w:style>
  <w:style w:type="paragraph" w:styleId="Header">
    <w:name w:val="header"/>
    <w:rPr>
      <w:rFonts w:ascii="Arial" w:hAnsi="Arial"/>
      <w:noProof/>
      <w:sz w:val="24"/>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noProof w:val="0"/>
      <w:sz w:val="18"/>
    </w:rPr>
  </w:style>
  <w:style w:type="paragraph" w:customStyle="1" w:styleId="zPenstart">
    <w:name w:val="zPenstart"/>
    <w:basedOn w:val="Penstart"/>
    <w:pPr>
      <w:pBdr>
        <w:left w:val="threeDEngrave" w:sz="24" w:space="4" w:color="auto"/>
        <w:right w:val="threeDEmboss" w:sz="24" w:space="4" w:color="auto"/>
      </w:pBdr>
      <w:shd w:val="pct12" w:color="808080" w:fill="FFFFFF"/>
    </w:pPr>
  </w:style>
  <w:style w:type="paragraph" w:customStyle="1" w:styleId="Penstart">
    <w:name w:val="Penstart"/>
    <w:basedOn w:val="Normal"/>
    <w:pPr>
      <w:tabs>
        <w:tab w:val="left" w:pos="893"/>
      </w:tabs>
      <w:spacing w:before="80" w:line="260" w:lineRule="atLeast"/>
      <w:ind w:left="893" w:hanging="893"/>
    </w:pPr>
    <w:rPr>
      <w:sz w:val="24"/>
    </w:rPr>
  </w:style>
  <w:style w:type="paragraph" w:customStyle="1" w:styleId="Preamble">
    <w:name w:val="Preamble"/>
    <w:pPr>
      <w:tabs>
        <w:tab w:val="right" w:pos="605"/>
        <w:tab w:val="left" w:pos="893"/>
      </w:tabs>
      <w:spacing w:before="160" w:line="260" w:lineRule="atLeast"/>
    </w:pPr>
    <w:rPr>
      <w:sz w:val="24"/>
    </w:rPr>
  </w:style>
  <w:style w:type="character" w:styleId="Strong">
    <w:name w:val="Strong"/>
    <w:basedOn w:val="DefaultParagraphFont"/>
    <w:qFormat/>
    <w:rPr>
      <w:b/>
      <w:noProof w:val="0"/>
      <w:sz w:val="24"/>
    </w:rPr>
  </w:style>
  <w:style w:type="paragraph" w:customStyle="1" w:styleId="ySubsection">
    <w:name w:val="ySubsection"/>
    <w:basedOn w:val="Subsection"/>
    <w:rPr>
      <w:sz w:val="22"/>
    </w:rPr>
  </w:style>
  <w:style w:type="paragraph" w:customStyle="1" w:styleId="Subsection">
    <w:name w:val="Subsection"/>
    <w:pPr>
      <w:tabs>
        <w:tab w:val="right" w:pos="605"/>
        <w:tab w:val="left" w:pos="893"/>
      </w:tabs>
      <w:spacing w:before="160" w:line="260" w:lineRule="atLeast"/>
      <w:ind w:left="893" w:hanging="893"/>
    </w:pPr>
    <w:rPr>
      <w:sz w:val="24"/>
    </w:rPr>
  </w:style>
  <w:style w:type="paragraph" w:customStyle="1" w:styleId="Table">
    <w:name w:val="Table"/>
    <w:aliases w:val="t"/>
    <w:basedOn w:val="Normal"/>
    <w:pPr>
      <w:spacing w:before="60" w:line="240" w:lineRule="atLeast"/>
    </w:pPr>
    <w:rPr>
      <w:sz w:val="24"/>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noProof w:val="0"/>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rPr>
      <w:rFonts w:ascii="Tahoma" w:hAnsi="Tahoma"/>
    </w:rPr>
  </w:style>
  <w:style w:type="paragraph" w:customStyle="1" w:styleId="zSubsection">
    <w:name w:val="zSubsection"/>
    <w:basedOn w:val="Subsection"/>
    <w:pPr>
      <w:pBdr>
        <w:left w:val="threeDEngrave" w:sz="24" w:space="4" w:color="auto"/>
        <w:right w:val="threeDEmboss" w:sz="24" w:space="4" w:color="auto"/>
      </w:pBdr>
      <w:shd w:val="pct12" w:color="808080" w:fill="FFFFFF"/>
    </w:pPr>
  </w:style>
  <w:style w:type="character" w:styleId="Hyperlink">
    <w:name w:val="Hyperlink"/>
    <w:basedOn w:val="DefaultParagraphFont"/>
    <w:semiHidden/>
    <w:rPr>
      <w:noProof w:val="0"/>
      <w:color w:val="0000FF"/>
      <w:sz w:val="24"/>
      <w:u w:val="single"/>
    </w:rPr>
  </w:style>
  <w:style w:type="character" w:styleId="FollowedHyperlink">
    <w:name w:val="FollowedHyperlink"/>
    <w:basedOn w:val="DefaultParagraphFont"/>
    <w:semiHidden/>
    <w:rPr>
      <w:noProof w:val="0"/>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pPr>
      <w:spacing w:before="600"/>
    </w:pPr>
    <w:rPr>
      <w:b/>
      <w:sz w:val="24"/>
    </w:rPr>
  </w:style>
  <w:style w:type="paragraph" w:styleId="Signature">
    <w:name w:val="Signature"/>
    <w:basedOn w:val="Normal"/>
    <w:semiHidden/>
    <w:pPr>
      <w:ind w:left="4252"/>
    </w:pPr>
    <w:rPr>
      <w:sz w:val="24"/>
    </w:rPr>
  </w:style>
  <w:style w:type="paragraph" w:styleId="List">
    <w:name w:val="List"/>
    <w:basedOn w:val="Normal"/>
    <w:semiHidden/>
    <w:pPr>
      <w:ind w:left="283" w:hanging="283"/>
    </w:pPr>
  </w:style>
  <w:style w:type="paragraph" w:customStyle="1" w:styleId="Indenta">
    <w:name w:val="Indent(a)"/>
    <w:pPr>
      <w:keepLines/>
      <w:tabs>
        <w:tab w:val="right" w:pos="1325"/>
        <w:tab w:val="left" w:pos="1613"/>
      </w:tabs>
      <w:spacing w:before="80" w:line="260" w:lineRule="atLeast"/>
      <w:ind w:left="1613" w:hanging="1613"/>
    </w:pPr>
    <w:rPr>
      <w:sz w:val="24"/>
    </w:rPr>
  </w:style>
  <w:style w:type="paragraph" w:customStyle="1" w:styleId="IndentA0">
    <w:name w:val="Indent(A)"/>
    <w:pPr>
      <w:keepLines/>
      <w:tabs>
        <w:tab w:val="right" w:pos="2621"/>
        <w:tab w:val="left" w:pos="2909"/>
      </w:tabs>
      <w:spacing w:before="80" w:line="260" w:lineRule="atLeast"/>
      <w:ind w:left="2909" w:hanging="2909"/>
    </w:pPr>
    <w:rPr>
      <w:sz w:val="24"/>
    </w:rPr>
  </w:style>
  <w:style w:type="paragraph" w:customStyle="1" w:styleId="Indenti">
    <w:name w:val="Indent(i)"/>
    <w:pPr>
      <w:tabs>
        <w:tab w:val="right" w:pos="2045"/>
        <w:tab w:val="left" w:pos="2333"/>
      </w:tabs>
      <w:spacing w:before="80" w:line="260" w:lineRule="atLeast"/>
      <w:ind w:left="2333" w:hanging="2333"/>
    </w:pPr>
    <w:rPr>
      <w:sz w:val="24"/>
    </w:rPr>
  </w:style>
  <w:style w:type="paragraph" w:customStyle="1" w:styleId="IndentI0">
    <w:name w:val="Indent(I)"/>
    <w:pPr>
      <w:keepLines/>
      <w:tabs>
        <w:tab w:val="right" w:pos="3197"/>
        <w:tab w:val="left" w:pos="3485"/>
      </w:tabs>
      <w:spacing w:before="80" w:line="260" w:lineRule="atLeast"/>
      <w:ind w:left="3485" w:hanging="3485"/>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160" w:line="260" w:lineRule="atLeast"/>
      <w:ind w:left="2333" w:hanging="2333"/>
    </w:pPr>
    <w:rPr>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spacing w:before="160" w:line="260" w:lineRule="atLeast"/>
      <w:jc w:val="center"/>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before="160"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120" w:line="260" w:lineRule="atLeast"/>
      <w:ind w:left="3053" w:hanging="3053"/>
    </w:pPr>
    <w:rPr>
      <w:sz w:val="24"/>
    </w:rPr>
  </w:style>
  <w:style w:type="paragraph" w:customStyle="1" w:styleId="zHeading1">
    <w:name w:val="zHeading 1"/>
    <w:basedOn w:val="Heading1"/>
    <w:pPr>
      <w:pBdr>
        <w:left w:val="threeDEngrave" w:sz="24" w:space="4" w:color="auto"/>
        <w:right w:val="threeDEmboss" w:sz="24" w:space="4" w:color="auto"/>
      </w:pBdr>
      <w:shd w:val="pct12" w:color="808080" w:fill="FFFFFF"/>
      <w:outlineLvl w:val="9"/>
    </w:pPr>
    <w:rPr>
      <w:sz w:val="36"/>
    </w:rPr>
  </w:style>
  <w:style w:type="paragraph" w:customStyle="1" w:styleId="zHeading2">
    <w:name w:val="zHeading 2"/>
    <w:basedOn w:val="Heading2"/>
    <w:pPr>
      <w:pBdr>
        <w:left w:val="threeDEngrave" w:sz="24" w:space="4" w:color="auto"/>
        <w:right w:val="threeDEmboss" w:sz="24" w:space="4" w:color="auto"/>
      </w:pBdr>
      <w:shd w:val="pct12" w:color="808080" w:fill="FFFFFF"/>
      <w:outlineLvl w:val="9"/>
    </w:pPr>
    <w:rPr>
      <w:sz w:val="32"/>
    </w:rPr>
  </w:style>
  <w:style w:type="paragraph" w:customStyle="1" w:styleId="zHeading3">
    <w:name w:val="zHeading 3"/>
    <w:basedOn w:val="Heading3"/>
    <w:pPr>
      <w:pBdr>
        <w:left w:val="threeDEngrave" w:sz="24" w:space="4" w:color="auto"/>
        <w:right w:val="threeDEmboss" w:sz="24" w:space="4" w:color="auto"/>
      </w:pBdr>
      <w:shd w:val="pct12" w:color="808080" w:fill="FFFFFF"/>
      <w:outlineLvl w:val="9"/>
    </w:pPr>
    <w:rPr>
      <w:sz w:val="28"/>
    </w:rPr>
  </w:style>
  <w:style w:type="paragraph" w:customStyle="1" w:styleId="zHeading4">
    <w:name w:val="zHeading 4"/>
    <w:basedOn w:val="Heading4"/>
    <w:pPr>
      <w:pBdr>
        <w:left w:val="threeDEngrave" w:sz="24" w:space="4" w:color="auto"/>
        <w:right w:val="threeDEmboss" w:sz="24" w:space="4" w:color="auto"/>
      </w:pBdr>
      <w:shd w:val="pct12" w:color="808080" w:fill="FFFFFF"/>
      <w:outlineLvl w:val="9"/>
    </w:pPr>
  </w:style>
  <w:style w:type="paragraph" w:customStyle="1" w:styleId="zHeading5">
    <w:name w:val="zHeading 5"/>
    <w:basedOn w:val="Heading5"/>
    <w:pPr>
      <w:pBdr>
        <w:left w:val="threeDEngrave" w:sz="24" w:space="4" w:color="auto"/>
        <w:right w:val="threeDEmboss" w:sz="24" w:space="4" w:color="auto"/>
      </w:pBdr>
      <w:shd w:val="pct12" w:color="808080" w:fill="FFFFFF"/>
      <w:outlineLvl w:val="9"/>
    </w:pPr>
  </w:style>
  <w:style w:type="paragraph" w:customStyle="1" w:styleId="yHeading2">
    <w:name w:val="yHeading 2"/>
    <w:basedOn w:val="Heading2"/>
    <w:pPr>
      <w:pageBreakBefore w:val="0"/>
      <w:outlineLvl w:val="9"/>
    </w:pPr>
    <w:rPr>
      <w:sz w:val="28"/>
    </w:rPr>
  </w:style>
  <w:style w:type="paragraph" w:customStyle="1" w:styleId="yHeading1">
    <w:name w:val="yHeading 1"/>
    <w:basedOn w:val="Heading1"/>
    <w:rPr>
      <w:sz w:val="32"/>
    </w:rPr>
  </w:style>
  <w:style w:type="paragraph" w:customStyle="1" w:styleId="yHeading3">
    <w:name w:val="yHeading 3"/>
    <w:basedOn w:val="Heading3"/>
    <w:rPr>
      <w:sz w:val="24"/>
    </w:rPr>
  </w:style>
  <w:style w:type="paragraph" w:customStyle="1" w:styleId="yHeading4">
    <w:name w:val="yHeading 4"/>
    <w:basedOn w:val="Heading4"/>
    <w:rPr>
      <w:sz w:val="22"/>
    </w:rPr>
  </w:style>
  <w:style w:type="paragraph" w:customStyle="1" w:styleId="yHeading5">
    <w:name w:val="yHeading 5"/>
    <w:basedOn w:val="Heading5"/>
    <w:rPr>
      <w:sz w:val="22"/>
    </w:rPr>
  </w:style>
  <w:style w:type="paragraph" w:customStyle="1" w:styleId="Ednotesubitem">
    <w:name w:val="Ednote(subitem)"/>
    <w:pPr>
      <w:tabs>
        <w:tab w:val="right" w:pos="3485"/>
        <w:tab w:val="left" w:pos="3773"/>
      </w:tabs>
      <w:spacing w:before="160" w:line="260" w:lineRule="atLeast"/>
      <w:ind w:left="3773" w:hanging="3773"/>
    </w:pPr>
    <w:rPr>
      <w:sz w:val="24"/>
    </w:rPr>
  </w:style>
  <w:style w:type="paragraph" w:customStyle="1" w:styleId="Penpara">
    <w:name w:val="Penpara"/>
    <w:pPr>
      <w:tabs>
        <w:tab w:val="right" w:pos="1325"/>
        <w:tab w:val="left" w:pos="1613"/>
      </w:tabs>
      <w:spacing w:before="80" w:line="260" w:lineRule="atLeast"/>
      <w:ind w:left="1613" w:hanging="1613"/>
    </w:pPr>
    <w:rPr>
      <w:sz w:val="24"/>
    </w:rPr>
  </w:style>
  <w:style w:type="paragraph" w:customStyle="1" w:styleId="Pensubpara">
    <w:name w:val="Pensubpara"/>
    <w:pPr>
      <w:tabs>
        <w:tab w:val="right" w:pos="2045"/>
        <w:tab w:val="left" w:pos="2333"/>
      </w:tabs>
      <w:spacing w:before="160" w:line="260" w:lineRule="atLeast"/>
      <w:ind w:firstLine="2333"/>
    </w:pPr>
    <w:rPr>
      <w:sz w:val="24"/>
    </w:rPr>
  </w:style>
  <w:style w:type="paragraph" w:customStyle="1" w:styleId="Penitem">
    <w:name w:val="Penitem"/>
    <w:pPr>
      <w:tabs>
        <w:tab w:val="right" w:pos="2765"/>
        <w:tab w:val="left" w:pos="3053"/>
      </w:tabs>
      <w:spacing w:before="80" w:line="260" w:lineRule="atLeast"/>
      <w:ind w:left="3053" w:hanging="3053"/>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rPr>
  </w:style>
  <w:style w:type="paragraph" w:customStyle="1" w:styleId="yIndenta">
    <w:name w:val="yIndent(a)"/>
    <w:basedOn w:val="Indenta"/>
    <w:rPr>
      <w:sz w:val="22"/>
    </w:rPr>
  </w:style>
  <w:style w:type="paragraph" w:customStyle="1" w:styleId="yIndentA0">
    <w:name w:val="yIndent(A)"/>
    <w:basedOn w:val="IndentA0"/>
    <w:rPr>
      <w:sz w:val="22"/>
    </w:rPr>
  </w:style>
  <w:style w:type="paragraph" w:customStyle="1" w:styleId="yIndentI">
    <w:name w:val="yIndent(I)"/>
    <w:basedOn w:val="IndentI0"/>
    <w:rPr>
      <w:sz w:val="22"/>
    </w:rPr>
  </w:style>
  <w:style w:type="paragraph" w:customStyle="1" w:styleId="yIndenti0">
    <w:name w:val="yIndent(i)"/>
    <w:basedOn w:val="Indenti"/>
    <w:rPr>
      <w:sz w:val="22"/>
    </w:rPr>
  </w:style>
  <w:style w:type="paragraph" w:customStyle="1" w:styleId="zIndenta">
    <w:name w:val="zIndent(a)"/>
    <w:basedOn w:val="Indenta"/>
    <w:pPr>
      <w:pBdr>
        <w:left w:val="threeDEngrave" w:sz="24" w:space="4" w:color="auto"/>
        <w:right w:val="threeDEmboss" w:sz="24" w:space="4" w:color="auto"/>
      </w:pBdr>
      <w:shd w:val="pct12" w:color="808080" w:fill="FFFFFF"/>
    </w:pPr>
  </w:style>
  <w:style w:type="paragraph" w:customStyle="1" w:styleId="zIndentA0">
    <w:name w:val="zIndent(A)"/>
    <w:basedOn w:val="IndentA0"/>
    <w:pPr>
      <w:pBdr>
        <w:left w:val="threeDEngrave" w:sz="24" w:space="4" w:color="auto"/>
        <w:right w:val="threeDEmboss" w:sz="24" w:space="4" w:color="auto"/>
      </w:pBdr>
      <w:shd w:val="pct12" w:color="808080" w:fill="FFFFFF"/>
    </w:pPr>
  </w:style>
  <w:style w:type="paragraph" w:customStyle="1" w:styleId="zIndenti">
    <w:name w:val="zIndent(i)"/>
    <w:basedOn w:val="Indenti"/>
    <w:pPr>
      <w:pBdr>
        <w:left w:val="threeDEngrave" w:sz="24" w:space="4" w:color="auto"/>
        <w:right w:val="threeDEmboss" w:sz="24" w:space="4" w:color="auto"/>
      </w:pBdr>
      <w:shd w:val="pct12" w:color="808080" w:fill="FFFFFF"/>
    </w:pPr>
  </w:style>
  <w:style w:type="paragraph" w:customStyle="1" w:styleId="zIndentI0">
    <w:name w:val="zIndent(I)"/>
    <w:basedOn w:val="IndentI0"/>
    <w:pPr>
      <w:pBdr>
        <w:left w:val="threeDEngrave" w:sz="24" w:space="4" w:color="auto"/>
        <w:right w:val="threeDEmboss" w:sz="24" w:space="4" w:color="auto"/>
      </w:pBdr>
      <w:shd w:val="pct12" w:color="808080" w:fill="FFFFFF"/>
    </w:pPr>
  </w:style>
  <w:style w:type="paragraph" w:customStyle="1" w:styleId="yPenstart">
    <w:name w:val="yPenstart"/>
    <w:basedOn w:val="Penstart"/>
    <w:rPr>
      <w:sz w:val="22"/>
    </w:rPr>
  </w:style>
  <w:style w:type="paragraph" w:customStyle="1" w:styleId="yPenpara">
    <w:name w:val="yPenpara"/>
    <w:basedOn w:val="Penpara"/>
    <w:rPr>
      <w:sz w:val="22"/>
    </w:rPr>
  </w:style>
  <w:style w:type="paragraph" w:customStyle="1" w:styleId="yPensubpara">
    <w:name w:val="yPensubpara"/>
    <w:basedOn w:val="Pensubpara"/>
    <w:rPr>
      <w:sz w:val="22"/>
    </w:rPr>
  </w:style>
  <w:style w:type="paragraph" w:customStyle="1" w:styleId="yPenitem">
    <w:name w:val="yPenitem"/>
    <w:basedOn w:val="Penitem"/>
    <w:rPr>
      <w:sz w:val="22"/>
    </w:rPr>
  </w:style>
  <w:style w:type="paragraph" w:customStyle="1" w:styleId="zPenpara">
    <w:name w:val="zPenpara"/>
    <w:basedOn w:val="Penpara"/>
    <w:pPr>
      <w:pBdr>
        <w:left w:val="threeDEngrave" w:sz="24" w:space="4" w:color="auto"/>
        <w:right w:val="threeDEmboss" w:sz="24" w:space="4" w:color="auto"/>
      </w:pBdr>
      <w:shd w:val="pct12" w:color="808080" w:fill="FFFFFF"/>
    </w:pPr>
  </w:style>
  <w:style w:type="paragraph" w:customStyle="1" w:styleId="zPensubpara">
    <w:name w:val="zPensubpara"/>
    <w:basedOn w:val="Pensubpara"/>
    <w:pPr>
      <w:pBdr>
        <w:left w:val="threeDEngrave" w:sz="24" w:space="4" w:color="auto"/>
        <w:right w:val="threeDEmboss" w:sz="24" w:space="4" w:color="auto"/>
      </w:pBdr>
      <w:shd w:val="pct12" w:color="808080" w:fill="FFFFFF"/>
    </w:pPr>
  </w:style>
  <w:style w:type="paragraph" w:customStyle="1" w:styleId="zPenitem">
    <w:name w:val="zPenitem"/>
    <w:basedOn w:val="Penitem"/>
    <w:pPr>
      <w:pBdr>
        <w:left w:val="threeDEngrave" w:sz="24" w:space="4" w:color="auto"/>
        <w:right w:val="threeDEmboss" w:sz="24" w:space="4" w:color="auto"/>
      </w:pBdr>
      <w:shd w:val="pct12" w:color="808080" w:fill="FFFFFF"/>
    </w:pPr>
  </w:style>
  <w:style w:type="paragraph" w:customStyle="1" w:styleId="yDefpara">
    <w:name w:val="yDefpara"/>
    <w:basedOn w:val="Defpara"/>
    <w:rPr>
      <w:sz w:val="22"/>
    </w:rPr>
  </w:style>
  <w:style w:type="paragraph" w:customStyle="1" w:styleId="yDefstart">
    <w:name w:val="yDefstart"/>
    <w:basedOn w:val="Defstart"/>
    <w:rPr>
      <w:sz w:val="22"/>
    </w:rPr>
  </w:style>
  <w:style w:type="paragraph" w:customStyle="1" w:styleId="yDefsubpara">
    <w:name w:val="yDefsubpara"/>
    <w:basedOn w:val="Defsubpara"/>
    <w:rPr>
      <w:sz w:val="22"/>
    </w:rPr>
  </w:style>
  <w:style w:type="paragraph" w:customStyle="1" w:styleId="yDefitem">
    <w:name w:val="yDefitem"/>
    <w:basedOn w:val="Defitem"/>
    <w:rPr>
      <w:sz w:val="22"/>
    </w:rPr>
  </w:style>
  <w:style w:type="paragraph" w:customStyle="1" w:styleId="zDefstart">
    <w:name w:val="zDefstart"/>
    <w:basedOn w:val="Normal"/>
    <w:pPr>
      <w:tabs>
        <w:tab w:val="left" w:pos="312"/>
      </w:tabs>
      <w:spacing w:before="80" w:line="260" w:lineRule="atLeast"/>
      <w:ind w:left="1446" w:right="284" w:hanging="312"/>
    </w:pPr>
    <w:rPr>
      <w:snapToGrid w:val="0"/>
      <w:sz w:val="24"/>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sz w:val="24"/>
    </w:rPr>
  </w:style>
  <w:style w:type="paragraph" w:customStyle="1" w:styleId="zDefsubpara">
    <w:name w:val="zDefsubpara"/>
    <w:basedOn w:val="Normal"/>
    <w:pPr>
      <w:keepLines/>
      <w:tabs>
        <w:tab w:val="right" w:pos="2608"/>
        <w:tab w:val="left" w:pos="2892"/>
      </w:tabs>
      <w:spacing w:before="80" w:line="260" w:lineRule="atLeast"/>
      <w:ind w:left="2892" w:right="284" w:hanging="851"/>
    </w:pPr>
    <w:rPr>
      <w:sz w:val="24"/>
    </w:rPr>
  </w:style>
  <w:style w:type="paragraph" w:customStyle="1" w:styleId="zDefitem">
    <w:name w:val="zDefitem"/>
    <w:basedOn w:val="Normal"/>
    <w:pPr>
      <w:tabs>
        <w:tab w:val="right" w:pos="3459"/>
        <w:tab w:val="left" w:pos="3771"/>
      </w:tabs>
      <w:spacing w:before="80" w:line="260" w:lineRule="atLeast"/>
      <w:ind w:left="3686" w:right="284" w:hanging="851"/>
    </w:pPr>
    <w:rPr>
      <w:sz w:val="24"/>
    </w:rPr>
  </w:style>
  <w:style w:type="paragraph" w:customStyle="1" w:styleId="zyDefpara">
    <w:name w:val="zyDefpara"/>
    <w:basedOn w:val="zDefpara"/>
    <w:rPr>
      <w:sz w:val="22"/>
    </w:rPr>
  </w:style>
  <w:style w:type="paragraph" w:customStyle="1" w:styleId="zyDefstart">
    <w:name w:val="zyDefstart"/>
    <w:basedOn w:val="zDefstart"/>
    <w:rPr>
      <w:sz w:val="22"/>
    </w:rPr>
  </w:style>
  <w:style w:type="paragraph" w:customStyle="1" w:styleId="zyDefsubpara">
    <w:name w:val="zyDefsubpara"/>
    <w:basedOn w:val="zDefsubpara"/>
    <w:rPr>
      <w:snapToGrid w:val="0"/>
      <w:sz w:val="22"/>
    </w:rPr>
  </w:style>
  <w:style w:type="paragraph" w:customStyle="1" w:styleId="zyHeading1">
    <w:name w:val="zyHeading 1"/>
    <w:basedOn w:val="zHeading1"/>
    <w:rPr>
      <w:sz w:val="32"/>
    </w:rPr>
  </w:style>
  <w:style w:type="paragraph" w:customStyle="1" w:styleId="zyHeading2">
    <w:name w:val="zyHeading 2"/>
    <w:basedOn w:val="zHeading2"/>
    <w:rPr>
      <w:sz w:val="28"/>
    </w:rPr>
  </w:style>
  <w:style w:type="paragraph" w:customStyle="1" w:styleId="zyHeading3">
    <w:name w:val="zyHeading 3"/>
    <w:basedOn w:val="zHeading3"/>
    <w:rPr>
      <w:sz w:val="24"/>
    </w:rPr>
  </w:style>
  <w:style w:type="paragraph" w:customStyle="1" w:styleId="zyHeading4">
    <w:name w:val="zyHeading 4"/>
    <w:basedOn w:val="zHeading4"/>
    <w:rPr>
      <w:sz w:val="22"/>
    </w:rPr>
  </w:style>
  <w:style w:type="paragraph" w:customStyle="1" w:styleId="zyHeading5">
    <w:name w:val="zyHeading 5"/>
    <w:basedOn w:val="zHeading5"/>
    <w:rPr>
      <w:sz w:val="22"/>
    </w:rPr>
  </w:style>
  <w:style w:type="paragraph" w:customStyle="1" w:styleId="zyIndenta">
    <w:name w:val="zyIndent(a)"/>
    <w:basedOn w:val="zIndenta"/>
    <w:rPr>
      <w:sz w:val="22"/>
    </w:rPr>
  </w:style>
  <w:style w:type="paragraph" w:customStyle="1" w:styleId="zyIndentA0">
    <w:name w:val="zyIndent(A)"/>
    <w:basedOn w:val="zIndentA0"/>
    <w:rPr>
      <w:sz w:val="22"/>
    </w:rPr>
  </w:style>
  <w:style w:type="paragraph" w:customStyle="1" w:styleId="zyIndenti">
    <w:name w:val="zyIndent(i)"/>
    <w:basedOn w:val="zIndenti"/>
    <w:rPr>
      <w:sz w:val="22"/>
    </w:rPr>
  </w:style>
  <w:style w:type="paragraph" w:customStyle="1" w:styleId="zyIndentI0">
    <w:name w:val="zyIndent(I)"/>
    <w:basedOn w:val="zIndentI0"/>
    <w:rPr>
      <w:sz w:val="22"/>
    </w:rPr>
  </w:style>
  <w:style w:type="paragraph" w:customStyle="1" w:styleId="zyPenitem">
    <w:name w:val="zyPenitem"/>
    <w:basedOn w:val="zPenitem"/>
    <w:rPr>
      <w:sz w:val="22"/>
    </w:rPr>
  </w:style>
  <w:style w:type="paragraph" w:customStyle="1" w:styleId="zyPenpara">
    <w:name w:val="zyPenpara"/>
    <w:basedOn w:val="zPenpara"/>
    <w:rPr>
      <w:sz w:val="22"/>
    </w:rPr>
  </w:style>
  <w:style w:type="paragraph" w:customStyle="1" w:styleId="zyPenstart">
    <w:name w:val="zyPenstart"/>
    <w:basedOn w:val="zPenstart"/>
    <w:rPr>
      <w:sz w:val="22"/>
    </w:rPr>
  </w:style>
  <w:style w:type="paragraph" w:customStyle="1" w:styleId="zyPensubpara">
    <w:name w:val="zyPensubpara"/>
    <w:basedOn w:val="zPensubpara"/>
    <w:rPr>
      <w:sz w:val="22"/>
    </w:rPr>
  </w:style>
  <w:style w:type="paragraph" w:customStyle="1" w:styleId="zySubsection">
    <w:name w:val="zySubsection"/>
    <w:basedOn w:val="zSubsection"/>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noProof w:val="0"/>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noProof w:val="0"/>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rPr>
      <w:sz w:val="24"/>
    </w:rPr>
  </w:style>
  <w:style w:type="paragraph" w:styleId="NoteHeading">
    <w:name w:val="Note Heading"/>
    <w:basedOn w:val="Normal"/>
    <w:next w:val="Normal"/>
    <w:rPr>
      <w:sz w:val="24"/>
    </w:rPr>
  </w:style>
  <w:style w:type="paragraph" w:styleId="Salutation">
    <w:name w:val="Salutation"/>
    <w:basedOn w:val="Normal"/>
    <w:next w:val="Normal"/>
    <w:semiHidden/>
    <w:rPr>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rPr>
      <w:sz w:val="24"/>
    </w:rPr>
  </w:style>
  <w:style w:type="paragraph" w:styleId="TableofFigures">
    <w:name w:val="table of figures"/>
    <w:basedOn w:val="Normal"/>
    <w:next w:val="Normal"/>
    <w:semiHidden/>
    <w:pPr>
      <w:ind w:left="440" w:hanging="440"/>
    </w:pPr>
    <w:rPr>
      <w:sz w:val="24"/>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outlineLvl w:val="9"/>
    </w:pPr>
    <w:rPr>
      <w:sz w:val="22"/>
    </w:rPr>
  </w:style>
  <w:style w:type="paragraph" w:customStyle="1" w:styleId="yEdnotepara">
    <w:name w:val="yEdnote(para)"/>
    <w:basedOn w:val="Ednotepara"/>
    <w:rPr>
      <w:sz w:val="22"/>
    </w:rPr>
  </w:style>
  <w:style w:type="paragraph" w:customStyle="1" w:styleId="yEdnotesubpara">
    <w:name w:val="yEdnote(subpara)"/>
    <w:basedOn w:val="Ednotesubpara"/>
    <w:rPr>
      <w:sz w:val="22"/>
    </w:rPr>
  </w:style>
  <w:style w:type="paragraph" w:customStyle="1" w:styleId="yEdnoteitem">
    <w:name w:val="yEdnote(item)"/>
    <w:basedOn w:val="Ednoteitem"/>
    <w:rPr>
      <w:sz w:val="22"/>
    </w:rPr>
  </w:style>
  <w:style w:type="paragraph" w:customStyle="1" w:styleId="yEdnotesubitem">
    <w:name w:val="yEdnote(subitem)"/>
    <w:basedOn w:val="Ednotesubitem"/>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rPr>
      <w:sz w:val="22"/>
    </w:rPr>
  </w:style>
  <w:style w:type="paragraph" w:customStyle="1" w:styleId="nHeading2">
    <w:name w:val="nHeading 2"/>
    <w:basedOn w:val="Heading2"/>
    <w:pPr>
      <w:pageBreakBefore w:val="0"/>
    </w:pPr>
    <w:rPr>
      <w:sz w:val="26"/>
    </w:rPr>
  </w:style>
  <w:style w:type="paragraph" w:customStyle="1" w:styleId="nHeading3">
    <w:name w:val="nHeading 3"/>
    <w:basedOn w:val="Heading3"/>
    <w:rPr>
      <w:sz w:val="22"/>
    </w:rPr>
  </w:style>
  <w:style w:type="paragraph" w:customStyle="1" w:styleId="nHeading4">
    <w:name w:val="nHeading 4"/>
    <w:basedOn w:val="Heading4"/>
    <w:rPr>
      <w:sz w:val="20"/>
    </w:rPr>
  </w:style>
  <w:style w:type="paragraph" w:customStyle="1" w:styleId="nHeading5">
    <w:name w:val="nHeading 5"/>
    <w:basedOn w:val="Heading5"/>
    <w:rPr>
      <w:sz w:val="20"/>
    </w:rPr>
  </w:style>
  <w:style w:type="paragraph" w:customStyle="1" w:styleId="nIndenta">
    <w:name w:val="nIndent(a)"/>
    <w:basedOn w:val="Indenta"/>
    <w:rPr>
      <w:sz w:val="20"/>
    </w:rPr>
  </w:style>
  <w:style w:type="paragraph" w:customStyle="1" w:styleId="nIndenti">
    <w:name w:val="nIndent(i)"/>
    <w:basedOn w:val="Indenti"/>
    <w:rPr>
      <w:sz w:val="20"/>
    </w:rPr>
  </w:style>
  <w:style w:type="paragraph" w:customStyle="1" w:styleId="nSubsection">
    <w:name w:val="nSubsection"/>
    <w:basedOn w:val="Subsection"/>
    <w:pPr>
      <w:tabs>
        <w:tab w:val="clear" w:pos="605"/>
        <w:tab w:val="clear" w:pos="893"/>
        <w:tab w:val="left" w:pos="461"/>
      </w:tabs>
      <w:ind w:left="461" w:hanging="461"/>
    </w:pPr>
    <w:rPr>
      <w:sz w:val="20"/>
    </w:rPr>
  </w:style>
  <w:style w:type="paragraph" w:customStyle="1" w:styleId="nzDefpara">
    <w:name w:val="nzDefpara"/>
    <w:basedOn w:val="zDefpara"/>
    <w:rPr>
      <w:sz w:val="20"/>
    </w:rPr>
  </w:style>
  <w:style w:type="paragraph" w:customStyle="1" w:styleId="nzDefstart">
    <w:name w:val="nzDefstart"/>
    <w:basedOn w:val="zDefstart"/>
    <w:rPr>
      <w:sz w:val="20"/>
    </w:rPr>
  </w:style>
  <w:style w:type="paragraph" w:customStyle="1" w:styleId="nzDefsubpara">
    <w:name w:val="nzDefsubpara"/>
    <w:basedOn w:val="zDefsubpara"/>
    <w:rPr>
      <w:sz w:val="20"/>
    </w:rPr>
  </w:style>
  <w:style w:type="paragraph" w:customStyle="1" w:styleId="MiscOpen">
    <w:name w:val="MiscOpen"/>
    <w:pPr>
      <w:keepNext/>
      <w:keepLines/>
      <w:tabs>
        <w:tab w:val="left" w:pos="893"/>
      </w:tabs>
      <w:spacing w:before="160" w:line="260" w:lineRule="atLeast"/>
    </w:pPr>
    <w:rPr>
      <w:sz w:val="22"/>
    </w:rPr>
  </w:style>
  <w:style w:type="paragraph" w:customStyle="1" w:styleId="Ednotesubsection">
    <w:name w:val="Ednote(subsection)"/>
    <w:basedOn w:val="Ednotesection"/>
    <w:pPr>
      <w:outlineLvl w:val="9"/>
    </w:pPr>
  </w:style>
  <w:style w:type="paragraph" w:customStyle="1" w:styleId="MiscellaneousHeading">
    <w:name w:val="Miscellaneous Heading"/>
    <w:pPr>
      <w:spacing w:before="160" w:line="260" w:lineRule="atLeast"/>
    </w:pPr>
    <w:rPr>
      <w:sz w:val="24"/>
    </w:rPr>
  </w:style>
  <w:style w:type="paragraph" w:customStyle="1" w:styleId="nzHeading2">
    <w:name w:val="nzHeading 2"/>
    <w:basedOn w:val="zHeading2"/>
    <w:rPr>
      <w:sz w:val="26"/>
    </w:rPr>
  </w:style>
  <w:style w:type="paragraph" w:customStyle="1" w:styleId="nzHeading3">
    <w:name w:val="nzHeading 3"/>
    <w:basedOn w:val="zHeading3"/>
    <w:rPr>
      <w:sz w:val="22"/>
    </w:rPr>
  </w:style>
  <w:style w:type="paragraph" w:customStyle="1" w:styleId="nzHeading4">
    <w:name w:val="nzHeading 4"/>
    <w:basedOn w:val="zHeading4"/>
    <w:rPr>
      <w:sz w:val="20"/>
    </w:rPr>
  </w:style>
  <w:style w:type="paragraph" w:customStyle="1" w:styleId="nzHeading5">
    <w:name w:val="nzHeading 5"/>
    <w:basedOn w:val="zHeading5"/>
    <w:rPr>
      <w:sz w:val="20"/>
    </w:rPr>
  </w:style>
  <w:style w:type="paragraph" w:customStyle="1" w:styleId="nzIndenta">
    <w:name w:val="nzIndent(a)"/>
    <w:basedOn w:val="zIndenta"/>
    <w:rPr>
      <w:sz w:val="20"/>
    </w:rPr>
  </w:style>
  <w:style w:type="paragraph" w:customStyle="1" w:styleId="nzIndentA0">
    <w:name w:val="nzIndent(A)"/>
    <w:basedOn w:val="zIndentA0"/>
    <w:rPr>
      <w:sz w:val="20"/>
    </w:rPr>
  </w:style>
  <w:style w:type="paragraph" w:customStyle="1" w:styleId="nzIndenti">
    <w:name w:val="nzIndent(i)"/>
    <w:basedOn w:val="zIndenti"/>
    <w:rPr>
      <w:sz w:val="20"/>
    </w:rPr>
  </w:style>
  <w:style w:type="paragraph" w:customStyle="1" w:styleId="nzIndentI0">
    <w:name w:val="nzIndent(I)"/>
    <w:basedOn w:val="zIndentI0"/>
    <w:rPr>
      <w:sz w:val="20"/>
    </w:rPr>
  </w:style>
  <w:style w:type="paragraph" w:customStyle="1" w:styleId="nzPenpara">
    <w:name w:val="nzPenpara"/>
    <w:basedOn w:val="zPenpara"/>
    <w:rPr>
      <w:sz w:val="20"/>
    </w:rPr>
  </w:style>
  <w:style w:type="paragraph" w:customStyle="1" w:styleId="nzPenstart">
    <w:name w:val="nzPenstart"/>
    <w:basedOn w:val="zPenstart"/>
    <w:rPr>
      <w:sz w:val="20"/>
    </w:rPr>
  </w:style>
  <w:style w:type="paragraph" w:customStyle="1" w:styleId="nzSubsection">
    <w:name w:val="nzSubsection"/>
    <w:basedOn w:val="zSubsection"/>
    <w:rPr>
      <w:sz w:val="20"/>
    </w:rPr>
  </w:style>
  <w:style w:type="paragraph" w:customStyle="1" w:styleId="MiscellaneousBody">
    <w:name w:val="Miscellaneous Body"/>
    <w:basedOn w:val="MiscellaneousHeading"/>
  </w:style>
  <w:style w:type="paragraph" w:customStyle="1" w:styleId="MiscellaneousFootnotes">
    <w:name w:val="Miscellaneous Footnotes"/>
    <w:basedOn w:val="MiscellaneousHeading"/>
  </w:style>
  <w:style w:type="paragraph" w:customStyle="1" w:styleId="yShoulderClause">
    <w:name w:val="yShoulderClause"/>
    <w:next w:val="ySubsection"/>
    <w:pPr>
      <w:spacing w:before="120" w:line="260" w:lineRule="atLeast"/>
      <w:jc w:val="right"/>
    </w:pPr>
    <w:rPr>
      <w:sz w:val="22"/>
    </w:rPr>
  </w:style>
  <w:style w:type="paragraph" w:customStyle="1" w:styleId="yScheduleHeading">
    <w:name w:val="yScheduleHeading"/>
    <w:basedOn w:val="yHeading2"/>
    <w:pPr>
      <w:pageBreakBefore/>
      <w:outlineLvl w:val="1"/>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pPr>
      <w:keepNext/>
      <w:spacing w:before="120" w:after="60"/>
      <w:ind w:left="1985" w:right="1134" w:hanging="567"/>
    </w:pPr>
    <w:rPr>
      <w:rFonts w:ascii="Helvetica" w:hAnsi="Helvetica"/>
      <w:b/>
      <w:noProof/>
      <w:sz w:val="18"/>
    </w:rPr>
  </w:style>
  <w:style w:type="paragraph" w:customStyle="1" w:styleId="yTable">
    <w:name w:val="yTable"/>
    <w:basedOn w:val="Table"/>
    <w:rPr>
      <w:sz w:val="22"/>
    </w:rPr>
  </w:style>
  <w:style w:type="paragraph" w:customStyle="1" w:styleId="nTable">
    <w:name w:val="nTable"/>
    <w:basedOn w:val="Table"/>
    <w:rPr>
      <w:sz w:val="19"/>
    </w:rPr>
  </w:style>
  <w:style w:type="paragraph" w:customStyle="1" w:styleId="nzTable">
    <w:name w:val="nzTable"/>
  </w:style>
  <w:style w:type="paragraph" w:customStyle="1" w:styleId="zMiscellaneousHeading">
    <w:name w:val="zMiscellaneousHeading"/>
    <w:basedOn w:val="zSubsection"/>
  </w:style>
  <w:style w:type="paragraph" w:customStyle="1" w:styleId="zMiscellaneousBody">
    <w:name w:val="zMiscellaneousBody"/>
    <w:basedOn w:val="zSubsection"/>
  </w:style>
  <w:style w:type="character" w:customStyle="1" w:styleId="CharDefText">
    <w:name w:val="CharDefText"/>
    <w:basedOn w:val="DefaultParagraphFont"/>
    <w:rPr>
      <w:b/>
      <w:i/>
      <w:noProof w:val="0"/>
      <w:sz w:val="22"/>
    </w:rPr>
  </w:style>
  <w:style w:type="paragraph" w:customStyle="1" w:styleId="yFootnoteheading">
    <w:name w:val="yFootnote(heading)"/>
    <w:basedOn w:val="Footnoteheading"/>
    <w:rPr>
      <w:sz w:val="22"/>
    </w:rPr>
  </w:style>
  <w:style w:type="paragraph" w:customStyle="1" w:styleId="TableAm">
    <w:name w:val="TableAm"/>
    <w:basedOn w:val="Normal"/>
    <w:pPr>
      <w:spacing w:before="120"/>
    </w:pPr>
    <w:rPr>
      <w:sz w:val="24"/>
    </w:rPr>
  </w:style>
  <w:style w:type="paragraph" w:customStyle="1" w:styleId="TableAmNote">
    <w:name w:val="TableAmNote"/>
    <w:basedOn w:val="Normal"/>
    <w:pPr>
      <w:spacing w:before="60"/>
    </w:pPr>
    <w:rPr>
      <w:rFonts w:ascii="Arial" w:hAnsi="Arial"/>
      <w:sz w:val="18"/>
    </w:rPr>
  </w:style>
  <w:style w:type="paragraph" w:customStyle="1" w:styleId="BlankOpen">
    <w:name w:val="BlankOpen"/>
    <w:basedOn w:val="Normal"/>
    <w:pPr>
      <w:keepNext/>
      <w:keepLines/>
      <w:jc w:val="center"/>
    </w:pPr>
    <w:rPr>
      <w:sz w:val="24"/>
      <w:szCs w:val="24"/>
    </w:rPr>
  </w:style>
  <w:style w:type="paragraph" w:customStyle="1" w:styleId="BlankClose">
    <w:name w:val="BlankClose"/>
    <w:basedOn w:val="Normal"/>
    <w:pPr>
      <w:keepLines/>
      <w:jc w:val="center"/>
    </w:pPr>
    <w:rPr>
      <w:sz w:val="24"/>
      <w:szCs w:val="24"/>
    </w:rPr>
  </w:style>
  <w:style w:type="paragraph" w:customStyle="1" w:styleId="PrincipalActRegPage1">
    <w:name w:val="PrincipalAct_Reg(Page 1)"/>
    <w:pPr>
      <w:spacing w:before="2600"/>
      <w:jc w:val="center"/>
    </w:pPr>
    <w:rPr>
      <w:sz w:val="24"/>
    </w:rPr>
  </w:style>
  <w:style w:type="character" w:customStyle="1" w:styleId="CharSchText">
    <w:name w:val="CharSchText"/>
    <w:rPr>
      <w:noProof w:val="0"/>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770</Words>
  <Characters>3800</Characters>
  <Application>Microsoft Office Word</Application>
  <DocSecurity>0</DocSecurity>
  <Lines>115</Lines>
  <Paragraphs>72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and Wire Netting Act 1926 - 00-a0-13</dc:title>
  <dc:subject/>
  <dc:creator/>
  <cp:keywords/>
  <dc:description/>
  <cp:lastModifiedBy>svcMRProcess</cp:lastModifiedBy>
  <cp:revision>4</cp:revision>
  <cp:lastPrinted>1997-12-20T06:12:00Z</cp:lastPrinted>
  <dcterms:created xsi:type="dcterms:W3CDTF">2019-02-14T09:02:00Z</dcterms:created>
  <dcterms:modified xsi:type="dcterms:W3CDTF">2019-02-14T09:02:00Z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35 of 1926</vt:lpwstr>
  </property>
  <property fmtid="{D5CDD505-2E9C-101B-9397-08002B2CF9AE}" pid="3" name="CommencementDate">
    <vt:lpwstr>19980706</vt:lpwstr>
  </property>
  <property fmtid="{D5CDD505-2E9C-101B-9397-08002B2CF9AE}" pid="4" name="DocumentType">
    <vt:lpwstr>Act</vt:lpwstr>
  </property>
  <property fmtid="{D5CDD505-2E9C-101B-9397-08002B2CF9AE}" pid="5" name="AsAtDate">
    <vt:lpwstr>06 Jul 1998</vt:lpwstr>
  </property>
  <property fmtid="{D5CDD505-2E9C-101B-9397-08002B2CF9AE}" pid="6" name="Suffix">
    <vt:lpwstr>00-a0-13</vt:lpwstr>
  </property>
</Properties>
</file>