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State Agreements Legislation Repeal Act 2013</w:t>
      </w:r>
      <w:r>
        <w:rPr>
          <w:color w:val="000000"/>
          <w:sz w:val="22"/>
          <w:szCs w:val="22"/>
        </w:rPr>
        <w:t xml:space="preserve"> s. 7 (No. 1 of 2013) as at 28 Aug 2013 (see s. 2 and </w:t>
      </w:r>
      <w:r>
        <w:rPr>
          <w:i/>
          <w:iCs/>
          <w:color w:val="000000"/>
          <w:sz w:val="22"/>
          <w:szCs w:val="22"/>
        </w:rPr>
        <w:t>Gazette</w:t>
      </w:r>
      <w:r>
        <w:rPr>
          <w:color w:val="000000"/>
          <w:sz w:val="22"/>
          <w:szCs w:val="22"/>
        </w:rPr>
        <w:t xml:space="preserve"> 27 Aug 2013 p. 4051).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_Toc425855342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_Toc425855343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_Toc425855344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Approval of supplemental agreement</w:t>
      </w:r>
      <w:r>
        <w:tab/>
      </w:r>
      <w:r>
        <w:fldChar w:fldCharType="begin"/>
      </w:r>
      <w:r>
        <w:instrText xml:space="preserve"> PAGEREF _Toc425855345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Approval of second supplemental agreement</w:t>
      </w:r>
      <w:r>
        <w:tab/>
      </w:r>
      <w:r>
        <w:fldChar w:fldCharType="begin"/>
      </w:r>
      <w:r>
        <w:instrText xml:space="preserve"> PAGEREF _Toc425855346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First Schedule — Nickel Refinery (Western Mining Corporation Limited) Agreement</w:t>
      </w:r>
    </w:p>
    <w:p>
      <w:pPr>
        <w:pStyle w:val="TOC2"/>
        <w:tabs>
          <w:tab w:val="right" w:leader="dot" w:pos="7077"/>
        </w:tabs>
        <w:rPr>
          <w:rFonts w:asciiTheme="minorHAnsi" w:eastAsiaTheme="minorEastAsia" w:hAnsiTheme="minorHAnsi" w:cstheme="minorBidi"/>
          <w:b w:val="0"/>
          <w:sz w:val="22"/>
          <w:szCs w:val="22"/>
        </w:rPr>
      </w:pPr>
      <w:r>
        <w:t>Second Schedule — Supplemental agreement</w:t>
      </w:r>
    </w:p>
    <w:p>
      <w:pPr>
        <w:pStyle w:val="TOC2"/>
        <w:tabs>
          <w:tab w:val="right" w:leader="dot" w:pos="7077"/>
        </w:tabs>
        <w:rPr>
          <w:rFonts w:asciiTheme="minorHAnsi" w:eastAsiaTheme="minorEastAsia" w:hAnsiTheme="minorHAnsi" w:cstheme="minorBidi"/>
          <w:b w:val="0"/>
          <w:sz w:val="22"/>
          <w:szCs w:val="22"/>
        </w:rPr>
      </w:pPr>
      <w:r>
        <w:t>Third Schedule — Second supplemental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_Toc425855351 \h </w:instrText>
      </w:r>
      <w:r>
        <w:fldChar w:fldCharType="separate"/>
      </w:r>
      <w:r>
        <w:t>76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Nickel Refinery (Western Mining Corporation Limited) Agreement Act 1968 </w:t>
      </w:r>
    </w:p>
    <w:p>
      <w:pPr>
        <w:pStyle w:val="LongTitle"/>
        <w:rPr>
          <w:snapToGrid w:val="0"/>
        </w:rPr>
      </w:pPr>
      <w:r>
        <w:rPr>
          <w:snapToGrid w:val="0"/>
        </w:rPr>
        <w:t xml:space="preserve">An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3" w:name="_Toc425855342"/>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25855343"/>
      <w:r>
        <w:rPr>
          <w:rStyle w:val="CharSectno"/>
        </w:rPr>
        <w:t>2</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5" w:name="_Toc425855344"/>
      <w:r>
        <w:rPr>
          <w:rStyle w:val="CharSectno"/>
        </w:rPr>
        <w:t>3</w:t>
      </w:r>
      <w:r>
        <w:rPr>
          <w:snapToGrid w:val="0"/>
        </w:rPr>
        <w:t>.</w:t>
      </w:r>
      <w:r>
        <w:rPr>
          <w:snapToGrid w:val="0"/>
        </w:rPr>
        <w:tab/>
        <w:t>Approval of agreement</w:t>
      </w:r>
      <w:bookmarkEnd w:id="5"/>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6" w:name="_Toc425855345"/>
      <w:r>
        <w:rPr>
          <w:rStyle w:val="CharSectno"/>
        </w:rPr>
        <w:t>3A</w:t>
      </w:r>
      <w:r>
        <w:rPr>
          <w:snapToGrid w:val="0"/>
        </w:rPr>
        <w:t>.</w:t>
      </w:r>
      <w:r>
        <w:rPr>
          <w:snapToGrid w:val="0"/>
        </w:rPr>
        <w:tab/>
        <w:t>Approval of supplemental agreement</w:t>
      </w:r>
      <w:bookmarkEnd w:id="6"/>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7" w:name="_Toc425855346"/>
      <w:r>
        <w:rPr>
          <w:rStyle w:val="CharSectno"/>
        </w:rPr>
        <w:t>3B</w:t>
      </w:r>
      <w:r>
        <w:rPr>
          <w:snapToGrid w:val="0"/>
        </w:rPr>
        <w:t>.</w:t>
      </w:r>
      <w:r>
        <w:rPr>
          <w:snapToGrid w:val="0"/>
        </w:rPr>
        <w:tab/>
        <w:t>Approval of second supplemental agreement</w:t>
      </w:r>
      <w:bookmarkEnd w:id="7"/>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Ednoteschedule"/>
      </w:pPr>
      <w:r>
        <w:t>[Heading deleted by No. 19 of 2010 s. 42(2).]</w:t>
      </w:r>
    </w:p>
    <w:p>
      <w:pPr>
        <w:pStyle w:val="yScheduleHeading"/>
        <w:pageBreakBefore w:val="0"/>
      </w:pPr>
      <w:bookmarkStart w:id="8" w:name="_Toc425855347"/>
      <w:r>
        <w:rPr>
          <w:rStyle w:val="CharSchNo"/>
        </w:rPr>
        <w:t>First Schedule</w:t>
      </w:r>
      <w:r>
        <w:t xml:space="preserve"> — </w:t>
      </w:r>
      <w:r>
        <w:rPr>
          <w:rStyle w:val="CharSchText"/>
        </w:rPr>
        <w:t>Nickel Refinery (Western Mining Corporation Limited) Agreement</w:t>
      </w:r>
      <w:bookmarkEnd w:id="8"/>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5pt" o:ole="" fillcolor="window">
            <v:imagedata r:id="rId25" o:title=""/>
          </v:shape>
          <o:OLEObject Type="Embed" ProgID="Equation.3" ShapeID="_x0000_i1025" DrawAspect="Content" ObjectID="_1643474122" r:id="rId26"/>
        </w:obje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object w:dxaOrig="1960" w:dyaOrig="620">
          <v:shape id="_x0000_i1026" type="#_x0000_t75" style="width:98.25pt;height:31.5pt" o:ole="" fillcolor="window">
            <v:imagedata r:id="rId27" o:title=""/>
          </v:shape>
          <o:OLEObject Type="Embed" ProgID="Equation.3" ShapeID="_x0000_i1026" DrawAspect="Content" ObjectID="_1643474123" r:id="rId28"/>
        </w:obje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rPr>
              <w:drawing>
                <wp:inline distT="0" distB="0" distL="0" distR="0">
                  <wp:extent cx="111125" cy="6362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rPr>
              <w:drawing>
                <wp:inline distT="0" distB="0" distL="0" distR="0">
                  <wp:extent cx="111125" cy="6362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9" w:name="_Toc425855348"/>
      <w:r>
        <w:rPr>
          <w:rStyle w:val="CharSchNo"/>
        </w:rPr>
        <w:t>Second Schedule</w:t>
      </w:r>
      <w:r>
        <w:t xml:space="preserve"> — </w:t>
      </w:r>
      <w:r>
        <w:rPr>
          <w:rStyle w:val="CharSchText"/>
        </w:rPr>
        <w:t>Supplemental agreement</w:t>
      </w:r>
      <w:bookmarkEnd w:id="9"/>
    </w:p>
    <w:p>
      <w:pPr>
        <w:pStyle w:val="yShoulderClause"/>
        <w:rPr>
          <w:snapToGrid w:val="0"/>
        </w:rPr>
      </w:pPr>
      <w:r>
        <w:rPr>
          <w:snapToGrid w:val="0"/>
        </w:rPr>
        <w:t>[s. 2]</w:t>
      </w:r>
    </w:p>
    <w:p>
      <w:pPr>
        <w:pStyle w:val="yFootnotesection"/>
      </w:pPr>
      <w:r>
        <w:tab/>
        <w:t>[Heading amended by No. 19 of 2010 s. 4.]</w:t>
      </w:r>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object w:dxaOrig="5860" w:dyaOrig="660">
          <v:shape id="_x0000_i1027" type="#_x0000_t75" style="width:293.25pt;height:33pt" o:ole="" fillcolor="window">
            <v:imagedata r:id="rId31" o:title=""/>
          </v:shape>
          <o:OLEObject Type="Embed" ProgID="Equation.3" ShapeID="_x0000_i1027" DrawAspect="Content" ObjectID="_1643474124" r:id="rId32"/>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rPr>
              <w:drawing>
                <wp:inline distT="0" distB="0" distL="0" distR="0">
                  <wp:extent cx="111125" cy="63627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rPr>
              <w:drawing>
                <wp:inline distT="0" distB="0" distL="0" distR="0">
                  <wp:extent cx="111125" cy="6362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10" w:name="_Toc425855349"/>
      <w:r>
        <w:rPr>
          <w:rStyle w:val="CharSchNo"/>
        </w:rPr>
        <w:t>Third Schedule</w:t>
      </w:r>
      <w:r>
        <w:t xml:space="preserve"> — </w:t>
      </w:r>
      <w:r>
        <w:rPr>
          <w:rStyle w:val="CharSchText"/>
        </w:rPr>
        <w:t>Second supplemental agreement</w:t>
      </w:r>
      <w:bookmarkEnd w:id="10"/>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rPr>
              <w:drawing>
                <wp:inline distT="0" distB="0" distL="0" distR="0">
                  <wp:extent cx="111125" cy="6362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rPr>
              <w:drawing>
                <wp:inline distT="0" distB="0" distL="0" distR="0">
                  <wp:extent cx="111125" cy="6362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35"/>
          <w:headerReference w:type="default" r:id="rId36"/>
          <w:headerReference w:type="first" r:id="rId37"/>
          <w:pgSz w:w="11907" w:h="16840" w:code="9"/>
          <w:pgMar w:top="2376" w:right="2405" w:bottom="3542" w:left="2405" w:header="706" w:footer="3380" w:gutter="0"/>
          <w:cols w:space="720"/>
          <w:noEndnote/>
          <w:docGrid w:linePitch="326"/>
        </w:sectPr>
      </w:pPr>
    </w:p>
    <w:p>
      <w:pPr>
        <w:pStyle w:val="nHeading2"/>
      </w:pPr>
      <w:bookmarkStart w:id="12" w:name="_Toc425855350"/>
      <w:r>
        <w:t>Notes</w:t>
      </w:r>
      <w:bookmarkEnd w:id="12"/>
    </w:p>
    <w:p>
      <w:pPr>
        <w:pStyle w:val="nSubsection"/>
        <w:rPr>
          <w:snapToGrid w:val="0"/>
        </w:rPr>
      </w:pPr>
      <w:r>
        <w:rPr>
          <w:snapToGrid w:val="0"/>
          <w:vertAlign w:val="superscript"/>
        </w:rPr>
        <w:t>1.</w:t>
      </w:r>
      <w:r>
        <w:rPr>
          <w:snapToGrid w:val="0"/>
        </w:rPr>
        <w:tab/>
        <w:t xml:space="preserve">This is a compilation of the </w:t>
      </w:r>
      <w:r>
        <w:rPr>
          <w:i/>
          <w:snapToGrid w:val="0"/>
        </w:rPr>
        <w:t>Nickel Refinery (Western Mining Corporation Limited) Agreement Act 1968</w:t>
      </w:r>
      <w:r>
        <w:rPr>
          <w:snapToGrid w:val="0"/>
        </w:rPr>
        <w:t xml:space="preserve"> and includes the amendments made by the other written laws referred to in the following table. </w:t>
      </w:r>
    </w:p>
    <w:p>
      <w:pPr>
        <w:pStyle w:val="nHeading3"/>
        <w:rPr>
          <w:snapToGrid w:val="0"/>
        </w:rPr>
      </w:pPr>
      <w:bookmarkStart w:id="13" w:name="_Toc425855351"/>
      <w:r>
        <w:rPr>
          <w:snapToGrid w:val="0"/>
        </w:rPr>
        <w:t>Compilation table</w:t>
      </w:r>
      <w:bookmarkEnd w:id="13"/>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8" w:type="dxa"/>
            <w:tcBorders>
              <w:top w:val="single" w:sz="8" w:space="0" w:color="auto"/>
              <w:bottom w:val="single" w:sz="8" w:space="0" w:color="auto"/>
            </w:tcBorders>
          </w:tcPr>
          <w:p>
            <w:pPr>
              <w:pStyle w:val="nTable"/>
              <w:spacing w:after="4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0" w:type="dxa"/>
            <w:gridSpan w:val="2"/>
            <w:tcBorders>
              <w:top w:val="single" w:sz="8" w:space="0" w:color="auto"/>
              <w:bottom w:val="single" w:sz="8" w:space="0" w:color="auto"/>
            </w:tcBorders>
          </w:tcPr>
          <w:p>
            <w:pPr>
              <w:pStyle w:val="nTable"/>
              <w:spacing w:after="40"/>
              <w:rPr>
                <w:b/>
              </w:rPr>
            </w:pPr>
            <w:r>
              <w:rPr>
                <w:b/>
              </w:rPr>
              <w:t>Commencement</w:t>
            </w:r>
          </w:p>
        </w:tc>
      </w:tr>
      <w:tr>
        <w:tc>
          <w:tcPr>
            <w:tcW w:w="2278" w:type="dxa"/>
          </w:tcPr>
          <w:p>
            <w:pPr>
              <w:pStyle w:val="nTable"/>
              <w:spacing w:after="40"/>
            </w:pPr>
            <w:r>
              <w:rPr>
                <w:i/>
              </w:rPr>
              <w:t>Nickel Refinery (Western Mining Corporation Limited) Agreement Act 1968</w:t>
            </w:r>
          </w:p>
        </w:tc>
        <w:tc>
          <w:tcPr>
            <w:tcW w:w="1139" w:type="dxa"/>
          </w:tcPr>
          <w:p>
            <w:pPr>
              <w:pStyle w:val="nTable"/>
              <w:spacing w:after="40"/>
            </w:pPr>
            <w:r>
              <w:t>24 of 1968</w:t>
            </w:r>
          </w:p>
        </w:tc>
        <w:tc>
          <w:tcPr>
            <w:tcW w:w="1136" w:type="dxa"/>
          </w:tcPr>
          <w:p>
            <w:pPr>
              <w:pStyle w:val="nTable"/>
              <w:spacing w:after="40"/>
            </w:pPr>
            <w:r>
              <w:t>25 Oct 1968</w:t>
            </w:r>
          </w:p>
        </w:tc>
        <w:tc>
          <w:tcPr>
            <w:tcW w:w="2570" w:type="dxa"/>
            <w:gridSpan w:val="2"/>
          </w:tcPr>
          <w:p>
            <w:pPr>
              <w:pStyle w:val="nTable"/>
              <w:spacing w:after="40"/>
            </w:pPr>
            <w:r>
              <w:t>25 Oct 1968</w:t>
            </w:r>
          </w:p>
        </w:tc>
      </w:tr>
      <w:tr>
        <w:tc>
          <w:tcPr>
            <w:tcW w:w="2278" w:type="dxa"/>
          </w:tcPr>
          <w:p>
            <w:pPr>
              <w:pStyle w:val="nTable"/>
              <w:spacing w:after="40"/>
              <w:rPr>
                <w:i/>
                <w:iCs/>
              </w:rPr>
            </w:pPr>
            <w:r>
              <w:rPr>
                <w:i/>
                <w:iCs/>
              </w:rPr>
              <w:t>Nickel Refinery (Western Mining Corporation Limited)Agreement Act Amendment Act 1970</w:t>
            </w:r>
          </w:p>
        </w:tc>
        <w:tc>
          <w:tcPr>
            <w:tcW w:w="1139" w:type="dxa"/>
          </w:tcPr>
          <w:p>
            <w:pPr>
              <w:pStyle w:val="nTable"/>
              <w:spacing w:after="40"/>
            </w:pPr>
            <w:r>
              <w:t>76 of 1970</w:t>
            </w:r>
          </w:p>
        </w:tc>
        <w:tc>
          <w:tcPr>
            <w:tcW w:w="1136" w:type="dxa"/>
          </w:tcPr>
          <w:p>
            <w:pPr>
              <w:pStyle w:val="nTable"/>
              <w:spacing w:after="40"/>
            </w:pPr>
            <w:r>
              <w:t>18 Nov 1970</w:t>
            </w:r>
          </w:p>
        </w:tc>
        <w:tc>
          <w:tcPr>
            <w:tcW w:w="2570" w:type="dxa"/>
            <w:gridSpan w:val="2"/>
          </w:tcPr>
          <w:p>
            <w:pPr>
              <w:pStyle w:val="nTable"/>
              <w:spacing w:after="40"/>
            </w:pPr>
            <w:r>
              <w:t>18 Nov 1970</w:t>
            </w:r>
          </w:p>
        </w:tc>
      </w:tr>
      <w:tr>
        <w:tc>
          <w:tcPr>
            <w:tcW w:w="2278" w:type="dxa"/>
          </w:tcPr>
          <w:p>
            <w:pPr>
              <w:pStyle w:val="nTable"/>
              <w:spacing w:after="40"/>
              <w:rPr>
                <w:i/>
                <w:iCs/>
              </w:rPr>
            </w:pPr>
            <w:r>
              <w:rPr>
                <w:i/>
                <w:iCs/>
              </w:rPr>
              <w:t>Nickel Refinery (Western Mining Corporation Limited) Agreement Act Amendment Act 1974</w:t>
            </w:r>
          </w:p>
        </w:tc>
        <w:tc>
          <w:tcPr>
            <w:tcW w:w="1139" w:type="dxa"/>
          </w:tcPr>
          <w:p>
            <w:pPr>
              <w:pStyle w:val="nTable"/>
              <w:spacing w:after="40"/>
            </w:pPr>
            <w:r>
              <w:t>16 of 1974</w:t>
            </w:r>
          </w:p>
        </w:tc>
        <w:tc>
          <w:tcPr>
            <w:tcW w:w="1136" w:type="dxa"/>
          </w:tcPr>
          <w:p>
            <w:pPr>
              <w:pStyle w:val="nTable"/>
              <w:spacing w:after="40"/>
            </w:pPr>
            <w:r>
              <w:t>16 Oct 1974</w:t>
            </w:r>
          </w:p>
        </w:tc>
        <w:tc>
          <w:tcPr>
            <w:tcW w:w="2570" w:type="dxa"/>
            <w:gridSpan w:val="2"/>
          </w:tcPr>
          <w:p>
            <w:pPr>
              <w:pStyle w:val="nTable"/>
              <w:spacing w:after="40"/>
            </w:pPr>
            <w:r>
              <w:t>16 Oct 1974</w:t>
            </w:r>
          </w:p>
        </w:tc>
      </w:tr>
      <w:tr>
        <w:trPr>
          <w:gridAfter w:val="1"/>
          <w:wAfter w:w="16" w:type="dxa"/>
          <w:cantSplit/>
        </w:trPr>
        <w:tc>
          <w:tcPr>
            <w:tcW w:w="227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9"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4"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After w:val="1"/>
          <w:wAfter w:w="16" w:type="dxa"/>
          <w:cantSplit/>
        </w:trPr>
        <w:tc>
          <w:tcPr>
            <w:tcW w:w="7107" w:type="dxa"/>
            <w:gridSpan w:val="4"/>
            <w:tcBorders>
              <w:bottom w:val="single" w:sz="4" w:space="0" w:color="auto"/>
            </w:tcBorders>
          </w:tcPr>
          <w:p>
            <w:pPr>
              <w:pStyle w:val="nTable"/>
              <w:spacing w:after="40"/>
              <w:rPr>
                <w:snapToGrid w:val="0"/>
              </w:rPr>
            </w:pPr>
            <w:r>
              <w:rPr>
                <w:b/>
                <w:snapToGrid w:val="0"/>
                <w:color w:val="FF0000"/>
              </w:rPr>
              <w:t xml:space="preserve">This Act was repealed by the </w:t>
            </w:r>
            <w:r>
              <w:rPr>
                <w:b/>
                <w:i/>
                <w:snapToGrid w:val="0"/>
                <w:color w:val="FF0000"/>
              </w:rPr>
              <w:t>State Agreements Legislation Repeal Act 2013</w:t>
            </w:r>
            <w:r>
              <w:rPr>
                <w:b/>
                <w:snapToGrid w:val="0"/>
                <w:color w:val="FF0000"/>
              </w:rPr>
              <w:t xml:space="preserve"> s. 7 (No. 1 of 2013) as at 28 Aug 2013 (see s. 2 and </w:t>
            </w:r>
            <w:r>
              <w:rPr>
                <w:b/>
                <w:i/>
                <w:snapToGrid w:val="0"/>
                <w:color w:val="FF0000"/>
              </w:rPr>
              <w:t>Gazette</w:t>
            </w:r>
            <w:r>
              <w:rPr>
                <w:b/>
                <w:snapToGrid w:val="0"/>
                <w:color w:val="FF0000"/>
              </w:rPr>
              <w:t xml:space="preserve"> 27 Aug 2013 p. 4051)</w:t>
            </w:r>
          </w:p>
        </w:tc>
      </w:tr>
    </w:tbl>
    <w:p/>
    <w:p>
      <w:pPr>
        <w:sectPr>
          <w:headerReference w:type="even" r:id="rId38"/>
          <w:headerReference w:type="default" r:id="rId39"/>
          <w:headerReference w:type="first" r:id="rId40"/>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second supplemental agreement</w:t>
      </w:r>
      <w:r>
        <w:tab/>
        <w:t>2</w:t>
      </w:r>
    </w:p>
    <w:p>
      <w:pPr>
        <w:pStyle w:val="DefinedTerms"/>
      </w:pPr>
      <w:r>
        <w:t>the supplemental agreement</w:t>
      </w:r>
      <w:r>
        <w:tab/>
        <w:t>2</w:t>
      </w:r>
    </w:p>
    <w:p>
      <w:pPr>
        <w:pStyle w:val="DefinedTerms"/>
        <w:sectPr>
          <w:headerReference w:type="even" r:id="rId41"/>
          <w:headerReference w:type="default" r:id="rId42"/>
          <w:pgSz w:w="11907" w:h="16840" w:code="9"/>
          <w:pgMar w:top="2381" w:right="2409" w:bottom="3543" w:left="2409" w:header="720" w:footer="3380" w:gutter="0"/>
          <w:cols w:space="720"/>
          <w:noEndnote/>
          <w:docGrid w:linePitch="326"/>
        </w:sectPr>
      </w:pPr>
    </w:p>
    <w:p/>
    <w:sectPr>
      <w:headerReference w:type="even" r:id="rId43"/>
      <w:headerReference w:type="default" r:id="rId44"/>
      <w:footerReference w:type="even" r:id="rId45"/>
      <w:footerReference w:type="default" r:id="rId46"/>
      <w:headerReference w:type="first" r:id="rId47"/>
      <w:footerReference w:type="first" r:id="rId4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28 Aug 2013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00-f0-04</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77</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872" w:type="dxa"/>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232" w:type="dxa"/>
          <w:vAlign w:val="bottom"/>
        </w:tcPr>
        <w:p>
          <w:pPr>
            <w:pStyle w:val="Header"/>
            <w:spacing w:before="40"/>
            <w:jc w:val="right"/>
          </w:pPr>
          <w:r>
            <w:fldChar w:fldCharType="begin"/>
          </w:r>
          <w:r>
            <w:instrText xml:space="preserve"> styleref CharSchText </w:instrText>
          </w:r>
          <w:r>
            <w:fldChar w:fldCharType="end"/>
          </w:r>
        </w:p>
      </w:tc>
      <w:tc>
        <w:tcPr>
          <w:tcW w:w="2031"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11" w:name="Schedule"/>
    <w:bookmarkEnd w:id="1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 w:name="Compilation"/>
    <w:bookmarkEnd w:id="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5" w:name="DefinedTerms"/>
    <w:bookmarkEnd w:id="1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 w:name="Coversheet"/>
    <w:bookmarkEnd w:id="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Nickel Refinery (Western Mining Corporation Limited) Agreement Act 1968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lvlText w:val="%1."/>
      <w:lvlJc w:val="left"/>
      <w:pPr>
        <w:tabs>
          <w:tab w:val="num" w:pos="1800"/>
        </w:tabs>
        <w:ind w:left="1800" w:hanging="360"/>
      </w:pPr>
    </w:lvl>
  </w:abstractNum>
  <w:abstractNum w:abstractNumId="1">
    <w:nsid w:val="FFFFFF7D"/>
    <w:multiLevelType w:val="singleLevel"/>
    <w:tmpl w:val="EC4253A8"/>
    <w:lvl w:ilvl="0">
      <w:start w:val="1"/>
      <w:numFmt w:val="decimal"/>
      <w:lvlText w:val="%1."/>
      <w:lvlJc w:val="left"/>
      <w:pPr>
        <w:tabs>
          <w:tab w:val="num" w:pos="1440"/>
        </w:tabs>
        <w:ind w:left="1440" w:hanging="360"/>
      </w:pPr>
    </w:lvl>
  </w:abstractNum>
  <w:abstractNum w:abstractNumId="2">
    <w:nsid w:val="FFFFFF7E"/>
    <w:multiLevelType w:val="singleLevel"/>
    <w:tmpl w:val="419E9496"/>
    <w:lvl w:ilvl="0">
      <w:start w:val="1"/>
      <w:numFmt w:val="decimal"/>
      <w:lvlText w:val="%1."/>
      <w:lvlJc w:val="left"/>
      <w:pPr>
        <w:tabs>
          <w:tab w:val="num" w:pos="1080"/>
        </w:tabs>
        <w:ind w:left="1080" w:hanging="360"/>
      </w:pPr>
    </w:lvl>
  </w:abstractNum>
  <w:abstractNum w:abstractNumId="3">
    <w:nsid w:val="FFFFFF7F"/>
    <w:multiLevelType w:val="singleLevel"/>
    <w:tmpl w:val="9EFCA194"/>
    <w:lvl w:ilvl="0">
      <w:start w:val="1"/>
      <w:numFmt w:val="decimal"/>
      <w:lvlText w:val="%1."/>
      <w:lvlJc w:val="left"/>
      <w:pPr>
        <w:tabs>
          <w:tab w:val="num" w:pos="720"/>
        </w:tabs>
        <w:ind w:left="720" w:hanging="360"/>
      </w:pPr>
    </w:lvl>
  </w:abstractNum>
  <w:abstractNum w:abstractNumId="4">
    <w:nsid w:val="FFFFFF80"/>
    <w:multiLevelType w:val="singleLevel"/>
    <w:tmpl w:val="A1D60A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lvlText w:val="%1."/>
      <w:lvlJc w:val="left"/>
      <w:pPr>
        <w:tabs>
          <w:tab w:val="num" w:pos="360"/>
        </w:tabs>
        <w:ind w:left="360" w:hanging="360"/>
      </w:pPr>
    </w:lvl>
  </w:abstractNum>
  <w:abstractNum w:abstractNumId="9">
    <w:nsid w:val="FFFFFF89"/>
    <w:multiLevelType w:val="singleLevel"/>
    <w:tmpl w:val="2ED4D6C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110CBA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657"/>
    <w:docVar w:name="WAFER_20140121144038" w:val="RemoveTocBookmarks,RemoveUnusedBookmarks,RemoveLanguageTags,UsedStyles,ResetPageSize,UpdateArrangement"/>
    <w:docVar w:name="WAFER_20140121144038_GUID" w:val="87473f11-03a5-4241-821d-d2ca9eb5b3c6"/>
    <w:docVar w:name="WAFER_20140121153208" w:val="RemoveTocBookmarks,RunningHeaders"/>
    <w:docVar w:name="WAFER_20140121153208_GUID" w:val="19d3e8ad-5be4-4421-a108-91eb3d3e4386"/>
    <w:docVar w:name="WAFER_20150728134423" w:val="ResetPageSize,UpdateArrangement,UpdateNTable"/>
    <w:docVar w:name="WAFER_20150728134423_GUID" w:val="b86e323c-db73-4810-8b1c-27e5a05754a9"/>
    <w:docVar w:name="WAFER_20151116125451" w:val="UpdateStyles,UsedStyles"/>
    <w:docVar w:name="WAFER_20151116125451_GUID" w:val="d05af283-9d5f-425c-a74e-9660dfea745c"/>
    <w:docVar w:name="WAFER_20151130172657" w:val="RemoveTrackChanges"/>
    <w:docVar w:name="WAFER_20151130172657_GUID" w:val="116f6889-04c1-42b3-933b-91946265671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8.wmf"/><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image" Target="media/image7.wmf"/><Relationship Id="rId38" Type="http://schemas.openxmlformats.org/officeDocument/2006/relationships/header" Target="header13.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wmf"/><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oleObject" Target="embeddings/oleObject3.bin"/><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wmf"/><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image" Target="media/image5.wmf"/><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10.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22894</Words>
  <Characters>111270</Characters>
  <Application>Microsoft Office Word</Application>
  <DocSecurity>0</DocSecurity>
  <Lines>2781</Lines>
  <Paragraphs>733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1968 - 00-f0-04</dc:title>
  <dc:subject/>
  <dc:creator/>
  <cp:keywords/>
  <dc:description/>
  <cp:lastModifiedBy>svcMRProcess</cp:lastModifiedBy>
  <cp:revision>4</cp:revision>
  <cp:lastPrinted>1997-12-22T00:14:00Z</cp:lastPrinted>
  <dcterms:created xsi:type="dcterms:W3CDTF">2020-02-17T11:49:00Z</dcterms:created>
  <dcterms:modified xsi:type="dcterms:W3CDTF">2020-02-17T11:49:00Z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20130828</vt:lpwstr>
  </property>
  <property fmtid="{D5CDD505-2E9C-101B-9397-08002B2CF9AE}" pid="4" name="OWLSUId">
    <vt:i4>545</vt:i4>
  </property>
  <property fmtid="{D5CDD505-2E9C-101B-9397-08002B2CF9AE}" pid="5" name="DocumentType">
    <vt:lpwstr>Act</vt:lpwstr>
  </property>
  <property fmtid="{D5CDD505-2E9C-101B-9397-08002B2CF9AE}" pid="6" name="AsAtDate">
    <vt:lpwstr>28 Aug 2013</vt:lpwstr>
  </property>
  <property fmtid="{D5CDD505-2E9C-101B-9397-08002B2CF9AE}" pid="7" name="Suffix">
    <vt:lpwstr>00-f0-04</vt:lpwstr>
  </property>
  <property fmtid="{D5CDD505-2E9C-101B-9397-08002B2CF9AE}" pid="8" name="Status">
    <vt:lpwstr>NIF</vt:lpwstr>
  </property>
</Properties>
</file>