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2336"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(Burswood Island) Agreement Act 1985</w:t>
      </w:r>
      <w:r>
        <w:rPr>
          <w:sz w:val="48"/>
        </w:rPr>
        <w:fldChar w:fldCharType="end"/>
      </w:r>
    </w:p>
    <w:p>
      <w:pPr>
        <w:pStyle w:val="ReprintNo"/>
      </w:pPr>
      <w:r>
        <w:t>Reprint 3:  The Act as at 12 August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3360"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10" name="Group 10"/>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1" name="Group 3"/>
                        <wpg:cNvGrpSpPr/>
                        <wpg:grpSpPr>
                          <a:xfrm>
                            <a:off x="819150" y="88900"/>
                            <a:ext cx="158115" cy="158115"/>
                            <a:chOff x="0" y="0"/>
                            <a:chExt cx="158115" cy="158115"/>
                          </a:xfrm>
                        </wpg:grpSpPr>
                        <wps:wsp>
                          <wps:cNvPr id="12"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3"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4" name="Group 6"/>
                        <wpg:cNvGrpSpPr/>
                        <wpg:grpSpPr>
                          <a:xfrm>
                            <a:off x="1828800" y="88900"/>
                            <a:ext cx="158115" cy="158115"/>
                            <a:chOff x="0" y="0"/>
                            <a:chExt cx="158115" cy="158115"/>
                          </a:xfrm>
                        </wpg:grpSpPr>
                        <wps:wsp>
                          <wps:cNvPr id="15"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6"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7" name="Group 10"/>
                        <wpg:cNvGrpSpPr/>
                        <wpg:grpSpPr>
                          <a:xfrm>
                            <a:off x="3079750" y="120650"/>
                            <a:ext cx="158115" cy="104140"/>
                            <a:chOff x="0" y="0"/>
                            <a:chExt cx="158115" cy="104140"/>
                          </a:xfrm>
                        </wpg:grpSpPr>
                        <wps:wsp>
                          <wps:cNvPr id="18"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9"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0"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1"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3"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4"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43.65pt;margin-top:.3pt;width:314.1pt;height:26.95pt;z-index:251663360;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8zDMMAAADbAAAADwAAAGRycy9kb3ducmV2LnhtbERPS2sCMRC+C/0PYQq9iGZb64OtUdqi&#10;UE/i4+BxTKa7y24m6ybq+u+bguBtPr7nTOetrcSFGl84VvDaT0AQa2cKzhTsd8veBIQPyAYrx6Tg&#10;Rh7ms6fOFFPjrryhyzZkIoawT1FBHkKdSul1ThZ939XEkft1jcUQYZNJ0+A1httKviXJSFosODbk&#10;WNN3Trrcnq2Csnxf7U+7ZLjsHtz6pBfHUn+NlXp5bj8/QARqw0N8d/+YOH8A/7/E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MwzDAAAA2wAAAA8AAAAAAAAAAAAA&#10;AAAAoQIAAGRycy9kb3ducmV2LnhtbFBLBQYAAAAABAAEAPkAAACRAw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QlMMAAADbAAAADwAAAGRycy9kb3ducmV2LnhtbERPS2sCMRC+F/wPYQQvRbNKq7IaRaWC&#10;PRUfB49jMu4uu5msm1S3/94UCr3Nx/ec+bK1lbhT4wvHCoaDBASxdqbgTMHpuO1PQfiAbLByTAp+&#10;yMNy0XmZY2rcg/d0P4RMxBD2KSrIQ6hTKb3OyaIfuJo4clfXWAwRNpk0DT5iuK3kKEnG0mLBsSHH&#10;mjY56fLwbRWU5dvn6XZM3revZ/d10x+XUq8nSvW67WoGIlAb/sV/7p2J88fw+0s8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IkJTDAAAA2wAAAA8AAAAAAAAAAAAA&#10;AAAAoQIAAGRycy9kb3ducmV2LnhtbFBLBQYAAAAABAAEAPkAAACRAwAAAAA=&#10;" strokecolor="#4579b8 [3044]"/>
                </v:group>
                <v:group 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AsIAAADbAAAADwAAAGRycy9kb3ducmV2LnhtbERPTWsCMRC9F/wPYQRvNatY0dUoWmzR&#10;U6l68TZsxt3FzWSbpOvqrzdCobd5vM+ZL1tTiYacLy0rGPQTEMSZ1SXnCo6Hj9cJCB+QNVaWScGN&#10;PCwXnZc5ptpe+ZuafchFDGGfooIihDqV0mcFGfR9WxNH7mydwRChy6V2eI3hppLDJBlLgyXHhgJr&#10;ei8ou+x/jQK9uX821U92MXJ3W2++Rm/o1ielet12NQMRqA3/4j/3Vsf5U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x/As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4pwMAAAADbAAAADwAAAGRycy9kb3ducmV2LnhtbERPy4rCMBTdD/gP4QruxtQiKh1TUUFQ&#10;mY3VmfWluX0wzU1pola/3iwGXB7Oe7nqTSNu1LnasoLJOAJBnFtdc6ngct59LkA4j6yxsUwKHuRg&#10;lQ4+lphoe+cT3TJfihDCLkEFlfdtIqXLKzLoxrYlDlxhO4M+wK6UusN7CDeNjKNoJg3WHBoqbGlb&#10;Uf6XXY2C6Nm4/Bofjpv5vM7i6Y/75eJbqdGwX3+B8NT7t/jfvdcK4rA+fAk/QK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KcDAAAAA2wAAAA8AAAAAAAAAAAAAAAAA&#10;oQIAAGRycy9kb3ducmV2LnhtbFBLBQYAAAAABAAEAPkAAACO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833E30" w:rsidRDefault="00833E3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833E30" w:rsidRDefault="00833E3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MjMUA&#10;AADbAAAADwAAAGRycy9kb3ducmV2LnhtbESPQWvCQBSE74X+h+UJvTUbLUi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wyMxQAAANsAAAAPAAAAAAAAAAAAAAAAAJgCAABkcnMv&#10;ZG93bnJldi54bWxQSwUGAAAAAAQABAD1AAAAigMAAAAA&#10;" fillcolor="white [3201]" strokeweight=".5pt">
                  <v:textbox inset="2mm,1mm,2mm,1mm">
                    <w:txbxContent>
                      <w:p w:rsidR="00833E30" w:rsidRDefault="00833E3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U+MUA&#10;AADbAAAADwAAAGRycy9kb3ducmV2LnhtbESPQWvCQBSE74X+h+UJvTUbpUi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pT4xQAAANsAAAAPAAAAAAAAAAAAAAAAAJgCAABkcnMv&#10;ZG93bnJldi54bWxQSwUGAAAAAAQABAD1AAAAigMAAAAA&#10;" fillcolor="white [3201]" strokeweight=".5pt">
                  <v:textbox inset="2mm,1mm,2mm,1mm">
                    <w:txbxContent>
                      <w:p w:rsidR="00833E30" w:rsidRDefault="00833E3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_Toc456166377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_Toc456166378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_Toc456166379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Certain agreements altering Agreement capable of being scheduled to Act by order</w:t>
      </w:r>
      <w:r>
        <w:tab/>
      </w:r>
      <w:r>
        <w:fldChar w:fldCharType="begin"/>
      </w:r>
      <w:r>
        <w:instrText xml:space="preserve"> PAGEREF _Toc456166380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_Toc456166381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Supplementary Agreement ratified and implementation authorised</w:t>
      </w:r>
      <w:r>
        <w:tab/>
      </w:r>
      <w:r>
        <w:fldChar w:fldCharType="begin"/>
      </w:r>
      <w:r>
        <w:instrText xml:space="preserve"> PAGEREF _Toc456166382 \h </w:instrText>
      </w:r>
      <w:r>
        <w:fldChar w:fldCharType="separate"/>
      </w:r>
      <w:r>
        <w:t>3</w:t>
      </w:r>
      <w:r>
        <w:fldChar w:fldCharType="end"/>
      </w:r>
    </w:p>
    <w:p>
      <w:pPr>
        <w:pStyle w:val="TOC8"/>
        <w:rPr>
          <w:rFonts w:asciiTheme="minorHAnsi" w:eastAsiaTheme="minorEastAsia" w:hAnsiTheme="minorHAnsi" w:cstheme="minorBidi"/>
          <w:szCs w:val="22"/>
        </w:rPr>
      </w:pPr>
      <w:r>
        <w:t>4B</w:t>
      </w:r>
      <w:r>
        <w:rPr>
          <w:snapToGrid w:val="0"/>
        </w:rPr>
        <w:t xml:space="preserve">. </w:t>
      </w:r>
      <w:r>
        <w:rPr>
          <w:snapToGrid w:val="0"/>
        </w:rPr>
        <w:tab/>
        <w:t>Second Supplementary Agreement ratified and implementation authorised</w:t>
      </w:r>
      <w:r>
        <w:tab/>
      </w:r>
      <w:r>
        <w:fldChar w:fldCharType="begin"/>
      </w:r>
      <w:r>
        <w:instrText xml:space="preserve"> PAGEREF _Toc456166383 \h </w:instrText>
      </w:r>
      <w:r>
        <w:fldChar w:fldCharType="separate"/>
      </w:r>
      <w:r>
        <w:t>4</w:t>
      </w:r>
      <w:r>
        <w:fldChar w:fldCharType="end"/>
      </w:r>
    </w:p>
    <w:p>
      <w:pPr>
        <w:pStyle w:val="TOC8"/>
        <w:rPr>
          <w:rFonts w:asciiTheme="minorHAnsi" w:eastAsiaTheme="minorEastAsia" w:hAnsiTheme="minorHAnsi" w:cstheme="minorBidi"/>
          <w:szCs w:val="22"/>
        </w:rPr>
      </w:pPr>
      <w:r>
        <w:t>4C</w:t>
      </w:r>
      <w:r>
        <w:rPr>
          <w:snapToGrid w:val="0"/>
        </w:rPr>
        <w:t xml:space="preserve">. </w:t>
      </w:r>
      <w:r>
        <w:rPr>
          <w:snapToGrid w:val="0"/>
        </w:rPr>
        <w:tab/>
        <w:t>Seventh Supplementary Agreement ratified and implementation authorised</w:t>
      </w:r>
      <w:r>
        <w:tab/>
      </w:r>
      <w:r>
        <w:fldChar w:fldCharType="begin"/>
      </w:r>
      <w:r>
        <w:instrText xml:space="preserve"> PAGEREF _Toc456166384 \h </w:instrText>
      </w:r>
      <w:r>
        <w:fldChar w:fldCharType="separate"/>
      </w:r>
      <w:r>
        <w:t>4</w:t>
      </w:r>
      <w:r>
        <w:fldChar w:fldCharType="end"/>
      </w:r>
    </w:p>
    <w:p>
      <w:pPr>
        <w:pStyle w:val="TOC8"/>
        <w:rPr>
          <w:rFonts w:asciiTheme="minorHAnsi" w:eastAsiaTheme="minorEastAsia" w:hAnsiTheme="minorHAnsi" w:cstheme="minorBidi"/>
          <w:szCs w:val="22"/>
        </w:rPr>
      </w:pPr>
      <w:r>
        <w:t>4D.</w:t>
      </w:r>
      <w:r>
        <w:tab/>
        <w:t>Eighth Supplementary Agreement ratified and implementation authorised</w:t>
      </w:r>
      <w:r>
        <w:tab/>
      </w:r>
      <w:r>
        <w:fldChar w:fldCharType="begin"/>
      </w:r>
      <w:r>
        <w:instrText xml:space="preserve"> PAGEREF _Toc456166385 \h </w:instrText>
      </w:r>
      <w:r>
        <w:fldChar w:fldCharType="separate"/>
      </w:r>
      <w:r>
        <w:t>4</w:t>
      </w:r>
      <w:r>
        <w:fldChar w:fldCharType="end"/>
      </w:r>
    </w:p>
    <w:p>
      <w:pPr>
        <w:pStyle w:val="TOC8"/>
        <w:rPr>
          <w:rFonts w:asciiTheme="minorHAnsi" w:eastAsiaTheme="minorEastAsia" w:hAnsiTheme="minorHAnsi" w:cstheme="minorBidi"/>
          <w:szCs w:val="22"/>
        </w:rPr>
      </w:pPr>
      <w:r>
        <w:t>4E.</w:t>
      </w:r>
      <w:r>
        <w:tab/>
        <w:t>Eleventh Supplementary Agreement ratified and implementation authorised</w:t>
      </w:r>
      <w:r>
        <w:tab/>
      </w:r>
      <w:r>
        <w:fldChar w:fldCharType="begin"/>
      </w:r>
      <w:r>
        <w:instrText xml:space="preserve"> PAGEREF _Toc456166386 \h </w:instrText>
      </w:r>
      <w:r>
        <w:fldChar w:fldCharType="separate"/>
      </w:r>
      <w:r>
        <w:t>5</w:t>
      </w:r>
      <w:r>
        <w:fldChar w:fldCharType="end"/>
      </w:r>
    </w:p>
    <w:p>
      <w:pPr>
        <w:pStyle w:val="TOC8"/>
        <w:rPr>
          <w:rFonts w:asciiTheme="minorHAnsi" w:eastAsiaTheme="minorEastAsia" w:hAnsiTheme="minorHAnsi" w:cstheme="minorBidi"/>
          <w:szCs w:val="22"/>
        </w:rPr>
      </w:pPr>
      <w:r>
        <w:t>4F.</w:t>
      </w:r>
      <w:r>
        <w:tab/>
        <w:t>Twelfth Supplementary Agreement ratified and implementation authorised</w:t>
      </w:r>
      <w:r>
        <w:tab/>
      </w:r>
      <w:r>
        <w:fldChar w:fldCharType="begin"/>
      </w:r>
      <w:r>
        <w:instrText xml:space="preserve"> PAGEREF _Toc456166387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Reserves Nos. 23251 and 19631 at Burswood Island cancelled</w:t>
      </w:r>
      <w:r>
        <w:tab/>
      </w:r>
      <w:r>
        <w:fldChar w:fldCharType="begin"/>
      </w:r>
      <w:r>
        <w:instrText xml:space="preserve"> PAGEREF _Toc456166388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27743 near Burswood Island amended</w:t>
      </w:r>
      <w:r>
        <w:tab/>
      </w:r>
      <w:r>
        <w:fldChar w:fldCharType="begin"/>
      </w:r>
      <w:r>
        <w:instrText xml:space="preserve"> PAGEREF _Toc456166389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planning laws modified</w:t>
      </w:r>
      <w:r>
        <w:tab/>
      </w:r>
      <w:r>
        <w:fldChar w:fldCharType="begin"/>
      </w:r>
      <w:r>
        <w:instrText xml:space="preserve"> PAGEREF _Toc456166390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Survey, dedication, management etc. of certain streets</w:t>
      </w:r>
      <w:r>
        <w:tab/>
      </w:r>
      <w:r>
        <w:fldChar w:fldCharType="begin"/>
      </w:r>
      <w:r>
        <w:instrText xml:space="preserve"> PAGEREF _Toc456166391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Entrenchment of clause 17A of, and Schedule B to, Agreement</w:t>
      </w:r>
      <w:r>
        <w:tab/>
      </w:r>
      <w:r>
        <w:fldChar w:fldCharType="begin"/>
      </w:r>
      <w:r>
        <w:instrText xml:space="preserve"> PAGEREF _Toc456166392 \h </w:instrText>
      </w:r>
      <w:r>
        <w:fldChar w:fldCharType="separate"/>
      </w:r>
      <w:r>
        <w:t>8</w:t>
      </w:r>
      <w:r>
        <w:fldChar w:fldCharType="end"/>
      </w:r>
    </w:p>
    <w:p>
      <w:pPr>
        <w:pStyle w:val="TOC8"/>
        <w:rPr>
          <w:rFonts w:asciiTheme="minorHAnsi" w:eastAsiaTheme="minorEastAsia" w:hAnsiTheme="minorHAnsi" w:cstheme="minorBidi"/>
          <w:szCs w:val="22"/>
        </w:rPr>
      </w:pPr>
      <w:r>
        <w:t>11.</w:t>
      </w:r>
      <w:r>
        <w:tab/>
        <w:t>Terms used in sections 12 to 17</w:t>
      </w:r>
      <w:r>
        <w:tab/>
      </w:r>
      <w:r>
        <w:fldChar w:fldCharType="begin"/>
      </w:r>
      <w:r>
        <w:instrText xml:space="preserve"> PAGEREF _Toc456166393 \h </w:instrText>
      </w:r>
      <w:r>
        <w:fldChar w:fldCharType="separate"/>
      </w:r>
      <w:r>
        <w:t>9</w:t>
      </w:r>
      <w:r>
        <w:fldChar w:fldCharType="end"/>
      </w:r>
    </w:p>
    <w:p>
      <w:pPr>
        <w:pStyle w:val="TOC8"/>
        <w:rPr>
          <w:rFonts w:asciiTheme="minorHAnsi" w:eastAsiaTheme="minorEastAsia" w:hAnsiTheme="minorHAnsi" w:cstheme="minorBidi"/>
          <w:szCs w:val="22"/>
        </w:rPr>
      </w:pPr>
      <w:r>
        <w:t>12.</w:t>
      </w:r>
      <w:r>
        <w:tab/>
        <w:t>Certain shareholdings to be notified to the Commission</w:t>
      </w:r>
      <w:r>
        <w:tab/>
      </w:r>
      <w:r>
        <w:fldChar w:fldCharType="begin"/>
      </w:r>
      <w:r>
        <w:instrText xml:space="preserve"> PAGEREF _Toc456166394 \h </w:instrText>
      </w:r>
      <w:r>
        <w:fldChar w:fldCharType="separate"/>
      </w:r>
      <w:r>
        <w:t>9</w:t>
      </w:r>
      <w:r>
        <w:fldChar w:fldCharType="end"/>
      </w:r>
    </w:p>
    <w:p>
      <w:pPr>
        <w:pStyle w:val="TOC8"/>
        <w:rPr>
          <w:rFonts w:asciiTheme="minorHAnsi" w:eastAsiaTheme="minorEastAsia" w:hAnsiTheme="minorHAnsi" w:cstheme="minorBidi"/>
          <w:szCs w:val="22"/>
        </w:rPr>
      </w:pPr>
      <w:r>
        <w:t>13.</w:t>
      </w:r>
      <w:r>
        <w:tab/>
        <w:t>Certain shareholders to be approved by the Commission</w:t>
      </w:r>
      <w:r>
        <w:tab/>
      </w:r>
      <w:r>
        <w:fldChar w:fldCharType="begin"/>
      </w:r>
      <w:r>
        <w:instrText xml:space="preserve"> PAGEREF _Toc456166395 \h </w:instrText>
      </w:r>
      <w:r>
        <w:fldChar w:fldCharType="separate"/>
      </w:r>
      <w:r>
        <w:t>10</w:t>
      </w:r>
      <w:r>
        <w:fldChar w:fldCharType="end"/>
      </w:r>
    </w:p>
    <w:p>
      <w:pPr>
        <w:pStyle w:val="TOC8"/>
        <w:rPr>
          <w:rFonts w:asciiTheme="minorHAnsi" w:eastAsiaTheme="minorEastAsia" w:hAnsiTheme="minorHAnsi" w:cstheme="minorBidi"/>
          <w:szCs w:val="22"/>
        </w:rPr>
      </w:pPr>
      <w:r>
        <w:t>14.</w:t>
      </w:r>
      <w:r>
        <w:tab/>
        <w:t>Probity approval notices, application for etc.</w:t>
      </w:r>
      <w:r>
        <w:tab/>
      </w:r>
      <w:r>
        <w:fldChar w:fldCharType="begin"/>
      </w:r>
      <w:r>
        <w:instrText xml:space="preserve"> PAGEREF _Toc456166396 \h </w:instrText>
      </w:r>
      <w:r>
        <w:fldChar w:fldCharType="separate"/>
      </w:r>
      <w:r>
        <w:t>10</w:t>
      </w:r>
      <w:r>
        <w:fldChar w:fldCharType="end"/>
      </w:r>
    </w:p>
    <w:p>
      <w:pPr>
        <w:pStyle w:val="TOC8"/>
        <w:rPr>
          <w:rFonts w:asciiTheme="minorHAnsi" w:eastAsiaTheme="minorEastAsia" w:hAnsiTheme="minorHAnsi" w:cstheme="minorBidi"/>
          <w:szCs w:val="22"/>
        </w:rPr>
      </w:pPr>
      <w:r>
        <w:t>15.</w:t>
      </w:r>
      <w:r>
        <w:tab/>
        <w:t>Probity approval notice, cancellation of</w:t>
      </w:r>
      <w:r>
        <w:tab/>
      </w:r>
      <w:r>
        <w:fldChar w:fldCharType="begin"/>
      </w:r>
      <w:r>
        <w:instrText xml:space="preserve"> PAGEREF _Toc456166397 \h </w:instrText>
      </w:r>
      <w:r>
        <w:fldChar w:fldCharType="separate"/>
      </w:r>
      <w:r>
        <w:t>11</w:t>
      </w:r>
      <w:r>
        <w:fldChar w:fldCharType="end"/>
      </w:r>
    </w:p>
    <w:p>
      <w:pPr>
        <w:pStyle w:val="TOC8"/>
        <w:rPr>
          <w:rFonts w:asciiTheme="minorHAnsi" w:eastAsiaTheme="minorEastAsia" w:hAnsiTheme="minorHAnsi" w:cstheme="minorBidi"/>
          <w:szCs w:val="22"/>
        </w:rPr>
      </w:pPr>
      <w:r>
        <w:t>16.</w:t>
      </w:r>
      <w:r>
        <w:tab/>
        <w:t>Intention to order disposal of shares, notice of</w:t>
      </w:r>
      <w:r>
        <w:tab/>
      </w:r>
      <w:r>
        <w:fldChar w:fldCharType="begin"/>
      </w:r>
      <w:r>
        <w:instrText xml:space="preserve"> PAGEREF _Toc456166398 \h </w:instrText>
      </w:r>
      <w:r>
        <w:fldChar w:fldCharType="separate"/>
      </w:r>
      <w:r>
        <w:t>12</w:t>
      </w:r>
      <w:r>
        <w:fldChar w:fldCharType="end"/>
      </w:r>
    </w:p>
    <w:p>
      <w:pPr>
        <w:pStyle w:val="TOC8"/>
        <w:rPr>
          <w:rFonts w:asciiTheme="minorHAnsi" w:eastAsiaTheme="minorEastAsia" w:hAnsiTheme="minorHAnsi" w:cstheme="minorBidi"/>
          <w:szCs w:val="22"/>
        </w:rPr>
      </w:pPr>
      <w:r>
        <w:t>17.</w:t>
      </w:r>
      <w:r>
        <w:tab/>
        <w:t>Certain shareholders may be ordered to dispose of shares</w:t>
      </w:r>
      <w:r>
        <w:tab/>
      </w:r>
      <w:r>
        <w:fldChar w:fldCharType="begin"/>
      </w:r>
      <w:r>
        <w:instrText xml:space="preserve"> PAGEREF _Toc456166399 \h </w:instrText>
      </w:r>
      <w:r>
        <w:fldChar w:fldCharType="separate"/>
      </w:r>
      <w:r>
        <w:t>12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Casino (Burswood Island) Agreement</w:t>
      </w:r>
    </w:p>
    <w:p>
      <w:pPr>
        <w:pStyle w:val="TOC2"/>
        <w:keepNext w:val="0"/>
        <w:tabs>
          <w:tab w:val="right" w:leader="dot" w:pos="7077"/>
        </w:tabs>
        <w:rPr>
          <w:rFonts w:asciiTheme="minorHAnsi" w:eastAsiaTheme="minorEastAsia" w:hAnsiTheme="minorHAnsi" w:cstheme="minorBidi"/>
          <w:b w:val="0"/>
          <w:sz w:val="22"/>
          <w:szCs w:val="22"/>
        </w:rPr>
      </w:pPr>
      <w:r>
        <w:t>Schedule 2 —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3 — Second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4 — Seventh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5 — Third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6 — Fourth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7 — Fifth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8 — Sixth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9 — Eighth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10 — Ninth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11 — Tenth Supplementary Agreement</w:t>
      </w:r>
    </w:p>
    <w:p>
      <w:pPr>
        <w:pStyle w:val="TOC2"/>
        <w:tabs>
          <w:tab w:val="right" w:leader="dot" w:pos="7077"/>
        </w:tabs>
        <w:rPr>
          <w:rFonts w:asciiTheme="minorHAnsi" w:eastAsiaTheme="minorEastAsia" w:hAnsiTheme="minorHAnsi" w:cstheme="minorBidi"/>
          <w:b w:val="0"/>
          <w:sz w:val="22"/>
          <w:szCs w:val="22"/>
        </w:rPr>
      </w:pPr>
      <w:r>
        <w:t>Schedule 12 — Eleventh Supplementary Agreement</w:t>
      </w:r>
    </w:p>
    <w:p>
      <w:pPr>
        <w:pStyle w:val="TOC2"/>
        <w:tabs>
          <w:tab w:val="right" w:leader="dot" w:pos="7077"/>
        </w:tabs>
        <w:rPr>
          <w:rFonts w:asciiTheme="minorHAnsi" w:eastAsiaTheme="minorEastAsia" w:hAnsiTheme="minorHAnsi" w:cstheme="minorBidi"/>
          <w:b w:val="0"/>
          <w:sz w:val="22"/>
          <w:szCs w:val="22"/>
        </w:rPr>
      </w:pPr>
      <w:r>
        <w:t>Schedule 13 — Twelfth Supplementary Agreement</w:t>
      </w:r>
    </w:p>
    <w:p>
      <w:pPr>
        <w:pStyle w:val="TOC2"/>
        <w:tabs>
          <w:tab w:val="right" w:leader="dot" w:pos="7077"/>
        </w:tabs>
        <w:rPr>
          <w:rFonts w:asciiTheme="minorHAnsi" w:eastAsiaTheme="minorEastAsia" w:hAnsiTheme="minorHAnsi" w:cstheme="minorBidi"/>
          <w:b w:val="0"/>
          <w:sz w:val="22"/>
          <w:szCs w:val="22"/>
        </w:rPr>
      </w:pPr>
      <w:r>
        <w:t>Schedule 14 — Thirteenth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_Toc456166415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
        <w:spacing w:after="840"/>
      </w:pPr>
      <w:r>
        <w:t>Casino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3" w:name="_Toc45616637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w:t>
      </w:r>
      <w:r>
        <w:rPr>
          <w:snapToGrid w:val="0"/>
          <w:vertAlign w:val="superscript"/>
        </w:rPr>
        <w:t>1</w:t>
      </w:r>
      <w:r>
        <w:rPr>
          <w:snapToGrid w:val="0"/>
        </w:rPr>
        <w:t>.</w:t>
      </w:r>
    </w:p>
    <w:p>
      <w:pPr>
        <w:pStyle w:val="Heading5"/>
        <w:rPr>
          <w:snapToGrid w:val="0"/>
        </w:rPr>
      </w:pPr>
      <w:bookmarkStart w:id="4" w:name="_Toc45616637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5" w:name="_Toc456166379"/>
      <w:r>
        <w:rPr>
          <w:rStyle w:val="CharSectno"/>
        </w:rPr>
        <w:t>3</w:t>
      </w:r>
      <w:r>
        <w:rPr>
          <w:snapToGrid w:val="0"/>
        </w:rPr>
        <w:t>.</w:t>
      </w:r>
      <w:r>
        <w:rPr>
          <w:snapToGrid w:val="0"/>
        </w:rPr>
        <w:tab/>
        <w:t>Terms used</w:t>
      </w:r>
      <w:bookmarkEnd w:id="5"/>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w:t>
      </w:r>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pPr>
      <w:r>
        <w:rPr>
          <w:b/>
        </w:rPr>
        <w:tab/>
      </w:r>
      <w:r>
        <w:rPr>
          <w:rStyle w:val="CharDefText"/>
        </w:rPr>
        <w:t>Seventh Supplementary Agreement</w:t>
      </w:r>
      <w:r>
        <w:t xml:space="preserve"> means the Seventh Supplementary Agreement, a copy of which is set out in Schedule 4;</w:t>
      </w:r>
    </w:p>
    <w:p>
      <w:pPr>
        <w:pStyle w:val="Defstart"/>
      </w:pPr>
      <w:r>
        <w:rPr>
          <w:b/>
        </w:rPr>
        <w:tab/>
      </w:r>
      <w:r>
        <w:rPr>
          <w:rStyle w:val="CharDefText"/>
        </w:rPr>
        <w:t>Supplementary Agreement</w:t>
      </w:r>
      <w:r>
        <w:t xml:space="preserve"> means the Supplementary Agreement, a copy of which is set out in Schedule 2;</w:t>
      </w:r>
    </w:p>
    <w:p>
      <w:pPr>
        <w:pStyle w:val="Defstart"/>
        <w:keepNext/>
      </w:pPr>
      <w:r>
        <w:rPr>
          <w:i/>
        </w:rPr>
        <w:tab/>
      </w:r>
      <w:r>
        <w:rPr>
          <w:rStyle w:val="CharDefText"/>
        </w:rPr>
        <w:t>Twelfth Supplementary Agreement</w:t>
      </w:r>
      <w:r>
        <w:t xml:space="preserve"> means the Twelfth Supplementary Agreement, a copy of which is set out in Schedule 13.</w:t>
      </w:r>
    </w:p>
    <w:p>
      <w:pPr>
        <w:pStyle w:val="Footnotesection"/>
      </w:pPr>
      <w:r>
        <w:tab/>
        <w:t>[Section 3 amended by No. 44 of 1987 s. 4; No. 15 of 1990 s. 4; No. 14 of 1996 s. 4; No. 20 of 1997 s. 4; No. 51 of 2003 s. 4; No. 17 of 2008 s. 4; No. 25 of 2011 s. 4.]</w:t>
      </w:r>
    </w:p>
    <w:p>
      <w:pPr>
        <w:pStyle w:val="Heading5"/>
        <w:rPr>
          <w:snapToGrid w:val="0"/>
        </w:rPr>
      </w:pPr>
      <w:bookmarkStart w:id="6" w:name="_Toc456166380"/>
      <w:r>
        <w:rPr>
          <w:rStyle w:val="CharSectno"/>
        </w:rPr>
        <w:t>3A</w:t>
      </w:r>
      <w:r>
        <w:rPr>
          <w:snapToGrid w:val="0"/>
        </w:rPr>
        <w:t xml:space="preserve">. </w:t>
      </w:r>
      <w:r>
        <w:rPr>
          <w:snapToGrid w:val="0"/>
        </w:rPr>
        <w:tab/>
        <w:t>Certain agreements altering Agreement capable of being scheduled to Act by order</w:t>
      </w:r>
      <w:bookmarkEnd w:id="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1997</w:t>
      </w:r>
      <w:r>
        <w:rPr>
          <w:snapToGrid w:val="0"/>
        </w:rPr>
        <w:t xml:space="preserve"> as well as to those that take effect after that commencement.</w:t>
      </w:r>
    </w:p>
    <w:p>
      <w:pPr>
        <w:pStyle w:val="Footnotesection"/>
        <w:ind w:left="890" w:hanging="890"/>
      </w:pPr>
      <w:r>
        <w:tab/>
        <w:t>[Section 3A inserted by No. 20 of 1997 s. 5.]</w:t>
      </w:r>
    </w:p>
    <w:p>
      <w:pPr>
        <w:pStyle w:val="Heading5"/>
        <w:rPr>
          <w:snapToGrid w:val="0"/>
        </w:rPr>
      </w:pPr>
      <w:bookmarkStart w:id="7" w:name="_Toc456166381"/>
      <w:r>
        <w:rPr>
          <w:rStyle w:val="CharSectno"/>
        </w:rPr>
        <w:t>4</w:t>
      </w:r>
      <w:r>
        <w:rPr>
          <w:snapToGrid w:val="0"/>
        </w:rPr>
        <w:t>.</w:t>
      </w:r>
      <w:r>
        <w:rPr>
          <w:snapToGrid w:val="0"/>
        </w:rPr>
        <w:tab/>
        <w:t>Agreement ratified and implementation authorised</w:t>
      </w:r>
      <w:bookmarkEnd w:id="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by No. 44 of 1987 s. 5.]</w:t>
      </w:r>
    </w:p>
    <w:p>
      <w:pPr>
        <w:pStyle w:val="Heading5"/>
        <w:rPr>
          <w:snapToGrid w:val="0"/>
        </w:rPr>
      </w:pPr>
      <w:bookmarkStart w:id="8" w:name="_Toc456166382"/>
      <w:r>
        <w:rPr>
          <w:rStyle w:val="CharSectno"/>
        </w:rPr>
        <w:t>4A</w:t>
      </w:r>
      <w:r>
        <w:rPr>
          <w:snapToGrid w:val="0"/>
        </w:rPr>
        <w:t xml:space="preserve">. </w:t>
      </w:r>
      <w:r>
        <w:rPr>
          <w:snapToGrid w:val="0"/>
        </w:rPr>
        <w:tab/>
        <w:t>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by No. 44 of 1987 s. 6.]</w:t>
      </w:r>
    </w:p>
    <w:p>
      <w:pPr>
        <w:pStyle w:val="Heading5"/>
        <w:rPr>
          <w:snapToGrid w:val="0"/>
        </w:rPr>
      </w:pPr>
      <w:bookmarkStart w:id="9" w:name="_Toc456166383"/>
      <w:r>
        <w:rPr>
          <w:rStyle w:val="CharSectno"/>
        </w:rPr>
        <w:t>4B</w:t>
      </w:r>
      <w:r>
        <w:rPr>
          <w:snapToGrid w:val="0"/>
        </w:rPr>
        <w:t xml:space="preserve">. </w:t>
      </w:r>
      <w:r>
        <w:rPr>
          <w:snapToGrid w:val="0"/>
        </w:rPr>
        <w:tab/>
        <w:t>Second Supplementary Agreement ratified and implementation authorised</w:t>
      </w:r>
      <w:bookmarkEnd w:id="9"/>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10" w:name="_Toc456166384"/>
      <w:r>
        <w:rPr>
          <w:rStyle w:val="CharSectno"/>
        </w:rPr>
        <w:t>4C</w:t>
      </w:r>
      <w:r>
        <w:rPr>
          <w:snapToGrid w:val="0"/>
        </w:rPr>
        <w:t xml:space="preserve">. </w:t>
      </w:r>
      <w:r>
        <w:rPr>
          <w:snapToGrid w:val="0"/>
        </w:rPr>
        <w:tab/>
        <w:t>Seventh Supplementary Agreement ratified and implementation authorised</w:t>
      </w:r>
      <w:bookmarkEnd w:id="1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11" w:name="_Toc456166385"/>
      <w:r>
        <w:rPr>
          <w:rStyle w:val="CharSectno"/>
        </w:rPr>
        <w:t>4D</w:t>
      </w:r>
      <w:r>
        <w:t>.</w:t>
      </w:r>
      <w:r>
        <w:tab/>
        <w:t>Eighth Supplementary Agreement ratified and implementation authorised</w:t>
      </w:r>
      <w:bookmarkEnd w:id="11"/>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12" w:name="_Toc456166386"/>
      <w:r>
        <w:rPr>
          <w:rStyle w:val="CharSectno"/>
        </w:rPr>
        <w:t>4E</w:t>
      </w:r>
      <w:r>
        <w:t>.</w:t>
      </w:r>
      <w:r>
        <w:tab/>
        <w:t>Eleventh Supplementary Agreement ratified and implementation authorised</w:t>
      </w:r>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pPr>
      <w:bookmarkStart w:id="13" w:name="_Toc456166387"/>
      <w:r>
        <w:rPr>
          <w:rStyle w:val="CharSectno"/>
        </w:rPr>
        <w:t>4F</w:t>
      </w:r>
      <w:r>
        <w:t>.</w:t>
      </w:r>
      <w:r>
        <w:tab/>
        <w:t>Twelfth Supplementary Agreement ratified and implementation authorised</w:t>
      </w:r>
      <w:bookmarkEnd w:id="13"/>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by No. 25 of 2011 s. 5.]</w:t>
      </w:r>
    </w:p>
    <w:p>
      <w:pPr>
        <w:pStyle w:val="Heading5"/>
        <w:rPr>
          <w:snapToGrid w:val="0"/>
        </w:rPr>
      </w:pPr>
      <w:bookmarkStart w:id="14" w:name="_Toc456166388"/>
      <w:r>
        <w:rPr>
          <w:rStyle w:val="CharSectno"/>
        </w:rPr>
        <w:t>5</w:t>
      </w:r>
      <w:r>
        <w:rPr>
          <w:snapToGrid w:val="0"/>
        </w:rPr>
        <w:t>.</w:t>
      </w:r>
      <w:r>
        <w:rPr>
          <w:snapToGrid w:val="0"/>
        </w:rPr>
        <w:tab/>
        <w:t xml:space="preserve">Reserves Nos. 23251 and 19631 at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cancelled</w:t>
      </w:r>
      <w:bookmarkEnd w:id="14"/>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 xml:space="preserve">a portion of which is vested in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5" w:name="_Toc456166389"/>
      <w:r>
        <w:rPr>
          <w:rStyle w:val="CharSectno"/>
        </w:rPr>
        <w:t>6</w:t>
      </w:r>
      <w:r>
        <w:rPr>
          <w:snapToGrid w:val="0"/>
        </w:rPr>
        <w:t>.</w:t>
      </w:r>
      <w:r>
        <w:rPr>
          <w:snapToGrid w:val="0"/>
        </w:rPr>
        <w:tab/>
        <w:t xml:space="preserve">Reserve No. 27743 near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amended</w:t>
      </w:r>
      <w:bookmarkEnd w:id="15"/>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6" w:name="_Toc456166390"/>
      <w:r>
        <w:rPr>
          <w:rStyle w:val="CharSectno"/>
        </w:rPr>
        <w:t>7</w:t>
      </w:r>
      <w:r>
        <w:rPr>
          <w:snapToGrid w:val="0"/>
        </w:rPr>
        <w:t>.</w:t>
      </w:r>
      <w:r>
        <w:rPr>
          <w:snapToGrid w:val="0"/>
        </w:rPr>
        <w:tab/>
        <w:t>Certain planning laws modified</w:t>
      </w:r>
      <w:bookmarkEnd w:id="16"/>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w:t>
      </w:r>
      <w:r>
        <w:rPr>
          <w:rStyle w:val="CharDefText"/>
          <w:b w:val="0"/>
          <w:i w:val="0"/>
        </w:rPr>
        <w:t xml:space="preserve"> </w:t>
      </w:r>
      <w:r>
        <w:rPr>
          <w:rStyle w:val="CharDefText"/>
        </w:rPr>
        <w:t>Site</w:t>
      </w:r>
      <w:r>
        <w:t xml:space="preserve"> have the respective meanings given by the Agreement.</w:t>
      </w:r>
    </w:p>
    <w:p>
      <w:pPr>
        <w:pStyle w:val="Footnotesection"/>
      </w:pPr>
      <w:r>
        <w:tab/>
        <w:t xml:space="preserve">[Section 7 amended by No. 44 of 1987 s. 7; No. 14 of 1996 s. 4; No. 38 of 2005 s. 15.] </w:t>
      </w:r>
    </w:p>
    <w:p>
      <w:pPr>
        <w:pStyle w:val="Heading5"/>
        <w:spacing w:before="240"/>
        <w:rPr>
          <w:snapToGrid w:val="0"/>
        </w:rPr>
      </w:pPr>
      <w:bookmarkStart w:id="17" w:name="_Toc456166391"/>
      <w:r>
        <w:rPr>
          <w:rStyle w:val="CharSectno"/>
        </w:rPr>
        <w:t>8</w:t>
      </w:r>
      <w:r>
        <w:rPr>
          <w:snapToGrid w:val="0"/>
        </w:rPr>
        <w:t>.</w:t>
      </w:r>
      <w:r>
        <w:rPr>
          <w:snapToGrid w:val="0"/>
        </w:rPr>
        <w:tab/>
        <w:t>Survey, dedication, management etc. of certain streets</w:t>
      </w:r>
      <w:bookmarkEnd w:id="17"/>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18" w:name="_Toc456166392"/>
      <w:r>
        <w:rPr>
          <w:rStyle w:val="CharSectno"/>
        </w:rPr>
        <w:t>10</w:t>
      </w:r>
      <w:r>
        <w:rPr>
          <w:snapToGrid w:val="0"/>
        </w:rPr>
        <w:t>.</w:t>
      </w:r>
      <w:r>
        <w:rPr>
          <w:snapToGrid w:val="0"/>
        </w:rPr>
        <w:tab/>
        <w:t>Entrenchment of clause 17A of, and Schedule B to, Agreement</w:t>
      </w:r>
      <w:bookmarkEnd w:id="18"/>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19" w:name="_Toc456166393"/>
      <w:r>
        <w:rPr>
          <w:rStyle w:val="CharSectno"/>
        </w:rPr>
        <w:t>11</w:t>
      </w:r>
      <w:r>
        <w:t>.</w:t>
      </w:r>
      <w:r>
        <w:tab/>
        <w:t>Terms used in sections 12 to 17</w:t>
      </w:r>
      <w:bookmarkEnd w:id="19"/>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20" w:name="_Toc456166394"/>
      <w:r>
        <w:rPr>
          <w:rStyle w:val="CharSectno"/>
        </w:rPr>
        <w:t>12</w:t>
      </w:r>
      <w:r>
        <w:t>.</w:t>
      </w:r>
      <w:r>
        <w:tab/>
        <w:t>Certain shareholdings to be notified to the Commission</w:t>
      </w:r>
      <w:bookmarkEnd w:id="20"/>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21" w:name="_Toc456166395"/>
      <w:r>
        <w:rPr>
          <w:rStyle w:val="CharSectno"/>
        </w:rPr>
        <w:t>13</w:t>
      </w:r>
      <w:r>
        <w:t>.</w:t>
      </w:r>
      <w:r>
        <w:tab/>
        <w:t>Certain shareholders to be approved by the Commission</w:t>
      </w:r>
      <w:bookmarkEnd w:id="21"/>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22" w:name="_Toc456166396"/>
      <w:r>
        <w:rPr>
          <w:rStyle w:val="CharSectno"/>
        </w:rPr>
        <w:t>14</w:t>
      </w:r>
      <w:r>
        <w:t>.</w:t>
      </w:r>
      <w:r>
        <w:tab/>
        <w:t>Probity approval notices, application for etc.</w:t>
      </w:r>
      <w:bookmarkEnd w:id="22"/>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23" w:name="_Toc456166397"/>
      <w:r>
        <w:rPr>
          <w:rStyle w:val="CharSectno"/>
        </w:rPr>
        <w:t>15</w:t>
      </w:r>
      <w:r>
        <w:t>.</w:t>
      </w:r>
      <w:r>
        <w:tab/>
        <w:t>Probity approval notice, cancellation of</w:t>
      </w:r>
      <w:bookmarkEnd w:id="2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24" w:name="_Toc456166398"/>
      <w:r>
        <w:rPr>
          <w:rStyle w:val="CharSectno"/>
        </w:rPr>
        <w:t>16</w:t>
      </w:r>
      <w:r>
        <w:t>.</w:t>
      </w:r>
      <w:r>
        <w:tab/>
        <w:t>Intention to order disposal of shares, notice of</w:t>
      </w:r>
      <w:bookmarkEnd w:id="24"/>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25" w:name="_Toc456166399"/>
      <w:r>
        <w:rPr>
          <w:rStyle w:val="CharSectno"/>
        </w:rPr>
        <w:t>17</w:t>
      </w:r>
      <w:r>
        <w:t>.</w:t>
      </w:r>
      <w:r>
        <w:tab/>
        <w:t>Certain shareholders may be ordered to dispose of shares</w:t>
      </w:r>
      <w:bookmarkEnd w:id="25"/>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Sch. 1 cl. 19.]</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6" w:name="_Toc456166400"/>
      <w:r>
        <w:rPr>
          <w:rStyle w:val="CharSchNo"/>
        </w:rPr>
        <w:t>Schedule 1</w:t>
      </w:r>
      <w:r>
        <w:t> — </w:t>
      </w:r>
      <w:r>
        <w:rPr>
          <w:rStyle w:val="CharSchText"/>
        </w:rPr>
        <w:t>Casino (</w:t>
      </w:r>
      <w:smartTag w:uri="urn:schemas-microsoft-com:office:smarttags" w:element="place">
        <w:smartTag w:uri="urn:schemas-microsoft-com:office:smarttags" w:element="PlaceName">
          <w:r>
            <w:rPr>
              <w:rStyle w:val="CharSchText"/>
            </w:rPr>
            <w:t>Burswood</w:t>
          </w:r>
        </w:smartTag>
        <w:r>
          <w:rPr>
            <w:rStyle w:val="CharSchText"/>
          </w:rPr>
          <w:t xml:space="preserve"> </w:t>
        </w:r>
        <w:smartTag w:uri="urn:schemas-microsoft-com:office:smarttags" w:element="PlaceType">
          <w:r>
            <w:rPr>
              <w:rStyle w:val="CharSchText"/>
            </w:rPr>
            <w:t>Island</w:t>
          </w:r>
        </w:smartTag>
      </w:smartTag>
      <w:r>
        <w:rPr>
          <w:rStyle w:val="CharSchText"/>
        </w:rPr>
        <w:t>) Agreement</w:t>
      </w:r>
      <w:bookmarkEnd w:id="26"/>
    </w:p>
    <w:p>
      <w:pPr>
        <w:pStyle w:val="yShoulderClause"/>
      </w:pPr>
      <w:r>
        <w:t>[s. 3]</w:t>
      </w:r>
    </w:p>
    <w:p>
      <w:pPr>
        <w:pStyle w:val="yFootnoteheading"/>
      </w:pPr>
      <w:r>
        <w:tab/>
        <w:t>[Heading amended by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r>
      <w:smartTag w:uri="urn:schemas-microsoft-com:office:smarttags" w:element="place">
        <w:smartTag w:uri="urn:schemas-microsoft-com:office:smarttags" w:element="PlaceName">
          <w:r>
            <w:t>Burswood</w:t>
          </w:r>
        </w:smartTag>
        <w:r>
          <w:t xml:space="preserve"> </w:t>
        </w:r>
        <w:smartTag w:uri="urn:schemas-microsoft-com:office:smarttags" w:element="PlaceType">
          <w:r>
            <w:t>Park</w:t>
          </w:r>
        </w:smartTag>
      </w:smartTag>
      <w:r>
        <w:t xml:space="preserve">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 xml:space="preserve">THE HONOURABLE DESMOND KEITH DANS M.L.C.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keepNext/>
      </w:pPr>
      <w:r>
        <w:t>AND</w:t>
      </w:r>
    </w:p>
    <w:p>
      <w:pPr>
        <w:pStyle w:val="yMiscellaneousBody"/>
      </w:pPr>
      <w:r>
        <w:t xml:space="preserve">BURSWOOD MANAGEMENT LIMITED of 8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 xml:space="preserve">a report titled “Burswood Island Resort — proposal for the Casino in </w:t>
      </w:r>
      <w:smartTag w:uri="urn:schemas-microsoft-com:office:smarttags" w:element="place">
        <w:smartTag w:uri="urn:schemas-microsoft-com:office:smarttags" w:element="State">
          <w:r>
            <w:t>Western Australia</w:t>
          </w:r>
        </w:smartTag>
      </w:smartTag>
      <w:r>
        <w:t>”</w:t>
      </w:r>
    </w:p>
    <w:p>
      <w:pPr>
        <w:pStyle w:val="yMiscellaneousBody"/>
        <w:tabs>
          <w:tab w:val="left" w:pos="1701"/>
          <w:tab w:val="left" w:pos="2127"/>
        </w:tabs>
        <w:spacing w:before="100"/>
        <w:ind w:left="2126" w:hanging="2126"/>
      </w:pPr>
      <w:r>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 xml:space="preserve">“Founders” means Dempster,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xml:space="preserve">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 xml:space="preserve">“Gaming Report” means the report entitled “Report of the Committee appointed to enquire into and report upon Gaming in </w:t>
      </w:r>
      <w:smartTag w:uri="urn:schemas-microsoft-com:office:smarttags" w:element="State">
        <w:smartTag w:uri="urn:schemas-microsoft-com:office:smarttags" w:element="place">
          <w:r>
            <w:t>Western Australia</w:t>
          </w:r>
        </w:smartTag>
      </w:smartTag>
      <w:r>
        <w:t>”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w:t>
      </w:r>
      <w:smartTag w:uri="urn:schemas-microsoft-com:office:smarttags" w:element="City">
        <w:r>
          <w:t>Genting</w:t>
        </w:r>
      </w:smartTag>
      <w:r>
        <w:t xml:space="preserve"> </w:t>
      </w:r>
      <w:smartTag w:uri="urn:schemas-microsoft-com:office:smarttags" w:element="State">
        <w:r>
          <w:t>WA</w:t>
        </w:r>
      </w:smartTag>
      <w:r>
        <w:t>” means Genting (</w:t>
      </w:r>
      <w:smartTag w:uri="urn:schemas-microsoft-com:office:smarttags" w:element="State">
        <w:r>
          <w:t>Western Australia</w:t>
        </w:r>
      </w:smartTag>
      <w:r>
        <w:t xml:space="preserve">) Pty. Limited; a wholly owned subsidiary of Genting, incorporated in </w:t>
      </w:r>
      <w:smartTag w:uri="urn:schemas-microsoft-com:office:smarttags" w:element="State">
        <w:r>
          <w:t>Western Australia</w:t>
        </w:r>
      </w:smartTag>
      <w:r>
        <w:t xml:space="preserve"> and acting in its own right or as trustee of the Genting (</w:t>
      </w:r>
      <w:smartTag w:uri="urn:schemas-microsoft-com:office:smarttags" w:element="State">
        <w:smartTag w:uri="urn:schemas-microsoft-com:office:smarttags" w:element="place">
          <w:r>
            <w:t>Western Australia</w:t>
          </w:r>
        </w:smartTag>
      </w:smartTag>
      <w:r>
        <w:t>)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t>
      </w:r>
      <w:smartTag w:uri="urn:schemas-microsoft-com:office:smarttags" w:element="State">
        <w:r>
          <w:t>Western Australia</w:t>
        </w:r>
      </w:smartTag>
      <w:r>
        <w:t xml:space="preserv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851"/>
          <w:tab w:val="left" w:pos="1418"/>
        </w:tabs>
        <w:spacing w:before="120"/>
        <w:ind w:left="1418" w:hanging="1418"/>
      </w:pPr>
      <w:r>
        <w:tab/>
        <w:t xml:space="preserve">“Tileska” means Tileska Pty. Limited, a company incorporated in </w:t>
      </w:r>
      <w:smartTag w:uri="urn:schemas-microsoft-com:office:smarttags" w:element="State">
        <w:smartTag w:uri="urn:schemas-microsoft-com:office:smarttags" w:element="place">
          <w:r>
            <w:t>New South Wales</w:t>
          </w:r>
        </w:smartTag>
      </w:smartTag>
      <w:r>
        <w:t>,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w:t>
      </w:r>
      <w:smartTag w:uri="urn:schemas-microsoft-com:office:smarttags" w:element="PlaceName">
        <w:r>
          <w:t>Burswood</w:t>
        </w:r>
      </w:smartTag>
      <w:r>
        <w:t> </w:t>
      </w:r>
      <w:smartTag w:uri="urn:schemas-microsoft-com:office:smarttags" w:element="PlaceType">
        <w:r>
          <w:t>Park</w:t>
        </w:r>
      </w:smartTag>
      <w:r>
        <w:t>”, or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 xml:space="preserve">Consultation with relevant authorities and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 xml:space="preserve">use or ensure the services of engineers, surveyors, architects and other professional consultants resident and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(b)</w:t>
      </w:r>
      <w:r>
        <w:tab/>
        <w:t xml:space="preserve">use or ensure the use of labour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 xml:space="preserve">60,000,000 Units to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 xml:space="preserve">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t>
      </w:r>
      <w:smartTag w:uri="urn:schemas-microsoft-com:office:smarttags" w:element="State">
        <w:smartTag w:uri="urn:schemas-microsoft-com:office:smarttags" w:element="place">
          <w:r>
            <w:t>Western Australia</w:t>
          </w:r>
        </w:smartTag>
      </w:smartTag>
      <w:r>
        <w:t>;</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 xml:space="preserve">a natural person not ordinarily resident in </w:t>
      </w:r>
      <w:smartTag w:uri="urn:schemas-microsoft-com:office:smarttags" w:element="place">
        <w:smartTag w:uri="urn:schemas-microsoft-com:office:smarttags" w:element="country-region">
          <w:r>
            <w:t>Australia</w:t>
          </w:r>
        </w:smartTag>
      </w:smartTag>
      <w:r>
        <w:t>;</w:t>
      </w:r>
    </w:p>
    <w:p>
      <w:pPr>
        <w:pStyle w:val="yMiscellaneousBody"/>
        <w:tabs>
          <w:tab w:val="right" w:pos="2268"/>
          <w:tab w:val="left" w:pos="2552"/>
        </w:tabs>
        <w:ind w:left="2552" w:hanging="2552"/>
      </w:pPr>
      <w:r>
        <w:tab/>
        <w:t>(ii)</w:t>
      </w:r>
      <w:r>
        <w:tab/>
        <w:t xml:space="preserve">a corporation (other than a Foreign Corporation) in which a natural person not ordinarily resident in </w:t>
      </w:r>
      <w:smartTag w:uri="urn:schemas-microsoft-com:office:smarttags" w:element="place">
        <w:smartTag w:uri="urn:schemas-microsoft-com:office:smarttags" w:element="country-region">
          <w:r>
            <w:t>Australia</w:t>
          </w:r>
        </w:smartTag>
      </w:smartTag>
      <w:r>
        <w:t xml:space="preserve">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 xml:space="preserve">“Foreign Corporation” means a corporation incorporated elsewhere than in </w:t>
      </w:r>
      <w:smartTag w:uri="urn:schemas-microsoft-com:office:smarttags" w:element="country-region">
        <w:r>
          <w:t>Australia</w:t>
        </w:r>
      </w:smartTag>
      <w:r>
        <w:t xml:space="preserve"> or any </w:t>
      </w:r>
      <w:smartTag w:uri="urn:schemas-microsoft-com:office:smarttags" w:element="place">
        <w:smartTag w:uri="urn:schemas-microsoft-com:office:smarttags" w:element="PlaceName">
          <w:r>
            <w:t>Australian</w:t>
          </w:r>
        </w:smartTag>
        <w:r>
          <w:t xml:space="preserve"> </w:t>
        </w:r>
        <w:smartTag w:uri="urn:schemas-microsoft-com:office:smarttags" w:element="PlaceName">
          <w:r>
            <w:t>External</w:t>
          </w:r>
        </w:smartTag>
        <w:r>
          <w:t xml:space="preserve"> </w:t>
        </w:r>
        <w:smartTag w:uri="urn:schemas-microsoft-com:office:smarttags" w:element="PlaceType">
          <w:r>
            <w:t>Territory</w:t>
          </w:r>
        </w:smartTag>
      </w:smartTag>
      <w:r>
        <w:t>;</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w:t>
      </w:r>
      <w:smartTag w:uri="urn:schemas-microsoft-com:office:smarttags" w:element="place">
        <w:smartTag w:uri="urn:schemas-microsoft-com:office:smarttags" w:element="PlaceName">
          <w:r>
            <w:t>Charles</w:t>
          </w:r>
        </w:smartTag>
        <w:r>
          <w:t xml:space="preserve"> </w:t>
        </w:r>
        <w:smartTag w:uri="urn:schemas-microsoft-com:office:smarttags" w:element="PlaceName">
          <w:r>
            <w:t>Paterson</w:t>
          </w:r>
        </w:smartTag>
        <w:r>
          <w:t xml:space="preserve"> </w:t>
        </w:r>
        <w:smartTag w:uri="urn:schemas-microsoft-com:office:smarttags" w:element="PlaceType">
          <w:r>
            <w:t>Park</w:t>
          </w:r>
        </w:smartTag>
      </w:smartTag>
      <w:r>
        <w:t>”;</w:t>
      </w:r>
    </w:p>
    <w:p>
      <w:pPr>
        <w:pStyle w:val="yMiscellaneousBody"/>
        <w:tabs>
          <w:tab w:val="right" w:pos="2268"/>
          <w:tab w:val="left" w:pos="2552"/>
        </w:tabs>
        <w:spacing w:before="120"/>
        <w:ind w:left="2552" w:hanging="2552"/>
      </w:pPr>
      <w:r>
        <w:tab/>
        <w:t>(ii)</w:t>
      </w:r>
      <w:r>
        <w:tab/>
        <w:t xml:space="preserve">that part of the Resort Site bounded by a prolongation of the southern boundary of Swan Location 10662 and </w:t>
      </w:r>
      <w:smartTag w:uri="urn:schemas-microsoft-com:office:smarttags" w:element="Street">
        <w:smartTag w:uri="urn:schemas-microsoft-com:office:smarttags" w:element="address">
          <w:r>
            <w:t>Great Eastern Highway</w:t>
          </w:r>
        </w:smartTag>
      </w:smartTag>
      <w:r>
        <w:t xml:space="preserve"> by the name “</w:t>
      </w:r>
      <w:smartTag w:uri="urn:schemas-microsoft-com:office:smarttags" w:element="place">
        <w:smartTag w:uri="urn:schemas-microsoft-com:office:smarttags" w:element="PlaceName">
          <w:r>
            <w:t>Kagoshima</w:t>
          </w:r>
        </w:smartTag>
        <w:r>
          <w:t xml:space="preserve"> </w:t>
        </w:r>
        <w:smartTag w:uri="urn:schemas-microsoft-com:office:smarttags" w:element="PlaceType">
          <w:r>
            <w:t>Park</w:t>
          </w:r>
        </w:smartTag>
      </w:smartTag>
      <w:r>
        <w:t>”.</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 xml:space="preserve">135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 xml:space="preserve">8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r>
      <w:smartTag w:uri="urn:schemas-microsoft-com:office:smarttags" w:element="place">
        <w:smartTag w:uri="urn:schemas-microsoft-com:office:smarttags" w:element="City">
          <w:r>
            <w:t>Manila</w:t>
          </w:r>
        </w:smartTag>
      </w:smartTag>
      <w:r>
        <w:t>;</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DESMOND KEITH DANS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27" w:name="_Toc456166401"/>
      <w:r>
        <w:rPr>
          <w:rStyle w:val="CharSchNo"/>
        </w:rPr>
        <w:t>Schedule 2</w:t>
      </w:r>
      <w:r>
        <w:t> — </w:t>
      </w:r>
      <w:r>
        <w:rPr>
          <w:rStyle w:val="CharSchText"/>
        </w:rPr>
        <w:t>Supplementary Agreement</w:t>
      </w:r>
      <w:bookmarkEnd w:id="27"/>
    </w:p>
    <w:p>
      <w:pPr>
        <w:pStyle w:val="yShoulderClause"/>
      </w:pPr>
      <w:r>
        <w:t>[s. 3]</w:t>
      </w:r>
    </w:p>
    <w:p>
      <w:pPr>
        <w:pStyle w:val="yFootnoteheading"/>
      </w:pPr>
      <w:r>
        <w:tab/>
        <w:t>[Heading amended by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 xml:space="preserve">THE HONOURABLE PAMELA ANNE BEGGS J.P. M.L.A.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 by No. 44 of 1987 s. 9.]</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ageBreakBefore w:val="0"/>
      </w:pPr>
      <w:bookmarkStart w:id="29" w:name="_Toc456166402"/>
      <w:r>
        <w:rPr>
          <w:rStyle w:val="CharSchNo"/>
        </w:rPr>
        <w:t>Schedule 3</w:t>
      </w:r>
      <w:r>
        <w:t> — </w:t>
      </w:r>
      <w:r>
        <w:rPr>
          <w:rStyle w:val="CharSchText"/>
        </w:rPr>
        <w:t>Second Supplementary Agreement</w:t>
      </w:r>
      <w:bookmarkEnd w:id="29"/>
    </w:p>
    <w:p>
      <w:pPr>
        <w:pStyle w:val="yShoulderClause"/>
      </w:pPr>
      <w:r>
        <w:t>[s. 3]</w:t>
      </w:r>
    </w:p>
    <w:p>
      <w:pPr>
        <w:pStyle w:val="yFootnoteheading"/>
      </w:pPr>
      <w:r>
        <w:tab/>
        <w:t>[Heading amended by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 xml:space="preserve">PERPETUAL TRUSTEES W.A. LTD.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smartTag w:uri="urn:schemas-microsoft-com:office:smarttags" w:element="City">
        <w:smartTag w:uri="urn:schemas-microsoft-com:office:smarttags" w:element="place">
          <w:r>
            <w:t>Dallas</w:t>
          </w:r>
        </w:smartTag>
      </w:smartTag>
      <w:r>
        <w:t xml:space="preserve"> R. Dempster, Director.</w:t>
      </w:r>
    </w:p>
    <w:p>
      <w:pPr>
        <w:pStyle w:val="yMiscellaneousBody"/>
      </w:pPr>
      <w:r>
        <w:t>Yew Seng Kwa, Secretary.</w:t>
      </w:r>
    </w:p>
    <w:p>
      <w:pPr>
        <w:pStyle w:val="yFootnotesection"/>
      </w:pPr>
      <w:r>
        <w:tab/>
        <w:t>[Schedule 3 inserted by No. 15 of 1990 s. 6.]</w:t>
      </w:r>
    </w:p>
    <w:p>
      <w:pPr>
        <w:pStyle w:val="yScheduleHeading"/>
      </w:pPr>
      <w:bookmarkStart w:id="30" w:name="_Toc456166403"/>
      <w:r>
        <w:rPr>
          <w:rStyle w:val="CharSchNo"/>
        </w:rPr>
        <w:t>Schedule 4</w:t>
      </w:r>
      <w:r>
        <w:t> — </w:t>
      </w:r>
      <w:r>
        <w:rPr>
          <w:rStyle w:val="CharSchText"/>
        </w:rPr>
        <w:t>Seventh Supplementary Agreement</w:t>
      </w:r>
      <w:bookmarkEnd w:id="30"/>
    </w:p>
    <w:p>
      <w:pPr>
        <w:pStyle w:val="yShoulderClause"/>
      </w:pPr>
      <w:r>
        <w:t>[s. 3]</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w:t>
      </w:r>
      <w:smartTag w:uri="urn:schemas-microsoft-com:office:smarttags" w:element="place">
        <w:smartTag w:uri="urn:schemas-microsoft-com:office:smarttags" w:element="City">
          <w:r>
            <w:t>St George’s</w:t>
          </w:r>
        </w:smartTag>
      </w:smartTag>
      <w:r>
        <w:t xml:space="preserve"> Terrace” and substituting the following </w:t>
      </w:r>
      <w:r>
        <w:noBreakHyphen/>
      </w:r>
    </w:p>
    <w:p>
      <w:pPr>
        <w:pStyle w:val="yMiscellaneousBody"/>
        <w:tabs>
          <w:tab w:val="left" w:pos="1134"/>
        </w:tabs>
        <w:ind w:left="1701" w:hanging="1701"/>
      </w:pPr>
      <w:r>
        <w:tab/>
      </w:r>
      <w:r>
        <w:tab/>
        <w:t>“C/</w:t>
      </w:r>
      <w:r>
        <w:noBreakHyphen/>
        <w:t xml:space="preserve"> Level 7, </w:t>
      </w:r>
      <w:smartTag w:uri="urn:schemas-microsoft-com:office:smarttags" w:element="Street">
        <w:smartTag w:uri="urn:schemas-microsoft-com:office:smarttags" w:element="address">
          <w:r>
            <w:t>1 Castlereagh Street</w:t>
          </w:r>
        </w:smartTag>
      </w:smartTag>
      <w:r>
        <w:t>”;</w:t>
      </w:r>
    </w:p>
    <w:p>
      <w:pPr>
        <w:pStyle w:val="yMiscellaneousBody"/>
        <w:keepNext/>
        <w:keepLines/>
        <w:tabs>
          <w:tab w:val="left" w:pos="1134"/>
        </w:tabs>
        <w:ind w:left="1701" w:hanging="1701"/>
      </w:pPr>
      <w:r>
        <w:tab/>
        <w:t>(v)</w:t>
      </w:r>
      <w:r>
        <w:tab/>
        <w:t>by deleting “</w:t>
      </w:r>
      <w:smartTag w:uri="urn:schemas-microsoft-com:office:smarttags" w:element="place">
        <w:smartTag w:uri="urn:schemas-microsoft-com:office:smarttags" w:element="City">
          <w:r>
            <w:t>Perth</w:t>
          </w:r>
        </w:smartTag>
      </w:smartTag>
      <w:r>
        <w:t xml:space="preserve"> 6000” in the first place where it occurs, and substituting the following</w:t>
      </w:r>
      <w:r>
        <w:noBreakHyphen/>
      </w:r>
    </w:p>
    <w:p>
      <w:pPr>
        <w:pStyle w:val="yMiscellaneousBody"/>
        <w:tabs>
          <w:tab w:val="left" w:pos="1134"/>
        </w:tabs>
        <w:ind w:left="1701" w:hanging="1701"/>
      </w:pPr>
      <w:r>
        <w:tab/>
      </w:r>
      <w:r>
        <w:tab/>
        <w:t>“</w:t>
      </w:r>
      <w:smartTag w:uri="urn:schemas-microsoft-com:office:smarttags" w:element="City">
        <w:smartTag w:uri="urn:schemas-microsoft-com:office:smarttags" w:element="place">
          <w:r>
            <w:t>Sydney</w:t>
          </w:r>
        </w:smartTag>
      </w:smartTag>
      <w:r>
        <w:t xml:space="preserve">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 xml:space="preserve">by deleting “8 </w:t>
      </w:r>
      <w:smartTag w:uri="urn:schemas-microsoft-com:office:smarttags" w:element="place">
        <w:smartTag w:uri="urn:schemas-microsoft-com:office:smarttags" w:element="City">
          <w:r>
            <w:t>St George’s</w:t>
          </w:r>
        </w:smartTag>
      </w:smartTag>
      <w:r>
        <w:t xml:space="preserve">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 xml:space="preserve">“Gaming Commission of </w:t>
      </w:r>
      <w:smartTag w:uri="urn:schemas-microsoft-com:office:smarttags" w:element="State">
        <w:smartTag w:uri="urn:schemas-microsoft-com:office:smarttags" w:element="place">
          <w:r>
            <w:t>Western Australia</w:t>
          </w:r>
        </w:smartTag>
      </w:smartTag>
      <w:r>
        <w:t>”</w:t>
      </w:r>
    </w:p>
    <w:p>
      <w:pPr>
        <w:pStyle w:val="yMiscellaneousBody"/>
        <w:tabs>
          <w:tab w:val="left" w:pos="1134"/>
        </w:tabs>
        <w:ind w:left="1701" w:hanging="1701"/>
      </w:pPr>
      <w:r>
        <w:tab/>
        <w:t>(vii)</w:t>
      </w:r>
      <w:r>
        <w:tab/>
        <w:t>by deleting “</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w:t>
      </w:r>
      <w:smartTag w:uri="urn:schemas-microsoft-com:office:smarttags" w:element="place">
        <w:smartTag w:uri="urn:schemas-microsoft-com:office:smarttags" w:element="City">
          <w:r>
            <w:t>St. George’s</w:t>
          </w:r>
        </w:smartTag>
      </w:smartTag>
      <w:r>
        <w:t xml:space="preserve"> Terrace” in the second place where it occurs, and substituting the following </w:t>
      </w:r>
      <w:r>
        <w:noBreakHyphen/>
      </w:r>
    </w:p>
    <w:p>
      <w:pPr>
        <w:pStyle w:val="yMiscellaneousBody"/>
        <w:tabs>
          <w:tab w:val="left" w:pos="1134"/>
        </w:tabs>
        <w:ind w:left="1701" w:hanging="1701"/>
      </w:pPr>
      <w:r>
        <w:tab/>
      </w:r>
      <w:r>
        <w:tab/>
        <w:t xml:space="preserve">“87 </w:t>
      </w:r>
      <w:smartTag w:uri="urn:schemas-microsoft-com:office:smarttags" w:element="City">
        <w:smartTag w:uri="urn:schemas-microsoft-com:office:smarttags" w:element="place">
          <w:r>
            <w:t>Adelaide</w:t>
          </w:r>
        </w:smartTag>
      </w:smartTag>
      <w:r>
        <w:t xml:space="preserve"> Terrace”;</w:t>
      </w:r>
    </w:p>
    <w:p>
      <w:pPr>
        <w:pStyle w:val="yMiscellaneousBody"/>
        <w:tabs>
          <w:tab w:val="left" w:pos="1134"/>
        </w:tabs>
        <w:ind w:left="1701" w:hanging="1701"/>
      </w:pPr>
      <w:r>
        <w:tab/>
        <w:t>(ix)</w:t>
      </w:r>
      <w:r>
        <w:tab/>
        <w:t>by deleting “</w:t>
      </w:r>
      <w:smartTag w:uri="urn:schemas-microsoft-com:office:smarttags" w:element="place">
        <w:smartTag w:uri="urn:schemas-microsoft-com:office:smarttags" w:element="City">
          <w:r>
            <w:t>Perth</w:t>
          </w:r>
        </w:smartTag>
      </w:smartTag>
      <w:r>
        <w:t xml:space="preserve"> 6000” in the second place where it occurs, and substituting the following</w:t>
      </w:r>
      <w:r>
        <w:noBreakHyphen/>
      </w:r>
    </w:p>
    <w:p>
      <w:pPr>
        <w:pStyle w:val="yMiscellaneousBody"/>
        <w:tabs>
          <w:tab w:val="left" w:pos="1134"/>
        </w:tabs>
        <w:ind w:left="1701" w:hanging="1701"/>
      </w:pPr>
      <w:r>
        <w:tab/>
      </w:r>
      <w:r>
        <w:tab/>
        <w:t>“</w:t>
      </w:r>
      <w:smartTag w:uri="urn:schemas-microsoft-com:office:smarttags" w:element="place">
        <w:r>
          <w:t>East Perth</w:t>
        </w:r>
      </w:smartTag>
      <w:r>
        <w:t xml:space="preserve">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 xml:space="preserve">require that the head office of the Approved Company always be located in </w:t>
      </w:r>
      <w:smartTag w:uri="urn:schemas-microsoft-com:office:smarttags" w:element="place">
        <w:smartTag w:uri="urn:schemas-microsoft-com:office:smarttags" w:element="State">
          <w:r>
            <w:t>Western Australia</w:t>
          </w:r>
        </w:smartTag>
      </w:smartTag>
      <w:r>
        <w:t>;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 xml:space="preserve">prohibit the Approved Company, at all times, from taking any action to become incorporated outside </w:t>
      </w:r>
      <w:smartTag w:uri="urn:schemas-microsoft-com:office:smarttags" w:element="place">
        <w:smartTag w:uri="urn:schemas-microsoft-com:office:smarttags" w:element="country-region">
          <w:r>
            <w:t>Australia</w:t>
          </w:r>
        </w:smartTag>
      </w:smartTag>
      <w:r>
        <w:t>;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 xml:space="preserve">an individual who is an Australian citizen or is ordinarily resident in </w:t>
      </w:r>
      <w:smartTag w:uri="urn:schemas-microsoft-com:office:smarttags" w:element="place">
        <w:smartTag w:uri="urn:schemas-microsoft-com:office:smarttags" w:element="country-region">
          <w:r>
            <w:t>Australia</w:t>
          </w:r>
        </w:smartTag>
      </w:smartTag>
      <w:r>
        <w:t>;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31" w:name="_Toc456166404"/>
      <w:r>
        <w:rPr>
          <w:rStyle w:val="CharSchNo"/>
        </w:rPr>
        <w:t>Schedule 5</w:t>
      </w:r>
      <w:r>
        <w:t> — </w:t>
      </w:r>
      <w:r>
        <w:rPr>
          <w:rStyle w:val="CharSchText"/>
        </w:rPr>
        <w:t>Third Supplementary Agreement</w:t>
      </w:r>
      <w:bookmarkEnd w:id="31"/>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tabs>
                <w:tab w:val="left" w:pos="2040"/>
              </w:tabs>
            </w:pPr>
            <w:smartTag w:uri="urn:schemas-microsoft-com:office:smarttags" w:element="Street">
              <w:smartTag w:uri="urn:schemas-microsoft-com:office:smarttags" w:element="address">
                <w:r>
                  <w:t xml:space="preserve">A J Secker </w:t>
                </w:r>
                <w:r>
                  <w:tab/>
                  <w:t>CT</w:t>
                </w:r>
              </w:smartTag>
            </w:smartTag>
            <w:r>
              <w:t xml:space="preserve">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32" w:name="_Toc456166405"/>
      <w:r>
        <w:rPr>
          <w:rStyle w:val="CharSchNo"/>
        </w:rPr>
        <w:t>Schedule 6</w:t>
      </w:r>
      <w:r>
        <w:t> — </w:t>
      </w:r>
      <w:r>
        <w:rPr>
          <w:rStyle w:val="CharSchText"/>
        </w:rPr>
        <w:t>Fourth Supplementary Agreement</w:t>
      </w:r>
      <w:bookmarkEnd w:id="32"/>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 xml:space="preserve">M </w:t>
            </w:r>
            <w:smartTag w:uri="urn:schemas-microsoft-com:office:smarttags" w:element="Street">
              <w:smartTag w:uri="urn:schemas-microsoft-com:office:smarttags" w:element="address">
                <w:r>
                  <w:t>J Egan</w:t>
                </w:r>
                <w:r>
                  <w:tab/>
                  <w:t>CT</w:t>
                </w:r>
              </w:smartTag>
            </w:smartTag>
            <w:r>
              <w:t xml:space="preserve">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33" w:name="_Toc456166406"/>
      <w:r>
        <w:rPr>
          <w:rStyle w:val="CharSchNo"/>
        </w:rPr>
        <w:t>Schedule 7</w:t>
      </w:r>
      <w:r>
        <w:t> — </w:t>
      </w:r>
      <w:r>
        <w:rPr>
          <w:rStyle w:val="CharSchText"/>
        </w:rPr>
        <w:t>Fifth Supplementary Agreement</w:t>
      </w:r>
      <w:bookmarkEnd w:id="33"/>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34" w:name="_Toc456166407"/>
      <w:r>
        <w:rPr>
          <w:rStyle w:val="CharSchNo"/>
        </w:rPr>
        <w:t>Schedule 8</w:t>
      </w:r>
      <w:r>
        <w:t> — </w:t>
      </w:r>
      <w:r>
        <w:rPr>
          <w:rStyle w:val="CharSchText"/>
        </w:rPr>
        <w:t>Sixth Supplementary Agreement</w:t>
      </w:r>
      <w:bookmarkEnd w:id="34"/>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35" w:name="_Toc456166408"/>
      <w:r>
        <w:rPr>
          <w:rStyle w:val="CharSchNo"/>
        </w:rPr>
        <w:t>Schedule 9</w:t>
      </w:r>
      <w:r>
        <w:t> — </w:t>
      </w:r>
      <w:r>
        <w:rPr>
          <w:rStyle w:val="CharSchText"/>
        </w:rPr>
        <w:t>Eighth Supplementary Agreement</w:t>
      </w:r>
      <w:bookmarkEnd w:id="35"/>
    </w:p>
    <w:p>
      <w:pPr>
        <w:pStyle w:val="yShoulderClause"/>
      </w:pPr>
      <w:r>
        <w:t>[s. 3]</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rPr>
              <w:snapToGrid w:val="0"/>
              <w:color w:val="000000"/>
            </w:rPr>
            <w:t>Western Australia</w:t>
          </w:r>
        </w:smartTag>
      </w:smartTag>
      <w:r>
        <w:rPr>
          <w:snapToGrid w:val="0"/>
          <w:color w:val="000000"/>
        </w:rPr>
        <w:t xml:space="preserve">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w:t>
      </w:r>
      <w:smartTag w:uri="urn:schemas-microsoft-com:office:smarttags" w:element="place">
        <w:smartTag w:uri="urn:schemas-microsoft-com:office:smarttags" w:element="City">
          <w:r>
            <w:rPr>
              <w:snapToGrid w:val="0"/>
            </w:rPr>
            <w:t>Genting</w:t>
          </w:r>
        </w:smartTag>
        <w:r>
          <w:rPr>
            <w:snapToGrid w:val="0"/>
          </w:rPr>
          <w:t xml:space="preserve"> </w:t>
        </w:r>
        <w:smartTag w:uri="urn:schemas-microsoft-com:office:smarttags" w:element="State">
          <w:r>
            <w:rPr>
              <w:snapToGrid w:val="0"/>
            </w:rPr>
            <w:t>WA</w:t>
          </w:r>
        </w:smartTag>
      </w:smartTag>
      <w:r>
        <w:rPr>
          <w:snapToGrid w:val="0"/>
        </w:rPr>
        <w:t>”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xml:space="preserve">”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w:t>
      </w:r>
      <w:smartTag w:uri="urn:schemas-microsoft-com:office:smarttags" w:element="country-region">
        <w:r>
          <w:rPr>
            <w:i/>
            <w:snapToGrid w:val="0"/>
          </w:rPr>
          <w:t>Australia</w:t>
        </w:r>
      </w:smartTag>
      <w:r>
        <w:rPr>
          <w:i/>
          <w:snapToGrid w:val="0"/>
        </w:rPr>
        <w:t xml:space="preserve">” means the holder of a foreign passport whose principal place of residence is outside </w:t>
      </w:r>
      <w:smartTag w:uri="urn:schemas-microsoft-com:office:smarttags" w:element="place">
        <w:smartTag w:uri="urn:schemas-microsoft-com:office:smarttags" w:element="country-region">
          <w:r>
            <w:rPr>
              <w:i/>
              <w:snapToGrid w:val="0"/>
            </w:rPr>
            <w:t>Australia</w:t>
          </w:r>
        </w:smartTag>
      </w:smartTag>
      <w:r>
        <w:rPr>
          <w:i/>
          <w:snapToGrid w:val="0"/>
        </w:rPr>
        <w:t>;</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 “State” or “</w:t>
      </w:r>
      <w:smartTag w:uri="urn:schemas-microsoft-com:office:smarttags" w:element="place">
        <w:smartTag w:uri="urn:schemas-microsoft-com:office:smarttags" w:element="State">
          <w:r>
            <w:rPr>
              <w:snapToGrid w:val="0"/>
            </w:rPr>
            <w:t>Western Australia</w:t>
          </w:r>
        </w:smartTag>
      </w:smartTag>
      <w:r>
        <w:rPr>
          <w:snapToGrid w:val="0"/>
        </w:rPr>
        <w:t>”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r>
      <w:smartTag w:uri="urn:schemas-microsoft-com:office:smarttags" w:element="City">
        <w:smartTag w:uri="urn:schemas-microsoft-com:office:smarttags" w:element="place">
          <w:r>
            <w:rPr>
              <w:i/>
              <w:snapToGrid w:val="0"/>
            </w:rPr>
            <w:t>London</w:t>
          </w:r>
        </w:smartTag>
      </w:smartTag>
      <w:r>
        <w:rPr>
          <w:i/>
          <w:snapToGrid w:val="0"/>
        </w:rPr>
        <w:t xml:space="preserve">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Perth</w:t>
          </w:r>
        </w:smartTag>
        <w:r>
          <w:rPr>
            <w:i/>
            <w:snapToGrid w:val="0"/>
          </w:rPr>
          <w:t xml:space="preserve"> </w:t>
        </w:r>
        <w:smartTag w:uri="urn:schemas-microsoft-com:office:smarttags" w:element="State">
          <w:r>
            <w:rPr>
              <w:i/>
              <w:snapToGrid w:val="0"/>
            </w:rPr>
            <w:t>WA</w:t>
          </w:r>
        </w:smartTag>
      </w:smartTag>
      <w:r>
        <w:rPr>
          <w:i/>
          <w:snapToGrid w:val="0"/>
        </w:rPr>
        <w:t xml:space="preserve">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 xml:space="preserve">Gaming Commission of </w:t>
      </w:r>
      <w:smartTag w:uri="urn:schemas-microsoft-com:office:smarttags" w:element="State">
        <w:smartTag w:uri="urn:schemas-microsoft-com:office:smarttags" w:element="place">
          <w:r>
            <w:rPr>
              <w:i/>
              <w:snapToGrid w:val="0"/>
            </w:rPr>
            <w:t>Western Australia</w:t>
          </w:r>
        </w:smartTag>
      </w:smartTag>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 xml:space="preserve">87 </w:t>
      </w:r>
      <w:smartTag w:uri="urn:schemas-microsoft-com:office:smarttags" w:element="City">
        <w:smartTag w:uri="urn:schemas-microsoft-com:office:smarttags" w:element="place">
          <w:r>
            <w:rPr>
              <w:i/>
              <w:snapToGrid w:val="0"/>
            </w:rPr>
            <w:t>Adelaide</w:t>
          </w:r>
        </w:smartTag>
      </w:smartTag>
      <w:r>
        <w:rPr>
          <w:i/>
          <w:snapToGrid w:val="0"/>
        </w:rPr>
        <w:t xml:space="preserve">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East Perth</w:t>
          </w:r>
        </w:smartTag>
        <w:r>
          <w:rPr>
            <w:i/>
            <w:snapToGrid w:val="0"/>
          </w:rPr>
          <w:t xml:space="preserve"> </w:t>
        </w:r>
        <w:smartTag w:uri="urn:schemas-microsoft-com:office:smarttags" w:element="State">
          <w:r>
            <w:rPr>
              <w:i/>
              <w:snapToGrid w:val="0"/>
            </w:rPr>
            <w:t>WA</w:t>
          </w:r>
        </w:smartTag>
      </w:smartTag>
      <w:r>
        <w:rPr>
          <w:i/>
          <w:snapToGrid w:val="0"/>
        </w:rPr>
        <w:t xml:space="preserve">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smartTag w:uri="urn:schemas-microsoft-com:office:smarttags" w:element="place">
        <w:r>
          <w:rPr>
            <w:snapToGrid w:val="0"/>
          </w:rPr>
          <w:t>Caribbean</w:t>
        </w:r>
      </w:smartTag>
      <w:r>
        <w:rPr>
          <w:snapToGrid w:val="0"/>
        </w:rPr>
        <w:t xml:space="preserve">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 xml:space="preserve">Competition </w:t>
      </w: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pageBreakBefore/>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 xml:space="preserve">The head office of the Company must always be located in </w:t>
      </w:r>
      <w:smartTag w:uri="urn:schemas-microsoft-com:office:smarttags" w:element="State">
        <w:smartTag w:uri="urn:schemas-microsoft-com:office:smarttags" w:element="place">
          <w:r>
            <w:t>Western Australia</w:t>
          </w:r>
        </w:smartTag>
      </w:smartTag>
      <w:r>
        <w:t>.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 xml:space="preserve">The Company must not at any time take any action to become incorporated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r>
      <w:smartTag w:uri="urn:schemas-microsoft-com:office:smarttags" w:element="place">
        <w:smartTag w:uri="urn:schemas-microsoft-com:office:smarttags" w:element="State">
          <w:r>
            <w:t>Western Australia</w:t>
          </w:r>
        </w:smartTag>
      </w:smartTag>
      <w:r>
        <w:t xml:space="preserve">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36" w:name="_Toc456166409"/>
      <w:r>
        <w:rPr>
          <w:rStyle w:val="CharSchNo"/>
        </w:rPr>
        <w:t>Schedule 10</w:t>
      </w:r>
      <w:r>
        <w:t> — </w:t>
      </w:r>
      <w:r>
        <w:rPr>
          <w:rStyle w:val="CharSchText"/>
        </w:rPr>
        <w:t>Ninth Supplementary Agreement</w:t>
      </w:r>
      <w:bookmarkEnd w:id="36"/>
    </w:p>
    <w:p>
      <w:pPr>
        <w:pStyle w:val="yShoulderClause"/>
      </w:pPr>
      <w:r>
        <w:t>[s. 3A]</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w:t>
            </w:r>
          </w:p>
          <w:p>
            <w:pPr>
              <w:pStyle w:val="yTable"/>
            </w:pPr>
            <w:r>
              <w:t xml:space="preserve">Level 20, 197 St Georges Tce,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rPr>
          <w:cantSplit/>
        </w:trP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smartTag w:uri="urn:schemas-microsoft-com:office:smarttags" w:element="State">
              <w:smartTag w:uri="urn:schemas-microsoft-com:office:smarttags" w:element="place">
                <w:r>
                  <w:t>Western Australia</w:t>
                </w:r>
              </w:smartTag>
            </w:smartTag>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 xml:space="preserve">“Reinstatement of Hotel and </w:t>
      </w:r>
      <w:smartTag w:uri="urn:schemas-microsoft-com:office:smarttags" w:element="Street">
        <w:smartTag w:uri="urn:schemas-microsoft-com:office:smarttags" w:element="address">
          <w:r>
            <w:rPr>
              <w:i/>
            </w:rPr>
            <w:t>Tennis Court</w:t>
          </w:r>
        </w:smartTag>
      </w:smartTag>
      <w:r>
        <w:rPr>
          <w:i/>
        </w:rPr>
        <w:t xml:space="preserve">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37" w:name="_Toc456166410"/>
      <w:r>
        <w:rPr>
          <w:rStyle w:val="CharSchNo"/>
        </w:rPr>
        <w:t>Schedule 11</w:t>
      </w:r>
      <w:r>
        <w:t> — </w:t>
      </w:r>
      <w:r>
        <w:rPr>
          <w:rStyle w:val="CharSchText"/>
        </w:rPr>
        <w:t>Tenth Supplementary Agreement</w:t>
      </w:r>
      <w:bookmarkEnd w:id="37"/>
    </w:p>
    <w:p>
      <w:pPr>
        <w:pStyle w:val="yShoulderClause"/>
      </w:pPr>
      <w:r>
        <w:t>[s. 3A]</w:t>
      </w:r>
    </w:p>
    <w:p>
      <w:pPr>
        <w:pStyle w:val="yMiscellaneousHeading"/>
        <w:rPr>
          <w:b/>
          <w:bCs/>
          <w:sz w:val="28"/>
        </w:rPr>
      </w:pPr>
      <w:r>
        <w:rPr>
          <w:b/>
          <w:bCs/>
          <w:sz w:val="28"/>
        </w:rPr>
        <w:t>Casino (</w:t>
      </w:r>
      <w:smartTag w:uri="urn:schemas-microsoft-com:office:smarttags" w:element="place">
        <w:smartTag w:uri="urn:schemas-microsoft-com:office:smarttags" w:element="PlaceName">
          <w:r>
            <w:rPr>
              <w:b/>
              <w:bCs/>
              <w:sz w:val="28"/>
            </w:rPr>
            <w:t>Burswood</w:t>
          </w:r>
        </w:smartTag>
        <w:r>
          <w:rPr>
            <w:b/>
            <w:bCs/>
            <w:sz w:val="28"/>
          </w:rPr>
          <w:t xml:space="preserve"> </w:t>
        </w:r>
        <w:smartTag w:uri="urn:schemas-microsoft-com:office:smarttags" w:element="PlaceType">
          <w:r>
            <w:rPr>
              <w:b/>
              <w:bCs/>
              <w:sz w:val="28"/>
            </w:rPr>
            <w:t>Island</w:t>
          </w:r>
        </w:smartTag>
      </w:smartTag>
      <w:r>
        <w:rPr>
          <w:b/>
          <w:bCs/>
          <w:sz w:val="28"/>
        </w:rPr>
        <w:t>)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38" w:name="_Toc456166411"/>
      <w:r>
        <w:rPr>
          <w:rStyle w:val="CharSchNo"/>
        </w:rPr>
        <w:t>Schedule 12</w:t>
      </w:r>
      <w:r>
        <w:t xml:space="preserve"> — </w:t>
      </w:r>
      <w:r>
        <w:rPr>
          <w:rStyle w:val="CharSchText"/>
        </w:rPr>
        <w:t>Eleventh Supplementary Agreement</w:t>
      </w:r>
      <w:bookmarkEnd w:id="38"/>
    </w:p>
    <w:p>
      <w:pPr>
        <w:pStyle w:val="yShoulderClause"/>
      </w:pPr>
      <w:r>
        <w:t>[s. 3]</w:t>
      </w:r>
    </w:p>
    <w:p>
      <w:pPr>
        <w:pStyle w:val="yFootnoteheading"/>
      </w:pPr>
      <w:r>
        <w:tab/>
        <w:t>[Heading inserted by No. 17 of 2008 s. 6.]</w:t>
      </w:r>
    </w:p>
    <w:p>
      <w:pPr>
        <w:pStyle w:val="yMiscellaneousHeading"/>
        <w:keepNext w:val="0"/>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inserting after the definition of “ “State” or “</w:t>
      </w:r>
      <w:smartTag w:uri="urn:schemas-microsoft-com:office:smarttags" w:element="place">
        <w:smartTag w:uri="urn:schemas-microsoft-com:office:smarttags" w:element="State">
          <w:r>
            <w:t>Western Australia</w:t>
          </w:r>
        </w:smartTag>
      </w:smartTag>
      <w:r>
        <w:t xml:space="preserve">”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 xml:space="preserve">expenditure on projects approved by the Rivers Management Minister for the protection and enhancement of ecological and community benefits and amenity of the Swan and </w:t>
      </w:r>
      <w:smartTag w:uri="urn:schemas-microsoft-com:office:smarttags" w:element="place">
        <w:smartTag w:uri="urn:schemas-microsoft-com:office:smarttags" w:element="PlaceName">
          <w:r>
            <w:rPr>
              <w:i/>
              <w:iCs/>
            </w:rPr>
            <w:t>Canning</w:t>
          </w:r>
        </w:smartTag>
        <w:r>
          <w:rPr>
            <w:i/>
            <w:iCs/>
          </w:rPr>
          <w:t xml:space="preserve"> </w:t>
        </w:r>
        <w:smartTag w:uri="urn:schemas-microsoft-com:office:smarttags" w:element="PlaceType">
          <w:r>
            <w:rPr>
              <w:i/>
              <w:iCs/>
            </w:rPr>
            <w:t>Rivers</w:t>
          </w:r>
        </w:smartTag>
      </w:smartTag>
      <w:r>
        <w:rPr>
          <w:i/>
          <w:iCs/>
        </w:rPr>
        <w:t xml:space="preserve">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39" w:name="_Toc456166412"/>
      <w:r>
        <w:rPr>
          <w:rStyle w:val="CharSchNo"/>
        </w:rPr>
        <w:t>Schedule 13</w:t>
      </w:r>
      <w:r>
        <w:t> — </w:t>
      </w:r>
      <w:r>
        <w:rPr>
          <w:rStyle w:val="CharSchText"/>
        </w:rPr>
        <w:t>Twelfth Supplementary Agreement</w:t>
      </w:r>
      <w:bookmarkEnd w:id="39"/>
    </w:p>
    <w:p>
      <w:pPr>
        <w:pStyle w:val="yShoulderClause"/>
      </w:pPr>
      <w:r>
        <w:t>[s. 3]</w:t>
      </w:r>
    </w:p>
    <w:p>
      <w:pPr>
        <w:pStyle w:val="yFootnoteheading"/>
        <w:spacing w:after="60"/>
      </w:pPr>
      <w:r>
        <w:tab/>
        <w:t>[Heading inserted by No. 25 of 2011 s. 6.]</w:t>
      </w:r>
    </w:p>
    <w:p>
      <w:pPr>
        <w:pStyle w:val="yMiscellaneousHeading"/>
        <w:rPr>
          <w:b/>
          <w:bCs/>
        </w:rPr>
      </w:pPr>
      <w:r>
        <w:rPr>
          <w:b/>
          <w:bCs/>
        </w:rPr>
        <w:t>Casino (</w:t>
      </w:r>
      <w:smartTag w:uri="urn:schemas-microsoft-com:office:smarttags" w:element="place">
        <w:smartTag w:uri="urn:schemas-microsoft-com:office:smarttags" w:element="PlaceName">
          <w:r>
            <w:rPr>
              <w:b/>
              <w:bCs/>
            </w:rPr>
            <w:t>Burswood</w:t>
          </w:r>
        </w:smartTag>
        <w:r>
          <w:rPr>
            <w:b/>
            <w:bCs/>
          </w:rPr>
          <w:t xml:space="preserve"> </w:t>
        </w:r>
        <w:smartTag w:uri="urn:schemas-microsoft-com:office:smarttags" w:element="PlaceType">
          <w:r>
            <w:rPr>
              <w:b/>
              <w:bCs/>
            </w:rPr>
            <w:t>Island</w:t>
          </w:r>
        </w:smartTag>
      </w:smartTag>
      <w:r>
        <w:rPr>
          <w:b/>
          <w:bCs/>
        </w:rPr>
        <w:t>)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 xml:space="preserve">Heirisson </w:t>
      </w:r>
      <w:smartTag w:uri="urn:schemas-microsoft-com:office:smarttags" w:element="PlaceType">
        <w:r>
          <w:rPr>
            <w:b/>
            <w:i/>
          </w:rPr>
          <w:t>Island</w:t>
        </w:r>
      </w:smartTag>
      <w:r>
        <w:rPr>
          <w:b/>
          <w:i/>
        </w:rPr>
        <w:t xml:space="preserve"> </w:t>
      </w:r>
      <w:smartTag w:uri="urn:schemas-microsoft-com:office:smarttags" w:element="PlaceName">
        <w:r>
          <w:rPr>
            <w:b/>
            <w:i/>
          </w:rPr>
          <w:t>Sculpture</w:t>
        </w:r>
      </w:smartTag>
      <w:r>
        <w:rPr>
          <w:b/>
          <w:i/>
        </w:rPr>
        <w:t xml:space="preserve"> </w:t>
      </w:r>
      <w:smartTag w:uri="urn:schemas-microsoft-com:office:smarttags" w:element="PlaceType">
        <w:r>
          <w:rPr>
            <w:b/>
            <w:i/>
          </w:rPr>
          <w:t>Park</w:t>
        </w:r>
      </w:smartTag>
      <w:r>
        <w:rPr>
          <w:b/>
          <w:i/>
        </w:rPr>
        <w:t xml:space="preserve"> Project</w:t>
      </w:r>
      <w:r>
        <w:rPr>
          <w:b/>
        </w:rPr>
        <w:t>”</w:t>
      </w:r>
      <w:r>
        <w:t xml:space="preserve"> means the State Government of Western Australia’s proposal to enhance </w:t>
      </w:r>
      <w:smartTag w:uri="urn:schemas-microsoft-com:office:smarttags" w:element="place">
        <w:smartTag w:uri="urn:schemas-microsoft-com:office:smarttags" w:element="PlaceName">
          <w:r>
            <w:t>Heirisson</w:t>
          </w:r>
        </w:smartTag>
        <w:r>
          <w:t xml:space="preserve"> </w:t>
        </w:r>
        <w:smartTag w:uri="urn:schemas-microsoft-com:office:smarttags" w:element="PlaceType">
          <w:r>
            <w:t>Island</w:t>
          </w:r>
        </w:smartTag>
      </w:smartTag>
      <w:r>
        <w:t xml:space="preserve">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 xml:space="preserve">behalf of the State of </w:t>
      </w:r>
      <w:smartTag w:uri="urn:schemas-microsoft-com:office:smarttags" w:element="place">
        <w:smartTag w:uri="urn:schemas-microsoft-com:office:smarttags" w:element="State">
          <w:r>
            <w:t>Western</w:t>
          </w:r>
        </w:smartTag>
      </w:smartTag>
      <w:r>
        <w:tab/>
        <w:t>)</w:t>
      </w:r>
    </w:p>
    <w:p>
      <w:pPr>
        <w:pStyle w:val="yMiscellaneousBody"/>
        <w:tabs>
          <w:tab w:val="left" w:pos="3240"/>
        </w:tabs>
        <w:spacing w:before="0"/>
      </w:pPr>
      <w:smartTag w:uri="urn:schemas-microsoft-com:office:smarttags" w:element="country-region">
        <w:smartTag w:uri="urn:schemas-microsoft-com:office:smarttags" w:element="place">
          <w:r>
            <w:t>Australia</w:t>
          </w:r>
        </w:smartTag>
      </w:smartTag>
      <w:r>
        <w:t xml:space="preserve">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380" w:gutter="0"/>
          <w:cols w:space="720"/>
          <w:noEndnote/>
          <w:docGrid w:linePitch="326"/>
        </w:sectPr>
      </w:pPr>
    </w:p>
    <w:p>
      <w:pPr>
        <w:pStyle w:val="yScheduleHeading"/>
      </w:pPr>
      <w:bookmarkStart w:id="40" w:name="_Toc456166413"/>
      <w:r>
        <w:rPr>
          <w:rStyle w:val="CharSchNo"/>
        </w:rPr>
        <w:t>Schedule 14</w:t>
      </w:r>
      <w:r>
        <w:t> — </w:t>
      </w:r>
      <w:r>
        <w:rPr>
          <w:rStyle w:val="CharSchText"/>
        </w:rPr>
        <w:t>Thirteenth Supplementary Agreement</w:t>
      </w:r>
      <w:bookmarkEnd w:id="40"/>
    </w:p>
    <w:p>
      <w:pPr>
        <w:pStyle w:val="yShoulderClause"/>
      </w:pPr>
      <w:r>
        <w:t>[s. 3A]</w:t>
      </w:r>
    </w:p>
    <w:p>
      <w:pPr>
        <w:pStyle w:val="yFootnoteheading"/>
      </w:pPr>
      <w:r>
        <w:tab/>
        <w:t>[Heading inserted in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t>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in Gazette 28 Jul 2015 p. 3084</w:t>
      </w:r>
      <w:r>
        <w:noBreakHyphen/>
        <w:t>8.]</w:t>
      </w:r>
    </w:p>
    <w:p>
      <w:pPr>
        <w:pStyle w:val="CentredBaseLine"/>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30"/>
          <w:pgSz w:w="11907" w:h="16840" w:code="9"/>
          <w:pgMar w:top="2381" w:right="2409" w:bottom="3543" w:left="2409" w:header="720" w:footer="3380" w:gutter="0"/>
          <w:cols w:space="720"/>
          <w:noEndnote/>
          <w:docGrid w:linePitch="326"/>
        </w:sectPr>
      </w:pPr>
    </w:p>
    <w:p>
      <w:pPr>
        <w:pStyle w:val="nHeading2"/>
      </w:pPr>
      <w:bookmarkStart w:id="41" w:name="_Toc456166414"/>
      <w:r>
        <w:t>Notes</w:t>
      </w:r>
      <w:bookmarkEnd w:id="41"/>
    </w:p>
    <w:p>
      <w:pPr>
        <w:pStyle w:val="nSubsection"/>
      </w:pPr>
      <w:r>
        <w:rPr>
          <w:vertAlign w:val="superscript"/>
        </w:rPr>
        <w:t>1</w:t>
      </w:r>
      <w:r>
        <w:tab/>
        <w:t xml:space="preserve">This reprint is a compilation as at 12 August 2016 of the </w:t>
      </w:r>
      <w:r>
        <w:rPr>
          <w:i/>
          <w:noProof/>
        </w:rPr>
        <w:t>Casino (Burswood Island) Agreement Act 1985</w:t>
      </w:r>
      <w:r>
        <w:t xml:space="preserve"> and includes the amendments made by the other written laws referred to in the following table.  The table also contains information about any reprint.</w:t>
      </w:r>
    </w:p>
    <w:p>
      <w:pPr>
        <w:pStyle w:val="nHeading3"/>
        <w:rPr>
          <w:snapToGrid w:val="0"/>
        </w:rPr>
      </w:pPr>
      <w:bookmarkStart w:id="42" w:name="_Toc456166415"/>
      <w:r>
        <w:rPr>
          <w:snapToGrid w:val="0"/>
        </w:rPr>
        <w:t>Compilation table</w:t>
      </w:r>
      <w:bookmarkEnd w:id="42"/>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2"/>
      </w:tblGrid>
      <w:tr>
        <w:trPr>
          <w:gridAfter w:val="1"/>
          <w:wAfter w:w="9"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2268" w:type="dxa"/>
            <w:gridSpan w:val="2"/>
            <w:tcBorders>
              <w:top w:val="single" w:sz="8" w:space="0" w:color="auto"/>
            </w:tcBorders>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134" w:type="dxa"/>
            <w:gridSpan w:val="2"/>
            <w:tcBorders>
              <w:top w:val="single" w:sz="8" w:space="0" w:color="auto"/>
            </w:tcBorders>
          </w:tcPr>
          <w:p>
            <w:pPr>
              <w:pStyle w:val="nTable"/>
              <w:spacing w:after="40"/>
            </w:pPr>
            <w:r>
              <w:t>9 of 1985</w:t>
            </w:r>
          </w:p>
        </w:tc>
        <w:tc>
          <w:tcPr>
            <w:tcW w:w="1136" w:type="dxa"/>
            <w:gridSpan w:val="2"/>
            <w:tcBorders>
              <w:top w:val="single" w:sz="8" w:space="0" w:color="auto"/>
            </w:tcBorders>
          </w:tcPr>
          <w:p>
            <w:pPr>
              <w:pStyle w:val="nTable"/>
              <w:spacing w:after="40"/>
            </w:pPr>
            <w:r>
              <w:t>25 Mar 1985</w:t>
            </w:r>
          </w:p>
        </w:tc>
        <w:tc>
          <w:tcPr>
            <w:tcW w:w="2551" w:type="dxa"/>
            <w:gridSpan w:val="2"/>
            <w:tcBorders>
              <w:top w:val="single" w:sz="8" w:space="0" w:color="auto"/>
            </w:tcBorders>
          </w:tcPr>
          <w:p>
            <w:pPr>
              <w:pStyle w:val="nTable"/>
              <w:spacing w:after="40"/>
            </w:pPr>
            <w:r>
              <w:t>25 Mar 1985 (see s. 2)</w:t>
            </w:r>
          </w:p>
        </w:tc>
      </w:tr>
      <w:tr>
        <w:trPr>
          <w:gridAfter w:val="1"/>
          <w:wAfter w:w="9" w:type="dxa"/>
          <w:cantSplit/>
        </w:trPr>
        <w:tc>
          <w:tcPr>
            <w:tcW w:w="2268" w:type="dxa"/>
            <w:gridSpan w:val="2"/>
          </w:tcPr>
          <w:p>
            <w:pPr>
              <w:pStyle w:val="nTable"/>
              <w:spacing w:after="40"/>
              <w:ind w:right="113"/>
            </w:pPr>
            <w:r>
              <w:rPr>
                <w:i/>
              </w:rPr>
              <w:t xml:space="preserve">Acts Amendment (Casino Control) Act 1987 </w:t>
            </w:r>
            <w:r>
              <w:t>Pt. II</w:t>
            </w:r>
          </w:p>
        </w:tc>
        <w:tc>
          <w:tcPr>
            <w:tcW w:w="1134" w:type="dxa"/>
            <w:gridSpan w:val="2"/>
          </w:tcPr>
          <w:p>
            <w:pPr>
              <w:pStyle w:val="nTable"/>
              <w:spacing w:after="40"/>
            </w:pPr>
            <w:r>
              <w:t>44 of 1987</w:t>
            </w:r>
          </w:p>
        </w:tc>
        <w:tc>
          <w:tcPr>
            <w:tcW w:w="1136" w:type="dxa"/>
            <w:gridSpan w:val="2"/>
          </w:tcPr>
          <w:p>
            <w:pPr>
              <w:pStyle w:val="nTable"/>
              <w:spacing w:after="40"/>
            </w:pPr>
            <w:r>
              <w:t>22 Sep 1987</w:t>
            </w:r>
          </w:p>
        </w:tc>
        <w:tc>
          <w:tcPr>
            <w:tcW w:w="2551" w:type="dxa"/>
            <w:gridSpan w:val="2"/>
          </w:tcPr>
          <w:p>
            <w:pPr>
              <w:pStyle w:val="nTable"/>
              <w:spacing w:after="40"/>
            </w:pPr>
            <w:r>
              <w:t>13 Sep 1987 (see s. 2)</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1990</w:t>
            </w:r>
          </w:p>
        </w:tc>
        <w:tc>
          <w:tcPr>
            <w:tcW w:w="1134" w:type="dxa"/>
            <w:gridSpan w:val="2"/>
          </w:tcPr>
          <w:p>
            <w:pPr>
              <w:pStyle w:val="nTable"/>
              <w:spacing w:after="40"/>
            </w:pPr>
            <w:r>
              <w:t>15 of 1990</w:t>
            </w:r>
          </w:p>
        </w:tc>
        <w:tc>
          <w:tcPr>
            <w:tcW w:w="1136" w:type="dxa"/>
            <w:gridSpan w:val="2"/>
          </w:tcPr>
          <w:p>
            <w:pPr>
              <w:pStyle w:val="nTable"/>
              <w:spacing w:after="40"/>
            </w:pPr>
            <w:r>
              <w:t>31 Jul 1990</w:t>
            </w:r>
          </w:p>
        </w:tc>
        <w:tc>
          <w:tcPr>
            <w:tcW w:w="2551" w:type="dxa"/>
            <w:gridSpan w:val="2"/>
          </w:tcPr>
          <w:p>
            <w:pPr>
              <w:pStyle w:val="nTable"/>
              <w:spacing w:after="40"/>
            </w:pPr>
            <w:r>
              <w:t>31 Jul 1990 (see s. 3)</w:t>
            </w:r>
          </w:p>
        </w:tc>
      </w:tr>
      <w:tr>
        <w:trPr>
          <w:gridAfter w:val="1"/>
          <w:wAfter w:w="9"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1997</w:t>
            </w:r>
          </w:p>
        </w:tc>
        <w:tc>
          <w:tcPr>
            <w:tcW w:w="1134" w:type="dxa"/>
            <w:gridSpan w:val="2"/>
          </w:tcPr>
          <w:p>
            <w:pPr>
              <w:pStyle w:val="nTable"/>
              <w:spacing w:after="40"/>
            </w:pPr>
            <w:r>
              <w:t>20 of 1997</w:t>
            </w:r>
          </w:p>
        </w:tc>
        <w:tc>
          <w:tcPr>
            <w:tcW w:w="1136" w:type="dxa"/>
            <w:gridSpan w:val="2"/>
          </w:tcPr>
          <w:p>
            <w:pPr>
              <w:pStyle w:val="nTable"/>
              <w:spacing w:after="40"/>
            </w:pPr>
            <w:r>
              <w:t>4 Sep 1997</w:t>
            </w:r>
          </w:p>
        </w:tc>
        <w:tc>
          <w:tcPr>
            <w:tcW w:w="2551" w:type="dxa"/>
            <w:gridSpan w:val="2"/>
          </w:tcPr>
          <w:p>
            <w:pPr>
              <w:pStyle w:val="nTable"/>
              <w:spacing w:after="40"/>
            </w:pPr>
            <w:r>
              <w:t>4 Sep 1997 (see s. 2)</w:t>
            </w:r>
          </w:p>
        </w:tc>
      </w:tr>
      <w:tr>
        <w:trPr>
          <w:gridAfter w:val="1"/>
          <w:wAfter w:w="12" w:type="dxa"/>
          <w:cantSplit/>
        </w:trPr>
        <w:tc>
          <w:tcPr>
            <w:tcW w:w="4535" w:type="dxa"/>
            <w:gridSpan w:val="6"/>
          </w:tcPr>
          <w:p>
            <w:pPr>
              <w:pStyle w:val="nTable"/>
              <w:spacing w:after="40"/>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Act 1985 Amendment Order 1998 </w:t>
            </w:r>
            <w:r>
              <w:t>(see</w:t>
            </w:r>
            <w:r>
              <w:rPr>
                <w:i/>
              </w:rPr>
              <w:t xml:space="preserve"> Gazette </w:t>
            </w:r>
            <w:r>
              <w:t>8 May 1998 p. 2390-6)</w:t>
            </w:r>
          </w:p>
        </w:tc>
        <w:tc>
          <w:tcPr>
            <w:tcW w:w="2551" w:type="dxa"/>
            <w:gridSpan w:val="2"/>
          </w:tcPr>
          <w:p>
            <w:pPr>
              <w:pStyle w:val="nTable"/>
              <w:spacing w:after="40"/>
            </w:pPr>
            <w:r>
              <w:t>8 May 1998</w:t>
            </w:r>
          </w:p>
        </w:tc>
      </w:tr>
      <w:tr>
        <w:trPr>
          <w:gridAfter w:val="1"/>
          <w:wAfter w:w="11" w:type="dxa"/>
          <w:cantSplit/>
        </w:trPr>
        <w:tc>
          <w:tcPr>
            <w:tcW w:w="7087" w:type="dxa"/>
            <w:gridSpan w:val="8"/>
          </w:tcPr>
          <w:p>
            <w:pPr>
              <w:pStyle w:val="nTable"/>
              <w:spacing w:after="40"/>
            </w:pPr>
            <w:r>
              <w:rPr>
                <w:b/>
              </w:rPr>
              <w:t xml:space="preserve">Reprint of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5 Apr 2002</w:t>
            </w:r>
            <w:r>
              <w:br/>
              <w:t>(includes amendments listed above)</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2003</w:t>
            </w:r>
          </w:p>
        </w:tc>
        <w:tc>
          <w:tcPr>
            <w:tcW w:w="1134" w:type="dxa"/>
            <w:gridSpan w:val="2"/>
          </w:tcPr>
          <w:p>
            <w:pPr>
              <w:pStyle w:val="nTable"/>
              <w:spacing w:after="40"/>
            </w:pPr>
            <w:r>
              <w:t>51 of 2003</w:t>
            </w:r>
          </w:p>
        </w:tc>
        <w:tc>
          <w:tcPr>
            <w:tcW w:w="1136" w:type="dxa"/>
            <w:gridSpan w:val="2"/>
          </w:tcPr>
          <w:p>
            <w:pPr>
              <w:pStyle w:val="nTable"/>
              <w:spacing w:after="40"/>
            </w:pPr>
            <w:r>
              <w:t>2 Sep 2003</w:t>
            </w:r>
          </w:p>
        </w:tc>
        <w:tc>
          <w:tcPr>
            <w:tcW w:w="2551" w:type="dxa"/>
            <w:gridSpan w:val="2"/>
          </w:tcPr>
          <w:p>
            <w:pPr>
              <w:pStyle w:val="nTable"/>
              <w:spacing w:after="40"/>
            </w:pPr>
            <w:r>
              <w:t>2 Sep 2003 (see s. 2)</w:t>
            </w:r>
          </w:p>
        </w:tc>
      </w:tr>
      <w:tr>
        <w:trPr>
          <w:gridAfter w:val="1"/>
          <w:wAfter w:w="9" w:type="dxa"/>
          <w:cantSplit/>
        </w:trPr>
        <w:tc>
          <w:tcPr>
            <w:tcW w:w="2268"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6" w:type="dxa"/>
            <w:gridSpan w:val="2"/>
          </w:tcPr>
          <w:p>
            <w:pPr>
              <w:pStyle w:val="nTable"/>
              <w:spacing w:after="40"/>
            </w:pPr>
            <w:r>
              <w:t>12 Dec 2005</w:t>
            </w:r>
          </w:p>
        </w:tc>
        <w:tc>
          <w:tcPr>
            <w:tcW w:w="2551" w:type="dxa"/>
            <w:gridSpan w:val="2"/>
          </w:tcPr>
          <w:p>
            <w:pPr>
              <w:pStyle w:val="nTable"/>
              <w:spacing w:after="40"/>
            </w:pPr>
            <w:r>
              <w:t xml:space="preserve">9 Apr 2006 (see s. 2 and </w:t>
            </w:r>
            <w:r>
              <w:rPr>
                <w:i/>
              </w:rPr>
              <w:t>Gazette</w:t>
            </w:r>
            <w:r>
              <w:t xml:space="preserve"> 21 Mar 2006 p. 1078)</w:t>
            </w:r>
          </w:p>
        </w:tc>
      </w:tr>
      <w:tr>
        <w:trPr>
          <w:gridAfter w:val="1"/>
          <w:wAfter w:w="12" w:type="dxa"/>
          <w:cantSplit/>
        </w:trPr>
        <w:tc>
          <w:tcPr>
            <w:tcW w:w="4535" w:type="dxa"/>
            <w:gridSpan w:val="6"/>
          </w:tcPr>
          <w:p>
            <w:pPr>
              <w:pStyle w:val="nTable"/>
              <w:spacing w:after="40"/>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2006</w:t>
            </w:r>
            <w:r>
              <w:rPr>
                <w:snapToGrid w:val="0"/>
              </w:rPr>
              <w:t xml:space="preserve"> (see </w:t>
            </w:r>
            <w:r>
              <w:rPr>
                <w:i/>
                <w:snapToGrid w:val="0"/>
              </w:rPr>
              <w:t>Gazette</w:t>
            </w:r>
            <w:r>
              <w:rPr>
                <w:snapToGrid w:val="0"/>
              </w:rPr>
              <w:t xml:space="preserve"> 4 Jul 2006 p. 2467-71)</w:t>
            </w:r>
          </w:p>
        </w:tc>
        <w:tc>
          <w:tcPr>
            <w:tcW w:w="2551" w:type="dxa"/>
            <w:gridSpan w:val="2"/>
          </w:tcPr>
          <w:p>
            <w:pPr>
              <w:pStyle w:val="nTable"/>
              <w:spacing w:after="40"/>
            </w:pPr>
            <w:r>
              <w:t>4 Jul 2006</w:t>
            </w:r>
          </w:p>
        </w:tc>
      </w:tr>
      <w:tr>
        <w:trPr>
          <w:gridAfter w:val="1"/>
          <w:wAfter w:w="9" w:type="dxa"/>
          <w:cantSplit/>
        </w:trPr>
        <w:tc>
          <w:tcPr>
            <w:tcW w:w="2268" w:type="dxa"/>
            <w:gridSpan w:val="2"/>
          </w:tcPr>
          <w:p>
            <w:pPr>
              <w:pStyle w:val="nTable"/>
              <w:spacing w:after="40"/>
              <w:ind w:right="113"/>
            </w:pPr>
            <w:r>
              <w:rPr>
                <w:i/>
                <w:snapToGrid w:val="0"/>
              </w:rPr>
              <w:t xml:space="preserve">Financial Legislation Amendment and Repeal Act 2006 </w:t>
            </w:r>
            <w:r>
              <w:rPr>
                <w:iCs/>
                <w:snapToGrid w:val="0"/>
              </w:rPr>
              <w:t>Sch. 1 cl. 19</w:t>
            </w:r>
          </w:p>
        </w:tc>
        <w:tc>
          <w:tcPr>
            <w:tcW w:w="1134" w:type="dxa"/>
            <w:gridSpan w:val="2"/>
          </w:tcPr>
          <w:p>
            <w:pPr>
              <w:pStyle w:val="nTable"/>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12" w:type="dxa"/>
          <w:cantSplit/>
        </w:trPr>
        <w:tc>
          <w:tcPr>
            <w:tcW w:w="4535" w:type="dxa"/>
            <w:gridSpan w:val="6"/>
          </w:tcPr>
          <w:p>
            <w:pPr>
              <w:pStyle w:val="nTable"/>
              <w:spacing w:after="40"/>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2007</w:t>
            </w:r>
            <w:r>
              <w:rPr>
                <w:iCs/>
                <w:snapToGrid w:val="0"/>
              </w:rPr>
              <w:t xml:space="preserve"> (see </w:t>
            </w:r>
            <w:r>
              <w:rPr>
                <w:i/>
                <w:snapToGrid w:val="0"/>
              </w:rPr>
              <w:t xml:space="preserve">Gazette </w:t>
            </w:r>
            <w:r>
              <w:rPr>
                <w:iCs/>
                <w:snapToGrid w:val="0"/>
              </w:rPr>
              <w:t>12 Jun 2007 p. 2731-5)</w:t>
            </w:r>
          </w:p>
        </w:tc>
        <w:tc>
          <w:tcPr>
            <w:tcW w:w="2551" w:type="dxa"/>
            <w:gridSpan w:val="2"/>
          </w:tcPr>
          <w:p>
            <w:pPr>
              <w:pStyle w:val="nTable"/>
              <w:spacing w:after="40"/>
              <w:rPr>
                <w:snapToGrid w:val="0"/>
              </w:rPr>
            </w:pPr>
            <w:r>
              <w:rPr>
                <w:snapToGrid w:val="0"/>
              </w:rPr>
              <w:t>12 Jun 2007</w:t>
            </w:r>
          </w:p>
        </w:tc>
      </w:tr>
      <w:tr>
        <w:trPr>
          <w:gridAfter w:val="1"/>
          <w:wAfter w:w="11" w:type="dxa"/>
          <w:cantSplit/>
        </w:trPr>
        <w:tc>
          <w:tcPr>
            <w:tcW w:w="7087" w:type="dxa"/>
            <w:gridSpan w:val="8"/>
          </w:tcPr>
          <w:p>
            <w:pPr>
              <w:pStyle w:val="nTable"/>
              <w:spacing w:after="40"/>
              <w:rPr>
                <w:snapToGrid w:val="0"/>
              </w:rPr>
            </w:pPr>
            <w:r>
              <w:rPr>
                <w:b/>
              </w:rPr>
              <w:t xml:space="preserve">Reprint 2: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1 Feb 2008</w:t>
            </w:r>
            <w:r>
              <w:br/>
              <w:t>(includes amendments listed above)</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2008</w:t>
            </w:r>
          </w:p>
        </w:tc>
        <w:tc>
          <w:tcPr>
            <w:tcW w:w="1134" w:type="dxa"/>
            <w:gridSpan w:val="2"/>
          </w:tcPr>
          <w:p>
            <w:pPr>
              <w:pStyle w:val="nTable"/>
              <w:spacing w:after="40"/>
            </w:pPr>
            <w:r>
              <w:t>17 of 2008</w:t>
            </w:r>
          </w:p>
        </w:tc>
        <w:tc>
          <w:tcPr>
            <w:tcW w:w="1136" w:type="dxa"/>
            <w:gridSpan w:val="2"/>
          </w:tcPr>
          <w:p>
            <w:pPr>
              <w:pStyle w:val="nTable"/>
              <w:spacing w:after="40"/>
            </w:pPr>
            <w:r>
              <w:t>16 Apr 2008</w:t>
            </w:r>
          </w:p>
        </w:tc>
        <w:tc>
          <w:tcPr>
            <w:tcW w:w="2551" w:type="dxa"/>
            <w:gridSpan w:val="2"/>
          </w:tcPr>
          <w:p>
            <w:pPr>
              <w:pStyle w:val="nTable"/>
              <w:spacing w:after="40"/>
            </w:pPr>
            <w:r>
              <w:t>s. 1 and 2: 16 Apr 2008 (see s. 2(a));</w:t>
            </w:r>
            <w:r>
              <w:br/>
              <w:t>Act other than s. 1 and 2: 17 Apr 2008 (see s. 2(b))</w:t>
            </w:r>
          </w:p>
        </w:tc>
      </w:tr>
      <w:tr>
        <w:trPr>
          <w:gridBefore w:val="1"/>
          <w:wBefore w:w="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9" w:type="dxa"/>
          <w:cantSplit/>
        </w:trPr>
        <w:tc>
          <w:tcPr>
            <w:tcW w:w="2268" w:type="dxa"/>
            <w:gridSpan w:val="2"/>
          </w:tcPr>
          <w:p>
            <w:pPr>
              <w:pStyle w:val="nTable"/>
              <w:spacing w:after="40"/>
              <w:ind w:right="113"/>
              <w:rPr>
                <w:snapToGrid w:val="0"/>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Amendment Act 2011 </w:t>
            </w:r>
            <w:r>
              <w:t>Pt. 2</w:t>
            </w:r>
          </w:p>
        </w:tc>
        <w:tc>
          <w:tcPr>
            <w:tcW w:w="1134" w:type="dxa"/>
            <w:gridSpan w:val="2"/>
          </w:tcPr>
          <w:p>
            <w:pPr>
              <w:pStyle w:val="nTable"/>
              <w:spacing w:after="40"/>
              <w:rPr>
                <w:snapToGrid w:val="0"/>
              </w:rPr>
            </w:pPr>
            <w:r>
              <w:rPr>
                <w:snapToGrid w:val="0"/>
              </w:rPr>
              <w:t>25 of 2011</w:t>
            </w:r>
          </w:p>
        </w:tc>
        <w:tc>
          <w:tcPr>
            <w:tcW w:w="1136"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12 Jul 2011 (see s. 2(b))</w:t>
            </w:r>
          </w:p>
        </w:tc>
      </w:tr>
      <w:tr>
        <w:trPr>
          <w:gridBefore w:val="1"/>
          <w:wBefore w:w="9" w:type="dxa"/>
          <w:cantSplit/>
        </w:trPr>
        <w:tc>
          <w:tcPr>
            <w:tcW w:w="4535" w:type="dxa"/>
            <w:gridSpan w:val="6"/>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551" w:type="dxa"/>
            <w:gridSpan w:val="2"/>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rPr>
          <w:gridBefore w:val="1"/>
          <w:wBefore w:w="9" w:type="dxa"/>
          <w:cantSplit/>
        </w:trPr>
        <w:tc>
          <w:tcPr>
            <w:tcW w:w="7087" w:type="dxa"/>
            <w:gridSpan w:val="8"/>
            <w:tcBorders>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p>
        </w:tc>
      </w:tr>
    </w:tbl>
    <w:p>
      <w:pPr>
        <w:pStyle w:val="nSubsection"/>
        <w:spacing w:before="160"/>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Subsection"/>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Subsection"/>
      </w:pPr>
      <w:r>
        <w:rPr>
          <w:vertAlign w:val="superscript"/>
        </w:rPr>
        <w:t>7</w:t>
      </w:r>
      <w:r>
        <w:tab/>
        <w:t>On the date as at which this reprint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reprint.</w:t>
      </w:r>
    </w:p>
    <w:p>
      <w:pPr>
        <w:pStyle w:val="nSubsection"/>
      </w:pPr>
      <w:r>
        <w:rPr>
          <w:vertAlign w:val="superscript"/>
        </w:rPr>
        <w:t>10</w:t>
      </w:r>
      <w:r>
        <w:tab/>
        <w:t>Marginal notes in the agreements have been represented as bold headnotes in this reprint but that does not change their status as marginal notes</w:t>
      </w:r>
      <w:r>
        <w:rPr>
          <w:i/>
        </w:rPr>
        <w:t>.</w:t>
      </w:r>
    </w:p>
    <w:p>
      <w:pPr>
        <w:rPr>
          <w:snapToGrid w:val="0"/>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4" w:name="_Toc456166416"/>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approved company</w:t>
      </w:r>
      <w:r>
        <w:tab/>
        <w:t>11(1)</w:t>
      </w:r>
    </w:p>
    <w:p>
      <w:pPr>
        <w:pStyle w:val="DefinedTerms"/>
      </w:pPr>
      <w:r>
        <w:t>Commission</w:t>
      </w:r>
      <w:r>
        <w:tab/>
        <w:t>11(1)</w:t>
      </w:r>
    </w:p>
    <w:p>
      <w:pPr>
        <w:pStyle w:val="DefinedTerms"/>
      </w:pPr>
      <w:r>
        <w:t>Eighth Supplementary Agreement</w:t>
      </w:r>
      <w:r>
        <w:tab/>
        <w:t>3</w:t>
      </w:r>
    </w:p>
    <w:p>
      <w:pPr>
        <w:pStyle w:val="DefinedTerms"/>
      </w:pPr>
      <w:r>
        <w:t>Eleventh Supplementary Agreement</w:t>
      </w:r>
      <w:r>
        <w:tab/>
        <w:t>3</w:t>
      </w:r>
    </w:p>
    <w:p>
      <w:pPr>
        <w:pStyle w:val="DefinedTerms"/>
      </w:pPr>
      <w:r>
        <w:t>entrenched provisions</w:t>
      </w:r>
      <w:r>
        <w:tab/>
        <w:t>10(3)</w:t>
      </w:r>
    </w:p>
    <w:p>
      <w:pPr>
        <w:pStyle w:val="DefinedTerms"/>
      </w:pPr>
      <w:r>
        <w:t>Metropolitan Region Scheme</w:t>
      </w:r>
      <w:r>
        <w:tab/>
        <w:t>7(4)</w:t>
      </w:r>
    </w:p>
    <w:p>
      <w:pPr>
        <w:pStyle w:val="DefinedTerms"/>
      </w:pPr>
      <w:r>
        <w:t>Minister for Lands and Surveys</w:t>
      </w:r>
      <w:r>
        <w:tab/>
        <w:t>8(5)</w:t>
      </w:r>
    </w:p>
    <w:p>
      <w:pPr>
        <w:pStyle w:val="DefinedTerms"/>
      </w:pPr>
      <w:r>
        <w:t>probity approval notice</w:t>
      </w:r>
      <w:r>
        <w:tab/>
        <w:t>11(1)</w:t>
      </w:r>
    </w:p>
    <w:p>
      <w:pPr>
        <w:pStyle w:val="DefinedTerms"/>
      </w:pPr>
      <w:r>
        <w:t>Resort Lands</w:t>
      </w:r>
      <w:r>
        <w:tab/>
        <w:t>3</w:t>
      </w:r>
    </w:p>
    <w:p>
      <w:pPr>
        <w:pStyle w:val="DefinedTerms"/>
      </w:pPr>
      <w:r>
        <w:t>Resort Site</w:t>
      </w:r>
      <w:r>
        <w:tab/>
        <w:t>7(4)</w:t>
      </w:r>
    </w:p>
    <w:p>
      <w:pPr>
        <w:pStyle w:val="DefinedTerms"/>
      </w:pPr>
      <w:r>
        <w:t>Second Supplementary Agreement</w:t>
      </w:r>
      <w:r>
        <w:tab/>
        <w:t>3</w:t>
      </w:r>
    </w:p>
    <w:p>
      <w:pPr>
        <w:pStyle w:val="DefinedTerms"/>
      </w:pPr>
      <w:r>
        <w:t>Seventh Supplementary Agreement</w:t>
      </w:r>
      <w:r>
        <w:tab/>
        <w:t>3</w:t>
      </w:r>
    </w:p>
    <w:p>
      <w:pPr>
        <w:pStyle w:val="DefinedTerms"/>
      </w:pPr>
      <w:r>
        <w:t>Site</w:t>
      </w:r>
      <w:r>
        <w:tab/>
        <w:t>7(4)</w:t>
      </w:r>
    </w:p>
    <w:p>
      <w:pPr>
        <w:pStyle w:val="DefinedTerms"/>
      </w:pPr>
      <w:r>
        <w:t>street</w:t>
      </w:r>
      <w:r>
        <w:tab/>
        <w:t>8(5)</w:t>
      </w:r>
    </w:p>
    <w:p>
      <w:pPr>
        <w:pStyle w:val="DefinedTerms"/>
      </w:pPr>
      <w:r>
        <w:t>Supplementary Agreement</w:t>
      </w:r>
      <w:r>
        <w:tab/>
        <w:t>3</w:t>
      </w:r>
    </w:p>
    <w:p>
      <w:pPr>
        <w:pStyle w:val="DefinedTerms"/>
      </w:pPr>
      <w:r>
        <w:t>Surveyor General</w:t>
      </w:r>
      <w:r>
        <w:tab/>
        <w:t>8(5)</w:t>
      </w:r>
    </w:p>
    <w:p>
      <w:pPr>
        <w:pStyle w:val="DefinedTerms"/>
      </w:pPr>
      <w:r>
        <w:t>Twelfth Supplementary Agreement</w:t>
      </w:r>
      <w:r>
        <w:tab/>
        <w:t>3</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bottom</wp:align>
                </wp:positionV>
                <wp:extent cx="129540" cy="2451100"/>
                <wp:effectExtent l="0" t="0" r="1905" b="6350"/>
                <wp:wrapNone/>
                <wp:docPr id="9" name="Authority"/>
                <wp:cNvGraphicFramePr/>
                <a:graphic xmlns:a="http://schemas.openxmlformats.org/drawingml/2006/main">
                  <a:graphicData uri="http://schemas.microsoft.com/office/word/2010/wordprocessingShape">
                    <wps:wsp>
                      <wps:cNvSpPr txBox="1"/>
                      <wps:spPr>
                        <a:xfrm>
                          <a:off x="0" y="0"/>
                          <a:ext cx="12954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028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" stroked="f" strokeweight=".5pt">
                <v:textbox>
                  <w:txbxContent>
                    <w:p w:rsidR="00833E30" w:rsidRDefault="00833E30">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Twelfth Supplementary Agreement</w: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E5A02"/>
    <w:lvl w:ilvl="0">
      <w:start w:val="1"/>
      <w:numFmt w:val="decimal"/>
      <w:lvlText w:val="%1."/>
      <w:lvlJc w:val="left"/>
      <w:pPr>
        <w:tabs>
          <w:tab w:val="num" w:pos="1800"/>
        </w:tabs>
        <w:ind w:left="1800" w:hanging="360"/>
      </w:pPr>
    </w:lvl>
  </w:abstractNum>
  <w:abstractNum w:abstractNumId="1">
    <w:nsid w:val="FFFFFF7D"/>
    <w:multiLevelType w:val="singleLevel"/>
    <w:tmpl w:val="CD50253C"/>
    <w:lvl w:ilvl="0">
      <w:start w:val="1"/>
      <w:numFmt w:val="decimal"/>
      <w:lvlText w:val="%1."/>
      <w:lvlJc w:val="left"/>
      <w:pPr>
        <w:tabs>
          <w:tab w:val="num" w:pos="1440"/>
        </w:tabs>
        <w:ind w:left="1440" w:hanging="360"/>
      </w:pPr>
    </w:lvl>
  </w:abstractNum>
  <w:abstractNum w:abstractNumId="2">
    <w:nsid w:val="FFFFFF7E"/>
    <w:multiLevelType w:val="singleLevel"/>
    <w:tmpl w:val="D7E05770"/>
    <w:lvl w:ilvl="0">
      <w:start w:val="1"/>
      <w:numFmt w:val="decimal"/>
      <w:lvlText w:val="%1."/>
      <w:lvlJc w:val="left"/>
      <w:pPr>
        <w:tabs>
          <w:tab w:val="num" w:pos="1080"/>
        </w:tabs>
        <w:ind w:left="1080" w:hanging="360"/>
      </w:pPr>
    </w:lvl>
  </w:abstractNum>
  <w:abstractNum w:abstractNumId="3">
    <w:nsid w:val="FFFFFF7F"/>
    <w:multiLevelType w:val="singleLevel"/>
    <w:tmpl w:val="C89EF154"/>
    <w:lvl w:ilvl="0">
      <w:start w:val="1"/>
      <w:numFmt w:val="decimal"/>
      <w:lvlText w:val="%1."/>
      <w:lvlJc w:val="left"/>
      <w:pPr>
        <w:tabs>
          <w:tab w:val="num" w:pos="720"/>
        </w:tabs>
        <w:ind w:left="720" w:hanging="360"/>
      </w:pPr>
    </w:lvl>
  </w:abstractNum>
  <w:abstractNum w:abstractNumId="4">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CE3A60"/>
    <w:lvl w:ilvl="0">
      <w:start w:val="1"/>
      <w:numFmt w:val="decimal"/>
      <w:lvlText w:val="%1."/>
      <w:lvlJc w:val="left"/>
      <w:pPr>
        <w:tabs>
          <w:tab w:val="num" w:pos="360"/>
        </w:tabs>
        <w:ind w:left="360" w:hanging="360"/>
      </w:pPr>
    </w:lvl>
  </w:abstractNum>
  <w:abstractNum w:abstractNumId="9">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093522"/>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40797</Words>
  <Characters>201539</Characters>
  <Application>Microsoft Office Word</Application>
  <DocSecurity>0</DocSecurity>
  <Lines>5598</Lines>
  <Paragraphs>2919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1985 - 03-00-00</dc:title>
  <dc:subject/>
  <dc:creator/>
  <cp:keywords/>
  <dc:description/>
  <cp:lastModifiedBy>svcMRProcess</cp:lastModifiedBy>
  <cp:revision>4</cp:revision>
  <cp:lastPrinted>2016-08-18T06:37:00Z</cp:lastPrinted>
  <dcterms:created xsi:type="dcterms:W3CDTF">2020-03-04T05:46:00Z</dcterms:created>
  <dcterms:modified xsi:type="dcterms:W3CDTF">2020-03-04T05:46:00Z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AsAtDate">
    <vt:lpwstr>12 Aug 2016</vt:lpwstr>
  </property>
  <property fmtid="{D5CDD505-2E9C-101B-9397-08002B2CF9AE}" pid="6" name="Suffix">
    <vt:lpwstr>03-00-00</vt:lpwstr>
  </property>
  <property fmtid="{D5CDD505-2E9C-101B-9397-08002B2CF9AE}" pid="7" name="ReprintedAsAt">
    <vt:filetime>2016-08-11T16:00:00Z</vt:filetime>
  </property>
  <property fmtid="{D5CDD505-2E9C-101B-9397-08002B2CF9AE}" pid="8" name="ReprintNo">
    <vt:lpwstr>3</vt:lpwstr>
  </property>
  <property fmtid="{D5CDD505-2E9C-101B-9397-08002B2CF9AE}" pid="9" name="CommencementDate">
    <vt:lpwstr>20160812</vt:lpwstr>
  </property>
</Properties>
</file>