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Lotteries Commission (Saturday Lotto)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709" w:right="567" w:hanging="425"/>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ind w:left="2302" w:right="2302"/>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_Toc170211264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_Toc170211265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_Toc170211266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2 — Requirements for entry</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Entry coupon</w:t>
      </w:r>
      <w:r>
        <w:rPr>
          <w:noProof/>
        </w:rPr>
        <w:tab/>
      </w:r>
      <w:r>
        <w:rPr>
          <w:noProof/>
        </w:rPr>
        <w:fldChar w:fldCharType="begin"/>
      </w:r>
      <w:r>
        <w:rPr>
          <w:noProof/>
        </w:rPr>
        <w:instrText xml:space="preserve"> PAGEREF _Toc170211268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Methods of entry</w:t>
      </w:r>
      <w:r>
        <w:rPr>
          <w:noProof/>
        </w:rPr>
        <w:tab/>
      </w:r>
      <w:r>
        <w:rPr>
          <w:noProof/>
        </w:rPr>
        <w:fldChar w:fldCharType="begin"/>
      </w:r>
      <w:r>
        <w:rPr>
          <w:noProof/>
        </w:rPr>
        <w:instrText xml:space="preserve"> PAGEREF _Toc170211269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No limit to number of entries</w:t>
      </w:r>
      <w:r>
        <w:rPr>
          <w:noProof/>
        </w:rPr>
        <w:tab/>
      </w:r>
      <w:r>
        <w:rPr>
          <w:noProof/>
        </w:rPr>
        <w:fldChar w:fldCharType="begin"/>
      </w:r>
      <w:r>
        <w:rPr>
          <w:noProof/>
        </w:rPr>
        <w:instrText xml:space="preserve"> PAGEREF _Toc170211270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Super 66 entry</w:t>
      </w:r>
      <w:r>
        <w:rPr>
          <w:noProof/>
        </w:rPr>
        <w:tab/>
      </w:r>
      <w:r>
        <w:rPr>
          <w:noProof/>
        </w:rPr>
        <w:fldChar w:fldCharType="begin"/>
      </w:r>
      <w:r>
        <w:rPr>
          <w:noProof/>
        </w:rPr>
        <w:instrText xml:space="preserve"> PAGEREF _Toc170211271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Completion of entry coupon</w:t>
      </w:r>
      <w:r>
        <w:rPr>
          <w:noProof/>
        </w:rPr>
        <w:tab/>
      </w:r>
      <w:r>
        <w:rPr>
          <w:noProof/>
        </w:rPr>
        <w:fldChar w:fldCharType="begin"/>
      </w:r>
      <w:r>
        <w:rPr>
          <w:noProof/>
        </w:rPr>
        <w:instrText xml:space="preserve"> PAGEREF _Toc170211272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Oral request for entry</w:t>
      </w:r>
      <w:r>
        <w:rPr>
          <w:noProof/>
        </w:rPr>
        <w:tab/>
      </w:r>
      <w:r>
        <w:rPr>
          <w:noProof/>
        </w:rPr>
        <w:fldChar w:fldCharType="begin"/>
      </w:r>
      <w:r>
        <w:rPr>
          <w:noProof/>
        </w:rPr>
        <w:instrText xml:space="preserve"> PAGEREF _Toc170211273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Entry by mail</w:t>
      </w:r>
      <w:r>
        <w:rPr>
          <w:noProof/>
        </w:rPr>
        <w:tab/>
      </w:r>
      <w:r>
        <w:rPr>
          <w:noProof/>
        </w:rPr>
        <w:fldChar w:fldCharType="begin"/>
      </w:r>
      <w:r>
        <w:rPr>
          <w:noProof/>
        </w:rPr>
        <w:instrText xml:space="preserve"> PAGEREF _Toc170211274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Receipted tickets</w:t>
      </w:r>
      <w:r>
        <w:rPr>
          <w:noProof/>
        </w:rPr>
        <w:tab/>
      </w:r>
      <w:r>
        <w:rPr>
          <w:noProof/>
        </w:rPr>
        <w:fldChar w:fldCharType="begin"/>
      </w:r>
      <w:r>
        <w:rPr>
          <w:noProof/>
        </w:rPr>
        <w:instrText xml:space="preserve"> PAGEREF _Toc170211275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Surrender of receipted ticket</w:t>
      </w:r>
      <w:r>
        <w:rPr>
          <w:noProof/>
        </w:rPr>
        <w:tab/>
      </w:r>
      <w:r>
        <w:rPr>
          <w:noProof/>
        </w:rPr>
        <w:fldChar w:fldCharType="begin"/>
      </w:r>
      <w:r>
        <w:rPr>
          <w:noProof/>
        </w:rPr>
        <w:instrText xml:space="preserve"> PAGEREF _Toc170211276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Accuracy of receipted ticket</w:t>
      </w:r>
      <w:r>
        <w:rPr>
          <w:noProof/>
        </w:rPr>
        <w:tab/>
      </w:r>
      <w:r>
        <w:rPr>
          <w:noProof/>
        </w:rPr>
        <w:fldChar w:fldCharType="begin"/>
      </w:r>
      <w:r>
        <w:rPr>
          <w:noProof/>
        </w:rPr>
        <w:instrText xml:space="preserve"> PAGEREF _Toc170211277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Validity of receipted ticket</w:t>
      </w:r>
      <w:r>
        <w:rPr>
          <w:noProof/>
        </w:rPr>
        <w:tab/>
      </w:r>
      <w:r>
        <w:rPr>
          <w:noProof/>
        </w:rPr>
        <w:fldChar w:fldCharType="begin"/>
      </w:r>
      <w:r>
        <w:rPr>
          <w:noProof/>
        </w:rPr>
        <w:instrText xml:space="preserve"> PAGEREF _Toc170211278 \h </w:instrText>
      </w:r>
      <w:r>
        <w:rPr>
          <w:noProof/>
        </w:rPr>
      </w:r>
      <w:r>
        <w:rPr>
          <w:noProof/>
        </w:rPr>
        <w:fldChar w:fldCharType="separate"/>
      </w:r>
      <w:r>
        <w:rPr>
          <w:noProof/>
        </w:rPr>
        <w:t>10</w:t>
      </w:r>
      <w:r>
        <w:rPr>
          <w:noProof/>
        </w:rPr>
        <w:fldChar w:fldCharType="end"/>
      </w:r>
    </w:p>
    <w:p>
      <w:pPr>
        <w:pStyle w:val="TOC2"/>
        <w:tabs>
          <w:tab w:val="right" w:leader="dot" w:pos="7078"/>
        </w:tabs>
        <w:rPr>
          <w:b w:val="0"/>
          <w:noProof/>
          <w:sz w:val="24"/>
          <w:szCs w:val="24"/>
        </w:rPr>
      </w:pPr>
      <w:r>
        <w:rPr>
          <w:noProof/>
          <w:szCs w:val="30"/>
        </w:rPr>
        <w:t>Part 3 — General duties of Commission</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Saturday draws to be numbered</w:t>
      </w:r>
      <w:r>
        <w:rPr>
          <w:noProof/>
        </w:rPr>
        <w:tab/>
      </w:r>
      <w:r>
        <w:rPr>
          <w:noProof/>
        </w:rPr>
        <w:fldChar w:fldCharType="begin"/>
      </w:r>
      <w:r>
        <w:rPr>
          <w:noProof/>
        </w:rPr>
        <w:instrText xml:space="preserve"> PAGEREF _Toc170211280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Supervision of Saturday lotto</w:t>
      </w:r>
      <w:r>
        <w:rPr>
          <w:noProof/>
        </w:rPr>
        <w:tab/>
      </w:r>
      <w:r>
        <w:rPr>
          <w:noProof/>
        </w:rPr>
        <w:fldChar w:fldCharType="begin"/>
      </w:r>
      <w:r>
        <w:rPr>
          <w:noProof/>
        </w:rPr>
        <w:instrText xml:space="preserve"> PAGEREF _Toc170211281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Publication of results</w:t>
      </w:r>
      <w:r>
        <w:rPr>
          <w:noProof/>
        </w:rPr>
        <w:tab/>
      </w:r>
      <w:r>
        <w:rPr>
          <w:noProof/>
        </w:rPr>
        <w:fldChar w:fldCharType="begin"/>
      </w:r>
      <w:r>
        <w:rPr>
          <w:noProof/>
        </w:rPr>
        <w:instrText xml:space="preserve"> PAGEREF _Toc170211282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Australian Lotto Bloc prize pool and prize reserve fund</w:t>
      </w:r>
      <w:r>
        <w:rPr>
          <w:noProof/>
        </w:rPr>
        <w:tab/>
      </w:r>
      <w:r>
        <w:rPr>
          <w:noProof/>
        </w:rPr>
        <w:fldChar w:fldCharType="begin"/>
      </w:r>
      <w:r>
        <w:rPr>
          <w:noProof/>
        </w:rPr>
        <w:instrText xml:space="preserve"> PAGEREF _Toc170211283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szCs w:val="24"/>
        </w:rPr>
      </w:pPr>
      <w:r>
        <w:rPr>
          <w:noProof/>
          <w:szCs w:val="30"/>
        </w:rPr>
        <w:t>Part 4 — Saturday lotto draw</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Saturday lotto draw</w:t>
      </w:r>
      <w:r>
        <w:rPr>
          <w:noProof/>
        </w:rPr>
        <w:tab/>
      </w:r>
      <w:r>
        <w:rPr>
          <w:noProof/>
        </w:rPr>
        <w:fldChar w:fldCharType="begin"/>
      </w:r>
      <w:r>
        <w:rPr>
          <w:noProof/>
        </w:rPr>
        <w:instrText xml:space="preserve"> PAGEREF _Toc170211285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Criteria for Saturday lotto prizes</w:t>
      </w:r>
      <w:r>
        <w:rPr>
          <w:noProof/>
        </w:rPr>
        <w:tab/>
      </w:r>
      <w:r>
        <w:rPr>
          <w:noProof/>
        </w:rPr>
        <w:fldChar w:fldCharType="begin"/>
      </w:r>
      <w:r>
        <w:rPr>
          <w:noProof/>
        </w:rPr>
        <w:instrText xml:space="preserve"> PAGEREF _Toc170211286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Only systems entry can win in more than one division</w:t>
      </w:r>
      <w:r>
        <w:rPr>
          <w:noProof/>
        </w:rPr>
        <w:tab/>
      </w:r>
      <w:r>
        <w:rPr>
          <w:noProof/>
        </w:rPr>
        <w:fldChar w:fldCharType="begin"/>
      </w:r>
      <w:r>
        <w:rPr>
          <w:noProof/>
        </w:rPr>
        <w:instrText xml:space="preserve"> PAGEREF _Toc170211287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Distribution of lotto prize pool</w:t>
      </w:r>
      <w:r>
        <w:rPr>
          <w:noProof/>
        </w:rPr>
        <w:tab/>
      </w:r>
      <w:r>
        <w:rPr>
          <w:noProof/>
        </w:rPr>
        <w:fldChar w:fldCharType="begin"/>
      </w:r>
      <w:r>
        <w:rPr>
          <w:noProof/>
        </w:rPr>
        <w:instrText xml:space="preserve"> PAGEREF _Toc170211288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Division 1 jackpot</w:t>
      </w:r>
      <w:r>
        <w:rPr>
          <w:noProof/>
        </w:rPr>
        <w:tab/>
      </w:r>
      <w:r>
        <w:rPr>
          <w:noProof/>
        </w:rPr>
        <w:fldChar w:fldCharType="begin"/>
      </w:r>
      <w:r>
        <w:rPr>
          <w:noProof/>
        </w:rPr>
        <w:instrText xml:space="preserve"> PAGEREF _Toc170211289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Division 2 — 4 prize pools may go to next lower division</w:t>
      </w:r>
      <w:r>
        <w:rPr>
          <w:noProof/>
        </w:rPr>
        <w:tab/>
      </w:r>
      <w:r>
        <w:rPr>
          <w:noProof/>
        </w:rPr>
        <w:fldChar w:fldCharType="begin"/>
      </w:r>
      <w:r>
        <w:rPr>
          <w:noProof/>
        </w:rPr>
        <w:instrText xml:space="preserve"> PAGEREF _Toc170211290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Bonus draws and guaranteed prize pools</w:t>
      </w:r>
      <w:r>
        <w:rPr>
          <w:noProof/>
        </w:rPr>
        <w:tab/>
      </w:r>
      <w:r>
        <w:rPr>
          <w:noProof/>
        </w:rPr>
        <w:fldChar w:fldCharType="begin"/>
      </w:r>
      <w:r>
        <w:rPr>
          <w:noProof/>
        </w:rPr>
        <w:instrText xml:space="preserve"> PAGEREF _Toc170211291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Division 1 prizes</w:t>
      </w:r>
      <w:r>
        <w:rPr>
          <w:noProof/>
        </w:rPr>
        <w:tab/>
      </w:r>
      <w:r>
        <w:rPr>
          <w:noProof/>
        </w:rPr>
        <w:fldChar w:fldCharType="begin"/>
      </w:r>
      <w:r>
        <w:rPr>
          <w:noProof/>
        </w:rPr>
        <w:instrText xml:space="preserve"> PAGEREF _Toc170211292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Division 2 prizes</w:t>
      </w:r>
      <w:r>
        <w:rPr>
          <w:noProof/>
        </w:rPr>
        <w:tab/>
      </w:r>
      <w:r>
        <w:rPr>
          <w:noProof/>
        </w:rPr>
        <w:fldChar w:fldCharType="begin"/>
      </w:r>
      <w:r>
        <w:rPr>
          <w:noProof/>
        </w:rPr>
        <w:instrText xml:space="preserve"> PAGEREF _Toc170211293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Division 3, 4 and 5 prizes</w:t>
      </w:r>
      <w:r>
        <w:rPr>
          <w:noProof/>
        </w:rPr>
        <w:tab/>
      </w:r>
      <w:r>
        <w:rPr>
          <w:noProof/>
        </w:rPr>
        <w:fldChar w:fldCharType="begin"/>
      </w:r>
      <w:r>
        <w:rPr>
          <w:noProof/>
        </w:rPr>
        <w:instrText xml:space="preserve"> PAGEREF _Toc170211294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Commission may require a statutory declaration</w:t>
      </w:r>
      <w:r>
        <w:rPr>
          <w:noProof/>
        </w:rPr>
        <w:tab/>
      </w:r>
      <w:r>
        <w:rPr>
          <w:noProof/>
        </w:rPr>
        <w:fldChar w:fldCharType="begin"/>
      </w:r>
      <w:r>
        <w:rPr>
          <w:noProof/>
        </w:rPr>
        <w:instrText xml:space="preserve"> PAGEREF _Toc170211295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Publication of names and addresses of prize winners</w:t>
      </w:r>
      <w:r>
        <w:rPr>
          <w:noProof/>
        </w:rPr>
        <w:tab/>
      </w:r>
      <w:r>
        <w:rPr>
          <w:noProof/>
        </w:rPr>
        <w:fldChar w:fldCharType="begin"/>
      </w:r>
      <w:r>
        <w:rPr>
          <w:noProof/>
        </w:rPr>
        <w:instrText xml:space="preserve"> PAGEREF _Toc170211296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Player Registration Service</w:t>
      </w:r>
      <w:r>
        <w:rPr>
          <w:noProof/>
        </w:rPr>
        <w:tab/>
      </w:r>
      <w:r>
        <w:rPr>
          <w:noProof/>
        </w:rPr>
        <w:fldChar w:fldCharType="begin"/>
      </w:r>
      <w:r>
        <w:rPr>
          <w:noProof/>
        </w:rPr>
        <w:instrText xml:space="preserve"> PAGEREF _Toc170211297 \h </w:instrText>
      </w:r>
      <w:r>
        <w:rPr>
          <w:noProof/>
        </w:rPr>
      </w:r>
      <w:r>
        <w:rPr>
          <w:noProof/>
        </w:rPr>
        <w:fldChar w:fldCharType="separate"/>
      </w:r>
      <w:r>
        <w:rPr>
          <w:noProof/>
        </w:rPr>
        <w:t>18</w:t>
      </w:r>
      <w:r>
        <w:rPr>
          <w:noProof/>
        </w:rPr>
        <w:fldChar w:fldCharType="end"/>
      </w:r>
    </w:p>
    <w:p>
      <w:pPr>
        <w:pStyle w:val="TOC2"/>
        <w:tabs>
          <w:tab w:val="right" w:leader="dot" w:pos="7078"/>
        </w:tabs>
        <w:rPr>
          <w:b w:val="0"/>
          <w:noProof/>
          <w:sz w:val="24"/>
          <w:szCs w:val="24"/>
        </w:rPr>
      </w:pPr>
      <w:r>
        <w:rPr>
          <w:noProof/>
          <w:szCs w:val="30"/>
        </w:rPr>
        <w:t>Part 5 — Miscellaneous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Instructions</w:t>
      </w:r>
      <w:r>
        <w:rPr>
          <w:noProof/>
        </w:rPr>
        <w:tab/>
      </w:r>
      <w:r>
        <w:rPr>
          <w:noProof/>
        </w:rPr>
        <w:fldChar w:fldCharType="begin"/>
      </w:r>
      <w:r>
        <w:rPr>
          <w:noProof/>
        </w:rPr>
        <w:instrText xml:space="preserve"> PAGEREF _Toc170211299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Rules to be made available</w:t>
      </w:r>
      <w:r>
        <w:rPr>
          <w:noProof/>
        </w:rPr>
        <w:tab/>
      </w:r>
      <w:r>
        <w:rPr>
          <w:noProof/>
        </w:rPr>
        <w:fldChar w:fldCharType="begin"/>
      </w:r>
      <w:r>
        <w:rPr>
          <w:noProof/>
        </w:rPr>
        <w:instrText xml:space="preserve"> PAGEREF _Toc170211300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Decisions of Commission final</w:t>
      </w:r>
      <w:r>
        <w:rPr>
          <w:noProof/>
        </w:rPr>
        <w:tab/>
      </w:r>
      <w:r>
        <w:rPr>
          <w:noProof/>
        </w:rPr>
        <w:fldChar w:fldCharType="begin"/>
      </w:r>
      <w:r>
        <w:rPr>
          <w:noProof/>
        </w:rPr>
        <w:instrText xml:space="preserve"> PAGEREF _Toc170211301 \h </w:instrText>
      </w:r>
      <w:r>
        <w:rPr>
          <w:noProof/>
        </w:rPr>
      </w:r>
      <w:r>
        <w:rPr>
          <w:noProof/>
        </w:rPr>
        <w:fldChar w:fldCharType="separate"/>
      </w:r>
      <w:r>
        <w:rPr>
          <w:noProof/>
        </w:rPr>
        <w:t>20</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_Toc170211302 \h </w:instrText>
      </w:r>
      <w:r>
        <w:rPr>
          <w:noProof/>
        </w:rPr>
      </w:r>
      <w:r>
        <w:rPr>
          <w:noProof/>
        </w:rPr>
        <w:fldChar w:fldCharType="separate"/>
      </w:r>
      <w:r>
        <w:rPr>
          <w:noProof/>
        </w:rPr>
        <w:t>21</w:t>
      </w:r>
      <w:r>
        <w:rPr>
          <w:noProof/>
        </w:rPr>
        <w:fldChar w:fldCharType="end"/>
      </w:r>
    </w:p>
    <w:p>
      <w:pPr>
        <w:pStyle w:val="TOC7"/>
        <w:rPr>
          <w:noProof/>
          <w:sz w:val="24"/>
          <w:szCs w:val="24"/>
        </w:rPr>
      </w:pPr>
      <w:r>
        <w:rPr>
          <w:noProof/>
          <w:szCs w:val="24"/>
        </w:rPr>
        <w:t>Cost of entry — Saturday lotto</w:t>
      </w:r>
      <w:r>
        <w:rPr>
          <w:noProof/>
        </w:rPr>
        <w:tab/>
      </w:r>
      <w:r>
        <w:rPr>
          <w:noProof/>
        </w:rPr>
        <w:fldChar w:fldCharType="begin"/>
      </w:r>
      <w:r>
        <w:rPr>
          <w:noProof/>
        </w:rPr>
        <w:instrText xml:space="preserve"> PAGEREF _Toc170211303 \h </w:instrText>
      </w:r>
      <w:r>
        <w:rPr>
          <w:noProof/>
        </w:rPr>
      </w:r>
      <w:r>
        <w:rPr>
          <w:noProof/>
        </w:rPr>
        <w:fldChar w:fldCharType="separate"/>
      </w:r>
      <w:r>
        <w:rPr>
          <w:noProof/>
        </w:rPr>
        <w:t>21</w:t>
      </w:r>
      <w:r>
        <w:rPr>
          <w:noProof/>
        </w:rPr>
        <w:fldChar w:fldCharType="end"/>
      </w:r>
    </w:p>
    <w:p>
      <w:pPr>
        <w:pStyle w:val="TOC7"/>
        <w:rPr>
          <w:noProof/>
          <w:sz w:val="24"/>
          <w:szCs w:val="24"/>
        </w:rPr>
      </w:pPr>
      <w:r>
        <w:rPr>
          <w:noProof/>
          <w:szCs w:val="24"/>
        </w:rPr>
        <w:t>Total cost of entry — Saturday lotto draw</w:t>
      </w:r>
      <w:r>
        <w:rPr>
          <w:noProof/>
        </w:rPr>
        <w:tab/>
      </w:r>
      <w:r>
        <w:rPr>
          <w:noProof/>
        </w:rPr>
        <w:fldChar w:fldCharType="begin"/>
      </w:r>
      <w:r>
        <w:rPr>
          <w:noProof/>
        </w:rPr>
        <w:instrText xml:space="preserve"> PAGEREF _Toc170211304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Schedule 1A</w:t>
      </w:r>
      <w:r>
        <w:rPr>
          <w:noProof/>
        </w:rPr>
        <w:tab/>
      </w:r>
      <w:r>
        <w:rPr>
          <w:noProof/>
        </w:rPr>
        <w:fldChar w:fldCharType="begin"/>
      </w:r>
      <w:r>
        <w:rPr>
          <w:noProof/>
        </w:rPr>
        <w:instrText xml:space="preserve"> PAGEREF _Toc170211305 \h </w:instrText>
      </w:r>
      <w:r>
        <w:rPr>
          <w:noProof/>
        </w:rPr>
      </w:r>
      <w:r>
        <w:rPr>
          <w:noProof/>
        </w:rPr>
        <w:fldChar w:fldCharType="separate"/>
      </w:r>
      <w:r>
        <w:rPr>
          <w:noProof/>
        </w:rPr>
        <w:t>24</w:t>
      </w:r>
      <w:r>
        <w:rPr>
          <w:noProof/>
        </w:rPr>
        <w:fldChar w:fldCharType="end"/>
      </w:r>
    </w:p>
    <w:p>
      <w:pPr>
        <w:pStyle w:val="TOC7"/>
        <w:rPr>
          <w:noProof/>
          <w:sz w:val="24"/>
          <w:szCs w:val="24"/>
        </w:rPr>
      </w:pPr>
      <w:r>
        <w:rPr>
          <w:noProof/>
          <w:szCs w:val="24"/>
        </w:rPr>
        <w:t>Agent’s component — Saturday lotto draw</w:t>
      </w:r>
      <w:r>
        <w:rPr>
          <w:noProof/>
        </w:rPr>
        <w:tab/>
      </w:r>
      <w:r>
        <w:rPr>
          <w:noProof/>
        </w:rPr>
        <w:fldChar w:fldCharType="begin"/>
      </w:r>
      <w:r>
        <w:rPr>
          <w:noProof/>
        </w:rPr>
        <w:instrText xml:space="preserve"> PAGEREF _Toc170211306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_Toc170211307 \h </w:instrText>
      </w:r>
      <w:r>
        <w:rPr>
          <w:noProof/>
        </w:rPr>
      </w:r>
      <w:r>
        <w:rPr>
          <w:noProof/>
        </w:rPr>
        <w:fldChar w:fldCharType="separate"/>
      </w:r>
      <w:r>
        <w:rPr>
          <w:noProof/>
        </w:rPr>
        <w:t>26</w:t>
      </w:r>
      <w:r>
        <w:rPr>
          <w:noProof/>
        </w:rPr>
        <w:fldChar w:fldCharType="end"/>
      </w:r>
    </w:p>
    <w:p>
      <w:pPr>
        <w:pStyle w:val="TOC7"/>
        <w:rPr>
          <w:noProof/>
          <w:sz w:val="24"/>
          <w:szCs w:val="24"/>
        </w:rPr>
      </w:pPr>
      <w:r>
        <w:rPr>
          <w:noProof/>
          <w:sz w:val="28"/>
          <w:szCs w:val="24"/>
        </w:rPr>
        <w:t>System entry prize schedule</w:t>
      </w:r>
      <w:r>
        <w:rPr>
          <w:noProof/>
        </w:rPr>
        <w:tab/>
      </w:r>
      <w:r>
        <w:rPr>
          <w:noProof/>
        </w:rPr>
        <w:fldChar w:fldCharType="begin"/>
      </w:r>
      <w:r>
        <w:rPr>
          <w:noProof/>
        </w:rPr>
        <w:instrText xml:space="preserve"> PAGEREF _Toc170211308 \h </w:instrText>
      </w:r>
      <w:r>
        <w:rPr>
          <w:noProof/>
        </w:rPr>
      </w:r>
      <w:r>
        <w:rPr>
          <w:noProof/>
        </w:rPr>
        <w:fldChar w:fldCharType="separate"/>
      </w:r>
      <w:r>
        <w:rPr>
          <w:noProof/>
        </w:rPr>
        <w:t>26</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_Toc170211309 \h </w:instrText>
      </w:r>
      <w:r>
        <w:rPr>
          <w:noProof/>
        </w:rPr>
      </w:r>
      <w:r>
        <w:rPr>
          <w:noProof/>
        </w:rPr>
        <w:fldChar w:fldCharType="separate"/>
      </w:r>
      <w:r>
        <w:rPr>
          <w:noProof/>
        </w:rPr>
        <w:t>28</w:t>
      </w:r>
      <w:r>
        <w:rPr>
          <w:noProof/>
        </w:rPr>
        <w:fldChar w:fldCharType="end"/>
      </w:r>
    </w:p>
    <w:p>
      <w:pPr>
        <w:pStyle w:val="TOC7"/>
        <w:rPr>
          <w:noProof/>
          <w:sz w:val="24"/>
          <w:szCs w:val="24"/>
        </w:rPr>
      </w:pPr>
      <w:r>
        <w:rPr>
          <w:noProof/>
          <w:sz w:val="28"/>
          <w:szCs w:val="24"/>
        </w:rPr>
        <w:t>Summary of parameters within which Saturday lotto is conducted</w:t>
      </w:r>
      <w:r>
        <w:rPr>
          <w:noProof/>
        </w:rPr>
        <w:tab/>
      </w:r>
      <w:r>
        <w:rPr>
          <w:noProof/>
        </w:rPr>
        <w:fldChar w:fldCharType="begin"/>
      </w:r>
      <w:r>
        <w:rPr>
          <w:noProof/>
        </w:rPr>
        <w:instrText xml:space="preserve"> PAGEREF _Toc170211310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_Toc170211312 \h </w:instrText>
      </w:r>
      <w:r>
        <w:rPr>
          <w:noProof/>
        </w:rPr>
      </w:r>
      <w:r>
        <w:rPr>
          <w:noProof/>
        </w:rPr>
        <w:fldChar w:fldCharType="separate"/>
      </w:r>
      <w:r>
        <w:rPr>
          <w:noProof/>
        </w:rPr>
        <w:t>29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1" w:name="_Toc17021126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5071670"/>
      <w:bookmarkStart w:id="3" w:name="_Toc5071979"/>
      <w:bookmarkStart w:id="4" w:name="_Toc9846744"/>
      <w:bookmarkStart w:id="5" w:name="_Toc170211264"/>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6" w:name="_Toc5071671"/>
      <w:bookmarkStart w:id="7" w:name="_Toc5071980"/>
      <w:bookmarkStart w:id="8" w:name="_Toc9846745"/>
      <w:bookmarkStart w:id="9" w:name="_Toc170211265"/>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10" w:name="_Toc5071672"/>
      <w:bookmarkStart w:id="11" w:name="_Toc5071981"/>
      <w:bookmarkStart w:id="12" w:name="_Toc9846746"/>
      <w:bookmarkStart w:id="13" w:name="_Toc17021126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Saturday lotto, and includes any branch or section of the Commission;</w:t>
      </w:r>
    </w:p>
    <w:p>
      <w:pPr>
        <w:pStyle w:val="Defstart"/>
      </w:pPr>
      <w:r>
        <w:rPr>
          <w:b/>
        </w:rPr>
        <w:tab/>
        <w:t>“</w:t>
      </w:r>
      <w:r>
        <w:rPr>
          <w:rStyle w:val="CharDefText"/>
        </w:rPr>
        <w:t>agent’s component</w:t>
      </w:r>
      <w:r>
        <w:rPr>
          <w:b/>
        </w:rPr>
        <w:t>”</w:t>
      </w:r>
      <w:r>
        <w:t xml:space="preserve"> means that part of the entry cost (added to the subscription) set out in Schedule 1A that is payable to the agent;</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New South Wales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8(5) or 9(2);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Saturday lotto containing the numbers 1 to 45;</w:t>
      </w:r>
    </w:p>
    <w:p>
      <w:pPr>
        <w:pStyle w:val="Defstart"/>
      </w:pPr>
      <w:r>
        <w:rPr>
          <w:b/>
        </w:rPr>
        <w:tab/>
        <w:t>“</w:t>
      </w:r>
      <w:r>
        <w:rPr>
          <w:rStyle w:val="CharDefText"/>
        </w:rPr>
        <w:t>payout period</w:t>
      </w:r>
      <w:r>
        <w:rPr>
          <w:b/>
        </w:rPr>
        <w:t>”</w:t>
      </w:r>
      <w:r>
        <w:t xml:space="preserve"> means the period from the Sunday after a Saturday lotto draw to the close of business on the day 12 months after that draw;</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means a game of lotto conducted in accordance with these rules;</w:t>
      </w:r>
    </w:p>
    <w:p>
      <w:pPr>
        <w:pStyle w:val="Defstart"/>
      </w:pPr>
      <w:r>
        <w:rPr>
          <w:b/>
        </w:rPr>
        <w:tab/>
        <w:t>“</w:t>
      </w:r>
      <w:r>
        <w:rPr>
          <w:rStyle w:val="CharDefText"/>
        </w:rPr>
        <w:t>Saturday lotto draw</w:t>
      </w:r>
      <w:r>
        <w:rPr>
          <w:b/>
        </w:rPr>
        <w:t>”</w:t>
      </w:r>
      <w:r>
        <w:t xml:space="preserve"> means a lotto draw conducted in accordance with rule 19, and supervised in accordance with rule 16;</w:t>
      </w:r>
    </w:p>
    <w:p>
      <w:pPr>
        <w:pStyle w:val="Defstart"/>
      </w:pPr>
      <w:r>
        <w:rPr>
          <w:b/>
        </w:rPr>
        <w:tab/>
        <w:t>“</w:t>
      </w:r>
      <w:r>
        <w:rPr>
          <w:rStyle w:val="CharDefText"/>
        </w:rPr>
        <w:t>selected number</w:t>
      </w:r>
      <w:r>
        <w:rPr>
          <w:b/>
        </w:rPr>
        <w:t>”</w:t>
      </w:r>
      <w:r>
        <w:t xml:space="preserve"> means one of the numbers —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selling period</w:t>
      </w:r>
      <w:r>
        <w:rPr>
          <w:b/>
        </w:rPr>
        <w:t>”</w:t>
      </w:r>
      <w:r>
        <w:t xml:space="preserve"> means the period terminating at 6.00 p.m. on the day on which a Saturday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Saturday lotto draw;</w:t>
      </w:r>
    </w:p>
    <w:p>
      <w:pPr>
        <w:pStyle w:val="Defstart"/>
      </w:pPr>
      <w:r>
        <w:rPr>
          <w:b/>
        </w:rPr>
        <w:tab/>
        <w:t>“</w:t>
      </w:r>
      <w:r>
        <w:rPr>
          <w:rStyle w:val="CharDefText"/>
        </w:rPr>
        <w:t>total prize pool</w:t>
      </w:r>
      <w:r>
        <w:rPr>
          <w:b/>
        </w:rPr>
        <w:t>”</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Saturday lotto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winning number</w:t>
      </w:r>
      <w:r>
        <w:rPr>
          <w:b/>
        </w:rPr>
        <w:t>”</w:t>
      </w:r>
      <w:r>
        <w:t xml:space="preserve"> means any one of the first 6 numbers drawn from the barrel in a Saturday lotto draw.</w:t>
      </w:r>
    </w:p>
    <w:p>
      <w:pPr>
        <w:pStyle w:val="Ednotesection"/>
        <w:ind w:left="890" w:hanging="890"/>
        <w:outlineLvl w:val="9"/>
      </w:pPr>
      <w:r>
        <w:tab/>
      </w:r>
      <w:r>
        <w:tab/>
        <w:t xml:space="preserve">[Rule 3 amended in Gazette 5 Dec 1997 p. 7131; 9 Mar 2001 p. 1325; 28 Mar 2002 p. 1765; 10 Sep 2002 p. 4597.] </w:t>
      </w:r>
    </w:p>
    <w:p>
      <w:pPr>
        <w:pStyle w:val="Heading2"/>
      </w:pPr>
      <w:bookmarkStart w:id="14" w:name="_Toc170211267"/>
      <w:r>
        <w:rPr>
          <w:rStyle w:val="CharPartNo"/>
        </w:rPr>
        <w:t>Part 2</w:t>
      </w:r>
      <w:r>
        <w:rPr>
          <w:rStyle w:val="CharDivNo"/>
        </w:rPr>
        <w:t> </w:t>
      </w:r>
      <w:r>
        <w:t>—</w:t>
      </w:r>
      <w:r>
        <w:rPr>
          <w:rStyle w:val="CharDivText"/>
        </w:rPr>
        <w:t> </w:t>
      </w:r>
      <w:r>
        <w:rPr>
          <w:rStyle w:val="CharPartText"/>
        </w:rPr>
        <w:t>Requirements for entry</w:t>
      </w:r>
      <w:bookmarkEnd w:id="14"/>
      <w:r>
        <w:rPr>
          <w:rStyle w:val="CharPartText"/>
        </w:rPr>
        <w:t xml:space="preserve"> </w:t>
      </w:r>
    </w:p>
    <w:p>
      <w:pPr>
        <w:pStyle w:val="Heading5"/>
        <w:rPr>
          <w:snapToGrid w:val="0"/>
        </w:rPr>
      </w:pPr>
      <w:bookmarkStart w:id="15" w:name="_Toc5071673"/>
      <w:bookmarkStart w:id="16" w:name="_Toc5071982"/>
      <w:bookmarkStart w:id="17" w:name="_Toc9846747"/>
      <w:bookmarkStart w:id="18" w:name="_Toc170211268"/>
      <w:r>
        <w:rPr>
          <w:rStyle w:val="CharSectno"/>
        </w:rPr>
        <w:t>4</w:t>
      </w:r>
      <w:r>
        <w:rPr>
          <w:snapToGrid w:val="0"/>
        </w:rPr>
        <w:t>.</w:t>
      </w:r>
      <w:r>
        <w:rPr>
          <w:snapToGrid w:val="0"/>
        </w:rPr>
        <w:tab/>
        <w:t>Entry coupon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Commission must ensure that an entry coupon for Saturday lotto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19" w:name="_Toc5071674"/>
      <w:bookmarkStart w:id="20" w:name="_Toc5071983"/>
      <w:bookmarkStart w:id="21" w:name="_Toc9846748"/>
      <w:bookmarkStart w:id="22" w:name="_Toc170211269"/>
      <w:r>
        <w:rPr>
          <w:rStyle w:val="CharSectno"/>
        </w:rPr>
        <w:t>5</w:t>
      </w:r>
      <w:r>
        <w:rPr>
          <w:snapToGrid w:val="0"/>
        </w:rPr>
        <w:t>.</w:t>
      </w:r>
      <w:r>
        <w:rPr>
          <w:snapToGrid w:val="0"/>
        </w:rPr>
        <w:tab/>
        <w:t>Methods of entry</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 person may enter Saturday lotto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23" w:name="_Toc5071675"/>
      <w:bookmarkStart w:id="24" w:name="_Toc5071984"/>
      <w:bookmarkStart w:id="25" w:name="_Toc9846749"/>
      <w:bookmarkStart w:id="26" w:name="_Toc170211270"/>
      <w:r>
        <w:rPr>
          <w:rStyle w:val="CharSectno"/>
        </w:rPr>
        <w:t>6</w:t>
      </w:r>
      <w:r>
        <w:rPr>
          <w:snapToGrid w:val="0"/>
        </w:rPr>
        <w:t>.</w:t>
      </w:r>
      <w:r>
        <w:rPr>
          <w:snapToGrid w:val="0"/>
        </w:rPr>
        <w:tab/>
        <w:t>No limit to number of entries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27" w:name="_Toc5071676"/>
      <w:bookmarkStart w:id="28" w:name="_Toc5071985"/>
      <w:bookmarkStart w:id="29" w:name="_Toc9846750"/>
      <w:bookmarkStart w:id="30" w:name="_Toc170211271"/>
      <w:r>
        <w:rPr>
          <w:rStyle w:val="CharSectno"/>
        </w:rPr>
        <w:t>7</w:t>
      </w:r>
      <w:r>
        <w:rPr>
          <w:snapToGrid w:val="0"/>
        </w:rPr>
        <w:t>.</w:t>
      </w:r>
      <w:r>
        <w:rPr>
          <w:snapToGrid w:val="0"/>
        </w:rPr>
        <w:tab/>
        <w:t>Super 66 entry</w:t>
      </w:r>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31" w:name="_Toc5071677"/>
      <w:bookmarkStart w:id="32" w:name="_Toc5071986"/>
      <w:bookmarkStart w:id="33" w:name="_Toc9846751"/>
      <w:bookmarkStart w:id="34" w:name="_Toc170211272"/>
      <w:r>
        <w:rPr>
          <w:rStyle w:val="CharSectno"/>
        </w:rPr>
        <w:t>8</w:t>
      </w:r>
      <w:r>
        <w:rPr>
          <w:snapToGrid w:val="0"/>
        </w:rPr>
        <w:t>.</w:t>
      </w:r>
      <w:r>
        <w:rPr>
          <w:snapToGrid w:val="0"/>
        </w:rPr>
        <w:tab/>
        <w:t>Completion of entry coupon</w:t>
      </w:r>
      <w:bookmarkEnd w:id="31"/>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To enter Saturday lotto using an entry coupon, a subscriber must —</w:t>
      </w:r>
    </w:p>
    <w:p>
      <w:pPr>
        <w:pStyle w:val="Indenta"/>
        <w:rPr>
          <w:snapToGrid w:val="0"/>
        </w:rPr>
      </w:pPr>
      <w:r>
        <w:rPr>
          <w:snapToGrid w:val="0"/>
        </w:rPr>
        <w:tab/>
        <w:t>(a)</w:t>
      </w:r>
      <w:r>
        <w:rPr>
          <w:snapToGrid w:val="0"/>
        </w:rPr>
        <w:tab/>
        <w:t>select 6 numbers out of the numbers 1 to 45 in each of at least 4 game boards on the entry coupon; or</w:t>
      </w:r>
    </w:p>
    <w:p>
      <w:pPr>
        <w:pStyle w:val="Indenta"/>
        <w:rPr>
          <w:snapToGrid w:val="0"/>
        </w:rPr>
      </w:pPr>
      <w:r>
        <w:rPr>
          <w:snapToGrid w:val="0"/>
        </w:rPr>
        <w:tab/>
        <w:t>(b)</w:t>
      </w:r>
      <w:r>
        <w:rPr>
          <w:snapToGrid w:val="0"/>
        </w:rPr>
        <w:tab/>
        <w:t>select between 4 and 20 numbers (other than 6 numbers) out of the numbers 1 to 45 in one or more game boards on the entry coupon.</w:t>
      </w:r>
    </w:p>
    <w:p>
      <w:pPr>
        <w:pStyle w:val="Subsection"/>
        <w:spacing w:before="120"/>
        <w:rPr>
          <w:snapToGrid w:val="0"/>
        </w:rPr>
      </w:pPr>
      <w:r>
        <w:rPr>
          <w:snapToGrid w:val="0"/>
        </w:rPr>
        <w:tab/>
        <w:t>(2)</w:t>
      </w:r>
      <w:r>
        <w:rPr>
          <w:snapToGrid w:val="0"/>
        </w:rPr>
        <w:tab/>
        <w:t>A subscriber who has filled out a game board on a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$99 999.00.</w:t>
      </w:r>
    </w:p>
    <w:p>
      <w:pPr>
        <w:pStyle w:val="Subsection"/>
        <w:spacing w:before="120"/>
        <w:rPr>
          <w:snapToGrid w:val="0"/>
        </w:rPr>
      </w:pPr>
      <w:r>
        <w:rPr>
          <w:snapToGrid w:val="0"/>
        </w:rPr>
        <w:tab/>
        <w:t>(3)</w:t>
      </w:r>
      <w:r>
        <w:rPr>
          <w:snapToGrid w:val="0"/>
        </w:rPr>
        <w:tab/>
        <w:t>The subscriber must also mark in the appropriate boxes on the entry coupon — </w:t>
      </w:r>
    </w:p>
    <w:p>
      <w:pPr>
        <w:pStyle w:val="Indenta"/>
        <w:rPr>
          <w:snapToGrid w:val="0"/>
        </w:rPr>
      </w:pPr>
      <w:r>
        <w:rPr>
          <w:snapToGrid w:val="0"/>
        </w:rPr>
        <w:tab/>
        <w:t>(a)</w:t>
      </w:r>
      <w:r>
        <w:rPr>
          <w:snapToGrid w:val="0"/>
        </w:rPr>
        <w:tab/>
        <w:t>whether the entry coupon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spacing w:before="120"/>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 entry coupon — </w:t>
      </w:r>
    </w:p>
    <w:p>
      <w:pPr>
        <w:pStyle w:val="Indenta"/>
        <w:rPr>
          <w:snapToGrid w:val="0"/>
        </w:rPr>
      </w:pPr>
      <w:r>
        <w:rPr>
          <w:snapToGrid w:val="0"/>
        </w:rPr>
        <w:tab/>
        <w:t>(a)</w:t>
      </w:r>
      <w:r>
        <w:rPr>
          <w:snapToGrid w:val="0"/>
        </w:rPr>
        <w:tab/>
        <w:t>6 selected numbers, the resulting receipted ticket constitutes one entry (made up of up to 12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 entry coupon.</w:t>
      </w:r>
    </w:p>
    <w:p>
      <w:pPr>
        <w:pStyle w:val="Footnotesection"/>
      </w:pPr>
      <w:r>
        <w:tab/>
        <w:t>[Rule 8 amended in Gazette 9 Mar 2001 p. 1325; 10 Sep 2002 p. 4598; 23 Dec 2005 p. 6274.]</w:t>
      </w:r>
    </w:p>
    <w:p>
      <w:pPr>
        <w:pStyle w:val="Ednotesection"/>
        <w:rPr>
          <w:bCs/>
        </w:rPr>
      </w:pPr>
      <w:bookmarkStart w:id="35" w:name="_Toc5071678"/>
      <w:bookmarkStart w:id="36" w:name="_Toc5071987"/>
      <w:bookmarkStart w:id="37" w:name="_Toc9846752"/>
      <w:r>
        <w:t>[</w:t>
      </w:r>
      <w:r>
        <w:rPr>
          <w:b/>
          <w:bCs/>
        </w:rPr>
        <w:t>8A.</w:t>
      </w:r>
      <w:r>
        <w:rPr>
          <w:bCs/>
        </w:rPr>
        <w:tab/>
        <w:t>Repealed in Gazette 23 Dec 2005 p. 6274.]</w:t>
      </w:r>
    </w:p>
    <w:p>
      <w:pPr>
        <w:pStyle w:val="Heading5"/>
        <w:rPr>
          <w:snapToGrid w:val="0"/>
        </w:rPr>
      </w:pPr>
      <w:bookmarkStart w:id="38" w:name="_Toc170211273"/>
      <w:r>
        <w:rPr>
          <w:rStyle w:val="CharSectno"/>
        </w:rPr>
        <w:t>9</w:t>
      </w:r>
      <w:r>
        <w:rPr>
          <w:snapToGrid w:val="0"/>
        </w:rPr>
        <w:t>.</w:t>
      </w:r>
      <w:r>
        <w:rPr>
          <w:snapToGrid w:val="0"/>
        </w:rPr>
        <w:tab/>
        <w:t>Oral request for entry</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To enter Saturday lotto without an entry coupon, a subscriber must make an oral request to an agent stating —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rPr>
          <w:snapToGrid w:val="0"/>
        </w:rPr>
      </w:pPr>
      <w:r>
        <w:rPr>
          <w:snapToGrid w:val="0"/>
        </w:rPr>
        <w:tab/>
        <w:t>(ba)</w:t>
      </w:r>
      <w:r>
        <w:rPr>
          <w:snapToGrid w:val="0"/>
        </w:rPr>
        <w:tab/>
        <w:t>if the subscriber selects 6 selected numbers, whether the subscriber wishes the entry to be entered in 12, 14, 18 or 25 games.</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6 selected numbers, the entry will be entered in 12, 14, 18 or 25 games as requested under subrule (1)(ba);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 xml:space="preserve">[Rule 9 amended in Gazette 29 Apr 1997 p. 2147; 9 Mar 2001 p. 1326; 10 Sep 2002 p. 4599; 23 Dec 2005 p. 6274-5.] </w:t>
      </w:r>
    </w:p>
    <w:p>
      <w:pPr>
        <w:pStyle w:val="Heading5"/>
        <w:rPr>
          <w:snapToGrid w:val="0"/>
        </w:rPr>
      </w:pPr>
      <w:bookmarkStart w:id="39" w:name="_Toc5071679"/>
      <w:bookmarkStart w:id="40" w:name="_Toc5071988"/>
      <w:bookmarkStart w:id="41" w:name="_Toc9846753"/>
      <w:bookmarkStart w:id="42" w:name="_Toc170211274"/>
      <w:r>
        <w:rPr>
          <w:rStyle w:val="CharSectno"/>
        </w:rPr>
        <w:t>10</w:t>
      </w:r>
      <w:r>
        <w:rPr>
          <w:snapToGrid w:val="0"/>
        </w:rPr>
        <w:t>.</w:t>
      </w:r>
      <w:r>
        <w:rPr>
          <w:snapToGrid w:val="0"/>
        </w:rPr>
        <w:tab/>
        <w:t>Entry by mail</w:t>
      </w:r>
      <w:bookmarkEnd w:id="39"/>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[Regulation 10 amended in Gazette 10 Sep 2002 p. 4599; 23 Dec 2005 p. 6275.]</w:t>
      </w:r>
    </w:p>
    <w:p>
      <w:pPr>
        <w:pStyle w:val="Heading5"/>
        <w:rPr>
          <w:snapToGrid w:val="0"/>
        </w:rPr>
      </w:pPr>
      <w:bookmarkStart w:id="43" w:name="_Toc5071680"/>
      <w:bookmarkStart w:id="44" w:name="_Toc5071989"/>
      <w:bookmarkStart w:id="45" w:name="_Toc9846754"/>
      <w:bookmarkStart w:id="46" w:name="_Toc170211275"/>
      <w:r>
        <w:rPr>
          <w:rStyle w:val="CharSectno"/>
        </w:rPr>
        <w:t>11</w:t>
      </w:r>
      <w:r>
        <w:rPr>
          <w:snapToGrid w:val="0"/>
        </w:rPr>
        <w:t>.</w:t>
      </w:r>
      <w:r>
        <w:rPr>
          <w:snapToGrid w:val="0"/>
        </w:rPr>
        <w:tab/>
        <w:t>Receipted tickets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47" w:name="_Toc5071681"/>
      <w:bookmarkStart w:id="48" w:name="_Toc5071990"/>
      <w:bookmarkStart w:id="49" w:name="_Toc9846755"/>
      <w:bookmarkStart w:id="50" w:name="_Toc170211276"/>
      <w:r>
        <w:rPr>
          <w:rStyle w:val="CharSectno"/>
        </w:rPr>
        <w:t>12</w:t>
      </w:r>
      <w:r>
        <w:rPr>
          <w:snapToGrid w:val="0"/>
        </w:rPr>
        <w:t>.</w:t>
      </w:r>
      <w:r>
        <w:rPr>
          <w:snapToGrid w:val="0"/>
        </w:rPr>
        <w:tab/>
        <w:t>Surrender of receipted ticket</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Ednotesubsection"/>
      </w:pPr>
      <w:r>
        <w:tab/>
        <w:t>[(2)</w:t>
      </w:r>
      <w:r>
        <w:tab/>
        <w:t>repealed]</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w:t>
      </w:r>
    </w:p>
    <w:p>
      <w:pPr>
        <w:pStyle w:val="Heading5"/>
        <w:rPr>
          <w:snapToGrid w:val="0"/>
        </w:rPr>
      </w:pPr>
      <w:bookmarkStart w:id="51" w:name="_Toc5071682"/>
      <w:bookmarkStart w:id="52" w:name="_Toc5071991"/>
      <w:bookmarkStart w:id="53" w:name="_Toc9846756"/>
      <w:bookmarkStart w:id="54" w:name="_Toc170211277"/>
      <w:r>
        <w:rPr>
          <w:rStyle w:val="CharSectno"/>
        </w:rPr>
        <w:t>13</w:t>
      </w:r>
      <w:r>
        <w:rPr>
          <w:snapToGrid w:val="0"/>
        </w:rPr>
        <w:t>.</w:t>
      </w:r>
      <w:r>
        <w:rPr>
          <w:snapToGrid w:val="0"/>
        </w:rPr>
        <w:tab/>
        <w:t>Accuracy of receipted ticket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55" w:name="_Toc5071683"/>
      <w:bookmarkStart w:id="56" w:name="_Toc5071992"/>
      <w:bookmarkStart w:id="57" w:name="_Toc9846757"/>
      <w:bookmarkStart w:id="58" w:name="_Toc170211278"/>
      <w:r>
        <w:rPr>
          <w:rStyle w:val="CharSectno"/>
        </w:rPr>
        <w:t>14</w:t>
      </w:r>
      <w:r>
        <w:rPr>
          <w:snapToGrid w:val="0"/>
        </w:rPr>
        <w:t>.</w:t>
      </w:r>
      <w:r>
        <w:rPr>
          <w:snapToGrid w:val="0"/>
        </w:rPr>
        <w:tab/>
        <w:t>Validity of receipted ticket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Saturday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[Regulation 14 amended in Gazette 10 Sep 2002 p. 4599; 23 Dec 2005 p. 6275.]</w:t>
      </w:r>
    </w:p>
    <w:p>
      <w:pPr>
        <w:pStyle w:val="Heading2"/>
      </w:pPr>
      <w:bookmarkStart w:id="59" w:name="_Toc170211279"/>
      <w:r>
        <w:rPr>
          <w:rStyle w:val="CharPartNo"/>
        </w:rPr>
        <w:t>Part 3</w:t>
      </w:r>
      <w:r>
        <w:rPr>
          <w:rStyle w:val="CharDivNo"/>
        </w:rPr>
        <w:t> </w:t>
      </w:r>
      <w:r>
        <w:t>—</w:t>
      </w:r>
      <w:r>
        <w:rPr>
          <w:rStyle w:val="CharDivText"/>
        </w:rPr>
        <w:t> </w:t>
      </w:r>
      <w:r>
        <w:rPr>
          <w:rStyle w:val="CharPartText"/>
        </w:rPr>
        <w:t>General duties of Commission</w:t>
      </w:r>
      <w:bookmarkEnd w:id="59"/>
      <w:r>
        <w:rPr>
          <w:rStyle w:val="CharPartText"/>
        </w:rPr>
        <w:t xml:space="preserve"> </w:t>
      </w:r>
    </w:p>
    <w:p>
      <w:pPr>
        <w:pStyle w:val="Heading5"/>
        <w:rPr>
          <w:snapToGrid w:val="0"/>
        </w:rPr>
      </w:pPr>
      <w:bookmarkStart w:id="60" w:name="_Toc5071684"/>
      <w:bookmarkStart w:id="61" w:name="_Toc5071993"/>
      <w:bookmarkStart w:id="62" w:name="_Toc9846758"/>
      <w:bookmarkStart w:id="63" w:name="_Toc170211280"/>
      <w:r>
        <w:rPr>
          <w:rStyle w:val="CharSectno"/>
        </w:rPr>
        <w:t>15</w:t>
      </w:r>
      <w:r>
        <w:rPr>
          <w:snapToGrid w:val="0"/>
        </w:rPr>
        <w:t>.</w:t>
      </w:r>
      <w:r>
        <w:rPr>
          <w:snapToGrid w:val="0"/>
        </w:rPr>
        <w:tab/>
        <w:t>Saturday draws to be numbered</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64" w:name="_Toc5071685"/>
      <w:bookmarkStart w:id="65" w:name="_Toc5071994"/>
      <w:bookmarkStart w:id="66" w:name="_Toc9846759"/>
      <w:bookmarkStart w:id="67" w:name="_Toc170211281"/>
      <w:r>
        <w:rPr>
          <w:rStyle w:val="CharSectno"/>
        </w:rPr>
        <w:t>16</w:t>
      </w:r>
      <w:r>
        <w:t>.</w:t>
      </w:r>
      <w:r>
        <w:tab/>
        <w:t>Supervision of Saturday lotto</w:t>
      </w:r>
      <w:bookmarkEnd w:id="64"/>
      <w:bookmarkEnd w:id="65"/>
      <w:bookmarkEnd w:id="66"/>
      <w:bookmarkEnd w:id="67"/>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68" w:name="_Toc5071686"/>
      <w:bookmarkStart w:id="69" w:name="_Toc5071995"/>
      <w:bookmarkStart w:id="70" w:name="_Toc9846760"/>
      <w:bookmarkStart w:id="71" w:name="_Toc170211282"/>
      <w:r>
        <w:rPr>
          <w:rStyle w:val="CharSectno"/>
        </w:rPr>
        <w:t>17</w:t>
      </w:r>
      <w:r>
        <w:rPr>
          <w:snapToGrid w:val="0"/>
        </w:rPr>
        <w:t>.</w:t>
      </w:r>
      <w:r>
        <w:rPr>
          <w:snapToGrid w:val="0"/>
        </w:rPr>
        <w:tab/>
        <w:t>Publication of results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After each Saturday lotto draw the Commission must publish, in a daily newspaper in this State —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 xml:space="preserve">the 6 winning numbers and the 2 supplementary numbers;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 xml:space="preserve">the total prize pool for that Saturday lotto draw; and </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72" w:name="_Toc5071687"/>
      <w:bookmarkStart w:id="73" w:name="_Toc5071996"/>
      <w:bookmarkStart w:id="74" w:name="_Toc9846761"/>
      <w:bookmarkStart w:id="75" w:name="_Toc170211283"/>
      <w:r>
        <w:rPr>
          <w:rStyle w:val="CharSectno"/>
        </w:rPr>
        <w:t>18</w:t>
      </w:r>
      <w:r>
        <w:rPr>
          <w:snapToGrid w:val="0"/>
        </w:rPr>
        <w:t>.</w:t>
      </w:r>
      <w:r>
        <w:rPr>
          <w:snapToGrid w:val="0"/>
        </w:rPr>
        <w:tab/>
        <w:t>Australian Lotto Bloc prize pool and prize reserve fund</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The contribution under subrule (1) are to be divided so that — </w:t>
      </w:r>
    </w:p>
    <w:p>
      <w:pPr>
        <w:pStyle w:val="Indenta"/>
        <w:rPr>
          <w:snapToGrid w:val="0"/>
        </w:rPr>
      </w:pPr>
      <w:r>
        <w:rPr>
          <w:snapToGrid w:val="0"/>
        </w:rPr>
        <w:tab/>
        <w:t>(a)</w:t>
      </w:r>
      <w:r>
        <w:rPr>
          <w:snapToGrid w:val="0"/>
        </w:rPr>
        <w:tab/>
        <w:t>55% of the Commission’s subscriptions go to the Australian Lotto Bloc Saturday lotto prize pool; and</w:t>
      </w:r>
    </w:p>
    <w:p>
      <w:pPr>
        <w:pStyle w:val="Indenta"/>
        <w:rPr>
          <w:snapToGrid w:val="0"/>
        </w:rPr>
      </w:pPr>
      <w:r>
        <w:rPr>
          <w:snapToGrid w:val="0"/>
        </w:rPr>
        <w:tab/>
        <w:t>(b)</w:t>
      </w:r>
      <w:r>
        <w:rPr>
          <w:snapToGrid w:val="0"/>
        </w:rPr>
        <w:tab/>
        <w:t>the remaining 5% of the Commission’s subscriptions go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Heading2"/>
      </w:pPr>
      <w:bookmarkStart w:id="76" w:name="_Toc170211284"/>
      <w:r>
        <w:rPr>
          <w:rStyle w:val="CharPartNo"/>
        </w:rPr>
        <w:t>Part 4</w:t>
      </w:r>
      <w:r>
        <w:rPr>
          <w:rStyle w:val="CharDivNo"/>
        </w:rPr>
        <w:t> </w:t>
      </w:r>
      <w:r>
        <w:t>—</w:t>
      </w:r>
      <w:r>
        <w:rPr>
          <w:rStyle w:val="CharDivText"/>
        </w:rPr>
        <w:t> </w:t>
      </w:r>
      <w:r>
        <w:rPr>
          <w:rStyle w:val="CharPartText"/>
        </w:rPr>
        <w:t>Saturday lotto draw</w:t>
      </w:r>
      <w:bookmarkEnd w:id="76"/>
      <w:r>
        <w:rPr>
          <w:rStyle w:val="CharPartText"/>
        </w:rPr>
        <w:t xml:space="preserve"> </w:t>
      </w:r>
    </w:p>
    <w:p>
      <w:pPr>
        <w:pStyle w:val="Heading5"/>
        <w:rPr>
          <w:snapToGrid w:val="0"/>
        </w:rPr>
      </w:pPr>
      <w:bookmarkStart w:id="77" w:name="_Toc5071688"/>
      <w:bookmarkStart w:id="78" w:name="_Toc5071997"/>
      <w:bookmarkStart w:id="79" w:name="_Toc9846762"/>
      <w:bookmarkStart w:id="80" w:name="_Toc170211285"/>
      <w:r>
        <w:rPr>
          <w:rStyle w:val="CharSectno"/>
        </w:rPr>
        <w:t>19</w:t>
      </w:r>
      <w:r>
        <w:rPr>
          <w:snapToGrid w:val="0"/>
        </w:rPr>
        <w:t>.</w:t>
      </w:r>
      <w:r>
        <w:rPr>
          <w:snapToGrid w:val="0"/>
        </w:rPr>
        <w:tab/>
        <w:t>Saturday lotto draw</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81" w:name="_Toc5071689"/>
      <w:bookmarkStart w:id="82" w:name="_Toc5071998"/>
      <w:bookmarkStart w:id="83" w:name="_Toc9846763"/>
      <w:bookmarkStart w:id="84" w:name="_Toc170211286"/>
      <w:r>
        <w:rPr>
          <w:rStyle w:val="CharSectno"/>
        </w:rPr>
        <w:t>20</w:t>
      </w:r>
      <w:r>
        <w:rPr>
          <w:snapToGrid w:val="0"/>
        </w:rPr>
        <w:t>.</w:t>
      </w:r>
      <w:r>
        <w:rPr>
          <w:snapToGrid w:val="0"/>
        </w:rPr>
        <w:tab/>
        <w:t>Criteria for Saturday lotto prizes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In a Saturday lotto draw the holder of a receipted ticket wins —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5 winning numbers and a supplementary number;</w:t>
      </w:r>
    </w:p>
    <w:p>
      <w:pPr>
        <w:pStyle w:val="Indenta"/>
        <w:rPr>
          <w:snapToGrid w:val="0"/>
        </w:rPr>
      </w:pPr>
      <w:r>
        <w:rPr>
          <w:snapToGrid w:val="0"/>
        </w:rPr>
        <w:tab/>
        <w:t>(c)</w:t>
      </w:r>
      <w:r>
        <w:rPr>
          <w:snapToGrid w:val="0"/>
        </w:rPr>
        <w:tab/>
        <w:t>division 3, if 5 winning numbers;</w:t>
      </w:r>
    </w:p>
    <w:p>
      <w:pPr>
        <w:pStyle w:val="Indenta"/>
        <w:rPr>
          <w:snapToGrid w:val="0"/>
        </w:rPr>
      </w:pPr>
      <w:r>
        <w:rPr>
          <w:snapToGrid w:val="0"/>
        </w:rPr>
        <w:tab/>
        <w:t>(d)</w:t>
      </w:r>
      <w:r>
        <w:rPr>
          <w:snapToGrid w:val="0"/>
        </w:rPr>
        <w:tab/>
        <w:t>division 4, if 4 winning numbers; or</w:t>
      </w:r>
    </w:p>
    <w:p>
      <w:pPr>
        <w:pStyle w:val="Indenta"/>
        <w:rPr>
          <w:snapToGrid w:val="0"/>
        </w:rPr>
      </w:pPr>
      <w:r>
        <w:rPr>
          <w:snapToGrid w:val="0"/>
        </w:rPr>
        <w:tab/>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85" w:name="_Toc5071690"/>
      <w:bookmarkStart w:id="86" w:name="_Toc5071999"/>
      <w:bookmarkStart w:id="87" w:name="_Toc9846764"/>
      <w:bookmarkStart w:id="88" w:name="_Toc170211287"/>
      <w:r>
        <w:rPr>
          <w:rStyle w:val="CharSectno"/>
        </w:rPr>
        <w:t>21</w:t>
      </w:r>
      <w:r>
        <w:rPr>
          <w:snapToGrid w:val="0"/>
        </w:rPr>
        <w:t>.</w:t>
      </w:r>
      <w:r>
        <w:rPr>
          <w:snapToGrid w:val="0"/>
        </w:rPr>
        <w:tab/>
        <w:t>Only systems entry can win in more than one division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Saturday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Heading5"/>
        <w:rPr>
          <w:snapToGrid w:val="0"/>
        </w:rPr>
      </w:pPr>
      <w:bookmarkStart w:id="89" w:name="_Toc5071691"/>
      <w:bookmarkStart w:id="90" w:name="_Toc5072000"/>
      <w:bookmarkStart w:id="91" w:name="_Toc9846765"/>
      <w:bookmarkStart w:id="92" w:name="_Toc170211288"/>
      <w:r>
        <w:rPr>
          <w:rStyle w:val="CharSectno"/>
        </w:rPr>
        <w:t>22</w:t>
      </w:r>
      <w:r>
        <w:rPr>
          <w:snapToGrid w:val="0"/>
        </w:rPr>
        <w:t>.</w:t>
      </w:r>
      <w:r>
        <w:rPr>
          <w:snapToGrid w:val="0"/>
        </w:rPr>
        <w:tab/>
        <w:t>Distribution of lotto prize pool</w:t>
      </w:r>
      <w:bookmarkEnd w:id="89"/>
      <w:bookmarkEnd w:id="90"/>
      <w:bookmarkEnd w:id="91"/>
      <w:bookmarkEnd w:id="92"/>
      <w:r>
        <w:rPr>
          <w:snapToGrid w:val="0"/>
        </w:rPr>
        <w:t xml:space="preserve"> </w:t>
      </w:r>
    </w:p>
    <w:p>
      <w:pPr>
        <w:pStyle w:val="Subsection"/>
        <w:keepNext/>
        <w:keepLines/>
        <w:rPr>
          <w:snapToGrid w:val="0"/>
        </w:rPr>
      </w:pPr>
      <w:r>
        <w:rPr>
          <w:snapToGrid w:val="0"/>
        </w:rPr>
        <w:tab/>
        <w:t>(1)</w:t>
      </w:r>
      <w:r>
        <w:rPr>
          <w:snapToGrid w:val="0"/>
        </w:rPr>
        <w:tab/>
        <w:t>The Commission must distribute the prize pool for a Saturday lotto draw as follows — </w:t>
      </w:r>
    </w:p>
    <w:p>
      <w:pPr>
        <w:pStyle w:val="Indenta"/>
        <w:rPr>
          <w:snapToGrid w:val="0"/>
        </w:rPr>
      </w:pPr>
      <w:r>
        <w:rPr>
          <w:snapToGrid w:val="0"/>
        </w:rPr>
        <w:tab/>
        <w:t>(a)</w:t>
      </w:r>
      <w:r>
        <w:rPr>
          <w:snapToGrid w:val="0"/>
        </w:rPr>
        <w:tab/>
        <w:t>division 1 — 26.2% of the prize pool;</w:t>
      </w:r>
    </w:p>
    <w:p>
      <w:pPr>
        <w:pStyle w:val="Indenta"/>
        <w:rPr>
          <w:snapToGrid w:val="0"/>
        </w:rPr>
      </w:pPr>
      <w:r>
        <w:rPr>
          <w:snapToGrid w:val="0"/>
        </w:rPr>
        <w:tab/>
        <w:t>(b)</w:t>
      </w:r>
      <w:r>
        <w:rPr>
          <w:snapToGrid w:val="0"/>
        </w:rPr>
        <w:tab/>
        <w:t>division 2 — 6.7% of the prize pool;</w:t>
      </w:r>
    </w:p>
    <w:p>
      <w:pPr>
        <w:pStyle w:val="Indenta"/>
        <w:rPr>
          <w:snapToGrid w:val="0"/>
        </w:rPr>
      </w:pPr>
      <w:r>
        <w:rPr>
          <w:snapToGrid w:val="0"/>
        </w:rPr>
        <w:tab/>
        <w:t>(c)</w:t>
      </w:r>
      <w:r>
        <w:rPr>
          <w:snapToGrid w:val="0"/>
        </w:rPr>
        <w:tab/>
        <w:t>division 3 — 12.4% of the prize pool;</w:t>
      </w:r>
    </w:p>
    <w:p>
      <w:pPr>
        <w:pStyle w:val="Indenta"/>
        <w:rPr>
          <w:snapToGrid w:val="0"/>
        </w:rPr>
      </w:pPr>
      <w:r>
        <w:rPr>
          <w:snapToGrid w:val="0"/>
        </w:rPr>
        <w:tab/>
        <w:t>(d)</w:t>
      </w:r>
      <w:r>
        <w:rPr>
          <w:snapToGrid w:val="0"/>
        </w:rPr>
        <w:tab/>
        <w:t>division 4 — 21.1% of the prize pool; and</w:t>
      </w:r>
    </w:p>
    <w:p>
      <w:pPr>
        <w:pStyle w:val="Indenta"/>
        <w:rPr>
          <w:snapToGrid w:val="0"/>
        </w:rPr>
      </w:pPr>
      <w:r>
        <w:rPr>
          <w:snapToGrid w:val="0"/>
        </w:rPr>
        <w:tab/>
        <w:t>(e)</w:t>
      </w:r>
      <w:r>
        <w:rPr>
          <w:snapToGrid w:val="0"/>
        </w:rPr>
        <w:tab/>
        <w:t>division 5 — 33.6%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Heading5"/>
        <w:rPr>
          <w:snapToGrid w:val="0"/>
        </w:rPr>
      </w:pPr>
      <w:bookmarkStart w:id="93" w:name="_Toc5071692"/>
      <w:bookmarkStart w:id="94" w:name="_Toc5072001"/>
      <w:bookmarkStart w:id="95" w:name="_Toc9846766"/>
      <w:bookmarkStart w:id="96" w:name="_Toc170211289"/>
      <w:r>
        <w:rPr>
          <w:rStyle w:val="CharSectno"/>
        </w:rPr>
        <w:t>23</w:t>
      </w:r>
      <w:r>
        <w:rPr>
          <w:snapToGrid w:val="0"/>
        </w:rPr>
        <w:t>.</w:t>
      </w:r>
      <w:r>
        <w:rPr>
          <w:snapToGrid w:val="0"/>
        </w:rPr>
        <w:tab/>
        <w:t>Division 1 jackpot</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no one claims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If no one claims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97" w:name="_Toc5071693"/>
      <w:bookmarkStart w:id="98" w:name="_Toc5072002"/>
      <w:bookmarkStart w:id="99" w:name="_Toc9846767"/>
      <w:bookmarkStart w:id="100" w:name="_Toc170211290"/>
      <w:r>
        <w:rPr>
          <w:rStyle w:val="CharSectno"/>
        </w:rPr>
        <w:t>24</w:t>
      </w:r>
      <w:r>
        <w:rPr>
          <w:snapToGrid w:val="0"/>
        </w:rPr>
        <w:t>.</w:t>
      </w:r>
      <w:r>
        <w:rPr>
          <w:snapToGrid w:val="0"/>
        </w:rPr>
        <w:tab/>
        <w:t>Division 2 — 4 prize pools may go to next lower division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01" w:name="_Toc5071694"/>
      <w:bookmarkStart w:id="102" w:name="_Toc5072003"/>
      <w:bookmarkStart w:id="103" w:name="_Toc9846768"/>
      <w:bookmarkStart w:id="104" w:name="_Toc170211291"/>
      <w:r>
        <w:rPr>
          <w:rStyle w:val="CharSectno"/>
        </w:rPr>
        <w:t>25</w:t>
      </w:r>
      <w:r>
        <w:rPr>
          <w:snapToGrid w:val="0"/>
        </w:rPr>
        <w:t>.</w:t>
      </w:r>
      <w:r>
        <w:rPr>
          <w:snapToGrid w:val="0"/>
        </w:rPr>
        <w:tab/>
        <w:t>Bonus draws and guaranteed prize pools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5"/>
        <w:rPr>
          <w:snapToGrid w:val="0"/>
        </w:rPr>
      </w:pPr>
      <w:bookmarkStart w:id="105" w:name="_Toc5071695"/>
      <w:bookmarkStart w:id="106" w:name="_Toc5072004"/>
      <w:bookmarkStart w:id="107" w:name="_Toc9846769"/>
      <w:bookmarkStart w:id="108" w:name="_Toc170211292"/>
      <w:r>
        <w:rPr>
          <w:rStyle w:val="CharSectno"/>
        </w:rPr>
        <w:t>26</w:t>
      </w:r>
      <w:r>
        <w:rPr>
          <w:snapToGrid w:val="0"/>
        </w:rPr>
        <w:t>.</w:t>
      </w:r>
      <w:r>
        <w:rPr>
          <w:snapToGrid w:val="0"/>
        </w:rPr>
        <w:tab/>
        <w:t>Division 1 prizes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Heading5"/>
        <w:rPr>
          <w:snapToGrid w:val="0"/>
        </w:rPr>
      </w:pPr>
      <w:bookmarkStart w:id="109" w:name="_Toc5071696"/>
      <w:bookmarkStart w:id="110" w:name="_Toc5072005"/>
      <w:bookmarkStart w:id="111" w:name="_Toc9846770"/>
      <w:bookmarkStart w:id="112" w:name="_Toc170211293"/>
      <w:r>
        <w:rPr>
          <w:rStyle w:val="CharSectno"/>
        </w:rPr>
        <w:t>27</w:t>
      </w:r>
      <w:r>
        <w:rPr>
          <w:snapToGrid w:val="0"/>
        </w:rPr>
        <w:t>.</w:t>
      </w:r>
      <w:r>
        <w:rPr>
          <w:snapToGrid w:val="0"/>
        </w:rPr>
        <w:tab/>
        <w:t>Division 2 prizes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13" w:name="_Toc5071697"/>
      <w:bookmarkStart w:id="114" w:name="_Toc5072006"/>
      <w:bookmarkStart w:id="115" w:name="_Toc9846771"/>
      <w:bookmarkStart w:id="116" w:name="_Toc170211294"/>
      <w:r>
        <w:rPr>
          <w:rStyle w:val="CharSectno"/>
        </w:rPr>
        <w:t>28</w:t>
      </w:r>
      <w:r>
        <w:rPr>
          <w:snapToGrid w:val="0"/>
        </w:rPr>
        <w:t>.</w:t>
      </w:r>
      <w:r>
        <w:rPr>
          <w:snapToGrid w:val="0"/>
        </w:rPr>
        <w:tab/>
        <w:t>Division 3, 4 and 5 prizes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rPr>
          <w:snapToGrid w:val="0"/>
        </w:rPr>
      </w:pPr>
      <w:bookmarkStart w:id="117" w:name="_Toc5071698"/>
      <w:bookmarkStart w:id="118" w:name="_Toc5072007"/>
      <w:bookmarkStart w:id="119" w:name="_Toc9846772"/>
      <w:bookmarkStart w:id="120" w:name="_Toc170211295"/>
      <w:r>
        <w:rPr>
          <w:rStyle w:val="CharSectno"/>
        </w:rPr>
        <w:t>29</w:t>
      </w:r>
      <w:r>
        <w:rPr>
          <w:snapToGrid w:val="0"/>
        </w:rPr>
        <w:t>.</w:t>
      </w:r>
      <w:r>
        <w:rPr>
          <w:snapToGrid w:val="0"/>
        </w:rPr>
        <w:tab/>
        <w:t>Commission may require a statutory declaration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21" w:name="_Toc5071699"/>
      <w:bookmarkStart w:id="122" w:name="_Toc5072008"/>
      <w:bookmarkStart w:id="123" w:name="_Toc9846773"/>
      <w:bookmarkStart w:id="124" w:name="_Toc170211296"/>
      <w:r>
        <w:rPr>
          <w:rStyle w:val="CharSectno"/>
        </w:rPr>
        <w:t>30</w:t>
      </w:r>
      <w:r>
        <w:rPr>
          <w:snapToGrid w:val="0"/>
        </w:rPr>
        <w:t>.</w:t>
      </w:r>
      <w:r>
        <w:rPr>
          <w:snapToGrid w:val="0"/>
        </w:rPr>
        <w:tab/>
        <w:t>Publication of names and addresses of prize winners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25" w:name="_Toc5071700"/>
      <w:bookmarkStart w:id="126" w:name="_Toc5072009"/>
      <w:bookmarkStart w:id="127" w:name="_Toc9846774"/>
      <w:bookmarkStart w:id="128" w:name="_Toc170211297"/>
      <w:r>
        <w:rPr>
          <w:rStyle w:val="CharSectno"/>
        </w:rPr>
        <w:t>31</w:t>
      </w:r>
      <w:r>
        <w:rPr>
          <w:snapToGrid w:val="0"/>
        </w:rPr>
        <w:t>.</w:t>
      </w:r>
      <w:r>
        <w:rPr>
          <w:snapToGrid w:val="0"/>
        </w:rPr>
        <w:tab/>
        <w:t>Player Registration Service</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1326</w:t>
      </w:r>
      <w:r>
        <w:noBreakHyphen/>
        <w:t xml:space="preserve">7; 8 Aug 2003 p. 3577-8.] </w:t>
      </w:r>
    </w:p>
    <w:p>
      <w:pPr>
        <w:pStyle w:val="Heading2"/>
      </w:pPr>
      <w:bookmarkStart w:id="129" w:name="_Toc170211298"/>
      <w:r>
        <w:rPr>
          <w:rStyle w:val="CharPartNo"/>
        </w:rPr>
        <w:t>Part 5</w:t>
      </w:r>
      <w:r>
        <w:rPr>
          <w:rStyle w:val="CharDivNo"/>
        </w:rPr>
        <w:t> </w:t>
      </w:r>
      <w:r>
        <w:t>—</w:t>
      </w:r>
      <w:r>
        <w:rPr>
          <w:rStyle w:val="CharDivText"/>
        </w:rPr>
        <w:t> </w:t>
      </w:r>
      <w:r>
        <w:rPr>
          <w:rStyle w:val="CharPartText"/>
        </w:rPr>
        <w:t>Miscellaneous</w:t>
      </w:r>
      <w:bookmarkEnd w:id="129"/>
      <w:r>
        <w:rPr>
          <w:rStyle w:val="CharPartText"/>
        </w:rPr>
        <w:t xml:space="preserve"> </w:t>
      </w:r>
    </w:p>
    <w:p>
      <w:pPr>
        <w:pStyle w:val="Heading5"/>
        <w:rPr>
          <w:snapToGrid w:val="0"/>
        </w:rPr>
      </w:pPr>
      <w:bookmarkStart w:id="130" w:name="_Toc5071701"/>
      <w:bookmarkStart w:id="131" w:name="_Toc5072010"/>
      <w:bookmarkStart w:id="132" w:name="_Toc9846775"/>
      <w:bookmarkStart w:id="133" w:name="_Toc170211299"/>
      <w:r>
        <w:rPr>
          <w:rStyle w:val="CharSectno"/>
        </w:rPr>
        <w:t>32</w:t>
      </w:r>
      <w:r>
        <w:rPr>
          <w:snapToGrid w:val="0"/>
        </w:rPr>
        <w:t>.</w:t>
      </w:r>
      <w:r>
        <w:rPr>
          <w:snapToGrid w:val="0"/>
        </w:rPr>
        <w:tab/>
        <w:t>Instructions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34" w:name="_Toc5071702"/>
      <w:bookmarkStart w:id="135" w:name="_Toc5072011"/>
      <w:bookmarkStart w:id="136" w:name="_Toc9846776"/>
      <w:bookmarkStart w:id="137" w:name="_Toc170211300"/>
      <w:r>
        <w:rPr>
          <w:rStyle w:val="CharSectno"/>
        </w:rPr>
        <w:t>33</w:t>
      </w:r>
      <w:r>
        <w:rPr>
          <w:snapToGrid w:val="0"/>
        </w:rPr>
        <w:t>.</w:t>
      </w:r>
      <w:r>
        <w:rPr>
          <w:snapToGrid w:val="0"/>
        </w:rPr>
        <w:tab/>
        <w:t>Rules to be made available</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38" w:name="_Toc5071703"/>
      <w:bookmarkStart w:id="139" w:name="_Toc5072012"/>
      <w:bookmarkStart w:id="140" w:name="_Toc9846777"/>
      <w:bookmarkStart w:id="141" w:name="_Toc170211301"/>
      <w:r>
        <w:rPr>
          <w:rStyle w:val="CharSectno"/>
        </w:rPr>
        <w:t>34</w:t>
      </w:r>
      <w:r>
        <w:rPr>
          <w:snapToGrid w:val="0"/>
        </w:rPr>
        <w:t>.</w:t>
      </w:r>
      <w:r>
        <w:rPr>
          <w:snapToGrid w:val="0"/>
        </w:rPr>
        <w:tab/>
        <w:t>Decisions of Commission final</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section"/>
        <w:spacing w:before="360"/>
        <w:ind w:left="890" w:hanging="890"/>
      </w:pPr>
      <w:r>
        <w:t>[Part 6 omitted under the Reprints Act 1984 s. 7(4)(f) and (g).]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2" w:name="_Toc10434945"/>
      <w:bookmarkStart w:id="143" w:name="_Toc170211302"/>
      <w:r>
        <w:rPr>
          <w:rStyle w:val="CharSchNo"/>
        </w:rPr>
        <w:t>Schedule 1</w:t>
      </w:r>
      <w:bookmarkEnd w:id="142"/>
      <w:bookmarkEnd w:id="143"/>
    </w:p>
    <w:p>
      <w:pPr>
        <w:pStyle w:val="yHeading3"/>
        <w:outlineLvl w:val="9"/>
      </w:pPr>
      <w:bookmarkStart w:id="144" w:name="_Toc5072017"/>
      <w:bookmarkStart w:id="145" w:name="_Toc10539412"/>
      <w:bookmarkStart w:id="146" w:name="_Toc170211303"/>
      <w:r>
        <w:t>Cost of entry — Saturday lotto</w:t>
      </w:r>
      <w:bookmarkEnd w:id="144"/>
      <w:bookmarkEnd w:id="145"/>
      <w:bookmarkEnd w:id="146"/>
    </w:p>
    <w:p>
      <w:pPr>
        <w:pStyle w:val="yShoulderClause"/>
        <w:rPr>
          <w:snapToGrid w:val="0"/>
        </w:rPr>
      </w:pPr>
      <w:r>
        <w:rPr>
          <w:snapToGrid w:val="0"/>
        </w:rPr>
        <w:t>[Rule 5(1)]</w:t>
      </w:r>
    </w:p>
    <w:p>
      <w:pPr>
        <w:pStyle w:val="yMiscellaneousBody"/>
        <w:spacing w:after="160"/>
        <w:rPr>
          <w:snapToGrid w:val="0"/>
        </w:rPr>
      </w:pPr>
      <w:r>
        <w:rPr>
          <w:snapToGrid w:val="0"/>
        </w:rPr>
        <w:t>The price for an entry for a Saturday lotto draw taking place on or after 1 February 1997</w:t>
      </w:r>
      <w:r>
        <w:t>, and on or before 28 September 2002</w:t>
      </w:r>
      <w:r>
        <w:rPr>
          <w:snapToGrid w:val="0"/>
        </w:rPr>
        <w:t xml:space="preserve"> is 40 cents per game per week. The cost of multiple games and systems entries is as follows:</w:t>
      </w:r>
    </w:p>
    <w:tbl>
      <w:tblPr>
        <w:tblW w:w="0" w:type="auto"/>
        <w:tblInd w:w="8" w:type="dxa"/>
        <w:tblLayout w:type="fixed"/>
        <w:tblCellMar>
          <w:left w:w="0" w:type="dxa"/>
          <w:right w:w="0" w:type="dxa"/>
        </w:tblCellMar>
        <w:tblLook w:val="0000" w:firstRow="0" w:lastRow="0" w:firstColumn="0" w:lastColumn="0" w:noHBand="0" w:noVBand="0"/>
      </w:tblPr>
      <w:tblGrid>
        <w:gridCol w:w="738"/>
        <w:gridCol w:w="1077"/>
        <w:gridCol w:w="1276"/>
        <w:gridCol w:w="1275"/>
        <w:gridCol w:w="1304"/>
        <w:gridCol w:w="1276"/>
        <w:gridCol w:w="142"/>
      </w:tblGrid>
      <w:tr>
        <w:trPr>
          <w:tblHeader/>
        </w:trPr>
        <w:tc>
          <w:tcPr>
            <w:tcW w:w="738" w:type="dxa"/>
            <w:tcBorders>
              <w:top w:val="single" w:sz="4" w:space="0" w:color="auto"/>
              <w:bottom w:val="single" w:sz="4" w:space="0" w:color="auto"/>
            </w:tcBorders>
          </w:tcPr>
          <w:p>
            <w:pPr>
              <w:pStyle w:val="yTable"/>
              <w:spacing w:before="0"/>
              <w:jc w:val="center"/>
              <w:rPr>
                <w:b/>
                <w:sz w:val="18"/>
              </w:rPr>
            </w:pPr>
            <w:r>
              <w:rPr>
                <w:b/>
                <w:sz w:val="18"/>
              </w:rPr>
              <w:t>System</w:t>
            </w:r>
          </w:p>
        </w:tc>
        <w:tc>
          <w:tcPr>
            <w:tcW w:w="1077" w:type="dxa"/>
            <w:tcBorders>
              <w:top w:val="single" w:sz="4" w:space="0" w:color="auto"/>
              <w:bottom w:val="single" w:sz="4" w:space="0" w:color="auto"/>
            </w:tcBorders>
          </w:tcPr>
          <w:p>
            <w:pPr>
              <w:pStyle w:val="yTable"/>
              <w:tabs>
                <w:tab w:val="left" w:pos="396"/>
              </w:tabs>
              <w:spacing w:before="0"/>
              <w:rPr>
                <w:b/>
                <w:sz w:val="18"/>
              </w:rPr>
            </w:pPr>
            <w:r>
              <w:rPr>
                <w:b/>
                <w:sz w:val="18"/>
              </w:rPr>
              <w:tab/>
              <w:t xml:space="preserve">       No.</w:t>
            </w:r>
          </w:p>
          <w:p>
            <w:pPr>
              <w:pStyle w:val="yTable"/>
              <w:tabs>
                <w:tab w:val="left" w:pos="396"/>
              </w:tabs>
              <w:spacing w:before="0"/>
              <w:jc w:val="right"/>
              <w:rPr>
                <w:b/>
                <w:sz w:val="18"/>
              </w:rPr>
            </w:pPr>
            <w:r>
              <w:rPr>
                <w:b/>
                <w:sz w:val="18"/>
              </w:rPr>
              <w:t>Games</w:t>
            </w:r>
          </w:p>
        </w:tc>
        <w:tc>
          <w:tcPr>
            <w:tcW w:w="1276" w:type="dxa"/>
            <w:tcBorders>
              <w:top w:val="single" w:sz="4" w:space="0" w:color="auto"/>
              <w:bottom w:val="single" w:sz="4" w:space="0" w:color="auto"/>
            </w:tcBorders>
          </w:tcPr>
          <w:p>
            <w:pPr>
              <w:pStyle w:val="yTable"/>
              <w:spacing w:before="0"/>
              <w:rPr>
                <w:b/>
                <w:sz w:val="18"/>
              </w:rPr>
            </w:pPr>
            <w:r>
              <w:rPr>
                <w:b/>
                <w:sz w:val="18"/>
              </w:rPr>
              <w:t xml:space="preserve">                      1</w:t>
            </w:r>
          </w:p>
          <w:p>
            <w:pPr>
              <w:pStyle w:val="yTable"/>
              <w:spacing w:before="0"/>
              <w:jc w:val="right"/>
              <w:rPr>
                <w:b/>
                <w:sz w:val="18"/>
              </w:rPr>
            </w:pPr>
            <w:r>
              <w:rPr>
                <w:b/>
                <w:sz w:val="18"/>
              </w:rPr>
              <w:t>Week</w:t>
            </w:r>
          </w:p>
        </w:tc>
        <w:tc>
          <w:tcPr>
            <w:tcW w:w="1275" w:type="dxa"/>
            <w:tcBorders>
              <w:top w:val="single" w:sz="4" w:space="0" w:color="auto"/>
              <w:bottom w:val="single" w:sz="4" w:space="0" w:color="auto"/>
            </w:tcBorders>
          </w:tcPr>
          <w:p>
            <w:pPr>
              <w:pStyle w:val="yTable"/>
              <w:spacing w:before="0"/>
              <w:rPr>
                <w:b/>
                <w:sz w:val="18"/>
              </w:rPr>
            </w:pPr>
            <w:r>
              <w:rPr>
                <w:b/>
                <w:sz w:val="18"/>
              </w:rPr>
              <w:t xml:space="preserve">                      2</w:t>
            </w:r>
          </w:p>
          <w:p>
            <w:pPr>
              <w:pStyle w:val="yTable"/>
              <w:spacing w:before="0"/>
              <w:jc w:val="right"/>
              <w:rPr>
                <w:b/>
                <w:sz w:val="18"/>
              </w:rPr>
            </w:pPr>
            <w:r>
              <w:rPr>
                <w:b/>
                <w:sz w:val="18"/>
              </w:rPr>
              <w:t>Weeks</w:t>
            </w:r>
          </w:p>
        </w:tc>
        <w:tc>
          <w:tcPr>
            <w:tcW w:w="1304" w:type="dxa"/>
            <w:tcBorders>
              <w:top w:val="single" w:sz="4" w:space="0" w:color="auto"/>
              <w:bottom w:val="single" w:sz="4" w:space="0" w:color="auto"/>
            </w:tcBorders>
          </w:tcPr>
          <w:p>
            <w:pPr>
              <w:pStyle w:val="yTable"/>
              <w:spacing w:before="0"/>
              <w:rPr>
                <w:b/>
                <w:sz w:val="18"/>
              </w:rPr>
            </w:pPr>
            <w:r>
              <w:rPr>
                <w:b/>
                <w:sz w:val="18"/>
              </w:rPr>
              <w:t xml:space="preserve">                      5</w:t>
            </w:r>
          </w:p>
          <w:p>
            <w:pPr>
              <w:pStyle w:val="yTable"/>
              <w:spacing w:before="0"/>
              <w:jc w:val="right"/>
              <w:rPr>
                <w:b/>
                <w:sz w:val="18"/>
              </w:rPr>
            </w:pPr>
            <w:r>
              <w:rPr>
                <w:b/>
                <w:sz w:val="18"/>
              </w:rPr>
              <w:t>Weeks</w:t>
            </w:r>
          </w:p>
        </w:tc>
        <w:tc>
          <w:tcPr>
            <w:tcW w:w="1276" w:type="dxa"/>
            <w:tcBorders>
              <w:top w:val="single" w:sz="4" w:space="0" w:color="auto"/>
              <w:bottom w:val="single" w:sz="4" w:space="0" w:color="auto"/>
            </w:tcBorders>
          </w:tcPr>
          <w:p>
            <w:pPr>
              <w:pStyle w:val="yTable"/>
              <w:spacing w:before="0"/>
              <w:rPr>
                <w:b/>
                <w:sz w:val="18"/>
              </w:rPr>
            </w:pPr>
            <w:r>
              <w:rPr>
                <w:b/>
                <w:sz w:val="18"/>
              </w:rPr>
              <w:t xml:space="preserve">                    10</w:t>
            </w:r>
          </w:p>
          <w:p>
            <w:pPr>
              <w:pStyle w:val="yTable"/>
              <w:spacing w:before="0"/>
              <w:jc w:val="right"/>
              <w:rPr>
                <w:b/>
                <w:sz w:val="18"/>
              </w:rPr>
            </w:pPr>
            <w:r>
              <w:rPr>
                <w:b/>
                <w:sz w:val="18"/>
              </w:rPr>
              <w:t>Weeks</w:t>
            </w:r>
          </w:p>
        </w:tc>
        <w:tc>
          <w:tcPr>
            <w:tcW w:w="142" w:type="dxa"/>
            <w:tcBorders>
              <w:top w:val="single" w:sz="4" w:space="0" w:color="auto"/>
              <w:bottom w:val="single" w:sz="4" w:space="0" w:color="auto"/>
            </w:tcBorders>
          </w:tcPr>
          <w:p>
            <w:pPr>
              <w:pStyle w:val="yTable"/>
              <w:spacing w:before="0"/>
              <w:rPr>
                <w:b/>
                <w:sz w:val="18"/>
              </w:rPr>
            </w:pPr>
          </w:p>
        </w:tc>
      </w:tr>
      <w:tr>
        <w:tc>
          <w:tcPr>
            <w:tcW w:w="738" w:type="dxa"/>
          </w:tcPr>
          <w:p>
            <w:pPr>
              <w:pStyle w:val="yTable"/>
              <w:spacing w:before="0"/>
              <w:rPr>
                <w:b/>
                <w:sz w:val="18"/>
              </w:rPr>
            </w:pPr>
          </w:p>
        </w:tc>
        <w:tc>
          <w:tcPr>
            <w:tcW w:w="1077" w:type="dxa"/>
          </w:tcPr>
          <w:p>
            <w:pPr>
              <w:pStyle w:val="yTable"/>
              <w:spacing w:before="0"/>
              <w:rPr>
                <w:b/>
                <w:sz w:val="18"/>
              </w:rPr>
            </w:pPr>
          </w:p>
        </w:tc>
        <w:tc>
          <w:tcPr>
            <w:tcW w:w="1276" w:type="dxa"/>
          </w:tcPr>
          <w:p>
            <w:pPr>
              <w:pStyle w:val="yTable"/>
              <w:spacing w:before="0"/>
              <w:rPr>
                <w:b/>
                <w:sz w:val="18"/>
              </w:rPr>
            </w:pPr>
            <w:r>
              <w:rPr>
                <w:b/>
                <w:sz w:val="18"/>
              </w:rPr>
              <w:t xml:space="preserve">                      $</w:t>
            </w:r>
          </w:p>
        </w:tc>
        <w:tc>
          <w:tcPr>
            <w:tcW w:w="1275" w:type="dxa"/>
          </w:tcPr>
          <w:p>
            <w:pPr>
              <w:pStyle w:val="yTable"/>
              <w:spacing w:before="0"/>
              <w:rPr>
                <w:b/>
                <w:sz w:val="18"/>
              </w:rPr>
            </w:pPr>
            <w:r>
              <w:rPr>
                <w:b/>
                <w:sz w:val="18"/>
              </w:rPr>
              <w:t xml:space="preserve">                      $</w:t>
            </w:r>
          </w:p>
        </w:tc>
        <w:tc>
          <w:tcPr>
            <w:tcW w:w="1304" w:type="dxa"/>
          </w:tcPr>
          <w:p>
            <w:pPr>
              <w:pStyle w:val="yTable"/>
              <w:spacing w:before="0"/>
              <w:rPr>
                <w:b/>
                <w:sz w:val="18"/>
              </w:rPr>
            </w:pPr>
            <w:r>
              <w:rPr>
                <w:b/>
                <w:sz w:val="18"/>
              </w:rPr>
              <w:t xml:space="preserve">                      $</w:t>
            </w:r>
          </w:p>
        </w:tc>
        <w:tc>
          <w:tcPr>
            <w:tcW w:w="1276" w:type="dxa"/>
          </w:tcPr>
          <w:p>
            <w:pPr>
              <w:pStyle w:val="yTable"/>
              <w:spacing w:before="0"/>
              <w:rPr>
                <w:b/>
                <w:sz w:val="18"/>
              </w:rPr>
            </w:pPr>
            <w:r>
              <w:rPr>
                <w:b/>
                <w:sz w:val="18"/>
              </w:rPr>
              <w:t xml:space="preserve">                     $</w:t>
            </w:r>
          </w:p>
        </w:tc>
        <w:tc>
          <w:tcPr>
            <w:tcW w:w="142" w:type="dxa"/>
          </w:tcPr>
          <w:p>
            <w:pPr>
              <w:pStyle w:val="yTable"/>
              <w:spacing w:before="0"/>
              <w:rPr>
                <w:b/>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4</w:t>
            </w:r>
          </w:p>
        </w:tc>
        <w:tc>
          <w:tcPr>
            <w:tcW w:w="1276" w:type="dxa"/>
          </w:tcPr>
          <w:p>
            <w:pPr>
              <w:pStyle w:val="yTable"/>
              <w:spacing w:before="0"/>
              <w:jc w:val="right"/>
              <w:rPr>
                <w:sz w:val="18"/>
              </w:rPr>
            </w:pPr>
            <w:r>
              <w:rPr>
                <w:sz w:val="18"/>
              </w:rPr>
              <w:t>1.60</w:t>
            </w:r>
          </w:p>
        </w:tc>
        <w:tc>
          <w:tcPr>
            <w:tcW w:w="1275" w:type="dxa"/>
          </w:tcPr>
          <w:p>
            <w:pPr>
              <w:pStyle w:val="yTable"/>
              <w:spacing w:before="0"/>
              <w:jc w:val="right"/>
              <w:rPr>
                <w:sz w:val="18"/>
              </w:rPr>
            </w:pPr>
            <w:r>
              <w:rPr>
                <w:sz w:val="18"/>
              </w:rPr>
              <w:t>3.20</w:t>
            </w:r>
          </w:p>
        </w:tc>
        <w:tc>
          <w:tcPr>
            <w:tcW w:w="1304" w:type="dxa"/>
          </w:tcPr>
          <w:p>
            <w:pPr>
              <w:pStyle w:val="yTable"/>
              <w:spacing w:before="0"/>
              <w:jc w:val="right"/>
              <w:rPr>
                <w:sz w:val="18"/>
              </w:rPr>
            </w:pPr>
            <w:r>
              <w:rPr>
                <w:sz w:val="18"/>
              </w:rPr>
              <w:t>8.00</w:t>
            </w:r>
          </w:p>
        </w:tc>
        <w:tc>
          <w:tcPr>
            <w:tcW w:w="1276" w:type="dxa"/>
          </w:tcPr>
          <w:p>
            <w:pPr>
              <w:pStyle w:val="yTable"/>
              <w:spacing w:before="0"/>
              <w:jc w:val="right"/>
              <w:rPr>
                <w:sz w:val="18"/>
              </w:rPr>
            </w:pPr>
            <w:r>
              <w:rPr>
                <w:sz w:val="18"/>
              </w:rPr>
              <w:t>16.00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5</w:t>
            </w:r>
          </w:p>
        </w:tc>
        <w:tc>
          <w:tcPr>
            <w:tcW w:w="1276" w:type="dxa"/>
          </w:tcPr>
          <w:p>
            <w:pPr>
              <w:pStyle w:val="yTable"/>
              <w:spacing w:before="0"/>
              <w:jc w:val="right"/>
              <w:rPr>
                <w:sz w:val="18"/>
              </w:rPr>
            </w:pPr>
            <w:r>
              <w:rPr>
                <w:sz w:val="18"/>
              </w:rPr>
              <w:t>2.00</w:t>
            </w:r>
          </w:p>
        </w:tc>
        <w:tc>
          <w:tcPr>
            <w:tcW w:w="1275" w:type="dxa"/>
          </w:tcPr>
          <w:p>
            <w:pPr>
              <w:pStyle w:val="yTable"/>
              <w:spacing w:before="0"/>
              <w:jc w:val="right"/>
              <w:rPr>
                <w:sz w:val="18"/>
              </w:rPr>
            </w:pPr>
            <w:r>
              <w:rPr>
                <w:sz w:val="18"/>
              </w:rPr>
              <w:t>4.00</w:t>
            </w:r>
          </w:p>
        </w:tc>
        <w:tc>
          <w:tcPr>
            <w:tcW w:w="1304" w:type="dxa"/>
          </w:tcPr>
          <w:p>
            <w:pPr>
              <w:pStyle w:val="yTable"/>
              <w:spacing w:before="0"/>
              <w:jc w:val="right"/>
              <w:rPr>
                <w:sz w:val="18"/>
              </w:rPr>
            </w:pPr>
            <w:r>
              <w:rPr>
                <w:sz w:val="18"/>
              </w:rPr>
              <w:t>10.00</w:t>
            </w:r>
          </w:p>
        </w:tc>
        <w:tc>
          <w:tcPr>
            <w:tcW w:w="1276" w:type="dxa"/>
          </w:tcPr>
          <w:p>
            <w:pPr>
              <w:pStyle w:val="yTable"/>
              <w:spacing w:before="0"/>
              <w:jc w:val="right"/>
              <w:rPr>
                <w:sz w:val="18"/>
              </w:rPr>
            </w:pPr>
            <w:r>
              <w:rPr>
                <w:sz w:val="18"/>
              </w:rPr>
              <w:t>20.00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6</w:t>
            </w:r>
          </w:p>
        </w:tc>
        <w:tc>
          <w:tcPr>
            <w:tcW w:w="1276" w:type="dxa"/>
          </w:tcPr>
          <w:p>
            <w:pPr>
              <w:pStyle w:val="yTable"/>
              <w:spacing w:before="0"/>
              <w:jc w:val="right"/>
              <w:rPr>
                <w:sz w:val="18"/>
              </w:rPr>
            </w:pPr>
            <w:r>
              <w:rPr>
                <w:sz w:val="18"/>
              </w:rPr>
              <w:t>2.40</w:t>
            </w:r>
          </w:p>
        </w:tc>
        <w:tc>
          <w:tcPr>
            <w:tcW w:w="1275" w:type="dxa"/>
          </w:tcPr>
          <w:p>
            <w:pPr>
              <w:pStyle w:val="yTable"/>
              <w:spacing w:before="0"/>
              <w:jc w:val="right"/>
              <w:rPr>
                <w:sz w:val="18"/>
              </w:rPr>
            </w:pPr>
            <w:r>
              <w:rPr>
                <w:sz w:val="18"/>
              </w:rPr>
              <w:t>4.80</w:t>
            </w:r>
          </w:p>
        </w:tc>
        <w:tc>
          <w:tcPr>
            <w:tcW w:w="1304" w:type="dxa"/>
          </w:tcPr>
          <w:p>
            <w:pPr>
              <w:pStyle w:val="yTable"/>
              <w:spacing w:before="0"/>
              <w:jc w:val="right"/>
              <w:rPr>
                <w:sz w:val="18"/>
              </w:rPr>
            </w:pPr>
            <w:r>
              <w:rPr>
                <w:sz w:val="18"/>
              </w:rPr>
              <w:t>12.00</w:t>
            </w:r>
          </w:p>
        </w:tc>
        <w:tc>
          <w:tcPr>
            <w:tcW w:w="1276" w:type="dxa"/>
          </w:tcPr>
          <w:p>
            <w:pPr>
              <w:pStyle w:val="yTable"/>
              <w:spacing w:before="0"/>
              <w:jc w:val="right"/>
              <w:rPr>
                <w:sz w:val="18"/>
              </w:rPr>
            </w:pPr>
            <w:r>
              <w:rPr>
                <w:sz w:val="18"/>
              </w:rPr>
              <w:t>24.00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7</w:t>
            </w:r>
          </w:p>
        </w:tc>
        <w:tc>
          <w:tcPr>
            <w:tcW w:w="1276" w:type="dxa"/>
          </w:tcPr>
          <w:p>
            <w:pPr>
              <w:pStyle w:val="yTable"/>
              <w:spacing w:before="0"/>
              <w:jc w:val="right"/>
              <w:rPr>
                <w:sz w:val="18"/>
              </w:rPr>
            </w:pPr>
            <w:r>
              <w:rPr>
                <w:sz w:val="18"/>
              </w:rPr>
              <w:t>2.80</w:t>
            </w:r>
          </w:p>
        </w:tc>
        <w:tc>
          <w:tcPr>
            <w:tcW w:w="1275" w:type="dxa"/>
          </w:tcPr>
          <w:p>
            <w:pPr>
              <w:pStyle w:val="yTable"/>
              <w:spacing w:before="0"/>
              <w:jc w:val="right"/>
              <w:rPr>
                <w:sz w:val="18"/>
              </w:rPr>
            </w:pPr>
            <w:r>
              <w:rPr>
                <w:sz w:val="18"/>
              </w:rPr>
              <w:t>5.60</w:t>
            </w:r>
          </w:p>
        </w:tc>
        <w:tc>
          <w:tcPr>
            <w:tcW w:w="1304" w:type="dxa"/>
          </w:tcPr>
          <w:p>
            <w:pPr>
              <w:pStyle w:val="yTable"/>
              <w:spacing w:before="0"/>
              <w:jc w:val="right"/>
              <w:rPr>
                <w:sz w:val="18"/>
              </w:rPr>
            </w:pPr>
            <w:r>
              <w:rPr>
                <w:sz w:val="18"/>
              </w:rPr>
              <w:t>14.00</w:t>
            </w:r>
          </w:p>
        </w:tc>
        <w:tc>
          <w:tcPr>
            <w:tcW w:w="1276" w:type="dxa"/>
          </w:tcPr>
          <w:p>
            <w:pPr>
              <w:pStyle w:val="yTable"/>
              <w:spacing w:before="0"/>
              <w:jc w:val="right"/>
              <w:rPr>
                <w:sz w:val="18"/>
              </w:rPr>
            </w:pPr>
            <w:r>
              <w:rPr>
                <w:sz w:val="18"/>
              </w:rPr>
              <w:t>28.00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8</w:t>
            </w:r>
          </w:p>
        </w:tc>
        <w:tc>
          <w:tcPr>
            <w:tcW w:w="1276" w:type="dxa"/>
          </w:tcPr>
          <w:p>
            <w:pPr>
              <w:pStyle w:val="yTable"/>
              <w:spacing w:before="0"/>
              <w:jc w:val="right"/>
              <w:rPr>
                <w:sz w:val="18"/>
              </w:rPr>
            </w:pPr>
            <w:r>
              <w:rPr>
                <w:sz w:val="18"/>
              </w:rPr>
              <w:t>3.20</w:t>
            </w:r>
          </w:p>
        </w:tc>
        <w:tc>
          <w:tcPr>
            <w:tcW w:w="1275" w:type="dxa"/>
          </w:tcPr>
          <w:p>
            <w:pPr>
              <w:pStyle w:val="yTable"/>
              <w:spacing w:before="0"/>
              <w:jc w:val="right"/>
              <w:rPr>
                <w:sz w:val="18"/>
              </w:rPr>
            </w:pPr>
            <w:r>
              <w:rPr>
                <w:sz w:val="18"/>
              </w:rPr>
              <w:t>6.40</w:t>
            </w:r>
          </w:p>
        </w:tc>
        <w:tc>
          <w:tcPr>
            <w:tcW w:w="1304" w:type="dxa"/>
          </w:tcPr>
          <w:p>
            <w:pPr>
              <w:pStyle w:val="yTable"/>
              <w:spacing w:before="0"/>
              <w:jc w:val="right"/>
              <w:rPr>
                <w:sz w:val="18"/>
              </w:rPr>
            </w:pPr>
            <w:r>
              <w:rPr>
                <w:sz w:val="18"/>
              </w:rPr>
              <w:t>16.00</w:t>
            </w:r>
          </w:p>
        </w:tc>
        <w:tc>
          <w:tcPr>
            <w:tcW w:w="1276" w:type="dxa"/>
          </w:tcPr>
          <w:p>
            <w:pPr>
              <w:pStyle w:val="yTable"/>
              <w:spacing w:before="0"/>
              <w:jc w:val="right"/>
              <w:rPr>
                <w:sz w:val="18"/>
              </w:rPr>
            </w:pPr>
            <w:r>
              <w:rPr>
                <w:sz w:val="18"/>
              </w:rPr>
              <w:t>32.00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9</w:t>
            </w:r>
          </w:p>
        </w:tc>
        <w:tc>
          <w:tcPr>
            <w:tcW w:w="1276" w:type="dxa"/>
          </w:tcPr>
          <w:p>
            <w:pPr>
              <w:pStyle w:val="yTable"/>
              <w:spacing w:before="0"/>
              <w:jc w:val="right"/>
              <w:rPr>
                <w:sz w:val="18"/>
              </w:rPr>
            </w:pPr>
            <w:r>
              <w:rPr>
                <w:sz w:val="18"/>
              </w:rPr>
              <w:t>3.60</w:t>
            </w:r>
          </w:p>
        </w:tc>
        <w:tc>
          <w:tcPr>
            <w:tcW w:w="1275" w:type="dxa"/>
          </w:tcPr>
          <w:p>
            <w:pPr>
              <w:pStyle w:val="yTable"/>
              <w:spacing w:before="0"/>
              <w:jc w:val="right"/>
              <w:rPr>
                <w:sz w:val="18"/>
              </w:rPr>
            </w:pPr>
            <w:r>
              <w:rPr>
                <w:sz w:val="18"/>
              </w:rPr>
              <w:t>7.20</w:t>
            </w:r>
          </w:p>
        </w:tc>
        <w:tc>
          <w:tcPr>
            <w:tcW w:w="1304" w:type="dxa"/>
          </w:tcPr>
          <w:p>
            <w:pPr>
              <w:pStyle w:val="yTable"/>
              <w:spacing w:before="0"/>
              <w:jc w:val="right"/>
              <w:rPr>
                <w:sz w:val="18"/>
              </w:rPr>
            </w:pPr>
            <w:r>
              <w:rPr>
                <w:sz w:val="18"/>
              </w:rPr>
              <w:t>18.00</w:t>
            </w:r>
          </w:p>
        </w:tc>
        <w:tc>
          <w:tcPr>
            <w:tcW w:w="1276" w:type="dxa"/>
          </w:tcPr>
          <w:p>
            <w:pPr>
              <w:pStyle w:val="yTable"/>
              <w:spacing w:before="0"/>
              <w:jc w:val="right"/>
              <w:rPr>
                <w:sz w:val="18"/>
              </w:rPr>
            </w:pPr>
            <w:r>
              <w:rPr>
                <w:sz w:val="18"/>
              </w:rPr>
              <w:t>36.00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10</w:t>
            </w:r>
          </w:p>
        </w:tc>
        <w:tc>
          <w:tcPr>
            <w:tcW w:w="1276" w:type="dxa"/>
          </w:tcPr>
          <w:p>
            <w:pPr>
              <w:pStyle w:val="yTable"/>
              <w:spacing w:before="0"/>
              <w:jc w:val="right"/>
              <w:rPr>
                <w:sz w:val="18"/>
              </w:rPr>
            </w:pPr>
            <w:r>
              <w:rPr>
                <w:sz w:val="18"/>
              </w:rPr>
              <w:t>4.00</w:t>
            </w:r>
          </w:p>
        </w:tc>
        <w:tc>
          <w:tcPr>
            <w:tcW w:w="1275" w:type="dxa"/>
          </w:tcPr>
          <w:p>
            <w:pPr>
              <w:pStyle w:val="yTable"/>
              <w:spacing w:before="0"/>
              <w:jc w:val="right"/>
              <w:rPr>
                <w:sz w:val="18"/>
              </w:rPr>
            </w:pPr>
            <w:r>
              <w:rPr>
                <w:sz w:val="18"/>
              </w:rPr>
              <w:t>8.00</w:t>
            </w:r>
          </w:p>
        </w:tc>
        <w:tc>
          <w:tcPr>
            <w:tcW w:w="1304" w:type="dxa"/>
          </w:tcPr>
          <w:p>
            <w:pPr>
              <w:pStyle w:val="yTable"/>
              <w:spacing w:before="0"/>
              <w:jc w:val="right"/>
              <w:rPr>
                <w:sz w:val="18"/>
              </w:rPr>
            </w:pPr>
            <w:r>
              <w:rPr>
                <w:sz w:val="18"/>
              </w:rPr>
              <w:t>20.00</w:t>
            </w:r>
          </w:p>
        </w:tc>
        <w:tc>
          <w:tcPr>
            <w:tcW w:w="1276" w:type="dxa"/>
          </w:tcPr>
          <w:p>
            <w:pPr>
              <w:pStyle w:val="yTable"/>
              <w:spacing w:before="0"/>
              <w:jc w:val="right"/>
              <w:rPr>
                <w:sz w:val="18"/>
              </w:rPr>
            </w:pPr>
            <w:r>
              <w:rPr>
                <w:sz w:val="18"/>
              </w:rPr>
              <w:t>40.00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11</w:t>
            </w:r>
          </w:p>
        </w:tc>
        <w:tc>
          <w:tcPr>
            <w:tcW w:w="1276" w:type="dxa"/>
          </w:tcPr>
          <w:p>
            <w:pPr>
              <w:pStyle w:val="yTable"/>
              <w:spacing w:before="0"/>
              <w:jc w:val="right"/>
              <w:rPr>
                <w:sz w:val="18"/>
              </w:rPr>
            </w:pPr>
            <w:r>
              <w:rPr>
                <w:sz w:val="18"/>
              </w:rPr>
              <w:t>4.40</w:t>
            </w:r>
          </w:p>
        </w:tc>
        <w:tc>
          <w:tcPr>
            <w:tcW w:w="1275" w:type="dxa"/>
          </w:tcPr>
          <w:p>
            <w:pPr>
              <w:pStyle w:val="yTable"/>
              <w:spacing w:before="0"/>
              <w:jc w:val="right"/>
              <w:rPr>
                <w:sz w:val="18"/>
              </w:rPr>
            </w:pPr>
            <w:r>
              <w:rPr>
                <w:sz w:val="18"/>
              </w:rPr>
              <w:t>8.80</w:t>
            </w:r>
          </w:p>
        </w:tc>
        <w:tc>
          <w:tcPr>
            <w:tcW w:w="1304" w:type="dxa"/>
          </w:tcPr>
          <w:p>
            <w:pPr>
              <w:pStyle w:val="yTable"/>
              <w:spacing w:before="0"/>
              <w:jc w:val="right"/>
              <w:rPr>
                <w:sz w:val="18"/>
              </w:rPr>
            </w:pPr>
            <w:r>
              <w:rPr>
                <w:sz w:val="18"/>
              </w:rPr>
              <w:t>22.00</w:t>
            </w:r>
          </w:p>
        </w:tc>
        <w:tc>
          <w:tcPr>
            <w:tcW w:w="1276" w:type="dxa"/>
          </w:tcPr>
          <w:p>
            <w:pPr>
              <w:pStyle w:val="yTable"/>
              <w:spacing w:before="0"/>
              <w:jc w:val="right"/>
              <w:rPr>
                <w:sz w:val="18"/>
              </w:rPr>
            </w:pPr>
            <w:r>
              <w:rPr>
                <w:sz w:val="18"/>
              </w:rPr>
              <w:t>44.00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12</w:t>
            </w:r>
          </w:p>
        </w:tc>
        <w:tc>
          <w:tcPr>
            <w:tcW w:w="1276" w:type="dxa"/>
          </w:tcPr>
          <w:p>
            <w:pPr>
              <w:pStyle w:val="yTable"/>
              <w:spacing w:before="0"/>
              <w:jc w:val="right"/>
              <w:rPr>
                <w:sz w:val="18"/>
              </w:rPr>
            </w:pPr>
            <w:r>
              <w:rPr>
                <w:sz w:val="18"/>
              </w:rPr>
              <w:t>4.80</w:t>
            </w:r>
          </w:p>
        </w:tc>
        <w:tc>
          <w:tcPr>
            <w:tcW w:w="1275" w:type="dxa"/>
          </w:tcPr>
          <w:p>
            <w:pPr>
              <w:pStyle w:val="yTable"/>
              <w:spacing w:before="0"/>
              <w:jc w:val="right"/>
              <w:rPr>
                <w:sz w:val="18"/>
              </w:rPr>
            </w:pPr>
            <w:r>
              <w:rPr>
                <w:sz w:val="18"/>
              </w:rPr>
              <w:t>9.60</w:t>
            </w:r>
          </w:p>
        </w:tc>
        <w:tc>
          <w:tcPr>
            <w:tcW w:w="1304" w:type="dxa"/>
          </w:tcPr>
          <w:p>
            <w:pPr>
              <w:pStyle w:val="yTable"/>
              <w:spacing w:before="0"/>
              <w:jc w:val="right"/>
              <w:rPr>
                <w:sz w:val="18"/>
              </w:rPr>
            </w:pPr>
            <w:r>
              <w:rPr>
                <w:sz w:val="18"/>
              </w:rPr>
              <w:t>24.00</w:t>
            </w:r>
          </w:p>
        </w:tc>
        <w:tc>
          <w:tcPr>
            <w:tcW w:w="1276" w:type="dxa"/>
          </w:tcPr>
          <w:p>
            <w:pPr>
              <w:pStyle w:val="yTable"/>
              <w:spacing w:before="0"/>
              <w:jc w:val="right"/>
              <w:rPr>
                <w:sz w:val="18"/>
              </w:rPr>
            </w:pPr>
            <w:r>
              <w:rPr>
                <w:sz w:val="18"/>
              </w:rPr>
              <w:t>48.00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14</w:t>
            </w:r>
          </w:p>
        </w:tc>
        <w:tc>
          <w:tcPr>
            <w:tcW w:w="1276" w:type="dxa"/>
          </w:tcPr>
          <w:p>
            <w:pPr>
              <w:pStyle w:val="yTable"/>
              <w:spacing w:before="0"/>
              <w:jc w:val="right"/>
              <w:rPr>
                <w:sz w:val="18"/>
              </w:rPr>
            </w:pPr>
            <w:r>
              <w:rPr>
                <w:sz w:val="18"/>
              </w:rPr>
              <w:t>5.60</w:t>
            </w:r>
          </w:p>
        </w:tc>
        <w:tc>
          <w:tcPr>
            <w:tcW w:w="1275" w:type="dxa"/>
          </w:tcPr>
          <w:p>
            <w:pPr>
              <w:pStyle w:val="yTable"/>
              <w:spacing w:before="0"/>
              <w:jc w:val="right"/>
              <w:rPr>
                <w:sz w:val="18"/>
              </w:rPr>
            </w:pPr>
            <w:r>
              <w:rPr>
                <w:sz w:val="18"/>
              </w:rPr>
              <w:t>11.20</w:t>
            </w:r>
          </w:p>
        </w:tc>
        <w:tc>
          <w:tcPr>
            <w:tcW w:w="1304" w:type="dxa"/>
          </w:tcPr>
          <w:p>
            <w:pPr>
              <w:pStyle w:val="yTable"/>
              <w:spacing w:before="0"/>
              <w:jc w:val="right"/>
              <w:rPr>
                <w:sz w:val="18"/>
              </w:rPr>
            </w:pPr>
            <w:r>
              <w:rPr>
                <w:sz w:val="18"/>
              </w:rPr>
              <w:t>28.00</w:t>
            </w:r>
          </w:p>
        </w:tc>
        <w:tc>
          <w:tcPr>
            <w:tcW w:w="1276" w:type="dxa"/>
          </w:tcPr>
          <w:p>
            <w:pPr>
              <w:pStyle w:val="yTable"/>
              <w:spacing w:before="0"/>
              <w:jc w:val="right"/>
              <w:rPr>
                <w:sz w:val="18"/>
              </w:rPr>
            </w:pPr>
            <w:r>
              <w:rPr>
                <w:sz w:val="18"/>
              </w:rPr>
              <w:t>56.00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18</w:t>
            </w:r>
          </w:p>
        </w:tc>
        <w:tc>
          <w:tcPr>
            <w:tcW w:w="1276" w:type="dxa"/>
          </w:tcPr>
          <w:p>
            <w:pPr>
              <w:pStyle w:val="yTable"/>
              <w:spacing w:before="0"/>
              <w:jc w:val="right"/>
              <w:rPr>
                <w:sz w:val="18"/>
              </w:rPr>
            </w:pPr>
            <w:r>
              <w:rPr>
                <w:sz w:val="18"/>
              </w:rPr>
              <w:t>7.20</w:t>
            </w:r>
          </w:p>
        </w:tc>
        <w:tc>
          <w:tcPr>
            <w:tcW w:w="1275" w:type="dxa"/>
          </w:tcPr>
          <w:p>
            <w:pPr>
              <w:pStyle w:val="yTable"/>
              <w:spacing w:before="0"/>
              <w:jc w:val="right"/>
              <w:rPr>
                <w:sz w:val="18"/>
              </w:rPr>
            </w:pPr>
            <w:r>
              <w:rPr>
                <w:sz w:val="18"/>
              </w:rPr>
              <w:t>14.40</w:t>
            </w:r>
          </w:p>
        </w:tc>
        <w:tc>
          <w:tcPr>
            <w:tcW w:w="1304" w:type="dxa"/>
          </w:tcPr>
          <w:p>
            <w:pPr>
              <w:pStyle w:val="yTable"/>
              <w:spacing w:before="0"/>
              <w:jc w:val="right"/>
              <w:rPr>
                <w:sz w:val="18"/>
              </w:rPr>
            </w:pPr>
            <w:r>
              <w:rPr>
                <w:sz w:val="18"/>
              </w:rPr>
              <w:t>36.00</w:t>
            </w:r>
          </w:p>
        </w:tc>
        <w:tc>
          <w:tcPr>
            <w:tcW w:w="1276" w:type="dxa"/>
          </w:tcPr>
          <w:p>
            <w:pPr>
              <w:pStyle w:val="yTable"/>
              <w:spacing w:before="0"/>
              <w:jc w:val="right"/>
              <w:rPr>
                <w:sz w:val="18"/>
              </w:rPr>
            </w:pPr>
            <w:r>
              <w:rPr>
                <w:sz w:val="18"/>
              </w:rPr>
              <w:t>72.00</w:t>
            </w:r>
          </w:p>
        </w:tc>
        <w:tc>
          <w:tcPr>
            <w:tcW w:w="142" w:type="dxa"/>
          </w:tcPr>
          <w:p>
            <w:pPr>
              <w:pStyle w:val="yTable"/>
              <w:spacing w:before="0"/>
              <w:jc w:val="right"/>
              <w:rPr>
                <w:sz w:val="18"/>
              </w:rPr>
            </w:pPr>
          </w:p>
        </w:tc>
      </w:tr>
      <w:tr>
        <w:tc>
          <w:tcPr>
            <w:tcW w:w="738" w:type="dxa"/>
          </w:tcPr>
          <w:p>
            <w:pPr>
              <w:pStyle w:val="yTable"/>
              <w:spacing w:before="0"/>
              <w:jc w:val="right"/>
              <w:rPr>
                <w:sz w:val="18"/>
              </w:rPr>
            </w:pPr>
          </w:p>
        </w:tc>
        <w:tc>
          <w:tcPr>
            <w:tcW w:w="1077" w:type="dxa"/>
          </w:tcPr>
          <w:p>
            <w:pPr>
              <w:pStyle w:val="yTable"/>
              <w:spacing w:before="0"/>
              <w:jc w:val="right"/>
              <w:rPr>
                <w:sz w:val="18"/>
              </w:rPr>
            </w:pPr>
            <w:r>
              <w:rPr>
                <w:sz w:val="18"/>
              </w:rPr>
              <w:t>25</w:t>
            </w:r>
          </w:p>
        </w:tc>
        <w:tc>
          <w:tcPr>
            <w:tcW w:w="1276" w:type="dxa"/>
          </w:tcPr>
          <w:p>
            <w:pPr>
              <w:pStyle w:val="yTable"/>
              <w:spacing w:before="0"/>
              <w:jc w:val="right"/>
              <w:rPr>
                <w:sz w:val="18"/>
              </w:rPr>
            </w:pPr>
            <w:r>
              <w:rPr>
                <w:sz w:val="18"/>
              </w:rPr>
              <w:t>10.00</w:t>
            </w:r>
          </w:p>
        </w:tc>
        <w:tc>
          <w:tcPr>
            <w:tcW w:w="1275" w:type="dxa"/>
          </w:tcPr>
          <w:p>
            <w:pPr>
              <w:pStyle w:val="yTable"/>
              <w:spacing w:before="0"/>
              <w:jc w:val="right"/>
              <w:rPr>
                <w:sz w:val="18"/>
              </w:rPr>
            </w:pPr>
            <w:r>
              <w:rPr>
                <w:sz w:val="18"/>
              </w:rPr>
              <w:t>20.00</w:t>
            </w:r>
          </w:p>
        </w:tc>
        <w:tc>
          <w:tcPr>
            <w:tcW w:w="1304" w:type="dxa"/>
          </w:tcPr>
          <w:p>
            <w:pPr>
              <w:pStyle w:val="yTable"/>
              <w:spacing w:before="0"/>
              <w:jc w:val="right"/>
              <w:rPr>
                <w:sz w:val="18"/>
              </w:rPr>
            </w:pPr>
            <w:r>
              <w:rPr>
                <w:sz w:val="18"/>
              </w:rPr>
              <w:t>50.00</w:t>
            </w:r>
          </w:p>
        </w:tc>
        <w:tc>
          <w:tcPr>
            <w:tcW w:w="1276" w:type="dxa"/>
          </w:tcPr>
          <w:p>
            <w:pPr>
              <w:pStyle w:val="yTable"/>
              <w:spacing w:before="0"/>
              <w:jc w:val="right"/>
              <w:rPr>
                <w:sz w:val="18"/>
              </w:rPr>
            </w:pPr>
            <w:r>
              <w:rPr>
                <w:sz w:val="18"/>
              </w:rPr>
              <w:t>100.00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xml:space="preserve"> 7</w:t>
            </w:r>
          </w:p>
        </w:tc>
        <w:tc>
          <w:tcPr>
            <w:tcW w:w="1077" w:type="dxa"/>
          </w:tcPr>
          <w:p>
            <w:pPr>
              <w:pStyle w:val="yTable"/>
              <w:spacing w:before="0"/>
              <w:jc w:val="right"/>
              <w:rPr>
                <w:sz w:val="18"/>
              </w:rPr>
            </w:pPr>
            <w:r>
              <w:rPr>
                <w:sz w:val="18"/>
              </w:rPr>
              <w:t>7</w:t>
            </w:r>
          </w:p>
        </w:tc>
        <w:tc>
          <w:tcPr>
            <w:tcW w:w="1276" w:type="dxa"/>
          </w:tcPr>
          <w:p>
            <w:pPr>
              <w:pStyle w:val="yTable"/>
              <w:spacing w:before="0"/>
              <w:jc w:val="right"/>
              <w:rPr>
                <w:sz w:val="18"/>
              </w:rPr>
            </w:pPr>
            <w:r>
              <w:rPr>
                <w:sz w:val="18"/>
              </w:rPr>
              <w:t>2.80</w:t>
            </w:r>
          </w:p>
        </w:tc>
        <w:tc>
          <w:tcPr>
            <w:tcW w:w="1275" w:type="dxa"/>
          </w:tcPr>
          <w:p>
            <w:pPr>
              <w:pStyle w:val="yTable"/>
              <w:spacing w:before="0"/>
              <w:jc w:val="right"/>
              <w:rPr>
                <w:sz w:val="18"/>
              </w:rPr>
            </w:pPr>
            <w:r>
              <w:rPr>
                <w:sz w:val="18"/>
              </w:rPr>
              <w:t>5.60</w:t>
            </w:r>
          </w:p>
        </w:tc>
        <w:tc>
          <w:tcPr>
            <w:tcW w:w="1304" w:type="dxa"/>
          </w:tcPr>
          <w:p>
            <w:pPr>
              <w:pStyle w:val="yTable"/>
              <w:spacing w:before="0"/>
              <w:jc w:val="right"/>
              <w:rPr>
                <w:sz w:val="18"/>
              </w:rPr>
            </w:pPr>
            <w:r>
              <w:rPr>
                <w:sz w:val="18"/>
              </w:rPr>
              <w:t>14.00</w:t>
            </w:r>
          </w:p>
        </w:tc>
        <w:tc>
          <w:tcPr>
            <w:tcW w:w="1276" w:type="dxa"/>
          </w:tcPr>
          <w:p>
            <w:pPr>
              <w:pStyle w:val="yTable"/>
              <w:spacing w:before="0"/>
              <w:jc w:val="right"/>
              <w:rPr>
                <w:sz w:val="18"/>
              </w:rPr>
            </w:pPr>
            <w:r>
              <w:rPr>
                <w:sz w:val="18"/>
              </w:rPr>
              <w:t>28.00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8</w:t>
            </w:r>
          </w:p>
        </w:tc>
        <w:tc>
          <w:tcPr>
            <w:tcW w:w="1077" w:type="dxa"/>
          </w:tcPr>
          <w:p>
            <w:pPr>
              <w:pStyle w:val="yTable"/>
              <w:spacing w:before="0"/>
              <w:jc w:val="right"/>
              <w:rPr>
                <w:sz w:val="18"/>
              </w:rPr>
            </w:pPr>
            <w:r>
              <w:rPr>
                <w:sz w:val="18"/>
              </w:rPr>
              <w:t>28</w:t>
            </w:r>
          </w:p>
        </w:tc>
        <w:tc>
          <w:tcPr>
            <w:tcW w:w="1276" w:type="dxa"/>
          </w:tcPr>
          <w:p>
            <w:pPr>
              <w:pStyle w:val="yTable"/>
              <w:spacing w:before="0"/>
              <w:jc w:val="right"/>
              <w:rPr>
                <w:sz w:val="18"/>
              </w:rPr>
            </w:pPr>
            <w:r>
              <w:rPr>
                <w:sz w:val="18"/>
              </w:rPr>
              <w:t>11.20</w:t>
            </w:r>
          </w:p>
        </w:tc>
        <w:tc>
          <w:tcPr>
            <w:tcW w:w="1275" w:type="dxa"/>
          </w:tcPr>
          <w:p>
            <w:pPr>
              <w:pStyle w:val="yTable"/>
              <w:spacing w:before="0"/>
              <w:jc w:val="right"/>
              <w:rPr>
                <w:sz w:val="18"/>
              </w:rPr>
            </w:pPr>
            <w:r>
              <w:rPr>
                <w:sz w:val="18"/>
              </w:rPr>
              <w:t>22.40</w:t>
            </w:r>
          </w:p>
        </w:tc>
        <w:tc>
          <w:tcPr>
            <w:tcW w:w="1304" w:type="dxa"/>
          </w:tcPr>
          <w:p>
            <w:pPr>
              <w:pStyle w:val="yTable"/>
              <w:spacing w:before="0"/>
              <w:jc w:val="right"/>
              <w:rPr>
                <w:sz w:val="18"/>
              </w:rPr>
            </w:pPr>
            <w:r>
              <w:rPr>
                <w:sz w:val="18"/>
              </w:rPr>
              <w:t>56.00</w:t>
            </w:r>
          </w:p>
        </w:tc>
        <w:tc>
          <w:tcPr>
            <w:tcW w:w="1276" w:type="dxa"/>
          </w:tcPr>
          <w:p>
            <w:pPr>
              <w:pStyle w:val="yTable"/>
              <w:spacing w:before="0"/>
              <w:jc w:val="right"/>
              <w:rPr>
                <w:sz w:val="18"/>
              </w:rPr>
            </w:pPr>
            <w:r>
              <w:rPr>
                <w:sz w:val="18"/>
              </w:rPr>
              <w:t>112.00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9</w:t>
            </w:r>
          </w:p>
        </w:tc>
        <w:tc>
          <w:tcPr>
            <w:tcW w:w="1077" w:type="dxa"/>
          </w:tcPr>
          <w:p>
            <w:pPr>
              <w:pStyle w:val="yTable"/>
              <w:spacing w:before="0"/>
              <w:jc w:val="right"/>
              <w:rPr>
                <w:sz w:val="18"/>
              </w:rPr>
            </w:pPr>
            <w:r>
              <w:rPr>
                <w:sz w:val="18"/>
              </w:rPr>
              <w:t>84</w:t>
            </w:r>
          </w:p>
        </w:tc>
        <w:tc>
          <w:tcPr>
            <w:tcW w:w="1276" w:type="dxa"/>
          </w:tcPr>
          <w:p>
            <w:pPr>
              <w:pStyle w:val="yTable"/>
              <w:spacing w:before="0"/>
              <w:jc w:val="right"/>
              <w:rPr>
                <w:sz w:val="18"/>
              </w:rPr>
            </w:pPr>
            <w:r>
              <w:rPr>
                <w:sz w:val="18"/>
              </w:rPr>
              <w:t>33.60</w:t>
            </w:r>
          </w:p>
        </w:tc>
        <w:tc>
          <w:tcPr>
            <w:tcW w:w="1275" w:type="dxa"/>
          </w:tcPr>
          <w:p>
            <w:pPr>
              <w:pStyle w:val="yTable"/>
              <w:spacing w:before="0"/>
              <w:jc w:val="right"/>
              <w:rPr>
                <w:sz w:val="18"/>
              </w:rPr>
            </w:pPr>
            <w:r>
              <w:rPr>
                <w:sz w:val="18"/>
              </w:rPr>
              <w:t>67.20</w:t>
            </w:r>
          </w:p>
        </w:tc>
        <w:tc>
          <w:tcPr>
            <w:tcW w:w="1304" w:type="dxa"/>
          </w:tcPr>
          <w:p>
            <w:pPr>
              <w:pStyle w:val="yTable"/>
              <w:spacing w:before="0"/>
              <w:jc w:val="right"/>
              <w:rPr>
                <w:sz w:val="18"/>
              </w:rPr>
            </w:pPr>
            <w:r>
              <w:rPr>
                <w:sz w:val="18"/>
              </w:rPr>
              <w:t>168.00</w:t>
            </w:r>
          </w:p>
        </w:tc>
        <w:tc>
          <w:tcPr>
            <w:tcW w:w="1276" w:type="dxa"/>
          </w:tcPr>
          <w:p>
            <w:pPr>
              <w:pStyle w:val="yTable"/>
              <w:spacing w:before="0"/>
              <w:jc w:val="right"/>
              <w:rPr>
                <w:sz w:val="18"/>
              </w:rPr>
            </w:pPr>
            <w:r>
              <w:rPr>
                <w:sz w:val="18"/>
              </w:rPr>
              <w:t>336.00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10</w:t>
            </w:r>
          </w:p>
        </w:tc>
        <w:tc>
          <w:tcPr>
            <w:tcW w:w="1077" w:type="dxa"/>
          </w:tcPr>
          <w:p>
            <w:pPr>
              <w:pStyle w:val="yTable"/>
              <w:spacing w:before="0"/>
              <w:jc w:val="right"/>
              <w:rPr>
                <w:sz w:val="18"/>
              </w:rPr>
            </w:pPr>
            <w:r>
              <w:rPr>
                <w:sz w:val="18"/>
              </w:rPr>
              <w:t>210</w:t>
            </w:r>
          </w:p>
        </w:tc>
        <w:tc>
          <w:tcPr>
            <w:tcW w:w="1276" w:type="dxa"/>
          </w:tcPr>
          <w:p>
            <w:pPr>
              <w:pStyle w:val="yTable"/>
              <w:spacing w:before="0"/>
              <w:jc w:val="right"/>
              <w:rPr>
                <w:sz w:val="18"/>
              </w:rPr>
            </w:pPr>
            <w:r>
              <w:rPr>
                <w:sz w:val="18"/>
              </w:rPr>
              <w:t>84.00</w:t>
            </w:r>
          </w:p>
        </w:tc>
        <w:tc>
          <w:tcPr>
            <w:tcW w:w="1275" w:type="dxa"/>
          </w:tcPr>
          <w:p>
            <w:pPr>
              <w:pStyle w:val="yTable"/>
              <w:spacing w:before="0"/>
              <w:jc w:val="right"/>
              <w:rPr>
                <w:sz w:val="18"/>
              </w:rPr>
            </w:pPr>
            <w:r>
              <w:rPr>
                <w:sz w:val="18"/>
              </w:rPr>
              <w:t>168.00</w:t>
            </w:r>
          </w:p>
        </w:tc>
        <w:tc>
          <w:tcPr>
            <w:tcW w:w="1304" w:type="dxa"/>
          </w:tcPr>
          <w:p>
            <w:pPr>
              <w:pStyle w:val="yTable"/>
              <w:spacing w:before="0"/>
              <w:jc w:val="right"/>
              <w:rPr>
                <w:sz w:val="18"/>
              </w:rPr>
            </w:pPr>
            <w:r>
              <w:rPr>
                <w:sz w:val="18"/>
              </w:rPr>
              <w:t>420.00</w:t>
            </w:r>
          </w:p>
        </w:tc>
        <w:tc>
          <w:tcPr>
            <w:tcW w:w="1276" w:type="dxa"/>
          </w:tcPr>
          <w:p>
            <w:pPr>
              <w:pStyle w:val="yTable"/>
              <w:spacing w:before="0"/>
              <w:jc w:val="right"/>
              <w:rPr>
                <w:sz w:val="18"/>
              </w:rPr>
            </w:pPr>
            <w:r>
              <w:rPr>
                <w:sz w:val="18"/>
              </w:rPr>
              <w:t>840.00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11</w:t>
            </w:r>
          </w:p>
        </w:tc>
        <w:tc>
          <w:tcPr>
            <w:tcW w:w="1077" w:type="dxa"/>
          </w:tcPr>
          <w:p>
            <w:pPr>
              <w:pStyle w:val="yTable"/>
              <w:spacing w:before="0"/>
              <w:jc w:val="right"/>
              <w:rPr>
                <w:sz w:val="18"/>
              </w:rPr>
            </w:pPr>
            <w:r>
              <w:rPr>
                <w:sz w:val="18"/>
              </w:rPr>
              <w:t>462</w:t>
            </w:r>
          </w:p>
        </w:tc>
        <w:tc>
          <w:tcPr>
            <w:tcW w:w="1276" w:type="dxa"/>
          </w:tcPr>
          <w:p>
            <w:pPr>
              <w:pStyle w:val="yTable"/>
              <w:spacing w:before="0"/>
              <w:jc w:val="right"/>
              <w:rPr>
                <w:sz w:val="18"/>
              </w:rPr>
            </w:pPr>
            <w:r>
              <w:rPr>
                <w:sz w:val="18"/>
              </w:rPr>
              <w:t>184.80</w:t>
            </w:r>
          </w:p>
        </w:tc>
        <w:tc>
          <w:tcPr>
            <w:tcW w:w="1275" w:type="dxa"/>
          </w:tcPr>
          <w:p>
            <w:pPr>
              <w:pStyle w:val="yTable"/>
              <w:spacing w:before="0"/>
              <w:jc w:val="right"/>
              <w:rPr>
                <w:sz w:val="18"/>
              </w:rPr>
            </w:pPr>
            <w:r>
              <w:rPr>
                <w:sz w:val="18"/>
              </w:rPr>
              <w:t>369.60</w:t>
            </w:r>
          </w:p>
        </w:tc>
        <w:tc>
          <w:tcPr>
            <w:tcW w:w="1304" w:type="dxa"/>
          </w:tcPr>
          <w:p>
            <w:pPr>
              <w:pStyle w:val="yTable"/>
              <w:spacing w:before="0"/>
              <w:jc w:val="right"/>
              <w:rPr>
                <w:sz w:val="18"/>
              </w:rPr>
            </w:pPr>
            <w:r>
              <w:rPr>
                <w:sz w:val="18"/>
              </w:rPr>
              <w:t>924.00</w:t>
            </w:r>
          </w:p>
        </w:tc>
        <w:tc>
          <w:tcPr>
            <w:tcW w:w="1276" w:type="dxa"/>
          </w:tcPr>
          <w:p>
            <w:pPr>
              <w:pStyle w:val="yTable"/>
              <w:spacing w:before="0"/>
              <w:jc w:val="right"/>
              <w:rPr>
                <w:sz w:val="18"/>
              </w:rPr>
            </w:pPr>
            <w:r>
              <w:rPr>
                <w:sz w:val="18"/>
              </w:rPr>
              <w:t>1 848.00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12</w:t>
            </w:r>
          </w:p>
        </w:tc>
        <w:tc>
          <w:tcPr>
            <w:tcW w:w="1077" w:type="dxa"/>
          </w:tcPr>
          <w:p>
            <w:pPr>
              <w:pStyle w:val="yTable"/>
              <w:spacing w:before="0"/>
              <w:jc w:val="right"/>
              <w:rPr>
                <w:sz w:val="18"/>
              </w:rPr>
            </w:pPr>
            <w:r>
              <w:rPr>
                <w:sz w:val="18"/>
              </w:rPr>
              <w:t>924</w:t>
            </w:r>
          </w:p>
        </w:tc>
        <w:tc>
          <w:tcPr>
            <w:tcW w:w="1276" w:type="dxa"/>
          </w:tcPr>
          <w:p>
            <w:pPr>
              <w:pStyle w:val="yTable"/>
              <w:spacing w:before="0"/>
              <w:jc w:val="right"/>
              <w:rPr>
                <w:sz w:val="18"/>
              </w:rPr>
            </w:pPr>
            <w:r>
              <w:rPr>
                <w:sz w:val="18"/>
              </w:rPr>
              <w:t>369.60</w:t>
            </w:r>
          </w:p>
        </w:tc>
        <w:tc>
          <w:tcPr>
            <w:tcW w:w="1275" w:type="dxa"/>
          </w:tcPr>
          <w:p>
            <w:pPr>
              <w:pStyle w:val="yTable"/>
              <w:spacing w:before="0"/>
              <w:jc w:val="right"/>
              <w:rPr>
                <w:sz w:val="18"/>
              </w:rPr>
            </w:pPr>
            <w:r>
              <w:rPr>
                <w:sz w:val="18"/>
              </w:rPr>
              <w:t>739.20</w:t>
            </w:r>
          </w:p>
        </w:tc>
        <w:tc>
          <w:tcPr>
            <w:tcW w:w="1304" w:type="dxa"/>
          </w:tcPr>
          <w:p>
            <w:pPr>
              <w:pStyle w:val="yTable"/>
              <w:spacing w:before="0"/>
              <w:jc w:val="right"/>
              <w:rPr>
                <w:sz w:val="18"/>
              </w:rPr>
            </w:pPr>
            <w:r>
              <w:rPr>
                <w:sz w:val="18"/>
              </w:rPr>
              <w:t>1 848.00</w:t>
            </w:r>
          </w:p>
        </w:tc>
        <w:tc>
          <w:tcPr>
            <w:tcW w:w="1276" w:type="dxa"/>
          </w:tcPr>
          <w:p>
            <w:pPr>
              <w:pStyle w:val="yTable"/>
              <w:spacing w:before="0"/>
              <w:jc w:val="right"/>
              <w:rPr>
                <w:sz w:val="18"/>
              </w:rPr>
            </w:pPr>
            <w:r>
              <w:rPr>
                <w:sz w:val="18"/>
              </w:rPr>
              <w:t>3 696.00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13</w:t>
            </w:r>
          </w:p>
        </w:tc>
        <w:tc>
          <w:tcPr>
            <w:tcW w:w="1077" w:type="dxa"/>
          </w:tcPr>
          <w:p>
            <w:pPr>
              <w:pStyle w:val="yTable"/>
              <w:spacing w:before="0"/>
              <w:jc w:val="right"/>
              <w:rPr>
                <w:sz w:val="18"/>
              </w:rPr>
            </w:pPr>
            <w:r>
              <w:rPr>
                <w:sz w:val="18"/>
              </w:rPr>
              <w:t>1 716</w:t>
            </w:r>
          </w:p>
        </w:tc>
        <w:tc>
          <w:tcPr>
            <w:tcW w:w="1276" w:type="dxa"/>
          </w:tcPr>
          <w:p>
            <w:pPr>
              <w:pStyle w:val="yTable"/>
              <w:spacing w:before="0"/>
              <w:jc w:val="right"/>
              <w:rPr>
                <w:sz w:val="18"/>
              </w:rPr>
            </w:pPr>
            <w:r>
              <w:rPr>
                <w:sz w:val="18"/>
              </w:rPr>
              <w:t>686.40</w:t>
            </w:r>
          </w:p>
        </w:tc>
        <w:tc>
          <w:tcPr>
            <w:tcW w:w="1275" w:type="dxa"/>
          </w:tcPr>
          <w:p>
            <w:pPr>
              <w:pStyle w:val="yTable"/>
              <w:spacing w:before="0"/>
              <w:jc w:val="right"/>
              <w:rPr>
                <w:sz w:val="18"/>
              </w:rPr>
            </w:pPr>
            <w:r>
              <w:rPr>
                <w:sz w:val="18"/>
              </w:rPr>
              <w:t>1 372.80</w:t>
            </w:r>
          </w:p>
        </w:tc>
        <w:tc>
          <w:tcPr>
            <w:tcW w:w="1304" w:type="dxa"/>
          </w:tcPr>
          <w:p>
            <w:pPr>
              <w:pStyle w:val="yTable"/>
              <w:spacing w:before="0"/>
              <w:jc w:val="right"/>
              <w:rPr>
                <w:sz w:val="18"/>
              </w:rPr>
            </w:pPr>
            <w:r>
              <w:rPr>
                <w:sz w:val="18"/>
              </w:rPr>
              <w:t>3 432.00</w:t>
            </w:r>
          </w:p>
        </w:tc>
        <w:tc>
          <w:tcPr>
            <w:tcW w:w="1276" w:type="dxa"/>
          </w:tcPr>
          <w:p>
            <w:pPr>
              <w:pStyle w:val="yTable"/>
              <w:spacing w:before="0"/>
              <w:jc w:val="right"/>
              <w:rPr>
                <w:sz w:val="18"/>
              </w:rPr>
            </w:pPr>
            <w:r>
              <w:rPr>
                <w:sz w:val="18"/>
              </w:rPr>
              <w:t>6 864.00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14</w:t>
            </w:r>
          </w:p>
        </w:tc>
        <w:tc>
          <w:tcPr>
            <w:tcW w:w="1077" w:type="dxa"/>
          </w:tcPr>
          <w:p>
            <w:pPr>
              <w:pStyle w:val="yTable"/>
              <w:spacing w:before="0"/>
              <w:jc w:val="right"/>
              <w:rPr>
                <w:sz w:val="18"/>
              </w:rPr>
            </w:pPr>
            <w:r>
              <w:rPr>
                <w:sz w:val="18"/>
              </w:rPr>
              <w:t>3 003</w:t>
            </w:r>
          </w:p>
        </w:tc>
        <w:tc>
          <w:tcPr>
            <w:tcW w:w="1276" w:type="dxa"/>
          </w:tcPr>
          <w:p>
            <w:pPr>
              <w:pStyle w:val="yTable"/>
              <w:spacing w:before="0"/>
              <w:jc w:val="right"/>
              <w:rPr>
                <w:sz w:val="18"/>
              </w:rPr>
            </w:pPr>
            <w:r>
              <w:rPr>
                <w:sz w:val="18"/>
              </w:rPr>
              <w:t>1 201.20</w:t>
            </w:r>
          </w:p>
        </w:tc>
        <w:tc>
          <w:tcPr>
            <w:tcW w:w="1275" w:type="dxa"/>
          </w:tcPr>
          <w:p>
            <w:pPr>
              <w:pStyle w:val="yTable"/>
              <w:spacing w:before="0"/>
              <w:jc w:val="right"/>
              <w:rPr>
                <w:sz w:val="18"/>
              </w:rPr>
            </w:pPr>
            <w:r>
              <w:rPr>
                <w:sz w:val="18"/>
              </w:rPr>
              <w:t>2 402.40</w:t>
            </w:r>
          </w:p>
        </w:tc>
        <w:tc>
          <w:tcPr>
            <w:tcW w:w="1304" w:type="dxa"/>
          </w:tcPr>
          <w:p>
            <w:pPr>
              <w:pStyle w:val="yTable"/>
              <w:spacing w:before="0"/>
              <w:jc w:val="right"/>
              <w:rPr>
                <w:sz w:val="18"/>
              </w:rPr>
            </w:pPr>
            <w:r>
              <w:rPr>
                <w:sz w:val="18"/>
              </w:rPr>
              <w:t>6 006.00</w:t>
            </w:r>
          </w:p>
        </w:tc>
        <w:tc>
          <w:tcPr>
            <w:tcW w:w="1276" w:type="dxa"/>
          </w:tcPr>
          <w:p>
            <w:pPr>
              <w:pStyle w:val="yTable"/>
              <w:spacing w:before="0"/>
              <w:jc w:val="right"/>
              <w:rPr>
                <w:sz w:val="18"/>
              </w:rPr>
            </w:pPr>
            <w:r>
              <w:rPr>
                <w:sz w:val="18"/>
              </w:rPr>
              <w:t>12 012.00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15</w:t>
            </w:r>
          </w:p>
        </w:tc>
        <w:tc>
          <w:tcPr>
            <w:tcW w:w="1077" w:type="dxa"/>
          </w:tcPr>
          <w:p>
            <w:pPr>
              <w:pStyle w:val="yTable"/>
              <w:spacing w:before="0"/>
              <w:jc w:val="right"/>
              <w:rPr>
                <w:sz w:val="18"/>
              </w:rPr>
            </w:pPr>
            <w:r>
              <w:rPr>
                <w:sz w:val="18"/>
              </w:rPr>
              <w:t>5 005</w:t>
            </w:r>
          </w:p>
        </w:tc>
        <w:tc>
          <w:tcPr>
            <w:tcW w:w="1276" w:type="dxa"/>
          </w:tcPr>
          <w:p>
            <w:pPr>
              <w:pStyle w:val="yTable"/>
              <w:spacing w:before="0"/>
              <w:jc w:val="right"/>
              <w:rPr>
                <w:sz w:val="18"/>
              </w:rPr>
            </w:pPr>
            <w:r>
              <w:rPr>
                <w:sz w:val="18"/>
              </w:rPr>
              <w:t>2 002.00</w:t>
            </w:r>
          </w:p>
        </w:tc>
        <w:tc>
          <w:tcPr>
            <w:tcW w:w="1275" w:type="dxa"/>
          </w:tcPr>
          <w:p>
            <w:pPr>
              <w:pStyle w:val="yTable"/>
              <w:spacing w:before="0"/>
              <w:jc w:val="right"/>
              <w:rPr>
                <w:sz w:val="18"/>
              </w:rPr>
            </w:pPr>
            <w:r>
              <w:rPr>
                <w:sz w:val="18"/>
              </w:rPr>
              <w:t>4 004.00</w:t>
            </w:r>
          </w:p>
        </w:tc>
        <w:tc>
          <w:tcPr>
            <w:tcW w:w="1304" w:type="dxa"/>
          </w:tcPr>
          <w:p>
            <w:pPr>
              <w:pStyle w:val="yTable"/>
              <w:spacing w:before="0"/>
              <w:jc w:val="right"/>
              <w:rPr>
                <w:sz w:val="18"/>
              </w:rPr>
            </w:pPr>
            <w:r>
              <w:rPr>
                <w:sz w:val="18"/>
              </w:rPr>
              <w:t>10 010.00</w:t>
            </w:r>
          </w:p>
        </w:tc>
        <w:tc>
          <w:tcPr>
            <w:tcW w:w="1276" w:type="dxa"/>
          </w:tcPr>
          <w:p>
            <w:pPr>
              <w:pStyle w:val="yTable"/>
              <w:spacing w:before="0"/>
              <w:jc w:val="right"/>
              <w:rPr>
                <w:sz w:val="18"/>
              </w:rPr>
            </w:pPr>
            <w:r>
              <w:rPr>
                <w:sz w:val="18"/>
              </w:rPr>
              <w:t>20 020.00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16</w:t>
            </w:r>
          </w:p>
        </w:tc>
        <w:tc>
          <w:tcPr>
            <w:tcW w:w="1077" w:type="dxa"/>
          </w:tcPr>
          <w:p>
            <w:pPr>
              <w:pStyle w:val="yTable"/>
              <w:spacing w:before="0"/>
              <w:jc w:val="right"/>
              <w:rPr>
                <w:sz w:val="18"/>
              </w:rPr>
            </w:pPr>
            <w:r>
              <w:rPr>
                <w:sz w:val="18"/>
              </w:rPr>
              <w:t>8 008</w:t>
            </w:r>
          </w:p>
        </w:tc>
        <w:tc>
          <w:tcPr>
            <w:tcW w:w="1276" w:type="dxa"/>
          </w:tcPr>
          <w:p>
            <w:pPr>
              <w:pStyle w:val="yTable"/>
              <w:spacing w:before="0"/>
              <w:jc w:val="right"/>
              <w:rPr>
                <w:sz w:val="18"/>
              </w:rPr>
            </w:pPr>
            <w:r>
              <w:rPr>
                <w:sz w:val="18"/>
              </w:rPr>
              <w:t>3 203.20</w:t>
            </w:r>
          </w:p>
        </w:tc>
        <w:tc>
          <w:tcPr>
            <w:tcW w:w="1275" w:type="dxa"/>
          </w:tcPr>
          <w:p>
            <w:pPr>
              <w:pStyle w:val="yTable"/>
              <w:spacing w:before="0"/>
              <w:jc w:val="right"/>
              <w:rPr>
                <w:sz w:val="18"/>
              </w:rPr>
            </w:pPr>
            <w:r>
              <w:rPr>
                <w:sz w:val="18"/>
              </w:rPr>
              <w:t>6 406.40</w:t>
            </w:r>
          </w:p>
        </w:tc>
        <w:tc>
          <w:tcPr>
            <w:tcW w:w="1304" w:type="dxa"/>
          </w:tcPr>
          <w:p>
            <w:pPr>
              <w:pStyle w:val="yTable"/>
              <w:spacing w:before="0"/>
              <w:jc w:val="right"/>
              <w:rPr>
                <w:sz w:val="18"/>
              </w:rPr>
            </w:pPr>
            <w:r>
              <w:rPr>
                <w:sz w:val="18"/>
              </w:rPr>
              <w:t>16 016.00</w:t>
            </w:r>
          </w:p>
        </w:tc>
        <w:tc>
          <w:tcPr>
            <w:tcW w:w="1276" w:type="dxa"/>
          </w:tcPr>
          <w:p>
            <w:pPr>
              <w:pStyle w:val="yTable"/>
              <w:spacing w:before="0"/>
              <w:jc w:val="right"/>
              <w:rPr>
                <w:sz w:val="18"/>
              </w:rPr>
            </w:pPr>
            <w:r>
              <w:rPr>
                <w:sz w:val="18"/>
              </w:rPr>
              <w:t>32 032.00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17</w:t>
            </w:r>
          </w:p>
        </w:tc>
        <w:tc>
          <w:tcPr>
            <w:tcW w:w="1077" w:type="dxa"/>
          </w:tcPr>
          <w:p>
            <w:pPr>
              <w:pStyle w:val="yTable"/>
              <w:spacing w:before="0"/>
              <w:jc w:val="right"/>
              <w:rPr>
                <w:sz w:val="18"/>
              </w:rPr>
            </w:pPr>
            <w:r>
              <w:rPr>
                <w:sz w:val="18"/>
              </w:rPr>
              <w:t>12 376</w:t>
            </w:r>
          </w:p>
        </w:tc>
        <w:tc>
          <w:tcPr>
            <w:tcW w:w="1276" w:type="dxa"/>
          </w:tcPr>
          <w:p>
            <w:pPr>
              <w:pStyle w:val="yTable"/>
              <w:spacing w:before="0"/>
              <w:jc w:val="right"/>
              <w:rPr>
                <w:sz w:val="18"/>
              </w:rPr>
            </w:pPr>
            <w:r>
              <w:rPr>
                <w:sz w:val="18"/>
              </w:rPr>
              <w:t>4 950.40</w:t>
            </w:r>
          </w:p>
        </w:tc>
        <w:tc>
          <w:tcPr>
            <w:tcW w:w="1275" w:type="dxa"/>
          </w:tcPr>
          <w:p>
            <w:pPr>
              <w:pStyle w:val="yTable"/>
              <w:spacing w:before="0"/>
              <w:jc w:val="right"/>
              <w:rPr>
                <w:sz w:val="18"/>
              </w:rPr>
            </w:pPr>
            <w:r>
              <w:rPr>
                <w:sz w:val="18"/>
              </w:rPr>
              <w:t>9 900.80</w:t>
            </w:r>
          </w:p>
        </w:tc>
        <w:tc>
          <w:tcPr>
            <w:tcW w:w="1304" w:type="dxa"/>
          </w:tcPr>
          <w:p>
            <w:pPr>
              <w:pStyle w:val="yTable"/>
              <w:spacing w:before="0"/>
              <w:jc w:val="right"/>
              <w:rPr>
                <w:sz w:val="18"/>
              </w:rPr>
            </w:pPr>
            <w:r>
              <w:rPr>
                <w:sz w:val="18"/>
              </w:rPr>
              <w:t>24 752.00</w:t>
            </w:r>
          </w:p>
        </w:tc>
        <w:tc>
          <w:tcPr>
            <w:tcW w:w="1276" w:type="dxa"/>
          </w:tcPr>
          <w:p>
            <w:pPr>
              <w:pStyle w:val="yTable"/>
              <w:spacing w:before="0"/>
              <w:jc w:val="right"/>
              <w:rPr>
                <w:sz w:val="18"/>
              </w:rPr>
            </w:pPr>
            <w:r>
              <w:rPr>
                <w:sz w:val="18"/>
              </w:rPr>
              <w:t>49 504.00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18</w:t>
            </w:r>
          </w:p>
        </w:tc>
        <w:tc>
          <w:tcPr>
            <w:tcW w:w="1077" w:type="dxa"/>
          </w:tcPr>
          <w:p>
            <w:pPr>
              <w:pStyle w:val="yTable"/>
              <w:spacing w:before="0"/>
              <w:jc w:val="right"/>
              <w:rPr>
                <w:sz w:val="18"/>
              </w:rPr>
            </w:pPr>
            <w:r>
              <w:rPr>
                <w:sz w:val="18"/>
              </w:rPr>
              <w:t>18 564</w:t>
            </w:r>
          </w:p>
        </w:tc>
        <w:tc>
          <w:tcPr>
            <w:tcW w:w="1276" w:type="dxa"/>
          </w:tcPr>
          <w:p>
            <w:pPr>
              <w:pStyle w:val="yTable"/>
              <w:spacing w:before="0"/>
              <w:jc w:val="right"/>
              <w:rPr>
                <w:sz w:val="18"/>
              </w:rPr>
            </w:pPr>
            <w:r>
              <w:rPr>
                <w:sz w:val="18"/>
              </w:rPr>
              <w:t>7 425.60</w:t>
            </w:r>
          </w:p>
        </w:tc>
        <w:tc>
          <w:tcPr>
            <w:tcW w:w="1275" w:type="dxa"/>
          </w:tcPr>
          <w:p>
            <w:pPr>
              <w:pStyle w:val="yTable"/>
              <w:spacing w:before="0"/>
              <w:jc w:val="right"/>
              <w:rPr>
                <w:sz w:val="18"/>
              </w:rPr>
            </w:pPr>
            <w:r>
              <w:rPr>
                <w:sz w:val="18"/>
              </w:rPr>
              <w:t>14 851.20</w:t>
            </w:r>
          </w:p>
        </w:tc>
        <w:tc>
          <w:tcPr>
            <w:tcW w:w="1304" w:type="dxa"/>
          </w:tcPr>
          <w:p>
            <w:pPr>
              <w:pStyle w:val="yTable"/>
              <w:spacing w:before="0"/>
              <w:jc w:val="right"/>
              <w:rPr>
                <w:sz w:val="18"/>
              </w:rPr>
            </w:pPr>
            <w:r>
              <w:rPr>
                <w:sz w:val="18"/>
              </w:rPr>
              <w:t>37 128.00</w:t>
            </w:r>
          </w:p>
        </w:tc>
        <w:tc>
          <w:tcPr>
            <w:tcW w:w="1276" w:type="dxa"/>
          </w:tcPr>
          <w:p>
            <w:pPr>
              <w:pStyle w:val="yTable"/>
              <w:spacing w:before="0"/>
              <w:jc w:val="right"/>
              <w:rPr>
                <w:sz w:val="18"/>
              </w:rPr>
            </w:pPr>
            <w:r>
              <w:rPr>
                <w:sz w:val="18"/>
              </w:rPr>
              <w:t>74 256.00</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19</w:t>
            </w:r>
          </w:p>
        </w:tc>
        <w:tc>
          <w:tcPr>
            <w:tcW w:w="1077" w:type="dxa"/>
          </w:tcPr>
          <w:p>
            <w:pPr>
              <w:pStyle w:val="yTable"/>
              <w:spacing w:before="0"/>
              <w:jc w:val="right"/>
              <w:rPr>
                <w:sz w:val="18"/>
              </w:rPr>
            </w:pPr>
            <w:r>
              <w:rPr>
                <w:sz w:val="18"/>
              </w:rPr>
              <w:t>27 132</w:t>
            </w:r>
          </w:p>
        </w:tc>
        <w:tc>
          <w:tcPr>
            <w:tcW w:w="1276" w:type="dxa"/>
          </w:tcPr>
          <w:p>
            <w:pPr>
              <w:pStyle w:val="yTable"/>
              <w:spacing w:before="0"/>
              <w:jc w:val="right"/>
              <w:rPr>
                <w:sz w:val="18"/>
              </w:rPr>
            </w:pPr>
            <w:r>
              <w:rPr>
                <w:sz w:val="18"/>
              </w:rPr>
              <w:t>10 852.80</w:t>
            </w:r>
          </w:p>
        </w:tc>
        <w:tc>
          <w:tcPr>
            <w:tcW w:w="1275" w:type="dxa"/>
          </w:tcPr>
          <w:p>
            <w:pPr>
              <w:pStyle w:val="yTable"/>
              <w:spacing w:before="0"/>
              <w:jc w:val="right"/>
              <w:rPr>
                <w:sz w:val="18"/>
              </w:rPr>
            </w:pPr>
            <w:r>
              <w:rPr>
                <w:sz w:val="18"/>
              </w:rPr>
              <w:t>21 705.60</w:t>
            </w:r>
          </w:p>
        </w:tc>
        <w:tc>
          <w:tcPr>
            <w:tcW w:w="1304" w:type="dxa"/>
          </w:tcPr>
          <w:p>
            <w:pPr>
              <w:pStyle w:val="yTable"/>
              <w:spacing w:before="0"/>
              <w:jc w:val="right"/>
              <w:rPr>
                <w:sz w:val="18"/>
              </w:rPr>
            </w:pPr>
            <w:r>
              <w:rPr>
                <w:sz w:val="18"/>
              </w:rPr>
              <w:t>54 264.00</w:t>
            </w:r>
          </w:p>
        </w:tc>
        <w:tc>
          <w:tcPr>
            <w:tcW w:w="1276" w:type="dxa"/>
          </w:tcPr>
          <w:p>
            <w:pPr>
              <w:pStyle w:val="yTable"/>
              <w:spacing w:before="0"/>
              <w:jc w:val="right"/>
              <w:rPr>
                <w:sz w:val="18"/>
              </w:rPr>
            </w:pPr>
            <w:r>
              <w:rPr>
                <w:sz w:val="18"/>
              </w:rPr>
              <w:t>NA</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20</w:t>
            </w:r>
          </w:p>
        </w:tc>
        <w:tc>
          <w:tcPr>
            <w:tcW w:w="1077" w:type="dxa"/>
          </w:tcPr>
          <w:p>
            <w:pPr>
              <w:pStyle w:val="yTable"/>
              <w:spacing w:before="0"/>
              <w:jc w:val="right"/>
              <w:rPr>
                <w:sz w:val="18"/>
              </w:rPr>
            </w:pPr>
            <w:r>
              <w:rPr>
                <w:sz w:val="18"/>
              </w:rPr>
              <w:t>38 760</w:t>
            </w:r>
          </w:p>
        </w:tc>
        <w:tc>
          <w:tcPr>
            <w:tcW w:w="1276" w:type="dxa"/>
          </w:tcPr>
          <w:p>
            <w:pPr>
              <w:pStyle w:val="yTable"/>
              <w:spacing w:before="0"/>
              <w:jc w:val="right"/>
              <w:rPr>
                <w:sz w:val="18"/>
              </w:rPr>
            </w:pPr>
            <w:r>
              <w:rPr>
                <w:sz w:val="18"/>
              </w:rPr>
              <w:t>15 504.00</w:t>
            </w:r>
          </w:p>
        </w:tc>
        <w:tc>
          <w:tcPr>
            <w:tcW w:w="1275" w:type="dxa"/>
          </w:tcPr>
          <w:p>
            <w:pPr>
              <w:pStyle w:val="yTable"/>
              <w:spacing w:before="0"/>
              <w:jc w:val="right"/>
              <w:rPr>
                <w:sz w:val="18"/>
              </w:rPr>
            </w:pPr>
            <w:r>
              <w:rPr>
                <w:sz w:val="18"/>
              </w:rPr>
              <w:t>31 008.00</w:t>
            </w:r>
          </w:p>
        </w:tc>
        <w:tc>
          <w:tcPr>
            <w:tcW w:w="1304" w:type="dxa"/>
          </w:tcPr>
          <w:p>
            <w:pPr>
              <w:pStyle w:val="yTable"/>
              <w:spacing w:before="0"/>
              <w:jc w:val="right"/>
              <w:rPr>
                <w:sz w:val="18"/>
              </w:rPr>
            </w:pPr>
            <w:r>
              <w:rPr>
                <w:sz w:val="18"/>
              </w:rPr>
              <w:t>77 520.00</w:t>
            </w:r>
          </w:p>
        </w:tc>
        <w:tc>
          <w:tcPr>
            <w:tcW w:w="1276" w:type="dxa"/>
          </w:tcPr>
          <w:p>
            <w:pPr>
              <w:pStyle w:val="yTable"/>
              <w:spacing w:before="0"/>
              <w:jc w:val="right"/>
              <w:rPr>
                <w:sz w:val="18"/>
              </w:rPr>
            </w:pPr>
            <w:r>
              <w:rPr>
                <w:sz w:val="18"/>
              </w:rPr>
              <w:t>NA</w:t>
            </w:r>
          </w:p>
        </w:tc>
        <w:tc>
          <w:tcPr>
            <w:tcW w:w="142" w:type="dxa"/>
          </w:tcPr>
          <w:p>
            <w:pPr>
              <w:pStyle w:val="yTable"/>
              <w:spacing w:before="0"/>
              <w:jc w:val="right"/>
              <w:rPr>
                <w:sz w:val="18"/>
              </w:rPr>
            </w:pPr>
          </w:p>
        </w:tc>
      </w:tr>
      <w:tr>
        <w:tc>
          <w:tcPr>
            <w:tcW w:w="738" w:type="dxa"/>
          </w:tcPr>
          <w:p>
            <w:pPr>
              <w:pStyle w:val="yTable"/>
              <w:spacing w:before="0"/>
              <w:jc w:val="right"/>
              <w:rPr>
                <w:sz w:val="18"/>
              </w:rPr>
            </w:pPr>
            <w:r>
              <w:rPr>
                <w:sz w:val="18"/>
              </w:rPr>
              <w:t> 4</w:t>
            </w:r>
          </w:p>
        </w:tc>
        <w:tc>
          <w:tcPr>
            <w:tcW w:w="1077" w:type="dxa"/>
          </w:tcPr>
          <w:p>
            <w:pPr>
              <w:pStyle w:val="yTable"/>
              <w:spacing w:before="0"/>
              <w:jc w:val="right"/>
              <w:rPr>
                <w:sz w:val="18"/>
              </w:rPr>
            </w:pPr>
            <w:r>
              <w:rPr>
                <w:sz w:val="18"/>
              </w:rPr>
              <w:t>820</w:t>
            </w:r>
          </w:p>
        </w:tc>
        <w:tc>
          <w:tcPr>
            <w:tcW w:w="1276" w:type="dxa"/>
          </w:tcPr>
          <w:p>
            <w:pPr>
              <w:pStyle w:val="yTable"/>
              <w:spacing w:before="0"/>
              <w:jc w:val="right"/>
              <w:rPr>
                <w:sz w:val="18"/>
              </w:rPr>
            </w:pPr>
            <w:r>
              <w:rPr>
                <w:sz w:val="18"/>
              </w:rPr>
              <w:t>328.00</w:t>
            </w:r>
          </w:p>
        </w:tc>
        <w:tc>
          <w:tcPr>
            <w:tcW w:w="1275" w:type="dxa"/>
          </w:tcPr>
          <w:p>
            <w:pPr>
              <w:pStyle w:val="yTable"/>
              <w:spacing w:before="0"/>
              <w:jc w:val="right"/>
              <w:rPr>
                <w:sz w:val="18"/>
              </w:rPr>
            </w:pPr>
            <w:r>
              <w:rPr>
                <w:sz w:val="18"/>
              </w:rPr>
              <w:t>656.00</w:t>
            </w:r>
          </w:p>
        </w:tc>
        <w:tc>
          <w:tcPr>
            <w:tcW w:w="1304" w:type="dxa"/>
          </w:tcPr>
          <w:p>
            <w:pPr>
              <w:pStyle w:val="yTable"/>
              <w:spacing w:before="0"/>
              <w:jc w:val="right"/>
              <w:rPr>
                <w:sz w:val="18"/>
              </w:rPr>
            </w:pPr>
            <w:r>
              <w:rPr>
                <w:sz w:val="18"/>
              </w:rPr>
              <w:t>1 640.00</w:t>
            </w:r>
          </w:p>
        </w:tc>
        <w:tc>
          <w:tcPr>
            <w:tcW w:w="1276" w:type="dxa"/>
          </w:tcPr>
          <w:p>
            <w:pPr>
              <w:pStyle w:val="yTable"/>
              <w:spacing w:before="0"/>
              <w:jc w:val="right"/>
              <w:rPr>
                <w:sz w:val="18"/>
              </w:rPr>
            </w:pPr>
            <w:r>
              <w:rPr>
                <w:sz w:val="18"/>
              </w:rPr>
              <w:t>3 280.00</w:t>
            </w:r>
          </w:p>
        </w:tc>
        <w:tc>
          <w:tcPr>
            <w:tcW w:w="142" w:type="dxa"/>
          </w:tcPr>
          <w:p>
            <w:pPr>
              <w:pStyle w:val="yTable"/>
              <w:spacing w:before="0"/>
              <w:jc w:val="right"/>
              <w:rPr>
                <w:sz w:val="18"/>
              </w:rPr>
            </w:pPr>
          </w:p>
        </w:tc>
      </w:tr>
      <w:tr>
        <w:tc>
          <w:tcPr>
            <w:tcW w:w="738" w:type="dxa"/>
            <w:tcBorders>
              <w:bottom w:val="single" w:sz="4" w:space="0" w:color="auto"/>
            </w:tcBorders>
          </w:tcPr>
          <w:p>
            <w:pPr>
              <w:pStyle w:val="yTable"/>
              <w:spacing w:before="0"/>
              <w:jc w:val="right"/>
              <w:rPr>
                <w:sz w:val="18"/>
              </w:rPr>
            </w:pPr>
            <w:r>
              <w:rPr>
                <w:sz w:val="18"/>
              </w:rPr>
              <w:t> 5</w:t>
            </w:r>
          </w:p>
        </w:tc>
        <w:tc>
          <w:tcPr>
            <w:tcW w:w="1077" w:type="dxa"/>
            <w:tcBorders>
              <w:bottom w:val="single" w:sz="4" w:space="0" w:color="auto"/>
            </w:tcBorders>
          </w:tcPr>
          <w:p>
            <w:pPr>
              <w:pStyle w:val="yTable"/>
              <w:spacing w:before="0"/>
              <w:jc w:val="right"/>
              <w:rPr>
                <w:sz w:val="18"/>
              </w:rPr>
            </w:pPr>
            <w:r>
              <w:rPr>
                <w:sz w:val="18"/>
              </w:rPr>
              <w:t>40</w:t>
            </w:r>
          </w:p>
        </w:tc>
        <w:tc>
          <w:tcPr>
            <w:tcW w:w="1276" w:type="dxa"/>
            <w:tcBorders>
              <w:bottom w:val="single" w:sz="4" w:space="0" w:color="auto"/>
            </w:tcBorders>
          </w:tcPr>
          <w:p>
            <w:pPr>
              <w:pStyle w:val="yTable"/>
              <w:spacing w:before="0"/>
              <w:jc w:val="right"/>
              <w:rPr>
                <w:sz w:val="18"/>
              </w:rPr>
            </w:pPr>
            <w:r>
              <w:rPr>
                <w:sz w:val="18"/>
              </w:rPr>
              <w:t>16.00</w:t>
            </w:r>
          </w:p>
        </w:tc>
        <w:tc>
          <w:tcPr>
            <w:tcW w:w="1275" w:type="dxa"/>
            <w:tcBorders>
              <w:bottom w:val="single" w:sz="4" w:space="0" w:color="auto"/>
            </w:tcBorders>
          </w:tcPr>
          <w:p>
            <w:pPr>
              <w:pStyle w:val="yTable"/>
              <w:spacing w:before="0"/>
              <w:jc w:val="right"/>
              <w:rPr>
                <w:sz w:val="18"/>
              </w:rPr>
            </w:pPr>
            <w:r>
              <w:rPr>
                <w:sz w:val="18"/>
              </w:rPr>
              <w:t>32.00</w:t>
            </w:r>
          </w:p>
        </w:tc>
        <w:tc>
          <w:tcPr>
            <w:tcW w:w="1304" w:type="dxa"/>
            <w:tcBorders>
              <w:bottom w:val="single" w:sz="4" w:space="0" w:color="auto"/>
            </w:tcBorders>
          </w:tcPr>
          <w:p>
            <w:pPr>
              <w:pStyle w:val="yTable"/>
              <w:spacing w:before="0"/>
              <w:jc w:val="right"/>
              <w:rPr>
                <w:sz w:val="18"/>
              </w:rPr>
            </w:pPr>
            <w:r>
              <w:rPr>
                <w:sz w:val="18"/>
              </w:rPr>
              <w:t>80.00</w:t>
            </w:r>
          </w:p>
        </w:tc>
        <w:tc>
          <w:tcPr>
            <w:tcW w:w="1276" w:type="dxa"/>
            <w:tcBorders>
              <w:bottom w:val="single" w:sz="4" w:space="0" w:color="auto"/>
            </w:tcBorders>
          </w:tcPr>
          <w:p>
            <w:pPr>
              <w:pStyle w:val="yTable"/>
              <w:spacing w:before="0"/>
              <w:jc w:val="right"/>
              <w:rPr>
                <w:sz w:val="18"/>
              </w:rPr>
            </w:pPr>
            <w:r>
              <w:rPr>
                <w:sz w:val="18"/>
              </w:rPr>
              <w:t>160.00</w:t>
            </w:r>
          </w:p>
        </w:tc>
        <w:tc>
          <w:tcPr>
            <w:tcW w:w="142" w:type="dxa"/>
            <w:tcBorders>
              <w:bottom w:val="single" w:sz="4" w:space="0" w:color="auto"/>
            </w:tcBorders>
          </w:tcPr>
          <w:p>
            <w:pPr>
              <w:pStyle w:val="yTable"/>
              <w:spacing w:before="0"/>
              <w:jc w:val="right"/>
              <w:rPr>
                <w:sz w:val="18"/>
              </w:rPr>
            </w:pPr>
          </w:p>
        </w:tc>
      </w:tr>
    </w:tbl>
    <w:p>
      <w:pPr>
        <w:pStyle w:val="yHeading3"/>
        <w:outlineLvl w:val="9"/>
      </w:pPr>
      <w:bookmarkStart w:id="147" w:name="_Toc170211304"/>
      <w:r>
        <w:t>Total cost of entry — Saturday lotto draw</w:t>
      </w:r>
      <w:bookmarkEnd w:id="147"/>
    </w:p>
    <w:p>
      <w:pPr>
        <w:pStyle w:val="yMiscellaneousBody"/>
      </w:pPr>
      <w:r>
        <w:t>The cost of entering a Saturday lotto draw that takes place on or after 7 December 2002 is made up of a subscription of 45 cents per game and an agent’s component (as set out in Schedule 1A) making the total cost per number and type of game per week as follows:</w:t>
      </w:r>
    </w:p>
    <w:tbl>
      <w:tblPr>
        <w:tblW w:w="0" w:type="auto"/>
        <w:tblInd w:w="250" w:type="dxa"/>
        <w:tblLayout w:type="fixed"/>
        <w:tblLook w:val="0000" w:firstRow="0" w:lastRow="0" w:firstColumn="0" w:lastColumn="0" w:noHBand="0" w:noVBand="0"/>
      </w:tblPr>
      <w:tblGrid>
        <w:gridCol w:w="1276"/>
        <w:gridCol w:w="850"/>
        <w:gridCol w:w="1276"/>
        <w:gridCol w:w="1134"/>
        <w:gridCol w:w="1276"/>
        <w:gridCol w:w="1134"/>
      </w:tblGrid>
      <w:tr>
        <w:trPr>
          <w:tblHeader/>
        </w:trPr>
        <w:tc>
          <w:tcPr>
            <w:tcW w:w="1276" w:type="dxa"/>
            <w:tcBorders>
              <w:top w:val="single" w:sz="4" w:space="0" w:color="auto"/>
            </w:tcBorders>
          </w:tcPr>
          <w:p>
            <w:pPr>
              <w:pStyle w:val="yMiscellaneousBody"/>
              <w:rPr>
                <w:b/>
                <w:sz w:val="18"/>
              </w:rPr>
            </w:pPr>
            <w:r>
              <w:rPr>
                <w:b/>
                <w:sz w:val="18"/>
              </w:rPr>
              <w:t>System</w:t>
            </w:r>
          </w:p>
        </w:tc>
        <w:tc>
          <w:tcPr>
            <w:tcW w:w="850" w:type="dxa"/>
            <w:tcBorders>
              <w:top w:val="single" w:sz="4" w:space="0" w:color="auto"/>
            </w:tcBorders>
          </w:tcPr>
          <w:p>
            <w:pPr>
              <w:pStyle w:val="yMiscellaneousBody"/>
              <w:rPr>
                <w:b/>
                <w:sz w:val="18"/>
              </w:rPr>
            </w:pPr>
            <w:r>
              <w:rPr>
                <w:b/>
                <w:sz w:val="18"/>
              </w:rPr>
              <w:t>No. of</w:t>
            </w:r>
          </w:p>
        </w:tc>
        <w:tc>
          <w:tcPr>
            <w:tcW w:w="1276" w:type="dxa"/>
            <w:tcBorders>
              <w:top w:val="single" w:sz="4" w:space="0" w:color="auto"/>
            </w:tcBorders>
          </w:tcPr>
          <w:p>
            <w:pPr>
              <w:pStyle w:val="yMiscellaneousBody"/>
              <w:rPr>
                <w:b/>
                <w:sz w:val="18"/>
              </w:rPr>
            </w:pPr>
            <w:r>
              <w:rPr>
                <w:b/>
                <w:sz w:val="18"/>
              </w:rPr>
              <w:t>1 Week</w:t>
            </w:r>
          </w:p>
        </w:tc>
        <w:tc>
          <w:tcPr>
            <w:tcW w:w="1134" w:type="dxa"/>
            <w:tcBorders>
              <w:top w:val="single" w:sz="4" w:space="0" w:color="auto"/>
            </w:tcBorders>
          </w:tcPr>
          <w:p>
            <w:pPr>
              <w:pStyle w:val="yMiscellaneousBody"/>
              <w:rPr>
                <w:b/>
                <w:sz w:val="18"/>
              </w:rPr>
            </w:pPr>
            <w:r>
              <w:rPr>
                <w:b/>
                <w:sz w:val="18"/>
              </w:rPr>
              <w:t>2 Weeks</w:t>
            </w:r>
          </w:p>
        </w:tc>
        <w:tc>
          <w:tcPr>
            <w:tcW w:w="1276" w:type="dxa"/>
            <w:tcBorders>
              <w:top w:val="single" w:sz="4" w:space="0" w:color="auto"/>
            </w:tcBorders>
          </w:tcPr>
          <w:p>
            <w:pPr>
              <w:pStyle w:val="yMiscellaneousBody"/>
              <w:rPr>
                <w:b/>
                <w:sz w:val="18"/>
              </w:rPr>
            </w:pPr>
            <w:r>
              <w:rPr>
                <w:b/>
                <w:sz w:val="18"/>
              </w:rPr>
              <w:t>5 Weeks</w:t>
            </w:r>
          </w:p>
        </w:tc>
        <w:tc>
          <w:tcPr>
            <w:tcW w:w="1134" w:type="dxa"/>
            <w:tcBorders>
              <w:top w:val="single" w:sz="4" w:space="0" w:color="auto"/>
            </w:tcBorders>
          </w:tcPr>
          <w:p>
            <w:pPr>
              <w:pStyle w:val="yMiscellaneousBody"/>
              <w:rPr>
                <w:b/>
                <w:sz w:val="18"/>
              </w:rPr>
            </w:pPr>
            <w:r>
              <w:rPr>
                <w:b/>
                <w:sz w:val="18"/>
              </w:rPr>
              <w:t>10 Weeks</w:t>
            </w:r>
          </w:p>
        </w:tc>
      </w:tr>
      <w:tr>
        <w:trPr>
          <w:tblHeader/>
        </w:trPr>
        <w:tc>
          <w:tcPr>
            <w:tcW w:w="1276" w:type="dxa"/>
            <w:tcBorders>
              <w:bottom w:val="single" w:sz="4" w:space="0" w:color="auto"/>
            </w:tcBorders>
          </w:tcPr>
          <w:p>
            <w:pPr>
              <w:pStyle w:val="yMiscellaneousBody"/>
              <w:rPr>
                <w:b/>
                <w:sz w:val="18"/>
              </w:rPr>
            </w:pPr>
          </w:p>
        </w:tc>
        <w:tc>
          <w:tcPr>
            <w:tcW w:w="850" w:type="dxa"/>
            <w:tcBorders>
              <w:bottom w:val="single" w:sz="4" w:space="0" w:color="auto"/>
            </w:tcBorders>
          </w:tcPr>
          <w:p>
            <w:pPr>
              <w:pStyle w:val="yMiscellaneousBody"/>
              <w:rPr>
                <w:b/>
                <w:sz w:val="18"/>
              </w:rPr>
            </w:pPr>
            <w:r>
              <w:rPr>
                <w:b/>
                <w:sz w:val="18"/>
              </w:rPr>
              <w:t>games</w:t>
            </w:r>
          </w:p>
        </w:tc>
        <w:tc>
          <w:tcPr>
            <w:tcW w:w="1276" w:type="dxa"/>
            <w:tcBorders>
              <w:bottom w:val="single" w:sz="4" w:space="0" w:color="auto"/>
            </w:tcBorders>
          </w:tcPr>
          <w:p>
            <w:pPr>
              <w:pStyle w:val="yMiscellaneousBody"/>
              <w:rPr>
                <w:b/>
                <w:sz w:val="18"/>
              </w:rPr>
            </w:pPr>
            <w:r>
              <w:rPr>
                <w:b/>
                <w:sz w:val="18"/>
              </w:rPr>
              <w:t xml:space="preserve">              $</w:t>
            </w:r>
          </w:p>
        </w:tc>
        <w:tc>
          <w:tcPr>
            <w:tcW w:w="1134" w:type="dxa"/>
            <w:tcBorders>
              <w:bottom w:val="single" w:sz="4" w:space="0" w:color="auto"/>
            </w:tcBorders>
          </w:tcPr>
          <w:p>
            <w:pPr>
              <w:pStyle w:val="yMiscellaneousBody"/>
              <w:rPr>
                <w:b/>
                <w:sz w:val="18"/>
              </w:rPr>
            </w:pPr>
            <w:r>
              <w:rPr>
                <w:b/>
                <w:sz w:val="18"/>
              </w:rPr>
              <w:t xml:space="preserve">           $</w:t>
            </w:r>
          </w:p>
        </w:tc>
        <w:tc>
          <w:tcPr>
            <w:tcW w:w="1276" w:type="dxa"/>
            <w:tcBorders>
              <w:bottom w:val="single" w:sz="4" w:space="0" w:color="auto"/>
            </w:tcBorders>
          </w:tcPr>
          <w:p>
            <w:pPr>
              <w:pStyle w:val="yMiscellaneousBody"/>
              <w:rPr>
                <w:b/>
                <w:sz w:val="18"/>
              </w:rPr>
            </w:pPr>
            <w:r>
              <w:rPr>
                <w:b/>
                <w:sz w:val="18"/>
              </w:rPr>
              <w:t xml:space="preserve">               $</w:t>
            </w:r>
          </w:p>
        </w:tc>
        <w:tc>
          <w:tcPr>
            <w:tcW w:w="1134" w:type="dxa"/>
            <w:tcBorders>
              <w:bottom w:val="single" w:sz="4" w:space="0" w:color="auto"/>
            </w:tcBorders>
          </w:tcPr>
          <w:p>
            <w:pPr>
              <w:pStyle w:val="yMiscellaneousBody"/>
              <w:rPr>
                <w:b/>
                <w:sz w:val="18"/>
              </w:rPr>
            </w:pPr>
            <w:r>
              <w:rPr>
                <w:b/>
                <w:sz w:val="18"/>
              </w:rPr>
              <w:t xml:space="preserve">           $</w:t>
            </w:r>
          </w:p>
        </w:tc>
      </w:tr>
      <w:tr>
        <w:tc>
          <w:tcPr>
            <w:tcW w:w="1276" w:type="dxa"/>
          </w:tcPr>
          <w:p>
            <w:pPr>
              <w:pStyle w:val="yMiscellaneousBody"/>
              <w:rPr>
                <w:sz w:val="18"/>
              </w:rPr>
            </w:pPr>
          </w:p>
        </w:tc>
        <w:tc>
          <w:tcPr>
            <w:tcW w:w="850" w:type="dxa"/>
          </w:tcPr>
          <w:p>
            <w:pPr>
              <w:pStyle w:val="yMiscellaneousBody"/>
              <w:rPr>
                <w:sz w:val="18"/>
              </w:rPr>
            </w:pPr>
            <w:r>
              <w:rPr>
                <w:sz w:val="18"/>
              </w:rPr>
              <w:t>4</w:t>
            </w:r>
          </w:p>
        </w:tc>
        <w:tc>
          <w:tcPr>
            <w:tcW w:w="1276" w:type="dxa"/>
          </w:tcPr>
          <w:p>
            <w:pPr>
              <w:pStyle w:val="yMiscellaneousBody"/>
              <w:rPr>
                <w:sz w:val="18"/>
              </w:rPr>
            </w:pPr>
            <w:r>
              <w:rPr>
                <w:sz w:val="18"/>
              </w:rPr>
              <w:t>1.95</w:t>
            </w:r>
          </w:p>
        </w:tc>
        <w:tc>
          <w:tcPr>
            <w:tcW w:w="1134" w:type="dxa"/>
          </w:tcPr>
          <w:p>
            <w:pPr>
              <w:pStyle w:val="yMiscellaneousBody"/>
              <w:rPr>
                <w:sz w:val="18"/>
              </w:rPr>
            </w:pPr>
            <w:r>
              <w:rPr>
                <w:sz w:val="18"/>
              </w:rPr>
              <w:t>3.90</w:t>
            </w:r>
          </w:p>
        </w:tc>
        <w:tc>
          <w:tcPr>
            <w:tcW w:w="1276" w:type="dxa"/>
          </w:tcPr>
          <w:p>
            <w:pPr>
              <w:pStyle w:val="yMiscellaneousBody"/>
              <w:rPr>
                <w:sz w:val="18"/>
              </w:rPr>
            </w:pPr>
            <w:r>
              <w:rPr>
                <w:sz w:val="18"/>
              </w:rPr>
              <w:t>9.75</w:t>
            </w:r>
          </w:p>
        </w:tc>
        <w:tc>
          <w:tcPr>
            <w:tcW w:w="1134" w:type="dxa"/>
          </w:tcPr>
          <w:p>
            <w:pPr>
              <w:pStyle w:val="yMiscellaneousBody"/>
              <w:rPr>
                <w:sz w:val="18"/>
              </w:rPr>
            </w:pPr>
            <w:r>
              <w:rPr>
                <w:sz w:val="18"/>
              </w:rPr>
              <w:t>19.50</w:t>
            </w:r>
          </w:p>
        </w:tc>
      </w:tr>
      <w:tr>
        <w:tc>
          <w:tcPr>
            <w:tcW w:w="1276" w:type="dxa"/>
          </w:tcPr>
          <w:p>
            <w:pPr>
              <w:pStyle w:val="yMiscellaneousBody"/>
              <w:rPr>
                <w:sz w:val="18"/>
              </w:rPr>
            </w:pPr>
          </w:p>
        </w:tc>
        <w:tc>
          <w:tcPr>
            <w:tcW w:w="850" w:type="dxa"/>
          </w:tcPr>
          <w:p>
            <w:pPr>
              <w:pStyle w:val="yMiscellaneousBody"/>
              <w:rPr>
                <w:sz w:val="18"/>
              </w:rPr>
            </w:pPr>
            <w:r>
              <w:rPr>
                <w:sz w:val="18"/>
              </w:rPr>
              <w:t>5</w:t>
            </w:r>
          </w:p>
        </w:tc>
        <w:tc>
          <w:tcPr>
            <w:tcW w:w="1276" w:type="dxa"/>
          </w:tcPr>
          <w:p>
            <w:pPr>
              <w:pStyle w:val="yMiscellaneousBody"/>
              <w:rPr>
                <w:sz w:val="18"/>
              </w:rPr>
            </w:pPr>
            <w:r>
              <w:rPr>
                <w:sz w:val="18"/>
              </w:rPr>
              <w:t>2.45</w:t>
            </w:r>
          </w:p>
        </w:tc>
        <w:tc>
          <w:tcPr>
            <w:tcW w:w="1134" w:type="dxa"/>
          </w:tcPr>
          <w:p>
            <w:pPr>
              <w:pStyle w:val="yMiscellaneousBody"/>
              <w:rPr>
                <w:sz w:val="18"/>
              </w:rPr>
            </w:pPr>
            <w:r>
              <w:rPr>
                <w:sz w:val="18"/>
              </w:rPr>
              <w:t>4.90</w:t>
            </w:r>
          </w:p>
        </w:tc>
        <w:tc>
          <w:tcPr>
            <w:tcW w:w="1276" w:type="dxa"/>
          </w:tcPr>
          <w:p>
            <w:pPr>
              <w:pStyle w:val="yMiscellaneousBody"/>
              <w:rPr>
                <w:sz w:val="18"/>
              </w:rPr>
            </w:pPr>
            <w:r>
              <w:rPr>
                <w:sz w:val="18"/>
              </w:rPr>
              <w:t>12.25</w:t>
            </w:r>
          </w:p>
        </w:tc>
        <w:tc>
          <w:tcPr>
            <w:tcW w:w="1134" w:type="dxa"/>
          </w:tcPr>
          <w:p>
            <w:pPr>
              <w:pStyle w:val="yMiscellaneousBody"/>
              <w:rPr>
                <w:sz w:val="18"/>
              </w:rPr>
            </w:pPr>
            <w:r>
              <w:rPr>
                <w:sz w:val="18"/>
              </w:rPr>
              <w:t>24.50</w:t>
            </w:r>
          </w:p>
        </w:tc>
      </w:tr>
      <w:tr>
        <w:tc>
          <w:tcPr>
            <w:tcW w:w="1276" w:type="dxa"/>
          </w:tcPr>
          <w:p>
            <w:pPr>
              <w:pStyle w:val="yMiscellaneousBody"/>
              <w:rPr>
                <w:sz w:val="18"/>
              </w:rPr>
            </w:pPr>
          </w:p>
        </w:tc>
        <w:tc>
          <w:tcPr>
            <w:tcW w:w="850" w:type="dxa"/>
          </w:tcPr>
          <w:p>
            <w:pPr>
              <w:pStyle w:val="yMiscellaneousBody"/>
              <w:rPr>
                <w:sz w:val="18"/>
              </w:rPr>
            </w:pPr>
            <w:r>
              <w:rPr>
                <w:sz w:val="18"/>
              </w:rPr>
              <w:t>6</w:t>
            </w:r>
          </w:p>
        </w:tc>
        <w:tc>
          <w:tcPr>
            <w:tcW w:w="1276" w:type="dxa"/>
          </w:tcPr>
          <w:p>
            <w:pPr>
              <w:pStyle w:val="yMiscellaneousBody"/>
              <w:rPr>
                <w:sz w:val="18"/>
              </w:rPr>
            </w:pPr>
            <w:r>
              <w:rPr>
                <w:sz w:val="18"/>
              </w:rPr>
              <w:t>2.95</w:t>
            </w:r>
          </w:p>
        </w:tc>
        <w:tc>
          <w:tcPr>
            <w:tcW w:w="1134" w:type="dxa"/>
          </w:tcPr>
          <w:p>
            <w:pPr>
              <w:pStyle w:val="yMiscellaneousBody"/>
              <w:rPr>
                <w:sz w:val="18"/>
              </w:rPr>
            </w:pPr>
            <w:r>
              <w:rPr>
                <w:sz w:val="18"/>
              </w:rPr>
              <w:t>5.90</w:t>
            </w:r>
          </w:p>
        </w:tc>
        <w:tc>
          <w:tcPr>
            <w:tcW w:w="1276" w:type="dxa"/>
          </w:tcPr>
          <w:p>
            <w:pPr>
              <w:pStyle w:val="yMiscellaneousBody"/>
              <w:rPr>
                <w:sz w:val="18"/>
              </w:rPr>
            </w:pPr>
            <w:r>
              <w:rPr>
                <w:sz w:val="18"/>
              </w:rPr>
              <w:t>14.75</w:t>
            </w:r>
          </w:p>
        </w:tc>
        <w:tc>
          <w:tcPr>
            <w:tcW w:w="1134" w:type="dxa"/>
          </w:tcPr>
          <w:p>
            <w:pPr>
              <w:pStyle w:val="yMiscellaneousBody"/>
              <w:rPr>
                <w:sz w:val="18"/>
              </w:rPr>
            </w:pPr>
            <w:r>
              <w:rPr>
                <w:sz w:val="18"/>
              </w:rPr>
              <w:t>29.50</w:t>
            </w:r>
          </w:p>
        </w:tc>
      </w:tr>
      <w:tr>
        <w:tc>
          <w:tcPr>
            <w:tcW w:w="1276" w:type="dxa"/>
          </w:tcPr>
          <w:p>
            <w:pPr>
              <w:pStyle w:val="yMiscellaneousBody"/>
              <w:rPr>
                <w:sz w:val="18"/>
              </w:rPr>
            </w:pPr>
          </w:p>
        </w:tc>
        <w:tc>
          <w:tcPr>
            <w:tcW w:w="850" w:type="dxa"/>
          </w:tcPr>
          <w:p>
            <w:pPr>
              <w:pStyle w:val="yMiscellaneousBody"/>
              <w:rPr>
                <w:sz w:val="18"/>
              </w:rPr>
            </w:pPr>
            <w:r>
              <w:rPr>
                <w:sz w:val="18"/>
              </w:rPr>
              <w:t>7</w:t>
            </w:r>
          </w:p>
        </w:tc>
        <w:tc>
          <w:tcPr>
            <w:tcW w:w="1276" w:type="dxa"/>
          </w:tcPr>
          <w:p>
            <w:pPr>
              <w:pStyle w:val="yMiscellaneousBody"/>
              <w:rPr>
                <w:sz w:val="18"/>
              </w:rPr>
            </w:pPr>
            <w:r>
              <w:rPr>
                <w:sz w:val="18"/>
              </w:rPr>
              <w:t>3.40</w:t>
            </w:r>
          </w:p>
        </w:tc>
        <w:tc>
          <w:tcPr>
            <w:tcW w:w="1134" w:type="dxa"/>
          </w:tcPr>
          <w:p>
            <w:pPr>
              <w:pStyle w:val="yMiscellaneousBody"/>
              <w:rPr>
                <w:sz w:val="18"/>
              </w:rPr>
            </w:pPr>
            <w:r>
              <w:rPr>
                <w:sz w:val="18"/>
              </w:rPr>
              <w:t>6.80</w:t>
            </w:r>
          </w:p>
        </w:tc>
        <w:tc>
          <w:tcPr>
            <w:tcW w:w="1276" w:type="dxa"/>
          </w:tcPr>
          <w:p>
            <w:pPr>
              <w:pStyle w:val="yMiscellaneousBody"/>
              <w:rPr>
                <w:sz w:val="18"/>
              </w:rPr>
            </w:pPr>
            <w:r>
              <w:rPr>
                <w:sz w:val="18"/>
              </w:rPr>
              <w:t>17.00</w:t>
            </w:r>
          </w:p>
        </w:tc>
        <w:tc>
          <w:tcPr>
            <w:tcW w:w="1134" w:type="dxa"/>
          </w:tcPr>
          <w:p>
            <w:pPr>
              <w:pStyle w:val="yMiscellaneousBody"/>
              <w:rPr>
                <w:sz w:val="18"/>
              </w:rPr>
            </w:pPr>
            <w:r>
              <w:rPr>
                <w:sz w:val="18"/>
              </w:rPr>
              <w:t>34.00</w:t>
            </w:r>
          </w:p>
        </w:tc>
      </w:tr>
      <w:tr>
        <w:tc>
          <w:tcPr>
            <w:tcW w:w="1276" w:type="dxa"/>
          </w:tcPr>
          <w:p>
            <w:pPr>
              <w:pStyle w:val="yMiscellaneousBody"/>
              <w:rPr>
                <w:sz w:val="18"/>
              </w:rPr>
            </w:pPr>
          </w:p>
        </w:tc>
        <w:tc>
          <w:tcPr>
            <w:tcW w:w="850" w:type="dxa"/>
          </w:tcPr>
          <w:p>
            <w:pPr>
              <w:pStyle w:val="yMiscellaneousBody"/>
              <w:rPr>
                <w:sz w:val="18"/>
              </w:rPr>
            </w:pPr>
            <w:r>
              <w:rPr>
                <w:sz w:val="18"/>
              </w:rPr>
              <w:t>8</w:t>
            </w:r>
          </w:p>
        </w:tc>
        <w:tc>
          <w:tcPr>
            <w:tcW w:w="1276" w:type="dxa"/>
          </w:tcPr>
          <w:p>
            <w:pPr>
              <w:pStyle w:val="yMiscellaneousBody"/>
              <w:rPr>
                <w:sz w:val="18"/>
              </w:rPr>
            </w:pPr>
            <w:r>
              <w:rPr>
                <w:sz w:val="18"/>
              </w:rPr>
              <w:t>3.90</w:t>
            </w:r>
          </w:p>
        </w:tc>
        <w:tc>
          <w:tcPr>
            <w:tcW w:w="1134" w:type="dxa"/>
          </w:tcPr>
          <w:p>
            <w:pPr>
              <w:pStyle w:val="yMiscellaneousBody"/>
              <w:rPr>
                <w:sz w:val="18"/>
              </w:rPr>
            </w:pPr>
            <w:r>
              <w:rPr>
                <w:sz w:val="18"/>
              </w:rPr>
              <w:t>7.80</w:t>
            </w:r>
          </w:p>
        </w:tc>
        <w:tc>
          <w:tcPr>
            <w:tcW w:w="1276" w:type="dxa"/>
          </w:tcPr>
          <w:p>
            <w:pPr>
              <w:pStyle w:val="yMiscellaneousBody"/>
              <w:rPr>
                <w:sz w:val="18"/>
              </w:rPr>
            </w:pPr>
            <w:r>
              <w:rPr>
                <w:sz w:val="18"/>
              </w:rPr>
              <w:t>19.50</w:t>
            </w:r>
          </w:p>
        </w:tc>
        <w:tc>
          <w:tcPr>
            <w:tcW w:w="1134" w:type="dxa"/>
          </w:tcPr>
          <w:p>
            <w:pPr>
              <w:pStyle w:val="yMiscellaneousBody"/>
              <w:rPr>
                <w:sz w:val="18"/>
              </w:rPr>
            </w:pPr>
            <w:r>
              <w:rPr>
                <w:sz w:val="18"/>
              </w:rPr>
              <w:t>39.00</w:t>
            </w:r>
          </w:p>
        </w:tc>
      </w:tr>
      <w:tr>
        <w:tc>
          <w:tcPr>
            <w:tcW w:w="1276" w:type="dxa"/>
          </w:tcPr>
          <w:p>
            <w:pPr>
              <w:pStyle w:val="yMiscellaneousBody"/>
              <w:rPr>
                <w:sz w:val="18"/>
              </w:rPr>
            </w:pPr>
          </w:p>
        </w:tc>
        <w:tc>
          <w:tcPr>
            <w:tcW w:w="850" w:type="dxa"/>
          </w:tcPr>
          <w:p>
            <w:pPr>
              <w:pStyle w:val="yMiscellaneousBody"/>
              <w:rPr>
                <w:sz w:val="18"/>
              </w:rPr>
            </w:pPr>
            <w:r>
              <w:rPr>
                <w:sz w:val="18"/>
              </w:rPr>
              <w:t>9</w:t>
            </w:r>
          </w:p>
        </w:tc>
        <w:tc>
          <w:tcPr>
            <w:tcW w:w="1276" w:type="dxa"/>
          </w:tcPr>
          <w:p>
            <w:pPr>
              <w:pStyle w:val="yMiscellaneousBody"/>
              <w:rPr>
                <w:sz w:val="18"/>
              </w:rPr>
            </w:pPr>
            <w:r>
              <w:rPr>
                <w:sz w:val="18"/>
              </w:rPr>
              <w:t>4.40</w:t>
            </w:r>
          </w:p>
        </w:tc>
        <w:tc>
          <w:tcPr>
            <w:tcW w:w="1134" w:type="dxa"/>
          </w:tcPr>
          <w:p>
            <w:pPr>
              <w:pStyle w:val="yMiscellaneousBody"/>
              <w:rPr>
                <w:sz w:val="18"/>
              </w:rPr>
            </w:pPr>
            <w:r>
              <w:rPr>
                <w:sz w:val="18"/>
              </w:rPr>
              <w:t>8.80</w:t>
            </w:r>
          </w:p>
        </w:tc>
        <w:tc>
          <w:tcPr>
            <w:tcW w:w="1276" w:type="dxa"/>
          </w:tcPr>
          <w:p>
            <w:pPr>
              <w:pStyle w:val="yMiscellaneousBody"/>
              <w:rPr>
                <w:sz w:val="18"/>
              </w:rPr>
            </w:pPr>
            <w:r>
              <w:rPr>
                <w:sz w:val="18"/>
              </w:rPr>
              <w:t>22.00</w:t>
            </w:r>
          </w:p>
        </w:tc>
        <w:tc>
          <w:tcPr>
            <w:tcW w:w="1134" w:type="dxa"/>
          </w:tcPr>
          <w:p>
            <w:pPr>
              <w:pStyle w:val="yMiscellaneousBody"/>
              <w:rPr>
                <w:sz w:val="18"/>
              </w:rPr>
            </w:pPr>
            <w:r>
              <w:rPr>
                <w:sz w:val="18"/>
              </w:rPr>
              <w:t>44.00</w:t>
            </w:r>
          </w:p>
        </w:tc>
      </w:tr>
      <w:tr>
        <w:tc>
          <w:tcPr>
            <w:tcW w:w="1276" w:type="dxa"/>
          </w:tcPr>
          <w:p>
            <w:pPr>
              <w:pStyle w:val="yMiscellaneousBody"/>
              <w:rPr>
                <w:sz w:val="18"/>
              </w:rPr>
            </w:pPr>
          </w:p>
        </w:tc>
        <w:tc>
          <w:tcPr>
            <w:tcW w:w="850" w:type="dxa"/>
          </w:tcPr>
          <w:p>
            <w:pPr>
              <w:pStyle w:val="yMiscellaneousBody"/>
              <w:rPr>
                <w:sz w:val="18"/>
              </w:rPr>
            </w:pPr>
            <w:r>
              <w:rPr>
                <w:sz w:val="18"/>
              </w:rPr>
              <w:t>10</w:t>
            </w:r>
          </w:p>
        </w:tc>
        <w:tc>
          <w:tcPr>
            <w:tcW w:w="1276" w:type="dxa"/>
          </w:tcPr>
          <w:p>
            <w:pPr>
              <w:pStyle w:val="yMiscellaneousBody"/>
              <w:rPr>
                <w:sz w:val="18"/>
              </w:rPr>
            </w:pPr>
            <w:r>
              <w:rPr>
                <w:sz w:val="18"/>
              </w:rPr>
              <w:t>4.90</w:t>
            </w:r>
          </w:p>
        </w:tc>
        <w:tc>
          <w:tcPr>
            <w:tcW w:w="1134" w:type="dxa"/>
          </w:tcPr>
          <w:p>
            <w:pPr>
              <w:pStyle w:val="yMiscellaneousBody"/>
              <w:rPr>
                <w:sz w:val="18"/>
              </w:rPr>
            </w:pPr>
            <w:r>
              <w:rPr>
                <w:sz w:val="18"/>
              </w:rPr>
              <w:t>9.80</w:t>
            </w:r>
          </w:p>
        </w:tc>
        <w:tc>
          <w:tcPr>
            <w:tcW w:w="1276" w:type="dxa"/>
          </w:tcPr>
          <w:p>
            <w:pPr>
              <w:pStyle w:val="yMiscellaneousBody"/>
              <w:rPr>
                <w:sz w:val="18"/>
              </w:rPr>
            </w:pPr>
            <w:r>
              <w:rPr>
                <w:sz w:val="18"/>
              </w:rPr>
              <w:t>24.50</w:t>
            </w:r>
          </w:p>
        </w:tc>
        <w:tc>
          <w:tcPr>
            <w:tcW w:w="1134" w:type="dxa"/>
          </w:tcPr>
          <w:p>
            <w:pPr>
              <w:pStyle w:val="yMiscellaneousBody"/>
              <w:rPr>
                <w:sz w:val="18"/>
              </w:rPr>
            </w:pPr>
            <w:r>
              <w:rPr>
                <w:sz w:val="18"/>
              </w:rPr>
              <w:t>49.00</w:t>
            </w:r>
          </w:p>
        </w:tc>
      </w:tr>
      <w:tr>
        <w:tc>
          <w:tcPr>
            <w:tcW w:w="1276" w:type="dxa"/>
          </w:tcPr>
          <w:p>
            <w:pPr>
              <w:pStyle w:val="yMiscellaneousBody"/>
              <w:rPr>
                <w:sz w:val="18"/>
              </w:rPr>
            </w:pPr>
          </w:p>
        </w:tc>
        <w:tc>
          <w:tcPr>
            <w:tcW w:w="850" w:type="dxa"/>
          </w:tcPr>
          <w:p>
            <w:pPr>
              <w:pStyle w:val="yMiscellaneousBody"/>
              <w:rPr>
                <w:sz w:val="18"/>
              </w:rPr>
            </w:pPr>
            <w:r>
              <w:rPr>
                <w:sz w:val="18"/>
              </w:rPr>
              <w:t>11</w:t>
            </w:r>
          </w:p>
        </w:tc>
        <w:tc>
          <w:tcPr>
            <w:tcW w:w="1276" w:type="dxa"/>
          </w:tcPr>
          <w:p>
            <w:pPr>
              <w:pStyle w:val="yMiscellaneousBody"/>
              <w:rPr>
                <w:sz w:val="18"/>
              </w:rPr>
            </w:pPr>
            <w:r>
              <w:rPr>
                <w:sz w:val="18"/>
              </w:rPr>
              <w:t>5.40</w:t>
            </w:r>
          </w:p>
        </w:tc>
        <w:tc>
          <w:tcPr>
            <w:tcW w:w="1134" w:type="dxa"/>
          </w:tcPr>
          <w:p>
            <w:pPr>
              <w:pStyle w:val="yMiscellaneousBody"/>
              <w:rPr>
                <w:sz w:val="18"/>
              </w:rPr>
            </w:pPr>
            <w:r>
              <w:rPr>
                <w:sz w:val="18"/>
              </w:rPr>
              <w:t>10.80</w:t>
            </w:r>
          </w:p>
        </w:tc>
        <w:tc>
          <w:tcPr>
            <w:tcW w:w="1276" w:type="dxa"/>
          </w:tcPr>
          <w:p>
            <w:pPr>
              <w:pStyle w:val="yMiscellaneousBody"/>
              <w:rPr>
                <w:sz w:val="18"/>
              </w:rPr>
            </w:pPr>
            <w:r>
              <w:rPr>
                <w:sz w:val="18"/>
              </w:rPr>
              <w:t>27.00</w:t>
            </w:r>
          </w:p>
        </w:tc>
        <w:tc>
          <w:tcPr>
            <w:tcW w:w="1134" w:type="dxa"/>
          </w:tcPr>
          <w:p>
            <w:pPr>
              <w:pStyle w:val="yMiscellaneousBody"/>
              <w:rPr>
                <w:sz w:val="18"/>
              </w:rPr>
            </w:pPr>
            <w:r>
              <w:rPr>
                <w:sz w:val="18"/>
              </w:rPr>
              <w:t>54.00</w:t>
            </w:r>
          </w:p>
        </w:tc>
      </w:tr>
      <w:tr>
        <w:tc>
          <w:tcPr>
            <w:tcW w:w="1276" w:type="dxa"/>
          </w:tcPr>
          <w:p>
            <w:pPr>
              <w:pStyle w:val="yMiscellaneousBody"/>
              <w:rPr>
                <w:sz w:val="18"/>
              </w:rPr>
            </w:pPr>
          </w:p>
        </w:tc>
        <w:tc>
          <w:tcPr>
            <w:tcW w:w="850" w:type="dxa"/>
          </w:tcPr>
          <w:p>
            <w:pPr>
              <w:pStyle w:val="yMiscellaneousBody"/>
              <w:rPr>
                <w:sz w:val="18"/>
              </w:rPr>
            </w:pPr>
            <w:r>
              <w:rPr>
                <w:sz w:val="18"/>
              </w:rPr>
              <w:t>12</w:t>
            </w:r>
          </w:p>
        </w:tc>
        <w:tc>
          <w:tcPr>
            <w:tcW w:w="1276" w:type="dxa"/>
          </w:tcPr>
          <w:p>
            <w:pPr>
              <w:pStyle w:val="yMiscellaneousBody"/>
              <w:rPr>
                <w:sz w:val="18"/>
              </w:rPr>
            </w:pPr>
            <w:r>
              <w:rPr>
                <w:sz w:val="18"/>
              </w:rPr>
              <w:t>5.90</w:t>
            </w:r>
          </w:p>
        </w:tc>
        <w:tc>
          <w:tcPr>
            <w:tcW w:w="1134" w:type="dxa"/>
          </w:tcPr>
          <w:p>
            <w:pPr>
              <w:pStyle w:val="yMiscellaneousBody"/>
              <w:rPr>
                <w:sz w:val="18"/>
              </w:rPr>
            </w:pPr>
            <w:r>
              <w:rPr>
                <w:sz w:val="18"/>
              </w:rPr>
              <w:t>11.80</w:t>
            </w:r>
          </w:p>
        </w:tc>
        <w:tc>
          <w:tcPr>
            <w:tcW w:w="1276" w:type="dxa"/>
          </w:tcPr>
          <w:p>
            <w:pPr>
              <w:pStyle w:val="yMiscellaneousBody"/>
              <w:rPr>
                <w:sz w:val="18"/>
              </w:rPr>
            </w:pPr>
            <w:r>
              <w:rPr>
                <w:sz w:val="18"/>
              </w:rPr>
              <w:t>29.50</w:t>
            </w:r>
          </w:p>
        </w:tc>
        <w:tc>
          <w:tcPr>
            <w:tcW w:w="1134" w:type="dxa"/>
          </w:tcPr>
          <w:p>
            <w:pPr>
              <w:pStyle w:val="yMiscellaneousBody"/>
              <w:rPr>
                <w:sz w:val="18"/>
              </w:rPr>
            </w:pPr>
            <w:r>
              <w:rPr>
                <w:sz w:val="18"/>
              </w:rPr>
              <w:t>59.00</w:t>
            </w:r>
          </w:p>
        </w:tc>
      </w:tr>
      <w:tr>
        <w:tc>
          <w:tcPr>
            <w:tcW w:w="1276" w:type="dxa"/>
          </w:tcPr>
          <w:p>
            <w:pPr>
              <w:pStyle w:val="yMiscellaneousBody"/>
              <w:rPr>
                <w:sz w:val="18"/>
              </w:rPr>
            </w:pPr>
          </w:p>
        </w:tc>
        <w:tc>
          <w:tcPr>
            <w:tcW w:w="850" w:type="dxa"/>
          </w:tcPr>
          <w:p>
            <w:pPr>
              <w:pStyle w:val="yMiscellaneousBody"/>
              <w:rPr>
                <w:sz w:val="18"/>
              </w:rPr>
            </w:pPr>
            <w:r>
              <w:rPr>
                <w:sz w:val="18"/>
              </w:rPr>
              <w:t>14</w:t>
            </w:r>
          </w:p>
        </w:tc>
        <w:tc>
          <w:tcPr>
            <w:tcW w:w="1276" w:type="dxa"/>
          </w:tcPr>
          <w:p>
            <w:pPr>
              <w:pStyle w:val="yMiscellaneousBody"/>
              <w:rPr>
                <w:sz w:val="18"/>
              </w:rPr>
            </w:pPr>
            <w:r>
              <w:rPr>
                <w:sz w:val="18"/>
              </w:rPr>
              <w:t>6.90</w:t>
            </w:r>
          </w:p>
        </w:tc>
        <w:tc>
          <w:tcPr>
            <w:tcW w:w="1134" w:type="dxa"/>
          </w:tcPr>
          <w:p>
            <w:pPr>
              <w:pStyle w:val="yMiscellaneousBody"/>
              <w:rPr>
                <w:sz w:val="18"/>
              </w:rPr>
            </w:pPr>
            <w:r>
              <w:rPr>
                <w:sz w:val="18"/>
              </w:rPr>
              <w:t>13.80</w:t>
            </w:r>
          </w:p>
        </w:tc>
        <w:tc>
          <w:tcPr>
            <w:tcW w:w="1276" w:type="dxa"/>
          </w:tcPr>
          <w:p>
            <w:pPr>
              <w:pStyle w:val="yMiscellaneousBody"/>
              <w:rPr>
                <w:sz w:val="18"/>
              </w:rPr>
            </w:pPr>
            <w:r>
              <w:rPr>
                <w:sz w:val="18"/>
              </w:rPr>
              <w:t>34.50</w:t>
            </w:r>
          </w:p>
        </w:tc>
        <w:tc>
          <w:tcPr>
            <w:tcW w:w="1134" w:type="dxa"/>
          </w:tcPr>
          <w:p>
            <w:pPr>
              <w:pStyle w:val="yMiscellaneousBody"/>
              <w:rPr>
                <w:sz w:val="18"/>
              </w:rPr>
            </w:pPr>
            <w:r>
              <w:rPr>
                <w:sz w:val="18"/>
              </w:rPr>
              <w:t>69.00</w:t>
            </w:r>
          </w:p>
        </w:tc>
      </w:tr>
      <w:tr>
        <w:tc>
          <w:tcPr>
            <w:tcW w:w="1276" w:type="dxa"/>
          </w:tcPr>
          <w:p>
            <w:pPr>
              <w:pStyle w:val="yMiscellaneousBody"/>
              <w:rPr>
                <w:sz w:val="18"/>
              </w:rPr>
            </w:pPr>
          </w:p>
        </w:tc>
        <w:tc>
          <w:tcPr>
            <w:tcW w:w="850" w:type="dxa"/>
          </w:tcPr>
          <w:p>
            <w:pPr>
              <w:pStyle w:val="yMiscellaneousBody"/>
              <w:rPr>
                <w:sz w:val="18"/>
              </w:rPr>
            </w:pPr>
            <w:r>
              <w:rPr>
                <w:sz w:val="18"/>
              </w:rPr>
              <w:t>18</w:t>
            </w:r>
          </w:p>
        </w:tc>
        <w:tc>
          <w:tcPr>
            <w:tcW w:w="1276" w:type="dxa"/>
          </w:tcPr>
          <w:p>
            <w:pPr>
              <w:pStyle w:val="yMiscellaneousBody"/>
              <w:rPr>
                <w:sz w:val="18"/>
              </w:rPr>
            </w:pPr>
            <w:r>
              <w:rPr>
                <w:sz w:val="18"/>
              </w:rPr>
              <w:t>8.90</w:t>
            </w:r>
          </w:p>
        </w:tc>
        <w:tc>
          <w:tcPr>
            <w:tcW w:w="1134" w:type="dxa"/>
          </w:tcPr>
          <w:p>
            <w:pPr>
              <w:pStyle w:val="yMiscellaneousBody"/>
              <w:rPr>
                <w:sz w:val="18"/>
              </w:rPr>
            </w:pPr>
            <w:r>
              <w:rPr>
                <w:sz w:val="18"/>
              </w:rPr>
              <w:t>17.80</w:t>
            </w:r>
          </w:p>
        </w:tc>
        <w:tc>
          <w:tcPr>
            <w:tcW w:w="1276" w:type="dxa"/>
          </w:tcPr>
          <w:p>
            <w:pPr>
              <w:pStyle w:val="yMiscellaneousBody"/>
              <w:rPr>
                <w:sz w:val="18"/>
              </w:rPr>
            </w:pPr>
            <w:r>
              <w:rPr>
                <w:sz w:val="18"/>
              </w:rPr>
              <w:t>44.50</w:t>
            </w:r>
          </w:p>
        </w:tc>
        <w:tc>
          <w:tcPr>
            <w:tcW w:w="1134" w:type="dxa"/>
          </w:tcPr>
          <w:p>
            <w:pPr>
              <w:pStyle w:val="yMiscellaneousBody"/>
              <w:rPr>
                <w:sz w:val="18"/>
              </w:rPr>
            </w:pPr>
            <w:r>
              <w:rPr>
                <w:sz w:val="18"/>
              </w:rPr>
              <w:t>89.00</w:t>
            </w:r>
          </w:p>
        </w:tc>
      </w:tr>
      <w:tr>
        <w:tc>
          <w:tcPr>
            <w:tcW w:w="1276" w:type="dxa"/>
          </w:tcPr>
          <w:p>
            <w:pPr>
              <w:pStyle w:val="yMiscellaneousBody"/>
              <w:rPr>
                <w:sz w:val="18"/>
              </w:rPr>
            </w:pPr>
          </w:p>
        </w:tc>
        <w:tc>
          <w:tcPr>
            <w:tcW w:w="850" w:type="dxa"/>
          </w:tcPr>
          <w:p>
            <w:pPr>
              <w:pStyle w:val="yMiscellaneousBody"/>
              <w:rPr>
                <w:sz w:val="18"/>
              </w:rPr>
            </w:pPr>
            <w:r>
              <w:rPr>
                <w:sz w:val="18"/>
              </w:rPr>
              <w:t>25</w:t>
            </w:r>
          </w:p>
        </w:tc>
        <w:tc>
          <w:tcPr>
            <w:tcW w:w="1276" w:type="dxa"/>
          </w:tcPr>
          <w:p>
            <w:pPr>
              <w:pStyle w:val="yMiscellaneousBody"/>
              <w:rPr>
                <w:sz w:val="18"/>
              </w:rPr>
            </w:pPr>
            <w:r>
              <w:rPr>
                <w:sz w:val="18"/>
              </w:rPr>
              <w:t>12.20</w:t>
            </w:r>
          </w:p>
        </w:tc>
        <w:tc>
          <w:tcPr>
            <w:tcW w:w="1134" w:type="dxa"/>
          </w:tcPr>
          <w:p>
            <w:pPr>
              <w:pStyle w:val="yMiscellaneousBody"/>
              <w:rPr>
                <w:sz w:val="18"/>
              </w:rPr>
            </w:pPr>
            <w:r>
              <w:rPr>
                <w:sz w:val="18"/>
              </w:rPr>
              <w:t>24.40</w:t>
            </w:r>
          </w:p>
        </w:tc>
        <w:tc>
          <w:tcPr>
            <w:tcW w:w="1276" w:type="dxa"/>
          </w:tcPr>
          <w:p>
            <w:pPr>
              <w:pStyle w:val="yMiscellaneousBody"/>
              <w:rPr>
                <w:sz w:val="18"/>
              </w:rPr>
            </w:pPr>
            <w:r>
              <w:rPr>
                <w:sz w:val="18"/>
              </w:rPr>
              <w:t>61.00</w:t>
            </w:r>
          </w:p>
        </w:tc>
        <w:tc>
          <w:tcPr>
            <w:tcW w:w="1134" w:type="dxa"/>
          </w:tcPr>
          <w:p>
            <w:pPr>
              <w:pStyle w:val="yMiscellaneousBody"/>
              <w:rPr>
                <w:sz w:val="18"/>
              </w:rPr>
            </w:pPr>
            <w:r>
              <w:rPr>
                <w:sz w:val="18"/>
              </w:rPr>
              <w:t>122.00</w:t>
            </w:r>
          </w:p>
        </w:tc>
      </w:tr>
      <w:tr>
        <w:tc>
          <w:tcPr>
            <w:tcW w:w="1276" w:type="dxa"/>
          </w:tcPr>
          <w:p>
            <w:pPr>
              <w:pStyle w:val="yMiscellaneousBody"/>
              <w:rPr>
                <w:sz w:val="18"/>
              </w:rPr>
            </w:pPr>
            <w:r>
              <w:rPr>
                <w:sz w:val="18"/>
              </w:rPr>
              <w:t>System 7</w:t>
            </w:r>
          </w:p>
        </w:tc>
        <w:tc>
          <w:tcPr>
            <w:tcW w:w="850" w:type="dxa"/>
          </w:tcPr>
          <w:p>
            <w:pPr>
              <w:pStyle w:val="yMiscellaneousBody"/>
              <w:rPr>
                <w:sz w:val="18"/>
              </w:rPr>
            </w:pPr>
            <w:r>
              <w:rPr>
                <w:sz w:val="18"/>
              </w:rPr>
              <w:t>7</w:t>
            </w:r>
          </w:p>
        </w:tc>
        <w:tc>
          <w:tcPr>
            <w:tcW w:w="1276" w:type="dxa"/>
          </w:tcPr>
          <w:p>
            <w:pPr>
              <w:pStyle w:val="yMiscellaneousBody"/>
              <w:rPr>
                <w:sz w:val="18"/>
              </w:rPr>
            </w:pPr>
            <w:r>
              <w:rPr>
                <w:sz w:val="18"/>
              </w:rPr>
              <w:t>3.40</w:t>
            </w:r>
          </w:p>
        </w:tc>
        <w:tc>
          <w:tcPr>
            <w:tcW w:w="1134" w:type="dxa"/>
          </w:tcPr>
          <w:p>
            <w:pPr>
              <w:pStyle w:val="yMiscellaneousBody"/>
              <w:rPr>
                <w:sz w:val="18"/>
              </w:rPr>
            </w:pPr>
            <w:r>
              <w:rPr>
                <w:sz w:val="18"/>
              </w:rPr>
              <w:t>6.80</w:t>
            </w:r>
          </w:p>
        </w:tc>
        <w:tc>
          <w:tcPr>
            <w:tcW w:w="1276" w:type="dxa"/>
          </w:tcPr>
          <w:p>
            <w:pPr>
              <w:pStyle w:val="yMiscellaneousBody"/>
              <w:rPr>
                <w:sz w:val="18"/>
              </w:rPr>
            </w:pPr>
            <w:r>
              <w:rPr>
                <w:sz w:val="18"/>
              </w:rPr>
              <w:t>17.00</w:t>
            </w:r>
          </w:p>
        </w:tc>
        <w:tc>
          <w:tcPr>
            <w:tcW w:w="1134" w:type="dxa"/>
          </w:tcPr>
          <w:p>
            <w:pPr>
              <w:pStyle w:val="yMiscellaneousBody"/>
              <w:rPr>
                <w:sz w:val="18"/>
              </w:rPr>
            </w:pPr>
            <w:r>
              <w:rPr>
                <w:sz w:val="18"/>
              </w:rPr>
              <w:t>34.00</w:t>
            </w:r>
          </w:p>
        </w:tc>
      </w:tr>
      <w:tr>
        <w:tc>
          <w:tcPr>
            <w:tcW w:w="1276" w:type="dxa"/>
          </w:tcPr>
          <w:p>
            <w:pPr>
              <w:pStyle w:val="yMiscellaneousBody"/>
              <w:rPr>
                <w:sz w:val="18"/>
              </w:rPr>
            </w:pPr>
            <w:r>
              <w:rPr>
                <w:sz w:val="18"/>
              </w:rPr>
              <w:t>System 8</w:t>
            </w:r>
          </w:p>
        </w:tc>
        <w:tc>
          <w:tcPr>
            <w:tcW w:w="850" w:type="dxa"/>
          </w:tcPr>
          <w:p>
            <w:pPr>
              <w:pStyle w:val="yMiscellaneousBody"/>
              <w:rPr>
                <w:sz w:val="18"/>
              </w:rPr>
            </w:pPr>
            <w:r>
              <w:rPr>
                <w:sz w:val="18"/>
              </w:rPr>
              <w:t>28</w:t>
            </w:r>
          </w:p>
        </w:tc>
        <w:tc>
          <w:tcPr>
            <w:tcW w:w="1276" w:type="dxa"/>
          </w:tcPr>
          <w:p>
            <w:pPr>
              <w:pStyle w:val="yMiscellaneousBody"/>
              <w:rPr>
                <w:sz w:val="18"/>
              </w:rPr>
            </w:pPr>
            <w:r>
              <w:rPr>
                <w:sz w:val="18"/>
              </w:rPr>
              <w:t>13.70</w:t>
            </w:r>
          </w:p>
        </w:tc>
        <w:tc>
          <w:tcPr>
            <w:tcW w:w="1134" w:type="dxa"/>
          </w:tcPr>
          <w:p>
            <w:pPr>
              <w:pStyle w:val="yMiscellaneousBody"/>
              <w:rPr>
                <w:sz w:val="18"/>
              </w:rPr>
            </w:pPr>
            <w:r>
              <w:rPr>
                <w:sz w:val="18"/>
              </w:rPr>
              <w:t>27.40</w:t>
            </w:r>
          </w:p>
        </w:tc>
        <w:tc>
          <w:tcPr>
            <w:tcW w:w="1276" w:type="dxa"/>
          </w:tcPr>
          <w:p>
            <w:pPr>
              <w:pStyle w:val="yMiscellaneousBody"/>
              <w:rPr>
                <w:sz w:val="18"/>
              </w:rPr>
            </w:pPr>
            <w:r>
              <w:rPr>
                <w:sz w:val="18"/>
              </w:rPr>
              <w:t>68.50</w:t>
            </w:r>
          </w:p>
        </w:tc>
        <w:tc>
          <w:tcPr>
            <w:tcW w:w="1134" w:type="dxa"/>
          </w:tcPr>
          <w:p>
            <w:pPr>
              <w:pStyle w:val="yMiscellaneousBody"/>
              <w:rPr>
                <w:sz w:val="18"/>
              </w:rPr>
            </w:pPr>
            <w:r>
              <w:rPr>
                <w:sz w:val="18"/>
              </w:rPr>
              <w:t>137.00</w:t>
            </w:r>
          </w:p>
        </w:tc>
      </w:tr>
      <w:tr>
        <w:tc>
          <w:tcPr>
            <w:tcW w:w="1276" w:type="dxa"/>
          </w:tcPr>
          <w:p>
            <w:pPr>
              <w:pStyle w:val="yMiscellaneousBody"/>
              <w:rPr>
                <w:sz w:val="18"/>
              </w:rPr>
            </w:pPr>
            <w:r>
              <w:rPr>
                <w:sz w:val="18"/>
              </w:rPr>
              <w:t>System 9</w:t>
            </w:r>
          </w:p>
        </w:tc>
        <w:tc>
          <w:tcPr>
            <w:tcW w:w="850" w:type="dxa"/>
          </w:tcPr>
          <w:p>
            <w:pPr>
              <w:pStyle w:val="yMiscellaneousBody"/>
              <w:rPr>
                <w:sz w:val="18"/>
              </w:rPr>
            </w:pPr>
            <w:r>
              <w:rPr>
                <w:sz w:val="18"/>
              </w:rPr>
              <w:t>84</w:t>
            </w:r>
          </w:p>
        </w:tc>
        <w:tc>
          <w:tcPr>
            <w:tcW w:w="1276" w:type="dxa"/>
          </w:tcPr>
          <w:p>
            <w:pPr>
              <w:pStyle w:val="yMiscellaneousBody"/>
              <w:rPr>
                <w:sz w:val="18"/>
              </w:rPr>
            </w:pPr>
            <w:r>
              <w:rPr>
                <w:sz w:val="18"/>
              </w:rPr>
              <w:t>41.00</w:t>
            </w:r>
          </w:p>
        </w:tc>
        <w:tc>
          <w:tcPr>
            <w:tcW w:w="1134" w:type="dxa"/>
          </w:tcPr>
          <w:p>
            <w:pPr>
              <w:pStyle w:val="yMiscellaneousBody"/>
              <w:rPr>
                <w:sz w:val="18"/>
              </w:rPr>
            </w:pPr>
            <w:r>
              <w:rPr>
                <w:sz w:val="18"/>
              </w:rPr>
              <w:t>82.00</w:t>
            </w:r>
          </w:p>
        </w:tc>
        <w:tc>
          <w:tcPr>
            <w:tcW w:w="1276" w:type="dxa"/>
          </w:tcPr>
          <w:p>
            <w:pPr>
              <w:pStyle w:val="yMiscellaneousBody"/>
              <w:rPr>
                <w:sz w:val="18"/>
              </w:rPr>
            </w:pPr>
            <w:r>
              <w:rPr>
                <w:sz w:val="18"/>
              </w:rPr>
              <w:t>205.00</w:t>
            </w:r>
          </w:p>
        </w:tc>
        <w:tc>
          <w:tcPr>
            <w:tcW w:w="1134" w:type="dxa"/>
          </w:tcPr>
          <w:p>
            <w:pPr>
              <w:pStyle w:val="yMiscellaneousBody"/>
              <w:rPr>
                <w:sz w:val="18"/>
              </w:rPr>
            </w:pPr>
            <w:r>
              <w:rPr>
                <w:sz w:val="18"/>
              </w:rPr>
              <w:t>410.00</w:t>
            </w:r>
          </w:p>
        </w:tc>
      </w:tr>
      <w:tr>
        <w:tc>
          <w:tcPr>
            <w:tcW w:w="1276" w:type="dxa"/>
          </w:tcPr>
          <w:p>
            <w:pPr>
              <w:pStyle w:val="yMiscellaneousBody"/>
              <w:rPr>
                <w:sz w:val="18"/>
              </w:rPr>
            </w:pPr>
            <w:r>
              <w:rPr>
                <w:sz w:val="18"/>
              </w:rPr>
              <w:t>System 10</w:t>
            </w:r>
          </w:p>
        </w:tc>
        <w:tc>
          <w:tcPr>
            <w:tcW w:w="850" w:type="dxa"/>
          </w:tcPr>
          <w:p>
            <w:pPr>
              <w:pStyle w:val="yMiscellaneousBody"/>
              <w:rPr>
                <w:sz w:val="18"/>
              </w:rPr>
            </w:pPr>
            <w:r>
              <w:rPr>
                <w:sz w:val="18"/>
              </w:rPr>
              <w:t>210</w:t>
            </w:r>
          </w:p>
        </w:tc>
        <w:tc>
          <w:tcPr>
            <w:tcW w:w="1276" w:type="dxa"/>
          </w:tcPr>
          <w:p>
            <w:pPr>
              <w:pStyle w:val="yMiscellaneousBody"/>
              <w:rPr>
                <w:sz w:val="18"/>
              </w:rPr>
            </w:pPr>
            <w:r>
              <w:rPr>
                <w:sz w:val="18"/>
              </w:rPr>
              <w:t>103.00</w:t>
            </w:r>
          </w:p>
        </w:tc>
        <w:tc>
          <w:tcPr>
            <w:tcW w:w="1134" w:type="dxa"/>
          </w:tcPr>
          <w:p>
            <w:pPr>
              <w:pStyle w:val="yMiscellaneousBody"/>
              <w:rPr>
                <w:sz w:val="18"/>
              </w:rPr>
            </w:pPr>
            <w:r>
              <w:rPr>
                <w:sz w:val="18"/>
              </w:rPr>
              <w:t>206.00</w:t>
            </w:r>
          </w:p>
        </w:tc>
        <w:tc>
          <w:tcPr>
            <w:tcW w:w="1276" w:type="dxa"/>
          </w:tcPr>
          <w:p>
            <w:pPr>
              <w:pStyle w:val="yMiscellaneousBody"/>
              <w:rPr>
                <w:sz w:val="18"/>
              </w:rPr>
            </w:pPr>
            <w:r>
              <w:rPr>
                <w:sz w:val="18"/>
              </w:rPr>
              <w:t>515.00</w:t>
            </w:r>
          </w:p>
        </w:tc>
        <w:tc>
          <w:tcPr>
            <w:tcW w:w="1134" w:type="dxa"/>
          </w:tcPr>
          <w:p>
            <w:pPr>
              <w:pStyle w:val="yMiscellaneousBody"/>
              <w:rPr>
                <w:sz w:val="18"/>
              </w:rPr>
            </w:pPr>
            <w:r>
              <w:rPr>
                <w:sz w:val="18"/>
              </w:rPr>
              <w:t>1 030.00</w:t>
            </w:r>
          </w:p>
        </w:tc>
      </w:tr>
      <w:tr>
        <w:tc>
          <w:tcPr>
            <w:tcW w:w="1276" w:type="dxa"/>
          </w:tcPr>
          <w:p>
            <w:pPr>
              <w:pStyle w:val="yMiscellaneousBody"/>
              <w:rPr>
                <w:sz w:val="18"/>
              </w:rPr>
            </w:pPr>
            <w:r>
              <w:rPr>
                <w:sz w:val="18"/>
              </w:rPr>
              <w:t>System 11</w:t>
            </w:r>
          </w:p>
        </w:tc>
        <w:tc>
          <w:tcPr>
            <w:tcW w:w="850" w:type="dxa"/>
          </w:tcPr>
          <w:p>
            <w:pPr>
              <w:pStyle w:val="yMiscellaneousBody"/>
              <w:rPr>
                <w:sz w:val="18"/>
              </w:rPr>
            </w:pPr>
            <w:r>
              <w:rPr>
                <w:sz w:val="18"/>
              </w:rPr>
              <w:t>462</w:t>
            </w:r>
          </w:p>
        </w:tc>
        <w:tc>
          <w:tcPr>
            <w:tcW w:w="1276" w:type="dxa"/>
          </w:tcPr>
          <w:p>
            <w:pPr>
              <w:pStyle w:val="yMiscellaneousBody"/>
              <w:rPr>
                <w:sz w:val="18"/>
              </w:rPr>
            </w:pPr>
            <w:r>
              <w:rPr>
                <w:sz w:val="18"/>
              </w:rPr>
              <w:t>226.00</w:t>
            </w:r>
          </w:p>
        </w:tc>
        <w:tc>
          <w:tcPr>
            <w:tcW w:w="1134" w:type="dxa"/>
          </w:tcPr>
          <w:p>
            <w:pPr>
              <w:pStyle w:val="yMiscellaneousBody"/>
              <w:rPr>
                <w:sz w:val="18"/>
              </w:rPr>
            </w:pPr>
            <w:r>
              <w:rPr>
                <w:sz w:val="18"/>
              </w:rPr>
              <w:t>452.00</w:t>
            </w:r>
          </w:p>
        </w:tc>
        <w:tc>
          <w:tcPr>
            <w:tcW w:w="1276" w:type="dxa"/>
          </w:tcPr>
          <w:p>
            <w:pPr>
              <w:pStyle w:val="yMiscellaneousBody"/>
              <w:rPr>
                <w:sz w:val="18"/>
              </w:rPr>
            </w:pPr>
            <w:r>
              <w:rPr>
                <w:sz w:val="18"/>
              </w:rPr>
              <w:t>1 130.00</w:t>
            </w:r>
          </w:p>
        </w:tc>
        <w:tc>
          <w:tcPr>
            <w:tcW w:w="1134" w:type="dxa"/>
          </w:tcPr>
          <w:p>
            <w:pPr>
              <w:pStyle w:val="yMiscellaneousBody"/>
              <w:rPr>
                <w:sz w:val="18"/>
              </w:rPr>
            </w:pPr>
            <w:r>
              <w:rPr>
                <w:sz w:val="18"/>
              </w:rPr>
              <w:t>2 260.00</w:t>
            </w:r>
          </w:p>
        </w:tc>
      </w:tr>
      <w:tr>
        <w:tc>
          <w:tcPr>
            <w:tcW w:w="1276" w:type="dxa"/>
          </w:tcPr>
          <w:p>
            <w:pPr>
              <w:pStyle w:val="yMiscellaneousBody"/>
              <w:rPr>
                <w:sz w:val="18"/>
              </w:rPr>
            </w:pPr>
            <w:r>
              <w:rPr>
                <w:sz w:val="18"/>
              </w:rPr>
              <w:t>System 12</w:t>
            </w:r>
          </w:p>
        </w:tc>
        <w:tc>
          <w:tcPr>
            <w:tcW w:w="850" w:type="dxa"/>
          </w:tcPr>
          <w:p>
            <w:pPr>
              <w:pStyle w:val="yMiscellaneousBody"/>
              <w:rPr>
                <w:sz w:val="18"/>
              </w:rPr>
            </w:pPr>
            <w:r>
              <w:rPr>
                <w:sz w:val="18"/>
              </w:rPr>
              <w:t>924</w:t>
            </w:r>
          </w:p>
        </w:tc>
        <w:tc>
          <w:tcPr>
            <w:tcW w:w="1276" w:type="dxa"/>
          </w:tcPr>
          <w:p>
            <w:pPr>
              <w:pStyle w:val="yMiscellaneousBody"/>
              <w:rPr>
                <w:sz w:val="18"/>
              </w:rPr>
            </w:pPr>
            <w:r>
              <w:rPr>
                <w:sz w:val="18"/>
              </w:rPr>
              <w:t>453.00</w:t>
            </w:r>
          </w:p>
        </w:tc>
        <w:tc>
          <w:tcPr>
            <w:tcW w:w="1134" w:type="dxa"/>
          </w:tcPr>
          <w:p>
            <w:pPr>
              <w:pStyle w:val="yMiscellaneousBody"/>
              <w:rPr>
                <w:sz w:val="18"/>
              </w:rPr>
            </w:pPr>
            <w:r>
              <w:rPr>
                <w:sz w:val="18"/>
              </w:rPr>
              <w:t>906.00</w:t>
            </w:r>
          </w:p>
        </w:tc>
        <w:tc>
          <w:tcPr>
            <w:tcW w:w="1276" w:type="dxa"/>
          </w:tcPr>
          <w:p>
            <w:pPr>
              <w:pStyle w:val="yMiscellaneousBody"/>
              <w:rPr>
                <w:sz w:val="18"/>
              </w:rPr>
            </w:pPr>
            <w:r>
              <w:rPr>
                <w:sz w:val="18"/>
              </w:rPr>
              <w:t>2 265.00</w:t>
            </w:r>
          </w:p>
        </w:tc>
        <w:tc>
          <w:tcPr>
            <w:tcW w:w="1134" w:type="dxa"/>
          </w:tcPr>
          <w:p>
            <w:pPr>
              <w:pStyle w:val="yMiscellaneousBody"/>
              <w:rPr>
                <w:sz w:val="18"/>
              </w:rPr>
            </w:pPr>
            <w:r>
              <w:rPr>
                <w:sz w:val="18"/>
              </w:rPr>
              <w:t>4 530.00</w:t>
            </w:r>
          </w:p>
        </w:tc>
      </w:tr>
      <w:tr>
        <w:tc>
          <w:tcPr>
            <w:tcW w:w="1276" w:type="dxa"/>
          </w:tcPr>
          <w:p>
            <w:pPr>
              <w:pStyle w:val="yMiscellaneousBody"/>
              <w:rPr>
                <w:sz w:val="18"/>
              </w:rPr>
            </w:pPr>
            <w:r>
              <w:rPr>
                <w:sz w:val="18"/>
              </w:rPr>
              <w:t>System 13</w:t>
            </w:r>
          </w:p>
        </w:tc>
        <w:tc>
          <w:tcPr>
            <w:tcW w:w="850" w:type="dxa"/>
          </w:tcPr>
          <w:p>
            <w:pPr>
              <w:pStyle w:val="yMiscellaneousBody"/>
              <w:rPr>
                <w:sz w:val="18"/>
              </w:rPr>
            </w:pPr>
            <w:r>
              <w:rPr>
                <w:sz w:val="18"/>
              </w:rPr>
              <w:t>1 716</w:t>
            </w:r>
          </w:p>
        </w:tc>
        <w:tc>
          <w:tcPr>
            <w:tcW w:w="1276" w:type="dxa"/>
          </w:tcPr>
          <w:p>
            <w:pPr>
              <w:pStyle w:val="yMiscellaneousBody"/>
              <w:rPr>
                <w:sz w:val="18"/>
              </w:rPr>
            </w:pPr>
            <w:r>
              <w:rPr>
                <w:sz w:val="18"/>
              </w:rPr>
              <w:t>842.00</w:t>
            </w:r>
          </w:p>
        </w:tc>
        <w:tc>
          <w:tcPr>
            <w:tcW w:w="1134" w:type="dxa"/>
          </w:tcPr>
          <w:p>
            <w:pPr>
              <w:pStyle w:val="yMiscellaneousBody"/>
              <w:rPr>
                <w:sz w:val="18"/>
              </w:rPr>
            </w:pPr>
            <w:r>
              <w:rPr>
                <w:sz w:val="18"/>
              </w:rPr>
              <w:t>1 684.00</w:t>
            </w:r>
          </w:p>
        </w:tc>
        <w:tc>
          <w:tcPr>
            <w:tcW w:w="1276" w:type="dxa"/>
          </w:tcPr>
          <w:p>
            <w:pPr>
              <w:pStyle w:val="yMiscellaneousBody"/>
              <w:rPr>
                <w:sz w:val="18"/>
              </w:rPr>
            </w:pPr>
            <w:r>
              <w:rPr>
                <w:sz w:val="18"/>
              </w:rPr>
              <w:t>4 210.00</w:t>
            </w:r>
          </w:p>
        </w:tc>
        <w:tc>
          <w:tcPr>
            <w:tcW w:w="1134" w:type="dxa"/>
          </w:tcPr>
          <w:p>
            <w:pPr>
              <w:pStyle w:val="yMiscellaneousBody"/>
              <w:rPr>
                <w:sz w:val="18"/>
              </w:rPr>
            </w:pPr>
            <w:r>
              <w:rPr>
                <w:sz w:val="18"/>
              </w:rPr>
              <w:t>8 420.00</w:t>
            </w:r>
          </w:p>
        </w:tc>
      </w:tr>
      <w:tr>
        <w:tc>
          <w:tcPr>
            <w:tcW w:w="1276" w:type="dxa"/>
          </w:tcPr>
          <w:p>
            <w:pPr>
              <w:pStyle w:val="yMiscellaneousBody"/>
              <w:rPr>
                <w:sz w:val="18"/>
              </w:rPr>
            </w:pPr>
            <w:r>
              <w:rPr>
                <w:sz w:val="18"/>
              </w:rPr>
              <w:t>System 14</w:t>
            </w:r>
          </w:p>
        </w:tc>
        <w:tc>
          <w:tcPr>
            <w:tcW w:w="850" w:type="dxa"/>
          </w:tcPr>
          <w:p>
            <w:pPr>
              <w:pStyle w:val="yMiscellaneousBody"/>
              <w:rPr>
                <w:sz w:val="18"/>
              </w:rPr>
            </w:pPr>
            <w:r>
              <w:rPr>
                <w:sz w:val="18"/>
              </w:rPr>
              <w:t>3 003</w:t>
            </w:r>
          </w:p>
        </w:tc>
        <w:tc>
          <w:tcPr>
            <w:tcW w:w="1276" w:type="dxa"/>
          </w:tcPr>
          <w:p>
            <w:pPr>
              <w:pStyle w:val="yMiscellaneousBody"/>
              <w:rPr>
                <w:sz w:val="18"/>
              </w:rPr>
            </w:pPr>
            <w:r>
              <w:rPr>
                <w:sz w:val="18"/>
              </w:rPr>
              <w:t>1 473.00</w:t>
            </w:r>
          </w:p>
        </w:tc>
        <w:tc>
          <w:tcPr>
            <w:tcW w:w="1134" w:type="dxa"/>
          </w:tcPr>
          <w:p>
            <w:pPr>
              <w:pStyle w:val="yMiscellaneousBody"/>
              <w:rPr>
                <w:sz w:val="18"/>
              </w:rPr>
            </w:pPr>
            <w:r>
              <w:rPr>
                <w:sz w:val="18"/>
              </w:rPr>
              <w:t>2 946.00</w:t>
            </w:r>
          </w:p>
        </w:tc>
        <w:tc>
          <w:tcPr>
            <w:tcW w:w="1276" w:type="dxa"/>
          </w:tcPr>
          <w:p>
            <w:pPr>
              <w:pStyle w:val="yMiscellaneousBody"/>
              <w:rPr>
                <w:sz w:val="18"/>
              </w:rPr>
            </w:pPr>
            <w:r>
              <w:rPr>
                <w:sz w:val="18"/>
              </w:rPr>
              <w:t>7 365.00</w:t>
            </w:r>
          </w:p>
        </w:tc>
        <w:tc>
          <w:tcPr>
            <w:tcW w:w="1134" w:type="dxa"/>
          </w:tcPr>
          <w:p>
            <w:pPr>
              <w:pStyle w:val="yMiscellaneousBody"/>
              <w:rPr>
                <w:sz w:val="18"/>
              </w:rPr>
            </w:pPr>
            <w:r>
              <w:rPr>
                <w:sz w:val="18"/>
              </w:rPr>
              <w:t>14 730.00</w:t>
            </w:r>
          </w:p>
        </w:tc>
      </w:tr>
      <w:tr>
        <w:tc>
          <w:tcPr>
            <w:tcW w:w="1276" w:type="dxa"/>
          </w:tcPr>
          <w:p>
            <w:pPr>
              <w:pStyle w:val="yMiscellaneousBody"/>
              <w:rPr>
                <w:sz w:val="18"/>
              </w:rPr>
            </w:pPr>
            <w:r>
              <w:rPr>
                <w:sz w:val="18"/>
              </w:rPr>
              <w:t>System 15</w:t>
            </w:r>
          </w:p>
        </w:tc>
        <w:tc>
          <w:tcPr>
            <w:tcW w:w="850" w:type="dxa"/>
          </w:tcPr>
          <w:p>
            <w:pPr>
              <w:pStyle w:val="yMiscellaneousBody"/>
              <w:rPr>
                <w:sz w:val="18"/>
              </w:rPr>
            </w:pPr>
            <w:r>
              <w:rPr>
                <w:sz w:val="18"/>
              </w:rPr>
              <w:t>5 005</w:t>
            </w:r>
          </w:p>
        </w:tc>
        <w:tc>
          <w:tcPr>
            <w:tcW w:w="1276" w:type="dxa"/>
          </w:tcPr>
          <w:p>
            <w:pPr>
              <w:pStyle w:val="yMiscellaneousBody"/>
              <w:rPr>
                <w:sz w:val="18"/>
              </w:rPr>
            </w:pPr>
            <w:r>
              <w:rPr>
                <w:sz w:val="18"/>
              </w:rPr>
              <w:t>2 455.00</w:t>
            </w:r>
          </w:p>
        </w:tc>
        <w:tc>
          <w:tcPr>
            <w:tcW w:w="1134" w:type="dxa"/>
          </w:tcPr>
          <w:p>
            <w:pPr>
              <w:pStyle w:val="yMiscellaneousBody"/>
              <w:rPr>
                <w:sz w:val="18"/>
              </w:rPr>
            </w:pPr>
            <w:r>
              <w:rPr>
                <w:sz w:val="18"/>
              </w:rPr>
              <w:t>4 910.00</w:t>
            </w:r>
          </w:p>
        </w:tc>
        <w:tc>
          <w:tcPr>
            <w:tcW w:w="1276" w:type="dxa"/>
          </w:tcPr>
          <w:p>
            <w:pPr>
              <w:pStyle w:val="yMiscellaneousBody"/>
              <w:rPr>
                <w:sz w:val="18"/>
              </w:rPr>
            </w:pPr>
            <w:r>
              <w:rPr>
                <w:sz w:val="18"/>
              </w:rPr>
              <w:t>12 275.00</w:t>
            </w:r>
          </w:p>
        </w:tc>
        <w:tc>
          <w:tcPr>
            <w:tcW w:w="1134" w:type="dxa"/>
          </w:tcPr>
          <w:p>
            <w:pPr>
              <w:pStyle w:val="yMiscellaneousBody"/>
              <w:rPr>
                <w:sz w:val="18"/>
              </w:rPr>
            </w:pPr>
            <w:r>
              <w:rPr>
                <w:sz w:val="18"/>
              </w:rPr>
              <w:t>24 550.00</w:t>
            </w:r>
          </w:p>
        </w:tc>
      </w:tr>
      <w:tr>
        <w:tc>
          <w:tcPr>
            <w:tcW w:w="1276" w:type="dxa"/>
          </w:tcPr>
          <w:p>
            <w:pPr>
              <w:pStyle w:val="yMiscellaneousBody"/>
              <w:rPr>
                <w:sz w:val="18"/>
              </w:rPr>
            </w:pPr>
            <w:r>
              <w:rPr>
                <w:sz w:val="18"/>
              </w:rPr>
              <w:t>System 16</w:t>
            </w:r>
          </w:p>
        </w:tc>
        <w:tc>
          <w:tcPr>
            <w:tcW w:w="850" w:type="dxa"/>
          </w:tcPr>
          <w:p>
            <w:pPr>
              <w:pStyle w:val="yMiscellaneousBody"/>
              <w:rPr>
                <w:sz w:val="18"/>
              </w:rPr>
            </w:pPr>
            <w:r>
              <w:rPr>
                <w:sz w:val="18"/>
              </w:rPr>
              <w:t>8 008</w:t>
            </w:r>
          </w:p>
        </w:tc>
        <w:tc>
          <w:tcPr>
            <w:tcW w:w="1276" w:type="dxa"/>
          </w:tcPr>
          <w:p>
            <w:pPr>
              <w:pStyle w:val="yMiscellaneousBody"/>
              <w:rPr>
                <w:sz w:val="18"/>
              </w:rPr>
            </w:pPr>
            <w:r>
              <w:rPr>
                <w:sz w:val="18"/>
              </w:rPr>
              <w:t>3 930.00</w:t>
            </w:r>
          </w:p>
        </w:tc>
        <w:tc>
          <w:tcPr>
            <w:tcW w:w="1134" w:type="dxa"/>
          </w:tcPr>
          <w:p>
            <w:pPr>
              <w:pStyle w:val="yMiscellaneousBody"/>
              <w:rPr>
                <w:sz w:val="18"/>
              </w:rPr>
            </w:pPr>
            <w:r>
              <w:rPr>
                <w:sz w:val="18"/>
              </w:rPr>
              <w:t>7 860.00</w:t>
            </w:r>
          </w:p>
        </w:tc>
        <w:tc>
          <w:tcPr>
            <w:tcW w:w="1276" w:type="dxa"/>
          </w:tcPr>
          <w:p>
            <w:pPr>
              <w:pStyle w:val="yMiscellaneousBody"/>
              <w:rPr>
                <w:sz w:val="18"/>
              </w:rPr>
            </w:pPr>
            <w:r>
              <w:rPr>
                <w:sz w:val="18"/>
              </w:rPr>
              <w:t>19 650.00</w:t>
            </w:r>
          </w:p>
        </w:tc>
        <w:tc>
          <w:tcPr>
            <w:tcW w:w="1134" w:type="dxa"/>
          </w:tcPr>
          <w:p>
            <w:pPr>
              <w:pStyle w:val="yMiscellaneousBody"/>
              <w:rPr>
                <w:sz w:val="18"/>
              </w:rPr>
            </w:pPr>
            <w:r>
              <w:rPr>
                <w:sz w:val="18"/>
              </w:rPr>
              <w:t>39 300.00</w:t>
            </w:r>
          </w:p>
        </w:tc>
      </w:tr>
      <w:tr>
        <w:tc>
          <w:tcPr>
            <w:tcW w:w="1276" w:type="dxa"/>
          </w:tcPr>
          <w:p>
            <w:pPr>
              <w:pStyle w:val="yMiscellaneousBody"/>
              <w:rPr>
                <w:sz w:val="18"/>
              </w:rPr>
            </w:pPr>
            <w:r>
              <w:rPr>
                <w:sz w:val="18"/>
              </w:rPr>
              <w:t>System 17</w:t>
            </w:r>
          </w:p>
        </w:tc>
        <w:tc>
          <w:tcPr>
            <w:tcW w:w="850" w:type="dxa"/>
          </w:tcPr>
          <w:p>
            <w:pPr>
              <w:pStyle w:val="yMiscellaneousBody"/>
              <w:rPr>
                <w:sz w:val="18"/>
              </w:rPr>
            </w:pPr>
            <w:r>
              <w:rPr>
                <w:sz w:val="18"/>
              </w:rPr>
              <w:t>12 376</w:t>
            </w:r>
          </w:p>
        </w:tc>
        <w:tc>
          <w:tcPr>
            <w:tcW w:w="1276" w:type="dxa"/>
          </w:tcPr>
          <w:p>
            <w:pPr>
              <w:pStyle w:val="yMiscellaneousBody"/>
              <w:rPr>
                <w:sz w:val="18"/>
              </w:rPr>
            </w:pPr>
            <w:r>
              <w:rPr>
                <w:sz w:val="18"/>
              </w:rPr>
              <w:t>6 070.00</w:t>
            </w:r>
          </w:p>
        </w:tc>
        <w:tc>
          <w:tcPr>
            <w:tcW w:w="1134" w:type="dxa"/>
          </w:tcPr>
          <w:p>
            <w:pPr>
              <w:pStyle w:val="yMiscellaneousBody"/>
              <w:rPr>
                <w:sz w:val="18"/>
              </w:rPr>
            </w:pPr>
            <w:r>
              <w:rPr>
                <w:sz w:val="18"/>
              </w:rPr>
              <w:t>12 140.00</w:t>
            </w:r>
          </w:p>
        </w:tc>
        <w:tc>
          <w:tcPr>
            <w:tcW w:w="1276" w:type="dxa"/>
          </w:tcPr>
          <w:p>
            <w:pPr>
              <w:pStyle w:val="yMiscellaneousBody"/>
              <w:rPr>
                <w:sz w:val="18"/>
              </w:rPr>
            </w:pPr>
            <w:r>
              <w:rPr>
                <w:sz w:val="18"/>
              </w:rPr>
              <w:t>30 350.00</w:t>
            </w:r>
          </w:p>
        </w:tc>
        <w:tc>
          <w:tcPr>
            <w:tcW w:w="1134" w:type="dxa"/>
          </w:tcPr>
          <w:p>
            <w:pPr>
              <w:pStyle w:val="yMiscellaneousBody"/>
              <w:rPr>
                <w:sz w:val="18"/>
              </w:rPr>
            </w:pPr>
            <w:r>
              <w:rPr>
                <w:sz w:val="18"/>
              </w:rPr>
              <w:t>60 700.00</w:t>
            </w:r>
          </w:p>
        </w:tc>
      </w:tr>
      <w:tr>
        <w:tc>
          <w:tcPr>
            <w:tcW w:w="1276" w:type="dxa"/>
          </w:tcPr>
          <w:p>
            <w:pPr>
              <w:pStyle w:val="yMiscellaneousBody"/>
              <w:rPr>
                <w:sz w:val="18"/>
              </w:rPr>
            </w:pPr>
            <w:r>
              <w:rPr>
                <w:sz w:val="18"/>
              </w:rPr>
              <w:t>System 18</w:t>
            </w:r>
          </w:p>
        </w:tc>
        <w:tc>
          <w:tcPr>
            <w:tcW w:w="850" w:type="dxa"/>
          </w:tcPr>
          <w:p>
            <w:pPr>
              <w:pStyle w:val="yMiscellaneousBody"/>
              <w:rPr>
                <w:sz w:val="18"/>
              </w:rPr>
            </w:pPr>
            <w:r>
              <w:rPr>
                <w:sz w:val="18"/>
              </w:rPr>
              <w:t>18 564</w:t>
            </w:r>
          </w:p>
        </w:tc>
        <w:tc>
          <w:tcPr>
            <w:tcW w:w="1276" w:type="dxa"/>
          </w:tcPr>
          <w:p>
            <w:pPr>
              <w:pStyle w:val="yMiscellaneousBody"/>
              <w:rPr>
                <w:sz w:val="18"/>
              </w:rPr>
            </w:pPr>
            <w:r>
              <w:rPr>
                <w:sz w:val="18"/>
              </w:rPr>
              <w:t>9 100.00</w:t>
            </w:r>
          </w:p>
        </w:tc>
        <w:tc>
          <w:tcPr>
            <w:tcW w:w="1134" w:type="dxa"/>
          </w:tcPr>
          <w:p>
            <w:pPr>
              <w:pStyle w:val="yMiscellaneousBody"/>
              <w:rPr>
                <w:sz w:val="18"/>
              </w:rPr>
            </w:pPr>
            <w:r>
              <w:rPr>
                <w:sz w:val="18"/>
              </w:rPr>
              <w:t>18 200.00</w:t>
            </w:r>
          </w:p>
        </w:tc>
        <w:tc>
          <w:tcPr>
            <w:tcW w:w="1276" w:type="dxa"/>
          </w:tcPr>
          <w:p>
            <w:pPr>
              <w:pStyle w:val="yMiscellaneousBody"/>
              <w:rPr>
                <w:sz w:val="18"/>
              </w:rPr>
            </w:pPr>
            <w:r>
              <w:rPr>
                <w:sz w:val="18"/>
              </w:rPr>
              <w:t>45 500.00</w:t>
            </w:r>
          </w:p>
        </w:tc>
        <w:tc>
          <w:tcPr>
            <w:tcW w:w="1134" w:type="dxa"/>
          </w:tcPr>
          <w:p>
            <w:pPr>
              <w:pStyle w:val="yMiscellaneousBody"/>
              <w:rPr>
                <w:sz w:val="18"/>
              </w:rPr>
            </w:pPr>
            <w:r>
              <w:rPr>
                <w:sz w:val="18"/>
              </w:rPr>
              <w:t>91 000.00</w:t>
            </w:r>
          </w:p>
        </w:tc>
      </w:tr>
      <w:tr>
        <w:tc>
          <w:tcPr>
            <w:tcW w:w="1276" w:type="dxa"/>
          </w:tcPr>
          <w:p>
            <w:pPr>
              <w:pStyle w:val="yMiscellaneousBody"/>
              <w:rPr>
                <w:sz w:val="18"/>
              </w:rPr>
            </w:pPr>
            <w:r>
              <w:rPr>
                <w:sz w:val="18"/>
              </w:rPr>
              <w:t>System 19</w:t>
            </w:r>
          </w:p>
        </w:tc>
        <w:tc>
          <w:tcPr>
            <w:tcW w:w="850" w:type="dxa"/>
          </w:tcPr>
          <w:p>
            <w:pPr>
              <w:pStyle w:val="yMiscellaneousBody"/>
              <w:rPr>
                <w:sz w:val="18"/>
              </w:rPr>
            </w:pPr>
            <w:r>
              <w:rPr>
                <w:sz w:val="18"/>
              </w:rPr>
              <w:t>27 132</w:t>
            </w:r>
          </w:p>
        </w:tc>
        <w:tc>
          <w:tcPr>
            <w:tcW w:w="1276" w:type="dxa"/>
          </w:tcPr>
          <w:p>
            <w:pPr>
              <w:pStyle w:val="yMiscellaneousBody"/>
              <w:rPr>
                <w:sz w:val="18"/>
              </w:rPr>
            </w:pPr>
            <w:r>
              <w:rPr>
                <w:sz w:val="18"/>
              </w:rPr>
              <w:t>13 300.00</w:t>
            </w:r>
          </w:p>
        </w:tc>
        <w:tc>
          <w:tcPr>
            <w:tcW w:w="1134" w:type="dxa"/>
          </w:tcPr>
          <w:p>
            <w:pPr>
              <w:pStyle w:val="yMiscellaneousBody"/>
              <w:rPr>
                <w:sz w:val="18"/>
              </w:rPr>
            </w:pPr>
            <w:r>
              <w:rPr>
                <w:sz w:val="18"/>
              </w:rPr>
              <w:t>26 600.00</w:t>
            </w:r>
          </w:p>
        </w:tc>
        <w:tc>
          <w:tcPr>
            <w:tcW w:w="1276" w:type="dxa"/>
          </w:tcPr>
          <w:p>
            <w:pPr>
              <w:pStyle w:val="yMiscellaneousBody"/>
              <w:rPr>
                <w:sz w:val="18"/>
              </w:rPr>
            </w:pPr>
            <w:r>
              <w:rPr>
                <w:sz w:val="18"/>
              </w:rPr>
              <w:t>66 500.00</w:t>
            </w:r>
          </w:p>
        </w:tc>
        <w:tc>
          <w:tcPr>
            <w:tcW w:w="1134" w:type="dxa"/>
          </w:tcPr>
          <w:p>
            <w:pPr>
              <w:pStyle w:val="yMiscellaneousBody"/>
              <w:rPr>
                <w:sz w:val="18"/>
              </w:rPr>
            </w:pPr>
            <w:r>
              <w:rPr>
                <w:sz w:val="18"/>
              </w:rPr>
              <w:t>NA</w:t>
            </w:r>
          </w:p>
        </w:tc>
      </w:tr>
      <w:tr>
        <w:tc>
          <w:tcPr>
            <w:tcW w:w="1276" w:type="dxa"/>
          </w:tcPr>
          <w:p>
            <w:pPr>
              <w:pStyle w:val="yMiscellaneousBody"/>
              <w:rPr>
                <w:sz w:val="18"/>
              </w:rPr>
            </w:pPr>
            <w:r>
              <w:rPr>
                <w:sz w:val="18"/>
              </w:rPr>
              <w:t>System 20</w:t>
            </w:r>
          </w:p>
        </w:tc>
        <w:tc>
          <w:tcPr>
            <w:tcW w:w="850" w:type="dxa"/>
          </w:tcPr>
          <w:p>
            <w:pPr>
              <w:pStyle w:val="yMiscellaneousBody"/>
              <w:rPr>
                <w:sz w:val="18"/>
              </w:rPr>
            </w:pPr>
            <w:r>
              <w:rPr>
                <w:sz w:val="18"/>
              </w:rPr>
              <w:t>38 760</w:t>
            </w:r>
          </w:p>
        </w:tc>
        <w:tc>
          <w:tcPr>
            <w:tcW w:w="1276" w:type="dxa"/>
          </w:tcPr>
          <w:p>
            <w:pPr>
              <w:pStyle w:val="yMiscellaneousBody"/>
              <w:rPr>
                <w:sz w:val="18"/>
              </w:rPr>
            </w:pPr>
            <w:r>
              <w:rPr>
                <w:sz w:val="18"/>
              </w:rPr>
              <w:t>19 000.00</w:t>
            </w:r>
          </w:p>
        </w:tc>
        <w:tc>
          <w:tcPr>
            <w:tcW w:w="1134" w:type="dxa"/>
          </w:tcPr>
          <w:p>
            <w:pPr>
              <w:pStyle w:val="yMiscellaneousBody"/>
              <w:rPr>
                <w:sz w:val="18"/>
              </w:rPr>
            </w:pPr>
            <w:r>
              <w:rPr>
                <w:sz w:val="18"/>
              </w:rPr>
              <w:t>38 000.00</w:t>
            </w:r>
          </w:p>
        </w:tc>
        <w:tc>
          <w:tcPr>
            <w:tcW w:w="1276" w:type="dxa"/>
          </w:tcPr>
          <w:p>
            <w:pPr>
              <w:pStyle w:val="yMiscellaneousBody"/>
              <w:rPr>
                <w:sz w:val="18"/>
              </w:rPr>
            </w:pPr>
            <w:r>
              <w:rPr>
                <w:sz w:val="18"/>
              </w:rPr>
              <w:t>95 000.00</w:t>
            </w:r>
          </w:p>
        </w:tc>
        <w:tc>
          <w:tcPr>
            <w:tcW w:w="1134" w:type="dxa"/>
          </w:tcPr>
          <w:p>
            <w:pPr>
              <w:pStyle w:val="yMiscellaneousBody"/>
              <w:rPr>
                <w:sz w:val="18"/>
              </w:rPr>
            </w:pPr>
            <w:r>
              <w:rPr>
                <w:sz w:val="18"/>
              </w:rPr>
              <w:t>NA</w:t>
            </w:r>
          </w:p>
        </w:tc>
      </w:tr>
      <w:tr>
        <w:tc>
          <w:tcPr>
            <w:tcW w:w="1276" w:type="dxa"/>
          </w:tcPr>
          <w:p>
            <w:pPr>
              <w:pStyle w:val="yMiscellaneousBody"/>
              <w:rPr>
                <w:sz w:val="18"/>
              </w:rPr>
            </w:pPr>
            <w:r>
              <w:rPr>
                <w:sz w:val="18"/>
              </w:rPr>
              <w:t>System 4</w:t>
            </w:r>
          </w:p>
        </w:tc>
        <w:tc>
          <w:tcPr>
            <w:tcW w:w="850" w:type="dxa"/>
          </w:tcPr>
          <w:p>
            <w:pPr>
              <w:pStyle w:val="yMiscellaneousBody"/>
              <w:rPr>
                <w:sz w:val="18"/>
              </w:rPr>
            </w:pPr>
            <w:r>
              <w:rPr>
                <w:sz w:val="18"/>
              </w:rPr>
              <w:t>820</w:t>
            </w:r>
          </w:p>
        </w:tc>
        <w:tc>
          <w:tcPr>
            <w:tcW w:w="1276" w:type="dxa"/>
          </w:tcPr>
          <w:p>
            <w:pPr>
              <w:pStyle w:val="yMiscellaneousBody"/>
              <w:rPr>
                <w:sz w:val="18"/>
              </w:rPr>
            </w:pPr>
            <w:r>
              <w:rPr>
                <w:sz w:val="18"/>
              </w:rPr>
              <w:t>402.20</w:t>
            </w:r>
          </w:p>
        </w:tc>
        <w:tc>
          <w:tcPr>
            <w:tcW w:w="1134" w:type="dxa"/>
          </w:tcPr>
          <w:p>
            <w:pPr>
              <w:pStyle w:val="yMiscellaneousBody"/>
              <w:rPr>
                <w:sz w:val="18"/>
              </w:rPr>
            </w:pPr>
            <w:r>
              <w:rPr>
                <w:sz w:val="18"/>
              </w:rPr>
              <w:t>804.40</w:t>
            </w:r>
          </w:p>
        </w:tc>
        <w:tc>
          <w:tcPr>
            <w:tcW w:w="1276" w:type="dxa"/>
          </w:tcPr>
          <w:p>
            <w:pPr>
              <w:pStyle w:val="yMiscellaneousBody"/>
              <w:rPr>
                <w:sz w:val="18"/>
              </w:rPr>
            </w:pPr>
            <w:r>
              <w:rPr>
                <w:sz w:val="18"/>
              </w:rPr>
              <w:t>2 011.00</w:t>
            </w:r>
          </w:p>
        </w:tc>
        <w:tc>
          <w:tcPr>
            <w:tcW w:w="1134" w:type="dxa"/>
          </w:tcPr>
          <w:p>
            <w:pPr>
              <w:pStyle w:val="yMiscellaneousBody"/>
              <w:rPr>
                <w:sz w:val="18"/>
              </w:rPr>
            </w:pPr>
            <w:r>
              <w:rPr>
                <w:sz w:val="18"/>
              </w:rPr>
              <w:t>4 022.00</w:t>
            </w:r>
          </w:p>
        </w:tc>
      </w:tr>
      <w:tr>
        <w:tc>
          <w:tcPr>
            <w:tcW w:w="1276" w:type="dxa"/>
          </w:tcPr>
          <w:p>
            <w:pPr>
              <w:pStyle w:val="yMiscellaneousBody"/>
              <w:rPr>
                <w:sz w:val="18"/>
              </w:rPr>
            </w:pPr>
            <w:r>
              <w:rPr>
                <w:sz w:val="18"/>
              </w:rPr>
              <w:t>System 5</w:t>
            </w:r>
          </w:p>
        </w:tc>
        <w:tc>
          <w:tcPr>
            <w:tcW w:w="850" w:type="dxa"/>
          </w:tcPr>
          <w:p>
            <w:pPr>
              <w:pStyle w:val="yMiscellaneousBody"/>
              <w:rPr>
                <w:sz w:val="18"/>
              </w:rPr>
            </w:pPr>
            <w:r>
              <w:rPr>
                <w:sz w:val="18"/>
              </w:rPr>
              <w:t>40</w:t>
            </w:r>
          </w:p>
        </w:tc>
        <w:tc>
          <w:tcPr>
            <w:tcW w:w="1276" w:type="dxa"/>
          </w:tcPr>
          <w:p>
            <w:pPr>
              <w:pStyle w:val="yMiscellaneousBody"/>
              <w:rPr>
                <w:sz w:val="18"/>
              </w:rPr>
            </w:pPr>
            <w:r>
              <w:rPr>
                <w:sz w:val="18"/>
              </w:rPr>
              <w:t>19.60</w:t>
            </w:r>
          </w:p>
        </w:tc>
        <w:tc>
          <w:tcPr>
            <w:tcW w:w="1134" w:type="dxa"/>
          </w:tcPr>
          <w:p>
            <w:pPr>
              <w:pStyle w:val="yMiscellaneousBody"/>
              <w:rPr>
                <w:sz w:val="18"/>
              </w:rPr>
            </w:pPr>
            <w:r>
              <w:rPr>
                <w:sz w:val="18"/>
              </w:rPr>
              <w:t>39.20</w:t>
            </w:r>
          </w:p>
        </w:tc>
        <w:tc>
          <w:tcPr>
            <w:tcW w:w="1276" w:type="dxa"/>
          </w:tcPr>
          <w:p>
            <w:pPr>
              <w:pStyle w:val="yMiscellaneousBody"/>
              <w:rPr>
                <w:sz w:val="18"/>
              </w:rPr>
            </w:pPr>
            <w:r>
              <w:rPr>
                <w:sz w:val="18"/>
              </w:rPr>
              <w:t>98.00</w:t>
            </w:r>
          </w:p>
        </w:tc>
        <w:tc>
          <w:tcPr>
            <w:tcW w:w="1134" w:type="dxa"/>
          </w:tcPr>
          <w:p>
            <w:pPr>
              <w:pStyle w:val="yMiscellaneousBody"/>
              <w:rPr>
                <w:sz w:val="18"/>
              </w:rPr>
            </w:pPr>
            <w:r>
              <w:rPr>
                <w:sz w:val="18"/>
              </w:rPr>
              <w:t>196.00</w:t>
            </w:r>
          </w:p>
        </w:tc>
      </w:tr>
    </w:tbl>
    <w:p>
      <w:pPr>
        <w:pStyle w:val="yFootnotesection"/>
      </w:pPr>
      <w:r>
        <w:tab/>
        <w:t>[Schedule 1 amended in Gazette 29 Apr 1997 p. 2147; 9 Mar 2001 p. 1327; 10 Sep 2002 p. 4599</w:t>
      </w:r>
      <w:r>
        <w:noBreakHyphen/>
        <w:t>600.]</w:t>
      </w:r>
    </w:p>
    <w:p>
      <w:pPr>
        <w:pStyle w:val="yScheduleHeading"/>
        <w:rPr>
          <w:rStyle w:val="CharSchNo"/>
        </w:rPr>
      </w:pPr>
      <w:bookmarkStart w:id="148" w:name="_Toc170211305"/>
      <w:bookmarkStart w:id="149" w:name="_Toc10434947"/>
      <w:r>
        <w:rPr>
          <w:rStyle w:val="CharSchNo"/>
        </w:rPr>
        <w:t>Schedule 1A</w:t>
      </w:r>
      <w:bookmarkEnd w:id="148"/>
    </w:p>
    <w:p>
      <w:pPr>
        <w:pStyle w:val="yHeading3"/>
        <w:outlineLvl w:val="9"/>
      </w:pPr>
      <w:bookmarkStart w:id="150" w:name="_Toc170211306"/>
      <w:r>
        <w:t>Agent’s component — Saturday lotto draw</w:t>
      </w:r>
      <w:bookmarkEnd w:id="150"/>
    </w:p>
    <w:p>
      <w:pPr>
        <w:pStyle w:val="zyMiscellaneousBody"/>
        <w:spacing w:after="120"/>
      </w:pPr>
      <w:r>
        <w:t>The component of the total cost of entering a Saturday lotto draw (that takes place on or after 7 December 2002) that is allocated for the agent through whom the entry was sold per number and type of game per week is as follows:</w:t>
      </w:r>
    </w:p>
    <w:tbl>
      <w:tblPr>
        <w:tblW w:w="0" w:type="auto"/>
        <w:tblInd w:w="250" w:type="dxa"/>
        <w:tblLayout w:type="fixed"/>
        <w:tblLook w:val="0000" w:firstRow="0" w:lastRow="0" w:firstColumn="0" w:lastColumn="0" w:noHBand="0" w:noVBand="0"/>
      </w:tblPr>
      <w:tblGrid>
        <w:gridCol w:w="1276"/>
        <w:gridCol w:w="992"/>
        <w:gridCol w:w="1134"/>
        <w:gridCol w:w="1134"/>
        <w:gridCol w:w="1276"/>
        <w:gridCol w:w="1134"/>
      </w:tblGrid>
      <w:tr>
        <w:trPr>
          <w:tblHeader/>
        </w:trPr>
        <w:tc>
          <w:tcPr>
            <w:tcW w:w="1276" w:type="dxa"/>
            <w:tcBorders>
              <w:top w:val="single" w:sz="4" w:space="0" w:color="auto"/>
            </w:tcBorders>
          </w:tcPr>
          <w:p>
            <w:pPr>
              <w:pStyle w:val="yTable"/>
              <w:rPr>
                <w:b/>
                <w:sz w:val="18"/>
              </w:rPr>
            </w:pPr>
            <w:r>
              <w:rPr>
                <w:b/>
                <w:sz w:val="18"/>
              </w:rPr>
              <w:t>System</w:t>
            </w:r>
          </w:p>
        </w:tc>
        <w:tc>
          <w:tcPr>
            <w:tcW w:w="992" w:type="dxa"/>
            <w:tcBorders>
              <w:top w:val="single" w:sz="4" w:space="0" w:color="auto"/>
            </w:tcBorders>
          </w:tcPr>
          <w:p>
            <w:pPr>
              <w:pStyle w:val="yTable"/>
              <w:rPr>
                <w:b/>
                <w:sz w:val="18"/>
              </w:rPr>
            </w:pPr>
            <w:r>
              <w:rPr>
                <w:b/>
                <w:sz w:val="18"/>
              </w:rPr>
              <w:t>No. of</w:t>
            </w:r>
            <w:r>
              <w:rPr>
                <w:b/>
                <w:sz w:val="18"/>
              </w:rPr>
              <w:br/>
              <w:t>games</w:t>
            </w:r>
          </w:p>
        </w:tc>
        <w:tc>
          <w:tcPr>
            <w:tcW w:w="1134" w:type="dxa"/>
            <w:tcBorders>
              <w:top w:val="single" w:sz="4" w:space="0" w:color="auto"/>
            </w:tcBorders>
          </w:tcPr>
          <w:p>
            <w:pPr>
              <w:pStyle w:val="yTable"/>
              <w:jc w:val="right"/>
              <w:rPr>
                <w:b/>
                <w:sz w:val="18"/>
              </w:rPr>
            </w:pPr>
            <w:r>
              <w:rPr>
                <w:b/>
                <w:sz w:val="18"/>
              </w:rPr>
              <w:t>1 Week</w:t>
            </w:r>
          </w:p>
        </w:tc>
        <w:tc>
          <w:tcPr>
            <w:tcW w:w="1134" w:type="dxa"/>
            <w:tcBorders>
              <w:top w:val="single" w:sz="4" w:space="0" w:color="auto"/>
            </w:tcBorders>
          </w:tcPr>
          <w:p>
            <w:pPr>
              <w:pStyle w:val="yTable"/>
              <w:jc w:val="right"/>
              <w:rPr>
                <w:b/>
                <w:sz w:val="18"/>
              </w:rPr>
            </w:pPr>
            <w:r>
              <w:rPr>
                <w:b/>
                <w:sz w:val="18"/>
              </w:rPr>
              <w:t>2 Weeks</w:t>
            </w:r>
          </w:p>
        </w:tc>
        <w:tc>
          <w:tcPr>
            <w:tcW w:w="1276" w:type="dxa"/>
            <w:tcBorders>
              <w:top w:val="single" w:sz="4" w:space="0" w:color="auto"/>
            </w:tcBorders>
          </w:tcPr>
          <w:p>
            <w:pPr>
              <w:pStyle w:val="yTable"/>
              <w:jc w:val="right"/>
              <w:rPr>
                <w:b/>
                <w:sz w:val="18"/>
              </w:rPr>
            </w:pPr>
            <w:r>
              <w:rPr>
                <w:b/>
                <w:sz w:val="18"/>
              </w:rPr>
              <w:t>5 Weeks</w:t>
            </w:r>
          </w:p>
        </w:tc>
        <w:tc>
          <w:tcPr>
            <w:tcW w:w="1134" w:type="dxa"/>
            <w:tcBorders>
              <w:top w:val="single" w:sz="4" w:space="0" w:color="auto"/>
            </w:tcBorders>
          </w:tcPr>
          <w:p>
            <w:pPr>
              <w:pStyle w:val="yTable"/>
              <w:jc w:val="right"/>
              <w:rPr>
                <w:b/>
                <w:sz w:val="18"/>
              </w:rPr>
            </w:pPr>
            <w:r>
              <w:rPr>
                <w:b/>
                <w:sz w:val="18"/>
              </w:rPr>
              <w:t>10 Weeks</w:t>
            </w:r>
          </w:p>
        </w:tc>
      </w:tr>
      <w:tr>
        <w:trPr>
          <w:tblHeader/>
        </w:trPr>
        <w:tc>
          <w:tcPr>
            <w:tcW w:w="1276" w:type="dxa"/>
            <w:tcBorders>
              <w:bottom w:val="single" w:sz="4" w:space="0" w:color="auto"/>
            </w:tcBorders>
          </w:tcPr>
          <w:p>
            <w:pPr>
              <w:pStyle w:val="yTable"/>
              <w:rPr>
                <w:b/>
                <w:sz w:val="18"/>
              </w:rPr>
            </w:pPr>
          </w:p>
        </w:tc>
        <w:tc>
          <w:tcPr>
            <w:tcW w:w="992" w:type="dxa"/>
            <w:tcBorders>
              <w:bottom w:val="single" w:sz="4" w:space="0" w:color="auto"/>
            </w:tcBorders>
          </w:tcPr>
          <w:p>
            <w:pPr>
              <w:pStyle w:val="yTable"/>
              <w:jc w:val="center"/>
              <w:rPr>
                <w:b/>
                <w:sz w:val="18"/>
              </w:rPr>
            </w:pPr>
          </w:p>
        </w:tc>
        <w:tc>
          <w:tcPr>
            <w:tcW w:w="1134" w:type="dxa"/>
            <w:tcBorders>
              <w:bottom w:val="single" w:sz="4" w:space="0" w:color="auto"/>
            </w:tcBorders>
          </w:tcPr>
          <w:p>
            <w:pPr>
              <w:pStyle w:val="yTable"/>
              <w:rPr>
                <w:b/>
                <w:sz w:val="18"/>
              </w:rPr>
            </w:pPr>
            <w:r>
              <w:rPr>
                <w:b/>
                <w:sz w:val="18"/>
              </w:rPr>
              <w:t xml:space="preserve">           $</w:t>
            </w:r>
          </w:p>
        </w:tc>
        <w:tc>
          <w:tcPr>
            <w:tcW w:w="1134" w:type="dxa"/>
            <w:tcBorders>
              <w:bottom w:val="single" w:sz="4" w:space="0" w:color="auto"/>
            </w:tcBorders>
          </w:tcPr>
          <w:p>
            <w:pPr>
              <w:pStyle w:val="yTable"/>
              <w:rPr>
                <w:b/>
                <w:sz w:val="18"/>
              </w:rPr>
            </w:pPr>
            <w:r>
              <w:rPr>
                <w:b/>
                <w:sz w:val="18"/>
              </w:rPr>
              <w:t xml:space="preserve">           $</w:t>
            </w:r>
          </w:p>
        </w:tc>
        <w:tc>
          <w:tcPr>
            <w:tcW w:w="1276" w:type="dxa"/>
            <w:tcBorders>
              <w:bottom w:val="single" w:sz="4" w:space="0" w:color="auto"/>
            </w:tcBorders>
          </w:tcPr>
          <w:p>
            <w:pPr>
              <w:pStyle w:val="yTable"/>
              <w:rPr>
                <w:b/>
                <w:sz w:val="18"/>
              </w:rPr>
            </w:pPr>
            <w:r>
              <w:rPr>
                <w:b/>
                <w:sz w:val="18"/>
              </w:rPr>
              <w:t xml:space="preserve">              $</w:t>
            </w:r>
          </w:p>
        </w:tc>
        <w:tc>
          <w:tcPr>
            <w:tcW w:w="1134" w:type="dxa"/>
            <w:tcBorders>
              <w:bottom w:val="single" w:sz="4" w:space="0" w:color="auto"/>
            </w:tcBorders>
          </w:tcPr>
          <w:p>
            <w:pPr>
              <w:pStyle w:val="yTable"/>
              <w:rPr>
                <w:b/>
                <w:sz w:val="18"/>
              </w:rPr>
            </w:pPr>
            <w:r>
              <w:rPr>
                <w:b/>
                <w:sz w:val="18"/>
              </w:rPr>
              <w:t xml:space="preserve">           $</w:t>
            </w:r>
          </w:p>
        </w:tc>
      </w:tr>
      <w:tr>
        <w:tc>
          <w:tcPr>
            <w:tcW w:w="1276" w:type="dxa"/>
          </w:tcPr>
          <w:p>
            <w:pPr>
              <w:pStyle w:val="yTable"/>
              <w:rPr>
                <w:sz w:val="18"/>
              </w:rPr>
            </w:pPr>
          </w:p>
        </w:tc>
        <w:tc>
          <w:tcPr>
            <w:tcW w:w="992" w:type="dxa"/>
          </w:tcPr>
          <w:p>
            <w:pPr>
              <w:pStyle w:val="yTable"/>
              <w:jc w:val="center"/>
              <w:rPr>
                <w:sz w:val="18"/>
              </w:rPr>
            </w:pPr>
            <w:r>
              <w:rPr>
                <w:sz w:val="18"/>
              </w:rPr>
              <w:t>4</w:t>
            </w:r>
          </w:p>
        </w:tc>
        <w:tc>
          <w:tcPr>
            <w:tcW w:w="1134" w:type="dxa"/>
          </w:tcPr>
          <w:p>
            <w:pPr>
              <w:pStyle w:val="yTable"/>
              <w:jc w:val="right"/>
              <w:rPr>
                <w:sz w:val="18"/>
              </w:rPr>
            </w:pPr>
            <w:r>
              <w:rPr>
                <w:sz w:val="18"/>
              </w:rPr>
              <w:t>0.15</w:t>
            </w:r>
          </w:p>
        </w:tc>
        <w:tc>
          <w:tcPr>
            <w:tcW w:w="1134" w:type="dxa"/>
          </w:tcPr>
          <w:p>
            <w:pPr>
              <w:pStyle w:val="yTable"/>
              <w:jc w:val="right"/>
              <w:rPr>
                <w:sz w:val="18"/>
              </w:rPr>
            </w:pPr>
            <w:r>
              <w:rPr>
                <w:sz w:val="18"/>
              </w:rPr>
              <w:t>0.30</w:t>
            </w:r>
          </w:p>
        </w:tc>
        <w:tc>
          <w:tcPr>
            <w:tcW w:w="1276" w:type="dxa"/>
          </w:tcPr>
          <w:p>
            <w:pPr>
              <w:pStyle w:val="yTable"/>
              <w:jc w:val="right"/>
              <w:rPr>
                <w:sz w:val="18"/>
              </w:rPr>
            </w:pPr>
            <w:r>
              <w:rPr>
                <w:sz w:val="18"/>
              </w:rPr>
              <w:t>0.75</w:t>
            </w:r>
          </w:p>
        </w:tc>
        <w:tc>
          <w:tcPr>
            <w:tcW w:w="1134" w:type="dxa"/>
          </w:tcPr>
          <w:p>
            <w:pPr>
              <w:pStyle w:val="yTable"/>
              <w:jc w:val="right"/>
              <w:rPr>
                <w:sz w:val="18"/>
              </w:rPr>
            </w:pPr>
            <w:r>
              <w:rPr>
                <w:sz w:val="18"/>
              </w:rPr>
              <w:t>1.50</w:t>
            </w:r>
          </w:p>
        </w:tc>
      </w:tr>
      <w:tr>
        <w:tc>
          <w:tcPr>
            <w:tcW w:w="1276" w:type="dxa"/>
          </w:tcPr>
          <w:p>
            <w:pPr>
              <w:pStyle w:val="yTable"/>
              <w:rPr>
                <w:sz w:val="18"/>
              </w:rPr>
            </w:pPr>
          </w:p>
        </w:tc>
        <w:tc>
          <w:tcPr>
            <w:tcW w:w="992" w:type="dxa"/>
          </w:tcPr>
          <w:p>
            <w:pPr>
              <w:pStyle w:val="yTable"/>
              <w:jc w:val="center"/>
              <w:rPr>
                <w:sz w:val="18"/>
              </w:rPr>
            </w:pPr>
            <w:r>
              <w:rPr>
                <w:sz w:val="18"/>
              </w:rPr>
              <w:t>5</w:t>
            </w:r>
          </w:p>
        </w:tc>
        <w:tc>
          <w:tcPr>
            <w:tcW w:w="1134" w:type="dxa"/>
          </w:tcPr>
          <w:p>
            <w:pPr>
              <w:pStyle w:val="yTable"/>
              <w:jc w:val="right"/>
              <w:rPr>
                <w:sz w:val="18"/>
              </w:rPr>
            </w:pPr>
            <w:r>
              <w:rPr>
                <w:sz w:val="18"/>
              </w:rPr>
              <w:t>0.20</w:t>
            </w:r>
          </w:p>
        </w:tc>
        <w:tc>
          <w:tcPr>
            <w:tcW w:w="1134" w:type="dxa"/>
          </w:tcPr>
          <w:p>
            <w:pPr>
              <w:pStyle w:val="yTable"/>
              <w:jc w:val="right"/>
              <w:rPr>
                <w:sz w:val="18"/>
              </w:rPr>
            </w:pPr>
            <w:r>
              <w:rPr>
                <w:sz w:val="18"/>
              </w:rPr>
              <w:t>0.40</w:t>
            </w:r>
          </w:p>
        </w:tc>
        <w:tc>
          <w:tcPr>
            <w:tcW w:w="1276" w:type="dxa"/>
          </w:tcPr>
          <w:p>
            <w:pPr>
              <w:pStyle w:val="yTable"/>
              <w:jc w:val="right"/>
              <w:rPr>
                <w:sz w:val="18"/>
              </w:rPr>
            </w:pPr>
            <w:r>
              <w:rPr>
                <w:sz w:val="18"/>
              </w:rPr>
              <w:t>1.00</w:t>
            </w:r>
          </w:p>
        </w:tc>
        <w:tc>
          <w:tcPr>
            <w:tcW w:w="1134" w:type="dxa"/>
          </w:tcPr>
          <w:p>
            <w:pPr>
              <w:pStyle w:val="yTable"/>
              <w:jc w:val="right"/>
              <w:rPr>
                <w:sz w:val="18"/>
              </w:rPr>
            </w:pPr>
            <w:r>
              <w:rPr>
                <w:sz w:val="18"/>
              </w:rPr>
              <w:t>2.00</w:t>
            </w:r>
          </w:p>
        </w:tc>
      </w:tr>
      <w:tr>
        <w:tc>
          <w:tcPr>
            <w:tcW w:w="1276" w:type="dxa"/>
          </w:tcPr>
          <w:p>
            <w:pPr>
              <w:pStyle w:val="yTable"/>
              <w:rPr>
                <w:sz w:val="18"/>
              </w:rPr>
            </w:pPr>
          </w:p>
        </w:tc>
        <w:tc>
          <w:tcPr>
            <w:tcW w:w="992" w:type="dxa"/>
          </w:tcPr>
          <w:p>
            <w:pPr>
              <w:pStyle w:val="yTable"/>
              <w:jc w:val="center"/>
              <w:rPr>
                <w:sz w:val="18"/>
              </w:rPr>
            </w:pPr>
            <w:r>
              <w:rPr>
                <w:sz w:val="18"/>
              </w:rPr>
              <w:t>6</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p>
        </w:tc>
        <w:tc>
          <w:tcPr>
            <w:tcW w:w="992" w:type="dxa"/>
          </w:tcPr>
          <w:p>
            <w:pPr>
              <w:pStyle w:val="yTable"/>
              <w:jc w:val="center"/>
              <w:rPr>
                <w:sz w:val="18"/>
              </w:rPr>
            </w:pPr>
            <w:r>
              <w:rPr>
                <w:sz w:val="18"/>
              </w:rPr>
              <w:t>7</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p>
        </w:tc>
        <w:tc>
          <w:tcPr>
            <w:tcW w:w="992" w:type="dxa"/>
          </w:tcPr>
          <w:p>
            <w:pPr>
              <w:pStyle w:val="yTable"/>
              <w:jc w:val="center"/>
              <w:rPr>
                <w:sz w:val="18"/>
              </w:rPr>
            </w:pPr>
            <w:r>
              <w:rPr>
                <w:sz w:val="18"/>
              </w:rPr>
              <w:t>8</w:t>
            </w:r>
          </w:p>
        </w:tc>
        <w:tc>
          <w:tcPr>
            <w:tcW w:w="1134" w:type="dxa"/>
          </w:tcPr>
          <w:p>
            <w:pPr>
              <w:pStyle w:val="yTable"/>
              <w:jc w:val="right"/>
              <w:rPr>
                <w:sz w:val="18"/>
              </w:rPr>
            </w:pPr>
            <w:r>
              <w:rPr>
                <w:sz w:val="18"/>
              </w:rPr>
              <w:t>0.30</w:t>
            </w:r>
          </w:p>
        </w:tc>
        <w:tc>
          <w:tcPr>
            <w:tcW w:w="1134" w:type="dxa"/>
          </w:tcPr>
          <w:p>
            <w:pPr>
              <w:pStyle w:val="yTable"/>
              <w:jc w:val="right"/>
              <w:rPr>
                <w:sz w:val="18"/>
              </w:rPr>
            </w:pPr>
            <w:r>
              <w:rPr>
                <w:sz w:val="18"/>
              </w:rPr>
              <w:t>0.60</w:t>
            </w:r>
          </w:p>
        </w:tc>
        <w:tc>
          <w:tcPr>
            <w:tcW w:w="1276" w:type="dxa"/>
          </w:tcPr>
          <w:p>
            <w:pPr>
              <w:pStyle w:val="yTable"/>
              <w:jc w:val="right"/>
              <w:rPr>
                <w:sz w:val="18"/>
              </w:rPr>
            </w:pPr>
            <w:r>
              <w:rPr>
                <w:sz w:val="18"/>
              </w:rPr>
              <w:t>1.50</w:t>
            </w:r>
          </w:p>
        </w:tc>
        <w:tc>
          <w:tcPr>
            <w:tcW w:w="1134" w:type="dxa"/>
          </w:tcPr>
          <w:p>
            <w:pPr>
              <w:pStyle w:val="yTable"/>
              <w:jc w:val="right"/>
              <w:rPr>
                <w:sz w:val="18"/>
              </w:rPr>
            </w:pPr>
            <w:r>
              <w:rPr>
                <w:sz w:val="18"/>
              </w:rPr>
              <w:t>3.00</w:t>
            </w:r>
          </w:p>
        </w:tc>
      </w:tr>
      <w:tr>
        <w:tc>
          <w:tcPr>
            <w:tcW w:w="1276" w:type="dxa"/>
          </w:tcPr>
          <w:p>
            <w:pPr>
              <w:pStyle w:val="yTable"/>
              <w:rPr>
                <w:sz w:val="18"/>
              </w:rPr>
            </w:pPr>
          </w:p>
        </w:tc>
        <w:tc>
          <w:tcPr>
            <w:tcW w:w="992" w:type="dxa"/>
          </w:tcPr>
          <w:p>
            <w:pPr>
              <w:pStyle w:val="yTable"/>
              <w:jc w:val="center"/>
              <w:rPr>
                <w:sz w:val="18"/>
              </w:rPr>
            </w:pPr>
            <w:r>
              <w:rPr>
                <w:sz w:val="18"/>
              </w:rPr>
              <w:t>9</w:t>
            </w:r>
          </w:p>
        </w:tc>
        <w:tc>
          <w:tcPr>
            <w:tcW w:w="1134" w:type="dxa"/>
          </w:tcPr>
          <w:p>
            <w:pPr>
              <w:pStyle w:val="yTable"/>
              <w:jc w:val="right"/>
              <w:rPr>
                <w:sz w:val="18"/>
              </w:rPr>
            </w:pPr>
            <w:r>
              <w:rPr>
                <w:sz w:val="18"/>
              </w:rPr>
              <w:t>0.35</w:t>
            </w:r>
          </w:p>
        </w:tc>
        <w:tc>
          <w:tcPr>
            <w:tcW w:w="1134" w:type="dxa"/>
          </w:tcPr>
          <w:p>
            <w:pPr>
              <w:pStyle w:val="yTable"/>
              <w:jc w:val="right"/>
              <w:rPr>
                <w:sz w:val="18"/>
              </w:rPr>
            </w:pPr>
            <w:r>
              <w:rPr>
                <w:sz w:val="18"/>
              </w:rPr>
              <w:t>0.70</w:t>
            </w:r>
          </w:p>
        </w:tc>
        <w:tc>
          <w:tcPr>
            <w:tcW w:w="1276" w:type="dxa"/>
          </w:tcPr>
          <w:p>
            <w:pPr>
              <w:pStyle w:val="yTable"/>
              <w:jc w:val="right"/>
              <w:rPr>
                <w:sz w:val="18"/>
              </w:rPr>
            </w:pPr>
            <w:r>
              <w:rPr>
                <w:sz w:val="18"/>
              </w:rPr>
              <w:t>1.75</w:t>
            </w:r>
          </w:p>
        </w:tc>
        <w:tc>
          <w:tcPr>
            <w:tcW w:w="1134" w:type="dxa"/>
          </w:tcPr>
          <w:p>
            <w:pPr>
              <w:pStyle w:val="yTable"/>
              <w:jc w:val="right"/>
              <w:rPr>
                <w:sz w:val="18"/>
              </w:rPr>
            </w:pPr>
            <w:r>
              <w:rPr>
                <w:sz w:val="18"/>
              </w:rPr>
              <w:t>3.50</w:t>
            </w:r>
          </w:p>
        </w:tc>
      </w:tr>
      <w:tr>
        <w:tc>
          <w:tcPr>
            <w:tcW w:w="1276" w:type="dxa"/>
          </w:tcPr>
          <w:p>
            <w:pPr>
              <w:pStyle w:val="yTable"/>
              <w:rPr>
                <w:sz w:val="18"/>
              </w:rPr>
            </w:pPr>
          </w:p>
        </w:tc>
        <w:tc>
          <w:tcPr>
            <w:tcW w:w="992" w:type="dxa"/>
          </w:tcPr>
          <w:p>
            <w:pPr>
              <w:pStyle w:val="yTable"/>
              <w:jc w:val="center"/>
              <w:rPr>
                <w:sz w:val="18"/>
              </w:rPr>
            </w:pPr>
            <w:r>
              <w:rPr>
                <w:sz w:val="18"/>
              </w:rPr>
              <w:t>10</w:t>
            </w:r>
          </w:p>
        </w:tc>
        <w:tc>
          <w:tcPr>
            <w:tcW w:w="1134" w:type="dxa"/>
          </w:tcPr>
          <w:p>
            <w:pPr>
              <w:pStyle w:val="yTable"/>
              <w:jc w:val="right"/>
              <w:rPr>
                <w:sz w:val="18"/>
              </w:rPr>
            </w:pPr>
            <w:r>
              <w:rPr>
                <w:sz w:val="18"/>
              </w:rPr>
              <w:t>0.40</w:t>
            </w:r>
          </w:p>
        </w:tc>
        <w:tc>
          <w:tcPr>
            <w:tcW w:w="1134" w:type="dxa"/>
          </w:tcPr>
          <w:p>
            <w:pPr>
              <w:pStyle w:val="yTable"/>
              <w:jc w:val="right"/>
              <w:rPr>
                <w:sz w:val="18"/>
              </w:rPr>
            </w:pPr>
            <w:r>
              <w:rPr>
                <w:sz w:val="18"/>
              </w:rPr>
              <w:t>0.80</w:t>
            </w:r>
          </w:p>
        </w:tc>
        <w:tc>
          <w:tcPr>
            <w:tcW w:w="1276" w:type="dxa"/>
          </w:tcPr>
          <w:p>
            <w:pPr>
              <w:pStyle w:val="yTable"/>
              <w:jc w:val="right"/>
              <w:rPr>
                <w:sz w:val="18"/>
              </w:rPr>
            </w:pPr>
            <w:r>
              <w:rPr>
                <w:sz w:val="18"/>
              </w:rPr>
              <w:t>2.00</w:t>
            </w:r>
          </w:p>
        </w:tc>
        <w:tc>
          <w:tcPr>
            <w:tcW w:w="1134" w:type="dxa"/>
          </w:tcPr>
          <w:p>
            <w:pPr>
              <w:pStyle w:val="yTable"/>
              <w:jc w:val="right"/>
              <w:rPr>
                <w:sz w:val="18"/>
              </w:rPr>
            </w:pPr>
            <w:r>
              <w:rPr>
                <w:sz w:val="18"/>
              </w:rPr>
              <w:t>4.00</w:t>
            </w:r>
          </w:p>
        </w:tc>
      </w:tr>
      <w:tr>
        <w:tc>
          <w:tcPr>
            <w:tcW w:w="1276" w:type="dxa"/>
          </w:tcPr>
          <w:p>
            <w:pPr>
              <w:pStyle w:val="yTable"/>
              <w:rPr>
                <w:sz w:val="18"/>
              </w:rPr>
            </w:pPr>
          </w:p>
        </w:tc>
        <w:tc>
          <w:tcPr>
            <w:tcW w:w="992" w:type="dxa"/>
          </w:tcPr>
          <w:p>
            <w:pPr>
              <w:pStyle w:val="yTable"/>
              <w:jc w:val="center"/>
              <w:rPr>
                <w:sz w:val="18"/>
              </w:rPr>
            </w:pPr>
            <w:r>
              <w:rPr>
                <w:sz w:val="18"/>
              </w:rPr>
              <w:t>11</w:t>
            </w:r>
          </w:p>
        </w:tc>
        <w:tc>
          <w:tcPr>
            <w:tcW w:w="1134" w:type="dxa"/>
          </w:tcPr>
          <w:p>
            <w:pPr>
              <w:pStyle w:val="yTable"/>
              <w:jc w:val="right"/>
              <w:rPr>
                <w:sz w:val="18"/>
              </w:rPr>
            </w:pPr>
            <w:r>
              <w:rPr>
                <w:sz w:val="18"/>
              </w:rPr>
              <w:t>0.45</w:t>
            </w:r>
          </w:p>
        </w:tc>
        <w:tc>
          <w:tcPr>
            <w:tcW w:w="1134" w:type="dxa"/>
          </w:tcPr>
          <w:p>
            <w:pPr>
              <w:pStyle w:val="yTable"/>
              <w:jc w:val="right"/>
              <w:rPr>
                <w:sz w:val="18"/>
              </w:rPr>
            </w:pPr>
            <w:r>
              <w:rPr>
                <w:sz w:val="18"/>
              </w:rPr>
              <w:t>0.90</w:t>
            </w:r>
          </w:p>
        </w:tc>
        <w:tc>
          <w:tcPr>
            <w:tcW w:w="1276" w:type="dxa"/>
          </w:tcPr>
          <w:p>
            <w:pPr>
              <w:pStyle w:val="yTable"/>
              <w:jc w:val="right"/>
              <w:rPr>
                <w:sz w:val="18"/>
              </w:rPr>
            </w:pPr>
            <w:r>
              <w:rPr>
                <w:sz w:val="18"/>
              </w:rPr>
              <w:t>2.25</w:t>
            </w:r>
          </w:p>
        </w:tc>
        <w:tc>
          <w:tcPr>
            <w:tcW w:w="1134" w:type="dxa"/>
          </w:tcPr>
          <w:p>
            <w:pPr>
              <w:pStyle w:val="yTable"/>
              <w:jc w:val="right"/>
              <w:rPr>
                <w:sz w:val="18"/>
              </w:rPr>
            </w:pPr>
            <w:r>
              <w:rPr>
                <w:sz w:val="18"/>
              </w:rPr>
              <w:t>4.50</w:t>
            </w:r>
          </w:p>
        </w:tc>
      </w:tr>
      <w:tr>
        <w:tc>
          <w:tcPr>
            <w:tcW w:w="1276" w:type="dxa"/>
          </w:tcPr>
          <w:p>
            <w:pPr>
              <w:pStyle w:val="yTable"/>
              <w:rPr>
                <w:sz w:val="18"/>
              </w:rPr>
            </w:pPr>
          </w:p>
        </w:tc>
        <w:tc>
          <w:tcPr>
            <w:tcW w:w="992" w:type="dxa"/>
          </w:tcPr>
          <w:p>
            <w:pPr>
              <w:pStyle w:val="yTable"/>
              <w:jc w:val="center"/>
              <w:rPr>
                <w:sz w:val="18"/>
              </w:rPr>
            </w:pPr>
            <w:r>
              <w:rPr>
                <w:sz w:val="18"/>
              </w:rPr>
              <w:t>12</w:t>
            </w:r>
          </w:p>
        </w:tc>
        <w:tc>
          <w:tcPr>
            <w:tcW w:w="1134" w:type="dxa"/>
          </w:tcPr>
          <w:p>
            <w:pPr>
              <w:pStyle w:val="yTable"/>
              <w:jc w:val="right"/>
              <w:rPr>
                <w:sz w:val="18"/>
              </w:rPr>
            </w:pPr>
            <w:r>
              <w:rPr>
                <w:sz w:val="18"/>
              </w:rPr>
              <w:t>0.50</w:t>
            </w:r>
          </w:p>
        </w:tc>
        <w:tc>
          <w:tcPr>
            <w:tcW w:w="1134" w:type="dxa"/>
          </w:tcPr>
          <w:p>
            <w:pPr>
              <w:pStyle w:val="yTable"/>
              <w:jc w:val="right"/>
              <w:rPr>
                <w:sz w:val="18"/>
              </w:rPr>
            </w:pPr>
            <w:r>
              <w:rPr>
                <w:sz w:val="18"/>
              </w:rPr>
              <w:t>1.00</w:t>
            </w:r>
          </w:p>
        </w:tc>
        <w:tc>
          <w:tcPr>
            <w:tcW w:w="1276" w:type="dxa"/>
          </w:tcPr>
          <w:p>
            <w:pPr>
              <w:pStyle w:val="yTable"/>
              <w:jc w:val="right"/>
              <w:rPr>
                <w:sz w:val="18"/>
              </w:rPr>
            </w:pPr>
            <w:r>
              <w:rPr>
                <w:sz w:val="18"/>
              </w:rPr>
              <w:t>2.50</w:t>
            </w:r>
          </w:p>
        </w:tc>
        <w:tc>
          <w:tcPr>
            <w:tcW w:w="1134" w:type="dxa"/>
          </w:tcPr>
          <w:p>
            <w:pPr>
              <w:pStyle w:val="yTable"/>
              <w:jc w:val="right"/>
              <w:rPr>
                <w:sz w:val="18"/>
              </w:rPr>
            </w:pPr>
            <w:r>
              <w:rPr>
                <w:sz w:val="18"/>
              </w:rPr>
              <w:t>5.00</w:t>
            </w:r>
          </w:p>
        </w:tc>
      </w:tr>
      <w:tr>
        <w:tc>
          <w:tcPr>
            <w:tcW w:w="1276" w:type="dxa"/>
          </w:tcPr>
          <w:p>
            <w:pPr>
              <w:pStyle w:val="yTable"/>
              <w:rPr>
                <w:sz w:val="18"/>
              </w:rPr>
            </w:pPr>
          </w:p>
        </w:tc>
        <w:tc>
          <w:tcPr>
            <w:tcW w:w="992" w:type="dxa"/>
          </w:tcPr>
          <w:p>
            <w:pPr>
              <w:pStyle w:val="yTable"/>
              <w:jc w:val="center"/>
              <w:rPr>
                <w:sz w:val="18"/>
              </w:rPr>
            </w:pPr>
            <w:r>
              <w:rPr>
                <w:sz w:val="18"/>
              </w:rPr>
              <w:t>14</w:t>
            </w:r>
          </w:p>
        </w:tc>
        <w:tc>
          <w:tcPr>
            <w:tcW w:w="1134" w:type="dxa"/>
          </w:tcPr>
          <w:p>
            <w:pPr>
              <w:pStyle w:val="yTable"/>
              <w:jc w:val="right"/>
              <w:rPr>
                <w:sz w:val="18"/>
              </w:rPr>
            </w:pPr>
            <w:r>
              <w:rPr>
                <w:sz w:val="18"/>
              </w:rPr>
              <w:t>0.60</w:t>
            </w:r>
          </w:p>
        </w:tc>
        <w:tc>
          <w:tcPr>
            <w:tcW w:w="1134" w:type="dxa"/>
          </w:tcPr>
          <w:p>
            <w:pPr>
              <w:pStyle w:val="yTable"/>
              <w:jc w:val="right"/>
              <w:rPr>
                <w:sz w:val="18"/>
              </w:rPr>
            </w:pPr>
            <w:r>
              <w:rPr>
                <w:sz w:val="18"/>
              </w:rPr>
              <w:t>1.20</w:t>
            </w:r>
          </w:p>
        </w:tc>
        <w:tc>
          <w:tcPr>
            <w:tcW w:w="1276" w:type="dxa"/>
          </w:tcPr>
          <w:p>
            <w:pPr>
              <w:pStyle w:val="yTable"/>
              <w:jc w:val="right"/>
              <w:rPr>
                <w:sz w:val="18"/>
              </w:rPr>
            </w:pPr>
            <w:r>
              <w:rPr>
                <w:sz w:val="18"/>
              </w:rPr>
              <w:t>3.00</w:t>
            </w:r>
          </w:p>
        </w:tc>
        <w:tc>
          <w:tcPr>
            <w:tcW w:w="1134" w:type="dxa"/>
          </w:tcPr>
          <w:p>
            <w:pPr>
              <w:pStyle w:val="yTable"/>
              <w:jc w:val="right"/>
              <w:rPr>
                <w:sz w:val="18"/>
              </w:rPr>
            </w:pPr>
            <w:r>
              <w:rPr>
                <w:sz w:val="18"/>
              </w:rPr>
              <w:t>6.00</w:t>
            </w:r>
          </w:p>
        </w:tc>
      </w:tr>
      <w:tr>
        <w:tc>
          <w:tcPr>
            <w:tcW w:w="1276" w:type="dxa"/>
          </w:tcPr>
          <w:p>
            <w:pPr>
              <w:pStyle w:val="yTable"/>
              <w:rPr>
                <w:sz w:val="18"/>
              </w:rPr>
            </w:pPr>
          </w:p>
        </w:tc>
        <w:tc>
          <w:tcPr>
            <w:tcW w:w="992" w:type="dxa"/>
          </w:tcPr>
          <w:p>
            <w:pPr>
              <w:pStyle w:val="yTable"/>
              <w:jc w:val="center"/>
              <w:rPr>
                <w:sz w:val="18"/>
              </w:rPr>
            </w:pPr>
            <w:r>
              <w:rPr>
                <w:sz w:val="18"/>
              </w:rPr>
              <w:t>18</w:t>
            </w:r>
          </w:p>
        </w:tc>
        <w:tc>
          <w:tcPr>
            <w:tcW w:w="1134" w:type="dxa"/>
          </w:tcPr>
          <w:p>
            <w:pPr>
              <w:pStyle w:val="yTable"/>
              <w:jc w:val="right"/>
              <w:rPr>
                <w:sz w:val="18"/>
              </w:rPr>
            </w:pPr>
            <w:r>
              <w:rPr>
                <w:sz w:val="18"/>
              </w:rPr>
              <w:t>0.80</w:t>
            </w:r>
          </w:p>
        </w:tc>
        <w:tc>
          <w:tcPr>
            <w:tcW w:w="1134" w:type="dxa"/>
          </w:tcPr>
          <w:p>
            <w:pPr>
              <w:pStyle w:val="yTable"/>
              <w:jc w:val="right"/>
              <w:rPr>
                <w:sz w:val="18"/>
              </w:rPr>
            </w:pPr>
            <w:r>
              <w:rPr>
                <w:sz w:val="18"/>
              </w:rPr>
              <w:t>1.60</w:t>
            </w:r>
          </w:p>
        </w:tc>
        <w:tc>
          <w:tcPr>
            <w:tcW w:w="1276" w:type="dxa"/>
          </w:tcPr>
          <w:p>
            <w:pPr>
              <w:pStyle w:val="yTable"/>
              <w:jc w:val="right"/>
              <w:rPr>
                <w:sz w:val="18"/>
              </w:rPr>
            </w:pPr>
            <w:r>
              <w:rPr>
                <w:sz w:val="18"/>
              </w:rPr>
              <w:t>4.00</w:t>
            </w:r>
          </w:p>
        </w:tc>
        <w:tc>
          <w:tcPr>
            <w:tcW w:w="1134" w:type="dxa"/>
          </w:tcPr>
          <w:p>
            <w:pPr>
              <w:pStyle w:val="yTable"/>
              <w:jc w:val="right"/>
              <w:rPr>
                <w:sz w:val="18"/>
              </w:rPr>
            </w:pPr>
            <w:r>
              <w:rPr>
                <w:sz w:val="18"/>
              </w:rPr>
              <w:t>8.00</w:t>
            </w:r>
          </w:p>
        </w:tc>
      </w:tr>
      <w:tr>
        <w:tc>
          <w:tcPr>
            <w:tcW w:w="1276" w:type="dxa"/>
          </w:tcPr>
          <w:p>
            <w:pPr>
              <w:pStyle w:val="yTable"/>
              <w:rPr>
                <w:sz w:val="18"/>
              </w:rPr>
            </w:pPr>
          </w:p>
        </w:tc>
        <w:tc>
          <w:tcPr>
            <w:tcW w:w="992" w:type="dxa"/>
          </w:tcPr>
          <w:p>
            <w:pPr>
              <w:pStyle w:val="yTable"/>
              <w:jc w:val="center"/>
              <w:rPr>
                <w:sz w:val="18"/>
              </w:rPr>
            </w:pPr>
            <w:r>
              <w:rPr>
                <w:sz w:val="18"/>
              </w:rPr>
              <w:t>25</w:t>
            </w:r>
          </w:p>
        </w:tc>
        <w:tc>
          <w:tcPr>
            <w:tcW w:w="1134" w:type="dxa"/>
          </w:tcPr>
          <w:p>
            <w:pPr>
              <w:pStyle w:val="yTable"/>
              <w:jc w:val="right"/>
              <w:rPr>
                <w:sz w:val="18"/>
              </w:rPr>
            </w:pPr>
            <w:r>
              <w:rPr>
                <w:sz w:val="18"/>
              </w:rPr>
              <w:t>0.95</w:t>
            </w:r>
          </w:p>
        </w:tc>
        <w:tc>
          <w:tcPr>
            <w:tcW w:w="1134" w:type="dxa"/>
          </w:tcPr>
          <w:p>
            <w:pPr>
              <w:pStyle w:val="yTable"/>
              <w:jc w:val="right"/>
              <w:rPr>
                <w:sz w:val="18"/>
              </w:rPr>
            </w:pPr>
            <w:r>
              <w:rPr>
                <w:sz w:val="18"/>
              </w:rPr>
              <w:t>1.90</w:t>
            </w:r>
          </w:p>
        </w:tc>
        <w:tc>
          <w:tcPr>
            <w:tcW w:w="1276" w:type="dxa"/>
          </w:tcPr>
          <w:p>
            <w:pPr>
              <w:pStyle w:val="yTable"/>
              <w:jc w:val="right"/>
              <w:rPr>
                <w:sz w:val="18"/>
              </w:rPr>
            </w:pPr>
            <w:r>
              <w:rPr>
                <w:sz w:val="18"/>
              </w:rPr>
              <w:t>4.75</w:t>
            </w:r>
          </w:p>
        </w:tc>
        <w:tc>
          <w:tcPr>
            <w:tcW w:w="1134" w:type="dxa"/>
          </w:tcPr>
          <w:p>
            <w:pPr>
              <w:pStyle w:val="yTable"/>
              <w:jc w:val="right"/>
              <w:rPr>
                <w:sz w:val="18"/>
              </w:rPr>
            </w:pPr>
            <w:r>
              <w:rPr>
                <w:sz w:val="18"/>
              </w:rPr>
              <w:t>9.50</w:t>
            </w:r>
          </w:p>
        </w:tc>
      </w:tr>
      <w:tr>
        <w:tc>
          <w:tcPr>
            <w:tcW w:w="1276" w:type="dxa"/>
          </w:tcPr>
          <w:p>
            <w:pPr>
              <w:pStyle w:val="yTable"/>
              <w:rPr>
                <w:sz w:val="18"/>
              </w:rPr>
            </w:pPr>
            <w:r>
              <w:rPr>
                <w:sz w:val="18"/>
              </w:rPr>
              <w:t>System 7</w:t>
            </w:r>
          </w:p>
        </w:tc>
        <w:tc>
          <w:tcPr>
            <w:tcW w:w="992" w:type="dxa"/>
          </w:tcPr>
          <w:p>
            <w:pPr>
              <w:pStyle w:val="yTable"/>
              <w:jc w:val="center"/>
              <w:rPr>
                <w:sz w:val="18"/>
              </w:rPr>
            </w:pPr>
            <w:r>
              <w:rPr>
                <w:sz w:val="18"/>
              </w:rPr>
              <w:t>7</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276"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r>
              <w:rPr>
                <w:sz w:val="18"/>
              </w:rPr>
              <w:t>System 8</w:t>
            </w:r>
          </w:p>
        </w:tc>
        <w:tc>
          <w:tcPr>
            <w:tcW w:w="992" w:type="dxa"/>
          </w:tcPr>
          <w:p>
            <w:pPr>
              <w:pStyle w:val="yTable"/>
              <w:jc w:val="center"/>
              <w:rPr>
                <w:sz w:val="18"/>
              </w:rPr>
            </w:pPr>
            <w:r>
              <w:rPr>
                <w:sz w:val="18"/>
              </w:rPr>
              <w:t>28</w:t>
            </w:r>
          </w:p>
        </w:tc>
        <w:tc>
          <w:tcPr>
            <w:tcW w:w="1134" w:type="dxa"/>
          </w:tcPr>
          <w:p>
            <w:pPr>
              <w:pStyle w:val="yTable"/>
              <w:jc w:val="right"/>
              <w:rPr>
                <w:sz w:val="18"/>
              </w:rPr>
            </w:pPr>
            <w:r>
              <w:rPr>
                <w:sz w:val="18"/>
              </w:rPr>
              <w:t>1.10</w:t>
            </w:r>
          </w:p>
        </w:tc>
        <w:tc>
          <w:tcPr>
            <w:tcW w:w="1134" w:type="dxa"/>
          </w:tcPr>
          <w:p>
            <w:pPr>
              <w:pStyle w:val="yTable"/>
              <w:jc w:val="right"/>
              <w:rPr>
                <w:sz w:val="18"/>
              </w:rPr>
            </w:pPr>
            <w:r>
              <w:rPr>
                <w:sz w:val="18"/>
              </w:rPr>
              <w:t>2.20</w:t>
            </w:r>
          </w:p>
        </w:tc>
        <w:tc>
          <w:tcPr>
            <w:tcW w:w="1276" w:type="dxa"/>
          </w:tcPr>
          <w:p>
            <w:pPr>
              <w:pStyle w:val="yTable"/>
              <w:jc w:val="right"/>
              <w:rPr>
                <w:sz w:val="18"/>
              </w:rPr>
            </w:pPr>
            <w:r>
              <w:rPr>
                <w:sz w:val="18"/>
              </w:rPr>
              <w:t>5.50</w:t>
            </w:r>
          </w:p>
        </w:tc>
        <w:tc>
          <w:tcPr>
            <w:tcW w:w="1134" w:type="dxa"/>
          </w:tcPr>
          <w:p>
            <w:pPr>
              <w:pStyle w:val="yTable"/>
              <w:jc w:val="right"/>
              <w:rPr>
                <w:sz w:val="18"/>
              </w:rPr>
            </w:pPr>
            <w:r>
              <w:rPr>
                <w:sz w:val="18"/>
              </w:rPr>
              <w:t>11.00</w:t>
            </w:r>
          </w:p>
        </w:tc>
      </w:tr>
      <w:tr>
        <w:tc>
          <w:tcPr>
            <w:tcW w:w="1276" w:type="dxa"/>
          </w:tcPr>
          <w:p>
            <w:pPr>
              <w:pStyle w:val="yTable"/>
              <w:rPr>
                <w:sz w:val="18"/>
              </w:rPr>
            </w:pPr>
            <w:r>
              <w:rPr>
                <w:sz w:val="18"/>
              </w:rPr>
              <w:t>System 9</w:t>
            </w:r>
          </w:p>
        </w:tc>
        <w:tc>
          <w:tcPr>
            <w:tcW w:w="992" w:type="dxa"/>
          </w:tcPr>
          <w:p>
            <w:pPr>
              <w:pStyle w:val="yTable"/>
              <w:jc w:val="center"/>
              <w:rPr>
                <w:sz w:val="18"/>
              </w:rPr>
            </w:pPr>
            <w:r>
              <w:rPr>
                <w:sz w:val="18"/>
              </w:rPr>
              <w:t>84</w:t>
            </w:r>
          </w:p>
        </w:tc>
        <w:tc>
          <w:tcPr>
            <w:tcW w:w="1134" w:type="dxa"/>
          </w:tcPr>
          <w:p>
            <w:pPr>
              <w:pStyle w:val="yTable"/>
              <w:jc w:val="right"/>
              <w:rPr>
                <w:sz w:val="18"/>
              </w:rPr>
            </w:pPr>
            <w:r>
              <w:rPr>
                <w:sz w:val="18"/>
              </w:rPr>
              <w:t>3.20</w:t>
            </w:r>
          </w:p>
        </w:tc>
        <w:tc>
          <w:tcPr>
            <w:tcW w:w="1134" w:type="dxa"/>
          </w:tcPr>
          <w:p>
            <w:pPr>
              <w:pStyle w:val="yTable"/>
              <w:jc w:val="right"/>
              <w:rPr>
                <w:sz w:val="18"/>
              </w:rPr>
            </w:pPr>
            <w:r>
              <w:rPr>
                <w:sz w:val="18"/>
              </w:rPr>
              <w:t>6.40</w:t>
            </w:r>
          </w:p>
        </w:tc>
        <w:tc>
          <w:tcPr>
            <w:tcW w:w="1276" w:type="dxa"/>
          </w:tcPr>
          <w:p>
            <w:pPr>
              <w:pStyle w:val="yTable"/>
              <w:jc w:val="right"/>
              <w:rPr>
                <w:sz w:val="18"/>
              </w:rPr>
            </w:pPr>
            <w:r>
              <w:rPr>
                <w:sz w:val="18"/>
              </w:rPr>
              <w:t>16.00</w:t>
            </w:r>
          </w:p>
        </w:tc>
        <w:tc>
          <w:tcPr>
            <w:tcW w:w="1134" w:type="dxa"/>
          </w:tcPr>
          <w:p>
            <w:pPr>
              <w:pStyle w:val="yTable"/>
              <w:jc w:val="right"/>
              <w:rPr>
                <w:sz w:val="18"/>
              </w:rPr>
            </w:pPr>
            <w:r>
              <w:rPr>
                <w:sz w:val="18"/>
              </w:rPr>
              <w:t>32.00</w:t>
            </w:r>
          </w:p>
        </w:tc>
      </w:tr>
      <w:tr>
        <w:tc>
          <w:tcPr>
            <w:tcW w:w="1276" w:type="dxa"/>
          </w:tcPr>
          <w:p>
            <w:pPr>
              <w:pStyle w:val="yTable"/>
              <w:rPr>
                <w:sz w:val="18"/>
              </w:rPr>
            </w:pPr>
            <w:r>
              <w:rPr>
                <w:sz w:val="18"/>
              </w:rPr>
              <w:t>System 10</w:t>
            </w:r>
          </w:p>
        </w:tc>
        <w:tc>
          <w:tcPr>
            <w:tcW w:w="992" w:type="dxa"/>
          </w:tcPr>
          <w:p>
            <w:pPr>
              <w:pStyle w:val="yTable"/>
              <w:jc w:val="center"/>
              <w:rPr>
                <w:sz w:val="18"/>
              </w:rPr>
            </w:pPr>
            <w:r>
              <w:rPr>
                <w:sz w:val="18"/>
              </w:rPr>
              <w:t>210</w:t>
            </w:r>
          </w:p>
        </w:tc>
        <w:tc>
          <w:tcPr>
            <w:tcW w:w="1134" w:type="dxa"/>
          </w:tcPr>
          <w:p>
            <w:pPr>
              <w:pStyle w:val="yTable"/>
              <w:jc w:val="right"/>
              <w:rPr>
                <w:sz w:val="18"/>
              </w:rPr>
            </w:pPr>
            <w:r>
              <w:rPr>
                <w:sz w:val="18"/>
              </w:rPr>
              <w:t>8.50</w:t>
            </w:r>
          </w:p>
        </w:tc>
        <w:tc>
          <w:tcPr>
            <w:tcW w:w="1134" w:type="dxa"/>
          </w:tcPr>
          <w:p>
            <w:pPr>
              <w:pStyle w:val="yTable"/>
              <w:jc w:val="right"/>
              <w:rPr>
                <w:sz w:val="18"/>
              </w:rPr>
            </w:pPr>
            <w:r>
              <w:rPr>
                <w:sz w:val="18"/>
              </w:rPr>
              <w:t>17.00</w:t>
            </w:r>
          </w:p>
        </w:tc>
        <w:tc>
          <w:tcPr>
            <w:tcW w:w="1276" w:type="dxa"/>
          </w:tcPr>
          <w:p>
            <w:pPr>
              <w:pStyle w:val="yTable"/>
              <w:jc w:val="right"/>
              <w:rPr>
                <w:sz w:val="18"/>
              </w:rPr>
            </w:pPr>
            <w:r>
              <w:rPr>
                <w:sz w:val="18"/>
              </w:rPr>
              <w:t>42.50</w:t>
            </w:r>
          </w:p>
        </w:tc>
        <w:tc>
          <w:tcPr>
            <w:tcW w:w="1134" w:type="dxa"/>
          </w:tcPr>
          <w:p>
            <w:pPr>
              <w:pStyle w:val="yTable"/>
              <w:jc w:val="right"/>
              <w:rPr>
                <w:sz w:val="18"/>
              </w:rPr>
            </w:pPr>
            <w:r>
              <w:rPr>
                <w:sz w:val="18"/>
              </w:rPr>
              <w:t>85.00</w:t>
            </w:r>
          </w:p>
        </w:tc>
      </w:tr>
      <w:tr>
        <w:tc>
          <w:tcPr>
            <w:tcW w:w="1276" w:type="dxa"/>
          </w:tcPr>
          <w:p>
            <w:pPr>
              <w:pStyle w:val="yTable"/>
              <w:rPr>
                <w:sz w:val="18"/>
              </w:rPr>
            </w:pPr>
            <w:r>
              <w:rPr>
                <w:sz w:val="18"/>
              </w:rPr>
              <w:t>System 11</w:t>
            </w:r>
          </w:p>
        </w:tc>
        <w:tc>
          <w:tcPr>
            <w:tcW w:w="992" w:type="dxa"/>
          </w:tcPr>
          <w:p>
            <w:pPr>
              <w:pStyle w:val="yTable"/>
              <w:jc w:val="center"/>
              <w:rPr>
                <w:sz w:val="18"/>
              </w:rPr>
            </w:pPr>
            <w:r>
              <w:rPr>
                <w:sz w:val="18"/>
              </w:rPr>
              <w:t>462</w:t>
            </w:r>
          </w:p>
        </w:tc>
        <w:tc>
          <w:tcPr>
            <w:tcW w:w="1134" w:type="dxa"/>
          </w:tcPr>
          <w:p>
            <w:pPr>
              <w:pStyle w:val="yTable"/>
              <w:jc w:val="right"/>
              <w:rPr>
                <w:sz w:val="18"/>
              </w:rPr>
            </w:pPr>
            <w:r>
              <w:rPr>
                <w:sz w:val="18"/>
              </w:rPr>
              <w:t>18.10</w:t>
            </w:r>
          </w:p>
        </w:tc>
        <w:tc>
          <w:tcPr>
            <w:tcW w:w="1134" w:type="dxa"/>
          </w:tcPr>
          <w:p>
            <w:pPr>
              <w:pStyle w:val="yTable"/>
              <w:jc w:val="right"/>
              <w:rPr>
                <w:sz w:val="18"/>
              </w:rPr>
            </w:pPr>
            <w:r>
              <w:rPr>
                <w:sz w:val="18"/>
              </w:rPr>
              <w:t>36.20</w:t>
            </w:r>
          </w:p>
        </w:tc>
        <w:tc>
          <w:tcPr>
            <w:tcW w:w="1276" w:type="dxa"/>
          </w:tcPr>
          <w:p>
            <w:pPr>
              <w:pStyle w:val="yTable"/>
              <w:jc w:val="right"/>
              <w:rPr>
                <w:sz w:val="18"/>
              </w:rPr>
            </w:pPr>
            <w:r>
              <w:rPr>
                <w:sz w:val="18"/>
              </w:rPr>
              <w:t>90.50</w:t>
            </w:r>
          </w:p>
        </w:tc>
        <w:tc>
          <w:tcPr>
            <w:tcW w:w="1134" w:type="dxa"/>
          </w:tcPr>
          <w:p>
            <w:pPr>
              <w:pStyle w:val="yTable"/>
              <w:jc w:val="right"/>
              <w:rPr>
                <w:sz w:val="18"/>
              </w:rPr>
            </w:pPr>
            <w:r>
              <w:rPr>
                <w:sz w:val="18"/>
              </w:rPr>
              <w:t>181.00</w:t>
            </w:r>
          </w:p>
        </w:tc>
      </w:tr>
      <w:tr>
        <w:tc>
          <w:tcPr>
            <w:tcW w:w="1276" w:type="dxa"/>
          </w:tcPr>
          <w:p>
            <w:pPr>
              <w:pStyle w:val="yTable"/>
              <w:rPr>
                <w:sz w:val="18"/>
              </w:rPr>
            </w:pPr>
            <w:r>
              <w:rPr>
                <w:sz w:val="18"/>
              </w:rPr>
              <w:t>System 12</w:t>
            </w:r>
          </w:p>
        </w:tc>
        <w:tc>
          <w:tcPr>
            <w:tcW w:w="992" w:type="dxa"/>
          </w:tcPr>
          <w:p>
            <w:pPr>
              <w:pStyle w:val="yTable"/>
              <w:jc w:val="center"/>
              <w:rPr>
                <w:sz w:val="18"/>
              </w:rPr>
            </w:pPr>
            <w:r>
              <w:rPr>
                <w:sz w:val="18"/>
              </w:rPr>
              <w:t>924</w:t>
            </w:r>
          </w:p>
        </w:tc>
        <w:tc>
          <w:tcPr>
            <w:tcW w:w="1134" w:type="dxa"/>
          </w:tcPr>
          <w:p>
            <w:pPr>
              <w:pStyle w:val="yTable"/>
              <w:jc w:val="right"/>
              <w:rPr>
                <w:sz w:val="18"/>
              </w:rPr>
            </w:pPr>
            <w:r>
              <w:rPr>
                <w:sz w:val="18"/>
              </w:rPr>
              <w:t>37.20</w:t>
            </w:r>
          </w:p>
        </w:tc>
        <w:tc>
          <w:tcPr>
            <w:tcW w:w="1134" w:type="dxa"/>
          </w:tcPr>
          <w:p>
            <w:pPr>
              <w:pStyle w:val="yTable"/>
              <w:jc w:val="right"/>
              <w:rPr>
                <w:sz w:val="18"/>
              </w:rPr>
            </w:pPr>
            <w:r>
              <w:rPr>
                <w:sz w:val="18"/>
              </w:rPr>
              <w:t>74.40</w:t>
            </w:r>
          </w:p>
        </w:tc>
        <w:tc>
          <w:tcPr>
            <w:tcW w:w="1276" w:type="dxa"/>
          </w:tcPr>
          <w:p>
            <w:pPr>
              <w:pStyle w:val="yTable"/>
              <w:jc w:val="right"/>
              <w:rPr>
                <w:sz w:val="18"/>
              </w:rPr>
            </w:pPr>
            <w:r>
              <w:rPr>
                <w:sz w:val="18"/>
              </w:rPr>
              <w:t>186.00</w:t>
            </w:r>
          </w:p>
        </w:tc>
        <w:tc>
          <w:tcPr>
            <w:tcW w:w="1134" w:type="dxa"/>
          </w:tcPr>
          <w:p>
            <w:pPr>
              <w:pStyle w:val="yTable"/>
              <w:jc w:val="right"/>
              <w:rPr>
                <w:sz w:val="18"/>
              </w:rPr>
            </w:pPr>
            <w:r>
              <w:rPr>
                <w:sz w:val="18"/>
              </w:rPr>
              <w:t>372.00</w:t>
            </w:r>
          </w:p>
        </w:tc>
      </w:tr>
      <w:tr>
        <w:tc>
          <w:tcPr>
            <w:tcW w:w="1276" w:type="dxa"/>
          </w:tcPr>
          <w:p>
            <w:pPr>
              <w:pStyle w:val="yTable"/>
              <w:rPr>
                <w:sz w:val="18"/>
              </w:rPr>
            </w:pPr>
            <w:r>
              <w:rPr>
                <w:sz w:val="18"/>
              </w:rPr>
              <w:t>System 13</w:t>
            </w:r>
          </w:p>
        </w:tc>
        <w:tc>
          <w:tcPr>
            <w:tcW w:w="992" w:type="dxa"/>
          </w:tcPr>
          <w:p>
            <w:pPr>
              <w:pStyle w:val="yTable"/>
              <w:jc w:val="center"/>
              <w:rPr>
                <w:sz w:val="18"/>
              </w:rPr>
            </w:pPr>
            <w:r>
              <w:rPr>
                <w:sz w:val="18"/>
              </w:rPr>
              <w:t>1 716</w:t>
            </w:r>
          </w:p>
        </w:tc>
        <w:tc>
          <w:tcPr>
            <w:tcW w:w="1134" w:type="dxa"/>
          </w:tcPr>
          <w:p>
            <w:pPr>
              <w:pStyle w:val="yTable"/>
              <w:jc w:val="right"/>
              <w:rPr>
                <w:sz w:val="18"/>
              </w:rPr>
            </w:pPr>
            <w:r>
              <w:rPr>
                <w:sz w:val="18"/>
              </w:rPr>
              <w:t>69.80</w:t>
            </w:r>
          </w:p>
        </w:tc>
        <w:tc>
          <w:tcPr>
            <w:tcW w:w="1134" w:type="dxa"/>
          </w:tcPr>
          <w:p>
            <w:pPr>
              <w:pStyle w:val="yTable"/>
              <w:jc w:val="right"/>
              <w:rPr>
                <w:sz w:val="18"/>
              </w:rPr>
            </w:pPr>
            <w:r>
              <w:rPr>
                <w:sz w:val="18"/>
              </w:rPr>
              <w:t>139.60</w:t>
            </w:r>
          </w:p>
        </w:tc>
        <w:tc>
          <w:tcPr>
            <w:tcW w:w="1276" w:type="dxa"/>
          </w:tcPr>
          <w:p>
            <w:pPr>
              <w:pStyle w:val="yTable"/>
              <w:jc w:val="right"/>
              <w:rPr>
                <w:sz w:val="18"/>
              </w:rPr>
            </w:pPr>
            <w:r>
              <w:rPr>
                <w:sz w:val="18"/>
              </w:rPr>
              <w:t>349.00</w:t>
            </w:r>
          </w:p>
        </w:tc>
        <w:tc>
          <w:tcPr>
            <w:tcW w:w="1134" w:type="dxa"/>
          </w:tcPr>
          <w:p>
            <w:pPr>
              <w:pStyle w:val="yTable"/>
              <w:jc w:val="right"/>
              <w:rPr>
                <w:sz w:val="18"/>
              </w:rPr>
            </w:pPr>
            <w:r>
              <w:rPr>
                <w:sz w:val="18"/>
              </w:rPr>
              <w:t>698.00</w:t>
            </w:r>
          </w:p>
        </w:tc>
      </w:tr>
      <w:tr>
        <w:tc>
          <w:tcPr>
            <w:tcW w:w="1276" w:type="dxa"/>
          </w:tcPr>
          <w:p>
            <w:pPr>
              <w:pStyle w:val="yTable"/>
              <w:rPr>
                <w:sz w:val="18"/>
              </w:rPr>
            </w:pPr>
            <w:r>
              <w:rPr>
                <w:sz w:val="18"/>
              </w:rPr>
              <w:t>System 14</w:t>
            </w:r>
          </w:p>
        </w:tc>
        <w:tc>
          <w:tcPr>
            <w:tcW w:w="992" w:type="dxa"/>
          </w:tcPr>
          <w:p>
            <w:pPr>
              <w:pStyle w:val="yTable"/>
              <w:jc w:val="center"/>
              <w:rPr>
                <w:sz w:val="18"/>
              </w:rPr>
            </w:pPr>
            <w:r>
              <w:rPr>
                <w:sz w:val="18"/>
              </w:rPr>
              <w:t>3 003</w:t>
            </w:r>
          </w:p>
        </w:tc>
        <w:tc>
          <w:tcPr>
            <w:tcW w:w="1134" w:type="dxa"/>
          </w:tcPr>
          <w:p>
            <w:pPr>
              <w:pStyle w:val="yTable"/>
              <w:jc w:val="right"/>
              <w:rPr>
                <w:sz w:val="18"/>
              </w:rPr>
            </w:pPr>
            <w:r>
              <w:rPr>
                <w:sz w:val="18"/>
              </w:rPr>
              <w:t>121.65</w:t>
            </w:r>
          </w:p>
        </w:tc>
        <w:tc>
          <w:tcPr>
            <w:tcW w:w="1134" w:type="dxa"/>
          </w:tcPr>
          <w:p>
            <w:pPr>
              <w:pStyle w:val="yTable"/>
              <w:jc w:val="right"/>
              <w:rPr>
                <w:sz w:val="18"/>
              </w:rPr>
            </w:pPr>
            <w:r>
              <w:rPr>
                <w:sz w:val="18"/>
              </w:rPr>
              <w:t>243.30</w:t>
            </w:r>
          </w:p>
        </w:tc>
        <w:tc>
          <w:tcPr>
            <w:tcW w:w="1276" w:type="dxa"/>
          </w:tcPr>
          <w:p>
            <w:pPr>
              <w:pStyle w:val="yTable"/>
              <w:jc w:val="right"/>
              <w:rPr>
                <w:sz w:val="18"/>
              </w:rPr>
            </w:pPr>
            <w:r>
              <w:rPr>
                <w:sz w:val="18"/>
              </w:rPr>
              <w:t>608.25</w:t>
            </w:r>
          </w:p>
        </w:tc>
        <w:tc>
          <w:tcPr>
            <w:tcW w:w="1134" w:type="dxa"/>
          </w:tcPr>
          <w:p>
            <w:pPr>
              <w:pStyle w:val="yTable"/>
              <w:jc w:val="right"/>
              <w:rPr>
                <w:sz w:val="18"/>
              </w:rPr>
            </w:pPr>
            <w:r>
              <w:rPr>
                <w:sz w:val="18"/>
              </w:rPr>
              <w:t>1 216.50</w:t>
            </w:r>
          </w:p>
        </w:tc>
      </w:tr>
      <w:tr>
        <w:tc>
          <w:tcPr>
            <w:tcW w:w="1276" w:type="dxa"/>
          </w:tcPr>
          <w:p>
            <w:pPr>
              <w:pStyle w:val="yTable"/>
              <w:rPr>
                <w:sz w:val="18"/>
              </w:rPr>
            </w:pPr>
            <w:r>
              <w:rPr>
                <w:sz w:val="18"/>
              </w:rPr>
              <w:t>System 15</w:t>
            </w:r>
          </w:p>
        </w:tc>
        <w:tc>
          <w:tcPr>
            <w:tcW w:w="992" w:type="dxa"/>
          </w:tcPr>
          <w:p>
            <w:pPr>
              <w:pStyle w:val="yTable"/>
              <w:jc w:val="center"/>
              <w:rPr>
                <w:sz w:val="18"/>
              </w:rPr>
            </w:pPr>
            <w:r>
              <w:rPr>
                <w:sz w:val="18"/>
              </w:rPr>
              <w:t>5 005</w:t>
            </w:r>
          </w:p>
        </w:tc>
        <w:tc>
          <w:tcPr>
            <w:tcW w:w="1134" w:type="dxa"/>
          </w:tcPr>
          <w:p>
            <w:pPr>
              <w:pStyle w:val="yTable"/>
              <w:jc w:val="right"/>
              <w:rPr>
                <w:sz w:val="18"/>
              </w:rPr>
            </w:pPr>
            <w:r>
              <w:rPr>
                <w:sz w:val="18"/>
              </w:rPr>
              <w:t>202.75</w:t>
            </w:r>
          </w:p>
        </w:tc>
        <w:tc>
          <w:tcPr>
            <w:tcW w:w="1134" w:type="dxa"/>
          </w:tcPr>
          <w:p>
            <w:pPr>
              <w:pStyle w:val="yTable"/>
              <w:jc w:val="right"/>
              <w:rPr>
                <w:sz w:val="18"/>
              </w:rPr>
            </w:pPr>
            <w:r>
              <w:rPr>
                <w:sz w:val="18"/>
              </w:rPr>
              <w:t>405.50</w:t>
            </w:r>
          </w:p>
        </w:tc>
        <w:tc>
          <w:tcPr>
            <w:tcW w:w="1276" w:type="dxa"/>
          </w:tcPr>
          <w:p>
            <w:pPr>
              <w:pStyle w:val="yTable"/>
              <w:jc w:val="right"/>
              <w:rPr>
                <w:sz w:val="18"/>
              </w:rPr>
            </w:pPr>
            <w:r>
              <w:rPr>
                <w:sz w:val="18"/>
              </w:rPr>
              <w:t>1 013.75</w:t>
            </w:r>
          </w:p>
        </w:tc>
        <w:tc>
          <w:tcPr>
            <w:tcW w:w="1134" w:type="dxa"/>
          </w:tcPr>
          <w:p>
            <w:pPr>
              <w:pStyle w:val="yTable"/>
              <w:jc w:val="right"/>
              <w:rPr>
                <w:sz w:val="18"/>
              </w:rPr>
            </w:pPr>
            <w:r>
              <w:rPr>
                <w:sz w:val="18"/>
              </w:rPr>
              <w:t>2 027.50</w:t>
            </w:r>
          </w:p>
        </w:tc>
      </w:tr>
      <w:tr>
        <w:tc>
          <w:tcPr>
            <w:tcW w:w="1276" w:type="dxa"/>
          </w:tcPr>
          <w:p>
            <w:pPr>
              <w:pStyle w:val="yTable"/>
              <w:rPr>
                <w:sz w:val="18"/>
              </w:rPr>
            </w:pPr>
            <w:r>
              <w:rPr>
                <w:sz w:val="18"/>
              </w:rPr>
              <w:t>System 16</w:t>
            </w:r>
          </w:p>
        </w:tc>
        <w:tc>
          <w:tcPr>
            <w:tcW w:w="992" w:type="dxa"/>
          </w:tcPr>
          <w:p>
            <w:pPr>
              <w:pStyle w:val="yTable"/>
              <w:jc w:val="center"/>
              <w:rPr>
                <w:sz w:val="18"/>
              </w:rPr>
            </w:pPr>
            <w:r>
              <w:rPr>
                <w:sz w:val="18"/>
              </w:rPr>
              <w:t>8 008</w:t>
            </w:r>
          </w:p>
        </w:tc>
        <w:tc>
          <w:tcPr>
            <w:tcW w:w="1134" w:type="dxa"/>
          </w:tcPr>
          <w:p>
            <w:pPr>
              <w:pStyle w:val="yTable"/>
              <w:jc w:val="right"/>
              <w:rPr>
                <w:sz w:val="18"/>
              </w:rPr>
            </w:pPr>
            <w:r>
              <w:rPr>
                <w:sz w:val="18"/>
              </w:rPr>
              <w:t>326.40</w:t>
            </w:r>
          </w:p>
        </w:tc>
        <w:tc>
          <w:tcPr>
            <w:tcW w:w="1134" w:type="dxa"/>
          </w:tcPr>
          <w:p>
            <w:pPr>
              <w:pStyle w:val="yTable"/>
              <w:jc w:val="right"/>
              <w:rPr>
                <w:sz w:val="18"/>
              </w:rPr>
            </w:pPr>
            <w:r>
              <w:rPr>
                <w:sz w:val="18"/>
              </w:rPr>
              <w:t>652.80</w:t>
            </w:r>
          </w:p>
        </w:tc>
        <w:tc>
          <w:tcPr>
            <w:tcW w:w="1276" w:type="dxa"/>
          </w:tcPr>
          <w:p>
            <w:pPr>
              <w:pStyle w:val="yTable"/>
              <w:jc w:val="right"/>
              <w:rPr>
                <w:sz w:val="18"/>
              </w:rPr>
            </w:pPr>
            <w:r>
              <w:rPr>
                <w:sz w:val="18"/>
              </w:rPr>
              <w:t>1 632.00</w:t>
            </w:r>
          </w:p>
        </w:tc>
        <w:tc>
          <w:tcPr>
            <w:tcW w:w="1134" w:type="dxa"/>
          </w:tcPr>
          <w:p>
            <w:pPr>
              <w:pStyle w:val="yTable"/>
              <w:jc w:val="right"/>
              <w:rPr>
                <w:sz w:val="18"/>
              </w:rPr>
            </w:pPr>
            <w:r>
              <w:rPr>
                <w:sz w:val="18"/>
              </w:rPr>
              <w:t>3 264.00</w:t>
            </w:r>
          </w:p>
        </w:tc>
      </w:tr>
      <w:tr>
        <w:tc>
          <w:tcPr>
            <w:tcW w:w="1276" w:type="dxa"/>
          </w:tcPr>
          <w:p>
            <w:pPr>
              <w:pStyle w:val="yTable"/>
              <w:rPr>
                <w:sz w:val="18"/>
              </w:rPr>
            </w:pPr>
            <w:r>
              <w:rPr>
                <w:sz w:val="18"/>
              </w:rPr>
              <w:t>System 17</w:t>
            </w:r>
          </w:p>
        </w:tc>
        <w:tc>
          <w:tcPr>
            <w:tcW w:w="992" w:type="dxa"/>
          </w:tcPr>
          <w:p>
            <w:pPr>
              <w:pStyle w:val="yTable"/>
              <w:jc w:val="center"/>
              <w:rPr>
                <w:sz w:val="18"/>
              </w:rPr>
            </w:pPr>
            <w:r>
              <w:rPr>
                <w:sz w:val="18"/>
              </w:rPr>
              <w:t>12 376</w:t>
            </w:r>
          </w:p>
        </w:tc>
        <w:tc>
          <w:tcPr>
            <w:tcW w:w="1134" w:type="dxa"/>
          </w:tcPr>
          <w:p>
            <w:pPr>
              <w:pStyle w:val="yTable"/>
              <w:jc w:val="right"/>
              <w:rPr>
                <w:sz w:val="18"/>
              </w:rPr>
            </w:pPr>
            <w:r>
              <w:rPr>
                <w:sz w:val="18"/>
              </w:rPr>
              <w:t>500.80</w:t>
            </w:r>
          </w:p>
        </w:tc>
        <w:tc>
          <w:tcPr>
            <w:tcW w:w="1134" w:type="dxa"/>
          </w:tcPr>
          <w:p>
            <w:pPr>
              <w:pStyle w:val="yTable"/>
              <w:jc w:val="right"/>
              <w:rPr>
                <w:sz w:val="18"/>
              </w:rPr>
            </w:pPr>
            <w:r>
              <w:rPr>
                <w:sz w:val="18"/>
              </w:rPr>
              <w:t>1 001.60</w:t>
            </w:r>
          </w:p>
        </w:tc>
        <w:tc>
          <w:tcPr>
            <w:tcW w:w="1276" w:type="dxa"/>
          </w:tcPr>
          <w:p>
            <w:pPr>
              <w:pStyle w:val="yTable"/>
              <w:jc w:val="right"/>
              <w:rPr>
                <w:sz w:val="18"/>
              </w:rPr>
            </w:pPr>
            <w:r>
              <w:rPr>
                <w:sz w:val="18"/>
              </w:rPr>
              <w:t>2 504.00</w:t>
            </w:r>
          </w:p>
        </w:tc>
        <w:tc>
          <w:tcPr>
            <w:tcW w:w="1134" w:type="dxa"/>
          </w:tcPr>
          <w:p>
            <w:pPr>
              <w:pStyle w:val="yTable"/>
              <w:jc w:val="right"/>
              <w:rPr>
                <w:sz w:val="18"/>
              </w:rPr>
            </w:pPr>
            <w:r>
              <w:rPr>
                <w:sz w:val="18"/>
              </w:rPr>
              <w:t>5 008.00</w:t>
            </w:r>
          </w:p>
        </w:tc>
      </w:tr>
      <w:tr>
        <w:tc>
          <w:tcPr>
            <w:tcW w:w="1276" w:type="dxa"/>
          </w:tcPr>
          <w:p>
            <w:pPr>
              <w:pStyle w:val="yTable"/>
              <w:rPr>
                <w:sz w:val="18"/>
              </w:rPr>
            </w:pPr>
            <w:r>
              <w:rPr>
                <w:sz w:val="18"/>
              </w:rPr>
              <w:t>System 18</w:t>
            </w:r>
          </w:p>
        </w:tc>
        <w:tc>
          <w:tcPr>
            <w:tcW w:w="992" w:type="dxa"/>
          </w:tcPr>
          <w:p>
            <w:pPr>
              <w:pStyle w:val="yTable"/>
              <w:jc w:val="center"/>
              <w:rPr>
                <w:sz w:val="18"/>
              </w:rPr>
            </w:pPr>
            <w:r>
              <w:rPr>
                <w:sz w:val="18"/>
              </w:rPr>
              <w:t>18 564</w:t>
            </w:r>
          </w:p>
        </w:tc>
        <w:tc>
          <w:tcPr>
            <w:tcW w:w="1134" w:type="dxa"/>
          </w:tcPr>
          <w:p>
            <w:pPr>
              <w:pStyle w:val="yTable"/>
              <w:jc w:val="right"/>
              <w:rPr>
                <w:sz w:val="18"/>
              </w:rPr>
            </w:pPr>
            <w:r>
              <w:rPr>
                <w:sz w:val="18"/>
              </w:rPr>
              <w:t>746.20</w:t>
            </w:r>
          </w:p>
        </w:tc>
        <w:tc>
          <w:tcPr>
            <w:tcW w:w="1134" w:type="dxa"/>
          </w:tcPr>
          <w:p>
            <w:pPr>
              <w:pStyle w:val="yTable"/>
              <w:jc w:val="right"/>
              <w:rPr>
                <w:sz w:val="18"/>
              </w:rPr>
            </w:pPr>
            <w:r>
              <w:rPr>
                <w:sz w:val="18"/>
              </w:rPr>
              <w:t>1 492.40</w:t>
            </w:r>
          </w:p>
        </w:tc>
        <w:tc>
          <w:tcPr>
            <w:tcW w:w="1276" w:type="dxa"/>
          </w:tcPr>
          <w:p>
            <w:pPr>
              <w:pStyle w:val="yTable"/>
              <w:jc w:val="right"/>
              <w:rPr>
                <w:sz w:val="18"/>
              </w:rPr>
            </w:pPr>
            <w:r>
              <w:rPr>
                <w:sz w:val="18"/>
              </w:rPr>
              <w:t>3 731.00</w:t>
            </w:r>
          </w:p>
        </w:tc>
        <w:tc>
          <w:tcPr>
            <w:tcW w:w="1134" w:type="dxa"/>
          </w:tcPr>
          <w:p>
            <w:pPr>
              <w:pStyle w:val="yTable"/>
              <w:jc w:val="right"/>
              <w:rPr>
                <w:sz w:val="18"/>
              </w:rPr>
            </w:pPr>
            <w:r>
              <w:rPr>
                <w:sz w:val="18"/>
              </w:rPr>
              <w:t>7 462.00</w:t>
            </w:r>
          </w:p>
        </w:tc>
      </w:tr>
      <w:tr>
        <w:tc>
          <w:tcPr>
            <w:tcW w:w="1276" w:type="dxa"/>
          </w:tcPr>
          <w:p>
            <w:pPr>
              <w:pStyle w:val="yTable"/>
              <w:rPr>
                <w:sz w:val="18"/>
              </w:rPr>
            </w:pPr>
            <w:r>
              <w:rPr>
                <w:sz w:val="18"/>
              </w:rPr>
              <w:t>System 19</w:t>
            </w:r>
          </w:p>
        </w:tc>
        <w:tc>
          <w:tcPr>
            <w:tcW w:w="992" w:type="dxa"/>
          </w:tcPr>
          <w:p>
            <w:pPr>
              <w:pStyle w:val="yTable"/>
              <w:jc w:val="center"/>
              <w:rPr>
                <w:sz w:val="18"/>
              </w:rPr>
            </w:pPr>
            <w:r>
              <w:rPr>
                <w:sz w:val="18"/>
              </w:rPr>
              <w:t>27 132</w:t>
            </w:r>
          </w:p>
        </w:tc>
        <w:tc>
          <w:tcPr>
            <w:tcW w:w="1134" w:type="dxa"/>
          </w:tcPr>
          <w:p>
            <w:pPr>
              <w:pStyle w:val="yTable"/>
              <w:jc w:val="right"/>
              <w:rPr>
                <w:sz w:val="18"/>
              </w:rPr>
            </w:pPr>
            <w:r>
              <w:rPr>
                <w:sz w:val="18"/>
              </w:rPr>
              <w:t>1 090.60</w:t>
            </w:r>
          </w:p>
        </w:tc>
        <w:tc>
          <w:tcPr>
            <w:tcW w:w="1134" w:type="dxa"/>
          </w:tcPr>
          <w:p>
            <w:pPr>
              <w:pStyle w:val="yTable"/>
              <w:jc w:val="right"/>
              <w:rPr>
                <w:sz w:val="18"/>
              </w:rPr>
            </w:pPr>
            <w:r>
              <w:rPr>
                <w:sz w:val="18"/>
              </w:rPr>
              <w:t>2 181.20</w:t>
            </w:r>
          </w:p>
        </w:tc>
        <w:tc>
          <w:tcPr>
            <w:tcW w:w="1276" w:type="dxa"/>
          </w:tcPr>
          <w:p>
            <w:pPr>
              <w:pStyle w:val="yTable"/>
              <w:jc w:val="right"/>
              <w:rPr>
                <w:sz w:val="18"/>
              </w:rPr>
            </w:pPr>
            <w:r>
              <w:rPr>
                <w:sz w:val="18"/>
              </w:rPr>
              <w:t>5 453.00</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20</w:t>
            </w:r>
          </w:p>
        </w:tc>
        <w:tc>
          <w:tcPr>
            <w:tcW w:w="992" w:type="dxa"/>
          </w:tcPr>
          <w:p>
            <w:pPr>
              <w:pStyle w:val="yTable"/>
              <w:jc w:val="center"/>
              <w:rPr>
                <w:sz w:val="18"/>
              </w:rPr>
            </w:pPr>
            <w:r>
              <w:rPr>
                <w:sz w:val="18"/>
              </w:rPr>
              <w:t>38 760</w:t>
            </w:r>
          </w:p>
        </w:tc>
        <w:tc>
          <w:tcPr>
            <w:tcW w:w="1134" w:type="dxa"/>
          </w:tcPr>
          <w:p>
            <w:pPr>
              <w:pStyle w:val="yTable"/>
              <w:jc w:val="right"/>
              <w:rPr>
                <w:sz w:val="18"/>
              </w:rPr>
            </w:pPr>
            <w:r>
              <w:rPr>
                <w:sz w:val="18"/>
              </w:rPr>
              <w:t>1 558.00</w:t>
            </w:r>
          </w:p>
        </w:tc>
        <w:tc>
          <w:tcPr>
            <w:tcW w:w="1134" w:type="dxa"/>
          </w:tcPr>
          <w:p>
            <w:pPr>
              <w:pStyle w:val="yTable"/>
              <w:jc w:val="right"/>
              <w:rPr>
                <w:sz w:val="18"/>
              </w:rPr>
            </w:pPr>
            <w:r>
              <w:rPr>
                <w:sz w:val="18"/>
              </w:rPr>
              <w:t>3 116.00</w:t>
            </w:r>
          </w:p>
        </w:tc>
        <w:tc>
          <w:tcPr>
            <w:tcW w:w="1276" w:type="dxa"/>
          </w:tcPr>
          <w:p>
            <w:pPr>
              <w:pStyle w:val="yTable"/>
              <w:jc w:val="right"/>
              <w:rPr>
                <w:sz w:val="18"/>
              </w:rPr>
            </w:pPr>
            <w:r>
              <w:rPr>
                <w:sz w:val="18"/>
              </w:rPr>
              <w:t>7 790.00</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4</w:t>
            </w:r>
          </w:p>
        </w:tc>
        <w:tc>
          <w:tcPr>
            <w:tcW w:w="992" w:type="dxa"/>
          </w:tcPr>
          <w:p>
            <w:pPr>
              <w:pStyle w:val="yTable"/>
              <w:jc w:val="center"/>
              <w:rPr>
                <w:sz w:val="18"/>
              </w:rPr>
            </w:pPr>
            <w:r>
              <w:rPr>
                <w:sz w:val="18"/>
              </w:rPr>
              <w:t>820</w:t>
            </w:r>
          </w:p>
        </w:tc>
        <w:tc>
          <w:tcPr>
            <w:tcW w:w="1134" w:type="dxa"/>
          </w:tcPr>
          <w:p>
            <w:pPr>
              <w:pStyle w:val="yTable"/>
              <w:jc w:val="right"/>
              <w:rPr>
                <w:sz w:val="18"/>
              </w:rPr>
            </w:pPr>
            <w:r>
              <w:rPr>
                <w:sz w:val="18"/>
              </w:rPr>
              <w:t>33.20</w:t>
            </w:r>
          </w:p>
        </w:tc>
        <w:tc>
          <w:tcPr>
            <w:tcW w:w="1134" w:type="dxa"/>
          </w:tcPr>
          <w:p>
            <w:pPr>
              <w:pStyle w:val="yTable"/>
              <w:jc w:val="right"/>
              <w:rPr>
                <w:sz w:val="18"/>
              </w:rPr>
            </w:pPr>
            <w:r>
              <w:rPr>
                <w:sz w:val="18"/>
              </w:rPr>
              <w:t>66.40</w:t>
            </w:r>
          </w:p>
        </w:tc>
        <w:tc>
          <w:tcPr>
            <w:tcW w:w="1276" w:type="dxa"/>
          </w:tcPr>
          <w:p>
            <w:pPr>
              <w:pStyle w:val="yTable"/>
              <w:jc w:val="right"/>
              <w:rPr>
                <w:sz w:val="18"/>
              </w:rPr>
            </w:pPr>
            <w:r>
              <w:rPr>
                <w:sz w:val="18"/>
              </w:rPr>
              <w:t>166.00</w:t>
            </w:r>
          </w:p>
        </w:tc>
        <w:tc>
          <w:tcPr>
            <w:tcW w:w="1134" w:type="dxa"/>
          </w:tcPr>
          <w:p>
            <w:pPr>
              <w:pStyle w:val="yTable"/>
              <w:jc w:val="right"/>
              <w:rPr>
                <w:sz w:val="18"/>
              </w:rPr>
            </w:pPr>
            <w:r>
              <w:rPr>
                <w:sz w:val="18"/>
              </w:rPr>
              <w:t>332.00</w:t>
            </w:r>
          </w:p>
        </w:tc>
      </w:tr>
      <w:tr>
        <w:tc>
          <w:tcPr>
            <w:tcW w:w="1276" w:type="dxa"/>
          </w:tcPr>
          <w:p>
            <w:pPr>
              <w:pStyle w:val="yTable"/>
              <w:rPr>
                <w:sz w:val="18"/>
              </w:rPr>
            </w:pPr>
            <w:r>
              <w:rPr>
                <w:sz w:val="18"/>
              </w:rPr>
              <w:t>System 5</w:t>
            </w:r>
          </w:p>
        </w:tc>
        <w:tc>
          <w:tcPr>
            <w:tcW w:w="992" w:type="dxa"/>
          </w:tcPr>
          <w:p>
            <w:pPr>
              <w:pStyle w:val="yTable"/>
              <w:jc w:val="center"/>
              <w:rPr>
                <w:sz w:val="18"/>
              </w:rPr>
            </w:pPr>
            <w:r>
              <w:rPr>
                <w:sz w:val="18"/>
              </w:rPr>
              <w:t>40</w:t>
            </w:r>
          </w:p>
        </w:tc>
        <w:tc>
          <w:tcPr>
            <w:tcW w:w="1134" w:type="dxa"/>
          </w:tcPr>
          <w:p>
            <w:pPr>
              <w:pStyle w:val="yTable"/>
              <w:jc w:val="right"/>
              <w:rPr>
                <w:sz w:val="18"/>
              </w:rPr>
            </w:pPr>
            <w:r>
              <w:rPr>
                <w:sz w:val="18"/>
              </w:rPr>
              <w:t>1.60</w:t>
            </w:r>
          </w:p>
        </w:tc>
        <w:tc>
          <w:tcPr>
            <w:tcW w:w="1134" w:type="dxa"/>
          </w:tcPr>
          <w:p>
            <w:pPr>
              <w:pStyle w:val="yTable"/>
              <w:jc w:val="right"/>
              <w:rPr>
                <w:sz w:val="18"/>
              </w:rPr>
            </w:pPr>
            <w:r>
              <w:rPr>
                <w:sz w:val="18"/>
              </w:rPr>
              <w:t>3.20</w:t>
            </w:r>
          </w:p>
        </w:tc>
        <w:tc>
          <w:tcPr>
            <w:tcW w:w="1276" w:type="dxa"/>
          </w:tcPr>
          <w:p>
            <w:pPr>
              <w:pStyle w:val="yTable"/>
              <w:jc w:val="right"/>
              <w:rPr>
                <w:sz w:val="18"/>
              </w:rPr>
            </w:pPr>
            <w:r>
              <w:rPr>
                <w:sz w:val="18"/>
              </w:rPr>
              <w:t>8.00</w:t>
            </w:r>
          </w:p>
        </w:tc>
        <w:tc>
          <w:tcPr>
            <w:tcW w:w="1134" w:type="dxa"/>
          </w:tcPr>
          <w:p>
            <w:pPr>
              <w:pStyle w:val="yTable"/>
              <w:jc w:val="right"/>
              <w:rPr>
                <w:sz w:val="18"/>
              </w:rPr>
            </w:pPr>
            <w:r>
              <w:rPr>
                <w:sz w:val="18"/>
              </w:rPr>
              <w:t>16.00</w:t>
            </w:r>
          </w:p>
        </w:tc>
      </w:tr>
    </w:tbl>
    <w:p>
      <w:pPr>
        <w:pStyle w:val="yFootnotesection"/>
        <w:rPr>
          <w:rStyle w:val="CharSchNo"/>
        </w:rPr>
      </w:pPr>
      <w:r>
        <w:rPr>
          <w:rStyle w:val="CharSchNo"/>
        </w:rPr>
        <w:tab/>
        <w:t>[Schedule 1A inserted in Gazette 10 Sep 2002 p. 4600</w:t>
      </w:r>
      <w:r>
        <w:rPr>
          <w:rStyle w:val="CharSchNo"/>
        </w:rPr>
        <w:noBreakHyphen/>
        <w:t>1.]</w:t>
      </w:r>
    </w:p>
    <w:p>
      <w:pPr>
        <w:pStyle w:val="yScheduleHeading"/>
      </w:pPr>
      <w:bookmarkStart w:id="151" w:name="_Toc170211307"/>
      <w:r>
        <w:rPr>
          <w:rStyle w:val="CharSchNo"/>
        </w:rPr>
        <w:t>Schedule 2</w:t>
      </w:r>
      <w:bookmarkEnd w:id="149"/>
      <w:bookmarkEnd w:id="151"/>
    </w:p>
    <w:p>
      <w:pPr>
        <w:pStyle w:val="yHeading3"/>
        <w:outlineLvl w:val="9"/>
        <w:rPr>
          <w:sz w:val="28"/>
        </w:rPr>
      </w:pPr>
      <w:bookmarkStart w:id="152" w:name="_Toc5072019"/>
      <w:bookmarkStart w:id="153" w:name="_Toc10539414"/>
      <w:bookmarkStart w:id="154" w:name="_Toc170211308"/>
      <w:r>
        <w:rPr>
          <w:sz w:val="28"/>
        </w:rPr>
        <w:t>System entry prize schedule</w:t>
      </w:r>
      <w:bookmarkEnd w:id="152"/>
      <w:bookmarkEnd w:id="153"/>
      <w:bookmarkEnd w:id="154"/>
    </w:p>
    <w:p>
      <w:pPr>
        <w:pStyle w:val="yShoulderClause"/>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spacing w:val="-2"/>
                <w:sz w:val="13"/>
              </w:rPr>
            </w:pPr>
          </w:p>
        </w:tc>
        <w:tc>
          <w:tcPr>
            <w:tcW w:w="2835" w:type="dxa"/>
            <w:gridSpan w:val="8"/>
          </w:tcPr>
          <w:p>
            <w:pPr>
              <w:pStyle w:val="yTable"/>
              <w:spacing w:line="160" w:lineRule="atLeast"/>
              <w:rPr>
                <w:spacing w:val="-2"/>
                <w:sz w:val="13"/>
              </w:rPr>
            </w:pPr>
          </w:p>
        </w:tc>
        <w:tc>
          <w:tcPr>
            <w:tcW w:w="3260" w:type="dxa"/>
            <w:gridSpan w:val="10"/>
          </w:tcPr>
          <w:p>
            <w:pPr>
              <w:pStyle w:val="yTable"/>
              <w:spacing w:line="160" w:lineRule="atLeast"/>
              <w:rPr>
                <w:spacing w:val="-2"/>
                <w:sz w:val="13"/>
              </w:rPr>
            </w:pPr>
            <w:r>
              <w:rPr>
                <w:spacing w:val="-2"/>
                <w:sz w:val="13"/>
              </w:rPr>
              <w:t>NUMBER OF PRIZES</w:t>
            </w:r>
          </w:p>
        </w:tc>
      </w:tr>
      <w:tr>
        <w:trPr>
          <w:trHeight w:val="275"/>
          <w:tblHeader/>
        </w:trPr>
        <w:tc>
          <w:tcPr>
            <w:tcW w:w="993" w:type="dxa"/>
          </w:tcPr>
          <w:p>
            <w:pPr>
              <w:pStyle w:val="yTable"/>
              <w:spacing w:line="160" w:lineRule="atLeast"/>
              <w:ind w:left="-108"/>
              <w:rPr>
                <w:spacing w:val="-2"/>
                <w:sz w:val="13"/>
              </w:rPr>
            </w:pPr>
            <w:r>
              <w:rPr>
                <w:spacing w:val="-2"/>
                <w:sz w:val="13"/>
              </w:rPr>
              <w:t xml:space="preserve">WINNING </w:t>
            </w:r>
          </w:p>
          <w:p>
            <w:pPr>
              <w:pStyle w:val="yTable"/>
              <w:spacing w:before="0" w:line="160" w:lineRule="atLeast"/>
              <w:ind w:left="-108"/>
              <w:rPr>
                <w:spacing w:val="-2"/>
                <w:sz w:val="13"/>
              </w:rPr>
            </w:pPr>
            <w:r>
              <w:rPr>
                <w:spacing w:val="-2"/>
                <w:sz w:val="13"/>
              </w:rPr>
              <w:t>NUMBERS</w:t>
            </w:r>
          </w:p>
        </w:tc>
        <w:tc>
          <w:tcPr>
            <w:tcW w:w="2835" w:type="dxa"/>
            <w:gridSpan w:val="8"/>
          </w:tcPr>
          <w:p>
            <w:pPr>
              <w:pStyle w:val="yTable"/>
              <w:spacing w:line="160" w:lineRule="atLeast"/>
              <w:ind w:left="-108"/>
              <w:rPr>
                <w:spacing w:val="-2"/>
                <w:sz w:val="13"/>
              </w:rPr>
            </w:pPr>
            <w:r>
              <w:rPr>
                <w:spacing w:val="-2"/>
                <w:sz w:val="13"/>
              </w:rPr>
              <w:t xml:space="preserve">PRIZE TAKE </w:t>
            </w:r>
          </w:p>
          <w:p>
            <w:pPr>
              <w:pStyle w:val="yTable"/>
              <w:spacing w:before="0" w:line="160" w:lineRule="atLeast"/>
              <w:ind w:left="-108"/>
              <w:rPr>
                <w:spacing w:val="-2"/>
                <w:sz w:val="13"/>
              </w:rPr>
            </w:pPr>
            <w:r>
              <w:rPr>
                <w:spacing w:val="-2"/>
                <w:sz w:val="13"/>
              </w:rPr>
              <w:t>DIVISIONS</w:t>
            </w:r>
          </w:p>
        </w:tc>
        <w:tc>
          <w:tcPr>
            <w:tcW w:w="3260" w:type="dxa"/>
            <w:gridSpan w:val="10"/>
          </w:tcPr>
          <w:p>
            <w:pPr>
              <w:pStyle w:val="yTable"/>
              <w:spacing w:line="160" w:lineRule="atLeast"/>
              <w:rPr>
                <w:spacing w:val="-2"/>
                <w:sz w:val="13"/>
              </w:rPr>
            </w:pPr>
            <w:r>
              <w:rPr>
                <w:spacing w:val="-2"/>
                <w:sz w:val="13"/>
              </w:rPr>
              <w:t>SYSTEMS</w:t>
            </w:r>
          </w:p>
        </w:tc>
      </w:tr>
      <w:tr>
        <w:tblPrEx>
          <w:tblCellMar>
            <w:left w:w="0" w:type="dxa"/>
            <w:right w:w="0" w:type="dxa"/>
          </w:tblCellMar>
        </w:tblPrEx>
        <w:trPr>
          <w:tblHeader/>
        </w:trPr>
        <w:tc>
          <w:tcPr>
            <w:tcW w:w="993" w:type="dxa"/>
          </w:tcPr>
          <w:p>
            <w:pPr>
              <w:pStyle w:val="yTable"/>
              <w:spacing w:line="120" w:lineRule="atLeast"/>
              <w:rPr>
                <w:spacing w:val="-2"/>
                <w:sz w:val="13"/>
              </w:rPr>
            </w:pPr>
            <w:r>
              <w:rPr>
                <w:spacing w:val="-2"/>
                <w:sz w:val="13"/>
              </w:rPr>
              <w:fldChar w:fldCharType="begin"/>
            </w:r>
            <w:r>
              <w:rPr>
                <w:spacing w:val="-2"/>
                <w:sz w:val="13"/>
              </w:rPr>
              <w:instrText>ADVANCE \D 2.80</w:instrText>
            </w:r>
            <w:r>
              <w:rPr>
                <w:spacing w:val="-2"/>
                <w:sz w:val="13"/>
              </w:rPr>
              <w:fldChar w:fldCharType="end"/>
            </w:r>
          </w:p>
        </w:tc>
        <w:tc>
          <w:tcPr>
            <w:tcW w:w="358" w:type="dxa"/>
            <w:tcBorders>
              <w:top w:val="single" w:sz="4" w:space="0" w:color="auto"/>
              <w:bottom w:val="nil"/>
            </w:tcBorders>
          </w:tcPr>
          <w:p>
            <w:pPr>
              <w:pStyle w:val="yTable"/>
              <w:spacing w:line="120" w:lineRule="atLeast"/>
              <w:rPr>
                <w:spacing w:val="-2"/>
                <w:sz w:val="13"/>
              </w:rPr>
            </w:pPr>
          </w:p>
        </w:tc>
        <w:tc>
          <w:tcPr>
            <w:tcW w:w="359" w:type="dxa"/>
            <w:tcBorders>
              <w:top w:val="single" w:sz="4" w:space="0" w:color="auto"/>
              <w:bottom w:val="nil"/>
            </w:tcBorders>
          </w:tcPr>
          <w:p>
            <w:pPr>
              <w:pStyle w:val="yTable"/>
              <w:spacing w:line="120" w:lineRule="atLeast"/>
              <w:rPr>
                <w:spacing w:val="-2"/>
                <w:sz w:val="13"/>
              </w:rPr>
            </w:pPr>
            <w:r>
              <w:rPr>
                <w:spacing w:val="-2"/>
                <w:sz w:val="13"/>
              </w:rPr>
              <w:t>5</w:t>
            </w:r>
          </w:p>
        </w:tc>
        <w:tc>
          <w:tcPr>
            <w:tcW w:w="358" w:type="dxa"/>
            <w:tcBorders>
              <w:top w:val="single" w:sz="4" w:space="0" w:color="auto"/>
              <w:bottom w:val="nil"/>
            </w:tcBorders>
          </w:tcPr>
          <w:p>
            <w:pPr>
              <w:pStyle w:val="yTable"/>
              <w:spacing w:line="120" w:lineRule="atLeast"/>
              <w:rPr>
                <w:spacing w:val="-2"/>
                <w:sz w:val="13"/>
              </w:rPr>
            </w:pPr>
            <w:r>
              <w:rPr>
                <w:spacing w:val="-2"/>
                <w:sz w:val="13"/>
              </w:rPr>
              <w:t>4</w:t>
            </w:r>
          </w:p>
        </w:tc>
        <w:tc>
          <w:tcPr>
            <w:tcW w:w="359" w:type="dxa"/>
            <w:tcBorders>
              <w:top w:val="single" w:sz="4" w:space="0" w:color="auto"/>
              <w:bottom w:val="nil"/>
            </w:tcBorders>
          </w:tcPr>
          <w:p>
            <w:pPr>
              <w:pStyle w:val="yTable"/>
              <w:spacing w:line="120" w:lineRule="atLeast"/>
              <w:rPr>
                <w:spacing w:val="-2"/>
                <w:sz w:val="13"/>
              </w:rPr>
            </w:pPr>
            <w:r>
              <w:rPr>
                <w:spacing w:val="-2"/>
                <w:sz w:val="13"/>
              </w:rPr>
              <w:t>7</w:t>
            </w:r>
          </w:p>
        </w:tc>
        <w:tc>
          <w:tcPr>
            <w:tcW w:w="358" w:type="dxa"/>
            <w:tcBorders>
              <w:top w:val="single" w:sz="4" w:space="0" w:color="auto"/>
              <w:bottom w:val="nil"/>
            </w:tcBorders>
          </w:tcPr>
          <w:p>
            <w:pPr>
              <w:pStyle w:val="yTable"/>
              <w:spacing w:line="120" w:lineRule="atLeast"/>
              <w:rPr>
                <w:spacing w:val="-2"/>
                <w:sz w:val="13"/>
              </w:rPr>
            </w:pPr>
            <w:r>
              <w:rPr>
                <w:spacing w:val="-2"/>
                <w:sz w:val="13"/>
              </w:rPr>
              <w:t>8</w:t>
            </w:r>
          </w:p>
        </w:tc>
        <w:tc>
          <w:tcPr>
            <w:tcW w:w="359" w:type="dxa"/>
            <w:tcBorders>
              <w:top w:val="single" w:sz="4" w:space="0" w:color="auto"/>
              <w:bottom w:val="nil"/>
            </w:tcBorders>
          </w:tcPr>
          <w:p>
            <w:pPr>
              <w:pStyle w:val="yTable"/>
              <w:spacing w:line="120" w:lineRule="atLeast"/>
              <w:rPr>
                <w:spacing w:val="-2"/>
                <w:sz w:val="13"/>
              </w:rPr>
            </w:pPr>
            <w:r>
              <w:rPr>
                <w:spacing w:val="-2"/>
                <w:sz w:val="13"/>
              </w:rPr>
              <w:t>9</w:t>
            </w:r>
          </w:p>
        </w:tc>
        <w:tc>
          <w:tcPr>
            <w:tcW w:w="358" w:type="dxa"/>
            <w:tcBorders>
              <w:top w:val="single" w:sz="4" w:space="0" w:color="auto"/>
              <w:bottom w:val="nil"/>
            </w:tcBorders>
          </w:tcPr>
          <w:p>
            <w:pPr>
              <w:pStyle w:val="yTable"/>
              <w:spacing w:line="120" w:lineRule="atLeast"/>
              <w:rPr>
                <w:spacing w:val="-2"/>
                <w:sz w:val="13"/>
              </w:rPr>
            </w:pPr>
            <w:r>
              <w:rPr>
                <w:spacing w:val="-2"/>
                <w:sz w:val="13"/>
              </w:rPr>
              <w:t>10</w:t>
            </w:r>
          </w:p>
        </w:tc>
        <w:tc>
          <w:tcPr>
            <w:tcW w:w="359" w:type="dxa"/>
            <w:gridSpan w:val="2"/>
            <w:tcBorders>
              <w:top w:val="single" w:sz="4" w:space="0" w:color="auto"/>
              <w:bottom w:val="nil"/>
            </w:tcBorders>
          </w:tcPr>
          <w:p>
            <w:pPr>
              <w:pStyle w:val="yTable"/>
              <w:spacing w:line="120" w:lineRule="atLeast"/>
              <w:rPr>
                <w:spacing w:val="-2"/>
                <w:sz w:val="13"/>
              </w:rPr>
            </w:pPr>
            <w:r>
              <w:rPr>
                <w:spacing w:val="-2"/>
                <w:sz w:val="13"/>
              </w:rPr>
              <w:t>11</w:t>
            </w:r>
          </w:p>
        </w:tc>
        <w:tc>
          <w:tcPr>
            <w:tcW w:w="358" w:type="dxa"/>
            <w:tcBorders>
              <w:top w:val="single" w:sz="4" w:space="0" w:color="auto"/>
              <w:bottom w:val="nil"/>
            </w:tcBorders>
          </w:tcPr>
          <w:p>
            <w:pPr>
              <w:pStyle w:val="yTable"/>
              <w:spacing w:line="120" w:lineRule="atLeast"/>
              <w:rPr>
                <w:spacing w:val="-2"/>
                <w:sz w:val="13"/>
              </w:rPr>
            </w:pPr>
            <w:r>
              <w:rPr>
                <w:spacing w:val="-2"/>
                <w:sz w:val="13"/>
              </w:rPr>
              <w:t>12</w:t>
            </w:r>
          </w:p>
        </w:tc>
        <w:tc>
          <w:tcPr>
            <w:tcW w:w="359" w:type="dxa"/>
            <w:tcBorders>
              <w:top w:val="single" w:sz="4" w:space="0" w:color="auto"/>
              <w:bottom w:val="nil"/>
            </w:tcBorders>
          </w:tcPr>
          <w:p>
            <w:pPr>
              <w:pStyle w:val="yTable"/>
              <w:spacing w:line="120" w:lineRule="atLeast"/>
              <w:rPr>
                <w:spacing w:val="-2"/>
                <w:sz w:val="13"/>
              </w:rPr>
            </w:pPr>
            <w:r>
              <w:rPr>
                <w:spacing w:val="-2"/>
                <w:sz w:val="13"/>
              </w:rPr>
              <w:t>13</w:t>
            </w:r>
          </w:p>
        </w:tc>
        <w:tc>
          <w:tcPr>
            <w:tcW w:w="358" w:type="dxa"/>
            <w:tcBorders>
              <w:top w:val="single" w:sz="4" w:space="0" w:color="auto"/>
              <w:bottom w:val="nil"/>
            </w:tcBorders>
          </w:tcPr>
          <w:p>
            <w:pPr>
              <w:pStyle w:val="yTable"/>
              <w:spacing w:line="120" w:lineRule="atLeast"/>
              <w:rPr>
                <w:spacing w:val="-2"/>
                <w:sz w:val="13"/>
              </w:rPr>
            </w:pPr>
            <w:r>
              <w:rPr>
                <w:spacing w:val="-2"/>
                <w:sz w:val="13"/>
              </w:rPr>
              <w:t>14</w:t>
            </w:r>
          </w:p>
        </w:tc>
        <w:tc>
          <w:tcPr>
            <w:tcW w:w="359" w:type="dxa"/>
            <w:tcBorders>
              <w:top w:val="single" w:sz="4" w:space="0" w:color="auto"/>
              <w:bottom w:val="nil"/>
            </w:tcBorders>
          </w:tcPr>
          <w:p>
            <w:pPr>
              <w:pStyle w:val="yTable"/>
              <w:spacing w:line="120" w:lineRule="atLeast"/>
              <w:rPr>
                <w:spacing w:val="-2"/>
                <w:sz w:val="13"/>
              </w:rPr>
            </w:pPr>
            <w:r>
              <w:rPr>
                <w:spacing w:val="-2"/>
                <w:sz w:val="13"/>
              </w:rPr>
              <w:t>15</w:t>
            </w:r>
          </w:p>
        </w:tc>
        <w:tc>
          <w:tcPr>
            <w:tcW w:w="358" w:type="dxa"/>
            <w:tcBorders>
              <w:top w:val="single" w:sz="4" w:space="0" w:color="auto"/>
              <w:bottom w:val="nil"/>
            </w:tcBorders>
          </w:tcPr>
          <w:p>
            <w:pPr>
              <w:pStyle w:val="yTable"/>
              <w:spacing w:line="120" w:lineRule="atLeast"/>
              <w:rPr>
                <w:spacing w:val="-2"/>
                <w:sz w:val="13"/>
              </w:rPr>
            </w:pPr>
            <w:r>
              <w:rPr>
                <w:spacing w:val="-2"/>
                <w:sz w:val="13"/>
              </w:rPr>
              <w:t>16</w:t>
            </w:r>
          </w:p>
        </w:tc>
        <w:tc>
          <w:tcPr>
            <w:tcW w:w="359" w:type="dxa"/>
            <w:tcBorders>
              <w:top w:val="single" w:sz="4" w:space="0" w:color="auto"/>
              <w:bottom w:val="nil"/>
            </w:tcBorders>
          </w:tcPr>
          <w:p>
            <w:pPr>
              <w:pStyle w:val="yTable"/>
              <w:spacing w:line="120" w:lineRule="atLeast"/>
              <w:rPr>
                <w:spacing w:val="-2"/>
                <w:sz w:val="13"/>
              </w:rPr>
            </w:pPr>
            <w:r>
              <w:rPr>
                <w:spacing w:val="-2"/>
                <w:sz w:val="13"/>
              </w:rPr>
              <w:t>17</w:t>
            </w:r>
          </w:p>
        </w:tc>
        <w:tc>
          <w:tcPr>
            <w:tcW w:w="358" w:type="dxa"/>
            <w:tcBorders>
              <w:top w:val="single" w:sz="4" w:space="0" w:color="auto"/>
              <w:bottom w:val="nil"/>
            </w:tcBorders>
          </w:tcPr>
          <w:p>
            <w:pPr>
              <w:pStyle w:val="yTable"/>
              <w:spacing w:line="120" w:lineRule="atLeast"/>
              <w:rPr>
                <w:spacing w:val="-2"/>
                <w:sz w:val="13"/>
              </w:rPr>
            </w:pPr>
            <w:r>
              <w:rPr>
                <w:spacing w:val="-2"/>
                <w:sz w:val="13"/>
              </w:rPr>
              <w:t>18</w:t>
            </w:r>
          </w:p>
        </w:tc>
        <w:tc>
          <w:tcPr>
            <w:tcW w:w="359" w:type="dxa"/>
            <w:tcBorders>
              <w:top w:val="single" w:sz="4" w:space="0" w:color="auto"/>
              <w:bottom w:val="nil"/>
            </w:tcBorders>
          </w:tcPr>
          <w:p>
            <w:pPr>
              <w:pStyle w:val="yTable"/>
              <w:spacing w:line="120" w:lineRule="atLeast"/>
              <w:rPr>
                <w:spacing w:val="-2"/>
                <w:sz w:val="13"/>
              </w:rPr>
            </w:pPr>
            <w:r>
              <w:rPr>
                <w:spacing w:val="-2"/>
                <w:sz w:val="13"/>
              </w:rPr>
              <w:t>19</w:t>
            </w:r>
          </w:p>
        </w:tc>
        <w:tc>
          <w:tcPr>
            <w:tcW w:w="359" w:type="dxa"/>
            <w:tcBorders>
              <w:top w:val="single" w:sz="4" w:space="0" w:color="auto"/>
              <w:bottom w:val="nil"/>
            </w:tcBorders>
          </w:tcPr>
          <w:p>
            <w:pPr>
              <w:pStyle w:val="yTable"/>
              <w:spacing w:line="120" w:lineRule="atLeast"/>
              <w:rPr>
                <w:spacing w:val="-2"/>
                <w:sz w:val="13"/>
              </w:rPr>
            </w:pPr>
            <w:r>
              <w:rPr>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155" w:name="_Toc10434949"/>
      <w:bookmarkStart w:id="156" w:name="_Toc170211309"/>
      <w:r>
        <w:rPr>
          <w:rStyle w:val="CharSchNo"/>
        </w:rPr>
        <w:t>Schedule 3</w:t>
      </w:r>
      <w:bookmarkEnd w:id="155"/>
      <w:bookmarkEnd w:id="156"/>
    </w:p>
    <w:p>
      <w:pPr>
        <w:pStyle w:val="yHeading3"/>
        <w:outlineLvl w:val="9"/>
        <w:rPr>
          <w:sz w:val="28"/>
        </w:rPr>
      </w:pPr>
      <w:bookmarkStart w:id="157" w:name="_Toc5072021"/>
      <w:bookmarkStart w:id="158" w:name="_Toc10539416"/>
      <w:bookmarkStart w:id="159" w:name="_Toc170211310"/>
      <w:r>
        <w:rPr>
          <w:sz w:val="28"/>
        </w:rPr>
        <w:t>Summary of parameters within which Saturday lotto is conducted</w:t>
      </w:r>
      <w:bookmarkEnd w:id="157"/>
      <w:bookmarkEnd w:id="158"/>
      <w:bookmarkEnd w:id="159"/>
      <w:r>
        <w:rPr>
          <w:sz w:val="28"/>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spacing w:before="0" w:line="220" w:lineRule="exact"/>
              <w:rPr>
                <w:sz w:val="20"/>
              </w:rPr>
            </w:pPr>
            <w:r>
              <w:rPr>
                <w:sz w:val="20"/>
              </w:rPr>
              <w:t>Unit cost (for a Saturday lotto draw up to and including draw 2229)</w:t>
            </w:r>
          </w:p>
        </w:tc>
        <w:tc>
          <w:tcPr>
            <w:tcW w:w="2268" w:type="dxa"/>
          </w:tcPr>
          <w:p>
            <w:pPr>
              <w:pStyle w:val="yTable"/>
              <w:spacing w:before="0" w:line="220" w:lineRule="exact"/>
              <w:jc w:val="right"/>
              <w:rPr>
                <w:sz w:val="20"/>
              </w:rPr>
            </w:pPr>
            <w:r>
              <w:rPr>
                <w:sz w:val="20"/>
              </w:rPr>
              <w:br/>
              <w:t>$0.40</w:t>
            </w:r>
          </w:p>
        </w:tc>
      </w:tr>
      <w:tr>
        <w:tc>
          <w:tcPr>
            <w:tcW w:w="4820" w:type="dxa"/>
          </w:tcPr>
          <w:p>
            <w:pPr>
              <w:pStyle w:val="yTable"/>
              <w:spacing w:before="0" w:line="220" w:lineRule="exact"/>
              <w:rPr>
                <w:sz w:val="20"/>
              </w:rPr>
            </w:pPr>
            <w:r>
              <w:rPr>
                <w:sz w:val="20"/>
              </w:rPr>
              <w:t>Unit cost (for a Saturday lotto draw after draw 2229)</w:t>
            </w:r>
          </w:p>
        </w:tc>
        <w:tc>
          <w:tcPr>
            <w:tcW w:w="2268" w:type="dxa"/>
          </w:tcPr>
          <w:p>
            <w:pPr>
              <w:pStyle w:val="yTable"/>
              <w:spacing w:before="0" w:line="220" w:lineRule="exact"/>
              <w:jc w:val="right"/>
              <w:rPr>
                <w:sz w:val="20"/>
              </w:rPr>
            </w:pPr>
            <w:r>
              <w:rPr>
                <w:sz w:val="20"/>
              </w:rPr>
              <w:t>$0.45 (+ agent’s component)</w:t>
            </w:r>
          </w:p>
        </w:tc>
      </w:tr>
      <w:tr>
        <w:tc>
          <w:tcPr>
            <w:tcW w:w="4820" w:type="dxa"/>
          </w:tcPr>
          <w:p>
            <w:pPr>
              <w:pStyle w:val="yTable"/>
              <w:spacing w:before="0" w:line="220" w:lineRule="exact"/>
              <w:rPr>
                <w:sz w:val="20"/>
              </w:rPr>
            </w:pPr>
            <w:r>
              <w:rPr>
                <w:sz w:val="20"/>
              </w:rPr>
              <w:t>Prize fund — % of subscriptions</w:t>
            </w:r>
          </w:p>
        </w:tc>
        <w:tc>
          <w:tcPr>
            <w:tcW w:w="2268" w:type="dxa"/>
          </w:tcPr>
          <w:p>
            <w:pPr>
              <w:pStyle w:val="yTable"/>
              <w:spacing w:before="0" w:line="220" w:lineRule="exact"/>
              <w:jc w:val="right"/>
              <w:rPr>
                <w:sz w:val="20"/>
              </w:rPr>
            </w:pPr>
            <w:r>
              <w:rPr>
                <w:sz w:val="20"/>
              </w:rPr>
              <w:t>60.0%</w:t>
            </w:r>
          </w:p>
        </w:tc>
      </w:tr>
      <w:tr>
        <w:tc>
          <w:tcPr>
            <w:tcW w:w="4820" w:type="dxa"/>
          </w:tcPr>
          <w:p>
            <w:pPr>
              <w:pStyle w:val="yTable"/>
              <w:spacing w:before="0" w:line="220" w:lineRule="exact"/>
              <w:rPr>
                <w:sz w:val="20"/>
              </w:rPr>
            </w:pPr>
            <w:r>
              <w:rPr>
                <w:sz w:val="20"/>
              </w:rPr>
              <w:t>Prize pool — % of subscriptions</w:t>
            </w:r>
          </w:p>
        </w:tc>
        <w:tc>
          <w:tcPr>
            <w:tcW w:w="2268" w:type="dxa"/>
          </w:tcPr>
          <w:p>
            <w:pPr>
              <w:pStyle w:val="yTable"/>
              <w:spacing w:before="0" w:line="220" w:lineRule="exact"/>
              <w:jc w:val="right"/>
              <w:rPr>
                <w:sz w:val="20"/>
              </w:rPr>
            </w:pPr>
            <w:r>
              <w:rPr>
                <w:sz w:val="20"/>
              </w:rPr>
              <w:t>55.0%</w:t>
            </w:r>
          </w:p>
        </w:tc>
      </w:tr>
      <w:tr>
        <w:tc>
          <w:tcPr>
            <w:tcW w:w="4820" w:type="dxa"/>
          </w:tcPr>
          <w:p>
            <w:pPr>
              <w:pStyle w:val="yTable"/>
              <w:spacing w:before="0" w:line="220" w:lineRule="exact"/>
              <w:rPr>
                <w:sz w:val="20"/>
              </w:rPr>
            </w:pPr>
            <w:r>
              <w:rPr>
                <w:sz w:val="20"/>
              </w:rPr>
              <w:t>Prize reserve fund — % of subscriptions</w:t>
            </w:r>
          </w:p>
        </w:tc>
        <w:tc>
          <w:tcPr>
            <w:tcW w:w="2268" w:type="dxa"/>
          </w:tcPr>
          <w:p>
            <w:pPr>
              <w:pStyle w:val="yTable"/>
              <w:spacing w:before="0" w:line="220" w:lineRule="exact"/>
              <w:jc w:val="right"/>
              <w:rPr>
                <w:sz w:val="20"/>
              </w:rPr>
            </w:pPr>
            <w:r>
              <w:rPr>
                <w:sz w:val="20"/>
              </w:rPr>
              <w:t>5.0%</w:t>
            </w:r>
          </w:p>
        </w:tc>
      </w:tr>
      <w:tr>
        <w:tc>
          <w:tcPr>
            <w:tcW w:w="4820" w:type="dxa"/>
          </w:tcPr>
          <w:p>
            <w:pPr>
              <w:pStyle w:val="yTable"/>
              <w:spacing w:before="0" w:line="220" w:lineRule="exact"/>
              <w:rPr>
                <w:sz w:val="20"/>
              </w:rPr>
            </w:pPr>
            <w:r>
              <w:rPr>
                <w:sz w:val="20"/>
              </w:rPr>
              <w:t>Number of divisions</w:t>
            </w:r>
          </w:p>
        </w:tc>
        <w:tc>
          <w:tcPr>
            <w:tcW w:w="2268" w:type="dxa"/>
          </w:tcPr>
          <w:p>
            <w:pPr>
              <w:pStyle w:val="yTable"/>
              <w:spacing w:before="0" w:line="220" w:lineRule="exact"/>
              <w:jc w:val="right"/>
              <w:rPr>
                <w:sz w:val="20"/>
              </w:rPr>
            </w:pPr>
            <w:r>
              <w:rPr>
                <w:sz w:val="20"/>
              </w:rPr>
              <w:t>5</w:t>
            </w:r>
          </w:p>
        </w:tc>
      </w:tr>
      <w:tr>
        <w:tc>
          <w:tcPr>
            <w:tcW w:w="4820" w:type="dxa"/>
          </w:tcPr>
          <w:p>
            <w:pPr>
              <w:pStyle w:val="yTable"/>
              <w:spacing w:before="0" w:line="220" w:lineRule="exact"/>
              <w:rPr>
                <w:sz w:val="20"/>
              </w:rPr>
            </w:pPr>
            <w:r>
              <w:rPr>
                <w:sz w:val="20"/>
              </w:rPr>
              <w:t>Prize pool — division 1</w:t>
            </w:r>
          </w:p>
        </w:tc>
        <w:tc>
          <w:tcPr>
            <w:tcW w:w="2268" w:type="dxa"/>
          </w:tcPr>
          <w:p>
            <w:pPr>
              <w:pStyle w:val="yTable"/>
              <w:spacing w:before="0" w:line="220" w:lineRule="exact"/>
              <w:jc w:val="right"/>
              <w:rPr>
                <w:sz w:val="20"/>
              </w:rPr>
            </w:pPr>
            <w:r>
              <w:rPr>
                <w:sz w:val="20"/>
              </w:rPr>
              <w:t>26.2%</w:t>
            </w:r>
          </w:p>
        </w:tc>
      </w:tr>
      <w:tr>
        <w:tc>
          <w:tcPr>
            <w:tcW w:w="4820" w:type="dxa"/>
          </w:tcPr>
          <w:p>
            <w:pPr>
              <w:pStyle w:val="yTable"/>
              <w:spacing w:before="0" w:line="220" w:lineRule="exact"/>
              <w:rPr>
                <w:sz w:val="20"/>
              </w:rPr>
            </w:pPr>
            <w:r>
              <w:rPr>
                <w:sz w:val="20"/>
              </w:rPr>
              <w:t>Prize pool — division 2</w:t>
            </w:r>
          </w:p>
        </w:tc>
        <w:tc>
          <w:tcPr>
            <w:tcW w:w="2268" w:type="dxa"/>
          </w:tcPr>
          <w:p>
            <w:pPr>
              <w:pStyle w:val="yTable"/>
              <w:spacing w:before="0" w:line="220" w:lineRule="exact"/>
              <w:jc w:val="right"/>
              <w:rPr>
                <w:sz w:val="20"/>
              </w:rPr>
            </w:pPr>
            <w:r>
              <w:rPr>
                <w:sz w:val="20"/>
              </w:rPr>
              <w:t>6.7%</w:t>
            </w:r>
          </w:p>
        </w:tc>
      </w:tr>
      <w:tr>
        <w:tc>
          <w:tcPr>
            <w:tcW w:w="4820" w:type="dxa"/>
          </w:tcPr>
          <w:p>
            <w:pPr>
              <w:pStyle w:val="yTable"/>
              <w:spacing w:before="0" w:line="220" w:lineRule="exact"/>
              <w:rPr>
                <w:sz w:val="20"/>
              </w:rPr>
            </w:pPr>
            <w:r>
              <w:rPr>
                <w:sz w:val="20"/>
              </w:rPr>
              <w:t>Prize pool — division 3</w:t>
            </w:r>
          </w:p>
        </w:tc>
        <w:tc>
          <w:tcPr>
            <w:tcW w:w="2268" w:type="dxa"/>
          </w:tcPr>
          <w:p>
            <w:pPr>
              <w:pStyle w:val="yTable"/>
              <w:spacing w:before="0" w:line="220" w:lineRule="exact"/>
              <w:jc w:val="right"/>
              <w:rPr>
                <w:sz w:val="20"/>
              </w:rPr>
            </w:pPr>
            <w:r>
              <w:rPr>
                <w:sz w:val="20"/>
              </w:rPr>
              <w:t>12.4%</w:t>
            </w:r>
          </w:p>
        </w:tc>
      </w:tr>
      <w:tr>
        <w:tc>
          <w:tcPr>
            <w:tcW w:w="4820" w:type="dxa"/>
          </w:tcPr>
          <w:p>
            <w:pPr>
              <w:pStyle w:val="yTable"/>
              <w:spacing w:before="0" w:line="220" w:lineRule="exact"/>
              <w:rPr>
                <w:sz w:val="20"/>
              </w:rPr>
            </w:pPr>
            <w:r>
              <w:rPr>
                <w:sz w:val="20"/>
              </w:rPr>
              <w:t>Prize pool — division 4</w:t>
            </w:r>
          </w:p>
        </w:tc>
        <w:tc>
          <w:tcPr>
            <w:tcW w:w="2268" w:type="dxa"/>
          </w:tcPr>
          <w:p>
            <w:pPr>
              <w:pStyle w:val="yTable"/>
              <w:spacing w:before="0" w:line="220" w:lineRule="exact"/>
              <w:jc w:val="right"/>
              <w:rPr>
                <w:sz w:val="20"/>
              </w:rPr>
            </w:pPr>
            <w:r>
              <w:rPr>
                <w:sz w:val="20"/>
              </w:rPr>
              <w:t>21.1%</w:t>
            </w:r>
          </w:p>
        </w:tc>
      </w:tr>
      <w:tr>
        <w:tc>
          <w:tcPr>
            <w:tcW w:w="4820" w:type="dxa"/>
          </w:tcPr>
          <w:p>
            <w:pPr>
              <w:pStyle w:val="yTable"/>
              <w:spacing w:before="0" w:line="220" w:lineRule="exact"/>
              <w:rPr>
                <w:sz w:val="20"/>
              </w:rPr>
            </w:pPr>
            <w:r>
              <w:rPr>
                <w:sz w:val="20"/>
              </w:rPr>
              <w:t>Prize pool — division 5</w:t>
            </w:r>
          </w:p>
        </w:tc>
        <w:tc>
          <w:tcPr>
            <w:tcW w:w="2268" w:type="dxa"/>
          </w:tcPr>
          <w:p>
            <w:pPr>
              <w:pStyle w:val="yTable"/>
              <w:spacing w:before="0" w:line="220" w:lineRule="exact"/>
              <w:jc w:val="right"/>
              <w:rPr>
                <w:sz w:val="20"/>
              </w:rPr>
            </w:pPr>
            <w:r>
              <w:rPr>
                <w:sz w:val="20"/>
              </w:rPr>
              <w:t>33.6%</w:t>
            </w:r>
          </w:p>
        </w:tc>
      </w:tr>
      <w:tr>
        <w:tc>
          <w:tcPr>
            <w:tcW w:w="4820" w:type="dxa"/>
          </w:tcPr>
          <w:p>
            <w:pPr>
              <w:pStyle w:val="yTable"/>
              <w:spacing w:before="0" w:line="220" w:lineRule="exact"/>
              <w:rPr>
                <w:sz w:val="20"/>
              </w:rPr>
            </w:pPr>
            <w:r>
              <w:rPr>
                <w:sz w:val="20"/>
              </w:rPr>
              <w:t>Winning numbers drawn</w:t>
            </w:r>
          </w:p>
        </w:tc>
        <w:tc>
          <w:tcPr>
            <w:tcW w:w="2268" w:type="dxa"/>
          </w:tcPr>
          <w:p>
            <w:pPr>
              <w:pStyle w:val="yTable"/>
              <w:spacing w:before="0" w:line="220" w:lineRule="exact"/>
              <w:jc w:val="right"/>
              <w:rPr>
                <w:sz w:val="20"/>
              </w:rPr>
            </w:pPr>
            <w:r>
              <w:rPr>
                <w:sz w:val="20"/>
              </w:rPr>
              <w:t>6</w:t>
            </w:r>
          </w:p>
        </w:tc>
      </w:tr>
      <w:tr>
        <w:tc>
          <w:tcPr>
            <w:tcW w:w="4820" w:type="dxa"/>
          </w:tcPr>
          <w:p>
            <w:pPr>
              <w:pStyle w:val="yTable"/>
              <w:spacing w:before="0" w:line="220" w:lineRule="exact"/>
              <w:rPr>
                <w:sz w:val="20"/>
              </w:rPr>
            </w:pPr>
            <w:r>
              <w:rPr>
                <w:sz w:val="20"/>
              </w:rPr>
              <w:t>Supplementary numbers drawn</w:t>
            </w:r>
          </w:p>
        </w:tc>
        <w:tc>
          <w:tcPr>
            <w:tcW w:w="2268" w:type="dxa"/>
          </w:tcPr>
          <w:p>
            <w:pPr>
              <w:pStyle w:val="yTable"/>
              <w:spacing w:before="0" w:line="220" w:lineRule="exact"/>
              <w:jc w:val="right"/>
              <w:rPr>
                <w:sz w:val="20"/>
              </w:rPr>
            </w:pPr>
            <w:r>
              <w:rPr>
                <w:sz w:val="20"/>
              </w:rPr>
              <w:t>2</w:t>
            </w:r>
          </w:p>
        </w:tc>
      </w:tr>
      <w:tr>
        <w:tc>
          <w:tcPr>
            <w:tcW w:w="4820" w:type="dxa"/>
          </w:tcPr>
          <w:p>
            <w:pPr>
              <w:pStyle w:val="yTable"/>
              <w:spacing w:before="0" w:line="220" w:lineRule="exact"/>
              <w:rPr>
                <w:sz w:val="20"/>
              </w:rPr>
            </w:pPr>
            <w:r>
              <w:rPr>
                <w:sz w:val="20"/>
              </w:rPr>
              <w:t>Forecast range </w:t>
            </w:r>
          </w:p>
        </w:tc>
        <w:tc>
          <w:tcPr>
            <w:tcW w:w="2268" w:type="dxa"/>
          </w:tcPr>
          <w:p>
            <w:pPr>
              <w:pStyle w:val="yTable"/>
              <w:spacing w:before="0" w:line="220" w:lineRule="exact"/>
              <w:jc w:val="right"/>
              <w:rPr>
                <w:sz w:val="20"/>
              </w:rPr>
            </w:pPr>
            <w:r>
              <w:rPr>
                <w:sz w:val="20"/>
              </w:rPr>
              <w:t>1 to 45 inclusive</w:t>
            </w:r>
          </w:p>
        </w:tc>
      </w:tr>
      <w:tr>
        <w:tc>
          <w:tcPr>
            <w:tcW w:w="4820"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268" w:type="dxa"/>
          </w:tcPr>
          <w:p>
            <w:pPr>
              <w:pStyle w:val="yTable"/>
              <w:spacing w:before="0" w:line="220" w:lineRule="exact"/>
              <w:jc w:val="right"/>
              <w:rPr>
                <w:sz w:val="20"/>
              </w:rPr>
            </w:pPr>
          </w:p>
          <w:p>
            <w:pPr>
              <w:pStyle w:val="yTable"/>
              <w:spacing w:before="0" w:line="220" w:lineRule="exact"/>
              <w:jc w:val="right"/>
              <w:rPr>
                <w:sz w:val="20"/>
              </w:rPr>
            </w:pPr>
            <w:r>
              <w:rPr>
                <w:sz w:val="20"/>
              </w:rPr>
              <w:t>1 in 8 145 060</w:t>
            </w:r>
          </w:p>
          <w:p>
            <w:pPr>
              <w:pStyle w:val="yTable"/>
              <w:spacing w:before="0" w:line="220" w:lineRule="exact"/>
              <w:jc w:val="right"/>
              <w:rPr>
                <w:sz w:val="20"/>
              </w:rPr>
            </w:pPr>
            <w:r>
              <w:rPr>
                <w:sz w:val="20"/>
              </w:rPr>
              <w:t>1 in 678 755</w:t>
            </w:r>
          </w:p>
          <w:p>
            <w:pPr>
              <w:pStyle w:val="yTable"/>
              <w:spacing w:before="0" w:line="220" w:lineRule="exact"/>
              <w:jc w:val="right"/>
              <w:rPr>
                <w:sz w:val="20"/>
              </w:rPr>
            </w:pPr>
            <w:r>
              <w:rPr>
                <w:sz w:val="20"/>
              </w:rPr>
              <w:t>1 in 36 690</w:t>
            </w:r>
          </w:p>
          <w:p>
            <w:pPr>
              <w:pStyle w:val="yTable"/>
              <w:spacing w:before="0" w:line="220" w:lineRule="exact"/>
              <w:jc w:val="right"/>
              <w:rPr>
                <w:sz w:val="20"/>
              </w:rPr>
            </w:pPr>
            <w:r>
              <w:rPr>
                <w:sz w:val="20"/>
              </w:rPr>
              <w:t>1 in 733</w:t>
            </w:r>
          </w:p>
          <w:p>
            <w:pPr>
              <w:pStyle w:val="yTable"/>
              <w:spacing w:before="0" w:line="220" w:lineRule="exact"/>
              <w:jc w:val="right"/>
              <w:rPr>
                <w:sz w:val="20"/>
              </w:rPr>
            </w:pPr>
            <w:r>
              <w:rPr>
                <w:sz w:val="20"/>
              </w:rPr>
              <w:t>1 in 298</w:t>
            </w:r>
          </w:p>
        </w:tc>
      </w:tr>
      <w:tr>
        <w:tc>
          <w:tcPr>
            <w:tcW w:w="4820" w:type="dxa"/>
          </w:tcPr>
          <w:p>
            <w:pPr>
              <w:pStyle w:val="yTable"/>
              <w:spacing w:before="0" w:line="220" w:lineRule="exact"/>
              <w:rPr>
                <w:sz w:val="20"/>
              </w:rPr>
            </w:pPr>
            <w:r>
              <w:rPr>
                <w:sz w:val="20"/>
              </w:rPr>
              <w:t>Systems range</w:t>
            </w:r>
          </w:p>
        </w:tc>
        <w:tc>
          <w:tcPr>
            <w:tcW w:w="2268" w:type="dxa"/>
          </w:tcPr>
          <w:p>
            <w:pPr>
              <w:pStyle w:val="yTable"/>
              <w:spacing w:before="0" w:line="220" w:lineRule="exact"/>
              <w:jc w:val="right"/>
              <w:rPr>
                <w:sz w:val="20"/>
              </w:rPr>
            </w:pPr>
            <w:r>
              <w:rPr>
                <w:sz w:val="20"/>
              </w:rPr>
              <w:t>4</w:t>
            </w:r>
            <w:r>
              <w:rPr>
                <w:sz w:val="20"/>
              </w:rPr>
              <w:noBreakHyphen/>
              <w:t>5/7</w:t>
            </w:r>
            <w:r>
              <w:rPr>
                <w:sz w:val="20"/>
              </w:rPr>
              <w:noBreakHyphen/>
              <w:t>20 inclusive</w:t>
            </w:r>
          </w:p>
        </w:tc>
      </w:tr>
      <w:tr>
        <w:tc>
          <w:tcPr>
            <w:tcW w:w="4820" w:type="dxa"/>
          </w:tcPr>
          <w:p>
            <w:pPr>
              <w:pStyle w:val="yTable"/>
              <w:spacing w:before="0" w:line="220" w:lineRule="exact"/>
              <w:rPr>
                <w:sz w:val="20"/>
              </w:rPr>
            </w:pPr>
            <w:r>
              <w:rPr>
                <w:sz w:val="20"/>
              </w:rPr>
              <w:t>Multiweek options (</w:t>
            </w:r>
            <w:r>
              <w:rPr>
                <w:i/>
                <w:iCs/>
                <w:sz w:val="20"/>
              </w:rPr>
              <w:t>if available</w:t>
            </w:r>
            <w:r>
              <w:rPr>
                <w:sz w:val="20"/>
              </w:rPr>
              <w:t>)</w:t>
            </w:r>
          </w:p>
        </w:tc>
        <w:tc>
          <w:tcPr>
            <w:tcW w:w="2268" w:type="dxa"/>
          </w:tcPr>
          <w:p>
            <w:pPr>
              <w:pStyle w:val="yTable"/>
              <w:spacing w:before="0" w:line="220" w:lineRule="exact"/>
              <w:jc w:val="right"/>
              <w:rPr>
                <w:sz w:val="20"/>
              </w:rPr>
            </w:pPr>
            <w:r>
              <w:rPr>
                <w:sz w:val="20"/>
              </w:rPr>
              <w:t>2, 5 or 10 weeks</w:t>
            </w:r>
          </w:p>
        </w:tc>
      </w:tr>
      <w:tr>
        <w:tc>
          <w:tcPr>
            <w:tcW w:w="4820" w:type="dxa"/>
          </w:tcPr>
          <w:p>
            <w:pPr>
              <w:pStyle w:val="yTable"/>
              <w:spacing w:before="0" w:line="220" w:lineRule="exact"/>
              <w:rPr>
                <w:sz w:val="20"/>
              </w:rPr>
            </w:pPr>
            <w:r>
              <w:rPr>
                <w:sz w:val="20"/>
              </w:rPr>
              <w:t>Advance sales (maximum) (</w:t>
            </w:r>
            <w:r>
              <w:rPr>
                <w:i/>
                <w:iCs/>
                <w:sz w:val="20"/>
              </w:rPr>
              <w:t>if available</w:t>
            </w:r>
            <w:r>
              <w:rPr>
                <w:sz w:val="20"/>
              </w:rPr>
              <w:t>)</w:t>
            </w:r>
          </w:p>
        </w:tc>
        <w:tc>
          <w:tcPr>
            <w:tcW w:w="2268" w:type="dxa"/>
          </w:tcPr>
          <w:p>
            <w:pPr>
              <w:pStyle w:val="yTable"/>
              <w:spacing w:before="0" w:line="220" w:lineRule="exact"/>
              <w:jc w:val="right"/>
              <w:rPr>
                <w:sz w:val="20"/>
              </w:rPr>
            </w:pPr>
            <w:r>
              <w:rPr>
                <w:sz w:val="20"/>
              </w:rPr>
              <w:t>10 weeks</w:t>
            </w:r>
          </w:p>
        </w:tc>
      </w:tr>
      <w:tr>
        <w:tc>
          <w:tcPr>
            <w:tcW w:w="4820" w:type="dxa"/>
          </w:tcPr>
          <w:p>
            <w:pPr>
              <w:pStyle w:val="yTable"/>
              <w:spacing w:before="0" w:line="220" w:lineRule="exact"/>
              <w:rPr>
                <w:sz w:val="20"/>
              </w:rPr>
            </w:pPr>
            <w:r>
              <w:rPr>
                <w:sz w:val="20"/>
              </w:rPr>
              <w:t>Games per entry coupon (minimum)</w:t>
            </w:r>
          </w:p>
        </w:tc>
        <w:tc>
          <w:tcPr>
            <w:tcW w:w="2268" w:type="dxa"/>
          </w:tcPr>
          <w:p>
            <w:pPr>
              <w:pStyle w:val="yTable"/>
              <w:spacing w:before="0" w:line="220" w:lineRule="exact"/>
              <w:jc w:val="right"/>
              <w:rPr>
                <w:sz w:val="20"/>
              </w:rPr>
            </w:pPr>
            <w:r>
              <w:rPr>
                <w:sz w:val="20"/>
              </w:rPr>
              <w:t>4</w:t>
            </w:r>
          </w:p>
        </w:tc>
      </w:tr>
      <w:tr>
        <w:tc>
          <w:tcPr>
            <w:tcW w:w="4820" w:type="dxa"/>
          </w:tcPr>
          <w:p>
            <w:pPr>
              <w:pStyle w:val="yTable"/>
              <w:spacing w:before="0" w:line="220" w:lineRule="exact"/>
              <w:rPr>
                <w:sz w:val="20"/>
              </w:rPr>
            </w:pPr>
            <w:r>
              <w:rPr>
                <w:sz w:val="20"/>
              </w:rPr>
              <w:t>Systems entries per entry coupon (maximum) (subject to maximum aggregate entry cost)</w:t>
            </w:r>
          </w:p>
        </w:tc>
        <w:tc>
          <w:tcPr>
            <w:tcW w:w="2268" w:type="dxa"/>
          </w:tcPr>
          <w:p>
            <w:pPr>
              <w:pStyle w:val="yTable"/>
              <w:spacing w:before="0" w:line="220" w:lineRule="exact"/>
              <w:jc w:val="right"/>
              <w:rPr>
                <w:sz w:val="20"/>
              </w:rPr>
            </w:pPr>
            <w:r>
              <w:rPr>
                <w:sz w:val="20"/>
              </w:rPr>
              <w:t>12</w:t>
            </w:r>
          </w:p>
        </w:tc>
      </w:tr>
      <w:tr>
        <w:tc>
          <w:tcPr>
            <w:tcW w:w="4820" w:type="dxa"/>
          </w:tcPr>
          <w:p>
            <w:pPr>
              <w:pStyle w:val="yTable"/>
              <w:spacing w:before="0" w:line="220" w:lineRule="exact"/>
              <w:rPr>
                <w:sz w:val="20"/>
              </w:rPr>
            </w:pPr>
            <w:r>
              <w:rPr>
                <w:sz w:val="20"/>
              </w:rPr>
              <w:t>Games per entry coupon (maximum)</w:t>
            </w:r>
          </w:p>
          <w:p>
            <w:pPr>
              <w:pStyle w:val="yTable"/>
              <w:spacing w:before="0" w:line="220" w:lineRule="exact"/>
              <w:rPr>
                <w:sz w:val="20"/>
              </w:rPr>
            </w:pPr>
            <w:r>
              <w:rPr>
                <w:sz w:val="20"/>
              </w:rPr>
              <w:t>Systems entries per entry coupon</w:t>
            </w:r>
          </w:p>
          <w:p>
            <w:pPr>
              <w:pStyle w:val="yTable"/>
              <w:spacing w:before="0" w:line="220" w:lineRule="exact"/>
              <w:rPr>
                <w:sz w:val="20"/>
              </w:rPr>
            </w:pPr>
            <w:r>
              <w:rPr>
                <w:sz w:val="20"/>
              </w:rPr>
              <w:t> </w:t>
            </w:r>
            <w:r>
              <w:rPr>
                <w:sz w:val="20"/>
              </w:rPr>
              <w:t> </w:t>
            </w:r>
            <w:r>
              <w:rPr>
                <w:sz w:val="20"/>
              </w:rPr>
              <w:t>— systems 4 to 8 (maximum)</w:t>
            </w:r>
          </w:p>
          <w:p>
            <w:pPr>
              <w:pStyle w:val="yTable"/>
              <w:spacing w:before="0" w:line="220" w:lineRule="exact"/>
              <w:rPr>
                <w:sz w:val="20"/>
              </w:rPr>
            </w:pPr>
            <w:r>
              <w:rPr>
                <w:sz w:val="20"/>
              </w:rPr>
              <w:t> </w:t>
            </w:r>
            <w:r>
              <w:rPr>
                <w:sz w:val="20"/>
              </w:rPr>
              <w:t> </w:t>
            </w:r>
            <w:r>
              <w:rPr>
                <w:sz w:val="20"/>
              </w:rPr>
              <w:t>— systems 9 to 20 (maximum)</w:t>
            </w:r>
          </w:p>
        </w:tc>
        <w:tc>
          <w:tcPr>
            <w:tcW w:w="2268" w:type="dxa"/>
          </w:tcPr>
          <w:p>
            <w:pPr>
              <w:pStyle w:val="yTable"/>
              <w:spacing w:before="0" w:line="220" w:lineRule="exact"/>
              <w:jc w:val="right"/>
              <w:rPr>
                <w:sz w:val="20"/>
              </w:rPr>
            </w:pPr>
            <w:r>
              <w:rPr>
                <w:sz w:val="20"/>
              </w:rPr>
              <w:t>12</w:t>
            </w:r>
          </w:p>
          <w:p>
            <w:pPr>
              <w:pStyle w:val="yTable"/>
              <w:spacing w:before="0" w:line="220" w:lineRule="exact"/>
              <w:jc w:val="right"/>
              <w:rPr>
                <w:sz w:val="20"/>
              </w:rPr>
            </w:pPr>
          </w:p>
          <w:p>
            <w:pPr>
              <w:pStyle w:val="yTable"/>
              <w:spacing w:before="0" w:line="220" w:lineRule="exact"/>
              <w:jc w:val="right"/>
              <w:rPr>
                <w:sz w:val="20"/>
              </w:rPr>
            </w:pPr>
            <w:r>
              <w:rPr>
                <w:sz w:val="20"/>
              </w:rPr>
              <w:t>12</w:t>
            </w:r>
          </w:p>
          <w:p>
            <w:pPr>
              <w:pStyle w:val="yTable"/>
              <w:spacing w:before="0" w:line="220" w:lineRule="exact"/>
              <w:jc w:val="right"/>
              <w:rPr>
                <w:sz w:val="20"/>
              </w:rPr>
            </w:pPr>
            <w:r>
              <w:rPr>
                <w:sz w:val="20"/>
              </w:rPr>
              <w:t>5</w:t>
            </w:r>
          </w:p>
        </w:tc>
      </w:tr>
      <w:tr>
        <w:tc>
          <w:tcPr>
            <w:tcW w:w="4820" w:type="dxa"/>
          </w:tcPr>
          <w:p>
            <w:pPr>
              <w:pStyle w:val="yTable"/>
              <w:spacing w:before="0" w:line="220" w:lineRule="exact"/>
              <w:rPr>
                <w:sz w:val="20"/>
              </w:rPr>
            </w:pPr>
            <w:r>
              <w:rPr>
                <w:sz w:val="20"/>
              </w:rPr>
              <w:t>Games per oral request</w:t>
            </w:r>
          </w:p>
        </w:tc>
        <w:tc>
          <w:tcPr>
            <w:tcW w:w="2268" w:type="dxa"/>
          </w:tcPr>
          <w:p>
            <w:pPr>
              <w:pStyle w:val="yTable"/>
              <w:spacing w:before="0" w:line="220" w:lineRule="exact"/>
              <w:jc w:val="right"/>
              <w:rPr>
                <w:sz w:val="20"/>
              </w:rPr>
            </w:pPr>
            <w:r>
              <w:rPr>
                <w:sz w:val="20"/>
              </w:rPr>
              <w:t>12, 14, 18 or 25</w:t>
            </w:r>
          </w:p>
        </w:tc>
      </w:tr>
      <w:tr>
        <w:tc>
          <w:tcPr>
            <w:tcW w:w="4820" w:type="dxa"/>
          </w:tcPr>
          <w:p>
            <w:pPr>
              <w:pStyle w:val="yTable"/>
              <w:spacing w:before="0" w:line="220" w:lineRule="exact"/>
              <w:rPr>
                <w:sz w:val="20"/>
              </w:rPr>
            </w:pPr>
            <w:r>
              <w:rPr>
                <w:sz w:val="20"/>
              </w:rPr>
              <w:t>Systems entries per oral request</w:t>
            </w:r>
          </w:p>
        </w:tc>
        <w:tc>
          <w:tcPr>
            <w:tcW w:w="2268" w:type="dxa"/>
          </w:tcPr>
          <w:p>
            <w:pPr>
              <w:pStyle w:val="yTable"/>
              <w:spacing w:before="0" w:line="220" w:lineRule="exact"/>
              <w:jc w:val="right"/>
              <w:rPr>
                <w:sz w:val="20"/>
              </w:rPr>
            </w:pPr>
            <w:r>
              <w:rPr>
                <w:sz w:val="20"/>
              </w:rPr>
              <w:t>1</w:t>
            </w:r>
          </w:p>
        </w:tc>
      </w:tr>
      <w:tr>
        <w:tc>
          <w:tcPr>
            <w:tcW w:w="4820" w:type="dxa"/>
          </w:tcPr>
          <w:p>
            <w:pPr>
              <w:pStyle w:val="yTable"/>
              <w:spacing w:before="0" w:line="220" w:lineRule="exact"/>
              <w:rPr>
                <w:sz w:val="20"/>
              </w:rPr>
            </w:pPr>
            <w:r>
              <w:rPr>
                <w:sz w:val="20"/>
              </w:rPr>
              <w:t>Prize payout period</w:t>
            </w:r>
          </w:p>
        </w:tc>
        <w:tc>
          <w:tcPr>
            <w:tcW w:w="2268" w:type="dxa"/>
          </w:tcPr>
          <w:p>
            <w:pPr>
              <w:pStyle w:val="yTable"/>
              <w:spacing w:before="0" w:line="220" w:lineRule="exact"/>
              <w:jc w:val="right"/>
              <w:rPr>
                <w:sz w:val="20"/>
              </w:rPr>
            </w:pPr>
            <w:r>
              <w:rPr>
                <w:sz w:val="20"/>
              </w:rPr>
              <w:t>12 months</w:t>
            </w:r>
          </w:p>
        </w:tc>
      </w:tr>
      <w:tr>
        <w:tc>
          <w:tcPr>
            <w:tcW w:w="4820" w:type="dxa"/>
          </w:tcPr>
          <w:p>
            <w:pPr>
              <w:pStyle w:val="yTable"/>
              <w:spacing w:before="0" w:line="220" w:lineRule="exact"/>
              <w:rPr>
                <w:sz w:val="20"/>
              </w:rPr>
            </w:pPr>
            <w:r>
              <w:rPr>
                <w:sz w:val="20"/>
              </w:rPr>
              <w:t>Maximum Aggregate Entry Cost</w:t>
            </w:r>
          </w:p>
        </w:tc>
        <w:tc>
          <w:tcPr>
            <w:tcW w:w="2268" w:type="dxa"/>
          </w:tcPr>
          <w:p>
            <w:pPr>
              <w:pStyle w:val="yTable"/>
              <w:spacing w:before="0" w:line="220" w:lineRule="exact"/>
              <w:jc w:val="right"/>
              <w:rPr>
                <w:sz w:val="20"/>
              </w:rPr>
            </w:pPr>
            <w:r>
              <w:rPr>
                <w:sz w:val="20"/>
              </w:rPr>
              <w:t>$99,999.00</w:t>
            </w:r>
          </w:p>
        </w:tc>
      </w:tr>
    </w:tbl>
    <w:p>
      <w:pPr>
        <w:pStyle w:val="yFootnotesection"/>
      </w:pPr>
      <w:r>
        <w:tab/>
        <w:t>[Schedule 3 amended in Gazette 29 Apr 1997 p. 2147; 9 Mar 2001 p. 1327</w:t>
      </w:r>
      <w:r>
        <w:noBreakHyphen/>
        <w:t xml:space="preserve">8; 10 Sep 2002 p. 4601; 23 Dec 2005 p. 6275.]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0" w:name="_Toc170211311"/>
      <w:r>
        <w:t>Notes</w:t>
      </w:r>
      <w:bookmarkEnd w:id="160"/>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 w:name="_Toc5072022"/>
      <w:bookmarkStart w:id="162" w:name="_Toc170211312"/>
      <w:r>
        <w:t>Compilation table</w:t>
      </w:r>
      <w:bookmarkEnd w:id="161"/>
      <w:bookmarkEnd w:id="162"/>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 35(1): 1 Jan 1997 (see r. 2(2));</w:t>
            </w:r>
            <w:r>
              <w:rPr>
                <w:sz w:val="19"/>
              </w:rPr>
              <w:br/>
              <w:t>balance: 18 Nov 1996 (see r. 2(1))</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8" w:type="dxa"/>
            <w:tcBorders>
              <w:bottom w:val="single" w:sz="8" w:space="0" w:color="auto"/>
            </w:tcBorders>
          </w:tcPr>
          <w:p>
            <w:pPr>
              <w:pStyle w:val="nTable"/>
              <w:spacing w:after="40"/>
              <w:ind w:right="113"/>
              <w:rPr>
                <w:i/>
                <w:sz w:val="19"/>
              </w:rPr>
            </w:pPr>
            <w:r>
              <w:rPr>
                <w:i/>
                <w:sz w:val="19"/>
              </w:rPr>
              <w:t>Lotteries Commission (Saturday Lotto) Amendment Rules  2005</w:t>
            </w:r>
          </w:p>
        </w:tc>
        <w:tc>
          <w:tcPr>
            <w:tcW w:w="1276" w:type="dxa"/>
            <w:tcBorders>
              <w:bottom w:val="single" w:sz="8" w:space="0" w:color="auto"/>
            </w:tcBorders>
          </w:tcPr>
          <w:p>
            <w:pPr>
              <w:pStyle w:val="nTable"/>
              <w:spacing w:after="40"/>
              <w:rPr>
                <w:sz w:val="19"/>
              </w:rPr>
            </w:pPr>
            <w:r>
              <w:rPr>
                <w:sz w:val="19"/>
              </w:rPr>
              <w:t>23 Dec 2005 p. 6274-5</w:t>
            </w:r>
          </w:p>
        </w:tc>
        <w:tc>
          <w:tcPr>
            <w:tcW w:w="2693" w:type="dxa"/>
            <w:tcBorders>
              <w:bottom w:val="single" w:sz="8" w:space="0" w:color="auto"/>
            </w:tcBorders>
          </w:tcPr>
          <w:p>
            <w:pPr>
              <w:pStyle w:val="nTable"/>
              <w:spacing w:after="40"/>
              <w:rPr>
                <w:sz w:val="19"/>
              </w:rPr>
            </w:pPr>
            <w:r>
              <w:rPr>
                <w:sz w:val="19"/>
              </w:rPr>
              <w:t>1 Jan 2006 (see r. 2)</w:t>
            </w:r>
          </w:p>
        </w:tc>
      </w:tr>
    </w:tbl>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Lotteries Commission (Saturday Lotto) Rules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06C6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3044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9A53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9ACB4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A66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6A32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46B0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F6D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30F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2E6F1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2493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FAFF3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7658</Words>
  <Characters>31630</Characters>
  <Application>Microsoft Office Word</Application>
  <DocSecurity>0</DocSecurity>
  <Lines>2875</Lines>
  <Paragraphs>2311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1996 - 01-d0-02</dc:title>
  <dc:subject/>
  <dc:creator/>
  <cp:keywords/>
  <dc:description/>
  <cp:lastModifiedBy>svcMRProcess</cp:lastModifiedBy>
  <cp:revision>4</cp:revision>
  <cp:lastPrinted>2002-06-24T04:45:00Z</cp:lastPrinted>
  <dcterms:created xsi:type="dcterms:W3CDTF">2018-09-12T15:31:00Z</dcterms:created>
  <dcterms:modified xsi:type="dcterms:W3CDTF">2018-09-12T15:31:00Z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20060101</vt:lpwstr>
  </property>
  <property fmtid="{D5CDD505-2E9C-101B-9397-08002B2CF9AE}" pid="4" name="AsAtDate">
    <vt:lpwstr>01 Jan 2006</vt:lpwstr>
  </property>
  <property fmtid="{D5CDD505-2E9C-101B-9397-08002B2CF9AE}" pid="5" name="Suffix">
    <vt:lpwstr>01-d0-02</vt:lpwstr>
  </property>
  <property fmtid="{D5CDD505-2E9C-101B-9397-08002B2CF9AE}" pid="6" name="DocumentType">
    <vt:lpwstr>Reg</vt:lpwstr>
  </property>
</Properties>
</file>