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Misuse of Drugs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_Toc164755565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_Toc164755566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_Toc164755567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_Toc164755568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_Toc164755569 \h </w:instrText>
      </w:r>
      <w:r>
        <w:fldChar w:fldCharType="separate"/>
      </w:r>
      <w:r>
        <w:t>1</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_Toc164755570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_Toc164755571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_Toc164755572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_Toc164755573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_Toc164755574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_Toc164755575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_Toc164755576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_Toc164755577 \h </w:instrText>
      </w:r>
      <w:r>
        <w:fldChar w:fldCharType="separate"/>
      </w:r>
      <w:r>
        <w:t>5</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_Toc164755578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_Toc164755579 \h </w:instrText>
      </w:r>
      <w:r>
        <w:fldChar w:fldCharType="separate"/>
      </w:r>
      <w:r>
        <w:t>6</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_Toc164755580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Destruction of things other than prohibited drugs or prohibited plants</w:t>
      </w:r>
      <w:r>
        <w:tab/>
      </w:r>
      <w:r>
        <w:fldChar w:fldCharType="begin"/>
      </w:r>
      <w:r>
        <w:instrText xml:space="preserve"> PAGEREF _Toc164755581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_Toc164755582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_Toc164755583 \h </w:instrText>
      </w:r>
      <w:r>
        <w:fldChar w:fldCharType="separate"/>
      </w:r>
      <w:r>
        <w:t>10</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_Toc164755584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_Toc164755585 \h </w:instrText>
      </w:r>
      <w:r>
        <w:fldChar w:fldCharType="separate"/>
      </w:r>
      <w:r>
        <w:t>10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_Toc164755595 \h </w:instrText>
      </w:r>
      <w:r>
        <w:fldChar w:fldCharType="separate"/>
      </w:r>
      <w:r>
        <w:t>32</w:t>
      </w:r>
      <w:r>
        <w:fldChar w:fldCharType="end"/>
      </w:r>
    </w:p>
    <w:p>
      <w:pPr>
        <w:pStyle w:val="TOC8"/>
        <w:rPr>
          <w:sz w:val="24"/>
        </w:rPr>
      </w:pPr>
      <w:r>
        <w:tab/>
        <w:t>Provisions that have not come into operation</w:t>
      </w:r>
      <w:r>
        <w:tab/>
      </w:r>
      <w:r>
        <w:fldChar w:fldCharType="begin"/>
      </w:r>
      <w:r>
        <w:instrText xml:space="preserve"> PAGEREF _Toc164755596 \h </w:instrText>
      </w:r>
      <w:r>
        <w:fldChar w:fldCharType="separate"/>
      </w:r>
      <w:r>
        <w:t>32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503174501"/>
      <w:bookmarkStart w:id="2" w:name="_Toc527969402"/>
      <w:bookmarkStart w:id="3" w:name="_Toc528027846"/>
      <w:bookmarkStart w:id="4" w:name="_Toc92426495"/>
      <w:bookmarkStart w:id="5" w:name="_Toc164755565"/>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6" w:name="_Toc503174502"/>
      <w:bookmarkStart w:id="7" w:name="_Toc527969403"/>
      <w:bookmarkStart w:id="8" w:name="_Toc528027847"/>
      <w:bookmarkStart w:id="9" w:name="_Toc92426496"/>
      <w:bookmarkStart w:id="10" w:name="_Toc164755566"/>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1" w:name="_Toc503174503"/>
      <w:bookmarkStart w:id="12" w:name="_Toc527969404"/>
      <w:bookmarkStart w:id="13" w:name="_Toc528027848"/>
      <w:bookmarkStart w:id="14" w:name="_Toc92426497"/>
      <w:bookmarkStart w:id="15" w:name="_Toc164755567"/>
      <w:r>
        <w:rPr>
          <w:rStyle w:val="CharSectno"/>
        </w:rPr>
        <w:t>3</w:t>
      </w:r>
      <w:r>
        <w:rPr>
          <w:snapToGrid w:val="0"/>
        </w:rPr>
        <w:t xml:space="preserve">. </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6" w:name="_Toc503174504"/>
      <w:bookmarkStart w:id="17" w:name="_Toc527969405"/>
      <w:bookmarkStart w:id="18" w:name="_Toc528027849"/>
      <w:bookmarkStart w:id="19" w:name="_Toc92426498"/>
      <w:bookmarkStart w:id="20" w:name="_Toc164755568"/>
      <w:r>
        <w:rPr>
          <w:rStyle w:val="CharSectno"/>
        </w:rPr>
        <w:t>3A</w:t>
      </w:r>
      <w:r>
        <w:rPr>
          <w:snapToGrid w:val="0"/>
        </w:rPr>
        <w:t xml:space="preserve">. </w:t>
      </w:r>
      <w:r>
        <w:rPr>
          <w:snapToGrid w:val="0"/>
        </w:rPr>
        <w:tab/>
        <w:t>Prescribed universities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1" w:name="_Toc92426499"/>
      <w:bookmarkStart w:id="22" w:name="_Toc164755569"/>
      <w:bookmarkStart w:id="23" w:name="_Toc503174505"/>
      <w:bookmarkStart w:id="24" w:name="_Toc527969406"/>
      <w:bookmarkStart w:id="25" w:name="_Toc528027850"/>
      <w:r>
        <w:rPr>
          <w:rStyle w:val="CharSectno"/>
        </w:rPr>
        <w:t>4</w:t>
      </w:r>
      <w:r>
        <w:t>.</w:t>
      </w:r>
      <w:r>
        <w:tab/>
        <w:t>Approved analysts (section 3(1))</w:t>
      </w:r>
      <w:bookmarkEnd w:id="21"/>
      <w:bookmarkEnd w:id="22"/>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26" w:name="_Toc92426500"/>
      <w:bookmarkStart w:id="27" w:name="_Toc164755570"/>
      <w:r>
        <w:t>5.</w:t>
      </w:r>
      <w:r>
        <w:tab/>
        <w:t>Category 1 items</w:t>
      </w:r>
      <w:bookmarkEnd w:id="26"/>
      <w:bookmarkEnd w:id="2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8" w:name="_Toc92426501"/>
      <w:bookmarkStart w:id="29" w:name="_Toc164755571"/>
      <w:r>
        <w:rPr>
          <w:rStyle w:val="CharSectno"/>
        </w:rPr>
        <w:t>5A</w:t>
      </w:r>
      <w:r>
        <w:t>.</w:t>
      </w:r>
      <w:r>
        <w:tab/>
        <w:t>Category 2 items</w:t>
      </w:r>
      <w:bookmarkEnd w:id="28"/>
      <w:bookmarkEnd w:id="2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0" w:name="_Toc92426502"/>
      <w:bookmarkStart w:id="31" w:name="_Toc164755572"/>
      <w:r>
        <w:rPr>
          <w:rStyle w:val="CharSectno"/>
        </w:rPr>
        <w:t>5B</w:t>
      </w:r>
      <w:r>
        <w:t>.</w:t>
      </w:r>
      <w:r>
        <w:tab/>
        <w:t>Prescribed classes of person</w:t>
      </w:r>
      <w:bookmarkEnd w:id="30"/>
      <w:bookmarkEnd w:id="31"/>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32" w:name="_Toc92426503"/>
      <w:bookmarkStart w:id="33" w:name="_Toc164755573"/>
      <w:r>
        <w:rPr>
          <w:rStyle w:val="CharSectno"/>
        </w:rPr>
        <w:t>5C</w:t>
      </w:r>
      <w:r>
        <w:t>.</w:t>
      </w:r>
      <w:r>
        <w:tab/>
        <w:t>Prescribed quantities</w:t>
      </w:r>
      <w:bookmarkEnd w:id="32"/>
      <w:bookmarkEnd w:id="33"/>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4" w:name="_Toc92426504"/>
      <w:bookmarkStart w:id="35" w:name="_Toc164755574"/>
      <w:r>
        <w:rPr>
          <w:rStyle w:val="CharSectno"/>
        </w:rPr>
        <w:t>5D</w:t>
      </w:r>
      <w:r>
        <w:t>.</w:t>
      </w:r>
      <w:r>
        <w:tab/>
        <w:t>Declarations</w:t>
      </w:r>
      <w:bookmarkEnd w:id="34"/>
      <w:bookmarkEnd w:id="3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6" w:name="_Toc92426505"/>
      <w:bookmarkStart w:id="37" w:name="_Toc164755575"/>
      <w:r>
        <w:rPr>
          <w:rStyle w:val="CharSectno"/>
        </w:rPr>
        <w:t>5E</w:t>
      </w:r>
      <w:r>
        <w:t>.</w:t>
      </w:r>
      <w:r>
        <w:tab/>
        <w:t>Evidence of identity</w:t>
      </w:r>
      <w:bookmarkEnd w:id="36"/>
      <w:bookmarkEnd w:id="3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38" w:name="_Toc92426506"/>
      <w:bookmarkStart w:id="39" w:name="_Toc164755576"/>
      <w:r>
        <w:rPr>
          <w:rStyle w:val="CharSectno"/>
        </w:rPr>
        <w:t>6</w:t>
      </w:r>
      <w:r>
        <w:rPr>
          <w:snapToGrid w:val="0"/>
        </w:rPr>
        <w:t xml:space="preserve">. </w:t>
      </w:r>
      <w:r>
        <w:rPr>
          <w:snapToGrid w:val="0"/>
        </w:rPr>
        <w:tab/>
        <w:t>Information on oath and search warrants under section 24(1)</w:t>
      </w:r>
      <w:bookmarkEnd w:id="23"/>
      <w:bookmarkEnd w:id="24"/>
      <w:bookmarkEnd w:id="25"/>
      <w:bookmarkEnd w:id="38"/>
      <w:bookmarkEnd w:id="39"/>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0" w:name="_Toc503174506"/>
      <w:bookmarkStart w:id="41" w:name="_Toc527969407"/>
      <w:bookmarkStart w:id="42" w:name="_Toc528027851"/>
      <w:bookmarkStart w:id="43" w:name="_Toc92426507"/>
      <w:bookmarkStart w:id="44" w:name="_Toc164755577"/>
      <w:r>
        <w:rPr>
          <w:rStyle w:val="CharSectno"/>
        </w:rPr>
        <w:t>7</w:t>
      </w:r>
      <w:r>
        <w:rPr>
          <w:snapToGrid w:val="0"/>
        </w:rPr>
        <w:t xml:space="preserve">. </w:t>
      </w:r>
      <w:r>
        <w:rPr>
          <w:snapToGrid w:val="0"/>
        </w:rPr>
        <w:tab/>
        <w:t>Destruction of prohibited plants and prohibited drugs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45" w:name="_Toc503174507"/>
      <w:bookmarkStart w:id="46" w:name="_Toc527969408"/>
      <w:bookmarkStart w:id="47" w:name="_Toc528027852"/>
      <w:bookmarkStart w:id="48" w:name="_Toc92426508"/>
      <w:bookmarkStart w:id="49" w:name="_Toc164755578"/>
      <w:r>
        <w:rPr>
          <w:rStyle w:val="CharSectno"/>
        </w:rPr>
        <w:t>7A</w:t>
      </w:r>
      <w:r>
        <w:rPr>
          <w:snapToGrid w:val="0"/>
        </w:rPr>
        <w:t xml:space="preserve">. </w:t>
      </w:r>
      <w:r>
        <w:rPr>
          <w:snapToGrid w:val="0"/>
        </w:rPr>
        <w:tab/>
        <w:t>Directions by Commissioner of Police for destruction of seized prohibited drugs, etc.</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50" w:name="_Toc503174508"/>
      <w:bookmarkStart w:id="51" w:name="_Toc527969409"/>
      <w:bookmarkStart w:id="52" w:name="_Toc528027853"/>
      <w:bookmarkStart w:id="53" w:name="_Toc92426509"/>
      <w:bookmarkStart w:id="54" w:name="_Toc164755579"/>
      <w:r>
        <w:rPr>
          <w:rStyle w:val="CharSectno"/>
        </w:rPr>
        <w:t>7B</w:t>
      </w:r>
      <w:r>
        <w:rPr>
          <w:snapToGrid w:val="0"/>
        </w:rPr>
        <w:t xml:space="preserve">. </w:t>
      </w:r>
      <w:r>
        <w:rPr>
          <w:snapToGrid w:val="0"/>
        </w:rPr>
        <w:tab/>
        <w:t>Analysis or examination at request of defendant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at the Drug Received Room at Police Headquarters in Perth; 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t>“</w:t>
      </w:r>
      <w:r>
        <w:rPr>
          <w:rStyle w:val="CharDefText"/>
        </w:rPr>
        <w:t>sufficient samples</w:t>
      </w:r>
      <w:r>
        <w:rPr>
          <w:b/>
        </w:rPr>
        <w:t>”</w:t>
      </w:r>
      <w:r>
        <w:t xml:space="preserve"> has the meaning given by section 27(6) of the Act.</w:t>
      </w:r>
    </w:p>
    <w:p>
      <w:pPr>
        <w:pStyle w:val="Footnotesection"/>
      </w:pPr>
      <w:r>
        <w:tab/>
        <w:t>[Regulation 7B inserted in Gazette 2 Jul 1996 p. 3197</w:t>
      </w:r>
      <w:r>
        <w:noBreakHyphen/>
        <w:t xml:space="preserve">9; amended in Gazette 11 Jul 2006 p. 2544.] </w:t>
      </w:r>
    </w:p>
    <w:p>
      <w:pPr>
        <w:pStyle w:val="Heading5"/>
        <w:rPr>
          <w:snapToGrid w:val="0"/>
        </w:rPr>
      </w:pPr>
      <w:bookmarkStart w:id="55" w:name="_Toc503174509"/>
      <w:bookmarkStart w:id="56" w:name="_Toc527969410"/>
      <w:bookmarkStart w:id="57" w:name="_Toc528027854"/>
      <w:bookmarkStart w:id="58" w:name="_Toc92426510"/>
      <w:bookmarkStart w:id="59" w:name="_Toc164755580"/>
      <w:r>
        <w:rPr>
          <w:rStyle w:val="CharSectno"/>
        </w:rPr>
        <w:t>8</w:t>
      </w:r>
      <w:r>
        <w:rPr>
          <w:snapToGrid w:val="0"/>
        </w:rPr>
        <w:t xml:space="preserve">. </w:t>
      </w:r>
      <w:r>
        <w:rPr>
          <w:snapToGrid w:val="0"/>
        </w:rPr>
        <w:tab/>
        <w:t>Part V holding orders and applications therefor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60" w:name="_Toc503174510"/>
      <w:bookmarkStart w:id="61" w:name="_Toc527969411"/>
      <w:bookmarkStart w:id="62" w:name="_Toc528027855"/>
      <w:bookmarkStart w:id="63" w:name="_Toc92426511"/>
      <w:bookmarkStart w:id="64" w:name="_Toc164755581"/>
      <w:r>
        <w:rPr>
          <w:rStyle w:val="CharSectno"/>
        </w:rPr>
        <w:t>9</w:t>
      </w:r>
      <w:r>
        <w:rPr>
          <w:snapToGrid w:val="0"/>
        </w:rPr>
        <w:t xml:space="preserve">. </w:t>
      </w:r>
      <w:r>
        <w:rPr>
          <w:snapToGrid w:val="0"/>
        </w:rPr>
        <w:tab/>
        <w:t>Destruction of things other than prohibited drugs or prohibited plants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65" w:name="_Toc503174511"/>
      <w:bookmarkStart w:id="66" w:name="_Toc527969412"/>
      <w:bookmarkStart w:id="67" w:name="_Toc528027856"/>
      <w:bookmarkStart w:id="68" w:name="_Toc92426512"/>
      <w:bookmarkStart w:id="69" w:name="_Toc164755582"/>
      <w:r>
        <w:rPr>
          <w:rStyle w:val="CharSectno"/>
        </w:rPr>
        <w:t>10</w:t>
      </w:r>
      <w:r>
        <w:rPr>
          <w:snapToGrid w:val="0"/>
        </w:rPr>
        <w:t xml:space="preserve">. </w:t>
      </w:r>
      <w:r>
        <w:rPr>
          <w:snapToGrid w:val="0"/>
        </w:rPr>
        <w:tab/>
        <w:t>Authorities and certificates under section 31</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snapToGrid w:val="0"/>
        </w:rPr>
      </w:pPr>
      <w:bookmarkStart w:id="70" w:name="_Toc503174512"/>
      <w:bookmarkStart w:id="71" w:name="_Toc527969413"/>
      <w:bookmarkStart w:id="72" w:name="_Toc528027857"/>
      <w:bookmarkStart w:id="73" w:name="_Toc92426513"/>
      <w:bookmarkStart w:id="74" w:name="_Toc164755583"/>
      <w:r>
        <w:rPr>
          <w:rStyle w:val="CharSectno"/>
        </w:rPr>
        <w:t>11</w:t>
      </w:r>
      <w:r>
        <w:rPr>
          <w:snapToGrid w:val="0"/>
        </w:rPr>
        <w:t xml:space="preserve">. </w:t>
      </w:r>
      <w:r>
        <w:rPr>
          <w:snapToGrid w:val="0"/>
        </w:rPr>
        <w:tab/>
        <w:t>Certificates of approved analysts or approved botanists</w:t>
      </w:r>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75" w:name="_Toc503174513"/>
      <w:bookmarkStart w:id="76" w:name="_Toc527969414"/>
      <w:bookmarkStart w:id="77" w:name="_Toc528027858"/>
      <w:bookmarkStart w:id="78" w:name="_Toc92426514"/>
      <w:bookmarkStart w:id="79" w:name="_Toc164755584"/>
      <w:r>
        <w:rPr>
          <w:rStyle w:val="CharSectno"/>
        </w:rPr>
        <w:t>11A</w:t>
      </w:r>
      <w:r>
        <w:rPr>
          <w:snapToGrid w:val="0"/>
        </w:rPr>
        <w:t xml:space="preserve">. </w:t>
      </w:r>
      <w:r>
        <w:rPr>
          <w:snapToGrid w:val="0"/>
        </w:rPr>
        <w:tab/>
        <w:t>Applications by defendants for copies of certificates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80" w:name="_Toc503174514"/>
      <w:bookmarkStart w:id="81" w:name="_Toc527969415"/>
      <w:bookmarkStart w:id="82" w:name="_Toc528027859"/>
      <w:bookmarkStart w:id="83" w:name="_Toc92426515"/>
      <w:bookmarkStart w:id="84" w:name="_Toc164755585"/>
      <w:r>
        <w:rPr>
          <w:rStyle w:val="CharSectno"/>
        </w:rPr>
        <w:t>12</w:t>
      </w:r>
      <w:r>
        <w:rPr>
          <w:snapToGrid w:val="0"/>
        </w:rPr>
        <w:t xml:space="preserve">. </w:t>
      </w:r>
      <w:r>
        <w:rPr>
          <w:snapToGrid w:val="0"/>
        </w:rPr>
        <w:tab/>
        <w:t>Fees</w:t>
      </w:r>
      <w:bookmarkEnd w:id="80"/>
      <w:bookmarkEnd w:id="81"/>
      <w:bookmarkEnd w:id="82"/>
      <w:bookmarkEnd w:id="83"/>
      <w:bookmarkEnd w:id="84"/>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5" w:name="_Toc92426516"/>
      <w:bookmarkStart w:id="86" w:name="_Toc140316168"/>
      <w:bookmarkStart w:id="87" w:name="_Toc140316199"/>
      <w:bookmarkStart w:id="88" w:name="_Toc140316230"/>
      <w:bookmarkStart w:id="89" w:name="_Toc140368300"/>
      <w:bookmarkStart w:id="90" w:name="_Toc164755586"/>
      <w:r>
        <w:rPr>
          <w:rStyle w:val="CharSchNo"/>
        </w:rPr>
        <w:t>Schedule 1</w:t>
      </w:r>
      <w:r>
        <w:t> — </w:t>
      </w:r>
      <w:r>
        <w:rPr>
          <w:rStyle w:val="CharSchText"/>
        </w:rPr>
        <w:t>Forms</w:t>
      </w:r>
      <w:bookmarkEnd w:id="85"/>
      <w:bookmarkEnd w:id="86"/>
      <w:bookmarkEnd w:id="87"/>
      <w:bookmarkEnd w:id="88"/>
      <w:bookmarkEnd w:id="89"/>
      <w:bookmarkEnd w:id="90"/>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ScheduleHeading"/>
      </w:pPr>
      <w:bookmarkStart w:id="91" w:name="_Toc92426517"/>
      <w:bookmarkStart w:id="92" w:name="_Toc140316169"/>
      <w:bookmarkStart w:id="93" w:name="_Toc140316200"/>
      <w:bookmarkStart w:id="94" w:name="_Toc140316231"/>
      <w:bookmarkStart w:id="95" w:name="_Toc140368301"/>
      <w:bookmarkStart w:id="96" w:name="_Toc164755587"/>
      <w:r>
        <w:rPr>
          <w:rStyle w:val="CharSchNo"/>
        </w:rPr>
        <w:t>Schedule 2</w:t>
      </w:r>
      <w:r>
        <w:t> — </w:t>
      </w:r>
      <w:r>
        <w:rPr>
          <w:rStyle w:val="CharSchText"/>
        </w:rPr>
        <w:t>Prescribed universities</w:t>
      </w:r>
      <w:bookmarkEnd w:id="91"/>
      <w:bookmarkEnd w:id="92"/>
      <w:bookmarkEnd w:id="93"/>
      <w:bookmarkEnd w:id="94"/>
      <w:bookmarkEnd w:id="95"/>
      <w:bookmarkEnd w:id="96"/>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97" w:name="_Toc92426518"/>
      <w:bookmarkStart w:id="98" w:name="_Toc140316170"/>
      <w:bookmarkStart w:id="99" w:name="_Toc140316201"/>
      <w:bookmarkStart w:id="100" w:name="_Toc140316232"/>
      <w:bookmarkStart w:id="101" w:name="_Toc140368302"/>
      <w:bookmarkStart w:id="102" w:name="_Toc164755588"/>
      <w:r>
        <w:rPr>
          <w:rStyle w:val="CharSchNo"/>
        </w:rPr>
        <w:t>Schedule 3</w:t>
      </w:r>
      <w:r>
        <w:t> — </w:t>
      </w:r>
      <w:r>
        <w:rPr>
          <w:rStyle w:val="CharSchText"/>
        </w:rPr>
        <w:t>Category 1 items</w:t>
      </w:r>
      <w:bookmarkEnd w:id="97"/>
      <w:bookmarkEnd w:id="98"/>
      <w:bookmarkEnd w:id="99"/>
      <w:bookmarkEnd w:id="100"/>
      <w:bookmarkEnd w:id="101"/>
      <w:bookmarkEnd w:id="102"/>
    </w:p>
    <w:p>
      <w:pPr>
        <w:pStyle w:val="yShoulderClause"/>
      </w:pPr>
      <w:r>
        <w:t>[r. 5, 5C]</w:t>
      </w:r>
    </w:p>
    <w:p>
      <w:pPr>
        <w:pStyle w:val="yHeading3"/>
      </w:pPr>
      <w:bookmarkStart w:id="103" w:name="_Toc92426519"/>
      <w:bookmarkStart w:id="104" w:name="_Toc140316171"/>
      <w:bookmarkStart w:id="105" w:name="_Toc140316202"/>
      <w:bookmarkStart w:id="106" w:name="_Toc140316233"/>
      <w:bookmarkStart w:id="107" w:name="_Toc140368303"/>
      <w:bookmarkStart w:id="108" w:name="_Toc164755589"/>
      <w:r>
        <w:t>Division 1</w:t>
      </w:r>
      <w:r>
        <w:rPr>
          <w:b w:val="0"/>
        </w:rPr>
        <w:t> — </w:t>
      </w:r>
      <w:r>
        <w:t>Substances</w:t>
      </w:r>
      <w:bookmarkEnd w:id="103"/>
      <w:bookmarkEnd w:id="104"/>
      <w:bookmarkEnd w:id="105"/>
      <w:bookmarkEnd w:id="106"/>
      <w:bookmarkEnd w:id="107"/>
      <w:bookmarkEnd w:id="108"/>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109" w:name="_Toc92426520"/>
      <w:bookmarkStart w:id="110" w:name="_Toc140316172"/>
      <w:bookmarkStart w:id="111" w:name="_Toc140316203"/>
      <w:bookmarkStart w:id="112" w:name="_Toc140316234"/>
      <w:bookmarkStart w:id="113" w:name="_Toc140368304"/>
      <w:bookmarkStart w:id="114" w:name="_Toc164755590"/>
      <w:r>
        <w:t>Division 2</w:t>
      </w:r>
      <w:r>
        <w:rPr>
          <w:b w:val="0"/>
        </w:rPr>
        <w:t> — </w:t>
      </w:r>
      <w:r>
        <w:t>Things</w:t>
      </w:r>
      <w:bookmarkEnd w:id="109"/>
      <w:bookmarkEnd w:id="110"/>
      <w:bookmarkEnd w:id="111"/>
      <w:bookmarkEnd w:id="112"/>
      <w:bookmarkEnd w:id="113"/>
      <w:bookmarkEnd w:id="114"/>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115" w:name="_Toc92426521"/>
      <w:bookmarkStart w:id="116" w:name="_Toc140316173"/>
      <w:bookmarkStart w:id="117" w:name="_Toc140316204"/>
      <w:bookmarkStart w:id="118" w:name="_Toc140316235"/>
      <w:bookmarkStart w:id="119" w:name="_Toc140368305"/>
      <w:bookmarkStart w:id="120" w:name="_Toc164755591"/>
      <w:r>
        <w:rPr>
          <w:rStyle w:val="CharSchNo"/>
        </w:rPr>
        <w:t>Schedule 4</w:t>
      </w:r>
      <w:r>
        <w:t> — </w:t>
      </w:r>
      <w:r>
        <w:rPr>
          <w:rStyle w:val="CharSchText"/>
        </w:rPr>
        <w:t>Category 2 items</w:t>
      </w:r>
      <w:bookmarkEnd w:id="115"/>
      <w:bookmarkEnd w:id="116"/>
      <w:bookmarkEnd w:id="117"/>
      <w:bookmarkEnd w:id="118"/>
      <w:bookmarkEnd w:id="119"/>
      <w:bookmarkEnd w:id="120"/>
    </w:p>
    <w:p>
      <w:pPr>
        <w:pStyle w:val="yShoulderClause"/>
      </w:pPr>
      <w:r>
        <w:t>[r. 5A, 5C]</w:t>
      </w:r>
    </w:p>
    <w:p>
      <w:pPr>
        <w:pStyle w:val="yHeading3"/>
      </w:pPr>
      <w:bookmarkStart w:id="121" w:name="_Toc92426522"/>
      <w:bookmarkStart w:id="122" w:name="_Toc140316174"/>
      <w:bookmarkStart w:id="123" w:name="_Toc140316205"/>
      <w:bookmarkStart w:id="124" w:name="_Toc140316236"/>
      <w:bookmarkStart w:id="125" w:name="_Toc140368306"/>
      <w:bookmarkStart w:id="126" w:name="_Toc164755592"/>
      <w:r>
        <w:t>Division 1</w:t>
      </w:r>
      <w:r>
        <w:rPr>
          <w:b w:val="0"/>
        </w:rPr>
        <w:t> — </w:t>
      </w:r>
      <w:r>
        <w:t>Substances</w:t>
      </w:r>
      <w:bookmarkEnd w:id="121"/>
      <w:bookmarkEnd w:id="122"/>
      <w:bookmarkEnd w:id="123"/>
      <w:bookmarkEnd w:id="124"/>
      <w:bookmarkEnd w:id="125"/>
      <w:bookmarkEnd w:id="126"/>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127" w:name="_Toc92426523"/>
      <w:bookmarkStart w:id="128" w:name="_Toc140316175"/>
      <w:bookmarkStart w:id="129" w:name="_Toc140316206"/>
      <w:bookmarkStart w:id="130" w:name="_Toc140316237"/>
      <w:bookmarkStart w:id="131" w:name="_Toc140368307"/>
      <w:bookmarkStart w:id="132" w:name="_Toc164755593"/>
      <w:r>
        <w:t>Division 2</w:t>
      </w:r>
      <w:r>
        <w:rPr>
          <w:b w:val="0"/>
        </w:rPr>
        <w:t> — </w:t>
      </w:r>
      <w:r>
        <w:t>Things</w:t>
      </w:r>
      <w:bookmarkEnd w:id="127"/>
      <w:bookmarkEnd w:id="128"/>
      <w:bookmarkEnd w:id="129"/>
      <w:bookmarkEnd w:id="130"/>
      <w:bookmarkEnd w:id="131"/>
      <w:bookmarkEnd w:id="132"/>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33" w:name="_Toc91485010"/>
      <w:bookmarkStart w:id="134" w:name="_Toc91485028"/>
      <w:bookmarkStart w:id="135" w:name="_Toc92426524"/>
      <w:bookmarkStart w:id="136" w:name="_Toc140316176"/>
      <w:bookmarkStart w:id="137" w:name="_Toc140316207"/>
      <w:bookmarkStart w:id="138" w:name="_Toc140316238"/>
      <w:bookmarkStart w:id="139" w:name="_Toc140368308"/>
      <w:bookmarkStart w:id="140" w:name="_Toc164755594"/>
      <w:r>
        <w:t>Notes</w:t>
      </w:r>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1" w:name="_Toc528027862"/>
      <w:bookmarkStart w:id="142" w:name="_Toc92426525"/>
      <w:bookmarkStart w:id="143" w:name="_Toc164755595"/>
      <w:r>
        <w:rPr>
          <w:snapToGrid w:val="0"/>
        </w:rPr>
        <w:t>Compilation table</w:t>
      </w:r>
      <w:bookmarkEnd w:id="141"/>
      <w:bookmarkEnd w:id="142"/>
      <w:bookmarkEnd w:id="14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trPr>
        <w:tc>
          <w:tcPr>
            <w:tcW w:w="3119" w:type="dxa"/>
            <w:tcBorders>
              <w:bottom w:val="single" w:sz="4" w:space="0" w:color="auto"/>
            </w:tcBorders>
          </w:tcPr>
          <w:p>
            <w:pPr>
              <w:pStyle w:val="nTable"/>
              <w:spacing w:before="120"/>
              <w:ind w:right="113"/>
              <w:rPr>
                <w:i/>
                <w:sz w:val="19"/>
              </w:rPr>
            </w:pPr>
            <w:r>
              <w:rPr>
                <w:i/>
                <w:sz w:val="19"/>
              </w:rPr>
              <w:t>Misuse of Drugs Amendment Regulations 2006</w:t>
            </w:r>
          </w:p>
        </w:tc>
        <w:tc>
          <w:tcPr>
            <w:tcW w:w="1276" w:type="dxa"/>
            <w:tcBorders>
              <w:bottom w:val="single" w:sz="4" w:space="0" w:color="auto"/>
            </w:tcBorders>
          </w:tcPr>
          <w:p>
            <w:pPr>
              <w:pStyle w:val="nTable"/>
              <w:spacing w:before="120"/>
              <w:rPr>
                <w:sz w:val="19"/>
              </w:rPr>
            </w:pPr>
            <w:r>
              <w:rPr>
                <w:sz w:val="19"/>
              </w:rPr>
              <w:t>11 Jul 2006 p. 2543</w:t>
            </w:r>
            <w:r>
              <w:rPr>
                <w:sz w:val="19"/>
              </w:rPr>
              <w:noBreakHyphen/>
              <w:t>4</w:t>
            </w:r>
          </w:p>
        </w:tc>
        <w:tc>
          <w:tcPr>
            <w:tcW w:w="2693" w:type="dxa"/>
            <w:tcBorders>
              <w:bottom w:val="single" w:sz="4" w:space="0" w:color="auto"/>
            </w:tcBorders>
          </w:tcPr>
          <w:p>
            <w:pPr>
              <w:pStyle w:val="nTable"/>
              <w:spacing w:before="120"/>
              <w:rPr>
                <w:sz w:val="19"/>
              </w:rPr>
            </w:pPr>
            <w:r>
              <w:rPr>
                <w:sz w:val="19"/>
              </w:rPr>
              <w:t xml:space="preserve">11 Jul 2006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7405065"/>
      <w:bookmarkStart w:id="145" w:name="_Toc164755596"/>
      <w:r>
        <w:t>Provisions that have not come into operation</w:t>
      </w:r>
      <w:bookmarkEnd w:id="144"/>
      <w:bookmarkEnd w:id="145"/>
    </w:p>
    <w:tbl>
      <w:tblPr>
        <w:tblW w:w="0" w:type="auto"/>
        <w:tblInd w:w="28" w:type="dxa"/>
        <w:tblBorders>
          <w:top w:val="single" w:sz="8" w:space="0" w:color="auto"/>
          <w:bottom w:val="single" w:sz="8" w:space="0" w:color="auto"/>
          <w:insideH w:val="single" w:sz="8"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before="60" w:after="60"/>
              <w:ind w:right="113"/>
              <w:rPr>
                <w:b/>
                <w:sz w:val="19"/>
              </w:rPr>
            </w:pPr>
            <w:r>
              <w:rPr>
                <w:b/>
                <w:sz w:val="19"/>
              </w:rPr>
              <w:t>Citation</w:t>
            </w:r>
          </w:p>
        </w:tc>
        <w:tc>
          <w:tcPr>
            <w:tcW w:w="1276" w:type="dxa"/>
          </w:tcPr>
          <w:p>
            <w:pPr>
              <w:pStyle w:val="nTable"/>
              <w:spacing w:before="60" w:after="60"/>
              <w:rPr>
                <w:b/>
                <w:sz w:val="19"/>
              </w:rPr>
            </w:pPr>
            <w:r>
              <w:rPr>
                <w:b/>
                <w:sz w:val="19"/>
              </w:rPr>
              <w:t>Gazettal</w:t>
            </w:r>
          </w:p>
        </w:tc>
        <w:tc>
          <w:tcPr>
            <w:tcW w:w="2693" w:type="dxa"/>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 xml:space="preserve">Misuse of Drugs Amendment Regulations 2007 </w:t>
            </w:r>
            <w:r>
              <w:rPr>
                <w:iCs/>
                <w:sz w:val="19"/>
              </w:rPr>
              <w:t xml:space="preserve">r. 4 and 5 </w:t>
            </w:r>
            <w:r>
              <w:rPr>
                <w:iCs/>
                <w:sz w:val="19"/>
                <w:vertAlign w:val="superscript"/>
              </w:rPr>
              <w:t>2</w:t>
            </w:r>
          </w:p>
        </w:tc>
        <w:tc>
          <w:tcPr>
            <w:tcW w:w="1276" w:type="dxa"/>
          </w:tcPr>
          <w:p>
            <w:pPr>
              <w:pStyle w:val="nTable"/>
              <w:spacing w:before="120"/>
              <w:rPr>
                <w:sz w:val="19"/>
              </w:rPr>
            </w:pPr>
            <w:r>
              <w:rPr>
                <w:sz w:val="19"/>
              </w:rPr>
              <w:t>20 Apr 2007 p. 1740-2</w:t>
            </w:r>
          </w:p>
        </w:tc>
        <w:tc>
          <w:tcPr>
            <w:tcW w:w="2693" w:type="dxa"/>
          </w:tcPr>
          <w:p>
            <w:pPr>
              <w:pStyle w:val="nTable"/>
              <w:spacing w:before="120"/>
              <w:rPr>
                <w:i/>
                <w:iCs/>
                <w:sz w:val="19"/>
              </w:rPr>
            </w:pPr>
            <w:r>
              <w:rPr>
                <w:sz w:val="19"/>
              </w:rPr>
              <w:t xml:space="preserve">Operative on commencement of the </w:t>
            </w:r>
            <w:r>
              <w:rPr>
                <w:i/>
                <w:iCs/>
                <w:sz w:val="19"/>
              </w:rPr>
              <w:t>Misuse of Drugs Amendment Act 2006</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Misuse of Drugs Amendment Regulations 2007 </w:t>
      </w:r>
      <w:r>
        <w:rPr>
          <w:iCs/>
          <w:sz w:val="19"/>
        </w:rPr>
        <w:t>r. 4 and 5</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7B amended</w:t>
      </w:r>
      <w:bookmarkStart w:id="146" w:name="UpToHere"/>
      <w:bookmarkEnd w:id="146"/>
    </w:p>
    <w:p>
      <w:pPr>
        <w:pStyle w:val="nzSubsection"/>
      </w:pPr>
      <w:r>
        <w:tab/>
      </w:r>
      <w:r>
        <w:tab/>
        <w:t xml:space="preserve">Regulation 7B(7)(a) is amended by deleting “Drug Received Room at Police Headquarters in Perth;” and inserting instead — </w:t>
      </w:r>
    </w:p>
    <w:p>
      <w:pPr>
        <w:pStyle w:val="MiscOpen"/>
        <w:ind w:left="1620"/>
      </w:pPr>
      <w:r>
        <w:t xml:space="preserve">“    </w:t>
      </w:r>
    </w:p>
    <w:p>
      <w:pPr>
        <w:pStyle w:val="nzIndenta"/>
      </w:pPr>
      <w:r>
        <w:tab/>
      </w:r>
      <w:r>
        <w:tab/>
        <w:t>work unit within the Police Service responsible for receipt, storage, analysis and destruction of seized drugs;</w:t>
      </w:r>
    </w:p>
    <w:p>
      <w:pPr>
        <w:pStyle w:val="MiscClose"/>
      </w:pPr>
      <w:r>
        <w:t xml:space="preserve">    ”.</w:t>
      </w:r>
    </w:p>
    <w:p>
      <w:pPr>
        <w:pStyle w:val="nzHeading5"/>
      </w:pPr>
      <w:r>
        <w:rPr>
          <w:rStyle w:val="CharSectno"/>
        </w:rPr>
        <w:t>5</w:t>
      </w:r>
      <w:r>
        <w:t>.</w:t>
      </w:r>
      <w:r>
        <w:tab/>
        <w:t>Regulation 10A inserted</w:t>
      </w:r>
    </w:p>
    <w:p>
      <w:pPr>
        <w:pStyle w:val="nzSubsection"/>
      </w:pPr>
      <w:r>
        <w:tab/>
      </w:r>
      <w:r>
        <w:tab/>
        <w:t xml:space="preserve">After regulation 10 the following regulation is inserted — </w:t>
      </w:r>
    </w:p>
    <w:p>
      <w:pPr>
        <w:pStyle w:val="MiscOpen"/>
      </w:pPr>
      <w:r>
        <w:t xml:space="preserve">“    </w:t>
      </w:r>
    </w:p>
    <w:p>
      <w:pPr>
        <w:pStyle w:val="nzHeading5"/>
      </w:pPr>
      <w:r>
        <w:t>10A.</w:t>
      </w:r>
      <w:r>
        <w:tab/>
        <w:t>External serious drug offences (section 32A(3))</w:t>
      </w:r>
    </w:p>
    <w:p>
      <w:pPr>
        <w:pStyle w:val="nzSubsection"/>
      </w:pPr>
      <w:r>
        <w:tab/>
        <w:t>(1)</w:t>
      </w:r>
      <w:r>
        <w:tab/>
        <w:t xml:space="preserve">In this regulation — </w:t>
      </w:r>
    </w:p>
    <w:p>
      <w:pPr>
        <w:pStyle w:val="nzDefstart"/>
      </w:pPr>
      <w:r>
        <w:rPr>
          <w:b/>
        </w:rPr>
        <w:tab/>
        <w:t>“</w:t>
      </w:r>
      <w:r>
        <w:rPr>
          <w:rStyle w:val="CharDefText"/>
        </w:rPr>
        <w:t>Commonwealth Criminal Code</w:t>
      </w:r>
      <w:r>
        <w:rPr>
          <w:b/>
        </w:rPr>
        <w:t>”</w:t>
      </w:r>
      <w:r>
        <w:t xml:space="preserve"> means the Criminal Code set out in the Schedule to the </w:t>
      </w:r>
      <w:r>
        <w:rPr>
          <w:i/>
          <w:iCs/>
        </w:rPr>
        <w:t>Criminal Code Act 1995</w:t>
      </w:r>
      <w:r>
        <w:t xml:space="preserve"> of the Commonwealth.</w:t>
      </w:r>
    </w:p>
    <w:p>
      <w:pPr>
        <w:pStyle w:val="nzSubsection"/>
      </w:pPr>
      <w:r>
        <w:tab/>
        <w:t>(2)</w:t>
      </w:r>
      <w:r>
        <w:tab/>
        <w:t>Subregulations (3) and (4) have effect for the purposes of paragraph (a) of the definition of “external serious drug offence” in section 32A(3) of the Act.</w:t>
      </w:r>
    </w:p>
    <w:p>
      <w:pPr>
        <w:pStyle w:val="nzSubsection"/>
      </w:pPr>
      <w:r>
        <w:tab/>
        <w:t>(3)</w:t>
      </w:r>
      <w:r>
        <w:tab/>
        <w:t>An offence against a provision of the Commonwealth Criminal Code specified in the Table to this subregulation is prescribed to correspond to a crime under section 6(1) of the Act.</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552"/>
      </w:tblGrid>
      <w:tr>
        <w:tc>
          <w:tcPr>
            <w:tcW w:w="2551" w:type="dxa"/>
          </w:tcPr>
          <w:p>
            <w:pPr>
              <w:pStyle w:val="nzTable"/>
            </w:pPr>
            <w:r>
              <w:t>s. 302.2(1)</w:t>
            </w:r>
          </w:p>
        </w:tc>
        <w:tc>
          <w:tcPr>
            <w:tcW w:w="2552" w:type="dxa"/>
          </w:tcPr>
          <w:p>
            <w:pPr>
              <w:pStyle w:val="nzTable"/>
            </w:pPr>
            <w:r>
              <w:t>s. 305.5(1)</w:t>
            </w:r>
          </w:p>
        </w:tc>
      </w:tr>
      <w:tr>
        <w:tc>
          <w:tcPr>
            <w:tcW w:w="2551" w:type="dxa"/>
          </w:tcPr>
          <w:p>
            <w:pPr>
              <w:pStyle w:val="nzTable"/>
            </w:pPr>
            <w:r>
              <w:t>s. 302.3(1)</w:t>
            </w:r>
          </w:p>
        </w:tc>
        <w:tc>
          <w:tcPr>
            <w:tcW w:w="2552" w:type="dxa"/>
          </w:tcPr>
          <w:p>
            <w:pPr>
              <w:pStyle w:val="nzTable"/>
            </w:pPr>
            <w:r>
              <w:t>s. 309.2(1)</w:t>
            </w:r>
          </w:p>
        </w:tc>
      </w:tr>
      <w:tr>
        <w:tc>
          <w:tcPr>
            <w:tcW w:w="2551" w:type="dxa"/>
          </w:tcPr>
          <w:p>
            <w:pPr>
              <w:pStyle w:val="nzTable"/>
            </w:pPr>
            <w:r>
              <w:t>s. 302.4(1)</w:t>
            </w:r>
          </w:p>
        </w:tc>
        <w:tc>
          <w:tcPr>
            <w:tcW w:w="2552" w:type="dxa"/>
          </w:tcPr>
          <w:p>
            <w:pPr>
              <w:pStyle w:val="nzTable"/>
            </w:pPr>
            <w:r>
              <w:t>s. 309.3(1)</w:t>
            </w:r>
          </w:p>
        </w:tc>
      </w:tr>
      <w:tr>
        <w:tc>
          <w:tcPr>
            <w:tcW w:w="2551" w:type="dxa"/>
          </w:tcPr>
          <w:p>
            <w:pPr>
              <w:pStyle w:val="nzTable"/>
            </w:pPr>
            <w:r>
              <w:t>s. 305.3(1)</w:t>
            </w:r>
          </w:p>
        </w:tc>
        <w:tc>
          <w:tcPr>
            <w:tcW w:w="2552" w:type="dxa"/>
          </w:tcPr>
          <w:p>
            <w:pPr>
              <w:pStyle w:val="nzTable"/>
            </w:pPr>
            <w:r>
              <w:t>s. 309.4(1)</w:t>
            </w:r>
          </w:p>
        </w:tc>
      </w:tr>
      <w:tr>
        <w:tc>
          <w:tcPr>
            <w:tcW w:w="2551" w:type="dxa"/>
          </w:tcPr>
          <w:p>
            <w:pPr>
              <w:pStyle w:val="nzTable"/>
            </w:pPr>
            <w:r>
              <w:t>s. 305.4(1)</w:t>
            </w:r>
          </w:p>
        </w:tc>
        <w:tc>
          <w:tcPr>
            <w:tcW w:w="2552" w:type="dxa"/>
          </w:tcPr>
          <w:p>
            <w:pPr>
              <w:pStyle w:val="nzTable"/>
            </w:pPr>
          </w:p>
        </w:tc>
      </w:tr>
    </w:tbl>
    <w:p>
      <w:pPr>
        <w:pStyle w:val="nzSubsection"/>
      </w:pPr>
      <w:r>
        <w:tab/>
        <w:t>(4)</w:t>
      </w:r>
      <w:r>
        <w:tab/>
        <w:t>An offence against a provision of the Commonwealth Criminal Code specified in the Table to this subregulation is prescribed to correspond to a crime under section 7(1) of the Act.</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552"/>
      </w:tblGrid>
      <w:tr>
        <w:tc>
          <w:tcPr>
            <w:tcW w:w="2551" w:type="dxa"/>
          </w:tcPr>
          <w:p>
            <w:pPr>
              <w:pStyle w:val="nzTable"/>
            </w:pPr>
            <w:r>
              <w:t>s. 303.4(1)</w:t>
            </w:r>
          </w:p>
        </w:tc>
        <w:tc>
          <w:tcPr>
            <w:tcW w:w="2552" w:type="dxa"/>
          </w:tcPr>
          <w:p>
            <w:pPr>
              <w:pStyle w:val="nzTable"/>
            </w:pPr>
            <w:r>
              <w:t>s. 304.1(1)</w:t>
            </w:r>
          </w:p>
        </w:tc>
      </w:tr>
      <w:tr>
        <w:tc>
          <w:tcPr>
            <w:tcW w:w="2551" w:type="dxa"/>
          </w:tcPr>
          <w:p>
            <w:pPr>
              <w:pStyle w:val="nzTable"/>
            </w:pPr>
            <w:r>
              <w:t>s. 303.5(1)</w:t>
            </w:r>
          </w:p>
        </w:tc>
        <w:tc>
          <w:tcPr>
            <w:tcW w:w="2552" w:type="dxa"/>
          </w:tcPr>
          <w:p>
            <w:pPr>
              <w:pStyle w:val="nzTable"/>
            </w:pPr>
            <w:r>
              <w:t>s. 304.2(1)</w:t>
            </w:r>
          </w:p>
        </w:tc>
      </w:tr>
      <w:tr>
        <w:tc>
          <w:tcPr>
            <w:tcW w:w="2551" w:type="dxa"/>
          </w:tcPr>
          <w:p>
            <w:pPr>
              <w:pStyle w:val="nzTable"/>
            </w:pPr>
            <w:r>
              <w:t>s. 303.6(1)</w:t>
            </w:r>
          </w:p>
        </w:tc>
        <w:tc>
          <w:tcPr>
            <w:tcW w:w="2552" w:type="dxa"/>
          </w:tcPr>
          <w:p>
            <w:pPr>
              <w:pStyle w:val="nzTable"/>
            </w:pPr>
            <w:r>
              <w:t>s. 304.3(1)</w:t>
            </w:r>
          </w:p>
        </w:tc>
      </w:tr>
    </w:tbl>
    <w:p>
      <w:pPr>
        <w:pStyle w:val="nzSubsection"/>
      </w:pPr>
      <w:r>
        <w:tab/>
        <w:t>(5)</w:t>
      </w:r>
      <w:r>
        <w:tab/>
        <w:t>Subregulation (6) has effect for the purposes of paragraph (b) of the definition of “external serious drug offence” in section 32A(3) of the Act.</w:t>
      </w:r>
    </w:p>
    <w:p>
      <w:pPr>
        <w:pStyle w:val="nz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552"/>
      </w:tblGrid>
      <w:tr>
        <w:tc>
          <w:tcPr>
            <w:tcW w:w="2551" w:type="dxa"/>
          </w:tcPr>
          <w:p>
            <w:pPr>
              <w:pStyle w:val="nzTable"/>
            </w:pPr>
            <w:r>
              <w:t>s. 307.1(1)</w:t>
            </w:r>
          </w:p>
        </w:tc>
        <w:tc>
          <w:tcPr>
            <w:tcW w:w="2552" w:type="dxa"/>
          </w:tcPr>
          <w:p>
            <w:pPr>
              <w:pStyle w:val="nzTable"/>
            </w:pPr>
            <w:r>
              <w:t>s. 307.6(1)</w:t>
            </w:r>
          </w:p>
        </w:tc>
      </w:tr>
      <w:tr>
        <w:tc>
          <w:tcPr>
            <w:tcW w:w="2551" w:type="dxa"/>
          </w:tcPr>
          <w:p>
            <w:pPr>
              <w:pStyle w:val="nzTable"/>
            </w:pPr>
            <w:r>
              <w:t>s. 307.2(1)</w:t>
            </w:r>
          </w:p>
        </w:tc>
        <w:tc>
          <w:tcPr>
            <w:tcW w:w="2552" w:type="dxa"/>
          </w:tcPr>
          <w:p>
            <w:pPr>
              <w:pStyle w:val="nzTable"/>
            </w:pPr>
            <w:r>
              <w:t>s. 307.7(1)</w:t>
            </w:r>
          </w:p>
        </w:tc>
      </w:tr>
      <w:tr>
        <w:tc>
          <w:tcPr>
            <w:tcW w:w="2551" w:type="dxa"/>
          </w:tcPr>
          <w:p>
            <w:pPr>
              <w:pStyle w:val="nzTable"/>
            </w:pPr>
            <w:r>
              <w:t>s. 307.3(1)</w:t>
            </w:r>
          </w:p>
        </w:tc>
        <w:tc>
          <w:tcPr>
            <w:tcW w:w="2552" w:type="dxa"/>
          </w:tcPr>
          <w:p>
            <w:pPr>
              <w:pStyle w:val="nzTable"/>
            </w:pPr>
            <w:r>
              <w:t>s. 307.8(1)</w:t>
            </w:r>
          </w:p>
        </w:tc>
      </w:tr>
      <w:tr>
        <w:tc>
          <w:tcPr>
            <w:tcW w:w="2551" w:type="dxa"/>
          </w:tcPr>
          <w:p>
            <w:pPr>
              <w:pStyle w:val="nzTable"/>
            </w:pPr>
            <w:r>
              <w:t>s. 307.4(1)</w:t>
            </w:r>
          </w:p>
        </w:tc>
        <w:tc>
          <w:tcPr>
            <w:tcW w:w="2552" w:type="dxa"/>
          </w:tcPr>
          <w:p>
            <w:pPr>
              <w:pStyle w:val="nzTable"/>
            </w:pPr>
            <w:r>
              <w:t>s. 307.9(1)</w:t>
            </w:r>
          </w:p>
        </w:tc>
      </w:tr>
      <w:tr>
        <w:tc>
          <w:tcPr>
            <w:tcW w:w="2551" w:type="dxa"/>
          </w:tcPr>
          <w:p>
            <w:pPr>
              <w:pStyle w:val="nzTable"/>
            </w:pPr>
            <w:r>
              <w:t>s. 307.5(1)</w:t>
            </w:r>
          </w:p>
        </w:tc>
        <w:tc>
          <w:tcPr>
            <w:tcW w:w="2552" w:type="dxa"/>
          </w:tcPr>
          <w:p>
            <w:pPr>
              <w:pStyle w:val="nzTable"/>
            </w:pPr>
            <w:r>
              <w:t>s. 307.10(1)</w:t>
            </w:r>
          </w:p>
        </w:tc>
      </w:tr>
    </w:tbl>
    <w:p>
      <w:pPr>
        <w:pStyle w:val="MiscClose"/>
        <w:ind w:right="284"/>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5936</Words>
  <Characters>35088</Characters>
  <Application>Microsoft Office Word</Application>
  <DocSecurity>0</DocSecurity>
  <Lines>1299</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40204</CharactersWithSpaces>
  <SharedDoc>false</SharedDoc>
  <HLinks>
    <vt:vector size="12" baseType="variant">
      <vt:variant>
        <vt:i4>5439608</vt:i4>
      </vt:variant>
      <vt:variant>
        <vt:i4>19040</vt:i4>
      </vt:variant>
      <vt:variant>
        <vt:i4>1025</vt:i4>
      </vt:variant>
      <vt:variant>
        <vt:i4>1</vt:i4>
      </vt:variant>
      <vt:variant>
        <vt:lpwstr>A:\dline.gif</vt:lpwstr>
      </vt:variant>
      <vt:variant>
        <vt:lpwstr/>
      </vt:variant>
      <vt:variant>
        <vt:i4>5439608</vt:i4>
      </vt:variant>
      <vt:variant>
        <vt:i4>19380</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1982 - 01-d0-02</dc:title>
  <dc:subject/>
  <dc:creator/>
  <cp:keywords/>
  <dc:description/>
  <cp:lastModifiedBy>svcMRProcess</cp:lastModifiedBy>
  <cp:revision>4</cp:revision>
  <cp:lastPrinted>2001-10-19T00:16:00Z</cp:lastPrinted>
  <dcterms:created xsi:type="dcterms:W3CDTF">2018-09-12T15:44:00Z</dcterms:created>
  <dcterms:modified xsi:type="dcterms:W3CDTF">2018-09-12T15:44:00Z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4644</vt:i4>
  </property>
  <property fmtid="{D5CDD505-2E9C-101B-9397-08002B2CF9AE}" pid="6" name="AsAtDate">
    <vt:lpwstr>20 Apr 2007</vt:lpwstr>
  </property>
  <property fmtid="{D5CDD505-2E9C-101B-9397-08002B2CF9AE}" pid="7" name="Suffix">
    <vt:lpwstr>01-d0-02</vt:lpwstr>
  </property>
</Properties>
</file>