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AGRICULTURAL PRODUCTS ACT 1929</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Peach and Nectarine Grading and Packing Code 1992</w:t>
      </w:r>
      <w:r>
        <w:fldChar w:fldCharType="end"/>
      </w:r>
    </w:p>
    <w:p>
      <w:pPr>
        <w:pStyle w:val="Subsection"/>
      </w:pPr>
      <w:r>
        <w:tab/>
      </w:r>
      <w:r>
        <w:tab/>
      </w:r>
      <w:bookmarkStart w:id="1" w:name="RepealText"/>
      <w:bookmarkEnd w:id="1"/>
      <w:r>
        <w:rPr>
          <w:color w:val="000000"/>
          <w:sz w:val="22"/>
          <w:szCs w:val="22"/>
        </w:rPr>
        <w:t xml:space="preserve">This Code was repealed by the </w:t>
      </w:r>
      <w:r>
        <w:rPr>
          <w:i/>
          <w:iCs/>
          <w:color w:val="000000"/>
          <w:sz w:val="22"/>
          <w:szCs w:val="22"/>
        </w:rPr>
        <w:t>Repeal of Grading and Packing Codes Notice 2001</w:t>
      </w:r>
      <w:r>
        <w:rPr>
          <w:color w:val="000000"/>
          <w:sz w:val="22"/>
          <w:szCs w:val="22"/>
        </w:rPr>
        <w:t xml:space="preserve"> as at 24 Aug 2001 (see </w:t>
      </w:r>
      <w:r>
        <w:rPr>
          <w:i/>
          <w:color w:val="000000"/>
          <w:sz w:val="22"/>
          <w:szCs w:val="22"/>
        </w:rPr>
        <w:t>Gazette</w:t>
      </w:r>
      <w:r>
        <w:rPr>
          <w:color w:val="000000"/>
          <w:sz w:val="22"/>
          <w:szCs w:val="22"/>
        </w:rPr>
        <w:t xml:space="preserve"> 24 Aug 2001 p. 4575)</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Peach and Nectarine Grading and Packing Code 1992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_Toc426970464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_Toc426970465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_Toc426970466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w:t>
      </w:r>
      <w:r>
        <w:tab/>
      </w:r>
      <w:r>
        <w:fldChar w:fldCharType="begin"/>
      </w:r>
      <w:r>
        <w:instrText xml:space="preserve"> PAGEREF _Toc426970467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Grading</w:t>
      </w:r>
    </w:p>
    <w:p>
      <w:pPr>
        <w:pStyle w:val="TOC8"/>
        <w:rPr>
          <w:rFonts w:asciiTheme="minorHAnsi" w:eastAsiaTheme="minorEastAsia" w:hAnsiTheme="minorHAnsi" w:cstheme="minorBidi"/>
          <w:szCs w:val="22"/>
        </w:rPr>
      </w:pPr>
      <w:r>
        <w:t>5</w:t>
      </w:r>
      <w:r>
        <w:rPr>
          <w:snapToGrid w:val="0"/>
        </w:rPr>
        <w:t>.</w:t>
      </w:r>
      <w:r>
        <w:rPr>
          <w:snapToGrid w:val="0"/>
        </w:rPr>
        <w:tab/>
        <w:t>Grading into classes</w:t>
      </w:r>
      <w:r>
        <w:tab/>
      </w:r>
      <w:r>
        <w:fldChar w:fldCharType="begin"/>
      </w:r>
      <w:r>
        <w:instrText xml:space="preserve"> PAGEREF _Toc426970469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Minimum requirements</w:t>
      </w:r>
      <w:r>
        <w:tab/>
      </w:r>
      <w:r>
        <w:fldChar w:fldCharType="begin"/>
      </w:r>
      <w:r>
        <w:instrText xml:space="preserve"> PAGEREF _Toc426970470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Maturity</w:t>
      </w:r>
      <w:r>
        <w:tab/>
      </w:r>
      <w:r>
        <w:fldChar w:fldCharType="begin"/>
      </w:r>
      <w:r>
        <w:instrText xml:space="preserve"> PAGEREF _Toc426970471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Classes</w:t>
      </w:r>
      <w:r>
        <w:tab/>
      </w:r>
      <w:r>
        <w:fldChar w:fldCharType="begin"/>
      </w:r>
      <w:r>
        <w:instrText xml:space="preserve"> PAGEREF _Toc426970472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Determination of size for grading</w:t>
      </w:r>
      <w:r>
        <w:tab/>
      </w:r>
      <w:r>
        <w:fldChar w:fldCharType="begin"/>
      </w:r>
      <w:r>
        <w:instrText xml:space="preserve"> PAGEREF _Toc426970473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3 — Packing</w:t>
      </w:r>
    </w:p>
    <w:p>
      <w:pPr>
        <w:pStyle w:val="TOC8"/>
        <w:rPr>
          <w:rFonts w:asciiTheme="minorHAnsi" w:eastAsiaTheme="minorEastAsia" w:hAnsiTheme="minorHAnsi" w:cstheme="minorBidi"/>
          <w:szCs w:val="22"/>
        </w:rPr>
      </w:pPr>
      <w:r>
        <w:t>10</w:t>
      </w:r>
      <w:r>
        <w:rPr>
          <w:snapToGrid w:val="0"/>
        </w:rPr>
        <w:t>.</w:t>
      </w:r>
      <w:r>
        <w:rPr>
          <w:snapToGrid w:val="0"/>
        </w:rPr>
        <w:tab/>
        <w:t>Single variety</w:t>
      </w:r>
      <w:r>
        <w:tab/>
      </w:r>
      <w:r>
        <w:fldChar w:fldCharType="begin"/>
      </w:r>
      <w:r>
        <w:instrText xml:space="preserve"> PAGEREF _Toc426970475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Mixture of peaches or nectarines by class</w:t>
      </w:r>
      <w:r>
        <w:tab/>
      </w:r>
      <w:r>
        <w:fldChar w:fldCharType="begin"/>
      </w:r>
      <w:r>
        <w:instrText xml:space="preserve"> PAGEREF _Toc426970476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Size variations</w:t>
      </w:r>
      <w:r>
        <w:tab/>
      </w:r>
      <w:r>
        <w:fldChar w:fldCharType="begin"/>
      </w:r>
      <w:r>
        <w:instrText xml:space="preserve"> PAGEREF _Toc426970477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Tolerances</w:t>
      </w:r>
      <w:r>
        <w:tab/>
      </w:r>
      <w:r>
        <w:fldChar w:fldCharType="begin"/>
      </w:r>
      <w:r>
        <w:instrText xml:space="preserve"> PAGEREF _Toc426970478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Uniformity of peaches or nectarines within packages</w:t>
      </w:r>
      <w:r>
        <w:tab/>
      </w:r>
      <w:r>
        <w:fldChar w:fldCharType="begin"/>
      </w:r>
      <w:r>
        <w:instrText xml:space="preserve"> PAGEREF _Toc426970479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Presentation of peaches or nectarines</w:t>
      </w:r>
      <w:r>
        <w:tab/>
      </w:r>
      <w:r>
        <w:fldChar w:fldCharType="begin"/>
      </w:r>
      <w:r>
        <w:instrText xml:space="preserve"> PAGEREF _Toc426970480 \h </w:instrText>
      </w:r>
      <w:r>
        <w:fldChar w:fldCharType="separate"/>
      </w:r>
      <w:r>
        <w:t>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Packaging materials</w:t>
      </w:r>
      <w:r>
        <w:tab/>
      </w:r>
      <w:r>
        <w:fldChar w:fldCharType="begin"/>
      </w:r>
      <w:r>
        <w:instrText xml:space="preserve"> PAGEREF _Toc426970481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4 — Marking</w:t>
      </w:r>
    </w:p>
    <w:p>
      <w:pPr>
        <w:pStyle w:val="TOC8"/>
        <w:rPr>
          <w:rFonts w:asciiTheme="minorHAnsi" w:eastAsiaTheme="minorEastAsia" w:hAnsiTheme="minorHAnsi" w:cstheme="minorBidi"/>
          <w:szCs w:val="22"/>
        </w:rPr>
      </w:pPr>
      <w:r>
        <w:t>17</w:t>
      </w:r>
      <w:r>
        <w:rPr>
          <w:snapToGrid w:val="0"/>
        </w:rPr>
        <w:t>.</w:t>
      </w:r>
      <w:r>
        <w:rPr>
          <w:snapToGrid w:val="0"/>
        </w:rPr>
        <w:tab/>
        <w:t>Packages marked “Unclassed”</w:t>
      </w:r>
      <w:r>
        <w:tab/>
      </w:r>
      <w:r>
        <w:fldChar w:fldCharType="begin"/>
      </w:r>
      <w:r>
        <w:instrText xml:space="preserve"> PAGEREF _Toc426970483 \h </w:instrText>
      </w:r>
      <w:r>
        <w:fldChar w:fldCharType="separate"/>
      </w:r>
      <w:r>
        <w:t>10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Complete trade description to be applied</w:t>
      </w:r>
      <w:r>
        <w:tab/>
      </w:r>
      <w:r>
        <w:fldChar w:fldCharType="begin"/>
      </w:r>
      <w:r>
        <w:instrText xml:space="preserve"> PAGEREF _Toc426970484 \h </w:instrText>
      </w:r>
      <w:r>
        <w:fldChar w:fldCharType="separate"/>
      </w:r>
      <w:r>
        <w:t>10</w:t>
      </w:r>
      <w:r>
        <w:fldChar w:fldCharType="end"/>
      </w:r>
    </w:p>
    <w:p>
      <w:pPr>
        <w:pStyle w:val="TOC8"/>
        <w:rPr>
          <w:rFonts w:asciiTheme="minorHAnsi" w:eastAsiaTheme="minorEastAsia" w:hAnsiTheme="minorHAnsi" w:cstheme="minorBidi"/>
          <w:szCs w:val="22"/>
        </w:rPr>
      </w:pPr>
      <w:r>
        <w:lastRenderedPageBreak/>
        <w:t>19</w:t>
      </w:r>
      <w:r>
        <w:rPr>
          <w:snapToGrid w:val="0"/>
        </w:rPr>
        <w:t>.</w:t>
      </w:r>
      <w:r>
        <w:rPr>
          <w:snapToGrid w:val="0"/>
        </w:rPr>
        <w:tab/>
        <w:t>Information to be included in trade description</w:t>
      </w:r>
      <w:r>
        <w:tab/>
      </w:r>
      <w:r>
        <w:fldChar w:fldCharType="begin"/>
      </w:r>
      <w:r>
        <w:instrText xml:space="preserve"> PAGEREF _Toc426970485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Trade description for retail sale</w:t>
      </w:r>
      <w:r>
        <w:tab/>
      </w:r>
      <w:r>
        <w:fldChar w:fldCharType="begin"/>
      </w:r>
      <w:r>
        <w:instrText xml:space="preserve"> PAGEREF _Toc426970486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Prohibited quality descriptions</w:t>
      </w:r>
      <w:r>
        <w:tab/>
      </w:r>
      <w:r>
        <w:fldChar w:fldCharType="begin"/>
      </w:r>
      <w:r>
        <w:instrText xml:space="preserve"> PAGEREF _Toc426970487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5 — Repeal</w:t>
      </w:r>
    </w:p>
    <w:p>
      <w:pPr>
        <w:pStyle w:val="TOC8"/>
        <w:rPr>
          <w:rFonts w:asciiTheme="minorHAnsi" w:eastAsiaTheme="minorEastAsia" w:hAnsiTheme="minorHAnsi" w:cstheme="minorBidi"/>
          <w:szCs w:val="22"/>
        </w:rPr>
      </w:pPr>
      <w:r>
        <w:t>22</w:t>
      </w:r>
      <w:r>
        <w:rPr>
          <w:snapToGrid w:val="0"/>
        </w:rPr>
        <w:t>.</w:t>
      </w:r>
      <w:r>
        <w:rPr>
          <w:snapToGrid w:val="0"/>
        </w:rPr>
        <w:tab/>
        <w:t>Repeal of former codes</w:t>
      </w:r>
      <w:r>
        <w:tab/>
      </w:r>
      <w:r>
        <w:fldChar w:fldCharType="begin"/>
      </w:r>
      <w:r>
        <w:instrText xml:space="preserve"> PAGEREF _Toc426970489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_Toc426970491 \h </w:instrText>
      </w:r>
      <w:r>
        <w:fldChar w:fldCharType="separate"/>
      </w:r>
      <w:r>
        <w:t>15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AGRICULTURAL PRODUCTS ACT 1929</w:t>
      </w:r>
    </w:p>
    <w:p>
      <w:pPr>
        <w:pStyle w:val="NameofActReg"/>
      </w:pPr>
      <w:r>
        <w:t>Peach and Nectarine Grading and Packing Code 1992</w:t>
      </w:r>
    </w:p>
    <w:p>
      <w:pPr>
        <w:pStyle w:val="MadeBy"/>
      </w:pPr>
      <w:r>
        <w:t>Made by the Minister for Agriculture.</w:t>
      </w:r>
    </w:p>
    <w:p>
      <w:pPr>
        <w:pStyle w:val="Heading2"/>
      </w:pPr>
      <w:bookmarkStart w:id="4" w:name="_Toc378175544"/>
      <w:bookmarkStart w:id="5" w:name="_Toc426970406"/>
      <w:bookmarkStart w:id="6" w:name="_Toc426970435"/>
      <w:bookmarkStart w:id="7" w:name="_Toc426970434"/>
      <w:r>
        <w:t>Part 1 — Preliminary</w:t>
      </w:r>
      <w:bookmarkEnd w:id="4"/>
      <w:bookmarkEnd w:id="5"/>
      <w:bookmarkEnd w:id="6"/>
      <w:bookmarkEnd w:id="7"/>
    </w:p>
    <w:p>
      <w:pPr>
        <w:pStyle w:val="Heading5"/>
        <w:rPr>
          <w:snapToGrid w:val="0"/>
        </w:rPr>
      </w:pPr>
      <w:bookmarkStart w:id="8" w:name="_Toc378175545"/>
      <w:bookmarkStart w:id="9" w:name="_Toc426970464"/>
      <w:r>
        <w:rPr>
          <w:rStyle w:val="CharSectno"/>
        </w:rPr>
        <w:t>1</w:t>
      </w:r>
      <w:r>
        <w:rPr>
          <w:snapToGrid w:val="0"/>
        </w:rPr>
        <w:t>.</w:t>
      </w:r>
      <w:r>
        <w:rPr>
          <w:snapToGrid w:val="0"/>
        </w:rPr>
        <w:tab/>
        <w:t>Citation</w:t>
      </w:r>
      <w:bookmarkEnd w:id="8"/>
      <w:bookmarkEnd w:id="9"/>
      <w:r>
        <w:rPr>
          <w:snapToGrid w:val="0"/>
        </w:rPr>
        <w:t xml:space="preserve"> </w:t>
      </w:r>
    </w:p>
    <w:p>
      <w:pPr>
        <w:pStyle w:val="Subsection"/>
        <w:rPr>
          <w:snapToGrid w:val="0"/>
        </w:rPr>
      </w:pPr>
      <w:r>
        <w:rPr>
          <w:snapToGrid w:val="0"/>
        </w:rPr>
        <w:tab/>
      </w:r>
      <w:r>
        <w:rPr>
          <w:snapToGrid w:val="0"/>
        </w:rPr>
        <w:tab/>
        <w:t xml:space="preserve">This Code may be cited as the </w:t>
      </w:r>
      <w:r>
        <w:rPr>
          <w:i/>
          <w:snapToGrid w:val="0"/>
        </w:rPr>
        <w:t>Peach and Nectarine Grading and Packing Code 1992</w:t>
      </w:r>
      <w:r>
        <w:rPr>
          <w:snapToGrid w:val="0"/>
        </w:rPr>
        <w:t>.</w:t>
      </w:r>
    </w:p>
    <w:p>
      <w:pPr>
        <w:pStyle w:val="Heading5"/>
        <w:rPr>
          <w:snapToGrid w:val="0"/>
        </w:rPr>
      </w:pPr>
      <w:bookmarkStart w:id="10" w:name="_Toc378175546"/>
      <w:bookmarkStart w:id="11" w:name="_Toc426970465"/>
      <w:r>
        <w:rPr>
          <w:rStyle w:val="CharSectno"/>
        </w:rPr>
        <w:t>2</w:t>
      </w:r>
      <w:r>
        <w:rPr>
          <w:snapToGrid w:val="0"/>
        </w:rPr>
        <w:t>.</w:t>
      </w:r>
      <w:r>
        <w:rPr>
          <w:snapToGrid w:val="0"/>
        </w:rPr>
        <w:tab/>
        <w:t>Commencement</w:t>
      </w:r>
      <w:bookmarkEnd w:id="10"/>
      <w:bookmarkEnd w:id="11"/>
      <w:r>
        <w:rPr>
          <w:snapToGrid w:val="0"/>
        </w:rPr>
        <w:t xml:space="preserve"> </w:t>
      </w:r>
    </w:p>
    <w:p>
      <w:pPr>
        <w:pStyle w:val="Subsection"/>
        <w:rPr>
          <w:snapToGrid w:val="0"/>
        </w:rPr>
      </w:pPr>
      <w:r>
        <w:rPr>
          <w:snapToGrid w:val="0"/>
        </w:rPr>
        <w:tab/>
      </w:r>
      <w:r>
        <w:rPr>
          <w:snapToGrid w:val="0"/>
        </w:rPr>
        <w:tab/>
        <w:t xml:space="preserve">This Code shall come into operation on the day of its publication in the </w:t>
      </w:r>
      <w:r>
        <w:rPr>
          <w:i/>
          <w:snapToGrid w:val="0"/>
        </w:rPr>
        <w:t>Government Gazette</w:t>
      </w:r>
      <w:r>
        <w:rPr>
          <w:snapToGrid w:val="0"/>
        </w:rPr>
        <w:t>.</w:t>
      </w:r>
    </w:p>
    <w:p>
      <w:pPr>
        <w:pStyle w:val="Heading5"/>
        <w:rPr>
          <w:snapToGrid w:val="0"/>
        </w:rPr>
      </w:pPr>
      <w:bookmarkStart w:id="12" w:name="_Toc378175547"/>
      <w:bookmarkStart w:id="13" w:name="_Toc426970466"/>
      <w:r>
        <w:rPr>
          <w:rStyle w:val="CharSectno"/>
        </w:rPr>
        <w:t>3</w:t>
      </w:r>
      <w:r>
        <w:rPr>
          <w:snapToGrid w:val="0"/>
        </w:rPr>
        <w:t>.</w:t>
      </w:r>
      <w:r>
        <w:rPr>
          <w:snapToGrid w:val="0"/>
        </w:rPr>
        <w:tab/>
        <w:t>Interpretation</w:t>
      </w:r>
      <w:bookmarkEnd w:id="12"/>
      <w:bookmarkEnd w:id="13"/>
      <w:r>
        <w:rPr>
          <w:snapToGrid w:val="0"/>
        </w:rPr>
        <w:t xml:space="preserve"> </w:t>
      </w:r>
    </w:p>
    <w:p>
      <w:pPr>
        <w:pStyle w:val="Subsection"/>
        <w:rPr>
          <w:snapToGrid w:val="0"/>
        </w:rPr>
      </w:pPr>
      <w:r>
        <w:rPr>
          <w:snapToGrid w:val="0"/>
        </w:rPr>
        <w:tab/>
      </w:r>
      <w:r>
        <w:rPr>
          <w:snapToGrid w:val="0"/>
        </w:rPr>
        <w:tab/>
        <w:t>In this Code, unless the contrary intention appears — </w:t>
      </w:r>
    </w:p>
    <w:p>
      <w:pPr>
        <w:pStyle w:val="Defstart"/>
      </w:pPr>
      <w:r>
        <w:rPr>
          <w:b/>
        </w:rPr>
        <w:tab/>
        <w:t>“abnormal external moisture”</w:t>
      </w:r>
      <w:r>
        <w:t xml:space="preserve"> means distinctly wet (but does not include condensation following release from cold storage);</w:t>
      </w:r>
    </w:p>
    <w:p>
      <w:pPr>
        <w:pStyle w:val="Defstart"/>
      </w:pPr>
      <w:r>
        <w:rPr>
          <w:b/>
        </w:rPr>
        <w:tab/>
        <w:t>“blemish”</w:t>
      </w:r>
      <w:r>
        <w:t xml:space="preserve"> means any superficial disfigurement of the skin that is not likely to affect the keeping quality of the peach or nectarine, and includes slight chemical burns and healed injury caused by insect damage, superficial hail damage, abrasions, scratches and rubs, but does not include sunburn;</w:t>
      </w:r>
    </w:p>
    <w:p>
      <w:pPr>
        <w:pStyle w:val="Defstart"/>
      </w:pPr>
      <w:r>
        <w:rPr>
          <w:b/>
        </w:rPr>
        <w:tab/>
        <w:t>“class”</w:t>
      </w:r>
      <w:r>
        <w:t xml:space="preserve"> means the quality class into which peaches or nectarines are graded;</w:t>
      </w:r>
    </w:p>
    <w:p>
      <w:pPr>
        <w:pStyle w:val="Defstart"/>
      </w:pPr>
      <w:r>
        <w:rPr>
          <w:b/>
        </w:rPr>
        <w:tab/>
        <w:t>“clean”</w:t>
      </w:r>
      <w:r>
        <w:t xml:space="preserve"> means visibly free from any dirt, dust, chemical residue or other foreign matter;</w:t>
      </w:r>
    </w:p>
    <w:p>
      <w:pPr>
        <w:pStyle w:val="Defstart"/>
      </w:pPr>
      <w:r>
        <w:rPr>
          <w:b/>
        </w:rPr>
        <w:tab/>
        <w:t>“defect”</w:t>
      </w:r>
      <w:r>
        <w:t xml:space="preserve"> means any abnormal development of shape, colour or condition that detracts from the quality, general appearance or presentation of the peach or nectarine;</w:t>
      </w:r>
    </w:p>
    <w:p>
      <w:pPr>
        <w:pStyle w:val="Defstart"/>
      </w:pPr>
      <w:r>
        <w:rPr>
          <w:b/>
        </w:rPr>
        <w:tab/>
        <w:t>“disorder”</w:t>
      </w:r>
      <w:r>
        <w:t xml:space="preserve"> means any abnormal physiological condition, including sunburn, that affects the skin or flesh of the peach or nectarine;</w:t>
      </w:r>
    </w:p>
    <w:p>
      <w:pPr>
        <w:pStyle w:val="Defstart"/>
      </w:pPr>
      <w:r>
        <w:rPr>
          <w:b/>
        </w:rPr>
        <w:tab/>
        <w:t>“intact”</w:t>
      </w:r>
      <w:r>
        <w:t xml:space="preserve"> means practically free from any mutilation or injury spoiling the peach or nectarine;</w:t>
      </w:r>
    </w:p>
    <w:p>
      <w:pPr>
        <w:pStyle w:val="Defstart"/>
      </w:pPr>
      <w:r>
        <w:rPr>
          <w:b/>
        </w:rPr>
        <w:tab/>
        <w:t>“mature”</w:t>
      </w:r>
      <w:r>
        <w:t xml:space="preserve"> means having reached the stage of development that will ensure a proper completion of the ripening process;</w:t>
      </w:r>
    </w:p>
    <w:p>
      <w:pPr>
        <w:pStyle w:val="Defstart"/>
      </w:pPr>
      <w:r>
        <w:rPr>
          <w:b/>
        </w:rPr>
        <w:tab/>
        <w:t>“processing”</w:t>
      </w:r>
      <w:r>
        <w:t xml:space="preserve"> means any operation that subjects the peaches or nectarines to thermal processing (not including cold storage) or juicing or that renders the peaches or nectarines a fruit product;</w:t>
      </w:r>
    </w:p>
    <w:p>
      <w:pPr>
        <w:pStyle w:val="Defstart"/>
      </w:pPr>
      <w:r>
        <w:rPr>
          <w:b/>
        </w:rPr>
        <w:tab/>
        <w:t>“sound”</w:t>
      </w:r>
      <w:r>
        <w:t xml:space="preserve"> means not over-ripe, soft or wilted, and free from rot, excessive bruising and physical injury, internal or external, that is likely to affect the keeping quality of the peach or nectarine; and</w:t>
      </w:r>
    </w:p>
    <w:p>
      <w:pPr>
        <w:pStyle w:val="Defstart"/>
      </w:pPr>
      <w:r>
        <w:rPr>
          <w:b/>
        </w:rPr>
        <w:tab/>
        <w:t>“well-filled”</w:t>
      </w:r>
      <w:r>
        <w:t xml:space="preserve"> means that the package is filled to the extent that the peaches or nectarines, after settling, cannot move within the package during normal handling.</w:t>
      </w:r>
    </w:p>
    <w:p>
      <w:pPr>
        <w:pStyle w:val="Heading5"/>
        <w:rPr>
          <w:snapToGrid w:val="0"/>
        </w:rPr>
      </w:pPr>
      <w:bookmarkStart w:id="14" w:name="_Toc378175548"/>
      <w:bookmarkStart w:id="15" w:name="_Toc426970467"/>
      <w:r>
        <w:rPr>
          <w:rStyle w:val="CharSectno"/>
        </w:rPr>
        <w:t>4</w:t>
      </w:r>
      <w:r>
        <w:rPr>
          <w:snapToGrid w:val="0"/>
        </w:rPr>
        <w:t>.</w:t>
      </w:r>
      <w:r>
        <w:rPr>
          <w:snapToGrid w:val="0"/>
        </w:rPr>
        <w:tab/>
        <w:t>Application</w:t>
      </w:r>
      <w:bookmarkEnd w:id="14"/>
      <w:bookmarkEnd w:id="15"/>
      <w:r>
        <w:rPr>
          <w:snapToGrid w:val="0"/>
        </w:rPr>
        <w:t xml:space="preserve"> </w:t>
      </w:r>
    </w:p>
    <w:p>
      <w:pPr>
        <w:pStyle w:val="Subsection"/>
        <w:rPr>
          <w:snapToGrid w:val="0"/>
        </w:rPr>
      </w:pPr>
      <w:r>
        <w:rPr>
          <w:snapToGrid w:val="0"/>
        </w:rPr>
        <w:tab/>
        <w:t>(1)</w:t>
      </w:r>
      <w:r>
        <w:rPr>
          <w:snapToGrid w:val="0"/>
        </w:rPr>
        <w:tab/>
        <w:t>Subject to section 5 of the Act, this Code applies to the sale of peaches or nectarines (</w:t>
      </w:r>
      <w:r>
        <w:rPr>
          <w:i/>
          <w:snapToGrid w:val="0"/>
        </w:rPr>
        <w:t>Prunus persica L.</w:t>
      </w:r>
      <w:r>
        <w:rPr>
          <w:snapToGrid w:val="0"/>
        </w:rPr>
        <w:t>) other than for the purpose of processing.</w:t>
      </w:r>
    </w:p>
    <w:p>
      <w:pPr>
        <w:pStyle w:val="Subsection"/>
        <w:rPr>
          <w:snapToGrid w:val="0"/>
        </w:rPr>
      </w:pPr>
      <w:r>
        <w:rPr>
          <w:snapToGrid w:val="0"/>
        </w:rPr>
        <w:tab/>
        <w:t>(2)</w:t>
      </w:r>
      <w:r>
        <w:rPr>
          <w:snapToGrid w:val="0"/>
        </w:rPr>
        <w:tab/>
        <w:t>Clauses 18 and 19 do not apply to a retail sale.</w:t>
      </w:r>
    </w:p>
    <w:p>
      <w:pPr>
        <w:pStyle w:val="Heading2"/>
      </w:pPr>
      <w:bookmarkStart w:id="16" w:name="_Toc378175549"/>
      <w:bookmarkStart w:id="17" w:name="_Toc426970411"/>
      <w:bookmarkStart w:id="18" w:name="_Toc426970440"/>
      <w:bookmarkStart w:id="19" w:name="_Toc426970468"/>
      <w:r>
        <w:rPr>
          <w:rStyle w:val="CharPartNo"/>
        </w:rPr>
        <w:t>Part 2</w:t>
      </w:r>
      <w:r>
        <w:rPr>
          <w:rStyle w:val="CharDivNo"/>
        </w:rPr>
        <w:t> </w:t>
      </w:r>
      <w:r>
        <w:t>—</w:t>
      </w:r>
      <w:r>
        <w:rPr>
          <w:rStyle w:val="CharDivText"/>
        </w:rPr>
        <w:t> </w:t>
      </w:r>
      <w:r>
        <w:rPr>
          <w:rStyle w:val="CharPartText"/>
        </w:rPr>
        <w:t>Grading</w:t>
      </w:r>
      <w:bookmarkEnd w:id="16"/>
      <w:bookmarkEnd w:id="17"/>
      <w:bookmarkEnd w:id="18"/>
      <w:bookmarkEnd w:id="19"/>
      <w:r>
        <w:rPr>
          <w:rStyle w:val="CharPartText"/>
        </w:rPr>
        <w:t xml:space="preserve"> </w:t>
      </w:r>
    </w:p>
    <w:p>
      <w:pPr>
        <w:pStyle w:val="Heading5"/>
        <w:rPr>
          <w:snapToGrid w:val="0"/>
        </w:rPr>
      </w:pPr>
      <w:bookmarkStart w:id="20" w:name="_Toc378175550"/>
      <w:bookmarkStart w:id="21" w:name="_Toc426970469"/>
      <w:r>
        <w:rPr>
          <w:rStyle w:val="CharSectno"/>
        </w:rPr>
        <w:t>5</w:t>
      </w:r>
      <w:r>
        <w:rPr>
          <w:snapToGrid w:val="0"/>
        </w:rPr>
        <w:t>.</w:t>
      </w:r>
      <w:r>
        <w:rPr>
          <w:snapToGrid w:val="0"/>
        </w:rPr>
        <w:tab/>
        <w:t>Grading into classes</w:t>
      </w:r>
      <w:bookmarkEnd w:id="20"/>
      <w:bookmarkEnd w:id="21"/>
      <w:r>
        <w:rPr>
          <w:snapToGrid w:val="0"/>
        </w:rPr>
        <w:t xml:space="preserve"> </w:t>
      </w:r>
    </w:p>
    <w:p>
      <w:pPr>
        <w:pStyle w:val="Subsection"/>
        <w:rPr>
          <w:snapToGrid w:val="0"/>
        </w:rPr>
      </w:pPr>
      <w:r>
        <w:rPr>
          <w:snapToGrid w:val="0"/>
        </w:rPr>
        <w:tab/>
      </w:r>
      <w:r>
        <w:rPr>
          <w:snapToGrid w:val="0"/>
        </w:rPr>
        <w:tab/>
        <w:t>Peaches or nectarines may be graded as — </w:t>
      </w:r>
    </w:p>
    <w:p>
      <w:pPr>
        <w:pStyle w:val="Indenta"/>
        <w:rPr>
          <w:snapToGrid w:val="0"/>
        </w:rPr>
      </w:pPr>
      <w:r>
        <w:rPr>
          <w:snapToGrid w:val="0"/>
        </w:rPr>
        <w:tab/>
        <w:t>(a)</w:t>
      </w:r>
      <w:r>
        <w:rPr>
          <w:snapToGrid w:val="0"/>
        </w:rPr>
        <w:tab/>
        <w:t>Extra Class;</w:t>
      </w:r>
    </w:p>
    <w:p>
      <w:pPr>
        <w:pStyle w:val="Indenta"/>
        <w:rPr>
          <w:snapToGrid w:val="0"/>
        </w:rPr>
      </w:pPr>
      <w:r>
        <w:rPr>
          <w:snapToGrid w:val="0"/>
        </w:rPr>
        <w:tab/>
        <w:t>(b)</w:t>
      </w:r>
      <w:r>
        <w:rPr>
          <w:snapToGrid w:val="0"/>
        </w:rPr>
        <w:tab/>
        <w:t>Class 1;</w:t>
      </w:r>
    </w:p>
    <w:p>
      <w:pPr>
        <w:pStyle w:val="Indenta"/>
        <w:rPr>
          <w:snapToGrid w:val="0"/>
        </w:rPr>
      </w:pPr>
      <w:r>
        <w:rPr>
          <w:snapToGrid w:val="0"/>
        </w:rPr>
        <w:tab/>
        <w:t>(c)</w:t>
      </w:r>
      <w:r>
        <w:rPr>
          <w:snapToGrid w:val="0"/>
        </w:rPr>
        <w:tab/>
        <w:t>Class 2; or</w:t>
      </w:r>
    </w:p>
    <w:p>
      <w:pPr>
        <w:pStyle w:val="Indenta"/>
        <w:rPr>
          <w:snapToGrid w:val="0"/>
        </w:rPr>
      </w:pPr>
      <w:r>
        <w:rPr>
          <w:snapToGrid w:val="0"/>
        </w:rPr>
        <w:tab/>
        <w:t>(d)</w:t>
      </w:r>
      <w:r>
        <w:rPr>
          <w:snapToGrid w:val="0"/>
        </w:rPr>
        <w:tab/>
        <w:t>Class 3,</w:t>
      </w:r>
    </w:p>
    <w:p>
      <w:pPr>
        <w:pStyle w:val="Subsection"/>
        <w:rPr>
          <w:snapToGrid w:val="0"/>
        </w:rPr>
      </w:pPr>
      <w:r>
        <w:rPr>
          <w:snapToGrid w:val="0"/>
        </w:rPr>
        <w:tab/>
      </w:r>
      <w:r>
        <w:rPr>
          <w:snapToGrid w:val="0"/>
        </w:rPr>
        <w:tab/>
        <w:t>if they comply with the requirements for the relevant class as prescribed by this Part.</w:t>
      </w:r>
    </w:p>
    <w:p>
      <w:pPr>
        <w:pStyle w:val="Heading5"/>
        <w:rPr>
          <w:snapToGrid w:val="0"/>
        </w:rPr>
      </w:pPr>
      <w:bookmarkStart w:id="22" w:name="_Toc378175551"/>
      <w:bookmarkStart w:id="23" w:name="_Toc426970470"/>
      <w:r>
        <w:rPr>
          <w:rStyle w:val="CharSectno"/>
        </w:rPr>
        <w:t>6</w:t>
      </w:r>
      <w:r>
        <w:rPr>
          <w:snapToGrid w:val="0"/>
        </w:rPr>
        <w:t>.</w:t>
      </w:r>
      <w:r>
        <w:rPr>
          <w:snapToGrid w:val="0"/>
        </w:rPr>
        <w:tab/>
        <w:t>Minimum requirements</w:t>
      </w:r>
      <w:bookmarkEnd w:id="22"/>
      <w:bookmarkEnd w:id="23"/>
      <w:r>
        <w:rPr>
          <w:snapToGrid w:val="0"/>
        </w:rPr>
        <w:t xml:space="preserve"> </w:t>
      </w:r>
    </w:p>
    <w:p>
      <w:pPr>
        <w:pStyle w:val="Subsection"/>
        <w:rPr>
          <w:snapToGrid w:val="0"/>
        </w:rPr>
      </w:pPr>
      <w:r>
        <w:rPr>
          <w:snapToGrid w:val="0"/>
        </w:rPr>
        <w:tab/>
      </w:r>
      <w:r>
        <w:rPr>
          <w:snapToGrid w:val="0"/>
        </w:rPr>
        <w:tab/>
        <w:t>Peaches or nectarines in all classes other than Class 3 shall be — </w:t>
      </w:r>
    </w:p>
    <w:p>
      <w:pPr>
        <w:pStyle w:val="Indenta"/>
        <w:rPr>
          <w:snapToGrid w:val="0"/>
        </w:rPr>
      </w:pPr>
      <w:r>
        <w:rPr>
          <w:snapToGrid w:val="0"/>
        </w:rPr>
        <w:tab/>
        <w:t>(a)</w:t>
      </w:r>
      <w:r>
        <w:rPr>
          <w:snapToGrid w:val="0"/>
        </w:rPr>
        <w:tab/>
        <w:t>intact;</w:t>
      </w:r>
    </w:p>
    <w:p>
      <w:pPr>
        <w:pStyle w:val="Indenta"/>
        <w:rPr>
          <w:snapToGrid w:val="0"/>
        </w:rPr>
      </w:pPr>
      <w:r>
        <w:rPr>
          <w:snapToGrid w:val="0"/>
        </w:rPr>
        <w:tab/>
        <w:t>(b)</w:t>
      </w:r>
      <w:r>
        <w:rPr>
          <w:snapToGrid w:val="0"/>
        </w:rPr>
        <w:tab/>
        <w:t>sound;</w:t>
      </w:r>
    </w:p>
    <w:p>
      <w:pPr>
        <w:pStyle w:val="Indenta"/>
        <w:rPr>
          <w:snapToGrid w:val="0"/>
        </w:rPr>
      </w:pPr>
      <w:r>
        <w:rPr>
          <w:snapToGrid w:val="0"/>
        </w:rPr>
        <w:tab/>
        <w:t>(c)</w:t>
      </w:r>
      <w:r>
        <w:rPr>
          <w:snapToGrid w:val="0"/>
        </w:rPr>
        <w:tab/>
        <w:t>clean;</w:t>
      </w:r>
    </w:p>
    <w:p>
      <w:pPr>
        <w:pStyle w:val="Indenta"/>
        <w:rPr>
          <w:snapToGrid w:val="0"/>
        </w:rPr>
      </w:pPr>
      <w:r>
        <w:rPr>
          <w:snapToGrid w:val="0"/>
        </w:rPr>
        <w:tab/>
        <w:t>(d)</w:t>
      </w:r>
      <w:r>
        <w:rPr>
          <w:snapToGrid w:val="0"/>
        </w:rPr>
        <w:tab/>
        <w:t>practically free from sunburn and free from other disorders;</w:t>
      </w:r>
    </w:p>
    <w:p>
      <w:pPr>
        <w:pStyle w:val="Indenta"/>
        <w:rPr>
          <w:snapToGrid w:val="0"/>
        </w:rPr>
      </w:pPr>
      <w:r>
        <w:rPr>
          <w:snapToGrid w:val="0"/>
        </w:rPr>
        <w:tab/>
        <w:t>(e)</w:t>
      </w:r>
      <w:r>
        <w:rPr>
          <w:snapToGrid w:val="0"/>
        </w:rPr>
        <w:tab/>
        <w:t>free from abnormal external moisture;</w:t>
      </w:r>
    </w:p>
    <w:p>
      <w:pPr>
        <w:pStyle w:val="Indenta"/>
        <w:rPr>
          <w:snapToGrid w:val="0"/>
        </w:rPr>
      </w:pPr>
      <w:r>
        <w:rPr>
          <w:snapToGrid w:val="0"/>
        </w:rPr>
        <w:tab/>
        <w:t>(f)</w:t>
      </w:r>
      <w:r>
        <w:rPr>
          <w:snapToGrid w:val="0"/>
        </w:rPr>
        <w:tab/>
        <w:t>free from any foreign smell or taste;</w:t>
      </w:r>
    </w:p>
    <w:p>
      <w:pPr>
        <w:pStyle w:val="Indenta"/>
        <w:rPr>
          <w:snapToGrid w:val="0"/>
        </w:rPr>
      </w:pPr>
      <w:r>
        <w:rPr>
          <w:snapToGrid w:val="0"/>
        </w:rPr>
        <w:tab/>
        <w:t>(g)</w:t>
      </w:r>
      <w:r>
        <w:rPr>
          <w:snapToGrid w:val="0"/>
        </w:rPr>
        <w:tab/>
        <w:t>of a minimum size, as specified in the Table to clause 12; and</w:t>
      </w:r>
    </w:p>
    <w:p>
      <w:pPr>
        <w:pStyle w:val="Indenta"/>
        <w:rPr>
          <w:snapToGrid w:val="0"/>
        </w:rPr>
      </w:pPr>
      <w:r>
        <w:rPr>
          <w:snapToGrid w:val="0"/>
        </w:rPr>
        <w:tab/>
        <w:t>(h)</w:t>
      </w:r>
      <w:r>
        <w:rPr>
          <w:snapToGrid w:val="0"/>
        </w:rPr>
        <w:tab/>
        <w:t>free from unhealed cracks.</w:t>
      </w:r>
    </w:p>
    <w:p>
      <w:pPr>
        <w:pStyle w:val="Heading5"/>
        <w:rPr>
          <w:snapToGrid w:val="0"/>
        </w:rPr>
      </w:pPr>
      <w:bookmarkStart w:id="24" w:name="_Toc378175552"/>
      <w:bookmarkStart w:id="25" w:name="_Toc426970471"/>
      <w:r>
        <w:rPr>
          <w:rStyle w:val="CharSectno"/>
        </w:rPr>
        <w:t>7</w:t>
      </w:r>
      <w:r>
        <w:rPr>
          <w:snapToGrid w:val="0"/>
        </w:rPr>
        <w:t>.</w:t>
      </w:r>
      <w:r>
        <w:rPr>
          <w:snapToGrid w:val="0"/>
        </w:rPr>
        <w:tab/>
        <w:t>Maturity</w:t>
      </w:r>
      <w:bookmarkEnd w:id="24"/>
      <w:bookmarkEnd w:id="25"/>
      <w:r>
        <w:rPr>
          <w:snapToGrid w:val="0"/>
        </w:rPr>
        <w:t xml:space="preserve"> </w:t>
      </w:r>
    </w:p>
    <w:p>
      <w:pPr>
        <w:pStyle w:val="Subsection"/>
        <w:rPr>
          <w:snapToGrid w:val="0"/>
        </w:rPr>
      </w:pPr>
      <w:r>
        <w:rPr>
          <w:snapToGrid w:val="0"/>
        </w:rPr>
        <w:tab/>
      </w:r>
      <w:r>
        <w:rPr>
          <w:snapToGrid w:val="0"/>
        </w:rPr>
        <w:tab/>
        <w:t>Peaches or nectarines shall be mature.</w:t>
      </w:r>
    </w:p>
    <w:p>
      <w:pPr>
        <w:pStyle w:val="Heading5"/>
        <w:rPr>
          <w:snapToGrid w:val="0"/>
        </w:rPr>
      </w:pPr>
      <w:bookmarkStart w:id="26" w:name="_Toc378175553"/>
      <w:bookmarkStart w:id="27" w:name="_Toc426970472"/>
      <w:r>
        <w:rPr>
          <w:rStyle w:val="CharSectno"/>
        </w:rPr>
        <w:t>8</w:t>
      </w:r>
      <w:r>
        <w:rPr>
          <w:snapToGrid w:val="0"/>
        </w:rPr>
        <w:t>.</w:t>
      </w:r>
      <w:r>
        <w:rPr>
          <w:snapToGrid w:val="0"/>
        </w:rPr>
        <w:tab/>
        <w:t>Classes</w:t>
      </w:r>
      <w:bookmarkEnd w:id="26"/>
      <w:bookmarkEnd w:id="27"/>
      <w:r>
        <w:rPr>
          <w:snapToGrid w:val="0"/>
        </w:rPr>
        <w:t xml:space="preserve"> </w:t>
      </w:r>
    </w:p>
    <w:p>
      <w:pPr>
        <w:pStyle w:val="Subsection"/>
        <w:rPr>
          <w:snapToGrid w:val="0"/>
        </w:rPr>
      </w:pPr>
      <w:r>
        <w:rPr>
          <w:snapToGrid w:val="0"/>
        </w:rPr>
        <w:tab/>
        <w:t>(1)</w:t>
      </w:r>
      <w:r>
        <w:rPr>
          <w:snapToGrid w:val="0"/>
        </w:rPr>
        <w:tab/>
        <w:t>Subject to Part 3, peaches or nectarines graded as Extra Class shall be — </w:t>
      </w:r>
    </w:p>
    <w:p>
      <w:pPr>
        <w:pStyle w:val="Indenta"/>
        <w:rPr>
          <w:snapToGrid w:val="0"/>
        </w:rPr>
      </w:pPr>
      <w:r>
        <w:rPr>
          <w:snapToGrid w:val="0"/>
        </w:rPr>
        <w:tab/>
        <w:t>(a)</w:t>
      </w:r>
      <w:r>
        <w:rPr>
          <w:snapToGrid w:val="0"/>
        </w:rPr>
        <w:tab/>
        <w:t>well-formed and typical of the variety;</w:t>
      </w:r>
    </w:p>
    <w:p>
      <w:pPr>
        <w:pStyle w:val="Indenta"/>
        <w:rPr>
          <w:snapToGrid w:val="0"/>
        </w:rPr>
      </w:pPr>
      <w:r>
        <w:rPr>
          <w:snapToGrid w:val="0"/>
        </w:rPr>
        <w:tab/>
        <w:t>(b)</w:t>
      </w:r>
      <w:r>
        <w:rPr>
          <w:snapToGrid w:val="0"/>
        </w:rPr>
        <w:tab/>
        <w:t>practically free from defects and blemishes, other than very slight blemishes;</w:t>
      </w:r>
    </w:p>
    <w:p>
      <w:pPr>
        <w:pStyle w:val="Indenta"/>
        <w:rPr>
          <w:snapToGrid w:val="0"/>
        </w:rPr>
      </w:pPr>
      <w:r>
        <w:rPr>
          <w:snapToGrid w:val="0"/>
        </w:rPr>
        <w:tab/>
        <w:t>(c)</w:t>
      </w:r>
      <w:r>
        <w:rPr>
          <w:snapToGrid w:val="0"/>
        </w:rPr>
        <w:tab/>
        <w:t>free from damage caused by pests and diseases;</w:t>
      </w:r>
    </w:p>
    <w:p>
      <w:pPr>
        <w:pStyle w:val="Indenta"/>
        <w:rPr>
          <w:snapToGrid w:val="0"/>
        </w:rPr>
      </w:pPr>
      <w:r>
        <w:rPr>
          <w:snapToGrid w:val="0"/>
        </w:rPr>
        <w:tab/>
        <w:t>(d)</w:t>
      </w:r>
      <w:r>
        <w:rPr>
          <w:snapToGrid w:val="0"/>
        </w:rPr>
        <w:tab/>
        <w:t>free from splitting at the stem end.</w:t>
      </w:r>
    </w:p>
    <w:p>
      <w:pPr>
        <w:pStyle w:val="Subsection"/>
        <w:rPr>
          <w:snapToGrid w:val="0"/>
        </w:rPr>
      </w:pPr>
      <w:r>
        <w:rPr>
          <w:snapToGrid w:val="0"/>
        </w:rPr>
        <w:tab/>
        <w:t>(2)</w:t>
      </w:r>
      <w:r>
        <w:rPr>
          <w:snapToGrid w:val="0"/>
        </w:rPr>
        <w:tab/>
        <w:t>Subject to Part 3, peaches or nectarines graded as Class 1 shall be — </w:t>
      </w:r>
    </w:p>
    <w:p>
      <w:pPr>
        <w:pStyle w:val="Indenta"/>
        <w:rPr>
          <w:snapToGrid w:val="0"/>
        </w:rPr>
      </w:pPr>
      <w:r>
        <w:rPr>
          <w:snapToGrid w:val="0"/>
        </w:rPr>
        <w:tab/>
        <w:t>(a)</w:t>
      </w:r>
      <w:r>
        <w:rPr>
          <w:snapToGrid w:val="0"/>
        </w:rPr>
        <w:tab/>
        <w:t>reasonably well-formed and typical of the variety;</w:t>
      </w:r>
    </w:p>
    <w:p>
      <w:pPr>
        <w:pStyle w:val="Indenta"/>
        <w:rPr>
          <w:snapToGrid w:val="0"/>
        </w:rPr>
      </w:pPr>
      <w:r>
        <w:rPr>
          <w:snapToGrid w:val="0"/>
        </w:rPr>
        <w:tab/>
        <w:t>(b)</w:t>
      </w:r>
      <w:r>
        <w:rPr>
          <w:snapToGrid w:val="0"/>
        </w:rPr>
        <w:tab/>
        <w:t>reasonably free from defects and blemishes, subject to any blemish not exceeding 1 square centimetre in total area or 1 centimetre in length;</w:t>
      </w:r>
    </w:p>
    <w:p>
      <w:pPr>
        <w:pStyle w:val="Indenta"/>
        <w:rPr>
          <w:snapToGrid w:val="0"/>
        </w:rPr>
      </w:pPr>
      <w:r>
        <w:rPr>
          <w:snapToGrid w:val="0"/>
        </w:rPr>
        <w:tab/>
        <w:t>(c)</w:t>
      </w:r>
      <w:r>
        <w:rPr>
          <w:snapToGrid w:val="0"/>
        </w:rPr>
        <w:tab/>
        <w:t>practically free from damage caused by pests and diseases; and</w:t>
      </w:r>
    </w:p>
    <w:p>
      <w:pPr>
        <w:pStyle w:val="Indenta"/>
        <w:rPr>
          <w:snapToGrid w:val="0"/>
        </w:rPr>
      </w:pPr>
      <w:r>
        <w:rPr>
          <w:snapToGrid w:val="0"/>
        </w:rPr>
        <w:tab/>
        <w:t>(d)</w:t>
      </w:r>
      <w:r>
        <w:rPr>
          <w:snapToGrid w:val="0"/>
        </w:rPr>
        <w:tab/>
        <w:t>free from splitting at the stem end.</w:t>
      </w:r>
    </w:p>
    <w:p>
      <w:pPr>
        <w:pStyle w:val="Subsection"/>
        <w:rPr>
          <w:snapToGrid w:val="0"/>
        </w:rPr>
      </w:pPr>
      <w:r>
        <w:rPr>
          <w:snapToGrid w:val="0"/>
        </w:rPr>
        <w:tab/>
        <w:t>(3)</w:t>
      </w:r>
      <w:r>
        <w:rPr>
          <w:snapToGrid w:val="0"/>
        </w:rPr>
        <w:tab/>
        <w:t>Subject to Part 3, Class 2 shall comprise peaches and nectarines that are not suitable for Extra Class or Class 1, but satisfy the minimum requirements as specified in clause 6 and — </w:t>
      </w:r>
    </w:p>
    <w:p>
      <w:pPr>
        <w:pStyle w:val="Indenta"/>
        <w:rPr>
          <w:snapToGrid w:val="0"/>
        </w:rPr>
      </w:pPr>
      <w:r>
        <w:rPr>
          <w:snapToGrid w:val="0"/>
        </w:rPr>
        <w:tab/>
        <w:t>(a)</w:t>
      </w:r>
      <w:r>
        <w:rPr>
          <w:snapToGrid w:val="0"/>
        </w:rPr>
        <w:tab/>
        <w:t>shall be free from any serious defects;</w:t>
      </w:r>
    </w:p>
    <w:p>
      <w:pPr>
        <w:pStyle w:val="Indenta"/>
        <w:rPr>
          <w:snapToGrid w:val="0"/>
        </w:rPr>
      </w:pPr>
      <w:r>
        <w:rPr>
          <w:snapToGrid w:val="0"/>
        </w:rPr>
        <w:tab/>
        <w:t>(b)</w:t>
      </w:r>
      <w:r>
        <w:rPr>
          <w:snapToGrid w:val="0"/>
        </w:rPr>
        <w:tab/>
        <w:t>may have reasonable defects in shape, development and colouring, subject to the fruit retaining its general characteristics;</w:t>
      </w:r>
    </w:p>
    <w:p>
      <w:pPr>
        <w:pStyle w:val="Indenta"/>
        <w:rPr>
          <w:snapToGrid w:val="0"/>
        </w:rPr>
      </w:pPr>
      <w:r>
        <w:rPr>
          <w:snapToGrid w:val="0"/>
        </w:rPr>
        <w:tab/>
        <w:t>(c)</w:t>
      </w:r>
      <w:r>
        <w:rPr>
          <w:snapToGrid w:val="0"/>
        </w:rPr>
        <w:tab/>
        <w:t>may have reasonable splitting of the stem end if this does not affect the keeping quality of, or unduly impair the general appearance and presentation of, the fruit; and</w:t>
      </w:r>
    </w:p>
    <w:p>
      <w:pPr>
        <w:pStyle w:val="Indenta"/>
        <w:rPr>
          <w:snapToGrid w:val="0"/>
        </w:rPr>
      </w:pPr>
      <w:r>
        <w:rPr>
          <w:snapToGrid w:val="0"/>
        </w:rPr>
        <w:tab/>
        <w:t>(d)</w:t>
      </w:r>
      <w:r>
        <w:rPr>
          <w:snapToGrid w:val="0"/>
        </w:rPr>
        <w:tab/>
        <w:t>may have skin blemishes, subject to any blemish not exceeding 2 square centimetres in total area or 2 centimetres in length.</w:t>
      </w:r>
    </w:p>
    <w:p>
      <w:pPr>
        <w:pStyle w:val="Subsection"/>
        <w:rPr>
          <w:snapToGrid w:val="0"/>
        </w:rPr>
      </w:pPr>
      <w:r>
        <w:rPr>
          <w:snapToGrid w:val="0"/>
        </w:rPr>
        <w:tab/>
        <w:t>(4)</w:t>
      </w:r>
      <w:r>
        <w:rPr>
          <w:snapToGrid w:val="0"/>
        </w:rPr>
        <w:tab/>
        <w:t>Class 3 shall comprise peaches and nectarines that do not satisfy the requirements of any of the other classes.</w:t>
      </w:r>
    </w:p>
    <w:p>
      <w:pPr>
        <w:pStyle w:val="Heading5"/>
        <w:rPr>
          <w:snapToGrid w:val="0"/>
        </w:rPr>
      </w:pPr>
      <w:bookmarkStart w:id="28" w:name="_Toc378175554"/>
      <w:bookmarkStart w:id="29" w:name="_Toc426970473"/>
      <w:r>
        <w:rPr>
          <w:rStyle w:val="CharSectno"/>
        </w:rPr>
        <w:t>9</w:t>
      </w:r>
      <w:r>
        <w:rPr>
          <w:snapToGrid w:val="0"/>
        </w:rPr>
        <w:t>.</w:t>
      </w:r>
      <w:r>
        <w:rPr>
          <w:snapToGrid w:val="0"/>
        </w:rPr>
        <w:tab/>
        <w:t>Determination of size for grading</w:t>
      </w:r>
      <w:bookmarkEnd w:id="28"/>
      <w:bookmarkEnd w:id="29"/>
      <w:r>
        <w:rPr>
          <w:snapToGrid w:val="0"/>
        </w:rPr>
        <w:t xml:space="preserve"> </w:t>
      </w:r>
    </w:p>
    <w:p>
      <w:pPr>
        <w:pStyle w:val="Subsection"/>
        <w:rPr>
          <w:snapToGrid w:val="0"/>
        </w:rPr>
      </w:pPr>
      <w:r>
        <w:rPr>
          <w:snapToGrid w:val="0"/>
        </w:rPr>
        <w:tab/>
      </w:r>
      <w:r>
        <w:rPr>
          <w:snapToGrid w:val="0"/>
        </w:rPr>
        <w:tab/>
        <w:t>The size of a peach or nectarine for grading purposes shall be measured by the maximum diameter of the equatorial section of the peach or nectarine.</w:t>
      </w:r>
    </w:p>
    <w:p>
      <w:pPr>
        <w:pStyle w:val="Heading2"/>
      </w:pPr>
      <w:bookmarkStart w:id="30" w:name="_Toc378175555"/>
      <w:bookmarkStart w:id="31" w:name="_Toc426970417"/>
      <w:bookmarkStart w:id="32" w:name="_Toc426970446"/>
      <w:bookmarkStart w:id="33" w:name="_Toc426970474"/>
      <w:r>
        <w:rPr>
          <w:rStyle w:val="CharPartNo"/>
        </w:rPr>
        <w:t>Part 3</w:t>
      </w:r>
      <w:r>
        <w:rPr>
          <w:rStyle w:val="CharDivNo"/>
        </w:rPr>
        <w:t> </w:t>
      </w:r>
      <w:r>
        <w:t>—</w:t>
      </w:r>
      <w:r>
        <w:rPr>
          <w:rStyle w:val="CharDivText"/>
        </w:rPr>
        <w:t> </w:t>
      </w:r>
      <w:r>
        <w:rPr>
          <w:rStyle w:val="CharPartText"/>
        </w:rPr>
        <w:t>Packing</w:t>
      </w:r>
      <w:bookmarkEnd w:id="30"/>
      <w:bookmarkEnd w:id="31"/>
      <w:bookmarkEnd w:id="32"/>
      <w:bookmarkEnd w:id="33"/>
    </w:p>
    <w:p>
      <w:pPr>
        <w:pStyle w:val="Heading5"/>
        <w:rPr>
          <w:snapToGrid w:val="0"/>
        </w:rPr>
      </w:pPr>
      <w:bookmarkStart w:id="34" w:name="_Toc378175556"/>
      <w:bookmarkStart w:id="35" w:name="_Toc426970475"/>
      <w:r>
        <w:rPr>
          <w:rStyle w:val="CharSectno"/>
        </w:rPr>
        <w:t>10</w:t>
      </w:r>
      <w:r>
        <w:rPr>
          <w:snapToGrid w:val="0"/>
        </w:rPr>
        <w:t>.</w:t>
      </w:r>
      <w:r>
        <w:rPr>
          <w:snapToGrid w:val="0"/>
        </w:rPr>
        <w:tab/>
        <w:t>Single variety</w:t>
      </w:r>
      <w:bookmarkEnd w:id="34"/>
      <w:bookmarkEnd w:id="35"/>
    </w:p>
    <w:p>
      <w:pPr>
        <w:pStyle w:val="Subsection"/>
        <w:rPr>
          <w:snapToGrid w:val="0"/>
        </w:rPr>
      </w:pPr>
      <w:r>
        <w:rPr>
          <w:snapToGrid w:val="0"/>
        </w:rPr>
        <w:tab/>
      </w:r>
      <w:r>
        <w:rPr>
          <w:snapToGrid w:val="0"/>
        </w:rPr>
        <w:tab/>
        <w:t>A package of peaches or nectarines shall not contain peaches or nectarines of any variety other than the variety marked on the package.</w:t>
      </w:r>
    </w:p>
    <w:p>
      <w:pPr>
        <w:pStyle w:val="Heading5"/>
        <w:rPr>
          <w:snapToGrid w:val="0"/>
        </w:rPr>
      </w:pPr>
      <w:bookmarkStart w:id="36" w:name="_Toc378175557"/>
      <w:bookmarkStart w:id="37" w:name="_Toc426970476"/>
      <w:r>
        <w:rPr>
          <w:rStyle w:val="CharSectno"/>
        </w:rPr>
        <w:t>11</w:t>
      </w:r>
      <w:r>
        <w:rPr>
          <w:snapToGrid w:val="0"/>
        </w:rPr>
        <w:t>.</w:t>
      </w:r>
      <w:r>
        <w:rPr>
          <w:snapToGrid w:val="0"/>
        </w:rPr>
        <w:tab/>
        <w:t>Mixture of peaches or nectarines by class</w:t>
      </w:r>
      <w:bookmarkEnd w:id="36"/>
      <w:bookmarkEnd w:id="37"/>
      <w:r>
        <w:rPr>
          <w:snapToGrid w:val="0"/>
        </w:rPr>
        <w:t xml:space="preserve"> </w:t>
      </w:r>
    </w:p>
    <w:p>
      <w:pPr>
        <w:pStyle w:val="Subsection"/>
        <w:rPr>
          <w:snapToGrid w:val="0"/>
        </w:rPr>
      </w:pPr>
      <w:r>
        <w:rPr>
          <w:snapToGrid w:val="0"/>
        </w:rPr>
        <w:tab/>
      </w:r>
      <w:r>
        <w:rPr>
          <w:snapToGrid w:val="0"/>
        </w:rPr>
        <w:tab/>
        <w:t>A package of peaches or nectarines may contain fruit of mixed classes, other than Class 3.</w:t>
      </w:r>
    </w:p>
    <w:p>
      <w:pPr>
        <w:pStyle w:val="Heading5"/>
        <w:rPr>
          <w:snapToGrid w:val="0"/>
        </w:rPr>
      </w:pPr>
      <w:bookmarkStart w:id="38" w:name="_Toc378175558"/>
      <w:bookmarkStart w:id="39" w:name="_Toc426970477"/>
      <w:r>
        <w:rPr>
          <w:rStyle w:val="CharSectno"/>
        </w:rPr>
        <w:t>12</w:t>
      </w:r>
      <w:r>
        <w:rPr>
          <w:snapToGrid w:val="0"/>
        </w:rPr>
        <w:t>.</w:t>
      </w:r>
      <w:r>
        <w:rPr>
          <w:snapToGrid w:val="0"/>
        </w:rPr>
        <w:tab/>
        <w:t>Size variations</w:t>
      </w:r>
      <w:bookmarkEnd w:id="38"/>
      <w:bookmarkEnd w:id="39"/>
      <w:r>
        <w:rPr>
          <w:snapToGrid w:val="0"/>
        </w:rPr>
        <w:t xml:space="preserve"> </w:t>
      </w:r>
    </w:p>
    <w:p>
      <w:pPr>
        <w:pStyle w:val="Subsection"/>
        <w:rPr>
          <w:snapToGrid w:val="0"/>
        </w:rPr>
      </w:pPr>
      <w:r>
        <w:rPr>
          <w:snapToGrid w:val="0"/>
        </w:rPr>
        <w:tab/>
        <w:t>(1)</w:t>
      </w:r>
      <w:r>
        <w:rPr>
          <w:snapToGrid w:val="0"/>
        </w:rPr>
        <w:tab/>
        <w:t>Extra Class peaches and nectarines shall be graded according to size.</w:t>
      </w:r>
    </w:p>
    <w:p>
      <w:pPr>
        <w:pStyle w:val="Subsection"/>
        <w:rPr>
          <w:snapToGrid w:val="0"/>
        </w:rPr>
      </w:pPr>
      <w:r>
        <w:rPr>
          <w:snapToGrid w:val="0"/>
        </w:rPr>
        <w:tab/>
        <w:t>(2)</w:t>
      </w:r>
      <w:r>
        <w:rPr>
          <w:snapToGrid w:val="0"/>
        </w:rPr>
        <w:tab/>
        <w:t>Peaches or nectarines in packages marked “UNCLASSED” are not required to be sized.</w:t>
      </w:r>
    </w:p>
    <w:p>
      <w:pPr>
        <w:pStyle w:val="Subsection"/>
        <w:rPr>
          <w:snapToGrid w:val="0"/>
        </w:rPr>
      </w:pPr>
      <w:r>
        <w:rPr>
          <w:snapToGrid w:val="0"/>
        </w:rPr>
        <w:tab/>
        <w:t>(3)</w:t>
      </w:r>
      <w:r>
        <w:rPr>
          <w:snapToGrid w:val="0"/>
        </w:rPr>
        <w:tab/>
        <w:t>The size of Class 1 or Class 2 peaches or nectarines packed in packages marked “UNSIZED” may vary without limit.</w:t>
      </w:r>
    </w:p>
    <w:p>
      <w:pPr>
        <w:pStyle w:val="Subsection"/>
        <w:rPr>
          <w:snapToGrid w:val="0"/>
        </w:rPr>
      </w:pPr>
      <w:r>
        <w:rPr>
          <w:snapToGrid w:val="0"/>
        </w:rPr>
        <w:tab/>
        <w:t>(4)</w:t>
      </w:r>
      <w:r>
        <w:rPr>
          <w:snapToGrid w:val="0"/>
        </w:rPr>
        <w:tab/>
        <w:t>A package of peaches or nectarines may contain up to 5 per cent by number or net mass of fruit 2 millimetres below the minimum size applicable to the class concerned.</w:t>
      </w:r>
    </w:p>
    <w:p>
      <w:pPr>
        <w:pStyle w:val="Subsection"/>
        <w:rPr>
          <w:snapToGrid w:val="0"/>
        </w:rPr>
      </w:pPr>
      <w:r>
        <w:rPr>
          <w:snapToGrid w:val="0"/>
        </w:rPr>
        <w:tab/>
        <w:t>(5)</w:t>
      </w:r>
      <w:r>
        <w:rPr>
          <w:snapToGrid w:val="0"/>
        </w:rPr>
        <w:tab/>
        <w:t>Peaches or nectarines classified as “low chill” or “other” varieties in the Table to clause 19 shall not vary in size within a package by more than the variation specified in relation to that variety in the last column of the Table to this clause.</w:t>
      </w:r>
    </w:p>
    <w:p>
      <w:pPr>
        <w:pStyle w:val="MiscellaneousHeading"/>
        <w:rPr>
          <w:snapToGrid w:val="0"/>
        </w:rPr>
      </w:pPr>
      <w:r>
        <w:rPr>
          <w:snapToGrid w:val="0"/>
        </w:rPr>
        <w:t>TABLE</w:t>
      </w:r>
    </w:p>
    <w:tbl>
      <w:tblPr>
        <w:tblW w:w="0" w:type="auto"/>
        <w:tblInd w:w="141" w:type="dxa"/>
        <w:tblBorders>
          <w:top w:val="double" w:sz="4" w:space="0" w:color="auto"/>
          <w:left w:val="double" w:sz="4" w:space="0" w:color="auto"/>
          <w:bottom w:val="double" w:sz="4" w:space="0" w:color="auto"/>
          <w:right w:val="double" w:sz="4" w:space="0" w:color="auto"/>
        </w:tblBorders>
        <w:tblLayout w:type="fixed"/>
        <w:tblCellMar>
          <w:left w:w="141" w:type="dxa"/>
          <w:right w:w="141" w:type="dxa"/>
        </w:tblCellMar>
        <w:tblLook w:val="0000" w:firstRow="0" w:lastRow="0" w:firstColumn="0" w:lastColumn="0" w:noHBand="0" w:noVBand="0"/>
      </w:tblPr>
      <w:tblGrid>
        <w:gridCol w:w="709"/>
        <w:gridCol w:w="2126"/>
        <w:gridCol w:w="1276"/>
        <w:gridCol w:w="1276"/>
        <w:gridCol w:w="1701"/>
      </w:tblGrid>
      <w:tr>
        <w:tc>
          <w:tcPr>
            <w:tcW w:w="709" w:type="dxa"/>
            <w:tcBorders>
              <w:top w:val="double" w:sz="4" w:space="0" w:color="auto"/>
              <w:bottom w:val="single" w:sz="4" w:space="0" w:color="auto"/>
              <w:right w:val="single" w:sz="4" w:space="0" w:color="auto"/>
            </w:tcBorders>
            <w:shd w:val="pct10" w:color="auto" w:fill="auto"/>
          </w:tcPr>
          <w:p>
            <w:pPr>
              <w:pStyle w:val="Table"/>
              <w:spacing w:before="0"/>
              <w:jc w:val="center"/>
              <w:rPr>
                <w:sz w:val="18"/>
              </w:rPr>
            </w:pPr>
            <w:r>
              <w:rPr>
                <w:sz w:val="18"/>
              </w:rPr>
              <w:t>Item</w:t>
            </w:r>
          </w:p>
        </w:tc>
        <w:tc>
          <w:tcPr>
            <w:tcW w:w="2126" w:type="dxa"/>
            <w:tcBorders>
              <w:top w:val="double" w:sz="4" w:space="0" w:color="auto"/>
              <w:left w:val="single" w:sz="4" w:space="0" w:color="auto"/>
              <w:bottom w:val="single" w:sz="4" w:space="0" w:color="auto"/>
              <w:right w:val="single" w:sz="4" w:space="0" w:color="auto"/>
            </w:tcBorders>
            <w:shd w:val="pct10" w:color="auto" w:fill="auto"/>
          </w:tcPr>
          <w:p>
            <w:pPr>
              <w:pStyle w:val="Table"/>
              <w:spacing w:before="0"/>
              <w:jc w:val="center"/>
              <w:rPr>
                <w:sz w:val="18"/>
              </w:rPr>
            </w:pPr>
            <w:r>
              <w:rPr>
                <w:sz w:val="18"/>
              </w:rPr>
              <w:t>Class of peach</w:t>
            </w:r>
          </w:p>
        </w:tc>
        <w:tc>
          <w:tcPr>
            <w:tcW w:w="2552" w:type="dxa"/>
            <w:gridSpan w:val="2"/>
            <w:tcBorders>
              <w:top w:val="double" w:sz="4" w:space="0" w:color="auto"/>
              <w:left w:val="single" w:sz="4" w:space="0" w:color="auto"/>
              <w:bottom w:val="single" w:sz="4" w:space="0" w:color="auto"/>
              <w:right w:val="single" w:sz="4" w:space="0" w:color="auto"/>
            </w:tcBorders>
            <w:shd w:val="pct10" w:color="auto" w:fill="auto"/>
          </w:tcPr>
          <w:p>
            <w:pPr>
              <w:pStyle w:val="Table"/>
              <w:spacing w:before="0"/>
              <w:jc w:val="center"/>
              <w:rPr>
                <w:sz w:val="18"/>
              </w:rPr>
            </w:pPr>
            <w:r>
              <w:rPr>
                <w:sz w:val="18"/>
              </w:rPr>
              <w:t>Minimum size</w:t>
            </w:r>
          </w:p>
        </w:tc>
        <w:tc>
          <w:tcPr>
            <w:tcW w:w="1701" w:type="dxa"/>
            <w:tcBorders>
              <w:top w:val="double" w:sz="4" w:space="0" w:color="auto"/>
              <w:left w:val="single" w:sz="4" w:space="0" w:color="auto"/>
              <w:bottom w:val="single" w:sz="4" w:space="0" w:color="auto"/>
            </w:tcBorders>
            <w:shd w:val="pct10" w:color="auto" w:fill="auto"/>
          </w:tcPr>
          <w:p>
            <w:pPr>
              <w:pStyle w:val="Table"/>
              <w:spacing w:before="0"/>
              <w:jc w:val="center"/>
              <w:rPr>
                <w:sz w:val="18"/>
              </w:rPr>
            </w:pPr>
            <w:r>
              <w:rPr>
                <w:sz w:val="18"/>
              </w:rPr>
              <w:t>Variation</w:t>
            </w:r>
          </w:p>
        </w:tc>
      </w:tr>
      <w:tr>
        <w:tc>
          <w:tcPr>
            <w:tcW w:w="709" w:type="dxa"/>
            <w:tcBorders>
              <w:top w:val="single" w:sz="4" w:space="0" w:color="auto"/>
              <w:bottom w:val="single" w:sz="4" w:space="0" w:color="auto"/>
              <w:right w:val="single" w:sz="4" w:space="0" w:color="auto"/>
            </w:tcBorders>
            <w:shd w:val="pct10" w:color="auto" w:fill="auto"/>
          </w:tcPr>
          <w:p>
            <w:pPr>
              <w:pStyle w:val="Table"/>
              <w:spacing w:before="0"/>
              <w:jc w:val="center"/>
              <w:rPr>
                <w:sz w:val="18"/>
              </w:rPr>
            </w:pPr>
          </w:p>
        </w:tc>
        <w:tc>
          <w:tcPr>
            <w:tcW w:w="2126" w:type="dxa"/>
            <w:tcBorders>
              <w:top w:val="single" w:sz="4" w:space="0" w:color="auto"/>
              <w:left w:val="single" w:sz="4" w:space="0" w:color="auto"/>
              <w:bottom w:val="single" w:sz="4" w:space="0" w:color="auto"/>
              <w:right w:val="single" w:sz="4" w:space="0" w:color="auto"/>
            </w:tcBorders>
            <w:shd w:val="pct10" w:color="auto" w:fill="auto"/>
          </w:tcPr>
          <w:p>
            <w:pPr>
              <w:pStyle w:val="Table"/>
              <w:spacing w:before="0"/>
              <w:rPr>
                <w:sz w:val="18"/>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pPr>
              <w:pStyle w:val="Table"/>
              <w:spacing w:before="0"/>
              <w:jc w:val="center"/>
              <w:rPr>
                <w:sz w:val="18"/>
              </w:rPr>
            </w:pPr>
            <w:r>
              <w:rPr>
                <w:sz w:val="18"/>
              </w:rPr>
              <w:t>Low chill</w:t>
            </w:r>
          </w:p>
          <w:p>
            <w:pPr>
              <w:pStyle w:val="Table"/>
              <w:spacing w:before="0"/>
              <w:jc w:val="center"/>
              <w:rPr>
                <w:sz w:val="18"/>
              </w:rPr>
            </w:pPr>
            <w:r>
              <w:rPr>
                <w:sz w:val="18"/>
              </w:rPr>
              <w:t>variety</w:t>
            </w:r>
          </w:p>
        </w:tc>
        <w:tc>
          <w:tcPr>
            <w:tcW w:w="1276" w:type="dxa"/>
            <w:tcBorders>
              <w:top w:val="single" w:sz="4" w:space="0" w:color="auto"/>
              <w:left w:val="single" w:sz="4" w:space="0" w:color="auto"/>
              <w:bottom w:val="single" w:sz="4" w:space="0" w:color="auto"/>
              <w:right w:val="single" w:sz="4" w:space="0" w:color="auto"/>
            </w:tcBorders>
            <w:shd w:val="pct10" w:color="auto" w:fill="auto"/>
          </w:tcPr>
          <w:p>
            <w:pPr>
              <w:pStyle w:val="Table"/>
              <w:spacing w:before="0"/>
              <w:jc w:val="center"/>
              <w:rPr>
                <w:sz w:val="18"/>
              </w:rPr>
            </w:pPr>
            <w:r>
              <w:rPr>
                <w:sz w:val="18"/>
              </w:rPr>
              <w:t>Other</w:t>
            </w:r>
          </w:p>
          <w:p>
            <w:pPr>
              <w:pStyle w:val="Table"/>
              <w:spacing w:before="0"/>
              <w:jc w:val="center"/>
              <w:rPr>
                <w:sz w:val="18"/>
              </w:rPr>
            </w:pPr>
            <w:r>
              <w:rPr>
                <w:sz w:val="18"/>
              </w:rPr>
              <w:t>variety</w:t>
            </w:r>
          </w:p>
        </w:tc>
        <w:tc>
          <w:tcPr>
            <w:tcW w:w="1701" w:type="dxa"/>
            <w:tcBorders>
              <w:top w:val="single" w:sz="4" w:space="0" w:color="auto"/>
              <w:left w:val="single" w:sz="4" w:space="0" w:color="auto"/>
              <w:bottom w:val="single" w:sz="4" w:space="0" w:color="auto"/>
            </w:tcBorders>
            <w:shd w:val="pct10" w:color="auto" w:fill="auto"/>
          </w:tcPr>
          <w:p>
            <w:pPr>
              <w:pStyle w:val="Table"/>
              <w:spacing w:before="0"/>
              <w:rPr>
                <w:sz w:val="18"/>
              </w:rPr>
            </w:pPr>
          </w:p>
        </w:tc>
      </w:tr>
      <w:tr>
        <w:tc>
          <w:tcPr>
            <w:tcW w:w="709" w:type="dxa"/>
            <w:tcBorders>
              <w:top w:val="single" w:sz="4" w:space="0" w:color="auto"/>
              <w:bottom w:val="single" w:sz="4" w:space="0" w:color="auto"/>
              <w:right w:val="single" w:sz="4" w:space="0" w:color="auto"/>
            </w:tcBorders>
          </w:tcPr>
          <w:p>
            <w:pPr>
              <w:pStyle w:val="Table"/>
              <w:spacing w:before="0"/>
              <w:jc w:val="center"/>
              <w:rPr>
                <w:sz w:val="18"/>
              </w:rPr>
            </w:pPr>
            <w:r>
              <w:rPr>
                <w:sz w:val="18"/>
              </w:rPr>
              <w:t>1.</w:t>
            </w:r>
          </w:p>
        </w:tc>
        <w:tc>
          <w:tcPr>
            <w:tcW w:w="2126" w:type="dxa"/>
            <w:tcBorders>
              <w:top w:val="single" w:sz="4" w:space="0" w:color="auto"/>
              <w:left w:val="single" w:sz="4" w:space="0" w:color="auto"/>
              <w:bottom w:val="single" w:sz="4" w:space="0" w:color="auto"/>
              <w:right w:val="single" w:sz="4" w:space="0" w:color="auto"/>
            </w:tcBorders>
          </w:tcPr>
          <w:p>
            <w:pPr>
              <w:pStyle w:val="Table"/>
              <w:spacing w:before="0"/>
              <w:rPr>
                <w:sz w:val="18"/>
              </w:rPr>
            </w:pPr>
            <w:r>
              <w:rPr>
                <w:sz w:val="18"/>
              </w:rPr>
              <w:t>Extra Class</w:t>
            </w:r>
          </w:p>
        </w:tc>
        <w:tc>
          <w:tcPr>
            <w:tcW w:w="1276" w:type="dxa"/>
            <w:tcBorders>
              <w:top w:val="single" w:sz="4" w:space="0" w:color="auto"/>
              <w:left w:val="single" w:sz="4" w:space="0" w:color="auto"/>
              <w:bottom w:val="single" w:sz="4" w:space="0" w:color="auto"/>
              <w:right w:val="single" w:sz="4" w:space="0" w:color="auto"/>
            </w:tcBorders>
          </w:tcPr>
          <w:p>
            <w:pPr>
              <w:pStyle w:val="Table"/>
              <w:spacing w:before="0"/>
              <w:jc w:val="center"/>
              <w:rPr>
                <w:sz w:val="18"/>
              </w:rPr>
            </w:pPr>
            <w:r>
              <w:rPr>
                <w:sz w:val="18"/>
              </w:rPr>
              <w:t>50</w:t>
            </w:r>
          </w:p>
        </w:tc>
        <w:tc>
          <w:tcPr>
            <w:tcW w:w="1276" w:type="dxa"/>
            <w:tcBorders>
              <w:top w:val="single" w:sz="4" w:space="0" w:color="auto"/>
              <w:left w:val="single" w:sz="4" w:space="0" w:color="auto"/>
              <w:bottom w:val="single" w:sz="4" w:space="0" w:color="auto"/>
              <w:right w:val="single" w:sz="4" w:space="0" w:color="auto"/>
            </w:tcBorders>
          </w:tcPr>
          <w:p>
            <w:pPr>
              <w:pStyle w:val="Table"/>
              <w:spacing w:before="0"/>
              <w:jc w:val="center"/>
              <w:rPr>
                <w:sz w:val="18"/>
              </w:rPr>
            </w:pPr>
            <w:r>
              <w:rPr>
                <w:sz w:val="18"/>
              </w:rPr>
              <w:t>55</w:t>
            </w:r>
          </w:p>
        </w:tc>
        <w:tc>
          <w:tcPr>
            <w:tcW w:w="1701" w:type="dxa"/>
            <w:tcBorders>
              <w:top w:val="single" w:sz="4" w:space="0" w:color="auto"/>
              <w:left w:val="single" w:sz="4" w:space="0" w:color="auto"/>
              <w:bottom w:val="single" w:sz="4" w:space="0" w:color="auto"/>
            </w:tcBorders>
          </w:tcPr>
          <w:p>
            <w:pPr>
              <w:pStyle w:val="Table"/>
              <w:spacing w:before="0"/>
              <w:rPr>
                <w:sz w:val="18"/>
              </w:rPr>
            </w:pPr>
            <w:r>
              <w:rPr>
                <w:sz w:val="18"/>
              </w:rPr>
              <w:t>5 millimetres</w:t>
            </w:r>
          </w:p>
        </w:tc>
      </w:tr>
      <w:tr>
        <w:tc>
          <w:tcPr>
            <w:tcW w:w="709" w:type="dxa"/>
            <w:tcBorders>
              <w:top w:val="single" w:sz="4" w:space="0" w:color="auto"/>
              <w:bottom w:val="single" w:sz="4" w:space="0" w:color="auto"/>
              <w:right w:val="single" w:sz="4" w:space="0" w:color="auto"/>
            </w:tcBorders>
          </w:tcPr>
          <w:p>
            <w:pPr>
              <w:pStyle w:val="Table"/>
              <w:spacing w:before="0"/>
              <w:jc w:val="center"/>
              <w:rPr>
                <w:sz w:val="18"/>
              </w:rPr>
            </w:pPr>
            <w:r>
              <w:rPr>
                <w:sz w:val="18"/>
              </w:rPr>
              <w:t>2.</w:t>
            </w:r>
          </w:p>
        </w:tc>
        <w:tc>
          <w:tcPr>
            <w:tcW w:w="2126" w:type="dxa"/>
            <w:tcBorders>
              <w:top w:val="single" w:sz="4" w:space="0" w:color="auto"/>
              <w:left w:val="single" w:sz="4" w:space="0" w:color="auto"/>
              <w:bottom w:val="single" w:sz="4" w:space="0" w:color="auto"/>
              <w:right w:val="single" w:sz="4" w:space="0" w:color="auto"/>
            </w:tcBorders>
          </w:tcPr>
          <w:p>
            <w:pPr>
              <w:pStyle w:val="Table"/>
              <w:spacing w:before="0"/>
              <w:rPr>
                <w:sz w:val="18"/>
              </w:rPr>
            </w:pPr>
            <w:r>
              <w:rPr>
                <w:sz w:val="18"/>
              </w:rPr>
              <w:t>Class 1</w:t>
            </w:r>
          </w:p>
        </w:tc>
        <w:tc>
          <w:tcPr>
            <w:tcW w:w="1276" w:type="dxa"/>
            <w:tcBorders>
              <w:top w:val="single" w:sz="4" w:space="0" w:color="auto"/>
              <w:left w:val="single" w:sz="4" w:space="0" w:color="auto"/>
              <w:bottom w:val="single" w:sz="4" w:space="0" w:color="auto"/>
              <w:right w:val="single" w:sz="4" w:space="0" w:color="auto"/>
            </w:tcBorders>
          </w:tcPr>
          <w:p>
            <w:pPr>
              <w:pStyle w:val="Table"/>
              <w:spacing w:before="0"/>
              <w:jc w:val="center"/>
              <w:rPr>
                <w:sz w:val="18"/>
              </w:rPr>
            </w:pPr>
            <w:r>
              <w:rPr>
                <w:sz w:val="18"/>
              </w:rPr>
              <w:t>50</w:t>
            </w:r>
          </w:p>
        </w:tc>
        <w:tc>
          <w:tcPr>
            <w:tcW w:w="1276" w:type="dxa"/>
            <w:tcBorders>
              <w:top w:val="single" w:sz="4" w:space="0" w:color="auto"/>
              <w:left w:val="single" w:sz="4" w:space="0" w:color="auto"/>
              <w:bottom w:val="single" w:sz="4" w:space="0" w:color="auto"/>
              <w:right w:val="single" w:sz="4" w:space="0" w:color="auto"/>
            </w:tcBorders>
          </w:tcPr>
          <w:p>
            <w:pPr>
              <w:pStyle w:val="Table"/>
              <w:spacing w:before="0"/>
              <w:jc w:val="center"/>
              <w:rPr>
                <w:sz w:val="18"/>
              </w:rPr>
            </w:pPr>
            <w:r>
              <w:rPr>
                <w:sz w:val="18"/>
              </w:rPr>
              <w:t>55</w:t>
            </w:r>
          </w:p>
        </w:tc>
        <w:tc>
          <w:tcPr>
            <w:tcW w:w="1701" w:type="dxa"/>
            <w:tcBorders>
              <w:top w:val="single" w:sz="4" w:space="0" w:color="auto"/>
              <w:left w:val="single" w:sz="4" w:space="0" w:color="auto"/>
              <w:bottom w:val="single" w:sz="4" w:space="0" w:color="auto"/>
            </w:tcBorders>
          </w:tcPr>
          <w:p>
            <w:pPr>
              <w:pStyle w:val="Table"/>
              <w:spacing w:before="0"/>
              <w:rPr>
                <w:sz w:val="18"/>
              </w:rPr>
            </w:pPr>
            <w:r>
              <w:rPr>
                <w:sz w:val="18"/>
              </w:rPr>
              <w:t>5 millimetres</w:t>
            </w:r>
          </w:p>
        </w:tc>
      </w:tr>
      <w:tr>
        <w:tc>
          <w:tcPr>
            <w:tcW w:w="709" w:type="dxa"/>
            <w:tcBorders>
              <w:top w:val="single" w:sz="4" w:space="0" w:color="auto"/>
              <w:bottom w:val="double" w:sz="4" w:space="0" w:color="auto"/>
              <w:right w:val="single" w:sz="4" w:space="0" w:color="auto"/>
            </w:tcBorders>
          </w:tcPr>
          <w:p>
            <w:pPr>
              <w:pStyle w:val="Table"/>
              <w:spacing w:before="0"/>
              <w:jc w:val="center"/>
              <w:rPr>
                <w:sz w:val="18"/>
              </w:rPr>
            </w:pPr>
            <w:r>
              <w:rPr>
                <w:sz w:val="18"/>
              </w:rPr>
              <w:t>3.</w:t>
            </w:r>
          </w:p>
        </w:tc>
        <w:tc>
          <w:tcPr>
            <w:tcW w:w="2126" w:type="dxa"/>
            <w:tcBorders>
              <w:top w:val="single" w:sz="4" w:space="0" w:color="auto"/>
              <w:left w:val="single" w:sz="4" w:space="0" w:color="auto"/>
              <w:bottom w:val="double" w:sz="4" w:space="0" w:color="auto"/>
              <w:right w:val="single" w:sz="4" w:space="0" w:color="auto"/>
            </w:tcBorders>
          </w:tcPr>
          <w:p>
            <w:pPr>
              <w:pStyle w:val="Table"/>
              <w:spacing w:before="0"/>
              <w:rPr>
                <w:sz w:val="18"/>
              </w:rPr>
            </w:pPr>
            <w:r>
              <w:rPr>
                <w:sz w:val="18"/>
              </w:rPr>
              <w:t>Class 2</w:t>
            </w:r>
          </w:p>
        </w:tc>
        <w:tc>
          <w:tcPr>
            <w:tcW w:w="1276" w:type="dxa"/>
            <w:tcBorders>
              <w:top w:val="single" w:sz="4" w:space="0" w:color="auto"/>
              <w:left w:val="single" w:sz="4" w:space="0" w:color="auto"/>
              <w:bottom w:val="double" w:sz="4" w:space="0" w:color="auto"/>
              <w:right w:val="single" w:sz="4" w:space="0" w:color="auto"/>
            </w:tcBorders>
          </w:tcPr>
          <w:p>
            <w:pPr>
              <w:pStyle w:val="Table"/>
              <w:spacing w:before="0"/>
              <w:jc w:val="center"/>
              <w:rPr>
                <w:sz w:val="18"/>
              </w:rPr>
            </w:pPr>
            <w:r>
              <w:rPr>
                <w:sz w:val="18"/>
              </w:rPr>
              <w:t>50</w:t>
            </w:r>
          </w:p>
        </w:tc>
        <w:tc>
          <w:tcPr>
            <w:tcW w:w="1276" w:type="dxa"/>
            <w:tcBorders>
              <w:top w:val="single" w:sz="4" w:space="0" w:color="auto"/>
              <w:left w:val="single" w:sz="4" w:space="0" w:color="auto"/>
              <w:bottom w:val="double" w:sz="4" w:space="0" w:color="auto"/>
              <w:right w:val="single" w:sz="4" w:space="0" w:color="auto"/>
            </w:tcBorders>
          </w:tcPr>
          <w:p>
            <w:pPr>
              <w:pStyle w:val="Table"/>
              <w:spacing w:before="0"/>
              <w:jc w:val="center"/>
              <w:rPr>
                <w:sz w:val="18"/>
              </w:rPr>
            </w:pPr>
            <w:r>
              <w:rPr>
                <w:sz w:val="18"/>
              </w:rPr>
              <w:t>55</w:t>
            </w:r>
          </w:p>
        </w:tc>
        <w:tc>
          <w:tcPr>
            <w:tcW w:w="1701" w:type="dxa"/>
            <w:tcBorders>
              <w:top w:val="single" w:sz="4" w:space="0" w:color="auto"/>
              <w:left w:val="single" w:sz="4" w:space="0" w:color="auto"/>
              <w:bottom w:val="double" w:sz="4" w:space="0" w:color="auto"/>
            </w:tcBorders>
          </w:tcPr>
          <w:p>
            <w:pPr>
              <w:pStyle w:val="Table"/>
              <w:spacing w:before="0"/>
              <w:rPr>
                <w:sz w:val="18"/>
              </w:rPr>
            </w:pPr>
            <w:r>
              <w:rPr>
                <w:sz w:val="18"/>
              </w:rPr>
              <w:t>10 millimetres</w:t>
            </w:r>
          </w:p>
        </w:tc>
      </w:tr>
    </w:tbl>
    <w:p>
      <w:pPr>
        <w:pStyle w:val="Subsection"/>
        <w:rPr>
          <w:snapToGrid w:val="0"/>
        </w:rPr>
      </w:pPr>
    </w:p>
    <w:tbl>
      <w:tblPr>
        <w:tblW w:w="0" w:type="auto"/>
        <w:tblInd w:w="1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709"/>
        <w:gridCol w:w="2126"/>
        <w:gridCol w:w="1276"/>
        <w:gridCol w:w="1276"/>
        <w:gridCol w:w="1701"/>
      </w:tblGrid>
      <w:tr>
        <w:tc>
          <w:tcPr>
            <w:tcW w:w="709" w:type="dxa"/>
            <w:tcBorders>
              <w:top w:val="double" w:sz="4" w:space="0" w:color="auto"/>
              <w:bottom w:val="single" w:sz="4" w:space="0" w:color="auto"/>
            </w:tcBorders>
            <w:shd w:val="pct10" w:color="auto" w:fill="auto"/>
          </w:tcPr>
          <w:p>
            <w:pPr>
              <w:pStyle w:val="Table"/>
              <w:spacing w:before="0"/>
              <w:jc w:val="center"/>
              <w:rPr>
                <w:sz w:val="18"/>
              </w:rPr>
            </w:pPr>
            <w:r>
              <w:rPr>
                <w:sz w:val="18"/>
              </w:rPr>
              <w:t>Item</w:t>
            </w:r>
          </w:p>
        </w:tc>
        <w:tc>
          <w:tcPr>
            <w:tcW w:w="2126" w:type="dxa"/>
            <w:tcBorders>
              <w:top w:val="double" w:sz="4" w:space="0" w:color="auto"/>
              <w:bottom w:val="single" w:sz="4" w:space="0" w:color="auto"/>
            </w:tcBorders>
            <w:shd w:val="pct10" w:color="auto" w:fill="auto"/>
          </w:tcPr>
          <w:p>
            <w:pPr>
              <w:pStyle w:val="Table"/>
              <w:spacing w:before="0"/>
              <w:jc w:val="center"/>
              <w:rPr>
                <w:sz w:val="18"/>
              </w:rPr>
            </w:pPr>
            <w:r>
              <w:rPr>
                <w:sz w:val="18"/>
              </w:rPr>
              <w:t>Class of nectarine</w:t>
            </w:r>
          </w:p>
        </w:tc>
        <w:tc>
          <w:tcPr>
            <w:tcW w:w="2552" w:type="dxa"/>
            <w:gridSpan w:val="2"/>
            <w:tcBorders>
              <w:top w:val="double" w:sz="4" w:space="0" w:color="auto"/>
              <w:bottom w:val="single" w:sz="4" w:space="0" w:color="auto"/>
            </w:tcBorders>
            <w:shd w:val="pct10" w:color="auto" w:fill="auto"/>
          </w:tcPr>
          <w:p>
            <w:pPr>
              <w:pStyle w:val="Table"/>
              <w:spacing w:before="0"/>
              <w:jc w:val="center"/>
              <w:rPr>
                <w:sz w:val="18"/>
              </w:rPr>
            </w:pPr>
            <w:r>
              <w:rPr>
                <w:sz w:val="18"/>
              </w:rPr>
              <w:t>Minimum size</w:t>
            </w:r>
          </w:p>
        </w:tc>
        <w:tc>
          <w:tcPr>
            <w:tcW w:w="1701" w:type="dxa"/>
            <w:tcBorders>
              <w:top w:val="double" w:sz="4" w:space="0" w:color="auto"/>
              <w:bottom w:val="single" w:sz="4" w:space="0" w:color="auto"/>
            </w:tcBorders>
            <w:shd w:val="pct10" w:color="auto" w:fill="auto"/>
          </w:tcPr>
          <w:p>
            <w:pPr>
              <w:pStyle w:val="Table"/>
              <w:spacing w:before="0"/>
              <w:jc w:val="center"/>
              <w:rPr>
                <w:sz w:val="18"/>
              </w:rPr>
            </w:pPr>
            <w:r>
              <w:rPr>
                <w:sz w:val="18"/>
              </w:rPr>
              <w:t>Variation</w:t>
            </w:r>
          </w:p>
        </w:tc>
      </w:tr>
      <w:tr>
        <w:tc>
          <w:tcPr>
            <w:tcW w:w="709" w:type="dxa"/>
            <w:tcBorders>
              <w:top w:val="single" w:sz="4" w:space="0" w:color="auto"/>
              <w:bottom w:val="single" w:sz="4" w:space="0" w:color="auto"/>
            </w:tcBorders>
            <w:shd w:val="pct10" w:color="auto" w:fill="auto"/>
          </w:tcPr>
          <w:p>
            <w:pPr>
              <w:pStyle w:val="Table"/>
              <w:spacing w:before="0"/>
              <w:jc w:val="center"/>
              <w:rPr>
                <w:sz w:val="18"/>
              </w:rPr>
            </w:pPr>
          </w:p>
        </w:tc>
        <w:tc>
          <w:tcPr>
            <w:tcW w:w="2126" w:type="dxa"/>
            <w:tcBorders>
              <w:top w:val="single" w:sz="4" w:space="0" w:color="auto"/>
              <w:bottom w:val="single" w:sz="4" w:space="0" w:color="auto"/>
            </w:tcBorders>
            <w:shd w:val="pct10" w:color="auto" w:fill="auto"/>
          </w:tcPr>
          <w:p>
            <w:pPr>
              <w:pStyle w:val="Table"/>
              <w:spacing w:before="0"/>
              <w:rPr>
                <w:sz w:val="18"/>
              </w:rPr>
            </w:pPr>
          </w:p>
        </w:tc>
        <w:tc>
          <w:tcPr>
            <w:tcW w:w="1276" w:type="dxa"/>
            <w:tcBorders>
              <w:top w:val="single" w:sz="4" w:space="0" w:color="auto"/>
              <w:bottom w:val="single" w:sz="4" w:space="0" w:color="auto"/>
            </w:tcBorders>
            <w:shd w:val="pct10" w:color="auto" w:fill="auto"/>
          </w:tcPr>
          <w:p>
            <w:pPr>
              <w:pStyle w:val="Table"/>
              <w:spacing w:before="0"/>
              <w:jc w:val="center"/>
              <w:rPr>
                <w:sz w:val="18"/>
              </w:rPr>
            </w:pPr>
            <w:r>
              <w:rPr>
                <w:sz w:val="18"/>
              </w:rPr>
              <w:t>Low chill</w:t>
            </w:r>
          </w:p>
          <w:p>
            <w:pPr>
              <w:pStyle w:val="Table"/>
              <w:spacing w:before="0"/>
              <w:jc w:val="center"/>
              <w:rPr>
                <w:sz w:val="18"/>
              </w:rPr>
            </w:pPr>
            <w:r>
              <w:rPr>
                <w:sz w:val="18"/>
              </w:rPr>
              <w:t>variety</w:t>
            </w:r>
          </w:p>
        </w:tc>
        <w:tc>
          <w:tcPr>
            <w:tcW w:w="1276" w:type="dxa"/>
            <w:tcBorders>
              <w:top w:val="single" w:sz="4" w:space="0" w:color="auto"/>
              <w:bottom w:val="single" w:sz="4" w:space="0" w:color="auto"/>
            </w:tcBorders>
            <w:shd w:val="pct10" w:color="auto" w:fill="auto"/>
          </w:tcPr>
          <w:p>
            <w:pPr>
              <w:pStyle w:val="Table"/>
              <w:spacing w:before="0"/>
              <w:jc w:val="center"/>
              <w:rPr>
                <w:sz w:val="18"/>
              </w:rPr>
            </w:pPr>
            <w:r>
              <w:rPr>
                <w:sz w:val="18"/>
              </w:rPr>
              <w:t>Other</w:t>
            </w:r>
          </w:p>
          <w:p>
            <w:pPr>
              <w:pStyle w:val="Table"/>
              <w:spacing w:before="0"/>
              <w:jc w:val="center"/>
              <w:rPr>
                <w:sz w:val="18"/>
              </w:rPr>
            </w:pPr>
            <w:r>
              <w:rPr>
                <w:sz w:val="18"/>
              </w:rPr>
              <w:t>variety</w:t>
            </w:r>
          </w:p>
        </w:tc>
        <w:tc>
          <w:tcPr>
            <w:tcW w:w="1701" w:type="dxa"/>
            <w:tcBorders>
              <w:top w:val="single" w:sz="4" w:space="0" w:color="auto"/>
              <w:bottom w:val="single" w:sz="4" w:space="0" w:color="auto"/>
            </w:tcBorders>
            <w:shd w:val="pct10" w:color="auto" w:fill="auto"/>
          </w:tcPr>
          <w:p>
            <w:pPr>
              <w:pStyle w:val="Table"/>
              <w:spacing w:before="0"/>
              <w:rPr>
                <w:sz w:val="18"/>
              </w:rPr>
            </w:pPr>
          </w:p>
        </w:tc>
      </w:tr>
      <w:tr>
        <w:tc>
          <w:tcPr>
            <w:tcW w:w="709" w:type="dxa"/>
            <w:tcBorders>
              <w:top w:val="nil"/>
            </w:tcBorders>
          </w:tcPr>
          <w:p>
            <w:pPr>
              <w:pStyle w:val="Table"/>
              <w:spacing w:before="0"/>
              <w:jc w:val="center"/>
              <w:rPr>
                <w:sz w:val="18"/>
              </w:rPr>
            </w:pPr>
            <w:r>
              <w:rPr>
                <w:sz w:val="18"/>
              </w:rPr>
              <w:t>1.</w:t>
            </w:r>
          </w:p>
        </w:tc>
        <w:tc>
          <w:tcPr>
            <w:tcW w:w="2126" w:type="dxa"/>
            <w:tcBorders>
              <w:top w:val="nil"/>
            </w:tcBorders>
          </w:tcPr>
          <w:p>
            <w:pPr>
              <w:pStyle w:val="Table"/>
              <w:spacing w:before="0"/>
              <w:rPr>
                <w:sz w:val="18"/>
              </w:rPr>
            </w:pPr>
            <w:r>
              <w:rPr>
                <w:sz w:val="18"/>
              </w:rPr>
              <w:t>Extra Class</w:t>
            </w:r>
          </w:p>
        </w:tc>
        <w:tc>
          <w:tcPr>
            <w:tcW w:w="1276" w:type="dxa"/>
            <w:tcBorders>
              <w:top w:val="nil"/>
            </w:tcBorders>
          </w:tcPr>
          <w:p>
            <w:pPr>
              <w:pStyle w:val="Table"/>
              <w:spacing w:before="0"/>
              <w:jc w:val="center"/>
              <w:rPr>
                <w:sz w:val="18"/>
              </w:rPr>
            </w:pPr>
            <w:r>
              <w:rPr>
                <w:sz w:val="18"/>
              </w:rPr>
              <w:t>45</w:t>
            </w:r>
          </w:p>
        </w:tc>
        <w:tc>
          <w:tcPr>
            <w:tcW w:w="1276" w:type="dxa"/>
            <w:tcBorders>
              <w:top w:val="nil"/>
            </w:tcBorders>
          </w:tcPr>
          <w:p>
            <w:pPr>
              <w:pStyle w:val="Table"/>
              <w:spacing w:before="0"/>
              <w:jc w:val="center"/>
              <w:rPr>
                <w:sz w:val="18"/>
              </w:rPr>
            </w:pPr>
            <w:r>
              <w:rPr>
                <w:sz w:val="18"/>
              </w:rPr>
              <w:t>50</w:t>
            </w:r>
          </w:p>
        </w:tc>
        <w:tc>
          <w:tcPr>
            <w:tcW w:w="1701" w:type="dxa"/>
            <w:tcBorders>
              <w:top w:val="nil"/>
            </w:tcBorders>
          </w:tcPr>
          <w:p>
            <w:pPr>
              <w:pStyle w:val="Table"/>
              <w:spacing w:before="0"/>
              <w:rPr>
                <w:sz w:val="18"/>
              </w:rPr>
            </w:pPr>
            <w:r>
              <w:rPr>
                <w:sz w:val="18"/>
              </w:rPr>
              <w:t>5 millimetres</w:t>
            </w:r>
          </w:p>
        </w:tc>
      </w:tr>
      <w:tr>
        <w:tc>
          <w:tcPr>
            <w:tcW w:w="709" w:type="dxa"/>
          </w:tcPr>
          <w:p>
            <w:pPr>
              <w:pStyle w:val="Table"/>
              <w:spacing w:before="0"/>
              <w:jc w:val="center"/>
              <w:rPr>
                <w:sz w:val="18"/>
              </w:rPr>
            </w:pPr>
            <w:r>
              <w:rPr>
                <w:sz w:val="18"/>
              </w:rPr>
              <w:t>2.</w:t>
            </w:r>
          </w:p>
        </w:tc>
        <w:tc>
          <w:tcPr>
            <w:tcW w:w="2126" w:type="dxa"/>
          </w:tcPr>
          <w:p>
            <w:pPr>
              <w:pStyle w:val="Table"/>
              <w:spacing w:before="0"/>
              <w:rPr>
                <w:sz w:val="18"/>
              </w:rPr>
            </w:pPr>
            <w:r>
              <w:rPr>
                <w:sz w:val="18"/>
              </w:rPr>
              <w:t>Class 1</w:t>
            </w:r>
          </w:p>
        </w:tc>
        <w:tc>
          <w:tcPr>
            <w:tcW w:w="1276" w:type="dxa"/>
          </w:tcPr>
          <w:p>
            <w:pPr>
              <w:pStyle w:val="Table"/>
              <w:spacing w:before="0"/>
              <w:jc w:val="center"/>
              <w:rPr>
                <w:sz w:val="18"/>
              </w:rPr>
            </w:pPr>
            <w:r>
              <w:rPr>
                <w:sz w:val="18"/>
              </w:rPr>
              <w:t>45</w:t>
            </w:r>
          </w:p>
        </w:tc>
        <w:tc>
          <w:tcPr>
            <w:tcW w:w="1276" w:type="dxa"/>
          </w:tcPr>
          <w:p>
            <w:pPr>
              <w:pStyle w:val="Table"/>
              <w:spacing w:before="0"/>
              <w:jc w:val="center"/>
              <w:rPr>
                <w:sz w:val="18"/>
              </w:rPr>
            </w:pPr>
            <w:r>
              <w:rPr>
                <w:sz w:val="18"/>
              </w:rPr>
              <w:t>50</w:t>
            </w:r>
          </w:p>
        </w:tc>
        <w:tc>
          <w:tcPr>
            <w:tcW w:w="1701" w:type="dxa"/>
          </w:tcPr>
          <w:p>
            <w:pPr>
              <w:pStyle w:val="Table"/>
              <w:spacing w:before="0"/>
              <w:rPr>
                <w:sz w:val="18"/>
              </w:rPr>
            </w:pPr>
            <w:r>
              <w:rPr>
                <w:sz w:val="18"/>
              </w:rPr>
              <w:t>5 millimetres</w:t>
            </w:r>
          </w:p>
        </w:tc>
      </w:tr>
      <w:tr>
        <w:tc>
          <w:tcPr>
            <w:tcW w:w="709" w:type="dxa"/>
          </w:tcPr>
          <w:p>
            <w:pPr>
              <w:pStyle w:val="Table"/>
              <w:spacing w:before="0"/>
              <w:jc w:val="center"/>
              <w:rPr>
                <w:sz w:val="18"/>
              </w:rPr>
            </w:pPr>
            <w:r>
              <w:rPr>
                <w:sz w:val="18"/>
              </w:rPr>
              <w:t>3.</w:t>
            </w:r>
          </w:p>
        </w:tc>
        <w:tc>
          <w:tcPr>
            <w:tcW w:w="2126" w:type="dxa"/>
          </w:tcPr>
          <w:p>
            <w:pPr>
              <w:pStyle w:val="Table"/>
              <w:spacing w:before="0"/>
              <w:rPr>
                <w:sz w:val="18"/>
              </w:rPr>
            </w:pPr>
            <w:r>
              <w:rPr>
                <w:sz w:val="18"/>
              </w:rPr>
              <w:t>Class 2</w:t>
            </w:r>
          </w:p>
        </w:tc>
        <w:tc>
          <w:tcPr>
            <w:tcW w:w="1276" w:type="dxa"/>
          </w:tcPr>
          <w:p>
            <w:pPr>
              <w:pStyle w:val="Table"/>
              <w:spacing w:before="0"/>
              <w:jc w:val="center"/>
              <w:rPr>
                <w:sz w:val="18"/>
              </w:rPr>
            </w:pPr>
            <w:r>
              <w:rPr>
                <w:sz w:val="18"/>
              </w:rPr>
              <w:t>45</w:t>
            </w:r>
          </w:p>
        </w:tc>
        <w:tc>
          <w:tcPr>
            <w:tcW w:w="1276" w:type="dxa"/>
          </w:tcPr>
          <w:p>
            <w:pPr>
              <w:pStyle w:val="Table"/>
              <w:spacing w:before="0"/>
              <w:jc w:val="center"/>
              <w:rPr>
                <w:sz w:val="18"/>
              </w:rPr>
            </w:pPr>
            <w:r>
              <w:rPr>
                <w:sz w:val="18"/>
              </w:rPr>
              <w:t>50</w:t>
            </w:r>
          </w:p>
        </w:tc>
        <w:tc>
          <w:tcPr>
            <w:tcW w:w="1701" w:type="dxa"/>
          </w:tcPr>
          <w:p>
            <w:pPr>
              <w:pStyle w:val="Table"/>
              <w:spacing w:before="0"/>
              <w:rPr>
                <w:sz w:val="18"/>
              </w:rPr>
            </w:pPr>
            <w:r>
              <w:rPr>
                <w:sz w:val="18"/>
              </w:rPr>
              <w:t>10 millimetres</w:t>
            </w:r>
          </w:p>
        </w:tc>
      </w:tr>
    </w:tbl>
    <w:p>
      <w:pPr>
        <w:pStyle w:val="Heading5"/>
        <w:rPr>
          <w:snapToGrid w:val="0"/>
        </w:rPr>
      </w:pPr>
      <w:bookmarkStart w:id="40" w:name="_Toc378175559"/>
      <w:bookmarkStart w:id="41" w:name="_Toc426970478"/>
      <w:r>
        <w:rPr>
          <w:rStyle w:val="CharSectno"/>
        </w:rPr>
        <w:t>13</w:t>
      </w:r>
      <w:r>
        <w:rPr>
          <w:snapToGrid w:val="0"/>
        </w:rPr>
        <w:t>.</w:t>
      </w:r>
      <w:r>
        <w:rPr>
          <w:snapToGrid w:val="0"/>
        </w:rPr>
        <w:tab/>
        <w:t>Tolerances</w:t>
      </w:r>
      <w:bookmarkEnd w:id="40"/>
      <w:bookmarkEnd w:id="41"/>
      <w:r>
        <w:rPr>
          <w:snapToGrid w:val="0"/>
        </w:rPr>
        <w:t xml:space="preserve"> </w:t>
      </w:r>
    </w:p>
    <w:p>
      <w:pPr>
        <w:pStyle w:val="Subsection"/>
        <w:rPr>
          <w:snapToGrid w:val="0"/>
        </w:rPr>
      </w:pPr>
      <w:r>
        <w:rPr>
          <w:snapToGrid w:val="0"/>
        </w:rPr>
        <w:tab/>
      </w:r>
      <w:r>
        <w:rPr>
          <w:snapToGrid w:val="0"/>
        </w:rPr>
        <w:tab/>
        <w:t>A package of peaches or nectarines may contain — </w:t>
      </w:r>
    </w:p>
    <w:p>
      <w:pPr>
        <w:pStyle w:val="Indenta"/>
        <w:rPr>
          <w:snapToGrid w:val="0"/>
        </w:rPr>
      </w:pPr>
      <w:r>
        <w:rPr>
          <w:snapToGrid w:val="0"/>
        </w:rPr>
        <w:tab/>
        <w:t>(a)</w:t>
      </w:r>
      <w:r>
        <w:rPr>
          <w:snapToGrid w:val="0"/>
        </w:rPr>
        <w:tab/>
        <w:t>in the case of Extra Class fruit, a maximum of 5 per cent by number or net mass of fruit not satisfying the requirements of that class but satisfying the requirements of Class 1;</w:t>
      </w:r>
    </w:p>
    <w:p>
      <w:pPr>
        <w:pStyle w:val="Indenta"/>
        <w:rPr>
          <w:snapToGrid w:val="0"/>
        </w:rPr>
      </w:pPr>
      <w:r>
        <w:rPr>
          <w:snapToGrid w:val="0"/>
        </w:rPr>
        <w:tab/>
        <w:t>(b)</w:t>
      </w:r>
      <w:r>
        <w:rPr>
          <w:snapToGrid w:val="0"/>
        </w:rPr>
        <w:tab/>
        <w:t>in the case of Class 1 fruit, a maximum of 10 per cent by number or net mass of fruit not satisfying the requirements of that class but satisfying the requirements of Class 2.</w:t>
      </w:r>
    </w:p>
    <w:p>
      <w:pPr>
        <w:pStyle w:val="Heading5"/>
        <w:rPr>
          <w:snapToGrid w:val="0"/>
        </w:rPr>
      </w:pPr>
      <w:bookmarkStart w:id="42" w:name="_Toc378175560"/>
      <w:bookmarkStart w:id="43" w:name="_Toc426970479"/>
      <w:r>
        <w:rPr>
          <w:rStyle w:val="CharSectno"/>
        </w:rPr>
        <w:t>14</w:t>
      </w:r>
      <w:r>
        <w:rPr>
          <w:snapToGrid w:val="0"/>
        </w:rPr>
        <w:t>.</w:t>
      </w:r>
      <w:r>
        <w:rPr>
          <w:snapToGrid w:val="0"/>
        </w:rPr>
        <w:tab/>
        <w:t>Uniformity of peaches or nectarines within packages</w:t>
      </w:r>
      <w:bookmarkEnd w:id="42"/>
      <w:bookmarkEnd w:id="43"/>
      <w:r>
        <w:rPr>
          <w:snapToGrid w:val="0"/>
        </w:rPr>
        <w:t xml:space="preserve"> </w:t>
      </w:r>
    </w:p>
    <w:p>
      <w:pPr>
        <w:pStyle w:val="Subsection"/>
        <w:rPr>
          <w:snapToGrid w:val="0"/>
        </w:rPr>
      </w:pPr>
      <w:r>
        <w:rPr>
          <w:snapToGrid w:val="0"/>
        </w:rPr>
        <w:tab/>
      </w:r>
      <w:r>
        <w:rPr>
          <w:snapToGrid w:val="0"/>
        </w:rPr>
        <w:tab/>
        <w:t>The contents of each package of — </w:t>
      </w:r>
    </w:p>
    <w:p>
      <w:pPr>
        <w:pStyle w:val="Indenta"/>
        <w:rPr>
          <w:snapToGrid w:val="0"/>
        </w:rPr>
      </w:pPr>
      <w:r>
        <w:rPr>
          <w:snapToGrid w:val="0"/>
        </w:rPr>
        <w:tab/>
        <w:t>(a)</w:t>
      </w:r>
      <w:r>
        <w:rPr>
          <w:snapToGrid w:val="0"/>
        </w:rPr>
        <w:tab/>
        <w:t>Extra Class peaches or nectarines shall be uniform in shape and colour;</w:t>
      </w:r>
    </w:p>
    <w:p>
      <w:pPr>
        <w:pStyle w:val="Indenta"/>
        <w:rPr>
          <w:snapToGrid w:val="0"/>
        </w:rPr>
      </w:pPr>
      <w:r>
        <w:rPr>
          <w:snapToGrid w:val="0"/>
        </w:rPr>
        <w:tab/>
        <w:t>(b)</w:t>
      </w:r>
      <w:r>
        <w:rPr>
          <w:snapToGrid w:val="0"/>
        </w:rPr>
        <w:tab/>
        <w:t>Class 1 peaches or nectarines shall be practically uniform in shape and colour; and</w:t>
      </w:r>
    </w:p>
    <w:p>
      <w:pPr>
        <w:pStyle w:val="Indenta"/>
        <w:rPr>
          <w:snapToGrid w:val="0"/>
        </w:rPr>
      </w:pPr>
      <w:r>
        <w:rPr>
          <w:snapToGrid w:val="0"/>
        </w:rPr>
        <w:tab/>
        <w:t>(c)</w:t>
      </w:r>
      <w:r>
        <w:rPr>
          <w:snapToGrid w:val="0"/>
        </w:rPr>
        <w:tab/>
        <w:t>Class 2 peaches or nectarines shall be reasonably uniform in shape and colour.</w:t>
      </w:r>
    </w:p>
    <w:p>
      <w:pPr>
        <w:pStyle w:val="Heading5"/>
        <w:rPr>
          <w:snapToGrid w:val="0"/>
        </w:rPr>
      </w:pPr>
      <w:bookmarkStart w:id="44" w:name="_Toc378175561"/>
      <w:bookmarkStart w:id="45" w:name="_Toc426970480"/>
      <w:r>
        <w:rPr>
          <w:rStyle w:val="CharSectno"/>
        </w:rPr>
        <w:t>15</w:t>
      </w:r>
      <w:r>
        <w:rPr>
          <w:snapToGrid w:val="0"/>
        </w:rPr>
        <w:t>.</w:t>
      </w:r>
      <w:r>
        <w:rPr>
          <w:snapToGrid w:val="0"/>
        </w:rPr>
        <w:tab/>
        <w:t>Presentation of peaches or nectarines</w:t>
      </w:r>
      <w:bookmarkEnd w:id="44"/>
      <w:bookmarkEnd w:id="45"/>
      <w:r>
        <w:rPr>
          <w:snapToGrid w:val="0"/>
        </w:rPr>
        <w:t xml:space="preserve"> </w:t>
      </w:r>
    </w:p>
    <w:p>
      <w:pPr>
        <w:pStyle w:val="Subsection"/>
        <w:rPr>
          <w:snapToGrid w:val="0"/>
        </w:rPr>
      </w:pPr>
      <w:r>
        <w:rPr>
          <w:snapToGrid w:val="0"/>
        </w:rPr>
        <w:tab/>
        <w:t>(1)</w:t>
      </w:r>
      <w:r>
        <w:rPr>
          <w:snapToGrid w:val="0"/>
        </w:rPr>
        <w:tab/>
        <w:t>Each package shall be well-filled and packed in a manner that allows the peaches or nectarines to withstand handling and transport.</w:t>
      </w:r>
    </w:p>
    <w:p>
      <w:pPr>
        <w:pStyle w:val="Subsection"/>
        <w:rPr>
          <w:snapToGrid w:val="0"/>
        </w:rPr>
      </w:pPr>
      <w:r>
        <w:rPr>
          <w:snapToGrid w:val="0"/>
        </w:rPr>
        <w:tab/>
        <w:t>(2)</w:t>
      </w:r>
      <w:r>
        <w:rPr>
          <w:snapToGrid w:val="0"/>
        </w:rPr>
        <w:tab/>
        <w:t>Subject to this Part and Part 2, each package shall contain only peaches or nectarines of the same variety, strain, quality and degree of ripeness.</w:t>
      </w:r>
    </w:p>
    <w:p>
      <w:pPr>
        <w:pStyle w:val="Subsection"/>
        <w:rPr>
          <w:snapToGrid w:val="0"/>
        </w:rPr>
      </w:pPr>
      <w:r>
        <w:rPr>
          <w:snapToGrid w:val="0"/>
        </w:rPr>
        <w:tab/>
        <w:t>(3)</w:t>
      </w:r>
      <w:r>
        <w:rPr>
          <w:snapToGrid w:val="0"/>
        </w:rPr>
        <w:tab/>
        <w:t>Any peaches or nectarines packed in a package that are visible shall be representative of the contents of the package.</w:t>
      </w:r>
    </w:p>
    <w:p>
      <w:pPr>
        <w:pStyle w:val="Subsection"/>
        <w:rPr>
          <w:snapToGrid w:val="0"/>
        </w:rPr>
      </w:pPr>
      <w:r>
        <w:rPr>
          <w:snapToGrid w:val="0"/>
        </w:rPr>
        <w:tab/>
        <w:t>(4)</w:t>
      </w:r>
      <w:r>
        <w:rPr>
          <w:snapToGrid w:val="0"/>
        </w:rPr>
        <w:tab/>
        <w:t>Packages containing peaches or nectarines shall be free from extraneous plant material such as leaves and spurs.</w:t>
      </w:r>
    </w:p>
    <w:p>
      <w:pPr>
        <w:pStyle w:val="Heading5"/>
        <w:rPr>
          <w:snapToGrid w:val="0"/>
        </w:rPr>
      </w:pPr>
      <w:bookmarkStart w:id="46" w:name="_Toc378175562"/>
      <w:bookmarkStart w:id="47" w:name="_Toc426970481"/>
      <w:r>
        <w:rPr>
          <w:rStyle w:val="CharSectno"/>
        </w:rPr>
        <w:t>16</w:t>
      </w:r>
      <w:r>
        <w:rPr>
          <w:snapToGrid w:val="0"/>
        </w:rPr>
        <w:t>.</w:t>
      </w:r>
      <w:r>
        <w:rPr>
          <w:snapToGrid w:val="0"/>
        </w:rPr>
        <w:tab/>
        <w:t>Packaging materials</w:t>
      </w:r>
      <w:bookmarkEnd w:id="46"/>
      <w:bookmarkEnd w:id="47"/>
      <w:r>
        <w:rPr>
          <w:snapToGrid w:val="0"/>
        </w:rPr>
        <w:t xml:space="preserve"> </w:t>
      </w:r>
    </w:p>
    <w:p>
      <w:pPr>
        <w:pStyle w:val="Subsection"/>
        <w:rPr>
          <w:snapToGrid w:val="0"/>
        </w:rPr>
      </w:pPr>
      <w:r>
        <w:rPr>
          <w:snapToGrid w:val="0"/>
        </w:rPr>
        <w:tab/>
        <w:t>(1)</w:t>
      </w:r>
      <w:r>
        <w:rPr>
          <w:snapToGrid w:val="0"/>
        </w:rPr>
        <w:tab/>
        <w:t>Packages into which any peaches or nectarines are packed shall be — </w:t>
      </w:r>
    </w:p>
    <w:p>
      <w:pPr>
        <w:pStyle w:val="Indenta"/>
        <w:rPr>
          <w:snapToGrid w:val="0"/>
        </w:rPr>
      </w:pPr>
      <w:r>
        <w:rPr>
          <w:snapToGrid w:val="0"/>
        </w:rPr>
        <w:tab/>
        <w:t>(a)</w:t>
      </w:r>
      <w:r>
        <w:rPr>
          <w:snapToGrid w:val="0"/>
        </w:rPr>
        <w:tab/>
        <w:t>clean;</w:t>
      </w:r>
    </w:p>
    <w:p>
      <w:pPr>
        <w:pStyle w:val="Indenta"/>
        <w:rPr>
          <w:snapToGrid w:val="0"/>
        </w:rPr>
      </w:pPr>
      <w:r>
        <w:rPr>
          <w:snapToGrid w:val="0"/>
        </w:rPr>
        <w:tab/>
        <w:t>(b)</w:t>
      </w:r>
      <w:r>
        <w:rPr>
          <w:snapToGrid w:val="0"/>
        </w:rPr>
        <w:tab/>
        <w:t>free from all foreign matter; and</w:t>
      </w:r>
    </w:p>
    <w:p>
      <w:pPr>
        <w:pStyle w:val="Indenta"/>
        <w:rPr>
          <w:snapToGrid w:val="0"/>
        </w:rPr>
      </w:pPr>
      <w:r>
        <w:rPr>
          <w:snapToGrid w:val="0"/>
        </w:rPr>
        <w:tab/>
        <w:t>(c)</w:t>
      </w:r>
      <w:r>
        <w:rPr>
          <w:snapToGrid w:val="0"/>
        </w:rPr>
        <w:tab/>
        <w:t>of a quality, design and construction suitable for protecting the peaches or nectarines from damage.</w:t>
      </w:r>
    </w:p>
    <w:p>
      <w:pPr>
        <w:pStyle w:val="Subsection"/>
        <w:rPr>
          <w:snapToGrid w:val="0"/>
        </w:rPr>
      </w:pPr>
      <w:r>
        <w:rPr>
          <w:snapToGrid w:val="0"/>
        </w:rPr>
        <w:tab/>
        <w:t>(2)</w:t>
      </w:r>
      <w:r>
        <w:rPr>
          <w:snapToGrid w:val="0"/>
        </w:rPr>
        <w:tab/>
        <w:t>Materials used inside packages shall be new.</w:t>
      </w:r>
    </w:p>
    <w:p>
      <w:pPr>
        <w:pStyle w:val="Heading2"/>
      </w:pPr>
      <w:bookmarkStart w:id="48" w:name="_Toc378175563"/>
      <w:bookmarkStart w:id="49" w:name="_Toc426970425"/>
      <w:bookmarkStart w:id="50" w:name="_Toc426970454"/>
      <w:bookmarkStart w:id="51" w:name="_Toc426970482"/>
      <w:r>
        <w:rPr>
          <w:rStyle w:val="CharPartNo"/>
        </w:rPr>
        <w:t>Part 4</w:t>
      </w:r>
      <w:r>
        <w:rPr>
          <w:rStyle w:val="CharDivNo"/>
        </w:rPr>
        <w:t> </w:t>
      </w:r>
      <w:r>
        <w:t>—</w:t>
      </w:r>
      <w:r>
        <w:rPr>
          <w:rStyle w:val="CharDivText"/>
        </w:rPr>
        <w:t> </w:t>
      </w:r>
      <w:r>
        <w:rPr>
          <w:rStyle w:val="CharPartText"/>
        </w:rPr>
        <w:t>Marking</w:t>
      </w:r>
      <w:bookmarkEnd w:id="48"/>
      <w:bookmarkEnd w:id="49"/>
      <w:bookmarkEnd w:id="50"/>
      <w:bookmarkEnd w:id="51"/>
    </w:p>
    <w:p>
      <w:pPr>
        <w:pStyle w:val="Heading5"/>
        <w:rPr>
          <w:snapToGrid w:val="0"/>
        </w:rPr>
      </w:pPr>
      <w:bookmarkStart w:id="52" w:name="_Toc378175564"/>
      <w:bookmarkStart w:id="53" w:name="_Toc426970483"/>
      <w:r>
        <w:rPr>
          <w:rStyle w:val="CharSectno"/>
        </w:rPr>
        <w:t>17</w:t>
      </w:r>
      <w:r>
        <w:rPr>
          <w:snapToGrid w:val="0"/>
        </w:rPr>
        <w:t>.</w:t>
      </w:r>
      <w:r>
        <w:rPr>
          <w:snapToGrid w:val="0"/>
        </w:rPr>
        <w:tab/>
        <w:t>Packages marked “Unclassed”</w:t>
      </w:r>
      <w:bookmarkEnd w:id="52"/>
      <w:bookmarkEnd w:id="53"/>
    </w:p>
    <w:p>
      <w:pPr>
        <w:pStyle w:val="Subsection"/>
        <w:rPr>
          <w:snapToGrid w:val="0"/>
        </w:rPr>
      </w:pPr>
      <w:r>
        <w:rPr>
          <w:snapToGrid w:val="0"/>
        </w:rPr>
        <w:tab/>
      </w:r>
      <w:r>
        <w:rPr>
          <w:snapToGrid w:val="0"/>
        </w:rPr>
        <w:tab/>
        <w:t>A package containing peaches or nectarines of mixed classes as permitted by clause 11 shall be marked “UNCLASSED”.</w:t>
      </w:r>
    </w:p>
    <w:p>
      <w:pPr>
        <w:pStyle w:val="Heading5"/>
        <w:rPr>
          <w:snapToGrid w:val="0"/>
        </w:rPr>
      </w:pPr>
      <w:bookmarkStart w:id="54" w:name="_Toc378175565"/>
      <w:bookmarkStart w:id="55" w:name="_Toc426970484"/>
      <w:r>
        <w:rPr>
          <w:rStyle w:val="CharSectno"/>
        </w:rPr>
        <w:t>18</w:t>
      </w:r>
      <w:r>
        <w:rPr>
          <w:snapToGrid w:val="0"/>
        </w:rPr>
        <w:t>.</w:t>
      </w:r>
      <w:r>
        <w:rPr>
          <w:snapToGrid w:val="0"/>
        </w:rPr>
        <w:tab/>
        <w:t>Complete trade description to be applied</w:t>
      </w:r>
      <w:bookmarkEnd w:id="54"/>
      <w:bookmarkEnd w:id="55"/>
      <w:r>
        <w:rPr>
          <w:snapToGrid w:val="0"/>
        </w:rPr>
        <w:t xml:space="preserve"> </w:t>
      </w:r>
    </w:p>
    <w:p>
      <w:pPr>
        <w:pStyle w:val="Subsection"/>
        <w:rPr>
          <w:snapToGrid w:val="0"/>
        </w:rPr>
      </w:pPr>
      <w:r>
        <w:rPr>
          <w:snapToGrid w:val="0"/>
        </w:rPr>
        <w:tab/>
        <w:t>(1)</w:t>
      </w:r>
      <w:r>
        <w:rPr>
          <w:snapToGrid w:val="0"/>
        </w:rPr>
        <w:tab/>
        <w:t>The complete trade description shall — </w:t>
      </w:r>
    </w:p>
    <w:p>
      <w:pPr>
        <w:pStyle w:val="Indenta"/>
        <w:rPr>
          <w:snapToGrid w:val="0"/>
        </w:rPr>
      </w:pPr>
      <w:r>
        <w:rPr>
          <w:snapToGrid w:val="0"/>
        </w:rPr>
        <w:tab/>
        <w:t>(a)</w:t>
      </w:r>
      <w:r>
        <w:rPr>
          <w:snapToGrid w:val="0"/>
        </w:rPr>
        <w:tab/>
        <w:t>be applied — </w:t>
      </w:r>
    </w:p>
    <w:p>
      <w:pPr>
        <w:pStyle w:val="Indenti"/>
        <w:rPr>
          <w:snapToGrid w:val="0"/>
        </w:rPr>
      </w:pPr>
      <w:r>
        <w:rPr>
          <w:snapToGrid w:val="0"/>
        </w:rPr>
        <w:tab/>
        <w:t>(i)</w:t>
      </w:r>
      <w:r>
        <w:rPr>
          <w:snapToGrid w:val="0"/>
        </w:rPr>
        <w:tab/>
        <w:t>on new rigid type packages, to at least one end of each package;</w:t>
      </w:r>
    </w:p>
    <w:p>
      <w:pPr>
        <w:pStyle w:val="Indenti"/>
        <w:rPr>
          <w:snapToGrid w:val="0"/>
        </w:rPr>
      </w:pPr>
      <w:r>
        <w:rPr>
          <w:snapToGrid w:val="0"/>
        </w:rPr>
        <w:tab/>
        <w:t>(ii)</w:t>
      </w:r>
      <w:r>
        <w:rPr>
          <w:snapToGrid w:val="0"/>
        </w:rPr>
        <w:tab/>
        <w:t>on packages intended for re-use (wooden cases, plastic crates, wooden or fibreboard bulk bins and wire sided bulk bins), on a label or ticket at least 100 mm x 70 mm, securely affixed to one side of the package;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be in prominent, indelible and legible characters at least 5 millimetres high.</w:t>
      </w:r>
    </w:p>
    <w:p>
      <w:pPr>
        <w:pStyle w:val="Subsection"/>
        <w:rPr>
          <w:snapToGrid w:val="0"/>
        </w:rPr>
      </w:pPr>
      <w:r>
        <w:rPr>
          <w:snapToGrid w:val="0"/>
        </w:rPr>
        <w:tab/>
        <w:t>(2)</w:t>
      </w:r>
      <w:r>
        <w:rPr>
          <w:snapToGrid w:val="0"/>
        </w:rPr>
        <w:tab/>
        <w:t>Before a marking is applied to a package intended for re-use, all particulars relating to previous use of the package shall be removed or obliterated.</w:t>
      </w:r>
    </w:p>
    <w:p>
      <w:pPr>
        <w:pStyle w:val="Subsection"/>
        <w:rPr>
          <w:snapToGrid w:val="0"/>
        </w:rPr>
      </w:pPr>
      <w:r>
        <w:rPr>
          <w:snapToGrid w:val="0"/>
        </w:rPr>
        <w:tab/>
        <w:t>(3)</w:t>
      </w:r>
      <w:r>
        <w:rPr>
          <w:snapToGrid w:val="0"/>
        </w:rPr>
        <w:tab/>
        <w:t>A marking inside a package shall be made with a non-toxic ink or glue.</w:t>
      </w:r>
    </w:p>
    <w:p>
      <w:pPr>
        <w:pStyle w:val="Heading5"/>
        <w:rPr>
          <w:snapToGrid w:val="0"/>
        </w:rPr>
      </w:pPr>
      <w:bookmarkStart w:id="56" w:name="_Toc378175566"/>
      <w:bookmarkStart w:id="57" w:name="_Toc426970485"/>
      <w:r>
        <w:rPr>
          <w:rStyle w:val="CharSectno"/>
        </w:rPr>
        <w:t>19</w:t>
      </w:r>
      <w:r>
        <w:rPr>
          <w:snapToGrid w:val="0"/>
        </w:rPr>
        <w:t>.</w:t>
      </w:r>
      <w:r>
        <w:rPr>
          <w:snapToGrid w:val="0"/>
        </w:rPr>
        <w:tab/>
        <w:t>Information to be included in trade description</w:t>
      </w:r>
      <w:bookmarkEnd w:id="56"/>
      <w:bookmarkEnd w:id="57"/>
      <w:r>
        <w:rPr>
          <w:snapToGrid w:val="0"/>
        </w:rPr>
        <w:t xml:space="preserve"> </w:t>
      </w:r>
    </w:p>
    <w:p>
      <w:pPr>
        <w:pStyle w:val="Subsection"/>
        <w:rPr>
          <w:snapToGrid w:val="0"/>
        </w:rPr>
      </w:pPr>
      <w:r>
        <w:rPr>
          <w:snapToGrid w:val="0"/>
        </w:rPr>
        <w:tab/>
      </w:r>
      <w:r>
        <w:rPr>
          <w:snapToGrid w:val="0"/>
        </w:rPr>
        <w:tab/>
        <w:t>Subject to Part 3, the trade description shall contain — </w:t>
      </w:r>
    </w:p>
    <w:p>
      <w:pPr>
        <w:pStyle w:val="Indenta"/>
        <w:rPr>
          <w:snapToGrid w:val="0"/>
        </w:rPr>
      </w:pPr>
      <w:r>
        <w:rPr>
          <w:snapToGrid w:val="0"/>
        </w:rPr>
        <w:tab/>
        <w:t>(a)</w:t>
      </w:r>
      <w:r>
        <w:rPr>
          <w:snapToGrid w:val="0"/>
        </w:rPr>
        <w:tab/>
        <w:t>the name and address of the person who packed the peaches or nectarines;</w:t>
      </w:r>
    </w:p>
    <w:p>
      <w:pPr>
        <w:pStyle w:val="Indenta"/>
        <w:rPr>
          <w:snapToGrid w:val="0"/>
        </w:rPr>
      </w:pPr>
      <w:r>
        <w:rPr>
          <w:snapToGrid w:val="0"/>
        </w:rPr>
        <w:tab/>
        <w:t>(b)</w:t>
      </w:r>
      <w:r>
        <w:rPr>
          <w:snapToGrid w:val="0"/>
        </w:rPr>
        <w:tab/>
        <w:t>the word “peach” or “peaches” or “nectarine” or “nectarines”;</w:t>
      </w:r>
    </w:p>
    <w:p>
      <w:pPr>
        <w:pStyle w:val="Indenta"/>
        <w:rPr>
          <w:snapToGrid w:val="0"/>
        </w:rPr>
      </w:pPr>
      <w:r>
        <w:rPr>
          <w:snapToGrid w:val="0"/>
        </w:rPr>
        <w:tab/>
        <w:t>(c)</w:t>
      </w:r>
      <w:r>
        <w:rPr>
          <w:snapToGrid w:val="0"/>
        </w:rPr>
        <w:tab/>
        <w:t>the full name of the variety of the peaches or nectarines contained in the package or the approved abbreviation of that name as shown in the Table to this clause;</w:t>
      </w:r>
    </w:p>
    <w:p>
      <w:pPr>
        <w:pStyle w:val="Indenta"/>
        <w:rPr>
          <w:snapToGrid w:val="0"/>
        </w:rPr>
      </w:pPr>
      <w:r>
        <w:rPr>
          <w:snapToGrid w:val="0"/>
        </w:rPr>
        <w:tab/>
        <w:t>(d)</w:t>
      </w:r>
      <w:r>
        <w:rPr>
          <w:snapToGrid w:val="0"/>
        </w:rPr>
        <w:tab/>
        <w:t>the class of the peaches or nectarines;</w:t>
      </w:r>
    </w:p>
    <w:p>
      <w:pPr>
        <w:pStyle w:val="Indenta"/>
        <w:rPr>
          <w:snapToGrid w:val="0"/>
        </w:rPr>
      </w:pPr>
      <w:r>
        <w:rPr>
          <w:snapToGrid w:val="0"/>
        </w:rPr>
        <w:tab/>
        <w:t>(e)</w:t>
      </w:r>
      <w:r>
        <w:rPr>
          <w:snapToGrid w:val="0"/>
        </w:rPr>
        <w:tab/>
        <w:t>the size, size range or count of the peaches or nectarines; and</w:t>
      </w:r>
    </w:p>
    <w:p>
      <w:pPr>
        <w:pStyle w:val="Indenta"/>
        <w:rPr>
          <w:snapToGrid w:val="0"/>
        </w:rPr>
      </w:pPr>
      <w:r>
        <w:rPr>
          <w:snapToGrid w:val="0"/>
        </w:rPr>
        <w:tab/>
        <w:t>(f)</w:t>
      </w:r>
      <w:r>
        <w:rPr>
          <w:snapToGrid w:val="0"/>
        </w:rPr>
        <w:tab/>
        <w:t>in the case of — </w:t>
      </w:r>
    </w:p>
    <w:p>
      <w:pPr>
        <w:pStyle w:val="Indenti"/>
        <w:rPr>
          <w:snapToGrid w:val="0"/>
        </w:rPr>
      </w:pPr>
      <w:r>
        <w:rPr>
          <w:snapToGrid w:val="0"/>
        </w:rPr>
        <w:tab/>
        <w:t>(i)</w:t>
      </w:r>
      <w:r>
        <w:rPr>
          <w:snapToGrid w:val="0"/>
        </w:rPr>
        <w:tab/>
        <w:t>a package of Class 2 peaches or nectarines that have not been sized; or</w:t>
      </w:r>
    </w:p>
    <w:p>
      <w:pPr>
        <w:pStyle w:val="Indenti"/>
        <w:rPr>
          <w:snapToGrid w:val="0"/>
        </w:rPr>
      </w:pPr>
      <w:r>
        <w:rPr>
          <w:snapToGrid w:val="0"/>
        </w:rPr>
        <w:tab/>
        <w:t>(ii)</w:t>
      </w:r>
      <w:r>
        <w:rPr>
          <w:snapToGrid w:val="0"/>
        </w:rPr>
        <w:tab/>
        <w:t>a package marked “UNCLASSED” containing peaches or nectarines that have not been sized,</w:t>
      </w:r>
    </w:p>
    <w:p>
      <w:pPr>
        <w:pStyle w:val="Indenta"/>
        <w:rPr>
          <w:snapToGrid w:val="0"/>
        </w:rPr>
      </w:pPr>
      <w:r>
        <w:rPr>
          <w:snapToGrid w:val="0"/>
        </w:rPr>
        <w:tab/>
      </w:r>
      <w:r>
        <w:rPr>
          <w:snapToGrid w:val="0"/>
        </w:rPr>
        <w:tab/>
        <w:t>the word “UNSIZED”.</w:t>
      </w:r>
    </w:p>
    <w:tbl>
      <w:tblPr>
        <w:tblW w:w="0" w:type="auto"/>
        <w:tblInd w:w="1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60"/>
        <w:gridCol w:w="1842"/>
        <w:gridCol w:w="1985"/>
        <w:gridCol w:w="1843"/>
      </w:tblGrid>
      <w:tr>
        <w:trPr>
          <w:tblHeader/>
        </w:trPr>
        <w:tc>
          <w:tcPr>
            <w:tcW w:w="3402" w:type="dxa"/>
            <w:gridSpan w:val="2"/>
            <w:tcBorders>
              <w:top w:val="double" w:sz="4" w:space="0" w:color="auto"/>
              <w:bottom w:val="single" w:sz="4" w:space="0" w:color="auto"/>
            </w:tcBorders>
            <w:shd w:val="pct10" w:color="auto" w:fill="auto"/>
          </w:tcPr>
          <w:p>
            <w:pPr>
              <w:pStyle w:val="Table"/>
              <w:jc w:val="center"/>
              <w:rPr>
                <w:sz w:val="18"/>
              </w:rPr>
            </w:pPr>
            <w:r>
              <w:rPr>
                <w:sz w:val="18"/>
              </w:rPr>
              <w:t>Peach varieties</w:t>
            </w:r>
          </w:p>
        </w:tc>
        <w:tc>
          <w:tcPr>
            <w:tcW w:w="3828" w:type="dxa"/>
            <w:gridSpan w:val="2"/>
            <w:tcBorders>
              <w:top w:val="double" w:sz="4" w:space="0" w:color="auto"/>
              <w:bottom w:val="single" w:sz="4" w:space="0" w:color="auto"/>
            </w:tcBorders>
            <w:shd w:val="pct10" w:color="auto" w:fill="auto"/>
          </w:tcPr>
          <w:p>
            <w:pPr>
              <w:pStyle w:val="Table"/>
              <w:jc w:val="center"/>
              <w:rPr>
                <w:sz w:val="18"/>
              </w:rPr>
            </w:pPr>
            <w:r>
              <w:rPr>
                <w:sz w:val="18"/>
              </w:rPr>
              <w:t>Nectarine varieties</w:t>
            </w:r>
          </w:p>
        </w:tc>
      </w:tr>
      <w:tr>
        <w:trPr>
          <w:tblHeader/>
        </w:trPr>
        <w:tc>
          <w:tcPr>
            <w:tcW w:w="1560" w:type="dxa"/>
            <w:tcBorders>
              <w:top w:val="single" w:sz="4" w:space="0" w:color="auto"/>
              <w:bottom w:val="single" w:sz="4" w:space="0" w:color="auto"/>
            </w:tcBorders>
            <w:shd w:val="pct10" w:color="auto" w:fill="auto"/>
          </w:tcPr>
          <w:p>
            <w:pPr>
              <w:pStyle w:val="Table"/>
              <w:jc w:val="center"/>
              <w:rPr>
                <w:sz w:val="18"/>
              </w:rPr>
            </w:pPr>
            <w:r>
              <w:rPr>
                <w:sz w:val="18"/>
              </w:rPr>
              <w:t>Low chill</w:t>
            </w:r>
          </w:p>
        </w:tc>
        <w:tc>
          <w:tcPr>
            <w:tcW w:w="1842" w:type="dxa"/>
            <w:tcBorders>
              <w:top w:val="single" w:sz="4" w:space="0" w:color="auto"/>
              <w:bottom w:val="single" w:sz="4" w:space="0" w:color="auto"/>
            </w:tcBorders>
            <w:shd w:val="pct10" w:color="auto" w:fill="auto"/>
          </w:tcPr>
          <w:p>
            <w:pPr>
              <w:pStyle w:val="Table"/>
              <w:jc w:val="center"/>
              <w:rPr>
                <w:sz w:val="18"/>
              </w:rPr>
            </w:pPr>
            <w:r>
              <w:rPr>
                <w:sz w:val="18"/>
              </w:rPr>
              <w:t>Other</w:t>
            </w:r>
          </w:p>
        </w:tc>
        <w:tc>
          <w:tcPr>
            <w:tcW w:w="1985" w:type="dxa"/>
            <w:tcBorders>
              <w:top w:val="single" w:sz="4" w:space="0" w:color="auto"/>
              <w:bottom w:val="single" w:sz="4" w:space="0" w:color="auto"/>
            </w:tcBorders>
            <w:shd w:val="pct10" w:color="auto" w:fill="auto"/>
          </w:tcPr>
          <w:p>
            <w:pPr>
              <w:pStyle w:val="Table"/>
              <w:jc w:val="center"/>
              <w:rPr>
                <w:sz w:val="18"/>
              </w:rPr>
            </w:pPr>
            <w:r>
              <w:rPr>
                <w:sz w:val="18"/>
              </w:rPr>
              <w:t>Low chill</w:t>
            </w:r>
          </w:p>
        </w:tc>
        <w:tc>
          <w:tcPr>
            <w:tcW w:w="1843" w:type="dxa"/>
            <w:tcBorders>
              <w:top w:val="single" w:sz="4" w:space="0" w:color="auto"/>
              <w:bottom w:val="single" w:sz="4" w:space="0" w:color="auto"/>
            </w:tcBorders>
            <w:shd w:val="pct10" w:color="auto" w:fill="auto"/>
          </w:tcPr>
          <w:p>
            <w:pPr>
              <w:pStyle w:val="Table"/>
              <w:jc w:val="center"/>
              <w:rPr>
                <w:sz w:val="18"/>
              </w:rPr>
            </w:pPr>
            <w:r>
              <w:rPr>
                <w:sz w:val="18"/>
              </w:rPr>
              <w:t>Other</w:t>
            </w:r>
          </w:p>
        </w:tc>
      </w:tr>
      <w:tr>
        <w:tc>
          <w:tcPr>
            <w:tcW w:w="1560" w:type="dxa"/>
            <w:tcBorders>
              <w:top w:val="nil"/>
              <w:bottom w:val="nil"/>
            </w:tcBorders>
          </w:tcPr>
          <w:p>
            <w:pPr>
              <w:pStyle w:val="Table"/>
              <w:rPr>
                <w:sz w:val="18"/>
              </w:rPr>
            </w:pPr>
            <w:r>
              <w:rPr>
                <w:sz w:val="18"/>
              </w:rPr>
              <w:t>Desert Red</w:t>
            </w:r>
          </w:p>
          <w:p>
            <w:pPr>
              <w:pStyle w:val="Table"/>
              <w:rPr>
                <w:sz w:val="18"/>
              </w:rPr>
            </w:pPr>
            <w:r>
              <w:rPr>
                <w:sz w:val="18"/>
              </w:rPr>
              <w:t>Earligrande</w:t>
            </w:r>
          </w:p>
          <w:p>
            <w:pPr>
              <w:pStyle w:val="Table"/>
              <w:rPr>
                <w:sz w:val="18"/>
              </w:rPr>
            </w:pPr>
            <w:r>
              <w:rPr>
                <w:sz w:val="18"/>
              </w:rPr>
              <w:t>Flordabelle</w:t>
            </w:r>
          </w:p>
          <w:p>
            <w:pPr>
              <w:pStyle w:val="Table"/>
              <w:rPr>
                <w:sz w:val="18"/>
              </w:rPr>
            </w:pPr>
            <w:r>
              <w:rPr>
                <w:sz w:val="18"/>
              </w:rPr>
              <w:t>Flordagem</w:t>
            </w:r>
          </w:p>
          <w:p>
            <w:pPr>
              <w:pStyle w:val="Table"/>
              <w:rPr>
                <w:sz w:val="18"/>
              </w:rPr>
            </w:pPr>
            <w:r>
              <w:rPr>
                <w:sz w:val="18"/>
              </w:rPr>
              <w:t>Flordaglo</w:t>
            </w:r>
          </w:p>
          <w:p>
            <w:pPr>
              <w:pStyle w:val="Table"/>
              <w:rPr>
                <w:sz w:val="18"/>
              </w:rPr>
            </w:pPr>
            <w:r>
              <w:rPr>
                <w:sz w:val="18"/>
              </w:rPr>
              <w:t>Flordagold</w:t>
            </w:r>
          </w:p>
          <w:p>
            <w:pPr>
              <w:pStyle w:val="Table"/>
              <w:rPr>
                <w:sz w:val="18"/>
              </w:rPr>
            </w:pPr>
            <w:r>
              <w:rPr>
                <w:sz w:val="18"/>
              </w:rPr>
              <w:t>Flordaking</w:t>
            </w:r>
          </w:p>
          <w:p>
            <w:pPr>
              <w:pStyle w:val="Table"/>
              <w:rPr>
                <w:sz w:val="18"/>
              </w:rPr>
            </w:pPr>
            <w:r>
              <w:rPr>
                <w:sz w:val="18"/>
              </w:rPr>
              <w:t>Flordaprince</w:t>
            </w:r>
          </w:p>
          <w:p>
            <w:pPr>
              <w:pStyle w:val="Table"/>
              <w:rPr>
                <w:sz w:val="18"/>
              </w:rPr>
            </w:pPr>
            <w:r>
              <w:rPr>
                <w:sz w:val="18"/>
              </w:rPr>
              <w:t>Flordasun</w:t>
            </w:r>
          </w:p>
          <w:p>
            <w:pPr>
              <w:pStyle w:val="Table"/>
              <w:rPr>
                <w:sz w:val="18"/>
              </w:rPr>
            </w:pPr>
            <w:r>
              <w:rPr>
                <w:sz w:val="18"/>
              </w:rPr>
              <w:t>Maravilha</w:t>
            </w:r>
          </w:p>
          <w:p>
            <w:pPr>
              <w:pStyle w:val="Table"/>
              <w:rPr>
                <w:sz w:val="18"/>
              </w:rPr>
            </w:pPr>
            <w:r>
              <w:rPr>
                <w:sz w:val="18"/>
              </w:rPr>
              <w:t>New Belle</w:t>
            </w:r>
          </w:p>
          <w:p>
            <w:pPr>
              <w:pStyle w:val="Table"/>
              <w:rPr>
                <w:sz w:val="18"/>
              </w:rPr>
            </w:pPr>
            <w:r>
              <w:rPr>
                <w:sz w:val="18"/>
              </w:rPr>
              <w:t>Shermans Red</w:t>
            </w:r>
          </w:p>
          <w:p>
            <w:pPr>
              <w:pStyle w:val="Table"/>
              <w:rPr>
                <w:sz w:val="18"/>
              </w:rPr>
            </w:pPr>
            <w:r>
              <w:rPr>
                <w:sz w:val="18"/>
              </w:rPr>
              <w:t>Tropic Sno</w:t>
            </w:r>
          </w:p>
          <w:p>
            <w:pPr>
              <w:pStyle w:val="Table"/>
              <w:rPr>
                <w:sz w:val="18"/>
              </w:rPr>
            </w:pPr>
            <w:r>
              <w:rPr>
                <w:sz w:val="18"/>
              </w:rPr>
              <w:t>Tropic Sweet</w:t>
            </w:r>
          </w:p>
          <w:p>
            <w:pPr>
              <w:pStyle w:val="Table"/>
              <w:rPr>
                <w:sz w:val="18"/>
              </w:rPr>
            </w:pPr>
            <w:r>
              <w:rPr>
                <w:sz w:val="18"/>
              </w:rPr>
              <w:t>7-11</w:t>
            </w:r>
          </w:p>
        </w:tc>
        <w:tc>
          <w:tcPr>
            <w:tcW w:w="1842" w:type="dxa"/>
            <w:tcBorders>
              <w:top w:val="nil"/>
              <w:bottom w:val="nil"/>
            </w:tcBorders>
          </w:tcPr>
          <w:p>
            <w:pPr>
              <w:pStyle w:val="Table"/>
              <w:rPr>
                <w:sz w:val="18"/>
              </w:rPr>
            </w:pPr>
            <w:r>
              <w:rPr>
                <w:sz w:val="18"/>
              </w:rPr>
              <w:t>April Gold</w:t>
            </w:r>
          </w:p>
          <w:p>
            <w:pPr>
              <w:pStyle w:val="Table"/>
              <w:rPr>
                <w:sz w:val="18"/>
              </w:rPr>
            </w:pPr>
            <w:r>
              <w:rPr>
                <w:sz w:val="18"/>
              </w:rPr>
              <w:t>Baby Gold</w:t>
            </w:r>
          </w:p>
          <w:p>
            <w:pPr>
              <w:pStyle w:val="Table"/>
              <w:rPr>
                <w:sz w:val="18"/>
              </w:rPr>
            </w:pPr>
            <w:r>
              <w:rPr>
                <w:sz w:val="18"/>
              </w:rPr>
              <w:t>Candor</w:t>
            </w:r>
          </w:p>
          <w:p>
            <w:pPr>
              <w:pStyle w:val="Table"/>
              <w:rPr>
                <w:sz w:val="18"/>
              </w:rPr>
            </w:pPr>
            <w:r>
              <w:rPr>
                <w:sz w:val="18"/>
              </w:rPr>
              <w:t>Cardinal</w:t>
            </w:r>
          </w:p>
          <w:p>
            <w:pPr>
              <w:pStyle w:val="Table"/>
              <w:rPr>
                <w:sz w:val="18"/>
              </w:rPr>
            </w:pPr>
            <w:r>
              <w:rPr>
                <w:sz w:val="18"/>
              </w:rPr>
              <w:t>Coronet</w:t>
            </w:r>
          </w:p>
          <w:p>
            <w:pPr>
              <w:pStyle w:val="Table"/>
              <w:rPr>
                <w:sz w:val="18"/>
              </w:rPr>
            </w:pPr>
            <w:r>
              <w:rPr>
                <w:sz w:val="18"/>
              </w:rPr>
              <w:t>Elberta</w:t>
            </w:r>
          </w:p>
          <w:p>
            <w:pPr>
              <w:pStyle w:val="Table"/>
              <w:rPr>
                <w:sz w:val="18"/>
              </w:rPr>
            </w:pPr>
            <w:r>
              <w:rPr>
                <w:sz w:val="18"/>
              </w:rPr>
              <w:t>Fairtime</w:t>
            </w:r>
          </w:p>
          <w:p>
            <w:pPr>
              <w:pStyle w:val="Table"/>
              <w:rPr>
                <w:sz w:val="18"/>
              </w:rPr>
            </w:pPr>
            <w:r>
              <w:rPr>
                <w:sz w:val="18"/>
              </w:rPr>
              <w:t>Faye Elberta</w:t>
            </w:r>
          </w:p>
          <w:p>
            <w:pPr>
              <w:pStyle w:val="Table"/>
              <w:rPr>
                <w:sz w:val="18"/>
              </w:rPr>
            </w:pPr>
            <w:r>
              <w:rPr>
                <w:sz w:val="18"/>
              </w:rPr>
              <w:t>Fayette</w:t>
            </w:r>
          </w:p>
          <w:p>
            <w:pPr>
              <w:pStyle w:val="Table"/>
              <w:rPr>
                <w:sz w:val="18"/>
              </w:rPr>
            </w:pPr>
            <w:r>
              <w:rPr>
                <w:sz w:val="18"/>
              </w:rPr>
              <w:t>Flamecrest</w:t>
            </w:r>
          </w:p>
          <w:p>
            <w:pPr>
              <w:pStyle w:val="Table"/>
              <w:rPr>
                <w:sz w:val="18"/>
              </w:rPr>
            </w:pPr>
            <w:r>
              <w:rPr>
                <w:sz w:val="18"/>
              </w:rPr>
              <w:t>Flavourcrest</w:t>
            </w:r>
          </w:p>
          <w:p>
            <w:pPr>
              <w:pStyle w:val="Table"/>
              <w:rPr>
                <w:sz w:val="18"/>
              </w:rPr>
            </w:pPr>
            <w:r>
              <w:rPr>
                <w:sz w:val="18"/>
              </w:rPr>
              <w:t>Fragar</w:t>
            </w:r>
          </w:p>
          <w:p>
            <w:pPr>
              <w:pStyle w:val="Table"/>
              <w:rPr>
                <w:sz w:val="18"/>
              </w:rPr>
            </w:pPr>
            <w:r>
              <w:rPr>
                <w:sz w:val="18"/>
              </w:rPr>
              <w:t>Glenalton</w:t>
            </w:r>
          </w:p>
          <w:p>
            <w:pPr>
              <w:pStyle w:val="Table"/>
              <w:rPr>
                <w:sz w:val="18"/>
              </w:rPr>
            </w:pPr>
            <w:r>
              <w:rPr>
                <w:sz w:val="18"/>
              </w:rPr>
              <w:t>Glohaven</w:t>
            </w:r>
          </w:p>
          <w:p>
            <w:pPr>
              <w:pStyle w:val="Table"/>
              <w:rPr>
                <w:sz w:val="18"/>
              </w:rPr>
            </w:pPr>
            <w:r>
              <w:rPr>
                <w:sz w:val="18"/>
              </w:rPr>
              <w:t>Golden Queen</w:t>
            </w:r>
          </w:p>
        </w:tc>
        <w:tc>
          <w:tcPr>
            <w:tcW w:w="1985" w:type="dxa"/>
            <w:tcBorders>
              <w:top w:val="nil"/>
              <w:bottom w:val="nil"/>
            </w:tcBorders>
          </w:tcPr>
          <w:p>
            <w:pPr>
              <w:pStyle w:val="Table"/>
              <w:rPr>
                <w:sz w:val="18"/>
              </w:rPr>
            </w:pPr>
            <w:r>
              <w:rPr>
                <w:sz w:val="18"/>
              </w:rPr>
              <w:t>Brandhavilha</w:t>
            </w:r>
          </w:p>
          <w:p>
            <w:pPr>
              <w:pStyle w:val="Table"/>
              <w:rPr>
                <w:sz w:val="18"/>
              </w:rPr>
            </w:pPr>
            <w:r>
              <w:rPr>
                <w:sz w:val="18"/>
              </w:rPr>
              <w:t>May Fire</w:t>
            </w:r>
          </w:p>
          <w:p>
            <w:pPr>
              <w:pStyle w:val="Table"/>
              <w:rPr>
                <w:sz w:val="18"/>
              </w:rPr>
            </w:pPr>
            <w:r>
              <w:rPr>
                <w:sz w:val="18"/>
              </w:rPr>
              <w:t>May glo</w:t>
            </w:r>
          </w:p>
          <w:p>
            <w:pPr>
              <w:pStyle w:val="Table"/>
              <w:rPr>
                <w:sz w:val="18"/>
              </w:rPr>
            </w:pPr>
            <w:r>
              <w:rPr>
                <w:sz w:val="18"/>
              </w:rPr>
              <w:t>Sunblaze</w:t>
            </w:r>
          </w:p>
          <w:p>
            <w:pPr>
              <w:pStyle w:val="Table"/>
              <w:rPr>
                <w:sz w:val="18"/>
              </w:rPr>
            </w:pPr>
            <w:r>
              <w:rPr>
                <w:sz w:val="18"/>
              </w:rPr>
              <w:t>Sundollar</w:t>
            </w:r>
          </w:p>
          <w:p>
            <w:pPr>
              <w:pStyle w:val="Table"/>
              <w:rPr>
                <w:sz w:val="18"/>
              </w:rPr>
            </w:pPr>
            <w:r>
              <w:rPr>
                <w:sz w:val="18"/>
              </w:rPr>
              <w:t>Sundowner</w:t>
            </w:r>
          </w:p>
          <w:p>
            <w:pPr>
              <w:pStyle w:val="Table"/>
              <w:rPr>
                <w:sz w:val="18"/>
              </w:rPr>
            </w:pPr>
            <w:r>
              <w:rPr>
                <w:sz w:val="18"/>
              </w:rPr>
              <w:t>Sungem</w:t>
            </w:r>
          </w:p>
          <w:p>
            <w:pPr>
              <w:pStyle w:val="Table"/>
              <w:rPr>
                <w:sz w:val="18"/>
              </w:rPr>
            </w:pPr>
            <w:r>
              <w:rPr>
                <w:sz w:val="18"/>
              </w:rPr>
              <w:t>Sunlite</w:t>
            </w:r>
          </w:p>
          <w:p>
            <w:pPr>
              <w:pStyle w:val="Table"/>
              <w:rPr>
                <w:sz w:val="18"/>
              </w:rPr>
            </w:pPr>
            <w:r>
              <w:rPr>
                <w:sz w:val="18"/>
              </w:rPr>
              <w:t>Sunred</w:t>
            </w:r>
          </w:p>
          <w:p>
            <w:pPr>
              <w:pStyle w:val="Table"/>
              <w:rPr>
                <w:sz w:val="18"/>
              </w:rPr>
            </w:pPr>
            <w:r>
              <w:rPr>
                <w:sz w:val="18"/>
              </w:rPr>
              <w:t>81-17</w:t>
            </w:r>
          </w:p>
          <w:p>
            <w:pPr>
              <w:pStyle w:val="Table"/>
              <w:rPr>
                <w:sz w:val="18"/>
              </w:rPr>
            </w:pPr>
            <w:r>
              <w:rPr>
                <w:sz w:val="18"/>
              </w:rPr>
              <w:t>81-6</w:t>
            </w:r>
          </w:p>
          <w:p>
            <w:pPr>
              <w:pStyle w:val="Table"/>
              <w:rPr>
                <w:sz w:val="18"/>
              </w:rPr>
            </w:pPr>
            <w:r>
              <w:rPr>
                <w:sz w:val="18"/>
              </w:rPr>
              <w:t>8-2</w:t>
            </w:r>
          </w:p>
          <w:p>
            <w:pPr>
              <w:pStyle w:val="Table"/>
              <w:rPr>
                <w:sz w:val="18"/>
              </w:rPr>
            </w:pPr>
            <w:r>
              <w:rPr>
                <w:sz w:val="18"/>
              </w:rPr>
              <w:t>9-11</w:t>
            </w:r>
          </w:p>
        </w:tc>
        <w:tc>
          <w:tcPr>
            <w:tcW w:w="1843" w:type="dxa"/>
            <w:tcBorders>
              <w:top w:val="nil"/>
              <w:bottom w:val="nil"/>
            </w:tcBorders>
          </w:tcPr>
          <w:p>
            <w:pPr>
              <w:pStyle w:val="Table"/>
              <w:rPr>
                <w:sz w:val="18"/>
              </w:rPr>
            </w:pPr>
            <w:r>
              <w:rPr>
                <w:sz w:val="18"/>
              </w:rPr>
              <w:t>Armking</w:t>
            </w:r>
          </w:p>
          <w:p>
            <w:pPr>
              <w:pStyle w:val="Table"/>
              <w:rPr>
                <w:sz w:val="18"/>
              </w:rPr>
            </w:pPr>
            <w:r>
              <w:rPr>
                <w:sz w:val="18"/>
              </w:rPr>
              <w:t>August Red</w:t>
            </w:r>
          </w:p>
          <w:p>
            <w:pPr>
              <w:pStyle w:val="Table"/>
              <w:rPr>
                <w:sz w:val="18"/>
              </w:rPr>
            </w:pPr>
            <w:r>
              <w:rPr>
                <w:sz w:val="18"/>
              </w:rPr>
              <w:t>Early Diamond</w:t>
            </w:r>
          </w:p>
          <w:p>
            <w:pPr>
              <w:pStyle w:val="Table"/>
              <w:rPr>
                <w:sz w:val="18"/>
              </w:rPr>
            </w:pPr>
            <w:r>
              <w:rPr>
                <w:sz w:val="18"/>
              </w:rPr>
              <w:t>Flamekist</w:t>
            </w:r>
          </w:p>
          <w:p>
            <w:pPr>
              <w:pStyle w:val="Table"/>
              <w:rPr>
                <w:sz w:val="18"/>
              </w:rPr>
            </w:pPr>
            <w:r>
              <w:rPr>
                <w:sz w:val="18"/>
              </w:rPr>
              <w:t>Fantasia</w:t>
            </w:r>
          </w:p>
          <w:p>
            <w:pPr>
              <w:pStyle w:val="Table"/>
              <w:rPr>
                <w:sz w:val="18"/>
              </w:rPr>
            </w:pPr>
            <w:r>
              <w:rPr>
                <w:sz w:val="18"/>
              </w:rPr>
              <w:t>Flavourtop</w:t>
            </w:r>
          </w:p>
          <w:p>
            <w:pPr>
              <w:pStyle w:val="Table"/>
              <w:rPr>
                <w:sz w:val="18"/>
              </w:rPr>
            </w:pPr>
            <w:r>
              <w:rPr>
                <w:sz w:val="18"/>
              </w:rPr>
              <w:t>Fairlane</w:t>
            </w:r>
          </w:p>
          <w:p>
            <w:pPr>
              <w:pStyle w:val="Table"/>
              <w:rPr>
                <w:sz w:val="18"/>
              </w:rPr>
            </w:pPr>
            <w:r>
              <w:rPr>
                <w:sz w:val="18"/>
              </w:rPr>
              <w:t>Firebrite</w:t>
            </w:r>
          </w:p>
          <w:p>
            <w:pPr>
              <w:pStyle w:val="Table"/>
              <w:rPr>
                <w:sz w:val="18"/>
              </w:rPr>
            </w:pPr>
            <w:r>
              <w:rPr>
                <w:sz w:val="18"/>
              </w:rPr>
              <w:t>Goldmine</w:t>
            </w:r>
          </w:p>
          <w:p>
            <w:pPr>
              <w:pStyle w:val="Table"/>
              <w:rPr>
                <w:sz w:val="18"/>
              </w:rPr>
            </w:pPr>
            <w:r>
              <w:rPr>
                <w:sz w:val="18"/>
              </w:rPr>
              <w:t>Independance</w:t>
            </w:r>
          </w:p>
          <w:p>
            <w:pPr>
              <w:pStyle w:val="Table"/>
              <w:rPr>
                <w:sz w:val="18"/>
              </w:rPr>
            </w:pPr>
            <w:r>
              <w:rPr>
                <w:sz w:val="18"/>
              </w:rPr>
              <w:t>Late Le Grande</w:t>
            </w:r>
          </w:p>
          <w:p>
            <w:pPr>
              <w:pStyle w:val="Table"/>
              <w:rPr>
                <w:sz w:val="18"/>
              </w:rPr>
            </w:pPr>
            <w:r>
              <w:rPr>
                <w:sz w:val="18"/>
              </w:rPr>
              <w:t>Le Grande</w:t>
            </w:r>
          </w:p>
          <w:p>
            <w:pPr>
              <w:pStyle w:val="Table"/>
              <w:rPr>
                <w:sz w:val="18"/>
              </w:rPr>
            </w:pPr>
            <w:r>
              <w:rPr>
                <w:sz w:val="18"/>
              </w:rPr>
              <w:t>Maygrande</w:t>
            </w:r>
          </w:p>
          <w:p>
            <w:pPr>
              <w:pStyle w:val="Table"/>
              <w:rPr>
                <w:sz w:val="18"/>
              </w:rPr>
            </w:pPr>
            <w:r>
              <w:rPr>
                <w:sz w:val="18"/>
              </w:rPr>
              <w:t>Nectared</w:t>
            </w:r>
          </w:p>
          <w:p>
            <w:pPr>
              <w:pStyle w:val="Table"/>
              <w:rPr>
                <w:sz w:val="18"/>
              </w:rPr>
            </w:pPr>
            <w:r>
              <w:rPr>
                <w:sz w:val="18"/>
              </w:rPr>
              <w:t>Red Diamond</w:t>
            </w:r>
          </w:p>
        </w:tc>
      </w:tr>
      <w:tr>
        <w:tc>
          <w:tcPr>
            <w:tcW w:w="1560" w:type="dxa"/>
            <w:tcBorders>
              <w:top w:val="nil"/>
              <w:bottom w:val="nil"/>
            </w:tcBorders>
          </w:tcPr>
          <w:p>
            <w:pPr>
              <w:pStyle w:val="Table"/>
              <w:rPr>
                <w:sz w:val="18"/>
              </w:rPr>
            </w:pPr>
          </w:p>
        </w:tc>
        <w:tc>
          <w:tcPr>
            <w:tcW w:w="1842" w:type="dxa"/>
            <w:tcBorders>
              <w:top w:val="nil"/>
              <w:bottom w:val="nil"/>
            </w:tcBorders>
          </w:tcPr>
          <w:p>
            <w:pPr>
              <w:pStyle w:val="Table"/>
              <w:rPr>
                <w:sz w:val="18"/>
              </w:rPr>
            </w:pPr>
            <w:r>
              <w:rPr>
                <w:sz w:val="18"/>
              </w:rPr>
              <w:t>Highland</w:t>
            </w:r>
          </w:p>
          <w:p>
            <w:pPr>
              <w:pStyle w:val="Table"/>
              <w:rPr>
                <w:sz w:val="18"/>
              </w:rPr>
            </w:pPr>
            <w:r>
              <w:rPr>
                <w:sz w:val="18"/>
              </w:rPr>
              <w:t>Halehaven</w:t>
            </w:r>
          </w:p>
          <w:p>
            <w:pPr>
              <w:pStyle w:val="Table"/>
              <w:rPr>
                <w:sz w:val="18"/>
              </w:rPr>
            </w:pPr>
            <w:r>
              <w:rPr>
                <w:sz w:val="18"/>
              </w:rPr>
              <w:t>JH Hale</w:t>
            </w:r>
          </w:p>
          <w:p>
            <w:pPr>
              <w:pStyle w:val="Table"/>
              <w:rPr>
                <w:sz w:val="18"/>
              </w:rPr>
            </w:pPr>
            <w:r>
              <w:rPr>
                <w:sz w:val="18"/>
              </w:rPr>
              <w:t>June Hale</w:t>
            </w:r>
          </w:p>
          <w:p>
            <w:pPr>
              <w:pStyle w:val="Table"/>
              <w:rPr>
                <w:sz w:val="18"/>
              </w:rPr>
            </w:pPr>
            <w:r>
              <w:rPr>
                <w:sz w:val="18"/>
              </w:rPr>
              <w:t>June Lady</w:t>
            </w:r>
          </w:p>
          <w:p>
            <w:pPr>
              <w:pStyle w:val="Table"/>
              <w:rPr>
                <w:sz w:val="18"/>
              </w:rPr>
            </w:pPr>
            <w:r>
              <w:rPr>
                <w:sz w:val="18"/>
              </w:rPr>
              <w:t>Jerseyqueen</w:t>
            </w:r>
          </w:p>
          <w:p>
            <w:pPr>
              <w:pStyle w:val="Table"/>
              <w:rPr>
                <w:sz w:val="18"/>
              </w:rPr>
            </w:pPr>
            <w:r>
              <w:rPr>
                <w:sz w:val="18"/>
              </w:rPr>
              <w:t>Loring</w:t>
            </w:r>
          </w:p>
          <w:p>
            <w:pPr>
              <w:pStyle w:val="Table"/>
              <w:rPr>
                <w:sz w:val="18"/>
              </w:rPr>
            </w:pPr>
            <w:r>
              <w:rPr>
                <w:sz w:val="18"/>
              </w:rPr>
              <w:t>Maygold</w:t>
            </w:r>
          </w:p>
          <w:p>
            <w:pPr>
              <w:pStyle w:val="Table"/>
              <w:rPr>
                <w:sz w:val="18"/>
              </w:rPr>
            </w:pPr>
            <w:r>
              <w:rPr>
                <w:sz w:val="18"/>
              </w:rPr>
              <w:t>O’Henry</w:t>
            </w:r>
          </w:p>
          <w:p>
            <w:pPr>
              <w:pStyle w:val="Table"/>
              <w:rPr>
                <w:sz w:val="18"/>
              </w:rPr>
            </w:pPr>
            <w:r>
              <w:rPr>
                <w:sz w:val="18"/>
              </w:rPr>
              <w:t>Late O’Henry</w:t>
            </w:r>
          </w:p>
        </w:tc>
        <w:tc>
          <w:tcPr>
            <w:tcW w:w="1985" w:type="dxa"/>
            <w:tcBorders>
              <w:top w:val="nil"/>
              <w:bottom w:val="nil"/>
            </w:tcBorders>
          </w:tcPr>
          <w:p>
            <w:pPr>
              <w:pStyle w:val="Table"/>
              <w:rPr>
                <w:sz w:val="18"/>
              </w:rPr>
            </w:pPr>
          </w:p>
        </w:tc>
        <w:tc>
          <w:tcPr>
            <w:tcW w:w="1843" w:type="dxa"/>
            <w:tcBorders>
              <w:top w:val="nil"/>
              <w:bottom w:val="nil"/>
            </w:tcBorders>
          </w:tcPr>
          <w:p>
            <w:pPr>
              <w:pStyle w:val="Table"/>
              <w:rPr>
                <w:sz w:val="18"/>
              </w:rPr>
            </w:pPr>
            <w:r>
              <w:rPr>
                <w:sz w:val="18"/>
              </w:rPr>
              <w:t>Red Gold</w:t>
            </w:r>
          </w:p>
          <w:p>
            <w:pPr>
              <w:pStyle w:val="Table"/>
              <w:rPr>
                <w:sz w:val="18"/>
              </w:rPr>
            </w:pPr>
            <w:r>
              <w:rPr>
                <w:sz w:val="18"/>
              </w:rPr>
              <w:t>Spring Red</w:t>
            </w:r>
          </w:p>
        </w:tc>
      </w:tr>
      <w:tr>
        <w:tc>
          <w:tcPr>
            <w:tcW w:w="1560" w:type="dxa"/>
            <w:tcBorders>
              <w:top w:val="nil"/>
              <w:bottom w:val="nil"/>
            </w:tcBorders>
          </w:tcPr>
          <w:p>
            <w:pPr>
              <w:pStyle w:val="Table"/>
              <w:rPr>
                <w:sz w:val="18"/>
              </w:rPr>
            </w:pPr>
          </w:p>
        </w:tc>
        <w:tc>
          <w:tcPr>
            <w:tcW w:w="1842" w:type="dxa"/>
            <w:tcBorders>
              <w:top w:val="nil"/>
              <w:bottom w:val="nil"/>
            </w:tcBorders>
          </w:tcPr>
          <w:p>
            <w:pPr>
              <w:pStyle w:val="Table"/>
              <w:rPr>
                <w:sz w:val="18"/>
              </w:rPr>
            </w:pPr>
            <w:r>
              <w:rPr>
                <w:sz w:val="18"/>
              </w:rPr>
              <w:t>Ovale</w:t>
            </w:r>
          </w:p>
          <w:p>
            <w:pPr>
              <w:pStyle w:val="Table"/>
              <w:rPr>
                <w:sz w:val="18"/>
              </w:rPr>
            </w:pPr>
            <w:r>
              <w:rPr>
                <w:sz w:val="18"/>
              </w:rPr>
              <w:t>Professor Black</w:t>
            </w:r>
          </w:p>
          <w:p>
            <w:pPr>
              <w:pStyle w:val="Table"/>
              <w:rPr>
                <w:sz w:val="18"/>
              </w:rPr>
            </w:pPr>
            <w:r>
              <w:rPr>
                <w:sz w:val="18"/>
              </w:rPr>
              <w:t>Pullers Cling</w:t>
            </w:r>
          </w:p>
          <w:p>
            <w:pPr>
              <w:pStyle w:val="Table"/>
              <w:rPr>
                <w:sz w:val="18"/>
              </w:rPr>
            </w:pPr>
            <w:r>
              <w:rPr>
                <w:sz w:val="18"/>
              </w:rPr>
              <w:t>Red Haven</w:t>
            </w:r>
          </w:p>
          <w:p>
            <w:pPr>
              <w:pStyle w:val="Table"/>
              <w:rPr>
                <w:sz w:val="18"/>
              </w:rPr>
            </w:pPr>
            <w:r>
              <w:rPr>
                <w:sz w:val="18"/>
              </w:rPr>
              <w:t>Red Lady</w:t>
            </w:r>
          </w:p>
          <w:p>
            <w:pPr>
              <w:pStyle w:val="Table"/>
              <w:rPr>
                <w:sz w:val="18"/>
              </w:rPr>
            </w:pPr>
            <w:r>
              <w:rPr>
                <w:sz w:val="18"/>
              </w:rPr>
              <w:t>Southland</w:t>
            </w:r>
          </w:p>
          <w:p>
            <w:pPr>
              <w:pStyle w:val="Table"/>
              <w:rPr>
                <w:sz w:val="18"/>
              </w:rPr>
            </w:pPr>
            <w:r>
              <w:rPr>
                <w:sz w:val="18"/>
              </w:rPr>
              <w:t>Starking</w:t>
            </w:r>
          </w:p>
          <w:p>
            <w:pPr>
              <w:pStyle w:val="Table"/>
              <w:rPr>
                <w:sz w:val="18"/>
              </w:rPr>
            </w:pPr>
            <w:r>
              <w:rPr>
                <w:sz w:val="18"/>
              </w:rPr>
              <w:t>Delicious</w:t>
            </w:r>
          </w:p>
          <w:p>
            <w:pPr>
              <w:pStyle w:val="Table"/>
              <w:rPr>
                <w:sz w:val="18"/>
              </w:rPr>
            </w:pPr>
            <w:r>
              <w:rPr>
                <w:sz w:val="18"/>
              </w:rPr>
              <w:t>Summerset</w:t>
            </w:r>
          </w:p>
          <w:p>
            <w:pPr>
              <w:pStyle w:val="Table"/>
              <w:rPr>
                <w:sz w:val="18"/>
              </w:rPr>
            </w:pPr>
            <w:r>
              <w:rPr>
                <w:sz w:val="18"/>
              </w:rPr>
              <w:t>Suncrest</w:t>
            </w:r>
          </w:p>
          <w:p>
            <w:pPr>
              <w:pStyle w:val="Table"/>
              <w:rPr>
                <w:sz w:val="18"/>
              </w:rPr>
            </w:pPr>
            <w:r>
              <w:rPr>
                <w:sz w:val="18"/>
              </w:rPr>
              <w:t>Sunray</w:t>
            </w:r>
          </w:p>
        </w:tc>
        <w:tc>
          <w:tcPr>
            <w:tcW w:w="1985" w:type="dxa"/>
            <w:tcBorders>
              <w:top w:val="nil"/>
              <w:bottom w:val="nil"/>
            </w:tcBorders>
          </w:tcPr>
          <w:p>
            <w:pPr>
              <w:pStyle w:val="Table"/>
              <w:rPr>
                <w:sz w:val="18"/>
              </w:rPr>
            </w:pPr>
          </w:p>
        </w:tc>
        <w:tc>
          <w:tcPr>
            <w:tcW w:w="1843" w:type="dxa"/>
            <w:tcBorders>
              <w:top w:val="nil"/>
              <w:bottom w:val="nil"/>
            </w:tcBorders>
          </w:tcPr>
          <w:p>
            <w:pPr>
              <w:pStyle w:val="Table"/>
              <w:rPr>
                <w:sz w:val="18"/>
              </w:rPr>
            </w:pPr>
          </w:p>
        </w:tc>
      </w:tr>
      <w:tr>
        <w:tc>
          <w:tcPr>
            <w:tcW w:w="1560" w:type="dxa"/>
            <w:tcBorders>
              <w:top w:val="nil"/>
              <w:bottom w:val="double" w:sz="4" w:space="0" w:color="auto"/>
            </w:tcBorders>
          </w:tcPr>
          <w:p>
            <w:pPr>
              <w:pStyle w:val="Table"/>
              <w:rPr>
                <w:sz w:val="18"/>
              </w:rPr>
            </w:pPr>
          </w:p>
        </w:tc>
        <w:tc>
          <w:tcPr>
            <w:tcW w:w="1842" w:type="dxa"/>
            <w:tcBorders>
              <w:top w:val="nil"/>
              <w:bottom w:val="double" w:sz="4" w:space="0" w:color="auto"/>
            </w:tcBorders>
          </w:tcPr>
          <w:p>
            <w:pPr>
              <w:pStyle w:val="Table"/>
              <w:rPr>
                <w:sz w:val="18"/>
              </w:rPr>
            </w:pPr>
            <w:r>
              <w:rPr>
                <w:sz w:val="18"/>
              </w:rPr>
              <w:t>Springcrest</w:t>
            </w:r>
          </w:p>
          <w:p>
            <w:pPr>
              <w:pStyle w:val="Table"/>
              <w:rPr>
                <w:sz w:val="18"/>
              </w:rPr>
            </w:pPr>
            <w:r>
              <w:rPr>
                <w:sz w:val="18"/>
              </w:rPr>
              <w:t>Springold</w:t>
            </w:r>
          </w:p>
          <w:p>
            <w:pPr>
              <w:pStyle w:val="Table"/>
              <w:rPr>
                <w:sz w:val="18"/>
              </w:rPr>
            </w:pPr>
            <w:r>
              <w:rPr>
                <w:sz w:val="18"/>
              </w:rPr>
              <w:t>Starks Honey Dew</w:t>
            </w:r>
          </w:p>
          <w:p>
            <w:pPr>
              <w:pStyle w:val="Table"/>
              <w:rPr>
                <w:sz w:val="18"/>
              </w:rPr>
            </w:pPr>
            <w:r>
              <w:rPr>
                <w:sz w:val="18"/>
              </w:rPr>
              <w:t>Tatura Dawn</w:t>
            </w:r>
          </w:p>
          <w:p>
            <w:pPr>
              <w:pStyle w:val="Table"/>
              <w:rPr>
                <w:sz w:val="18"/>
              </w:rPr>
            </w:pPr>
            <w:r>
              <w:rPr>
                <w:sz w:val="18"/>
              </w:rPr>
              <w:t>Tatura Noon</w:t>
            </w:r>
          </w:p>
        </w:tc>
        <w:tc>
          <w:tcPr>
            <w:tcW w:w="1985" w:type="dxa"/>
            <w:tcBorders>
              <w:top w:val="nil"/>
              <w:bottom w:val="double" w:sz="4" w:space="0" w:color="auto"/>
            </w:tcBorders>
          </w:tcPr>
          <w:p>
            <w:pPr>
              <w:pStyle w:val="Table"/>
              <w:rPr>
                <w:sz w:val="18"/>
              </w:rPr>
            </w:pPr>
          </w:p>
        </w:tc>
        <w:tc>
          <w:tcPr>
            <w:tcW w:w="1843" w:type="dxa"/>
            <w:tcBorders>
              <w:top w:val="nil"/>
              <w:bottom w:val="double" w:sz="4" w:space="0" w:color="auto"/>
            </w:tcBorders>
          </w:tcPr>
          <w:p>
            <w:pPr>
              <w:pStyle w:val="Table"/>
              <w:rPr>
                <w:sz w:val="18"/>
              </w:rPr>
            </w:pPr>
          </w:p>
        </w:tc>
      </w:tr>
    </w:tbl>
    <w:p>
      <w:pPr>
        <w:pStyle w:val="Heading5"/>
        <w:rPr>
          <w:snapToGrid w:val="0"/>
        </w:rPr>
      </w:pPr>
      <w:bookmarkStart w:id="58" w:name="_Toc378175567"/>
      <w:bookmarkStart w:id="59" w:name="_Toc426970486"/>
      <w:r>
        <w:rPr>
          <w:rStyle w:val="CharSectno"/>
        </w:rPr>
        <w:t>20</w:t>
      </w:r>
      <w:r>
        <w:rPr>
          <w:snapToGrid w:val="0"/>
        </w:rPr>
        <w:t>.</w:t>
      </w:r>
      <w:r>
        <w:rPr>
          <w:snapToGrid w:val="0"/>
        </w:rPr>
        <w:tab/>
        <w:t>Trade description for retail sale</w:t>
      </w:r>
      <w:bookmarkEnd w:id="58"/>
      <w:bookmarkEnd w:id="59"/>
      <w:r>
        <w:rPr>
          <w:snapToGrid w:val="0"/>
        </w:rPr>
        <w:t xml:space="preserve"> </w:t>
      </w:r>
    </w:p>
    <w:p>
      <w:pPr>
        <w:pStyle w:val="Subsection"/>
        <w:rPr>
          <w:snapToGrid w:val="0"/>
        </w:rPr>
      </w:pPr>
      <w:r>
        <w:rPr>
          <w:snapToGrid w:val="0"/>
        </w:rPr>
        <w:tab/>
        <w:t>(1)</w:t>
      </w:r>
      <w:r>
        <w:rPr>
          <w:snapToGrid w:val="0"/>
        </w:rPr>
        <w:tab/>
        <w:t>A label showing the class of the peaches or nectarines shall be attached to each display of each variety of peaches or nectarines offered for retail sale and, if the label specifies a variety of peach or nectarine, the peaches or nectarines displayed shall correspond to the variety so specified.</w:t>
      </w:r>
    </w:p>
    <w:p>
      <w:pPr>
        <w:pStyle w:val="Subsection"/>
        <w:rPr>
          <w:snapToGrid w:val="0"/>
        </w:rPr>
      </w:pPr>
      <w:r>
        <w:rPr>
          <w:snapToGrid w:val="0"/>
        </w:rPr>
        <w:tab/>
        <w:t>(2)</w:t>
      </w:r>
      <w:r>
        <w:rPr>
          <w:snapToGrid w:val="0"/>
        </w:rPr>
        <w:tab/>
        <w:t>If a display includes a mixture of varieties, the label shall show the full names of the individual varieties within the mixture.</w:t>
      </w:r>
    </w:p>
    <w:p>
      <w:pPr>
        <w:pStyle w:val="Subsection"/>
        <w:rPr>
          <w:snapToGrid w:val="0"/>
        </w:rPr>
      </w:pPr>
      <w:r>
        <w:rPr>
          <w:snapToGrid w:val="0"/>
        </w:rPr>
        <w:tab/>
        <w:t>(3)</w:t>
      </w:r>
      <w:r>
        <w:rPr>
          <w:snapToGrid w:val="0"/>
        </w:rPr>
        <w:tab/>
        <w:t>The marking on the label shall be in prominent, legible characters at least 25 millimetres high.</w:t>
      </w:r>
    </w:p>
    <w:p>
      <w:pPr>
        <w:pStyle w:val="Heading5"/>
        <w:rPr>
          <w:snapToGrid w:val="0"/>
        </w:rPr>
      </w:pPr>
      <w:bookmarkStart w:id="60" w:name="_Toc378175568"/>
      <w:bookmarkStart w:id="61" w:name="_Toc426970487"/>
      <w:r>
        <w:rPr>
          <w:rStyle w:val="CharSectno"/>
        </w:rPr>
        <w:t>21</w:t>
      </w:r>
      <w:r>
        <w:rPr>
          <w:snapToGrid w:val="0"/>
        </w:rPr>
        <w:t>.</w:t>
      </w:r>
      <w:r>
        <w:rPr>
          <w:snapToGrid w:val="0"/>
        </w:rPr>
        <w:tab/>
        <w:t>Prohibited quality descriptions</w:t>
      </w:r>
      <w:bookmarkEnd w:id="60"/>
      <w:bookmarkEnd w:id="61"/>
      <w:r>
        <w:rPr>
          <w:snapToGrid w:val="0"/>
        </w:rPr>
        <w:t xml:space="preserve"> </w:t>
      </w:r>
    </w:p>
    <w:p>
      <w:pPr>
        <w:pStyle w:val="Subsection"/>
        <w:rPr>
          <w:snapToGrid w:val="0"/>
        </w:rPr>
      </w:pPr>
      <w:r>
        <w:rPr>
          <w:snapToGrid w:val="0"/>
        </w:rPr>
        <w:tab/>
      </w:r>
      <w:r>
        <w:rPr>
          <w:snapToGrid w:val="0"/>
        </w:rPr>
        <w:tab/>
        <w:t>Peaches or nectarines shall not be designated as “special”, “specially packed”, “selected”, “fancy” or by any other word or form of words that indicates that the peaches or nectarines have special quality characteristics.</w:t>
      </w:r>
    </w:p>
    <w:p>
      <w:pPr>
        <w:pStyle w:val="Heading2"/>
      </w:pPr>
      <w:bookmarkStart w:id="62" w:name="_Toc378175569"/>
      <w:bookmarkStart w:id="63" w:name="_Toc426970431"/>
      <w:bookmarkStart w:id="64" w:name="_Toc426970460"/>
      <w:bookmarkStart w:id="65" w:name="_Toc426970488"/>
      <w:r>
        <w:rPr>
          <w:rStyle w:val="CharPartNo"/>
        </w:rPr>
        <w:t>Part 5</w:t>
      </w:r>
      <w:r>
        <w:rPr>
          <w:rStyle w:val="CharDivNo"/>
        </w:rPr>
        <w:t> </w:t>
      </w:r>
      <w:r>
        <w:t>—</w:t>
      </w:r>
      <w:r>
        <w:rPr>
          <w:rStyle w:val="CharDivText"/>
        </w:rPr>
        <w:t> </w:t>
      </w:r>
      <w:r>
        <w:rPr>
          <w:rStyle w:val="CharPartText"/>
        </w:rPr>
        <w:t>Repeal</w:t>
      </w:r>
      <w:bookmarkEnd w:id="62"/>
      <w:bookmarkEnd w:id="63"/>
      <w:bookmarkEnd w:id="64"/>
      <w:bookmarkEnd w:id="65"/>
      <w:r>
        <w:rPr>
          <w:rStyle w:val="CharPartText"/>
        </w:rPr>
        <w:t xml:space="preserve"> </w:t>
      </w:r>
    </w:p>
    <w:p>
      <w:pPr>
        <w:pStyle w:val="Heading5"/>
        <w:rPr>
          <w:snapToGrid w:val="0"/>
        </w:rPr>
      </w:pPr>
      <w:bookmarkStart w:id="66" w:name="_Toc378175570"/>
      <w:bookmarkStart w:id="67" w:name="_Toc426970489"/>
      <w:r>
        <w:rPr>
          <w:rStyle w:val="CharSectno"/>
        </w:rPr>
        <w:t>22</w:t>
      </w:r>
      <w:r>
        <w:rPr>
          <w:snapToGrid w:val="0"/>
        </w:rPr>
        <w:t>.</w:t>
      </w:r>
      <w:r>
        <w:rPr>
          <w:snapToGrid w:val="0"/>
        </w:rPr>
        <w:tab/>
        <w:t>Repeal of former codes</w:t>
      </w:r>
      <w:bookmarkEnd w:id="66"/>
      <w:bookmarkEnd w:id="67"/>
      <w:r>
        <w:rPr>
          <w:snapToGrid w:val="0"/>
        </w:rPr>
        <w:t xml:space="preserve"> </w:t>
      </w:r>
    </w:p>
    <w:p>
      <w:pPr>
        <w:pStyle w:val="Subsection"/>
        <w:rPr>
          <w:snapToGrid w:val="0"/>
        </w:rPr>
      </w:pPr>
      <w:r>
        <w:rPr>
          <w:snapToGrid w:val="0"/>
        </w:rPr>
        <w:tab/>
        <w:t>(1)</w:t>
      </w:r>
      <w:r>
        <w:rPr>
          <w:snapToGrid w:val="0"/>
        </w:rPr>
        <w:tab/>
        <w:t xml:space="preserve">The </w:t>
      </w:r>
      <w:r>
        <w:rPr>
          <w:i/>
          <w:snapToGrid w:val="0"/>
        </w:rPr>
        <w:t>Peach Grading and Packing Code 1983*</w:t>
      </w:r>
      <w:r>
        <w:rPr>
          <w:snapToGrid w:val="0"/>
        </w:rPr>
        <w:t xml:space="preserve"> is repealed.</w:t>
      </w:r>
    </w:p>
    <w:p>
      <w:pPr>
        <w:pStyle w:val="MiscellaneousBody"/>
        <w:tabs>
          <w:tab w:val="left" w:pos="867"/>
        </w:tabs>
        <w:ind w:left="851" w:hanging="851"/>
        <w:rPr>
          <w:snapToGrid w:val="0"/>
        </w:rPr>
      </w:pPr>
      <w:r>
        <w:rPr>
          <w:snapToGrid w:val="0"/>
        </w:rPr>
        <w:tab/>
        <w:t>[</w:t>
      </w:r>
      <w:r>
        <w:rPr>
          <w:i/>
          <w:snapToGrid w:val="0"/>
        </w:rPr>
        <w:t>* Published in the Gazette on 23 September 1983 at pp.3872</w:t>
      </w:r>
      <w:r>
        <w:rPr>
          <w:i/>
          <w:snapToGrid w:val="0"/>
        </w:rPr>
        <w:noBreakHyphen/>
        <w:t>73.</w:t>
      </w:r>
      <w:r>
        <w:rPr>
          <w:snapToGrid w:val="0"/>
        </w:rPr>
        <w:t xml:space="preserve">] </w:t>
      </w:r>
    </w:p>
    <w:p>
      <w:pPr>
        <w:pStyle w:val="Subsection"/>
        <w:rPr>
          <w:snapToGrid w:val="0"/>
        </w:rPr>
      </w:pPr>
      <w:r>
        <w:rPr>
          <w:snapToGrid w:val="0"/>
        </w:rPr>
        <w:tab/>
        <w:t>(2)</w:t>
      </w:r>
      <w:r>
        <w:rPr>
          <w:snapToGrid w:val="0"/>
        </w:rPr>
        <w:tab/>
        <w:t xml:space="preserve">The </w:t>
      </w:r>
      <w:r>
        <w:rPr>
          <w:i/>
          <w:snapToGrid w:val="0"/>
        </w:rPr>
        <w:t>Nectarine Grading and Packing Code 1983*</w:t>
      </w:r>
      <w:r>
        <w:rPr>
          <w:snapToGrid w:val="0"/>
        </w:rPr>
        <w:t xml:space="preserve"> is repealed.</w:t>
      </w:r>
    </w:p>
    <w:p>
      <w:pPr>
        <w:pStyle w:val="MiscellaneousBody"/>
        <w:tabs>
          <w:tab w:val="left" w:pos="867"/>
        </w:tabs>
        <w:ind w:left="851" w:hanging="851"/>
        <w:rPr>
          <w:snapToGrid w:val="0"/>
        </w:rPr>
      </w:pPr>
      <w:r>
        <w:rPr>
          <w:snapToGrid w:val="0"/>
        </w:rPr>
        <w:tab/>
        <w:t>[</w:t>
      </w:r>
      <w:r>
        <w:rPr>
          <w:i/>
          <w:snapToGrid w:val="0"/>
        </w:rPr>
        <w:t>* Published in the Gazette on 23 September 1983 at pp.3868</w:t>
      </w:r>
      <w:r>
        <w:rPr>
          <w:i/>
          <w:snapToGrid w:val="0"/>
        </w:rPr>
        <w:noBreakHyphen/>
        <w:t>69.</w:t>
      </w:r>
      <w:r>
        <w:rPr>
          <w:snapToGrid w:val="0"/>
        </w:rPr>
        <w:t xml:space="preserve">]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68" w:name="_Toc378175571"/>
      <w:bookmarkStart w:id="69" w:name="_Toc426970433"/>
      <w:bookmarkStart w:id="70" w:name="_Toc426970462"/>
      <w:bookmarkStart w:id="71" w:name="_Toc426970490"/>
      <w:r>
        <w:t>Notes</w:t>
      </w:r>
      <w:bookmarkEnd w:id="68"/>
      <w:bookmarkEnd w:id="69"/>
      <w:bookmarkEnd w:id="70"/>
      <w:bookmarkEnd w:id="71"/>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Peach and Nectarine Grading and Packing Code 1992</w:t>
      </w:r>
      <w:r>
        <w:rPr>
          <w:snapToGrid w:val="0"/>
        </w:rPr>
        <w:t xml:space="preserve"> and includes the amendments referred to in the following Table.</w:t>
      </w:r>
    </w:p>
    <w:p>
      <w:pPr>
        <w:pStyle w:val="nHeading3"/>
        <w:rPr>
          <w:snapToGrid w:val="0"/>
        </w:rPr>
      </w:pPr>
      <w:bookmarkStart w:id="72" w:name="_Toc378175572"/>
      <w:bookmarkStart w:id="73" w:name="_Toc426970491"/>
      <w:r>
        <w:rPr>
          <w:snapToGrid w:val="0"/>
        </w:rPr>
        <w:t>Compilation table</w:t>
      </w:r>
      <w:bookmarkEnd w:id="72"/>
      <w:bookmarkEnd w:id="73"/>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bottom w:val="single" w:sz="8" w:space="0" w:color="auto"/>
            </w:tcBorders>
          </w:tcPr>
          <w:p>
            <w:pPr>
              <w:pStyle w:val="nTable"/>
              <w:spacing w:after="40"/>
            </w:pPr>
            <w:r>
              <w:rPr>
                <w:i/>
              </w:rPr>
              <w:t>Peach and Nectarine Grading and Packing Code 1992</w:t>
            </w:r>
          </w:p>
        </w:tc>
        <w:tc>
          <w:tcPr>
            <w:tcW w:w="1276" w:type="dxa"/>
            <w:tcBorders>
              <w:top w:val="single" w:sz="8" w:space="0" w:color="auto"/>
              <w:bottom w:val="single" w:sz="8" w:space="0" w:color="auto"/>
            </w:tcBorders>
          </w:tcPr>
          <w:p>
            <w:pPr>
              <w:pStyle w:val="nTable"/>
              <w:spacing w:after="40"/>
            </w:pPr>
            <w:r>
              <w:t>11 Sep 1992 p. 4575-81</w:t>
            </w:r>
          </w:p>
        </w:tc>
        <w:tc>
          <w:tcPr>
            <w:tcW w:w="2693" w:type="dxa"/>
            <w:tcBorders>
              <w:top w:val="single" w:sz="8" w:space="0" w:color="auto"/>
              <w:bottom w:val="single" w:sz="8" w:space="0" w:color="auto"/>
            </w:tcBorders>
          </w:tcPr>
          <w:p>
            <w:pPr>
              <w:pStyle w:val="nTable"/>
              <w:spacing w:after="40"/>
            </w:pPr>
            <w:r>
              <w:t>11 Sep 1992</w:t>
            </w:r>
          </w:p>
        </w:tc>
      </w:tr>
      <w:tr>
        <w:trPr>
          <w:cantSplit/>
        </w:trPr>
        <w:tc>
          <w:tcPr>
            <w:tcW w:w="7087" w:type="dxa"/>
            <w:gridSpan w:val="3"/>
            <w:tcBorders>
              <w:top w:val="single" w:sz="8" w:space="0" w:color="auto"/>
              <w:bottom w:val="single" w:sz="4" w:space="0" w:color="auto"/>
            </w:tcBorders>
          </w:tcPr>
          <w:p>
            <w:pPr>
              <w:pStyle w:val="nTable"/>
              <w:spacing w:after="40"/>
              <w:rPr>
                <w:b/>
                <w:bCs/>
                <w:color w:val="FF0000"/>
              </w:rPr>
            </w:pPr>
            <w:r>
              <w:rPr>
                <w:b/>
                <w:bCs/>
                <w:color w:val="FF0000"/>
              </w:rPr>
              <w:t xml:space="preserve">This Code was repealed by the </w:t>
            </w:r>
            <w:r>
              <w:rPr>
                <w:b/>
                <w:bCs/>
                <w:i/>
                <w:iCs/>
                <w:color w:val="FF0000"/>
              </w:rPr>
              <w:t>Repeal of Grading and Packing Codes Notice 2001</w:t>
            </w:r>
            <w:r>
              <w:rPr>
                <w:b/>
                <w:bCs/>
                <w:color w:val="FF0000"/>
              </w:rPr>
              <w:t xml:space="preserve"> as at 24 Aug 2001 (see </w:t>
            </w:r>
            <w:r>
              <w:rPr>
                <w:b/>
                <w:bCs/>
                <w:i/>
                <w:iCs/>
                <w:color w:val="FF0000"/>
              </w:rPr>
              <w:t>Gazette</w:t>
            </w:r>
            <w:r>
              <w:rPr>
                <w:b/>
                <w:bCs/>
                <w:color w:val="FF0000"/>
              </w:rPr>
              <w:t xml:space="preserve"> 24 Aug 2001 p. 4575)</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Peach and Nectarine Grading and Packing Code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Peach and Nectarine Grading and Packing Code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74" w:name="Compilation"/>
    <w:bookmarkEnd w:id="7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5" w:name="Coversheet"/>
    <w:bookmarkEnd w:id="7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Peach and Nectarine Grading and Packing Code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Peach and Nectarine Grading and Packing Code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Peach and Nectarine Grading and Packing Code 1992</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cl.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Peach and Nectarine Grading and Packing Code 1992</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cl.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7039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7C825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3EA0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F45F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F4CE9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03068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F0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36AB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1C6B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DDE10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D8E961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32548"/>
    <w:docVar w:name="WAFER_20140122164454" w:val="RemoveTocBookmarks,RemoveUnusedBookmarks,RemoveLanguageTags,UsedStyles,ResetPageSize,UpdateArrangement"/>
    <w:docVar w:name="WAFER_20140122164454_GUID" w:val="ee8de02d-b4a7-423e-8127-ac1e05756e25"/>
    <w:docVar w:name="WAFER_20140122172810" w:val="RemoveTocBookmarks,RunningHeaders"/>
    <w:docVar w:name="WAFER_20140122172810_GUID" w:val="59777879-d79a-4c16-8d09-c8903cc3a845"/>
    <w:docVar w:name="WAFER_20150810105222" w:val="ResetPageSize,UpdateArrangement,UpdateNTable"/>
    <w:docVar w:name="WAFER_20150810105222_GUID" w:val="bab9d9a8-8a14-47c2-8001-1c23303332b2"/>
    <w:docVar w:name="WAFER_20151117132548" w:val="UpdateStyles,UsedStyles"/>
    <w:docVar w:name="WAFER_20151117132548_GUID" w:val="2677bb2b-4c47-441a-a0ae-980e2690a07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2348</Words>
  <Characters>11767</Characters>
  <Application>Microsoft Office Word</Application>
  <DocSecurity>0</DocSecurity>
  <Lines>511</Lines>
  <Paragraphs>415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Peach and Nectarine Grading and Packing Code 1992 - 00-b0-05</dc:title>
  <dc:subject/>
  <dc:creator/>
  <cp:keywords/>
  <dc:description/>
  <cp:lastModifiedBy>svcMRProcess</cp:lastModifiedBy>
  <cp:revision>4</cp:revision>
  <cp:lastPrinted>2006-04-19T08:19:00Z</cp:lastPrinted>
  <dcterms:created xsi:type="dcterms:W3CDTF">2015-11-17T05:35:00Z</dcterms:created>
  <dcterms:modified xsi:type="dcterms:W3CDTF">2015-11-17T05:35:00Z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11 September 1992 pp.4575-81</vt:lpwstr>
  </property>
  <property fmtid="{D5CDD505-2E9C-101B-9397-08002B2CF9AE}" pid="3" name="CommencementDate">
    <vt:lpwstr>20010824</vt:lpwstr>
  </property>
  <property fmtid="{D5CDD505-2E9C-101B-9397-08002B2CF9AE}" pid="4" name="DocumentType">
    <vt:lpwstr>Reg</vt:lpwstr>
  </property>
  <property fmtid="{D5CDD505-2E9C-101B-9397-08002B2CF9AE}" pid="5" name="AsAtDate">
    <vt:lpwstr>24 Aug 2001</vt:lpwstr>
  </property>
  <property fmtid="{D5CDD505-2E9C-101B-9397-08002B2CF9AE}" pid="6" name="Suffix">
    <vt:lpwstr>00-b0-05</vt:lpwstr>
  </property>
  <property fmtid="{D5CDD505-2E9C-101B-9397-08002B2CF9AE}" pid="7" name="Status">
    <vt:lpwstr>NIF</vt:lpwstr>
  </property>
</Properties>
</file>